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9D" w14:textId="55F58A14" w:rsidR="00964A4E" w:rsidRDefault="00964A4E" w:rsidP="00EA0169">
      <w:pPr>
        <w:rPr>
          <w:b/>
          <w:color w:val="000000"/>
        </w:rPr>
      </w:pPr>
    </w:p>
    <w:p w14:paraId="2440D3A4" w14:textId="77777777" w:rsidR="00785474" w:rsidRPr="003C26C1" w:rsidRDefault="00785474" w:rsidP="00D9153B">
      <w:pPr>
        <w:rPr>
          <w:color w:val="000000"/>
          <w:sz w:val="6"/>
        </w:rPr>
        <w:sectPr w:rsidR="00785474" w:rsidRPr="003C26C1" w:rsidSect="00677A8F">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47BEF3E9" w14:textId="77777777" w:rsidR="00E934F5" w:rsidRPr="00E01BBE" w:rsidRDefault="00E934F5" w:rsidP="00E934F5">
      <w:pPr>
        <w:rPr>
          <w:b/>
          <w:color w:val="000000"/>
        </w:rPr>
      </w:pPr>
      <w:r>
        <w:rPr>
          <w:b/>
          <w:color w:val="000000"/>
        </w:rPr>
        <w:t>Second</w:t>
      </w:r>
      <w:r w:rsidRPr="00E01BBE">
        <w:rPr>
          <w:b/>
          <w:color w:val="000000"/>
        </w:rPr>
        <w:t xml:space="preserve"> regular session 2022</w:t>
      </w:r>
    </w:p>
    <w:p w14:paraId="03A018E6" w14:textId="56446A15" w:rsidR="00E934F5" w:rsidRPr="00E01BBE" w:rsidRDefault="00891338" w:rsidP="00891338">
      <w:pPr>
        <w:tabs>
          <w:tab w:val="right" w:pos="1022"/>
          <w:tab w:val="left" w:pos="1267"/>
          <w:tab w:val="left" w:pos="1742"/>
          <w:tab w:val="left" w:pos="2218"/>
          <w:tab w:val="left" w:pos="2693"/>
          <w:tab w:val="left" w:pos="3182"/>
          <w:tab w:val="left" w:pos="7810"/>
        </w:tabs>
        <w:ind w:right="1260"/>
        <w:rPr>
          <w:color w:val="000000"/>
        </w:rPr>
      </w:pPr>
      <w:r>
        <w:rPr>
          <w:color w:val="000000"/>
          <w:lang w:val="en-GB"/>
        </w:rPr>
        <w:t>29</w:t>
      </w:r>
      <w:r w:rsidR="00236E26">
        <w:rPr>
          <w:color w:val="000000"/>
          <w:lang w:val="en-GB"/>
        </w:rPr>
        <w:t xml:space="preserve"> August to</w:t>
      </w:r>
      <w:r w:rsidR="005A4A7C">
        <w:rPr>
          <w:color w:val="000000"/>
          <w:lang w:val="en-GB"/>
        </w:rPr>
        <w:t xml:space="preserve"> </w:t>
      </w:r>
      <w:r>
        <w:rPr>
          <w:color w:val="000000"/>
          <w:lang w:val="en-GB"/>
        </w:rPr>
        <w:t>1</w:t>
      </w:r>
      <w:r w:rsidR="00236E26">
        <w:rPr>
          <w:color w:val="000000"/>
          <w:lang w:val="en-GB"/>
        </w:rPr>
        <w:t xml:space="preserve"> </w:t>
      </w:r>
      <w:r w:rsidR="00E934F5">
        <w:rPr>
          <w:color w:val="000000"/>
        </w:rPr>
        <w:t xml:space="preserve">September </w:t>
      </w:r>
      <w:r w:rsidR="00E934F5" w:rsidRPr="00E01BBE">
        <w:rPr>
          <w:color w:val="000000"/>
        </w:rPr>
        <w:t>2022, New York</w:t>
      </w:r>
      <w:r>
        <w:rPr>
          <w:color w:val="000000"/>
        </w:rPr>
        <w:tab/>
      </w:r>
    </w:p>
    <w:p w14:paraId="2FE7EE92" w14:textId="565D9DB6" w:rsidR="00E934F5" w:rsidRPr="00E01BBE" w:rsidRDefault="00E934F5" w:rsidP="00E934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E01BBE">
        <w:rPr>
          <w:color w:val="000000"/>
        </w:rPr>
        <w:t>Item</w:t>
      </w:r>
      <w:r w:rsidR="005A4A7C">
        <w:rPr>
          <w:color w:val="000000"/>
        </w:rPr>
        <w:t xml:space="preserve"> 3</w:t>
      </w:r>
      <w:r w:rsidRPr="00E01BBE">
        <w:rPr>
          <w:color w:val="000000"/>
        </w:rPr>
        <w:t xml:space="preserve"> of the provisional agenda</w:t>
      </w:r>
    </w:p>
    <w:p w14:paraId="6FB827A9" w14:textId="77777777" w:rsidR="00E934F5" w:rsidRPr="00E01BBE" w:rsidRDefault="00E934F5" w:rsidP="00E934F5">
      <w:pPr>
        <w:ind w:right="1260"/>
        <w:rPr>
          <w:b/>
          <w:color w:val="000000"/>
        </w:rPr>
      </w:pPr>
      <w:r w:rsidRPr="00E01BBE">
        <w:rPr>
          <w:b/>
          <w:color w:val="000000"/>
        </w:rPr>
        <w:t>Country programmes and related matters</w:t>
      </w:r>
    </w:p>
    <w:p w14:paraId="06D66952" w14:textId="77777777" w:rsidR="00E934F5" w:rsidRPr="00E01BBE" w:rsidRDefault="00E934F5" w:rsidP="00E934F5">
      <w:pPr>
        <w:jc w:val="both"/>
        <w:rPr>
          <w:b/>
        </w:rPr>
      </w:pPr>
    </w:p>
    <w:p w14:paraId="6A932A0E" w14:textId="77777777" w:rsidR="00E934F5" w:rsidRPr="00E01BBE" w:rsidRDefault="00E934F5" w:rsidP="00E934F5">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2AC14EED" w14:textId="31785A05" w:rsidR="00E934F5" w:rsidRDefault="00E934F5" w:rsidP="00E934F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eastAsia="fr-FR"/>
        </w:rPr>
      </w:pPr>
      <w:r w:rsidRPr="00E01BBE">
        <w:rPr>
          <w:b/>
          <w:sz w:val="28"/>
          <w:szCs w:val="28"/>
        </w:rPr>
        <w:t xml:space="preserve">Draft country programme document for </w:t>
      </w:r>
      <w:r>
        <w:rPr>
          <w:b/>
          <w:sz w:val="28"/>
          <w:szCs w:val="28"/>
        </w:rPr>
        <w:t>the</w:t>
      </w:r>
      <w:r w:rsidR="009E5A07">
        <w:rPr>
          <w:b/>
          <w:sz w:val="28"/>
          <w:szCs w:val="28"/>
        </w:rPr>
        <w:t xml:space="preserve"> Kyrgyz</w:t>
      </w:r>
      <w:r>
        <w:rPr>
          <w:b/>
          <w:sz w:val="28"/>
          <w:szCs w:val="28"/>
        </w:rPr>
        <w:t xml:space="preserve"> Republic </w:t>
      </w:r>
      <w:r w:rsidRPr="00E01BBE">
        <w:rPr>
          <w:b/>
          <w:sz w:val="28"/>
          <w:szCs w:val="28"/>
        </w:rPr>
        <w:t>(202</w:t>
      </w:r>
      <w:r>
        <w:rPr>
          <w:b/>
          <w:sz w:val="28"/>
          <w:szCs w:val="28"/>
        </w:rPr>
        <w:t>3</w:t>
      </w:r>
      <w:r w:rsidRPr="00E01BBE">
        <w:rPr>
          <w:b/>
          <w:sz w:val="28"/>
          <w:szCs w:val="28"/>
        </w:rPr>
        <w:t>-202</w:t>
      </w:r>
      <w:r>
        <w:rPr>
          <w:b/>
          <w:sz w:val="28"/>
          <w:szCs w:val="28"/>
        </w:rPr>
        <w:t>7</w:t>
      </w:r>
      <w:r w:rsidRPr="00E01BBE">
        <w:rPr>
          <w:b/>
          <w:sz w:val="28"/>
          <w:szCs w:val="28"/>
        </w:rPr>
        <w:t>)</w:t>
      </w:r>
      <w:r w:rsidRPr="00E01BBE">
        <w:rPr>
          <w:b/>
          <w:sz w:val="28"/>
          <w:szCs w:val="28"/>
        </w:rPr>
        <w:br/>
      </w:r>
    </w:p>
    <w:p w14:paraId="54FDACE4" w14:textId="77777777" w:rsidR="00E934F5" w:rsidRPr="007C36D9" w:rsidRDefault="00E934F5" w:rsidP="00E934F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C36D9">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E934F5" w:rsidRPr="007C36D9" w14:paraId="1DCAB0F4" w14:textId="77777777" w:rsidTr="005C45C5">
        <w:tc>
          <w:tcPr>
            <w:tcW w:w="1260" w:type="dxa"/>
            <w:shd w:val="clear" w:color="auto" w:fill="auto"/>
          </w:tcPr>
          <w:p w14:paraId="22DE9C05" w14:textId="77777777" w:rsidR="00E934F5" w:rsidRPr="007C36D9" w:rsidRDefault="00E934F5" w:rsidP="005C45C5">
            <w:pPr>
              <w:tabs>
                <w:tab w:val="left" w:pos="1620"/>
              </w:tabs>
              <w:suppressAutoHyphens/>
              <w:spacing w:after="120"/>
              <w:jc w:val="right"/>
              <w:rPr>
                <w:i/>
                <w:color w:val="000000"/>
                <w:spacing w:val="4"/>
                <w:w w:val="103"/>
                <w:kern w:val="14"/>
                <w:sz w:val="14"/>
                <w:lang w:eastAsia="fr-FR"/>
              </w:rPr>
            </w:pPr>
            <w:r w:rsidRPr="007C36D9">
              <w:rPr>
                <w:i/>
                <w:color w:val="000000"/>
                <w:spacing w:val="4"/>
                <w:w w:val="103"/>
                <w:kern w:val="14"/>
                <w:sz w:val="14"/>
                <w:lang w:eastAsia="fr-FR"/>
              </w:rPr>
              <w:t>Chapter</w:t>
            </w:r>
          </w:p>
        </w:tc>
        <w:tc>
          <w:tcPr>
            <w:tcW w:w="8280" w:type="dxa"/>
            <w:gridSpan w:val="2"/>
            <w:shd w:val="clear" w:color="auto" w:fill="auto"/>
          </w:tcPr>
          <w:p w14:paraId="51142297" w14:textId="77777777" w:rsidR="00E934F5" w:rsidRPr="007C36D9" w:rsidRDefault="00E934F5" w:rsidP="005C45C5">
            <w:pPr>
              <w:tabs>
                <w:tab w:val="left" w:pos="1620"/>
              </w:tabs>
              <w:suppressAutoHyphens/>
              <w:spacing w:after="120"/>
              <w:rPr>
                <w:i/>
                <w:color w:val="000000"/>
                <w:spacing w:val="4"/>
                <w:w w:val="103"/>
                <w:kern w:val="14"/>
                <w:sz w:val="14"/>
                <w:lang w:eastAsia="fr-FR"/>
              </w:rPr>
            </w:pPr>
          </w:p>
        </w:tc>
        <w:tc>
          <w:tcPr>
            <w:tcW w:w="362" w:type="dxa"/>
            <w:shd w:val="clear" w:color="auto" w:fill="auto"/>
          </w:tcPr>
          <w:p w14:paraId="0C7FCC3B" w14:textId="77777777" w:rsidR="00E934F5" w:rsidRPr="007C36D9" w:rsidRDefault="00E934F5" w:rsidP="005C45C5">
            <w:pPr>
              <w:tabs>
                <w:tab w:val="left" w:pos="1620"/>
              </w:tabs>
              <w:suppressAutoHyphens/>
              <w:spacing w:after="120"/>
              <w:jc w:val="right"/>
              <w:rPr>
                <w:i/>
                <w:color w:val="000000"/>
                <w:spacing w:val="4"/>
                <w:w w:val="103"/>
                <w:kern w:val="14"/>
                <w:sz w:val="14"/>
                <w:lang w:eastAsia="fr-FR"/>
              </w:rPr>
            </w:pPr>
            <w:r w:rsidRPr="007C36D9">
              <w:rPr>
                <w:i/>
                <w:iCs/>
                <w:color w:val="000000"/>
                <w:kern w:val="14"/>
                <w:sz w:val="14"/>
                <w:lang w:eastAsia="fr-FR"/>
              </w:rPr>
              <w:t>Page</w:t>
            </w:r>
          </w:p>
        </w:tc>
      </w:tr>
      <w:tr w:rsidR="00E934F5" w:rsidRPr="007C36D9" w14:paraId="1DBF0D5E" w14:textId="77777777" w:rsidTr="005C45C5">
        <w:tc>
          <w:tcPr>
            <w:tcW w:w="9540" w:type="dxa"/>
            <w:gridSpan w:val="3"/>
            <w:shd w:val="clear" w:color="auto" w:fill="auto"/>
          </w:tcPr>
          <w:p w14:paraId="03F338FE" w14:textId="77777777" w:rsidR="00E934F5" w:rsidRPr="007C36D9" w:rsidRDefault="00E934F5" w:rsidP="00E934F5">
            <w:pPr>
              <w:numPr>
                <w:ilvl w:val="0"/>
                <w:numId w:val="5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UNDP </w:t>
            </w:r>
            <w:bookmarkStart w:id="0" w:name="_Hlk103617924"/>
            <w:r w:rsidRPr="007C36D9">
              <w:rPr>
                <w:color w:val="000000"/>
                <w:kern w:val="14"/>
                <w:lang w:eastAsia="fr-FR"/>
              </w:rPr>
              <w:t>within the United Nations Sustainable Development Cooperation Framework</w:t>
            </w:r>
            <w:bookmarkEnd w:id="0"/>
            <w:r w:rsidRPr="007C36D9">
              <w:rPr>
                <w:color w:val="000000"/>
                <w:sz w:val="24"/>
                <w:szCs w:val="24"/>
                <w:lang w:eastAsia="fr-FR"/>
              </w:rPr>
              <w:tab/>
            </w:r>
          </w:p>
        </w:tc>
        <w:tc>
          <w:tcPr>
            <w:tcW w:w="362" w:type="dxa"/>
            <w:vMerge w:val="restart"/>
            <w:shd w:val="clear" w:color="auto" w:fill="auto"/>
            <w:vAlign w:val="bottom"/>
          </w:tcPr>
          <w:p w14:paraId="24DE0C2B" w14:textId="77777777" w:rsidR="00E934F5" w:rsidRPr="007C36D9" w:rsidRDefault="00E934F5" w:rsidP="005C45C5">
            <w:pPr>
              <w:tabs>
                <w:tab w:val="left" w:pos="1620"/>
              </w:tabs>
              <w:suppressAutoHyphens/>
              <w:spacing w:after="120" w:line="240" w:lineRule="exact"/>
              <w:jc w:val="right"/>
              <w:rPr>
                <w:color w:val="000000"/>
                <w:spacing w:val="4"/>
                <w:w w:val="103"/>
                <w:kern w:val="14"/>
                <w:lang w:eastAsia="fr-FR"/>
              </w:rPr>
            </w:pPr>
            <w:r w:rsidRPr="007C36D9">
              <w:rPr>
                <w:color w:val="000000"/>
                <w:kern w:val="14"/>
                <w:lang w:eastAsia="fr-FR"/>
              </w:rPr>
              <w:t>2</w:t>
            </w:r>
          </w:p>
          <w:p w14:paraId="75858152" w14:textId="77777777" w:rsidR="00E934F5" w:rsidRPr="007C36D9" w:rsidRDefault="00E934F5" w:rsidP="005C45C5">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4</w:t>
            </w:r>
          </w:p>
        </w:tc>
      </w:tr>
      <w:tr w:rsidR="00E934F5" w:rsidRPr="007C36D9" w14:paraId="530CB31B" w14:textId="77777777" w:rsidTr="005C45C5">
        <w:tc>
          <w:tcPr>
            <w:tcW w:w="9540" w:type="dxa"/>
            <w:gridSpan w:val="3"/>
            <w:shd w:val="clear" w:color="auto" w:fill="auto"/>
          </w:tcPr>
          <w:p w14:paraId="45709C40" w14:textId="77777777" w:rsidR="00E934F5" w:rsidRPr="007C36D9" w:rsidRDefault="00E934F5" w:rsidP="00E934F5">
            <w:pPr>
              <w:numPr>
                <w:ilvl w:val="0"/>
                <w:numId w:val="5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Programme priorities and partnerships</w:t>
            </w:r>
            <w:r w:rsidRPr="007C36D9">
              <w:rPr>
                <w:color w:val="000000"/>
                <w:lang w:eastAsia="fr-FR"/>
              </w:rPr>
              <w:t>………………………………………………….</w:t>
            </w:r>
            <w:r w:rsidRPr="007C36D9">
              <w:rPr>
                <w:color w:val="000000"/>
                <w:lang w:eastAsia="fr-FR"/>
              </w:rPr>
              <w:tab/>
              <w:t>……….…</w:t>
            </w:r>
          </w:p>
        </w:tc>
        <w:tc>
          <w:tcPr>
            <w:tcW w:w="362" w:type="dxa"/>
            <w:vMerge/>
            <w:shd w:val="clear" w:color="auto" w:fill="auto"/>
            <w:vAlign w:val="bottom"/>
          </w:tcPr>
          <w:p w14:paraId="0C271992" w14:textId="77777777" w:rsidR="00E934F5" w:rsidRPr="007C36D9" w:rsidRDefault="00E934F5" w:rsidP="005C45C5">
            <w:pPr>
              <w:tabs>
                <w:tab w:val="left" w:pos="1620"/>
              </w:tabs>
              <w:suppressAutoHyphens/>
              <w:spacing w:after="120" w:line="240" w:lineRule="exact"/>
              <w:jc w:val="right"/>
              <w:rPr>
                <w:color w:val="000000"/>
                <w:spacing w:val="4"/>
                <w:w w:val="103"/>
                <w:kern w:val="14"/>
                <w:lang w:eastAsia="fr-FR"/>
              </w:rPr>
            </w:pPr>
          </w:p>
        </w:tc>
      </w:tr>
      <w:tr w:rsidR="00E934F5" w:rsidRPr="007C36D9" w14:paraId="28CA7EB2" w14:textId="77777777" w:rsidTr="005C45C5">
        <w:tc>
          <w:tcPr>
            <w:tcW w:w="9540" w:type="dxa"/>
            <w:gridSpan w:val="3"/>
            <w:shd w:val="clear" w:color="auto" w:fill="auto"/>
          </w:tcPr>
          <w:p w14:paraId="293FEE13" w14:textId="77777777" w:rsidR="00E934F5" w:rsidRPr="007C36D9" w:rsidRDefault="00E934F5" w:rsidP="00E934F5">
            <w:pPr>
              <w:numPr>
                <w:ilvl w:val="0"/>
                <w:numId w:val="5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Programme and risk management </w:t>
            </w:r>
            <w:r w:rsidRPr="007C36D9">
              <w:rPr>
                <w:color w:val="000000"/>
                <w:lang w:eastAsia="fr-FR"/>
              </w:rPr>
              <w:t>……………………………………………….…………………</w:t>
            </w:r>
          </w:p>
        </w:tc>
        <w:tc>
          <w:tcPr>
            <w:tcW w:w="362" w:type="dxa"/>
            <w:vMerge w:val="restart"/>
            <w:shd w:val="clear" w:color="auto" w:fill="auto"/>
            <w:vAlign w:val="bottom"/>
          </w:tcPr>
          <w:p w14:paraId="149D0B86" w14:textId="77777777" w:rsidR="00E934F5" w:rsidRPr="007C36D9" w:rsidRDefault="00E934F5" w:rsidP="005C45C5">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p w14:paraId="67CFC521" w14:textId="17AD2F13" w:rsidR="00E934F5" w:rsidRPr="007C36D9" w:rsidRDefault="004761DE" w:rsidP="005C45C5">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9</w:t>
            </w:r>
          </w:p>
        </w:tc>
      </w:tr>
      <w:tr w:rsidR="00E934F5" w:rsidRPr="007C36D9" w14:paraId="00204778" w14:textId="77777777" w:rsidTr="005C45C5">
        <w:tc>
          <w:tcPr>
            <w:tcW w:w="9540" w:type="dxa"/>
            <w:gridSpan w:val="3"/>
            <w:shd w:val="clear" w:color="auto" w:fill="auto"/>
          </w:tcPr>
          <w:p w14:paraId="7B6B483B" w14:textId="77777777" w:rsidR="00E934F5" w:rsidRPr="007C36D9" w:rsidRDefault="00E934F5" w:rsidP="00E934F5">
            <w:pPr>
              <w:numPr>
                <w:ilvl w:val="0"/>
                <w:numId w:val="5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C36D9">
              <w:rPr>
                <w:color w:val="000000"/>
                <w:kern w:val="14"/>
                <w:lang w:eastAsia="fr-FR"/>
              </w:rPr>
              <w:tab/>
              <w:t>Monitoring and evaluation</w:t>
            </w:r>
            <w:r w:rsidRPr="007C36D9">
              <w:rPr>
                <w:color w:val="000000"/>
                <w:sz w:val="24"/>
                <w:szCs w:val="24"/>
                <w:lang w:eastAsia="fr-FR"/>
              </w:rPr>
              <w:tab/>
            </w:r>
            <w:r w:rsidRPr="007C36D9">
              <w:rPr>
                <w:color w:val="000000"/>
                <w:lang w:eastAsia="fr-FR"/>
              </w:rPr>
              <w:t>…………………………………………………….……………………</w:t>
            </w:r>
          </w:p>
        </w:tc>
        <w:tc>
          <w:tcPr>
            <w:tcW w:w="362" w:type="dxa"/>
            <w:vMerge/>
            <w:shd w:val="clear" w:color="auto" w:fill="auto"/>
            <w:vAlign w:val="bottom"/>
          </w:tcPr>
          <w:p w14:paraId="5DBEE9E8" w14:textId="77777777" w:rsidR="00E934F5" w:rsidRPr="007C36D9" w:rsidRDefault="00E934F5" w:rsidP="005C45C5">
            <w:pPr>
              <w:tabs>
                <w:tab w:val="left" w:pos="1620"/>
              </w:tabs>
              <w:suppressAutoHyphens/>
              <w:spacing w:after="120" w:line="240" w:lineRule="exact"/>
              <w:jc w:val="right"/>
              <w:rPr>
                <w:color w:val="000000"/>
                <w:spacing w:val="4"/>
                <w:w w:val="103"/>
                <w:kern w:val="14"/>
                <w:lang w:eastAsia="fr-FR"/>
              </w:rPr>
            </w:pPr>
          </w:p>
        </w:tc>
      </w:tr>
      <w:tr w:rsidR="00E934F5" w:rsidRPr="007C36D9" w14:paraId="1115FD6E" w14:textId="77777777" w:rsidTr="005C45C5">
        <w:tc>
          <w:tcPr>
            <w:tcW w:w="9369" w:type="dxa"/>
            <w:gridSpan w:val="2"/>
            <w:shd w:val="clear" w:color="auto" w:fill="auto"/>
          </w:tcPr>
          <w:p w14:paraId="7162866E" w14:textId="77777777" w:rsidR="00E934F5" w:rsidRPr="007C36D9" w:rsidRDefault="00E934F5" w:rsidP="005C45C5">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C36D9">
              <w:rPr>
                <w:color w:val="000000"/>
                <w:kern w:val="14"/>
                <w:lang w:eastAsia="fr-FR"/>
              </w:rPr>
              <w:t>Annex</w:t>
            </w:r>
          </w:p>
        </w:tc>
        <w:tc>
          <w:tcPr>
            <w:tcW w:w="533" w:type="dxa"/>
            <w:gridSpan w:val="2"/>
            <w:shd w:val="clear" w:color="auto" w:fill="auto"/>
            <w:vAlign w:val="bottom"/>
          </w:tcPr>
          <w:p w14:paraId="6BCC20DF" w14:textId="77777777" w:rsidR="00E934F5" w:rsidRPr="007C36D9" w:rsidRDefault="00E934F5" w:rsidP="005C45C5">
            <w:pPr>
              <w:tabs>
                <w:tab w:val="left" w:pos="1620"/>
              </w:tabs>
              <w:suppressAutoHyphens/>
              <w:spacing w:after="120" w:line="240" w:lineRule="exact"/>
              <w:jc w:val="right"/>
              <w:rPr>
                <w:color w:val="000000"/>
                <w:spacing w:val="4"/>
                <w:w w:val="103"/>
                <w:kern w:val="14"/>
                <w:lang w:eastAsia="fr-FR"/>
              </w:rPr>
            </w:pPr>
          </w:p>
        </w:tc>
      </w:tr>
      <w:tr w:rsidR="00E934F5" w:rsidRPr="007C36D9" w14:paraId="46203042" w14:textId="77777777" w:rsidTr="005C45C5">
        <w:tc>
          <w:tcPr>
            <w:tcW w:w="9369" w:type="dxa"/>
            <w:gridSpan w:val="2"/>
            <w:shd w:val="clear" w:color="auto" w:fill="auto"/>
          </w:tcPr>
          <w:p w14:paraId="13A82687" w14:textId="2E0C30F2" w:rsidR="00E934F5" w:rsidRPr="007C36D9" w:rsidRDefault="00E934F5" w:rsidP="005C45C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eastAsia="fr-FR"/>
              </w:rPr>
            </w:pPr>
            <w:r w:rsidRPr="007C36D9">
              <w:rPr>
                <w:color w:val="000000"/>
                <w:kern w:val="14"/>
                <w:lang w:eastAsia="fr-FR"/>
              </w:rPr>
              <w:t xml:space="preserve">Results and resources framework for </w:t>
            </w:r>
            <w:r>
              <w:rPr>
                <w:color w:val="000000"/>
                <w:kern w:val="14"/>
                <w:lang w:eastAsia="fr-FR"/>
              </w:rPr>
              <w:t xml:space="preserve">the </w:t>
            </w:r>
            <w:r w:rsidR="006D6B55">
              <w:rPr>
                <w:color w:val="000000"/>
                <w:kern w:val="14"/>
                <w:lang w:eastAsia="fr-FR"/>
              </w:rPr>
              <w:t xml:space="preserve">Kyrgyz </w:t>
            </w:r>
            <w:r>
              <w:rPr>
                <w:color w:val="000000"/>
                <w:kern w:val="14"/>
                <w:lang w:eastAsia="fr-FR"/>
              </w:rPr>
              <w:t xml:space="preserve">Republic </w:t>
            </w:r>
            <w:r w:rsidRPr="007C36D9">
              <w:rPr>
                <w:color w:val="000000"/>
                <w:kern w:val="14"/>
                <w:lang w:eastAsia="fr-FR"/>
              </w:rPr>
              <w:t>(202</w:t>
            </w:r>
            <w:r>
              <w:rPr>
                <w:color w:val="000000"/>
                <w:kern w:val="14"/>
                <w:lang w:eastAsia="fr-FR"/>
              </w:rPr>
              <w:t>3</w:t>
            </w:r>
            <w:r w:rsidRPr="007C36D9">
              <w:rPr>
                <w:color w:val="000000"/>
                <w:kern w:val="14"/>
                <w:lang w:eastAsia="fr-FR"/>
              </w:rPr>
              <w:t>-2027)</w:t>
            </w:r>
            <w:r w:rsidRPr="007C36D9">
              <w:rPr>
                <w:color w:val="000000"/>
                <w:sz w:val="24"/>
                <w:szCs w:val="24"/>
                <w:lang w:eastAsia="fr-FR"/>
              </w:rPr>
              <w:tab/>
            </w:r>
          </w:p>
        </w:tc>
        <w:tc>
          <w:tcPr>
            <w:tcW w:w="533" w:type="dxa"/>
            <w:gridSpan w:val="2"/>
            <w:shd w:val="clear" w:color="auto" w:fill="auto"/>
            <w:vAlign w:val="bottom"/>
          </w:tcPr>
          <w:p w14:paraId="34DABA0C" w14:textId="77777777" w:rsidR="00E934F5" w:rsidRPr="007C36D9" w:rsidRDefault="00E934F5" w:rsidP="005C45C5">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10</w:t>
            </w:r>
          </w:p>
        </w:tc>
      </w:tr>
    </w:tbl>
    <w:p w14:paraId="5BE81BE8" w14:textId="77777777" w:rsidR="00E934F5" w:rsidRPr="000E4C4E" w:rsidRDefault="00E934F5" w:rsidP="00E934F5">
      <w:pPr>
        <w:rPr>
          <w:b/>
        </w:rPr>
        <w:sectPr w:rsidR="00E934F5" w:rsidRPr="000E4C4E" w:rsidSect="0068570D">
          <w:headerReference w:type="even" r:id="rId15"/>
          <w:headerReference w:type="default" r:id="rId16"/>
          <w:footerReference w:type="even" r:id="rId17"/>
          <w:footerReference w:type="default" r:id="rId18"/>
          <w:headerReference w:type="first" r:id="rId19"/>
          <w:footnotePr>
            <w:numRestart w:val="eachSect"/>
          </w:footnotePr>
          <w:endnotePr>
            <w:numFmt w:val="decimal"/>
            <w:numStart w:val="7"/>
          </w:endnotePr>
          <w:type w:val="continuous"/>
          <w:pgSz w:w="12240" w:h="15840" w:code="1"/>
          <w:pgMar w:top="1166" w:right="1195" w:bottom="1440" w:left="1195" w:header="578" w:footer="1032" w:gutter="0"/>
          <w:pgNumType w:start="1"/>
          <w:cols w:space="720"/>
          <w:titlePg/>
        </w:sectPr>
      </w:pPr>
    </w:p>
    <w:p w14:paraId="2440D3D7" w14:textId="73441855" w:rsidR="00A918A7" w:rsidRPr="003C26C1" w:rsidRDefault="00785474" w:rsidP="00802D92">
      <w:pPr>
        <w:pStyle w:val="Heading2"/>
        <w:numPr>
          <w:ilvl w:val="0"/>
          <w:numId w:val="55"/>
        </w:numPr>
        <w:ind w:left="1260" w:right="1267" w:hanging="270"/>
        <w:jc w:val="both"/>
        <w:rPr>
          <w:rFonts w:ascii="Times New Roman" w:hAnsi="Times New Roman"/>
          <w:bCs/>
          <w:color w:val="000000"/>
          <w:sz w:val="24"/>
          <w:szCs w:val="24"/>
        </w:rPr>
      </w:pPr>
      <w:r w:rsidRPr="003C26C1">
        <w:br w:type="page"/>
      </w:r>
      <w:r w:rsidR="00802D92">
        <w:rPr>
          <w:rFonts w:ascii="Times New Roman" w:hAnsi="Times New Roman"/>
          <w:bCs/>
          <w:color w:val="000000"/>
          <w:sz w:val="24"/>
          <w:szCs w:val="24"/>
        </w:rPr>
        <w:lastRenderedPageBreak/>
        <w:t xml:space="preserve">UNDP </w:t>
      </w:r>
      <w:r w:rsidR="00802D92" w:rsidRPr="00802D92">
        <w:rPr>
          <w:rFonts w:ascii="Times New Roman" w:hAnsi="Times New Roman"/>
          <w:bCs/>
          <w:color w:val="000000"/>
          <w:sz w:val="24"/>
          <w:szCs w:val="24"/>
        </w:rPr>
        <w:t>within the United Nations Sustainable Development Cooperation Framework</w:t>
      </w:r>
    </w:p>
    <w:p w14:paraId="7910FD0C" w14:textId="77777777" w:rsidR="007026CB" w:rsidRDefault="007026CB" w:rsidP="007026CB">
      <w:pPr>
        <w:ind w:left="1260" w:right="1210"/>
        <w:jc w:val="both"/>
      </w:pPr>
    </w:p>
    <w:p w14:paraId="6548C3DF" w14:textId="5278745C" w:rsidR="006E1E95" w:rsidRPr="006752ED" w:rsidRDefault="00A84659" w:rsidP="00236595">
      <w:pPr>
        <w:pStyle w:val="ListParagraph"/>
        <w:numPr>
          <w:ilvl w:val="0"/>
          <w:numId w:val="47"/>
        </w:numPr>
        <w:ind w:left="1267" w:right="1123" w:hanging="7"/>
        <w:contextualSpacing/>
        <w:jc w:val="both"/>
        <w:rPr>
          <w:rFonts w:eastAsiaTheme="minorEastAsia"/>
          <w:color w:val="222222"/>
          <w:sz w:val="21"/>
          <w:szCs w:val="21"/>
        </w:rPr>
      </w:pPr>
      <w:r w:rsidRPr="003B2D3F">
        <w:t>The Kyrgyz Republic is a</w:t>
      </w:r>
      <w:r w:rsidR="00331B0F">
        <w:t xml:space="preserve"> mountainous</w:t>
      </w:r>
      <w:r w:rsidRPr="003B2D3F">
        <w:t xml:space="preserve"> lower-middle-income country</w:t>
      </w:r>
      <w:r w:rsidR="00AC2BA3">
        <w:t xml:space="preserve"> </w:t>
      </w:r>
      <w:r w:rsidR="007E4BD4">
        <w:t xml:space="preserve">that aspires </w:t>
      </w:r>
      <w:r w:rsidR="00AC2BA3">
        <w:t xml:space="preserve">to </w:t>
      </w:r>
      <w:r w:rsidR="00BF4D73">
        <w:t xml:space="preserve">accelerate socioeconomic development for </w:t>
      </w:r>
      <w:r w:rsidR="003038DC">
        <w:t xml:space="preserve">higher levels of human development and wellbeing </w:t>
      </w:r>
      <w:r w:rsidR="00C06227">
        <w:t>of</w:t>
      </w:r>
      <w:r w:rsidR="00BF4D73">
        <w:t xml:space="preserve"> citizens, economic prosperity by 2040</w:t>
      </w:r>
      <w:r w:rsidR="007E4BD4">
        <w:t>,</w:t>
      </w:r>
      <w:r w:rsidR="00BF4D73">
        <w:t xml:space="preserve"> and net zero climate neutrality by 2050.</w:t>
      </w:r>
      <w:r w:rsidRPr="003B2D3F">
        <w:t xml:space="preserve"> </w:t>
      </w:r>
      <w:r w:rsidR="00AC2BA3">
        <w:t xml:space="preserve">Due to </w:t>
      </w:r>
      <w:r w:rsidR="007E4BD4">
        <w:t xml:space="preserve">it being </w:t>
      </w:r>
      <w:r w:rsidR="00AC2BA3">
        <w:t>landlocked, small</w:t>
      </w:r>
      <w:r w:rsidR="007E4BD4">
        <w:t xml:space="preserve"> in</w:t>
      </w:r>
      <w:r w:rsidR="00AC2BA3">
        <w:t xml:space="preserve"> size,</w:t>
      </w:r>
      <w:r w:rsidR="007E4BD4">
        <w:t xml:space="preserve"> and with</w:t>
      </w:r>
      <w:r w:rsidR="00AC2BA3">
        <w:t xml:space="preserve"> low level</w:t>
      </w:r>
      <w:r w:rsidR="007E4BD4">
        <w:t>s of</w:t>
      </w:r>
      <w:r w:rsidR="00AC2BA3">
        <w:t xml:space="preserve"> industrialization </w:t>
      </w:r>
      <w:r w:rsidR="00CD4F91">
        <w:t xml:space="preserve">and trade dependency, </w:t>
      </w:r>
      <w:r w:rsidR="00AC2BA3">
        <w:t xml:space="preserve">the country is </w:t>
      </w:r>
      <w:r w:rsidRPr="003B2D3F">
        <w:t>vulnerable to external shocks</w:t>
      </w:r>
      <w:r w:rsidR="00331B0F">
        <w:t>. Th</w:t>
      </w:r>
      <w:r w:rsidR="00AC2BA3">
        <w:t xml:space="preserve">e combined impact </w:t>
      </w:r>
      <w:r w:rsidR="00727ECE">
        <w:t xml:space="preserve">of </w:t>
      </w:r>
      <w:r w:rsidR="00727ECE" w:rsidRPr="00253FAE">
        <w:t>coronavirus</w:t>
      </w:r>
      <w:r w:rsidR="00253FAE">
        <w:t xml:space="preserve"> disease</w:t>
      </w:r>
      <w:r w:rsidR="006D5A4C">
        <w:t xml:space="preserve"> </w:t>
      </w:r>
      <w:r w:rsidR="00253FAE">
        <w:t>(</w:t>
      </w:r>
      <w:r w:rsidR="00AC2BA3">
        <w:t>COVID-19</w:t>
      </w:r>
      <w:r w:rsidR="00253FAE">
        <w:t>)</w:t>
      </w:r>
      <w:r w:rsidR="00AC2BA3">
        <w:t xml:space="preserve"> pandemic, international economic decline, domestic instability, and regional</w:t>
      </w:r>
      <w:r w:rsidR="003038DC">
        <w:t xml:space="preserve"> </w:t>
      </w:r>
      <w:r w:rsidR="00AC2BA3">
        <w:t xml:space="preserve">conflict have </w:t>
      </w:r>
      <w:r w:rsidR="006E1E95">
        <w:t xml:space="preserve">taken </w:t>
      </w:r>
      <w:r w:rsidR="00331B0F">
        <w:t>a</w:t>
      </w:r>
      <w:r w:rsidR="006E1E95">
        <w:t xml:space="preserve"> toll</w:t>
      </w:r>
      <w:r w:rsidR="00AC2BA3">
        <w:t xml:space="preserve"> on </w:t>
      </w:r>
      <w:r w:rsidR="007E4BD4">
        <w:t xml:space="preserve">the </w:t>
      </w:r>
      <w:r w:rsidR="00C06227">
        <w:t>resilience</w:t>
      </w:r>
      <w:r w:rsidR="007E4BD4">
        <w:t xml:space="preserve"> of people</w:t>
      </w:r>
      <w:r w:rsidR="00C06227">
        <w:t xml:space="preserve"> in recent years</w:t>
      </w:r>
      <w:r w:rsidRPr="003B2D3F">
        <w:t xml:space="preserve">. </w:t>
      </w:r>
      <w:r w:rsidR="007E4BD4">
        <w:t>A</w:t>
      </w:r>
      <w:r w:rsidR="00E06267">
        <w:t xml:space="preserve">n estimated </w:t>
      </w:r>
      <w:r w:rsidR="00BF4D73">
        <w:t>one-quarter of the population live below the poverty line</w:t>
      </w:r>
      <w:r w:rsidR="007E4BD4">
        <w:t xml:space="preserve"> and</w:t>
      </w:r>
      <w:r w:rsidR="00BF4D73">
        <w:t xml:space="preserve"> </w:t>
      </w:r>
      <w:r w:rsidR="00AC2BA3">
        <w:t xml:space="preserve">estimates suggest that a majority of the population </w:t>
      </w:r>
      <w:r w:rsidR="00331B0F">
        <w:t>are</w:t>
      </w:r>
      <w:r w:rsidR="00AC2BA3">
        <w:t xml:space="preserve"> </w:t>
      </w:r>
      <w:r w:rsidR="00BF4D73">
        <w:t>vulnerable to income poverty</w:t>
      </w:r>
      <w:r w:rsidR="006E1E95">
        <w:t xml:space="preserve">, with significant disparities in </w:t>
      </w:r>
      <w:r w:rsidR="007E4BD4">
        <w:t xml:space="preserve">regional </w:t>
      </w:r>
      <w:r w:rsidR="006E1E95">
        <w:t>i</w:t>
      </w:r>
      <w:r w:rsidR="006E1E95" w:rsidRPr="003B2D3F">
        <w:t>nequality</w:t>
      </w:r>
      <w:r w:rsidR="007E4BD4">
        <w:t xml:space="preserve"> </w:t>
      </w:r>
      <w:r w:rsidR="006E1E95" w:rsidRPr="003B2D3F">
        <w:t>and between urban-rural</w:t>
      </w:r>
      <w:r w:rsidR="006E1E95">
        <w:t xml:space="preserve"> areas.</w:t>
      </w:r>
      <w:r w:rsidR="006E1E95">
        <w:rPr>
          <w:rStyle w:val="FootnoteReference"/>
        </w:rPr>
        <w:footnoteReference w:id="1"/>
      </w:r>
      <w:r w:rsidR="00E72B1E">
        <w:t xml:space="preserve"> </w:t>
      </w:r>
      <w:r w:rsidR="007E4BD4">
        <w:t>A w</w:t>
      </w:r>
      <w:r w:rsidR="00756853">
        <w:t>eak</w:t>
      </w:r>
      <w:r w:rsidR="00C06227">
        <w:t xml:space="preserve"> domestic</w:t>
      </w:r>
      <w:r w:rsidR="00756853">
        <w:t xml:space="preserve"> private sector and limited investment</w:t>
      </w:r>
      <w:r w:rsidR="007E4BD4">
        <w:t>s mean</w:t>
      </w:r>
      <w:r w:rsidR="00756853">
        <w:t xml:space="preserve"> labor</w:t>
      </w:r>
      <w:r w:rsidR="00331B0F">
        <w:t xml:space="preserve"> markets </w:t>
      </w:r>
      <w:r w:rsidR="0069141B">
        <w:t>cannot</w:t>
      </w:r>
      <w:r w:rsidR="00331B0F">
        <w:t xml:space="preserve"> absorb a rapidly growing young population and</w:t>
      </w:r>
      <w:r w:rsidR="007E4BD4">
        <w:t xml:space="preserve"> the</w:t>
      </w:r>
      <w:r w:rsidR="00331B0F">
        <w:t xml:space="preserve"> </w:t>
      </w:r>
      <w:r w:rsidR="0050439B">
        <w:t>1.1</w:t>
      </w:r>
      <w:r w:rsidR="00E06267">
        <w:t xml:space="preserve"> million </w:t>
      </w:r>
      <w:r w:rsidR="00E72B1E">
        <w:t>Kyrgyzstanis</w:t>
      </w:r>
      <w:r w:rsidR="00E06267">
        <w:t>, 59</w:t>
      </w:r>
      <w:r w:rsidR="00640F01">
        <w:t xml:space="preserve"> per cent</w:t>
      </w:r>
      <w:r w:rsidR="007E4BD4">
        <w:t xml:space="preserve"> of which are</w:t>
      </w:r>
      <w:r w:rsidR="00640F01">
        <w:t xml:space="preserve"> </w:t>
      </w:r>
      <w:r w:rsidR="00E06267">
        <w:t>women,</w:t>
      </w:r>
      <w:r w:rsidR="00E72B1E">
        <w:t xml:space="preserve"> </w:t>
      </w:r>
      <w:r w:rsidR="007E4BD4">
        <w:t xml:space="preserve">who </w:t>
      </w:r>
      <w:r w:rsidR="00E72B1E">
        <w:t>migrate for work</w:t>
      </w:r>
      <w:r w:rsidR="00331B0F">
        <w:t>. Labo</w:t>
      </w:r>
      <w:r w:rsidR="007E4BD4">
        <w:t>u</w:t>
      </w:r>
      <w:r w:rsidR="00331B0F">
        <w:t>r remittances make up</w:t>
      </w:r>
      <w:r w:rsidR="00E06267">
        <w:t xml:space="preserve"> 31</w:t>
      </w:r>
      <w:r w:rsidR="00331B0F">
        <w:t xml:space="preserve"> per cent of </w:t>
      </w:r>
      <w:r w:rsidR="007E4BD4">
        <w:t xml:space="preserve">the country’s </w:t>
      </w:r>
      <w:r w:rsidR="00DF49D2">
        <w:t>gross domestic product (</w:t>
      </w:r>
      <w:r w:rsidR="00331B0F">
        <w:t>GDP</w:t>
      </w:r>
      <w:r w:rsidR="00DF49D2">
        <w:t>)</w:t>
      </w:r>
      <w:r w:rsidR="00331B0F">
        <w:t xml:space="preserve"> and are </w:t>
      </w:r>
      <w:r w:rsidR="00C06227">
        <w:t>largely</w:t>
      </w:r>
      <w:r w:rsidR="00331B0F" w:rsidRPr="003B2D3F">
        <w:t xml:space="preserve"> channeled into consumption</w:t>
      </w:r>
      <w:r w:rsidR="00331B0F">
        <w:t>.</w:t>
      </w:r>
      <w:r w:rsidR="00331B0F" w:rsidRPr="003B2D3F">
        <w:rPr>
          <w:rStyle w:val="FootnoteReference"/>
        </w:rPr>
        <w:footnoteReference w:id="2"/>
      </w:r>
      <w:r w:rsidR="00772A20">
        <w:t xml:space="preserve"> </w:t>
      </w:r>
    </w:p>
    <w:p w14:paraId="4CB59E25" w14:textId="77777777" w:rsidR="00236595" w:rsidRPr="00236595" w:rsidRDefault="00236595" w:rsidP="00236595">
      <w:pPr>
        <w:pStyle w:val="ListParagraph"/>
        <w:ind w:left="1260" w:right="1123"/>
        <w:contextualSpacing/>
        <w:jc w:val="both"/>
        <w:rPr>
          <w:sz w:val="12"/>
          <w:szCs w:val="12"/>
        </w:rPr>
      </w:pPr>
    </w:p>
    <w:p w14:paraId="0759FF8C" w14:textId="405E18E1" w:rsidR="00236595" w:rsidRDefault="00331B0F" w:rsidP="00236595">
      <w:pPr>
        <w:pStyle w:val="ListParagraph"/>
        <w:numPr>
          <w:ilvl w:val="0"/>
          <w:numId w:val="47"/>
        </w:numPr>
        <w:ind w:left="1260" w:right="1123" w:firstLine="0"/>
        <w:contextualSpacing/>
        <w:jc w:val="both"/>
      </w:pPr>
      <w:r>
        <w:t>Vulnerability</w:t>
      </w:r>
      <w:r w:rsidR="00E72B1E" w:rsidRPr="003B2D3F">
        <w:t xml:space="preserve"> to climate change risks</w:t>
      </w:r>
      <w:r>
        <w:t xml:space="preserve"> </w:t>
      </w:r>
      <w:r w:rsidR="007E4BD4">
        <w:t xml:space="preserve">are </w:t>
      </w:r>
      <w:r>
        <w:t xml:space="preserve">high </w:t>
      </w:r>
      <w:r w:rsidR="00051E74">
        <w:t>with</w:t>
      </w:r>
      <w:r>
        <w:t xml:space="preserve"> c</w:t>
      </w:r>
      <w:r w:rsidR="00E72B1E" w:rsidRPr="003B2D3F">
        <w:t>limate-related disasters affect</w:t>
      </w:r>
      <w:r w:rsidR="00051E74">
        <w:t>ing</w:t>
      </w:r>
      <w:r w:rsidR="00E72B1E" w:rsidRPr="003B2D3F">
        <w:t xml:space="preserve"> agricultural production, food security, water management</w:t>
      </w:r>
      <w:r w:rsidR="007E4BD4">
        <w:t>,</w:t>
      </w:r>
      <w:r w:rsidR="00E72B1E" w:rsidRPr="003B2D3F">
        <w:t xml:space="preserve"> and health</w:t>
      </w:r>
      <w:r w:rsidR="007E4BD4">
        <w:t>,</w:t>
      </w:r>
      <w:r w:rsidR="00E72B1E" w:rsidRPr="003B2D3F">
        <w:rPr>
          <w:rStyle w:val="FootnoteReference"/>
        </w:rPr>
        <w:footnoteReference w:id="3"/>
      </w:r>
      <w:r w:rsidR="00E72B1E" w:rsidRPr="003B2D3F">
        <w:t xml:space="preserve"> </w:t>
      </w:r>
      <w:r w:rsidR="00051E74">
        <w:t>and</w:t>
      </w:r>
      <w:r w:rsidR="00E72B1E" w:rsidRPr="003B2D3F">
        <w:t xml:space="preserve"> disproportionate</w:t>
      </w:r>
      <w:r w:rsidR="00051E74">
        <w:t>ly</w:t>
      </w:r>
      <w:r>
        <w:t xml:space="preserve"> </w:t>
      </w:r>
      <w:r w:rsidR="00051E74">
        <w:t>impacting</w:t>
      </w:r>
      <w:r w:rsidR="00E72B1E" w:rsidRPr="003B2D3F">
        <w:t xml:space="preserve"> women and rural populations. </w:t>
      </w:r>
      <w:r w:rsidR="008B389B">
        <w:t>While p</w:t>
      </w:r>
      <w:r w:rsidR="00C64C4B">
        <w:t xml:space="preserve">eople and the economy depend on </w:t>
      </w:r>
      <w:r>
        <w:t xml:space="preserve">water and </w:t>
      </w:r>
      <w:r w:rsidR="00C64C4B">
        <w:t xml:space="preserve">other </w:t>
      </w:r>
      <w:r>
        <w:t>natural resources</w:t>
      </w:r>
      <w:r w:rsidR="00C64C4B">
        <w:t xml:space="preserve"> for</w:t>
      </w:r>
      <w:r w:rsidR="008B389B">
        <w:t xml:space="preserve"> livelihoods</w:t>
      </w:r>
      <w:r w:rsidR="00C64C4B">
        <w:t xml:space="preserve"> and energy supply,</w:t>
      </w:r>
      <w:r w:rsidR="008B389B">
        <w:t xml:space="preserve"> </w:t>
      </w:r>
      <w:r w:rsidR="00E06267">
        <w:t>ageing</w:t>
      </w:r>
      <w:r w:rsidR="008B389B">
        <w:t xml:space="preserve"> </w:t>
      </w:r>
      <w:r w:rsidR="0069141B">
        <w:t>infrastructure</w:t>
      </w:r>
      <w:r w:rsidR="00E06267">
        <w:t>s</w:t>
      </w:r>
      <w:r w:rsidR="0069141B">
        <w:t xml:space="preserve"> and </w:t>
      </w:r>
      <w:r w:rsidR="00E06267">
        <w:t xml:space="preserve">weak </w:t>
      </w:r>
      <w:r w:rsidR="0069141B">
        <w:t>governance</w:t>
      </w:r>
      <w:r w:rsidR="008B389B">
        <w:t xml:space="preserve"> mechanisms hinder efficie</w:t>
      </w:r>
      <w:r w:rsidR="0069141B">
        <w:t>nc</w:t>
      </w:r>
      <w:r w:rsidR="007E4BD4">
        <w:t>y</w:t>
      </w:r>
      <w:r w:rsidR="0069141B">
        <w:t xml:space="preserve"> </w:t>
      </w:r>
      <w:r w:rsidR="007E4BD4">
        <w:t>of</w:t>
      </w:r>
      <w:r w:rsidR="008B389B">
        <w:t xml:space="preserve"> use. Th</w:t>
      </w:r>
      <w:r w:rsidR="00C64C4B">
        <w:t xml:space="preserve">e </w:t>
      </w:r>
      <w:r w:rsidR="00253FAE">
        <w:t xml:space="preserve">Government </w:t>
      </w:r>
      <w:r w:rsidR="007E4BD4">
        <w:t xml:space="preserve">faces </w:t>
      </w:r>
      <w:r w:rsidR="00C64C4B">
        <w:t>challenge</w:t>
      </w:r>
      <w:r w:rsidR="007E4BD4">
        <w:t>s</w:t>
      </w:r>
      <w:r w:rsidR="00C64C4B">
        <w:t xml:space="preserve"> </w:t>
      </w:r>
      <w:r w:rsidR="007E4BD4">
        <w:t xml:space="preserve">in </w:t>
      </w:r>
      <w:r w:rsidR="00C64C4B">
        <w:t>spark</w:t>
      </w:r>
      <w:r w:rsidR="007E4BD4">
        <w:t>ing</w:t>
      </w:r>
      <w:r w:rsidR="00C64C4B">
        <w:t xml:space="preserve"> a green transition towards a modernized, green economy based on resilient and renewable sources</w:t>
      </w:r>
      <w:r w:rsidR="00E06267">
        <w:t xml:space="preserve"> of energy</w:t>
      </w:r>
      <w:r w:rsidR="00C64C4B">
        <w:t xml:space="preserve">. </w:t>
      </w:r>
      <w:r w:rsidR="007E4BD4">
        <w:t>Stimulating</w:t>
      </w:r>
      <w:r w:rsidR="00C64C4B">
        <w:t xml:space="preserve"> a development agenda</w:t>
      </w:r>
      <w:r w:rsidR="008D4AFB">
        <w:t xml:space="preserve"> for the regions</w:t>
      </w:r>
      <w:r w:rsidR="00C64C4B">
        <w:t xml:space="preserve"> on a platform of climate change adaptation and ecosystem protection</w:t>
      </w:r>
      <w:r w:rsidR="00EA3569">
        <w:t>, with attention to the impact of glacial mel</w:t>
      </w:r>
      <w:r w:rsidR="00EA0E77">
        <w:t>t</w:t>
      </w:r>
      <w:r w:rsidR="00EA3569">
        <w:t>,</w:t>
      </w:r>
      <w:r w:rsidR="00C64C4B">
        <w:t xml:space="preserve"> will also be central for prevent</w:t>
      </w:r>
      <w:r w:rsidR="007E4BD4">
        <w:t>ing</w:t>
      </w:r>
      <w:r w:rsidR="00C64C4B">
        <w:t xml:space="preserve"> conflict and manag</w:t>
      </w:r>
      <w:r w:rsidR="007E4BD4">
        <w:t>ing</w:t>
      </w:r>
      <w:r w:rsidR="00C64C4B">
        <w:t xml:space="preserve"> environmental risks, including </w:t>
      </w:r>
      <w:r w:rsidR="00EA3569">
        <w:t>toxic</w:t>
      </w:r>
      <w:r w:rsidR="00EA3569" w:rsidRPr="003B2D3F">
        <w:t xml:space="preserve"> hazards</w:t>
      </w:r>
      <w:r w:rsidR="00C64C4B">
        <w:t xml:space="preserve"> </w:t>
      </w:r>
      <w:r w:rsidR="00EA3569">
        <w:t xml:space="preserve">such as </w:t>
      </w:r>
      <w:r w:rsidR="00C64C4B">
        <w:t>uranium tailings and mining waste.</w:t>
      </w:r>
    </w:p>
    <w:p w14:paraId="22AD62DF" w14:textId="77777777" w:rsidR="00236595" w:rsidRPr="00236595" w:rsidRDefault="00236595" w:rsidP="00236595">
      <w:pPr>
        <w:pStyle w:val="ListParagraph"/>
        <w:rPr>
          <w:sz w:val="12"/>
          <w:szCs w:val="12"/>
        </w:rPr>
      </w:pPr>
    </w:p>
    <w:p w14:paraId="7556B7E7" w14:textId="1596867C" w:rsidR="005160C8" w:rsidRPr="00236595" w:rsidRDefault="00EB64E6" w:rsidP="00236595">
      <w:pPr>
        <w:pStyle w:val="ListParagraph"/>
        <w:numPr>
          <w:ilvl w:val="0"/>
          <w:numId w:val="47"/>
        </w:numPr>
        <w:ind w:left="1260" w:right="1123" w:firstLine="0"/>
        <w:contextualSpacing/>
        <w:jc w:val="both"/>
      </w:pPr>
      <w:r>
        <w:t>C</w:t>
      </w:r>
      <w:r w:rsidR="008B389B" w:rsidRPr="00E174CE">
        <w:t>limate</w:t>
      </w:r>
      <w:r>
        <w:t xml:space="preserve">, </w:t>
      </w:r>
      <w:r w:rsidR="0069141B" w:rsidRPr="00E174CE">
        <w:t>environment</w:t>
      </w:r>
      <w:r>
        <w:t xml:space="preserve">, and </w:t>
      </w:r>
      <w:r w:rsidR="00634B9C">
        <w:t>other</w:t>
      </w:r>
      <w:r w:rsidR="00634B9C" w:rsidRPr="00E174CE">
        <w:t xml:space="preserve"> </w:t>
      </w:r>
      <w:r w:rsidR="008B389B" w:rsidRPr="00E174CE">
        <w:t xml:space="preserve">risks transcend national borders. </w:t>
      </w:r>
      <w:r w:rsidR="0060479D">
        <w:t>The southern</w:t>
      </w:r>
      <w:r w:rsidR="00415200">
        <w:t xml:space="preserve"> region of the</w:t>
      </w:r>
      <w:r w:rsidR="0035645F" w:rsidRPr="00E174CE">
        <w:t xml:space="preserve"> Kyrgyz</w:t>
      </w:r>
      <w:r w:rsidR="00247C59">
        <w:t xml:space="preserve"> Republic</w:t>
      </w:r>
      <w:r w:rsidR="006E1E95" w:rsidRPr="00E174CE">
        <w:t xml:space="preserve">, </w:t>
      </w:r>
      <w:r w:rsidR="0035645F" w:rsidRPr="00E174CE">
        <w:t xml:space="preserve">with </w:t>
      </w:r>
      <w:r w:rsidR="006E1E95" w:rsidRPr="00E174CE">
        <w:t xml:space="preserve">its </w:t>
      </w:r>
      <w:r w:rsidR="0035645F" w:rsidRPr="00E174CE">
        <w:t>ethnically diverse population</w:t>
      </w:r>
      <w:r w:rsidR="006E1E95" w:rsidRPr="00E174CE">
        <w:t>,</w:t>
      </w:r>
      <w:r w:rsidR="0035645F" w:rsidRPr="00E174CE">
        <w:t xml:space="preserve"> is part of the fragile Fergana Valley</w:t>
      </w:r>
      <w:r w:rsidR="007E4BD4">
        <w:t xml:space="preserve"> that has</w:t>
      </w:r>
      <w:r w:rsidR="0035645F" w:rsidRPr="00E174CE">
        <w:t xml:space="preserve"> limited socioeconomic opportunities</w:t>
      </w:r>
      <w:r w:rsidR="008B389B" w:rsidRPr="00E174CE">
        <w:t xml:space="preserve">, </w:t>
      </w:r>
      <w:r w:rsidR="007E4BD4">
        <w:t>weakened</w:t>
      </w:r>
      <w:r w:rsidR="007E4BD4" w:rsidRPr="00E174CE">
        <w:t xml:space="preserve"> </w:t>
      </w:r>
      <w:r w:rsidR="008B389B" w:rsidRPr="00E174CE">
        <w:t>public services,</w:t>
      </w:r>
      <w:r w:rsidR="0035645F" w:rsidRPr="00E174CE">
        <w:t xml:space="preserve"> and high levels of outward migration</w:t>
      </w:r>
      <w:r w:rsidR="006E1E95" w:rsidRPr="00E174CE">
        <w:t xml:space="preserve">. </w:t>
      </w:r>
      <w:r w:rsidR="0035645F" w:rsidRPr="00E174CE">
        <w:t xml:space="preserve">The region is vulnerable to </w:t>
      </w:r>
      <w:r w:rsidR="00634B9C">
        <w:t xml:space="preserve">poverty, </w:t>
      </w:r>
      <w:r w:rsidR="0035645F" w:rsidRPr="00E174CE">
        <w:t>crime</w:t>
      </w:r>
      <w:r w:rsidR="005160C8" w:rsidRPr="00E174CE">
        <w:t>, radicalization, and violent extremism</w:t>
      </w:r>
      <w:r w:rsidR="008B389B" w:rsidRPr="00E174CE">
        <w:t>,</w:t>
      </w:r>
      <w:r w:rsidR="006752ED">
        <w:t xml:space="preserve"> and</w:t>
      </w:r>
      <w:r w:rsidR="008B389B" w:rsidRPr="00E174CE">
        <w:t xml:space="preserve"> </w:t>
      </w:r>
      <w:r w:rsidR="006752ED">
        <w:t>its</w:t>
      </w:r>
      <w:r w:rsidR="008B389B" w:rsidRPr="00E174CE">
        <w:t xml:space="preserve"> socioeconomic parameters differ from the North</w:t>
      </w:r>
      <w:r w:rsidR="005160C8" w:rsidRPr="00E174CE">
        <w:t xml:space="preserve">. </w:t>
      </w:r>
      <w:r w:rsidR="0069141B" w:rsidRPr="00E174CE">
        <w:t xml:space="preserve">The region is in want of sustained investment and new development models for shared prosperity that can overcome </w:t>
      </w:r>
      <w:r w:rsidR="00EC1C8A">
        <w:t xml:space="preserve">or mitigate </w:t>
      </w:r>
      <w:r w:rsidR="0069141B" w:rsidRPr="00E174CE">
        <w:t>p</w:t>
      </w:r>
      <w:r w:rsidR="008B389B" w:rsidRPr="00E174CE">
        <w:t xml:space="preserve">opulation pressures, the complexity of </w:t>
      </w:r>
      <w:r w:rsidR="00463D3A" w:rsidRPr="00E174CE">
        <w:t>progressi</w:t>
      </w:r>
      <w:r w:rsidR="00396BDA">
        <w:t>ve</w:t>
      </w:r>
      <w:r w:rsidR="00463D3A" w:rsidRPr="00E174CE">
        <w:t xml:space="preserve"> </w:t>
      </w:r>
      <w:r w:rsidR="008B389B" w:rsidRPr="00E174CE">
        <w:t>border demarcation, mosaic-like settlements, and transboundary nature of infrastructures</w:t>
      </w:r>
      <w:r w:rsidR="0069141B" w:rsidRPr="00E174CE">
        <w:t>. These</w:t>
      </w:r>
      <w:r w:rsidR="008B389B" w:rsidRPr="00E174CE">
        <w:t xml:space="preserve"> </w:t>
      </w:r>
      <w:r w:rsidR="00463D3A" w:rsidRPr="00236595">
        <w:rPr>
          <w:rFonts w:eastAsiaTheme="minorEastAsia"/>
        </w:rPr>
        <w:t>continue to place</w:t>
      </w:r>
      <w:r w:rsidR="008B389B" w:rsidRPr="00236595">
        <w:rPr>
          <w:rFonts w:eastAsiaTheme="minorEastAsia"/>
        </w:rPr>
        <w:t xml:space="preserve"> </w:t>
      </w:r>
      <w:r w:rsidR="005160C8" w:rsidRPr="00E174CE">
        <w:t xml:space="preserve">social cohesion at </w:t>
      </w:r>
      <w:r w:rsidR="00463D3A" w:rsidRPr="00E174CE">
        <w:t xml:space="preserve">significant </w:t>
      </w:r>
      <w:r w:rsidR="005160C8" w:rsidRPr="00E174CE">
        <w:t>risk</w:t>
      </w:r>
      <w:r w:rsidR="00463D3A" w:rsidRPr="00E174CE">
        <w:t xml:space="preserve">, as </w:t>
      </w:r>
      <w:r w:rsidR="00040826">
        <w:t>seen in</w:t>
      </w:r>
      <w:r w:rsidR="00040826" w:rsidRPr="00E174CE">
        <w:t xml:space="preserve"> </w:t>
      </w:r>
      <w:r w:rsidR="00463D3A" w:rsidRPr="00E174CE">
        <w:t>growing cross-border tension</w:t>
      </w:r>
      <w:r w:rsidR="005160C8" w:rsidRPr="00E174CE">
        <w:t>.</w:t>
      </w:r>
    </w:p>
    <w:p w14:paraId="1372E6DA" w14:textId="77777777" w:rsidR="00EA3569" w:rsidRPr="00236595" w:rsidRDefault="00EA3569" w:rsidP="00236595">
      <w:pPr>
        <w:pStyle w:val="ListParagraph"/>
        <w:ind w:left="1267" w:right="1123"/>
        <w:contextualSpacing/>
        <w:jc w:val="both"/>
        <w:rPr>
          <w:sz w:val="12"/>
          <w:szCs w:val="12"/>
        </w:rPr>
      </w:pPr>
    </w:p>
    <w:p w14:paraId="62227FD1" w14:textId="51CC7CEB" w:rsidR="00475D54" w:rsidRPr="00E174CE" w:rsidRDefault="00040826" w:rsidP="00236595">
      <w:pPr>
        <w:pStyle w:val="ListParagraph"/>
        <w:numPr>
          <w:ilvl w:val="0"/>
          <w:numId w:val="47"/>
        </w:numPr>
        <w:ind w:left="1267" w:right="1123" w:hanging="7"/>
        <w:contextualSpacing/>
        <w:jc w:val="both"/>
        <w:rPr>
          <w:rFonts w:eastAsiaTheme="minorEastAsia"/>
        </w:rPr>
      </w:pPr>
      <w:r>
        <w:t>S</w:t>
      </w:r>
      <w:r w:rsidR="00A84659" w:rsidRPr="00E174CE">
        <w:t>ince independence</w:t>
      </w:r>
      <w:r>
        <w:t>,</w:t>
      </w:r>
      <w:r w:rsidR="00A84659" w:rsidRPr="00E174CE">
        <w:t xml:space="preserve"> the Kyrgyz Republic experienced presidential systems of governance and parliamentary democracy</w:t>
      </w:r>
      <w:r>
        <w:t xml:space="preserve">, and the </w:t>
      </w:r>
      <w:r w:rsidR="00A84659" w:rsidRPr="00E174CE">
        <w:t xml:space="preserve">COVID-19 pandemic further fueled </w:t>
      </w:r>
      <w:r w:rsidR="0069141B" w:rsidRPr="00E174CE">
        <w:t xml:space="preserve">divisions and </w:t>
      </w:r>
      <w:r w:rsidR="00A84659" w:rsidRPr="00E174CE">
        <w:t xml:space="preserve">social unrest. </w:t>
      </w:r>
      <w:r w:rsidR="00D954AB" w:rsidRPr="00E174CE">
        <w:t xml:space="preserve">The competitive </w:t>
      </w:r>
      <w:r w:rsidR="00A84659" w:rsidRPr="00E174CE">
        <w:t xml:space="preserve">2020 parliamentary elections triggered political turmoil and </w:t>
      </w:r>
      <w:r w:rsidR="00E72B1E" w:rsidRPr="00E174CE">
        <w:t xml:space="preserve">a </w:t>
      </w:r>
      <w:r w:rsidR="00A84659" w:rsidRPr="00E174CE">
        <w:t xml:space="preserve">transition </w:t>
      </w:r>
      <w:r w:rsidR="00EA0E77" w:rsidRPr="00E174CE">
        <w:t>which</w:t>
      </w:r>
      <w:r w:rsidR="005032DC">
        <w:t xml:space="preserve">, </w:t>
      </w:r>
      <w:r w:rsidR="00A84659" w:rsidRPr="00E174CE">
        <w:t>follow</w:t>
      </w:r>
      <w:r w:rsidR="00EA0E77" w:rsidRPr="00E174CE">
        <w:t>ing</w:t>
      </w:r>
      <w:r w:rsidR="00D954AB" w:rsidRPr="00E174CE">
        <w:t xml:space="preserve"> </w:t>
      </w:r>
      <w:r w:rsidR="00A84659" w:rsidRPr="00E174CE">
        <w:t xml:space="preserve">presidential elections, </w:t>
      </w:r>
      <w:r>
        <w:t xml:space="preserve">a </w:t>
      </w:r>
      <w:r w:rsidR="00A84659" w:rsidRPr="00E174CE">
        <w:rPr>
          <w:rStyle w:val="EmailStyle24"/>
          <w:rFonts w:ascii="Times New Roman" w:hAnsi="Times New Roman" w:cs="Times New Roman"/>
          <w:bCs/>
        </w:rPr>
        <w:t xml:space="preserve">constitutional referendum, transition of </w:t>
      </w:r>
      <w:r w:rsidR="00E72B1E" w:rsidRPr="00E174CE">
        <w:rPr>
          <w:rStyle w:val="EmailStyle24"/>
          <w:rFonts w:ascii="Times New Roman" w:hAnsi="Times New Roman" w:cs="Times New Roman"/>
          <w:bCs/>
        </w:rPr>
        <w:t xml:space="preserve">electoral </w:t>
      </w:r>
      <w:r w:rsidR="00463D3A" w:rsidRPr="00E174CE">
        <w:rPr>
          <w:rStyle w:val="EmailStyle24"/>
          <w:rFonts w:ascii="Times New Roman" w:hAnsi="Times New Roman" w:cs="Times New Roman"/>
          <w:bCs/>
        </w:rPr>
        <w:t xml:space="preserve">and legal </w:t>
      </w:r>
      <w:r w:rsidR="00E72B1E" w:rsidRPr="00E174CE">
        <w:rPr>
          <w:rStyle w:val="EmailStyle24"/>
          <w:rFonts w:ascii="Times New Roman" w:hAnsi="Times New Roman" w:cs="Times New Roman"/>
          <w:bCs/>
        </w:rPr>
        <w:t>system</w:t>
      </w:r>
      <w:r>
        <w:rPr>
          <w:rStyle w:val="EmailStyle24"/>
          <w:rFonts w:ascii="Times New Roman" w:hAnsi="Times New Roman" w:cs="Times New Roman"/>
          <w:bCs/>
        </w:rPr>
        <w:t>s</w:t>
      </w:r>
      <w:r w:rsidR="00E72B1E" w:rsidRPr="00E174CE">
        <w:rPr>
          <w:rStyle w:val="EmailStyle24"/>
          <w:rFonts w:ascii="Times New Roman" w:hAnsi="Times New Roman" w:cs="Times New Roman"/>
          <w:bCs/>
        </w:rPr>
        <w:t xml:space="preserve">, </w:t>
      </w:r>
      <w:r w:rsidR="00463D3A" w:rsidRPr="00E174CE">
        <w:rPr>
          <w:rStyle w:val="EmailStyle24"/>
          <w:rFonts w:ascii="Times New Roman" w:hAnsi="Times New Roman" w:cs="Times New Roman"/>
          <w:bCs/>
        </w:rPr>
        <w:t>g</w:t>
      </w:r>
      <w:r w:rsidR="00A84659" w:rsidRPr="00E174CE">
        <w:rPr>
          <w:rStyle w:val="EmailStyle24"/>
          <w:rFonts w:ascii="Times New Roman" w:hAnsi="Times New Roman" w:cs="Times New Roman"/>
          <w:bCs/>
        </w:rPr>
        <w:t>overnment</w:t>
      </w:r>
      <w:r w:rsidR="00463D3A" w:rsidRPr="00E174CE">
        <w:rPr>
          <w:rStyle w:val="EmailStyle24"/>
          <w:rFonts w:ascii="Times New Roman" w:hAnsi="Times New Roman" w:cs="Times New Roman"/>
          <w:bCs/>
        </w:rPr>
        <w:t xml:space="preserve"> restructuring</w:t>
      </w:r>
      <w:r>
        <w:rPr>
          <w:rStyle w:val="EmailStyle24"/>
          <w:rFonts w:ascii="Times New Roman" w:hAnsi="Times New Roman" w:cs="Times New Roman"/>
          <w:bCs/>
        </w:rPr>
        <w:t>,</w:t>
      </w:r>
      <w:r w:rsidR="00A84659" w:rsidRPr="00E174CE">
        <w:rPr>
          <w:rStyle w:val="EmailStyle24"/>
          <w:rFonts w:ascii="Times New Roman" w:hAnsi="Times New Roman" w:cs="Times New Roman"/>
          <w:bCs/>
        </w:rPr>
        <w:t xml:space="preserve"> and</w:t>
      </w:r>
      <w:r w:rsidR="00463D3A" w:rsidRPr="00E174CE">
        <w:rPr>
          <w:rStyle w:val="EmailStyle24"/>
          <w:rFonts w:ascii="Times New Roman" w:hAnsi="Times New Roman" w:cs="Times New Roman"/>
          <w:bCs/>
        </w:rPr>
        <w:t xml:space="preserve"> </w:t>
      </w:r>
      <w:r w:rsidR="0050439B" w:rsidRPr="00E174CE">
        <w:rPr>
          <w:rStyle w:val="EmailStyle24"/>
          <w:rFonts w:ascii="Times New Roman" w:hAnsi="Times New Roman" w:cs="Times New Roman"/>
          <w:bCs/>
        </w:rPr>
        <w:t>renewed</w:t>
      </w:r>
      <w:r w:rsidR="00463D3A" w:rsidRPr="00E174CE">
        <w:rPr>
          <w:rStyle w:val="EmailStyle24"/>
          <w:rFonts w:ascii="Times New Roman" w:hAnsi="Times New Roman" w:cs="Times New Roman"/>
          <w:bCs/>
        </w:rPr>
        <w:t xml:space="preserve"> p</w:t>
      </w:r>
      <w:r w:rsidR="00E72B1E" w:rsidRPr="00E174CE">
        <w:rPr>
          <w:rStyle w:val="EmailStyle24"/>
          <w:rFonts w:ascii="Times New Roman" w:hAnsi="Times New Roman" w:cs="Times New Roman"/>
          <w:bCs/>
        </w:rPr>
        <w:t>arliament</w:t>
      </w:r>
      <w:r w:rsidR="00463D3A" w:rsidRPr="00E174CE">
        <w:rPr>
          <w:rStyle w:val="EmailStyle24"/>
          <w:rFonts w:ascii="Times New Roman" w:hAnsi="Times New Roman" w:cs="Times New Roman"/>
          <w:bCs/>
        </w:rPr>
        <w:t>ary elections</w:t>
      </w:r>
      <w:r w:rsidR="00E72B1E" w:rsidRPr="00E174CE">
        <w:rPr>
          <w:rStyle w:val="EmailStyle24"/>
          <w:rFonts w:ascii="Times New Roman" w:hAnsi="Times New Roman" w:cs="Times New Roman"/>
          <w:bCs/>
        </w:rPr>
        <w:t xml:space="preserve"> </w:t>
      </w:r>
      <w:r w:rsidR="00EA0E77" w:rsidRPr="00E174CE">
        <w:rPr>
          <w:rStyle w:val="EmailStyle24"/>
          <w:rFonts w:ascii="Times New Roman" w:hAnsi="Times New Roman" w:cs="Times New Roman"/>
          <w:bCs/>
        </w:rPr>
        <w:t xml:space="preserve">in </w:t>
      </w:r>
      <w:r w:rsidR="00A84659" w:rsidRPr="00E174CE">
        <w:rPr>
          <w:rStyle w:val="EmailStyle24"/>
          <w:rFonts w:ascii="Times New Roman" w:hAnsi="Times New Roman" w:cs="Times New Roman"/>
          <w:bCs/>
        </w:rPr>
        <w:t>2021</w:t>
      </w:r>
      <w:r w:rsidR="005032DC">
        <w:rPr>
          <w:rStyle w:val="EmailStyle24"/>
          <w:rFonts w:ascii="Times New Roman" w:hAnsi="Times New Roman" w:cs="Times New Roman"/>
          <w:bCs/>
        </w:rPr>
        <w:t xml:space="preserve">, </w:t>
      </w:r>
      <w:r w:rsidR="00EA0E77" w:rsidRPr="00E174CE">
        <w:rPr>
          <w:rStyle w:val="EmailStyle24"/>
          <w:rFonts w:ascii="Times New Roman" w:hAnsi="Times New Roman" w:cs="Times New Roman"/>
          <w:bCs/>
        </w:rPr>
        <w:t>conclud</w:t>
      </w:r>
      <w:r w:rsidR="0050439B" w:rsidRPr="00E174CE">
        <w:rPr>
          <w:rStyle w:val="EmailStyle24"/>
          <w:rFonts w:ascii="Times New Roman" w:hAnsi="Times New Roman" w:cs="Times New Roman"/>
          <w:bCs/>
        </w:rPr>
        <w:t>ed</w:t>
      </w:r>
      <w:r w:rsidR="00EA0E77" w:rsidRPr="00E174CE">
        <w:rPr>
          <w:rStyle w:val="EmailStyle24"/>
          <w:rFonts w:ascii="Times New Roman" w:hAnsi="Times New Roman" w:cs="Times New Roman"/>
          <w:bCs/>
        </w:rPr>
        <w:t xml:space="preserve"> with</w:t>
      </w:r>
      <w:r>
        <w:rPr>
          <w:rStyle w:val="EmailStyle24"/>
          <w:rFonts w:ascii="Times New Roman" w:hAnsi="Times New Roman" w:cs="Times New Roman"/>
          <w:bCs/>
        </w:rPr>
        <w:t xml:space="preserve"> the</w:t>
      </w:r>
      <w:r w:rsidR="00E72B1E" w:rsidRPr="00E174CE">
        <w:rPr>
          <w:rStyle w:val="EmailStyle24"/>
          <w:rFonts w:ascii="Times New Roman" w:hAnsi="Times New Roman" w:cs="Times New Roman"/>
          <w:bCs/>
        </w:rPr>
        <w:t xml:space="preserve"> </w:t>
      </w:r>
      <w:r w:rsidR="0050439B" w:rsidRPr="00E174CE">
        <w:rPr>
          <w:rStyle w:val="EmailStyle24"/>
          <w:rFonts w:ascii="Times New Roman" w:hAnsi="Times New Roman" w:cs="Times New Roman"/>
          <w:bCs/>
        </w:rPr>
        <w:t>centralization</w:t>
      </w:r>
      <w:r w:rsidR="008A2403" w:rsidRPr="00E174CE">
        <w:t xml:space="preserve"> of powers </w:t>
      </w:r>
      <w:r w:rsidR="0050439B" w:rsidRPr="00E174CE">
        <w:t>under</w:t>
      </w:r>
      <w:r w:rsidR="008A2403" w:rsidRPr="00E174CE">
        <w:t xml:space="preserve"> the </w:t>
      </w:r>
      <w:r w:rsidR="00F11921" w:rsidRPr="00E174CE">
        <w:t>President</w:t>
      </w:r>
      <w:r w:rsidR="008A2403" w:rsidRPr="00E174CE">
        <w:t xml:space="preserve">. </w:t>
      </w:r>
      <w:r>
        <w:t>Current</w:t>
      </w:r>
      <w:r w:rsidR="00072480">
        <w:t xml:space="preserve"> </w:t>
      </w:r>
      <w:r w:rsidR="00D954AB" w:rsidRPr="00E174CE">
        <w:t>democratic aspiration</w:t>
      </w:r>
      <w:r w:rsidR="00463D3A" w:rsidRPr="00E174CE">
        <w:t>s</w:t>
      </w:r>
      <w:r w:rsidR="00072480">
        <w:t xml:space="preserve"> </w:t>
      </w:r>
      <w:r w:rsidR="00803F18">
        <w:t>include</w:t>
      </w:r>
      <w:r w:rsidR="00A57D78">
        <w:t xml:space="preserve"> </w:t>
      </w:r>
      <w:r>
        <w:t xml:space="preserve">the </w:t>
      </w:r>
      <w:r w:rsidR="0069141B" w:rsidRPr="00E174CE">
        <w:t xml:space="preserve">quest </w:t>
      </w:r>
      <w:r w:rsidR="00072480">
        <w:t>for</w:t>
      </w:r>
      <w:r w:rsidR="0069141B" w:rsidRPr="00E174CE">
        <w:t xml:space="preserve"> a unified national identity </w:t>
      </w:r>
      <w:r w:rsidR="00A57D78">
        <w:t>that bridges</w:t>
      </w:r>
      <w:r w:rsidR="00072480">
        <w:t xml:space="preserve"> modern and traditional trends and </w:t>
      </w:r>
      <w:r w:rsidR="00A57D78">
        <w:t>recognizes</w:t>
      </w:r>
      <w:r w:rsidR="00072480">
        <w:t xml:space="preserve"> the country’s multidimensional</w:t>
      </w:r>
      <w:r w:rsidR="00756853" w:rsidRPr="00E174CE">
        <w:t xml:space="preserve"> diversity</w:t>
      </w:r>
      <w:r w:rsidR="002B6416">
        <w:t>.</w:t>
      </w:r>
      <w:r w:rsidR="00AB7F49">
        <w:rPr>
          <w:rStyle w:val="FootnoteReference"/>
        </w:rPr>
        <w:footnoteReference w:id="4"/>
      </w:r>
      <w:r w:rsidR="00072480">
        <w:t xml:space="preserve"> This </w:t>
      </w:r>
      <w:r w:rsidR="0050439B" w:rsidRPr="00E174CE">
        <w:t xml:space="preserve">will </w:t>
      </w:r>
      <w:r w:rsidR="00955571" w:rsidRPr="00E174CE">
        <w:t xml:space="preserve">require </w:t>
      </w:r>
      <w:r w:rsidR="002B6416">
        <w:t>continued</w:t>
      </w:r>
      <w:r w:rsidR="002B6416" w:rsidRPr="00E174CE">
        <w:t xml:space="preserve"> </w:t>
      </w:r>
      <w:r w:rsidR="00463D3A" w:rsidRPr="00E174CE">
        <w:t xml:space="preserve">efforts </w:t>
      </w:r>
      <w:r w:rsidR="002B6416">
        <w:t>in</w:t>
      </w:r>
      <w:r w:rsidR="002B6416" w:rsidRPr="00E174CE">
        <w:t xml:space="preserve"> </w:t>
      </w:r>
      <w:r w:rsidR="00955571" w:rsidRPr="00E174CE">
        <w:t>civic education</w:t>
      </w:r>
      <w:r w:rsidR="0069141B" w:rsidRPr="00E174CE">
        <w:t xml:space="preserve">, </w:t>
      </w:r>
      <w:r w:rsidR="002B6416">
        <w:t>supporting</w:t>
      </w:r>
      <w:r w:rsidR="00463D3A" w:rsidRPr="00E174CE">
        <w:t xml:space="preserve"> the country’s vibrant civil society</w:t>
      </w:r>
      <w:r w:rsidR="0069141B" w:rsidRPr="00E174CE">
        <w:t xml:space="preserve">, </w:t>
      </w:r>
      <w:r w:rsidR="002B6416">
        <w:t>and</w:t>
      </w:r>
      <w:r w:rsidR="0069141B" w:rsidRPr="00E174CE">
        <w:t xml:space="preserve"> </w:t>
      </w:r>
      <w:r w:rsidR="00A57D78">
        <w:t>assistance to</w:t>
      </w:r>
      <w:r w:rsidR="0069141B" w:rsidRPr="00E174CE">
        <w:t xml:space="preserve"> institutional capacity development </w:t>
      </w:r>
      <w:r w:rsidR="0050439B" w:rsidRPr="00E174CE">
        <w:t xml:space="preserve">and </w:t>
      </w:r>
      <w:r w:rsidR="00056CBF">
        <w:t xml:space="preserve">sustained </w:t>
      </w:r>
      <w:r w:rsidR="0050439B" w:rsidRPr="00E174CE">
        <w:t>reform</w:t>
      </w:r>
      <w:r w:rsidR="00056CBF">
        <w:t>s</w:t>
      </w:r>
      <w:r w:rsidR="0050439B" w:rsidRPr="00E174CE">
        <w:t xml:space="preserve"> </w:t>
      </w:r>
      <w:r w:rsidR="0069141B" w:rsidRPr="00E174CE">
        <w:t>in state structures</w:t>
      </w:r>
      <w:r w:rsidR="00463D3A" w:rsidRPr="00E174CE">
        <w:t>.</w:t>
      </w:r>
    </w:p>
    <w:p w14:paraId="103CC07A" w14:textId="47CE1B34" w:rsidR="00A84659" w:rsidRPr="00236595" w:rsidRDefault="00A84659" w:rsidP="00236595">
      <w:pPr>
        <w:pStyle w:val="ListParagraph"/>
        <w:ind w:left="1267" w:right="1123"/>
        <w:contextualSpacing/>
        <w:jc w:val="both"/>
        <w:rPr>
          <w:rFonts w:eastAsiaTheme="minorEastAsia"/>
          <w:sz w:val="12"/>
          <w:szCs w:val="12"/>
        </w:rPr>
      </w:pPr>
    </w:p>
    <w:p w14:paraId="48F681F7" w14:textId="289DE1C9" w:rsidR="00475D54" w:rsidRDefault="00475D54" w:rsidP="00236595">
      <w:pPr>
        <w:pStyle w:val="ListParagraph"/>
        <w:tabs>
          <w:tab w:val="left" w:pos="1530"/>
          <w:tab w:val="left" w:pos="1620"/>
        </w:tabs>
        <w:ind w:left="1260" w:right="1123"/>
        <w:contextualSpacing/>
        <w:jc w:val="both"/>
        <w:rPr>
          <w:rFonts w:eastAsiaTheme="minorEastAsia"/>
        </w:rPr>
      </w:pPr>
      <w:r>
        <w:rPr>
          <w:rFonts w:eastAsiaTheme="minorEastAsia"/>
        </w:rPr>
        <w:t xml:space="preserve">5. </w:t>
      </w:r>
      <w:r w:rsidR="00E06267">
        <w:rPr>
          <w:rFonts w:eastAsiaTheme="minorEastAsia"/>
        </w:rPr>
        <w:t>The</w:t>
      </w:r>
      <w:r>
        <w:rPr>
          <w:rFonts w:eastAsiaTheme="minorEastAsia"/>
        </w:rPr>
        <w:t xml:space="preserve"> </w:t>
      </w:r>
      <w:r w:rsidR="00400330">
        <w:rPr>
          <w:rFonts w:eastAsiaTheme="minorEastAsia"/>
        </w:rPr>
        <w:t xml:space="preserve">United Nations </w:t>
      </w:r>
      <w:r>
        <w:rPr>
          <w:rFonts w:eastAsiaTheme="minorEastAsia"/>
        </w:rPr>
        <w:t>system</w:t>
      </w:r>
      <w:r w:rsidR="00E06267">
        <w:rPr>
          <w:rFonts w:eastAsiaTheme="minorEastAsia"/>
        </w:rPr>
        <w:t xml:space="preserve"> in the Kyrgyz Republic </w:t>
      </w:r>
      <w:r w:rsidR="0050439B">
        <w:rPr>
          <w:rFonts w:eastAsiaTheme="minorEastAsia"/>
        </w:rPr>
        <w:t xml:space="preserve">will </w:t>
      </w:r>
      <w:r w:rsidR="00DF72F7">
        <w:rPr>
          <w:rFonts w:eastAsiaTheme="minorEastAsia"/>
        </w:rPr>
        <w:t>respond to these</w:t>
      </w:r>
      <w:r w:rsidR="008E5210">
        <w:rPr>
          <w:rFonts w:eastAsiaTheme="minorEastAsia"/>
        </w:rPr>
        <w:t xml:space="preserve"> major</w:t>
      </w:r>
      <w:r w:rsidR="00DF72F7">
        <w:rPr>
          <w:rFonts w:eastAsiaTheme="minorEastAsia"/>
        </w:rPr>
        <w:t xml:space="preserve"> challenges by applying </w:t>
      </w:r>
      <w:r w:rsidR="00B32616">
        <w:rPr>
          <w:rFonts w:eastAsiaTheme="minorEastAsia"/>
        </w:rPr>
        <w:t>systems approach</w:t>
      </w:r>
      <w:r w:rsidR="00DF72F7">
        <w:rPr>
          <w:rFonts w:eastAsiaTheme="minorEastAsia"/>
        </w:rPr>
        <w:t>es</w:t>
      </w:r>
      <w:r w:rsidR="00CB7410" w:rsidRPr="00CB7410">
        <w:rPr>
          <w:rFonts w:eastAsiaTheme="minorEastAsia"/>
        </w:rPr>
        <w:t xml:space="preserve"> </w:t>
      </w:r>
      <w:r w:rsidR="00CB7410">
        <w:rPr>
          <w:rFonts w:eastAsiaTheme="minorEastAsia"/>
        </w:rPr>
        <w:t>based on development accelerators</w:t>
      </w:r>
      <w:r w:rsidR="00B32616">
        <w:rPr>
          <w:rFonts w:eastAsiaTheme="minorEastAsia"/>
        </w:rPr>
        <w:t xml:space="preserve"> </w:t>
      </w:r>
      <w:r w:rsidR="00CB7410">
        <w:rPr>
          <w:rFonts w:eastAsiaTheme="minorEastAsia"/>
        </w:rPr>
        <w:t xml:space="preserve">and a more focused approach to </w:t>
      </w:r>
      <w:r w:rsidR="00400330">
        <w:rPr>
          <w:rFonts w:eastAsiaTheme="minorEastAsia"/>
        </w:rPr>
        <w:t xml:space="preserve">Sustainable Development Goals </w:t>
      </w:r>
      <w:r w:rsidR="00CB7410">
        <w:rPr>
          <w:rFonts w:eastAsiaTheme="minorEastAsia"/>
        </w:rPr>
        <w:t xml:space="preserve">integration. This will </w:t>
      </w:r>
      <w:r w:rsidR="00B32616">
        <w:rPr>
          <w:rFonts w:eastAsiaTheme="minorEastAsia"/>
        </w:rPr>
        <w:t xml:space="preserve">address root causes </w:t>
      </w:r>
      <w:r w:rsidR="00CB7410">
        <w:rPr>
          <w:rFonts w:eastAsiaTheme="minorEastAsia"/>
        </w:rPr>
        <w:t>and</w:t>
      </w:r>
      <w:r w:rsidR="00B32616">
        <w:rPr>
          <w:rFonts w:eastAsiaTheme="minorEastAsia"/>
        </w:rPr>
        <w:t xml:space="preserve"> </w:t>
      </w:r>
      <w:r w:rsidR="00B32616">
        <w:rPr>
          <w:rFonts w:eastAsiaTheme="minorEastAsia"/>
        </w:rPr>
        <w:lastRenderedPageBreak/>
        <w:t>support transformational change</w:t>
      </w:r>
      <w:r w:rsidR="00CB7410">
        <w:rPr>
          <w:rFonts w:eastAsiaTheme="minorEastAsia"/>
        </w:rPr>
        <w:t xml:space="preserve"> towards more equitable access to social services and protection, greater prosperity and resilience, and inclusive approaches to climate action, governance of natural resources and prevention of disasters, as well as support national efforts to build just, accountable and inclusive institutions. Particular care will be placed on ensuring country ownership, leveraging </w:t>
      </w:r>
      <w:r w:rsidR="00400330">
        <w:rPr>
          <w:rFonts w:eastAsiaTheme="minorEastAsia"/>
        </w:rPr>
        <w:t xml:space="preserve">United Nations </w:t>
      </w:r>
      <w:r w:rsidR="00CB7410">
        <w:rPr>
          <w:rFonts w:eastAsiaTheme="minorEastAsia"/>
        </w:rPr>
        <w:t xml:space="preserve">norms and standards, as well as attending to </w:t>
      </w:r>
      <w:r w:rsidR="008E5210">
        <w:rPr>
          <w:rFonts w:eastAsiaTheme="minorEastAsia"/>
        </w:rPr>
        <w:t>transboundary</w:t>
      </w:r>
      <w:r w:rsidR="00CB7410">
        <w:rPr>
          <w:rFonts w:eastAsiaTheme="minorEastAsia"/>
        </w:rPr>
        <w:t xml:space="preserve"> </w:t>
      </w:r>
      <w:r w:rsidR="002B6416">
        <w:rPr>
          <w:rFonts w:eastAsiaTheme="minorEastAsia"/>
        </w:rPr>
        <w:t xml:space="preserve">concerns—all </w:t>
      </w:r>
      <w:r w:rsidR="0050439B">
        <w:rPr>
          <w:rFonts w:eastAsiaTheme="minorEastAsia"/>
        </w:rPr>
        <w:t xml:space="preserve">are important objectives </w:t>
      </w:r>
      <w:r w:rsidR="008E5210">
        <w:rPr>
          <w:rFonts w:eastAsiaTheme="minorEastAsia"/>
        </w:rPr>
        <w:t xml:space="preserve">already </w:t>
      </w:r>
      <w:r w:rsidR="0050439B">
        <w:rPr>
          <w:rFonts w:eastAsiaTheme="minorEastAsia"/>
        </w:rPr>
        <w:t>embedded within the UNDP portfolio.</w:t>
      </w:r>
    </w:p>
    <w:p w14:paraId="24C170AB" w14:textId="77777777" w:rsidR="00147F64" w:rsidRPr="00236595" w:rsidRDefault="00147F64" w:rsidP="00236595">
      <w:pPr>
        <w:pStyle w:val="ListParagraph"/>
        <w:tabs>
          <w:tab w:val="left" w:pos="1530"/>
          <w:tab w:val="left" w:pos="1620"/>
        </w:tabs>
        <w:ind w:left="1260" w:right="1123"/>
        <w:contextualSpacing/>
        <w:jc w:val="both"/>
        <w:rPr>
          <w:rFonts w:eastAsiaTheme="minorEastAsia"/>
          <w:sz w:val="12"/>
          <w:szCs w:val="12"/>
        </w:rPr>
      </w:pPr>
    </w:p>
    <w:p w14:paraId="03A85115" w14:textId="27C6F761" w:rsidR="00CB7410" w:rsidRPr="006752ED" w:rsidRDefault="00380429" w:rsidP="00236595">
      <w:pPr>
        <w:pStyle w:val="ListParagraph"/>
        <w:ind w:left="1267" w:right="1123"/>
        <w:contextualSpacing/>
        <w:jc w:val="both"/>
      </w:pPr>
      <w:r>
        <w:t xml:space="preserve">6. </w:t>
      </w:r>
      <w:r w:rsidR="00CF3DBB">
        <w:t>Within the</w:t>
      </w:r>
      <w:r w:rsidR="00400330">
        <w:t xml:space="preserve"> United Nations Sustainable Development Cooperation Framework</w:t>
      </w:r>
      <w:r w:rsidR="00CF3DBB">
        <w:t xml:space="preserve"> </w:t>
      </w:r>
      <w:r w:rsidR="00400330">
        <w:t>(</w:t>
      </w:r>
      <w:r w:rsidR="00CF3DBB">
        <w:t>UNSDCF</w:t>
      </w:r>
      <w:r w:rsidR="00400330">
        <w:t>)</w:t>
      </w:r>
      <w:r w:rsidR="00CF3DBB">
        <w:t xml:space="preserve">, </w:t>
      </w:r>
      <w:r w:rsidR="0050439B" w:rsidRPr="006752ED">
        <w:t xml:space="preserve">UNDP </w:t>
      </w:r>
      <w:r w:rsidR="00E174CE">
        <w:t>has</w:t>
      </w:r>
      <w:r w:rsidR="0050439B" w:rsidRPr="006752ED">
        <w:t xml:space="preserve"> a</w:t>
      </w:r>
      <w:r w:rsidR="00741F05">
        <w:t xml:space="preserve">n important </w:t>
      </w:r>
      <w:r w:rsidR="0050439B" w:rsidRPr="006752ED">
        <w:t xml:space="preserve">backbone function as the </w:t>
      </w:r>
      <w:r w:rsidR="00B7068F">
        <w:t xml:space="preserve">United Nations </w:t>
      </w:r>
      <w:r w:rsidR="0050439B" w:rsidRPr="006752ED">
        <w:t>agency with the largest portfolio at</w:t>
      </w:r>
      <w:r w:rsidR="002B6416">
        <w:t xml:space="preserve"> the</w:t>
      </w:r>
      <w:r w:rsidR="0050439B" w:rsidRPr="006752ED">
        <w:t xml:space="preserve"> country level</w:t>
      </w:r>
      <w:r w:rsidR="002B6416">
        <w:t xml:space="preserve"> that</w:t>
      </w:r>
      <w:r w:rsidR="0050439B" w:rsidRPr="006752ED">
        <w:t xml:space="preserve"> </w:t>
      </w:r>
      <w:r w:rsidR="002B6416">
        <w:t>cuts</w:t>
      </w:r>
      <w:r w:rsidR="002B6416" w:rsidRPr="006752ED">
        <w:t xml:space="preserve"> </w:t>
      </w:r>
      <w:r w:rsidR="0050439B" w:rsidRPr="006752ED">
        <w:t xml:space="preserve">across </w:t>
      </w:r>
      <w:r w:rsidR="00741F05">
        <w:t>strategic</w:t>
      </w:r>
      <w:r w:rsidR="0050439B" w:rsidRPr="006752ED">
        <w:t xml:space="preserve"> sectors. Under the overall leadership of the </w:t>
      </w:r>
      <w:r w:rsidR="00B7068F">
        <w:t>United Nations</w:t>
      </w:r>
      <w:r w:rsidR="00B7068F" w:rsidRPr="006752ED">
        <w:t xml:space="preserve"> </w:t>
      </w:r>
      <w:r w:rsidR="0050439B" w:rsidRPr="006752ED">
        <w:t xml:space="preserve">Resident Coordinator, </w:t>
      </w:r>
      <w:r w:rsidR="00CF3DBB">
        <w:t xml:space="preserve">working </w:t>
      </w:r>
      <w:r w:rsidR="002B6416">
        <w:t xml:space="preserve">with </w:t>
      </w:r>
      <w:r w:rsidR="00CF3DBB">
        <w:t xml:space="preserve">a </w:t>
      </w:r>
      <w:r w:rsidR="00B7068F">
        <w:t xml:space="preserve">United Nations </w:t>
      </w:r>
      <w:r w:rsidR="00E67265">
        <w:t>c</w:t>
      </w:r>
      <w:r w:rsidR="00B7068F">
        <w:t xml:space="preserve">ountry </w:t>
      </w:r>
      <w:r w:rsidR="00E67265">
        <w:t>t</w:t>
      </w:r>
      <w:r w:rsidR="00B7068F">
        <w:t>eam (</w:t>
      </w:r>
      <w:r w:rsidR="00CF3DBB">
        <w:t>UNCT</w:t>
      </w:r>
      <w:r w:rsidR="00B7068F">
        <w:t>)</w:t>
      </w:r>
      <w:r w:rsidR="00CF3DBB">
        <w:t xml:space="preserve"> inclusive of </w:t>
      </w:r>
      <w:r w:rsidR="008B5645">
        <w:t>several</w:t>
      </w:r>
      <w:r w:rsidR="00CF3DBB">
        <w:t xml:space="preserve"> non-resident agencies, UNDP will</w:t>
      </w:r>
      <w:r w:rsidR="00EB64E6">
        <w:t xml:space="preserve"> partner with </w:t>
      </w:r>
      <w:r w:rsidR="002B6416">
        <w:t xml:space="preserve">and </w:t>
      </w:r>
      <w:r w:rsidR="00CF3DBB">
        <w:t xml:space="preserve">offer to integrate </w:t>
      </w:r>
      <w:r w:rsidR="004F7C7E">
        <w:t>the work of</w:t>
      </w:r>
      <w:r w:rsidR="00CF3DBB">
        <w:t xml:space="preserve"> </w:t>
      </w:r>
      <w:r w:rsidR="00E174CE">
        <w:t xml:space="preserve">other </w:t>
      </w:r>
      <w:r w:rsidR="00CF3DBB">
        <w:t xml:space="preserve">agencies </w:t>
      </w:r>
      <w:r w:rsidR="004F7C7E">
        <w:t>for</w:t>
      </w:r>
      <w:r w:rsidR="00CF3DBB">
        <w:t xml:space="preserve"> maximum combined impact</w:t>
      </w:r>
      <w:r w:rsidR="00E174CE">
        <w:t xml:space="preserve"> to </w:t>
      </w:r>
      <w:r w:rsidR="00E174CE" w:rsidRPr="003B2D3F">
        <w:t xml:space="preserve">‘Leave No One Behind’ </w:t>
      </w:r>
      <w:r w:rsidR="00E174CE">
        <w:t xml:space="preserve">across </w:t>
      </w:r>
      <w:r w:rsidR="00E174CE" w:rsidRPr="003B2D3F">
        <w:t>all UNSDCF outcomes</w:t>
      </w:r>
      <w:r w:rsidR="00635289">
        <w:t xml:space="preserve"> with</w:t>
      </w:r>
      <w:r w:rsidR="00E174CE" w:rsidRPr="003B2D3F">
        <w:t xml:space="preserve"> </w:t>
      </w:r>
      <w:r w:rsidR="00635289">
        <w:t>focuses</w:t>
      </w:r>
      <w:r w:rsidR="00635289" w:rsidRPr="003B2D3F">
        <w:t xml:space="preserve"> </w:t>
      </w:r>
      <w:r w:rsidR="00E174CE" w:rsidRPr="003B2D3F">
        <w:t>on green growth (Outcome 2), climate change (Outcome 3)</w:t>
      </w:r>
      <w:r w:rsidR="00635289">
        <w:t>,</w:t>
      </w:r>
      <w:r w:rsidR="00E174CE" w:rsidRPr="003B2D3F">
        <w:t xml:space="preserve"> and governance (Outcome 4)</w:t>
      </w:r>
      <w:r w:rsidR="003164FD">
        <w:t>.</w:t>
      </w:r>
      <w:r w:rsidR="008B5645">
        <w:t xml:space="preserve"> </w:t>
      </w:r>
      <w:r w:rsidR="00EF6EE7">
        <w:t xml:space="preserve">UNDP will contribute to </w:t>
      </w:r>
      <w:r w:rsidR="00EF6B5E">
        <w:t xml:space="preserve">three </w:t>
      </w:r>
      <w:r w:rsidR="00EF6EE7">
        <w:t>ou</w:t>
      </w:r>
      <w:r w:rsidR="00221B67">
        <w:t xml:space="preserve">t of the </w:t>
      </w:r>
      <w:r w:rsidR="00EF6B5E">
        <w:t xml:space="preserve">four </w:t>
      </w:r>
      <w:r w:rsidR="00221B67">
        <w:t>UNSDCF outcomes</w:t>
      </w:r>
      <w:r w:rsidR="00635289">
        <w:t xml:space="preserve"> and</w:t>
      </w:r>
      <w:r w:rsidR="008B5645">
        <w:t xml:space="preserve"> explore potentials for joint programming to leverage the combined comparative advantage of the </w:t>
      </w:r>
      <w:r w:rsidR="00B7068F">
        <w:t xml:space="preserve">United Nations </w:t>
      </w:r>
      <w:r w:rsidR="008B5645">
        <w:t>system where appropriate</w:t>
      </w:r>
      <w:r w:rsidR="00635289">
        <w:t xml:space="preserve">, </w:t>
      </w:r>
      <w:r w:rsidR="008B5645">
        <w:t>contribut</w:t>
      </w:r>
      <w:r w:rsidR="00635289">
        <w:t>ing</w:t>
      </w:r>
      <w:r w:rsidR="008B5645">
        <w:t xml:space="preserve"> active leadership in joint results groups to ensure coherence at thematic level</w:t>
      </w:r>
      <w:r w:rsidR="00635289">
        <w:t>s</w:t>
      </w:r>
      <w:r w:rsidR="008B5645">
        <w:t>.</w:t>
      </w:r>
    </w:p>
    <w:p w14:paraId="06BC28D3" w14:textId="77777777" w:rsidR="00147F64" w:rsidRPr="00236595" w:rsidRDefault="00147F64" w:rsidP="00236595">
      <w:pPr>
        <w:pStyle w:val="ListParagraph"/>
        <w:ind w:left="1267" w:right="1123"/>
        <w:contextualSpacing/>
        <w:jc w:val="both"/>
        <w:rPr>
          <w:sz w:val="12"/>
          <w:szCs w:val="12"/>
        </w:rPr>
      </w:pPr>
    </w:p>
    <w:p w14:paraId="30619191" w14:textId="434E4606" w:rsidR="00DF72F7" w:rsidRPr="00E174CE" w:rsidRDefault="00DF72F7" w:rsidP="00236595">
      <w:pPr>
        <w:pStyle w:val="ListParagraph"/>
        <w:numPr>
          <w:ilvl w:val="0"/>
          <w:numId w:val="51"/>
        </w:numPr>
        <w:ind w:left="1260" w:right="1123" w:firstLine="0"/>
        <w:contextualSpacing/>
        <w:jc w:val="both"/>
      </w:pPr>
      <w:r w:rsidRPr="006752ED">
        <w:t xml:space="preserve">During the previous cycle, UNDP </w:t>
      </w:r>
      <w:r w:rsidR="00147F64" w:rsidRPr="006752ED">
        <w:t xml:space="preserve">considerably strengthened </w:t>
      </w:r>
      <w:r w:rsidRPr="006752ED">
        <w:t>programme quality</w:t>
      </w:r>
      <w:r w:rsidR="008B5645">
        <w:t xml:space="preserve"> and</w:t>
      </w:r>
      <w:r w:rsidRPr="006752ED">
        <w:t xml:space="preserve"> policy advisory </w:t>
      </w:r>
      <w:r w:rsidR="00147F64" w:rsidRPr="006752ED">
        <w:t>work</w:t>
      </w:r>
      <w:r w:rsidRPr="006752ED">
        <w:t xml:space="preserve">, </w:t>
      </w:r>
      <w:r w:rsidR="00635289">
        <w:t xml:space="preserve">both </w:t>
      </w:r>
      <w:r w:rsidR="00F43CC5">
        <w:t>underpinned by</w:t>
      </w:r>
      <w:r w:rsidR="00147F64" w:rsidRPr="006752ED">
        <w:t xml:space="preserve"> a strong</w:t>
      </w:r>
      <w:r w:rsidRPr="006752ED">
        <w:t xml:space="preserve"> evidence</w:t>
      </w:r>
      <w:r w:rsidR="00147F64" w:rsidRPr="006752ED">
        <w:t xml:space="preserve"> </w:t>
      </w:r>
      <w:r w:rsidRPr="006752ED">
        <w:t>base</w:t>
      </w:r>
      <w:r w:rsidR="00147F64" w:rsidRPr="006752ED">
        <w:t xml:space="preserve"> for</w:t>
      </w:r>
      <w:r w:rsidRPr="006752ED">
        <w:t xml:space="preserve"> programming. </w:t>
      </w:r>
      <w:r w:rsidRPr="00E174CE">
        <w:t xml:space="preserve">The evaluation of the previous country programme concluded that UNDP is strategically positioned as a reliable, credible, responsive and trusted development partner, supporting multi-level changes in politically sensitive areas and delivering change at policy, institutional, and grassroots levels. UNDP contributed significantly to enabling policy frameworks such as </w:t>
      </w:r>
      <w:r w:rsidR="00DF49D2">
        <w:t>n</w:t>
      </w:r>
      <w:r w:rsidRPr="00E174CE">
        <w:t xml:space="preserve">ationally </w:t>
      </w:r>
      <w:r w:rsidR="00DF49D2">
        <w:t>d</w:t>
      </w:r>
      <w:r w:rsidRPr="00E174CE">
        <w:t xml:space="preserve">etermined </w:t>
      </w:r>
      <w:r w:rsidR="00DF49D2">
        <w:t>c</w:t>
      </w:r>
      <w:r w:rsidRPr="00E174CE">
        <w:t>ontributions</w:t>
      </w:r>
      <w:r w:rsidR="00DF49D2">
        <w:t xml:space="preserve"> (NDCs)</w:t>
      </w:r>
      <w:r w:rsidRPr="00E174CE">
        <w:t xml:space="preserve"> and mechanisms for sustainable, resilient, and inclusive economic growth</w:t>
      </w:r>
      <w:r w:rsidR="00F52C70">
        <w:t>,</w:t>
      </w:r>
      <w:r w:rsidR="00635289">
        <w:t xml:space="preserve"> which is</w:t>
      </w:r>
      <w:r w:rsidR="00F52C70">
        <w:t xml:space="preserve"> catalytic for the new</w:t>
      </w:r>
      <w:r w:rsidR="00B7068F">
        <w:t xml:space="preserve"> Country Programme Document</w:t>
      </w:r>
      <w:r w:rsidR="00F52C70">
        <w:t xml:space="preserve"> </w:t>
      </w:r>
      <w:r w:rsidR="00635289">
        <w:t xml:space="preserve">(CPD) </w:t>
      </w:r>
      <w:r w:rsidR="00F52C70">
        <w:t>cycle</w:t>
      </w:r>
      <w:r w:rsidRPr="00E174CE">
        <w:t xml:space="preserve">. </w:t>
      </w:r>
      <w:r w:rsidR="00635289">
        <w:t>P</w:t>
      </w:r>
      <w:r w:rsidRPr="00E174CE">
        <w:t>olicy advice and advocacy contributed to improved enabling environment especially in areas such as elections, governance, prevention of violent extremism</w:t>
      </w:r>
      <w:r w:rsidR="00635289">
        <w:t>,</w:t>
      </w:r>
      <w:r w:rsidRPr="00E174CE">
        <w:t xml:space="preserve"> and peacebuilding, </w:t>
      </w:r>
      <w:r w:rsidR="00635289">
        <w:t>as well as</w:t>
      </w:r>
      <w:r w:rsidRPr="00E174CE">
        <w:t xml:space="preserve"> justice, gender equality, health, </w:t>
      </w:r>
      <w:r w:rsidR="00147F64" w:rsidRPr="00E174CE">
        <w:t xml:space="preserve">and </w:t>
      </w:r>
      <w:r w:rsidRPr="00E174CE">
        <w:t>natural resources governance. Moreover, UNDP was recognized for</w:t>
      </w:r>
      <w:r w:rsidR="00F43CC5">
        <w:t xml:space="preserve"> its</w:t>
      </w:r>
      <w:r w:rsidRPr="00E174CE">
        <w:t xml:space="preserve"> expertise, consistent resource mobilization capacity, community engagement, and for extending support </w:t>
      </w:r>
      <w:r w:rsidR="00635289">
        <w:t>to</w:t>
      </w:r>
      <w:r w:rsidR="00635289" w:rsidRPr="00E174CE">
        <w:t xml:space="preserve"> </w:t>
      </w:r>
      <w:r w:rsidRPr="00E174CE">
        <w:t>the COVID</w:t>
      </w:r>
      <w:r w:rsidR="000132B2">
        <w:noBreakHyphen/>
      </w:r>
      <w:r w:rsidRPr="00E174CE">
        <w:t>19 pandemic response and socioeconomic recovery</w:t>
      </w:r>
      <w:r w:rsidR="00741F05">
        <w:t xml:space="preserve"> </w:t>
      </w:r>
      <w:r w:rsidR="00EB64E6">
        <w:t>beyond the regular programme</w:t>
      </w:r>
      <w:r w:rsidRPr="00E174CE">
        <w:t xml:space="preserve">. </w:t>
      </w:r>
    </w:p>
    <w:p w14:paraId="08AF74EF" w14:textId="060B5D48" w:rsidR="00DF72F7" w:rsidRPr="00236595" w:rsidRDefault="00DF72F7" w:rsidP="00236595">
      <w:pPr>
        <w:pStyle w:val="ListParagraph"/>
        <w:ind w:left="1267" w:right="1123"/>
        <w:contextualSpacing/>
        <w:jc w:val="both"/>
        <w:rPr>
          <w:sz w:val="12"/>
          <w:szCs w:val="12"/>
        </w:rPr>
      </w:pPr>
    </w:p>
    <w:p w14:paraId="0FC5CE33" w14:textId="566CFEF4" w:rsidR="00236595" w:rsidRDefault="00FC2C0F" w:rsidP="00236595">
      <w:pPr>
        <w:pStyle w:val="ListParagraph"/>
        <w:numPr>
          <w:ilvl w:val="0"/>
          <w:numId w:val="51"/>
        </w:numPr>
        <w:ind w:left="1267" w:right="1123" w:hanging="7"/>
        <w:contextualSpacing/>
        <w:jc w:val="both"/>
      </w:pPr>
      <w:r w:rsidRPr="006752ED">
        <w:t xml:space="preserve">UNDP will build further on its core value proposition as an impartial </w:t>
      </w:r>
      <w:r w:rsidR="00741F05">
        <w:t xml:space="preserve">policy </w:t>
      </w:r>
      <w:r w:rsidRPr="006752ED">
        <w:t xml:space="preserve">advisor and integrator of </w:t>
      </w:r>
      <w:r w:rsidR="00B7068F">
        <w:t>Sustainable Development Goals</w:t>
      </w:r>
      <w:r w:rsidR="00B7068F" w:rsidRPr="006752ED">
        <w:t xml:space="preserve"> </w:t>
      </w:r>
      <w:r w:rsidRPr="006752ED">
        <w:t xml:space="preserve">solutions to help the </w:t>
      </w:r>
      <w:r w:rsidR="00635289">
        <w:t>g</w:t>
      </w:r>
      <w:r w:rsidRPr="006752ED">
        <w:t xml:space="preserve">overnment and other stakeholders </w:t>
      </w:r>
      <w:r w:rsidR="00EB64E6">
        <w:t>advance</w:t>
      </w:r>
      <w:r w:rsidRPr="006752ED">
        <w:t xml:space="preserve"> </w:t>
      </w:r>
      <w:r w:rsidR="003164FD">
        <w:t xml:space="preserve">inclusive, </w:t>
      </w:r>
      <w:r w:rsidRPr="006752ED">
        <w:t xml:space="preserve">fundamentally sound development solutions </w:t>
      </w:r>
      <w:r w:rsidR="00741F05">
        <w:t xml:space="preserve">and reforms </w:t>
      </w:r>
      <w:r w:rsidRPr="006752ED">
        <w:t xml:space="preserve">in </w:t>
      </w:r>
      <w:r w:rsidR="00EB64E6">
        <w:t>complex</w:t>
      </w:r>
      <w:r w:rsidRPr="006752ED">
        <w:t xml:space="preserve"> setting</w:t>
      </w:r>
      <w:r w:rsidR="003164FD">
        <w:t>s</w:t>
      </w:r>
      <w:r w:rsidR="00E67265">
        <w:t>,</w:t>
      </w:r>
      <w:r w:rsidR="0008581D">
        <w:t xml:space="preserve"> </w:t>
      </w:r>
      <w:r w:rsidR="00F52C70">
        <w:t>and</w:t>
      </w:r>
      <w:r w:rsidR="0008581D">
        <w:t xml:space="preserve"> </w:t>
      </w:r>
      <w:r w:rsidR="00E67265">
        <w:t xml:space="preserve">continued contributions </w:t>
      </w:r>
      <w:r w:rsidR="0008581D">
        <w:t>to conflict prevention, social cohesion</w:t>
      </w:r>
      <w:r w:rsidR="00E67265">
        <w:t>,</w:t>
      </w:r>
      <w:r w:rsidR="0008581D">
        <w:t xml:space="preserve"> and peacebuilding</w:t>
      </w:r>
      <w:r w:rsidR="0050439B" w:rsidRPr="006752ED">
        <w:t>. Th</w:t>
      </w:r>
      <w:r w:rsidR="00664060" w:rsidRPr="006752ED">
        <w:t>is will help</w:t>
      </w:r>
      <w:r w:rsidRPr="006752ED">
        <w:t xml:space="preserve"> manage risks and progressively realize greater prosperity</w:t>
      </w:r>
      <w:r w:rsidR="00F43CC5">
        <w:t>, resilience,</w:t>
      </w:r>
      <w:r w:rsidRPr="006752ED">
        <w:t xml:space="preserve"> and social cohesion.</w:t>
      </w:r>
    </w:p>
    <w:p w14:paraId="32843725" w14:textId="77777777" w:rsidR="00236595" w:rsidRPr="00236595" w:rsidRDefault="00236595" w:rsidP="00236595">
      <w:pPr>
        <w:pStyle w:val="ListParagraph"/>
        <w:rPr>
          <w:sz w:val="12"/>
          <w:szCs w:val="12"/>
        </w:rPr>
      </w:pPr>
    </w:p>
    <w:p w14:paraId="344EF165" w14:textId="082F2C80" w:rsidR="00147F64" w:rsidRDefault="00FC2C0F" w:rsidP="00236595">
      <w:pPr>
        <w:pStyle w:val="ListParagraph"/>
        <w:numPr>
          <w:ilvl w:val="0"/>
          <w:numId w:val="51"/>
        </w:numPr>
        <w:ind w:left="1267" w:right="1123" w:hanging="7"/>
        <w:contextualSpacing/>
        <w:jc w:val="both"/>
      </w:pPr>
      <w:r w:rsidRPr="006752ED">
        <w:t>T</w:t>
      </w:r>
      <w:r w:rsidR="00DF72F7" w:rsidRPr="006752ED">
        <w:t xml:space="preserve">he country context </w:t>
      </w:r>
      <w:r w:rsidR="00172F34">
        <w:t>warrants</w:t>
      </w:r>
      <w:r w:rsidR="00147F64" w:rsidRPr="006752ED">
        <w:t xml:space="preserve"> </w:t>
      </w:r>
      <w:r w:rsidR="00C76E1D">
        <w:t xml:space="preserve">additional </w:t>
      </w:r>
      <w:r w:rsidR="00E67265">
        <w:t xml:space="preserve">UNDP support to raising </w:t>
      </w:r>
      <w:r w:rsidR="00741F05">
        <w:t>public sector and institution</w:t>
      </w:r>
      <w:r w:rsidR="00E67265">
        <w:t>al capacities</w:t>
      </w:r>
      <w:r w:rsidR="00741F05">
        <w:t xml:space="preserve"> </w:t>
      </w:r>
      <w:r w:rsidR="00147F64" w:rsidRPr="006752ED">
        <w:t xml:space="preserve">in the implementation of development projects, </w:t>
      </w:r>
      <w:r w:rsidR="00533C25">
        <w:t>as well as</w:t>
      </w:r>
      <w:r w:rsidR="00147F64" w:rsidRPr="006752ED">
        <w:t xml:space="preserve"> </w:t>
      </w:r>
      <w:r w:rsidR="00741F05">
        <w:t>long</w:t>
      </w:r>
      <w:r w:rsidR="00E67265">
        <w:t>-</w:t>
      </w:r>
      <w:r w:rsidR="00741F05">
        <w:t xml:space="preserve">term, </w:t>
      </w:r>
      <w:r w:rsidR="00147F64" w:rsidRPr="006752ED">
        <w:t>strategic</w:t>
      </w:r>
      <w:r w:rsidR="00741F05">
        <w:t xml:space="preserve"> </w:t>
      </w:r>
      <w:r w:rsidR="00147F64" w:rsidRPr="006752ED">
        <w:t>efforts to help develop national capacities at all levels.</w:t>
      </w:r>
      <w:r w:rsidR="0040217F">
        <w:t xml:space="preserve"> This will prompt UNDP to invest in </w:t>
      </w:r>
      <w:r w:rsidR="00F43CC5">
        <w:t xml:space="preserve">knowledge exchange platforms, </w:t>
      </w:r>
      <w:r w:rsidR="00B5197B">
        <w:t xml:space="preserve">strategic financing facilities, incubation-type services, and other </w:t>
      </w:r>
      <w:r w:rsidR="00F43CC5">
        <w:t>entry points for helping</w:t>
      </w:r>
      <w:r w:rsidR="00B5197B">
        <w:t xml:space="preserve"> </w:t>
      </w:r>
      <w:r w:rsidR="00B27AFE">
        <w:t>develop</w:t>
      </w:r>
      <w:r w:rsidR="00B5197B">
        <w:t xml:space="preserve"> sustainable capacit</w:t>
      </w:r>
      <w:r w:rsidR="00E67265">
        <w:t>ies</w:t>
      </w:r>
      <w:r w:rsidR="00B5197B">
        <w:t xml:space="preserve"> in</w:t>
      </w:r>
      <w:r w:rsidR="00E67265">
        <w:t xml:space="preserve"> the</w:t>
      </w:r>
      <w:r w:rsidR="00B5197B">
        <w:t xml:space="preserve"> public and private sectors. It will also be important to continue investing in the performance of high quality, timely procurement support and service delivery.</w:t>
      </w:r>
    </w:p>
    <w:p w14:paraId="0A22C549" w14:textId="77777777" w:rsidR="00CF3DBB" w:rsidRPr="00236595" w:rsidRDefault="00CF3DBB" w:rsidP="00236595">
      <w:pPr>
        <w:pStyle w:val="ListParagraph"/>
        <w:rPr>
          <w:sz w:val="12"/>
          <w:szCs w:val="12"/>
        </w:rPr>
      </w:pPr>
    </w:p>
    <w:p w14:paraId="1A3DB361" w14:textId="14CAD763" w:rsidR="00147F64" w:rsidRDefault="0057758B" w:rsidP="00236595">
      <w:pPr>
        <w:pStyle w:val="ListParagraph"/>
        <w:ind w:left="1260" w:right="1123"/>
        <w:contextualSpacing/>
        <w:jc w:val="both"/>
      </w:pPr>
      <w:r>
        <w:t xml:space="preserve">10. </w:t>
      </w:r>
      <w:r w:rsidR="00FC2C0F" w:rsidRPr="006752ED">
        <w:t xml:space="preserve">UNDP will use its global knowledge network and </w:t>
      </w:r>
      <w:r w:rsidR="00215905">
        <w:t>technical offers</w:t>
      </w:r>
      <w:r w:rsidR="00FC2C0F" w:rsidRPr="006752ED">
        <w:t xml:space="preserve"> to </w:t>
      </w:r>
      <w:r w:rsidR="00664060" w:rsidRPr="00E174CE">
        <w:t>harness</w:t>
      </w:r>
      <w:r w:rsidR="00147F64" w:rsidRPr="00E174CE">
        <w:t xml:space="preserve"> partnerships </w:t>
      </w:r>
      <w:r w:rsidR="00CF3DBB">
        <w:t>for</w:t>
      </w:r>
      <w:r w:rsidR="00147F64" w:rsidRPr="00E174CE">
        <w:t xml:space="preserve"> t</w:t>
      </w:r>
      <w:r w:rsidR="00DF72F7" w:rsidRPr="00E174CE">
        <w:t xml:space="preserve">he delivery of solutions </w:t>
      </w:r>
      <w:r w:rsidR="00147F64" w:rsidRPr="00E174CE">
        <w:t xml:space="preserve">at </w:t>
      </w:r>
      <w:r w:rsidR="00F52C70">
        <w:t xml:space="preserve">greater </w:t>
      </w:r>
      <w:r w:rsidR="00147F64" w:rsidRPr="00E174CE">
        <w:t>scale</w:t>
      </w:r>
      <w:r w:rsidR="00664060" w:rsidRPr="00E174CE">
        <w:t>, including leveraging investments and</w:t>
      </w:r>
      <w:r w:rsidR="00A0724B">
        <w:t xml:space="preserve"> specific</w:t>
      </w:r>
      <w:r w:rsidR="00664060" w:rsidRPr="00E174CE">
        <w:t xml:space="preserve"> </w:t>
      </w:r>
      <w:r w:rsidR="00664060" w:rsidRPr="006752ED">
        <w:t xml:space="preserve">development finance </w:t>
      </w:r>
      <w:r w:rsidR="00A0724B">
        <w:t xml:space="preserve">solutions </w:t>
      </w:r>
      <w:r w:rsidR="00664060" w:rsidRPr="006752ED">
        <w:t>for</w:t>
      </w:r>
      <w:r w:rsidR="00E67265">
        <w:t xml:space="preserve"> the</w:t>
      </w:r>
      <w:r w:rsidR="00664060" w:rsidRPr="006752ED">
        <w:t xml:space="preserve"> Kyrgyz</w:t>
      </w:r>
      <w:r w:rsidR="00247C59">
        <w:t xml:space="preserve"> Republic</w:t>
      </w:r>
      <w:r w:rsidR="00664060" w:rsidRPr="006752ED">
        <w:t xml:space="preserve"> to make progress on green structural transformation</w:t>
      </w:r>
      <w:r w:rsidR="00664060" w:rsidRPr="00E174CE">
        <w:t xml:space="preserve">. </w:t>
      </w:r>
      <w:r w:rsidR="00FC2C0F" w:rsidRPr="00E174CE">
        <w:t>The</w:t>
      </w:r>
      <w:r w:rsidR="00147F64" w:rsidRPr="00E174CE">
        <w:t xml:space="preserve"> Accelerator Lab </w:t>
      </w:r>
      <w:r w:rsidR="00FC2C0F" w:rsidRPr="00E174CE">
        <w:t>will</w:t>
      </w:r>
      <w:r w:rsidR="003164FD">
        <w:t xml:space="preserve"> help UNDP</w:t>
      </w:r>
      <w:r w:rsidR="00FC2C0F" w:rsidRPr="00E174CE">
        <w:t xml:space="preserve"> </w:t>
      </w:r>
      <w:r w:rsidR="003164FD">
        <w:t xml:space="preserve">foster strategic innovation, </w:t>
      </w:r>
      <w:r w:rsidR="00FC2C0F" w:rsidRPr="00E174CE">
        <w:t>nurture collaborative learning and offer</w:t>
      </w:r>
      <w:r w:rsidR="00147F64" w:rsidRPr="00E174CE">
        <w:t xml:space="preserve"> experimental approaches to identify simple, scalable solutions to enhance outcomes</w:t>
      </w:r>
      <w:r w:rsidR="005A19C1">
        <w:t xml:space="preserve"> and accelerate impact</w:t>
      </w:r>
      <w:r w:rsidR="00147F64" w:rsidRPr="00E174CE">
        <w:t>.</w:t>
      </w:r>
      <w:r w:rsidR="00147F64" w:rsidRPr="006752ED">
        <w:t xml:space="preserve"> </w:t>
      </w:r>
    </w:p>
    <w:p w14:paraId="185B6C77" w14:textId="77777777" w:rsidR="00CF3DBB" w:rsidRPr="00236595" w:rsidRDefault="00CF3DBB" w:rsidP="00236595">
      <w:pPr>
        <w:pStyle w:val="ListParagraph"/>
        <w:rPr>
          <w:sz w:val="12"/>
          <w:szCs w:val="12"/>
        </w:rPr>
      </w:pPr>
    </w:p>
    <w:p w14:paraId="49A6485B" w14:textId="0EAFB2D1" w:rsidR="00E174CE" w:rsidRPr="00C95575" w:rsidRDefault="0057758B" w:rsidP="00236595">
      <w:pPr>
        <w:pStyle w:val="ListParagraph"/>
        <w:ind w:left="1267" w:right="1123"/>
        <w:contextualSpacing/>
        <w:jc w:val="both"/>
      </w:pPr>
      <w:r>
        <w:lastRenderedPageBreak/>
        <w:t xml:space="preserve">11. </w:t>
      </w:r>
      <w:r w:rsidR="00147F64" w:rsidRPr="00E174CE">
        <w:t xml:space="preserve">Building on </w:t>
      </w:r>
      <w:r w:rsidR="00E67265">
        <w:t xml:space="preserve">the strong track record of the </w:t>
      </w:r>
      <w:r w:rsidR="00147F64" w:rsidRPr="00E174CE">
        <w:t>Kyrgyz</w:t>
      </w:r>
      <w:r w:rsidR="00247C59">
        <w:t xml:space="preserve"> Republic</w:t>
      </w:r>
      <w:r w:rsidR="00E67265">
        <w:t xml:space="preserve"> in</w:t>
      </w:r>
      <w:r w:rsidR="00147F64" w:rsidRPr="00E174CE">
        <w:t xml:space="preserve"> digit</w:t>
      </w:r>
      <w:r w:rsidR="00FC2C0F" w:rsidRPr="00E174CE">
        <w:t>alization</w:t>
      </w:r>
      <w:r w:rsidR="00F52C70">
        <w:t xml:space="preserve"> and UNDP achievements this cycle</w:t>
      </w:r>
      <w:r w:rsidR="00147F64" w:rsidRPr="00E174CE">
        <w:t xml:space="preserve">, UNDP </w:t>
      </w:r>
      <w:r w:rsidR="00E67265">
        <w:t>and the</w:t>
      </w:r>
      <w:r w:rsidR="00F52C70">
        <w:t xml:space="preserve"> </w:t>
      </w:r>
      <w:r w:rsidR="00F52C70" w:rsidRPr="00C95575">
        <w:t>I</w:t>
      </w:r>
      <w:r w:rsidR="00B263EB" w:rsidRPr="00C95575">
        <w:t xml:space="preserve">nternational </w:t>
      </w:r>
      <w:r w:rsidR="00F52C70" w:rsidRPr="00C95575">
        <w:t>T</w:t>
      </w:r>
      <w:r w:rsidR="00B263EB" w:rsidRPr="00C95575">
        <w:t xml:space="preserve">elecommunication </w:t>
      </w:r>
      <w:r w:rsidR="00F52C70" w:rsidRPr="00C95575">
        <w:t>U</w:t>
      </w:r>
      <w:r w:rsidR="00B263EB" w:rsidRPr="00C95575">
        <w:t>nit</w:t>
      </w:r>
      <w:r w:rsidR="00F52C70" w:rsidRPr="00C95575">
        <w:t xml:space="preserve"> </w:t>
      </w:r>
      <w:r w:rsidR="00147F64" w:rsidRPr="00C95575">
        <w:t xml:space="preserve">will </w:t>
      </w:r>
      <w:r w:rsidR="00F43CC5" w:rsidRPr="00C95575">
        <w:t>provide technical leadership to</w:t>
      </w:r>
      <w:r w:rsidR="00664060" w:rsidRPr="00C95575">
        <w:t xml:space="preserve"> the UNCT </w:t>
      </w:r>
      <w:r w:rsidR="00CF3DBB" w:rsidRPr="00C95575">
        <w:t>in</w:t>
      </w:r>
      <w:r w:rsidR="00664060" w:rsidRPr="00C95575">
        <w:t xml:space="preserve"> mainstream</w:t>
      </w:r>
      <w:r w:rsidR="00CF3DBB" w:rsidRPr="00C95575">
        <w:t>ing this strategic enabler</w:t>
      </w:r>
      <w:r w:rsidR="00664060" w:rsidRPr="00C95575">
        <w:t xml:space="preserve"> </w:t>
      </w:r>
      <w:r w:rsidR="00CF3DBB" w:rsidRPr="00C95575">
        <w:t xml:space="preserve">to apply </w:t>
      </w:r>
      <w:r w:rsidR="00664060" w:rsidRPr="00C95575">
        <w:t>digital solutions in all programming</w:t>
      </w:r>
      <w:r w:rsidR="00F52C70" w:rsidRPr="00C95575">
        <w:t xml:space="preserve"> areas</w:t>
      </w:r>
      <w:r w:rsidR="00664060" w:rsidRPr="00C95575">
        <w:t xml:space="preserve">, making good on </w:t>
      </w:r>
      <w:r w:rsidR="00E67265">
        <w:t xml:space="preserve">the </w:t>
      </w:r>
      <w:r w:rsidR="00664060" w:rsidRPr="00C95575">
        <w:t>UNDP offer to go ‘digital by default’</w:t>
      </w:r>
      <w:r w:rsidR="00CF3DBB" w:rsidRPr="00C95575">
        <w:t xml:space="preserve"> </w:t>
      </w:r>
      <w:r w:rsidR="0050439B" w:rsidRPr="00C95575">
        <w:t xml:space="preserve">and help the country advance </w:t>
      </w:r>
      <w:r w:rsidR="00E67265">
        <w:t xml:space="preserve">with </w:t>
      </w:r>
      <w:r w:rsidR="0050439B" w:rsidRPr="00C95575">
        <w:t>digital transformation.</w:t>
      </w:r>
      <w:r w:rsidR="00AF0232" w:rsidRPr="00C95575">
        <w:t xml:space="preserve"> The application of digitalization approaches </w:t>
      </w:r>
      <w:r w:rsidR="005A1D8D" w:rsidRPr="00C95575">
        <w:t xml:space="preserve">will help </w:t>
      </w:r>
      <w:r w:rsidR="00F43CC5" w:rsidRPr="00C95575">
        <w:t>generate</w:t>
      </w:r>
      <w:r w:rsidR="005A1D8D" w:rsidRPr="00C95575">
        <w:t xml:space="preserve"> </w:t>
      </w:r>
      <w:r w:rsidR="00AF0232" w:rsidRPr="00C95575">
        <w:t>efficiencies</w:t>
      </w:r>
      <w:r w:rsidR="00165318">
        <w:t xml:space="preserve"> and </w:t>
      </w:r>
      <w:r w:rsidR="005A1D8D" w:rsidRPr="00C95575">
        <w:t>unleash the</w:t>
      </w:r>
      <w:r w:rsidR="00AF0232" w:rsidRPr="00C95575">
        <w:t xml:space="preserve"> potential for leveraging data</w:t>
      </w:r>
      <w:r w:rsidR="005A1D8D" w:rsidRPr="00C95575">
        <w:t>, statistics,</w:t>
      </w:r>
      <w:r w:rsidR="00AF0232" w:rsidRPr="00C95575">
        <w:t xml:space="preserve"> and analysis for climate action, reducing corruption</w:t>
      </w:r>
      <w:r w:rsidR="005A1D8D" w:rsidRPr="00C95575">
        <w:t>,</w:t>
      </w:r>
      <w:r w:rsidR="00AF0232" w:rsidRPr="00C95575">
        <w:t xml:space="preserve"> eliminating discrimination</w:t>
      </w:r>
      <w:r w:rsidR="005A1D8D" w:rsidRPr="00C95575">
        <w:t xml:space="preserve"> and improving justice outcomes</w:t>
      </w:r>
      <w:r w:rsidR="00AF0232" w:rsidRPr="00C95575">
        <w:t>, and str</w:t>
      </w:r>
      <w:r w:rsidR="00165318">
        <w:t>engthening</w:t>
      </w:r>
      <w:r w:rsidR="00AF0232" w:rsidRPr="00C95575">
        <w:t xml:space="preserve"> public transparency</w:t>
      </w:r>
      <w:r w:rsidR="005A1D8D" w:rsidRPr="00C95575">
        <w:t xml:space="preserve"> </w:t>
      </w:r>
      <w:r w:rsidR="00165318">
        <w:t>for</w:t>
      </w:r>
      <w:r w:rsidR="00165318" w:rsidRPr="00C95575">
        <w:t xml:space="preserve"> </w:t>
      </w:r>
      <w:r w:rsidR="005A1D8D" w:rsidRPr="00C95575">
        <w:t>stronger outcomes</w:t>
      </w:r>
      <w:r w:rsidR="00AF0232" w:rsidRPr="00C95575">
        <w:t>.</w:t>
      </w:r>
    </w:p>
    <w:p w14:paraId="67862C11" w14:textId="77D54FED" w:rsidR="00E174CE" w:rsidRPr="00236595" w:rsidRDefault="00E174CE" w:rsidP="00236595">
      <w:pPr>
        <w:pStyle w:val="ListParagraph"/>
        <w:ind w:left="1267" w:right="1123"/>
        <w:contextualSpacing/>
        <w:jc w:val="both"/>
        <w:rPr>
          <w:sz w:val="12"/>
          <w:szCs w:val="12"/>
        </w:rPr>
      </w:pPr>
    </w:p>
    <w:p w14:paraId="0C79A79C" w14:textId="138A43C6" w:rsidR="00147F64" w:rsidRPr="00C95575" w:rsidRDefault="0057758B" w:rsidP="00236595">
      <w:pPr>
        <w:pStyle w:val="ListParagraph"/>
        <w:ind w:left="1267" w:right="1123"/>
        <w:contextualSpacing/>
        <w:jc w:val="both"/>
      </w:pPr>
      <w:r w:rsidRPr="00C95575">
        <w:t xml:space="preserve">12. </w:t>
      </w:r>
      <w:r w:rsidR="00165318">
        <w:t>Alongside</w:t>
      </w:r>
      <w:r w:rsidR="00165318" w:rsidRPr="00C95575">
        <w:t xml:space="preserve"> </w:t>
      </w:r>
      <w:r w:rsidR="00EB64E6" w:rsidRPr="00C95575">
        <w:t>the UNCT</w:t>
      </w:r>
      <w:r w:rsidR="00165318">
        <w:t>,</w:t>
      </w:r>
      <w:r w:rsidR="00EB64E6" w:rsidRPr="00C95575">
        <w:t xml:space="preserve"> </w:t>
      </w:r>
      <w:r w:rsidR="00147F64" w:rsidRPr="00C95575">
        <w:t xml:space="preserve">UNDP will </w:t>
      </w:r>
      <w:r w:rsidR="00F52C70" w:rsidRPr="00C95575">
        <w:t>work with F</w:t>
      </w:r>
      <w:r w:rsidR="00B263EB" w:rsidRPr="00C95575">
        <w:t xml:space="preserve">ood and </w:t>
      </w:r>
      <w:r w:rsidR="00F52C70" w:rsidRPr="00C95575">
        <w:t>A</w:t>
      </w:r>
      <w:r w:rsidR="00B263EB" w:rsidRPr="00C95575">
        <w:t xml:space="preserve">griculture </w:t>
      </w:r>
      <w:r w:rsidR="00F52C70" w:rsidRPr="00C95575">
        <w:t>O</w:t>
      </w:r>
      <w:r w:rsidR="00B263EB" w:rsidRPr="00C95575">
        <w:t>rganization</w:t>
      </w:r>
      <w:r w:rsidR="00F52C70" w:rsidRPr="00C95575">
        <w:t xml:space="preserve"> </w:t>
      </w:r>
      <w:r w:rsidR="00B263EB" w:rsidRPr="00C95575">
        <w:t xml:space="preserve">(FAO) </w:t>
      </w:r>
      <w:r w:rsidR="00F52C70" w:rsidRPr="00C95575">
        <w:t>and other U</w:t>
      </w:r>
      <w:r w:rsidR="00B263EB" w:rsidRPr="00C95575">
        <w:t xml:space="preserve">nited </w:t>
      </w:r>
      <w:r w:rsidR="00F52C70" w:rsidRPr="00C95575">
        <w:t>N</w:t>
      </w:r>
      <w:r w:rsidR="00B263EB" w:rsidRPr="00C95575">
        <w:t>ations</w:t>
      </w:r>
      <w:r w:rsidR="00F52C70" w:rsidRPr="00C95575">
        <w:t xml:space="preserve"> </w:t>
      </w:r>
      <w:r w:rsidR="00803F18" w:rsidRPr="00C95575">
        <w:t>organizations</w:t>
      </w:r>
      <w:r w:rsidR="00F52C70" w:rsidRPr="00C95575">
        <w:t xml:space="preserve"> to</w:t>
      </w:r>
      <w:r w:rsidR="00165318">
        <w:t xml:space="preserve"> place a </w:t>
      </w:r>
      <w:r w:rsidR="00165318" w:rsidRPr="00C95575">
        <w:t xml:space="preserve">joint geographic emphasis on the Fergana Valley and mountainous villages, </w:t>
      </w:r>
      <w:r w:rsidR="00664060" w:rsidRPr="00C95575">
        <w:t>foster</w:t>
      </w:r>
      <w:r w:rsidR="00165318">
        <w:t>ing</w:t>
      </w:r>
      <w:r w:rsidR="00147F64" w:rsidRPr="00C95575">
        <w:t xml:space="preserve"> </w:t>
      </w:r>
      <w:r w:rsidR="00664060" w:rsidRPr="00C95575">
        <w:t>people-centered</w:t>
      </w:r>
      <w:r w:rsidR="00EB64E6" w:rsidRPr="00C95575">
        <w:t xml:space="preserve">, </w:t>
      </w:r>
      <w:r w:rsidR="00F43CC5" w:rsidRPr="00C95575">
        <w:t xml:space="preserve">adaptation and </w:t>
      </w:r>
      <w:r w:rsidR="00EB64E6" w:rsidRPr="00C95575">
        <w:t>ecosystem-based</w:t>
      </w:r>
      <w:r w:rsidR="00664060" w:rsidRPr="00C95575">
        <w:t xml:space="preserve"> </w:t>
      </w:r>
      <w:r w:rsidR="00147F64" w:rsidRPr="00C95575">
        <w:t>approaches</w:t>
      </w:r>
      <w:r w:rsidR="00664060" w:rsidRPr="00C95575">
        <w:t xml:space="preserve"> </w:t>
      </w:r>
      <w:r w:rsidR="00165318">
        <w:t>for</w:t>
      </w:r>
      <w:r w:rsidR="00165318" w:rsidRPr="00C95575">
        <w:t xml:space="preserve"> </w:t>
      </w:r>
      <w:r w:rsidR="00664060" w:rsidRPr="00C95575">
        <w:t>development in the regions</w:t>
      </w:r>
      <w:r w:rsidR="00165318">
        <w:t>. Approaches will</w:t>
      </w:r>
      <w:r w:rsidR="00664060" w:rsidRPr="00C95575">
        <w:t xml:space="preserve"> </w:t>
      </w:r>
      <w:r w:rsidR="00EB64E6" w:rsidRPr="00C95575">
        <w:t>ensur</w:t>
      </w:r>
      <w:r w:rsidR="00165318">
        <w:t>e</w:t>
      </w:r>
      <w:r w:rsidR="00EB64E6" w:rsidRPr="00C95575">
        <w:t xml:space="preserve"> inclusive</w:t>
      </w:r>
      <w:r w:rsidR="00664060" w:rsidRPr="00C95575">
        <w:t xml:space="preserve"> participation and transparency </w:t>
      </w:r>
      <w:r w:rsidR="00147F64" w:rsidRPr="00C95575">
        <w:t xml:space="preserve">that foster conflict sensitivity especially at </w:t>
      </w:r>
      <w:r w:rsidR="00165318">
        <w:t xml:space="preserve">the </w:t>
      </w:r>
      <w:r w:rsidR="00147F64" w:rsidRPr="00C95575">
        <w:t>community level</w:t>
      </w:r>
      <w:r w:rsidR="00664060" w:rsidRPr="00C95575">
        <w:t xml:space="preserve"> and </w:t>
      </w:r>
      <w:r w:rsidR="00165318">
        <w:t>lead to</w:t>
      </w:r>
      <w:r w:rsidR="00165318" w:rsidRPr="00C95575">
        <w:t xml:space="preserve"> </w:t>
      </w:r>
      <w:r w:rsidR="00147F64" w:rsidRPr="00C95575">
        <w:t>equitable access for women, ethnic minorities, and vulnerable groups</w:t>
      </w:r>
      <w:r w:rsidR="00EB64E6" w:rsidRPr="00C95575">
        <w:t xml:space="preserve"> </w:t>
      </w:r>
      <w:r w:rsidR="00165318">
        <w:t>in</w:t>
      </w:r>
      <w:r w:rsidR="00165318" w:rsidRPr="00C95575">
        <w:t xml:space="preserve"> </w:t>
      </w:r>
      <w:r w:rsidR="00EB64E6" w:rsidRPr="00C95575">
        <w:t>decision making</w:t>
      </w:r>
      <w:r w:rsidR="00165318">
        <w:t>. A</w:t>
      </w:r>
      <w:r w:rsidR="00664060" w:rsidRPr="00C95575">
        <w:t xml:space="preserve"> particular focus </w:t>
      </w:r>
      <w:r w:rsidR="00165318">
        <w:t xml:space="preserve">will be placed </w:t>
      </w:r>
      <w:r w:rsidR="00664060" w:rsidRPr="00C95575">
        <w:t>on youth in all programming.</w:t>
      </w:r>
    </w:p>
    <w:p w14:paraId="7350A5FD" w14:textId="77777777" w:rsidR="005C680D" w:rsidRPr="00236595" w:rsidRDefault="005C680D" w:rsidP="00236595">
      <w:pPr>
        <w:pStyle w:val="ListParagraph"/>
        <w:rPr>
          <w:sz w:val="12"/>
          <w:szCs w:val="12"/>
        </w:rPr>
      </w:pPr>
    </w:p>
    <w:p w14:paraId="59D2493E" w14:textId="221BD18F" w:rsidR="005C680D" w:rsidRDefault="0057758B" w:rsidP="00236595">
      <w:pPr>
        <w:pStyle w:val="ListParagraph"/>
        <w:ind w:left="1267" w:right="1123"/>
        <w:contextualSpacing/>
        <w:jc w:val="both"/>
      </w:pPr>
      <w:r w:rsidRPr="00C95575">
        <w:t xml:space="preserve">13. </w:t>
      </w:r>
      <w:r w:rsidR="005C680D" w:rsidRPr="00C95575">
        <w:t>The partnership survey demonstrated</w:t>
      </w:r>
      <w:r w:rsidR="00BC2B7D" w:rsidRPr="00C95575">
        <w:t xml:space="preserve"> </w:t>
      </w:r>
      <w:r w:rsidR="005C680D" w:rsidRPr="00C95575">
        <w:t xml:space="preserve">strong </w:t>
      </w:r>
      <w:r w:rsidR="00165318">
        <w:t xml:space="preserve">UNDP </w:t>
      </w:r>
      <w:r w:rsidR="00BC2B7D" w:rsidRPr="00C95575">
        <w:t>performance</w:t>
      </w:r>
      <w:r w:rsidR="005C680D" w:rsidRPr="00C95575">
        <w:t xml:space="preserve"> in the empowerment of women and mainstreaming of gender equality across programmes, particularly in access to justice. UNDP will continue to leverage this comparative advantage and work within the U</w:t>
      </w:r>
      <w:r w:rsidR="00B263EB" w:rsidRPr="00C95575">
        <w:t xml:space="preserve">nited </w:t>
      </w:r>
      <w:r w:rsidR="005C680D" w:rsidRPr="00C95575">
        <w:t>N</w:t>
      </w:r>
      <w:r w:rsidR="00B263EB" w:rsidRPr="00C95575">
        <w:t>ations</w:t>
      </w:r>
      <w:r w:rsidR="005C680D" w:rsidRPr="00C95575">
        <w:t xml:space="preserve"> Gender Theme Group </w:t>
      </w:r>
      <w:r w:rsidR="00F52C70" w:rsidRPr="00C95575">
        <w:t xml:space="preserve">and </w:t>
      </w:r>
      <w:r w:rsidR="00165318">
        <w:t>UN</w:t>
      </w:r>
      <w:r w:rsidR="00F52C70" w:rsidRPr="00C95575">
        <w:t xml:space="preserve"> Women </w:t>
      </w:r>
      <w:r w:rsidR="005C680D" w:rsidRPr="00C95575">
        <w:t xml:space="preserve">to contribute </w:t>
      </w:r>
      <w:r w:rsidR="00BC2B7D" w:rsidRPr="00C95575">
        <w:t>to the</w:t>
      </w:r>
      <w:r w:rsidR="005C680D" w:rsidRPr="00C95575">
        <w:t xml:space="preserve"> </w:t>
      </w:r>
      <w:r w:rsidR="00BC2B7D" w:rsidRPr="00C95575">
        <w:t xml:space="preserve">political and economic empowerment of women </w:t>
      </w:r>
      <w:r w:rsidR="005C680D" w:rsidRPr="00C95575">
        <w:t xml:space="preserve">across a broader set of </w:t>
      </w:r>
      <w:r w:rsidR="00BC2B7D" w:rsidRPr="00C95575">
        <w:t xml:space="preserve">country programme </w:t>
      </w:r>
      <w:r w:rsidR="005C680D" w:rsidRPr="00C95575">
        <w:t>results.</w:t>
      </w:r>
      <w:r w:rsidR="00F43CC5" w:rsidRPr="00C95575">
        <w:t xml:space="preserve"> Enabling women to contribute </w:t>
      </w:r>
      <w:r w:rsidR="00165318" w:rsidRPr="00C95575">
        <w:t>to</w:t>
      </w:r>
      <w:r w:rsidR="00F43CC5" w:rsidRPr="00C95575">
        <w:t xml:space="preserve"> leadership roles for climate action will be a priority.</w:t>
      </w:r>
    </w:p>
    <w:p w14:paraId="7334B425" w14:textId="77777777" w:rsidR="00EB64E6" w:rsidRPr="00236595" w:rsidRDefault="00EB64E6" w:rsidP="00236595">
      <w:pPr>
        <w:pStyle w:val="ListParagraph"/>
        <w:rPr>
          <w:sz w:val="12"/>
          <w:szCs w:val="12"/>
        </w:rPr>
      </w:pPr>
    </w:p>
    <w:p w14:paraId="05C2DDD0" w14:textId="368B9E48" w:rsidR="00A84659" w:rsidRDefault="0057758B" w:rsidP="00236595">
      <w:pPr>
        <w:pStyle w:val="ListParagraph"/>
        <w:spacing w:after="200"/>
        <w:ind w:left="1267" w:right="1123"/>
        <w:contextualSpacing/>
        <w:jc w:val="both"/>
      </w:pPr>
      <w:r>
        <w:t xml:space="preserve">14. </w:t>
      </w:r>
      <w:r w:rsidR="00E174CE">
        <w:t>T</w:t>
      </w:r>
      <w:r w:rsidR="00CF3DBB" w:rsidRPr="006752ED">
        <w:t>he independent e</w:t>
      </w:r>
      <w:r w:rsidR="00A84659" w:rsidRPr="00E174CE">
        <w:t>valuation</w:t>
      </w:r>
      <w:r w:rsidR="000F38A8">
        <w:t xml:space="preserve"> of the UNDP country programme for the previous cycle</w:t>
      </w:r>
      <w:r w:rsidR="00E174CE">
        <w:t>, while acknowledging that</w:t>
      </w:r>
      <w:r w:rsidR="00E174CE" w:rsidRPr="00973BE4">
        <w:t xml:space="preserve"> UNDP must continue to support </w:t>
      </w:r>
      <w:r w:rsidR="00165318">
        <w:t xml:space="preserve">the </w:t>
      </w:r>
      <w:r w:rsidR="00E174CE" w:rsidRPr="00973BE4">
        <w:t>empowerment of vulnerable groups</w:t>
      </w:r>
      <w:r w:rsidR="00E174CE">
        <w:t>,</w:t>
      </w:r>
      <w:r w:rsidR="00A84659" w:rsidRPr="00E174CE">
        <w:t xml:space="preserve"> </w:t>
      </w:r>
      <w:r w:rsidR="0050439B" w:rsidRPr="006752ED">
        <w:t xml:space="preserve">also </w:t>
      </w:r>
      <w:r w:rsidR="00A84659" w:rsidRPr="00E174CE">
        <w:t xml:space="preserve">recommended </w:t>
      </w:r>
      <w:r w:rsidR="00A84659" w:rsidRPr="00C95575">
        <w:t xml:space="preserve">UNDP increase </w:t>
      </w:r>
      <w:r w:rsidR="00165318">
        <w:t xml:space="preserve">its </w:t>
      </w:r>
      <w:r w:rsidR="00A84659" w:rsidRPr="00C95575">
        <w:t xml:space="preserve">partnership and cooperation with </w:t>
      </w:r>
      <w:r w:rsidR="00165318">
        <w:t xml:space="preserve">the </w:t>
      </w:r>
      <w:r w:rsidR="00A84659" w:rsidRPr="00C95575">
        <w:t>private sector, especially in green economy and renewable energy</w:t>
      </w:r>
      <w:r w:rsidR="00165318">
        <w:t>,</w:t>
      </w:r>
      <w:r w:rsidR="00A84659" w:rsidRPr="00C95575">
        <w:t xml:space="preserve"> </w:t>
      </w:r>
      <w:r w:rsidR="0050439B" w:rsidRPr="00C95575">
        <w:t xml:space="preserve">and to </w:t>
      </w:r>
      <w:r w:rsidR="00A84659" w:rsidRPr="00C95575">
        <w:t>engage diaspora</w:t>
      </w:r>
      <w:r w:rsidR="00F52C70" w:rsidRPr="00C95575">
        <w:t xml:space="preserve"> networks</w:t>
      </w:r>
      <w:r w:rsidR="00A84659" w:rsidRPr="00C95575">
        <w:t xml:space="preserve"> more actively in local development.</w:t>
      </w:r>
      <w:r w:rsidR="0050439B" w:rsidRPr="00C95575">
        <w:t xml:space="preserve"> During this cycle, UNDP will develop new programming on affordable, sustainable energy </w:t>
      </w:r>
      <w:r w:rsidR="00F52C70" w:rsidRPr="00C95575">
        <w:t xml:space="preserve">in cooperation with </w:t>
      </w:r>
      <w:r w:rsidR="00B7068F" w:rsidRPr="00C95575">
        <w:t xml:space="preserve">the </w:t>
      </w:r>
      <w:r w:rsidR="00F0077E" w:rsidRPr="00C95575">
        <w:t>World Bank and U</w:t>
      </w:r>
      <w:r w:rsidR="00B263EB" w:rsidRPr="00C95575">
        <w:t xml:space="preserve">nited </w:t>
      </w:r>
      <w:r w:rsidR="00F0077E" w:rsidRPr="00C95575">
        <w:t>N</w:t>
      </w:r>
      <w:r w:rsidR="00B263EB" w:rsidRPr="00C95575">
        <w:t xml:space="preserve">ations </w:t>
      </w:r>
      <w:r w:rsidR="00F0077E" w:rsidRPr="00C95575">
        <w:t>E</w:t>
      </w:r>
      <w:r w:rsidR="00B263EB" w:rsidRPr="00C95575">
        <w:t xml:space="preserve">conomic </w:t>
      </w:r>
      <w:r w:rsidR="00F0077E" w:rsidRPr="00C95575">
        <w:t>C</w:t>
      </w:r>
      <w:r w:rsidR="00B263EB" w:rsidRPr="00C95575">
        <w:t xml:space="preserve">ommission for </w:t>
      </w:r>
      <w:r w:rsidR="00F0077E" w:rsidRPr="00C95575">
        <w:t>E</w:t>
      </w:r>
      <w:r w:rsidR="00B263EB" w:rsidRPr="00C95575">
        <w:t>urope</w:t>
      </w:r>
      <w:r w:rsidR="00165318">
        <w:t xml:space="preserve">, as well as work </w:t>
      </w:r>
      <w:r w:rsidR="00F52C70" w:rsidRPr="00C95575">
        <w:t xml:space="preserve">with </w:t>
      </w:r>
      <w:r w:rsidR="00165318">
        <w:t xml:space="preserve">the </w:t>
      </w:r>
      <w:r w:rsidR="00F52C70" w:rsidRPr="00C95575">
        <w:t>I</w:t>
      </w:r>
      <w:r w:rsidR="00B263EB" w:rsidRPr="00C95575">
        <w:t xml:space="preserve">nternational </w:t>
      </w:r>
      <w:r w:rsidR="00F52C70" w:rsidRPr="00C95575">
        <w:t>O</w:t>
      </w:r>
      <w:r w:rsidR="00B263EB" w:rsidRPr="00C95575">
        <w:t xml:space="preserve">rganization for </w:t>
      </w:r>
      <w:r w:rsidR="00F52C70" w:rsidRPr="00C95575">
        <w:t>M</w:t>
      </w:r>
      <w:r w:rsidR="00B263EB" w:rsidRPr="00C95575">
        <w:t>igration (IOM)</w:t>
      </w:r>
      <w:r w:rsidR="00F52C70" w:rsidRPr="00C95575">
        <w:t xml:space="preserve"> </w:t>
      </w:r>
      <w:r w:rsidR="00165318">
        <w:t>to help</w:t>
      </w:r>
      <w:r w:rsidR="00CF3DBB" w:rsidRPr="00C95575">
        <w:t xml:space="preserve"> leverage </w:t>
      </w:r>
      <w:r w:rsidR="00165318">
        <w:t xml:space="preserve">the </w:t>
      </w:r>
      <w:r w:rsidR="00CF3DBB" w:rsidRPr="00C95575">
        <w:t xml:space="preserve">benefits of migration and human mobility, </w:t>
      </w:r>
      <w:r w:rsidR="00165318">
        <w:t xml:space="preserve">themes </w:t>
      </w:r>
      <w:r w:rsidR="00CF3DBB" w:rsidRPr="00C95575">
        <w:t xml:space="preserve">jointly identified by </w:t>
      </w:r>
      <w:r w:rsidR="00165318">
        <w:t xml:space="preserve">the </w:t>
      </w:r>
      <w:r w:rsidR="00CF3DBB" w:rsidRPr="00C95575">
        <w:t>UNCT as powerful S</w:t>
      </w:r>
      <w:r w:rsidR="00B263EB" w:rsidRPr="00C95575">
        <w:t xml:space="preserve">ustainable </w:t>
      </w:r>
      <w:r w:rsidR="00CF3DBB" w:rsidRPr="00C95575">
        <w:t>D</w:t>
      </w:r>
      <w:r w:rsidR="00B263EB" w:rsidRPr="00C95575">
        <w:t xml:space="preserve">evelopment </w:t>
      </w:r>
      <w:r w:rsidR="00CF3DBB" w:rsidRPr="00C95575">
        <w:t>G</w:t>
      </w:r>
      <w:r w:rsidR="00B263EB" w:rsidRPr="00C95575">
        <w:t>oals</w:t>
      </w:r>
      <w:r w:rsidR="00CF3DBB" w:rsidRPr="00C95575">
        <w:t xml:space="preserve"> accelerators</w:t>
      </w:r>
      <w:r w:rsidR="00165318">
        <w:t>.</w:t>
      </w:r>
      <w:r w:rsidR="00E174CE" w:rsidRPr="00C95575">
        <w:rPr>
          <w:rStyle w:val="FootnoteReference"/>
        </w:rPr>
        <w:footnoteReference w:id="5"/>
      </w:r>
    </w:p>
    <w:p w14:paraId="2440D3E0" w14:textId="77F182DB" w:rsidR="004820B0" w:rsidRPr="003C26C1" w:rsidRDefault="004820B0" w:rsidP="00236595">
      <w:pPr>
        <w:pStyle w:val="Heading2"/>
        <w:spacing w:after="200" w:line="240" w:lineRule="exact"/>
        <w:ind w:left="1267" w:right="1267" w:hanging="367"/>
        <w:jc w:val="both"/>
        <w:rPr>
          <w:rFonts w:ascii="Times New Roman" w:hAnsi="Times New Roman"/>
          <w:color w:val="000000"/>
          <w:spacing w:val="-3"/>
          <w:sz w:val="20"/>
        </w:rPr>
      </w:pPr>
      <w:r w:rsidRPr="003C26C1">
        <w:rPr>
          <w:rFonts w:ascii="Times New Roman" w:hAnsi="Times New Roman"/>
          <w:bCs/>
          <w:color w:val="000000"/>
          <w:sz w:val="24"/>
          <w:szCs w:val="24"/>
        </w:rPr>
        <w:t>II.</w:t>
      </w:r>
      <w:r w:rsidR="00236595">
        <w:rPr>
          <w:rFonts w:ascii="Times New Roman" w:hAnsi="Times New Roman"/>
          <w:bCs/>
          <w:color w:val="000000"/>
          <w:sz w:val="24"/>
          <w:szCs w:val="24"/>
        </w:rPr>
        <w:tab/>
      </w:r>
      <w:r w:rsidR="00677F8A" w:rsidRPr="003C26C1">
        <w:rPr>
          <w:rFonts w:ascii="Times New Roman" w:hAnsi="Times New Roman"/>
          <w:bCs/>
          <w:color w:val="000000"/>
          <w:sz w:val="24"/>
          <w:szCs w:val="24"/>
        </w:rPr>
        <w:t xml:space="preserve">Programme </w:t>
      </w:r>
      <w:r w:rsidR="00236595">
        <w:rPr>
          <w:rFonts w:ascii="Times New Roman" w:hAnsi="Times New Roman"/>
          <w:bCs/>
          <w:color w:val="000000"/>
          <w:sz w:val="24"/>
          <w:szCs w:val="24"/>
        </w:rPr>
        <w:t>p</w:t>
      </w:r>
      <w:r w:rsidR="00677F8A" w:rsidRPr="003C26C1">
        <w:rPr>
          <w:rFonts w:ascii="Times New Roman" w:hAnsi="Times New Roman"/>
          <w:bCs/>
          <w:color w:val="000000"/>
          <w:sz w:val="24"/>
          <w:szCs w:val="24"/>
        </w:rPr>
        <w:t>riorities</w:t>
      </w:r>
      <w:r w:rsidR="002B6341" w:rsidRPr="003C26C1">
        <w:rPr>
          <w:rFonts w:ascii="Times New Roman" w:hAnsi="Times New Roman"/>
          <w:bCs/>
          <w:color w:val="000000"/>
          <w:sz w:val="24"/>
          <w:szCs w:val="24"/>
        </w:rPr>
        <w:t xml:space="preserve"> </w:t>
      </w:r>
      <w:r w:rsidR="004736BE" w:rsidRPr="003C26C1">
        <w:rPr>
          <w:rFonts w:ascii="Times New Roman" w:hAnsi="Times New Roman"/>
          <w:bCs/>
          <w:color w:val="000000"/>
          <w:sz w:val="24"/>
          <w:szCs w:val="24"/>
        </w:rPr>
        <w:t xml:space="preserve">and </w:t>
      </w:r>
      <w:r w:rsidR="00236595">
        <w:rPr>
          <w:rFonts w:ascii="Times New Roman" w:hAnsi="Times New Roman"/>
          <w:bCs/>
          <w:color w:val="000000"/>
          <w:sz w:val="24"/>
          <w:szCs w:val="24"/>
        </w:rPr>
        <w:t>p</w:t>
      </w:r>
      <w:r w:rsidR="002B6341" w:rsidRPr="003C26C1">
        <w:rPr>
          <w:rFonts w:ascii="Times New Roman" w:hAnsi="Times New Roman"/>
          <w:bCs/>
          <w:color w:val="000000"/>
          <w:sz w:val="24"/>
          <w:szCs w:val="24"/>
        </w:rPr>
        <w:t>artnerships</w:t>
      </w:r>
      <w:r w:rsidR="00074DB9" w:rsidRPr="003C26C1">
        <w:rPr>
          <w:rFonts w:ascii="Times New Roman" w:hAnsi="Times New Roman"/>
          <w:bCs/>
          <w:color w:val="000000"/>
          <w:sz w:val="24"/>
          <w:szCs w:val="24"/>
        </w:rPr>
        <w:t xml:space="preserve"> </w:t>
      </w:r>
    </w:p>
    <w:p w14:paraId="75E5C2F6" w14:textId="3D5B0845" w:rsidR="00A84659" w:rsidRDefault="0057758B" w:rsidP="00236595">
      <w:pPr>
        <w:pStyle w:val="ListParagraph"/>
        <w:ind w:left="1267" w:right="1123"/>
        <w:contextualSpacing/>
        <w:jc w:val="both"/>
      </w:pPr>
      <w:r>
        <w:t xml:space="preserve">15. </w:t>
      </w:r>
      <w:r w:rsidR="00A84659" w:rsidRPr="003B2D3F">
        <w:t xml:space="preserve">This </w:t>
      </w:r>
      <w:r w:rsidR="00D864B2">
        <w:t>country programme</w:t>
      </w:r>
      <w:r w:rsidR="00D864B2" w:rsidRPr="003B2D3F">
        <w:t xml:space="preserve"> </w:t>
      </w:r>
      <w:r w:rsidR="00A84659" w:rsidRPr="003B2D3F">
        <w:t>outlines</w:t>
      </w:r>
      <w:r w:rsidR="00165318">
        <w:t xml:space="preserve"> the</w:t>
      </w:r>
      <w:r w:rsidR="00A84659" w:rsidRPr="003B2D3F">
        <w:t xml:space="preserve"> UNDP ambition to assist the Kyrgyz Republic in its aspiration </w:t>
      </w:r>
      <w:r w:rsidR="00165318">
        <w:t>to emerge as a</w:t>
      </w:r>
      <w:r w:rsidR="00A84659" w:rsidRPr="003B2D3F">
        <w:t xml:space="preserve"> socioeconomically resilient and socially cohesive nation. </w:t>
      </w:r>
      <w:r w:rsidR="00165318">
        <w:t>T</w:t>
      </w:r>
      <w:r w:rsidR="00A84659" w:rsidRPr="003B2D3F">
        <w:t>hree programmatic outcomes</w:t>
      </w:r>
      <w:r w:rsidR="00165318">
        <w:t>—</w:t>
      </w:r>
      <w:r w:rsidR="00A84659" w:rsidRPr="003B2D3F">
        <w:t>green growth, governance and climate action</w:t>
      </w:r>
      <w:r w:rsidR="00165318">
        <w:t>—</w:t>
      </w:r>
      <w:r w:rsidR="00A84659" w:rsidRPr="003B2D3F">
        <w:t>have</w:t>
      </w:r>
      <w:r w:rsidR="00165318">
        <w:t xml:space="preserve"> an</w:t>
      </w:r>
      <w:r w:rsidR="00F52C70">
        <w:t xml:space="preserve"> </w:t>
      </w:r>
      <w:r w:rsidR="00F97A9F">
        <w:t xml:space="preserve">integrative </w:t>
      </w:r>
      <w:r w:rsidR="00A84659" w:rsidRPr="003B2D3F">
        <w:t xml:space="preserve">impact on social cohesion in </w:t>
      </w:r>
      <w:r w:rsidR="00165318">
        <w:t xml:space="preserve">the </w:t>
      </w:r>
      <w:r w:rsidR="00A84659" w:rsidRPr="003B2D3F">
        <w:t>Kyrgyz</w:t>
      </w:r>
      <w:r w:rsidR="00247C59">
        <w:t xml:space="preserve"> Republic</w:t>
      </w:r>
      <w:r w:rsidR="00A84659" w:rsidRPr="003B2D3F">
        <w:t xml:space="preserve"> and will contribute </w:t>
      </w:r>
      <w:r w:rsidR="00703E0F" w:rsidRPr="003B2D3F">
        <w:t>to overcoming</w:t>
      </w:r>
      <w:r w:rsidR="00A84659" w:rsidRPr="003B2D3F">
        <w:t xml:space="preserve"> geographic, socioeconomic and other disparities. </w:t>
      </w:r>
      <w:r w:rsidR="00D864B2">
        <w:t>The country programme</w:t>
      </w:r>
      <w:r w:rsidR="007C6300">
        <w:t xml:space="preserve"> </w:t>
      </w:r>
      <w:r w:rsidR="00F52C70">
        <w:t>was</w:t>
      </w:r>
      <w:r w:rsidR="00AC1AC3">
        <w:t xml:space="preserve"> developed through a consultative process</w:t>
      </w:r>
      <w:r w:rsidR="003141CE">
        <w:t xml:space="preserve"> with </w:t>
      </w:r>
      <w:r w:rsidR="0059526B">
        <w:t>G</w:t>
      </w:r>
      <w:r w:rsidR="003141CE">
        <w:t>overnment, civil soc</w:t>
      </w:r>
      <w:r w:rsidR="00F52C70">
        <w:t>i</w:t>
      </w:r>
      <w:r w:rsidR="003141CE">
        <w:t>ety</w:t>
      </w:r>
      <w:r w:rsidR="0047504B">
        <w:t>,</w:t>
      </w:r>
      <w:r w:rsidR="003141CE">
        <w:t xml:space="preserve"> and </w:t>
      </w:r>
      <w:r w:rsidR="0047504B">
        <w:t xml:space="preserve">the </w:t>
      </w:r>
      <w:r w:rsidR="003141CE">
        <w:t>private sector,</w:t>
      </w:r>
      <w:r w:rsidR="007F3600">
        <w:t xml:space="preserve"> </w:t>
      </w:r>
      <w:r w:rsidR="0047504B">
        <w:t xml:space="preserve">and concluded </w:t>
      </w:r>
      <w:r w:rsidR="007F3600">
        <w:t>with a national validation workshop.</w:t>
      </w:r>
    </w:p>
    <w:p w14:paraId="7AA10D0A" w14:textId="77777777" w:rsidR="00C96760" w:rsidRPr="00236595" w:rsidRDefault="00C96760" w:rsidP="00236595">
      <w:pPr>
        <w:pStyle w:val="ListParagraph"/>
        <w:tabs>
          <w:tab w:val="left" w:pos="1530"/>
          <w:tab w:val="left" w:pos="1620"/>
        </w:tabs>
        <w:ind w:left="1260" w:right="1123"/>
        <w:contextualSpacing/>
        <w:jc w:val="both"/>
        <w:rPr>
          <w:sz w:val="12"/>
          <w:szCs w:val="12"/>
        </w:rPr>
      </w:pPr>
    </w:p>
    <w:p w14:paraId="0A755CD1" w14:textId="070AA307" w:rsidR="00A84659" w:rsidRDefault="0057758B" w:rsidP="00236595">
      <w:pPr>
        <w:pStyle w:val="ListParagraph"/>
        <w:tabs>
          <w:tab w:val="left" w:pos="1530"/>
          <w:tab w:val="left" w:pos="1620"/>
        </w:tabs>
        <w:ind w:left="1267" w:right="1123"/>
        <w:contextualSpacing/>
        <w:jc w:val="both"/>
      </w:pPr>
      <w:r>
        <w:t xml:space="preserve">16. </w:t>
      </w:r>
      <w:r w:rsidR="00A84659" w:rsidRPr="003B2D3F">
        <w:t xml:space="preserve">The theory of change puts social cohesion, peace and stability at the center of UNDP development efforts. </w:t>
      </w:r>
      <w:bookmarkStart w:id="1" w:name="_Hlk98845549"/>
      <w:r w:rsidR="00A84659" w:rsidRPr="003B2D3F">
        <w:t xml:space="preserve">It is based on interrelated assumptions that </w:t>
      </w:r>
      <w:r w:rsidR="0047504B">
        <w:t>promote</w:t>
      </w:r>
      <w:r w:rsidR="00A84659" w:rsidRPr="003B2D3F">
        <w:t xml:space="preserve"> </w:t>
      </w:r>
      <w:r w:rsidR="0047504B" w:rsidRPr="003B2D3F">
        <w:t xml:space="preserve">inclusive and peace-positive </w:t>
      </w:r>
      <w:r w:rsidR="00A84659" w:rsidRPr="003B2D3F">
        <w:t>digital transformation and green economy accompanied by adequate policies of adaptation to</w:t>
      </w:r>
      <w:r w:rsidR="0047504B">
        <w:t>,</w:t>
      </w:r>
      <w:r w:rsidR="00A84659" w:rsidRPr="003B2D3F">
        <w:t xml:space="preserve"> and mitigation of</w:t>
      </w:r>
      <w:r w:rsidR="0047504B">
        <w:t>,</w:t>
      </w:r>
      <w:r w:rsidR="00A84659" w:rsidRPr="003B2D3F">
        <w:t xml:space="preserve"> climate change.  Inclusive and people-centered policymaking and access to public services, including justice, support</w:t>
      </w:r>
      <w:r w:rsidR="0047504B">
        <w:t>ing</w:t>
      </w:r>
      <w:r w:rsidR="00A84659" w:rsidRPr="003B2D3F">
        <w:t xml:space="preserve"> the vulnerable in reaching their economic, social and political potential</w:t>
      </w:r>
      <w:r w:rsidR="0047504B">
        <w:t>,</w:t>
      </w:r>
      <w:r w:rsidR="00A84659" w:rsidRPr="003B2D3F">
        <w:t xml:space="preserve"> and strengthen</w:t>
      </w:r>
      <w:r w:rsidR="0047504B">
        <w:t>ing</w:t>
      </w:r>
      <w:r w:rsidR="00A84659" w:rsidRPr="003B2D3F">
        <w:t xml:space="preserve"> their ability to become more resilient to a variety of shocks. </w:t>
      </w:r>
      <w:bookmarkEnd w:id="1"/>
    </w:p>
    <w:p w14:paraId="74B10598" w14:textId="77777777" w:rsidR="00C96760" w:rsidRPr="00236595" w:rsidRDefault="00C96760" w:rsidP="00236595">
      <w:pPr>
        <w:tabs>
          <w:tab w:val="left" w:pos="1530"/>
          <w:tab w:val="left" w:pos="1620"/>
        </w:tabs>
        <w:ind w:right="1123"/>
        <w:contextualSpacing/>
        <w:jc w:val="both"/>
        <w:rPr>
          <w:sz w:val="12"/>
          <w:szCs w:val="12"/>
        </w:rPr>
      </w:pPr>
    </w:p>
    <w:p w14:paraId="537684BB" w14:textId="155A5EC6" w:rsidR="00A84659" w:rsidRDefault="0057758B" w:rsidP="00236595">
      <w:pPr>
        <w:pStyle w:val="ListParagraph"/>
        <w:tabs>
          <w:tab w:val="left" w:pos="1530"/>
          <w:tab w:val="left" w:pos="1620"/>
        </w:tabs>
        <w:ind w:left="1260" w:right="1123"/>
        <w:contextualSpacing/>
        <w:jc w:val="both"/>
      </w:pPr>
      <w:r>
        <w:t xml:space="preserve">17. </w:t>
      </w:r>
      <w:r w:rsidR="00EB64E6">
        <w:t>The</w:t>
      </w:r>
      <w:r w:rsidR="00EB64E6" w:rsidRPr="003B2D3F">
        <w:t xml:space="preserve"> </w:t>
      </w:r>
      <w:r w:rsidR="00A84659" w:rsidRPr="003B2D3F">
        <w:t>country programme reflects the priorities of National Development Program of 2026 and National Development Strategy of the Kyrgyz Republic 2018–2040. It is fully aligned with the UNDP Strategic Plan</w:t>
      </w:r>
      <w:r w:rsidR="0047504B">
        <w:t xml:space="preserve"> and</w:t>
      </w:r>
      <w:r w:rsidR="00A84659" w:rsidRPr="003B2D3F">
        <w:t xml:space="preserve"> UNSDCF </w:t>
      </w:r>
      <w:r w:rsidR="0027242E" w:rsidRPr="003B2D3F">
        <w:t>2023-2027</w:t>
      </w:r>
      <w:r w:rsidR="0027242E">
        <w:t xml:space="preserve"> and</w:t>
      </w:r>
      <w:r w:rsidR="00A84659" w:rsidRPr="003B2D3F">
        <w:t xml:space="preserve"> contributes to implementation of Sustainable Development Goals in Kyrgyz Republic. UNDP will apply its signature solutions </w:t>
      </w:r>
      <w:r w:rsidR="00A84659" w:rsidRPr="003B2D3F">
        <w:lastRenderedPageBreak/>
        <w:t xml:space="preserve">to help the country </w:t>
      </w:r>
      <w:r w:rsidR="00F0077E">
        <w:t>catalyze</w:t>
      </w:r>
      <w:r w:rsidR="00F0077E" w:rsidRPr="003B2D3F">
        <w:t xml:space="preserve"> </w:t>
      </w:r>
      <w:r w:rsidR="00A84659" w:rsidRPr="003B2D3F">
        <w:t xml:space="preserve">green and inclusive structural transformation in a manner that is risk-informed and evidence-based. </w:t>
      </w:r>
    </w:p>
    <w:p w14:paraId="177BD46D" w14:textId="77777777" w:rsidR="00C96760" w:rsidRPr="00236595" w:rsidRDefault="00C96760" w:rsidP="00236595">
      <w:pPr>
        <w:tabs>
          <w:tab w:val="left" w:pos="1530"/>
          <w:tab w:val="left" w:pos="1620"/>
        </w:tabs>
        <w:ind w:right="1123"/>
        <w:contextualSpacing/>
        <w:jc w:val="both"/>
        <w:rPr>
          <w:sz w:val="12"/>
          <w:szCs w:val="12"/>
        </w:rPr>
      </w:pPr>
    </w:p>
    <w:p w14:paraId="04CEECBA" w14:textId="254909EC" w:rsidR="00A84659" w:rsidRDefault="0057758B" w:rsidP="00236595">
      <w:pPr>
        <w:pStyle w:val="ListParagraph"/>
        <w:tabs>
          <w:tab w:val="left" w:pos="1530"/>
          <w:tab w:val="left" w:pos="1620"/>
        </w:tabs>
        <w:ind w:left="1260" w:right="1123"/>
        <w:contextualSpacing/>
        <w:jc w:val="both"/>
      </w:pPr>
      <w:r>
        <w:t xml:space="preserve">18. </w:t>
      </w:r>
      <w:r w:rsidR="00A84659" w:rsidRPr="003B2D3F">
        <w:t xml:space="preserve">For all three programmatic outcomes UNDP built lasting partnerships with bilateral and multilateral </w:t>
      </w:r>
      <w:r w:rsidR="00B72495">
        <w:t>partners</w:t>
      </w:r>
      <w:r w:rsidR="006249A9">
        <w:t xml:space="preserve">, as well as </w:t>
      </w:r>
      <w:r w:rsidR="00B7068F">
        <w:t>United Nations</w:t>
      </w:r>
      <w:r w:rsidR="006249A9">
        <w:t xml:space="preserve"> agencies</w:t>
      </w:r>
      <w:r w:rsidR="00A84659" w:rsidRPr="003B2D3F">
        <w:t xml:space="preserve">. UNDP will scale up </w:t>
      </w:r>
      <w:r w:rsidR="00A84BCA">
        <w:t xml:space="preserve">adaptation and </w:t>
      </w:r>
      <w:r w:rsidR="00A84659" w:rsidRPr="003B2D3F">
        <w:t>green financing initiatives in partnership with International Financ</w:t>
      </w:r>
      <w:r w:rsidR="004E4851">
        <w:t>e</w:t>
      </w:r>
      <w:r w:rsidR="00A84659" w:rsidRPr="003B2D3F">
        <w:t xml:space="preserve"> Institutions</w:t>
      </w:r>
      <w:r w:rsidR="004E4851">
        <w:t xml:space="preserve"> (IFIs)</w:t>
      </w:r>
      <w:r w:rsidR="00A84659" w:rsidRPr="003B2D3F">
        <w:t xml:space="preserve"> and local investment platforms. This will include supporting the Kyrgyz Republic in creating an enabling environment for private investment in green recovery and structural transformation. Building on previous </w:t>
      </w:r>
      <w:r w:rsidR="0047504B">
        <w:t>successes</w:t>
      </w:r>
      <w:r w:rsidR="0047504B" w:rsidRPr="003B2D3F">
        <w:t xml:space="preserve"> </w:t>
      </w:r>
      <w:r w:rsidR="00A84659" w:rsidRPr="003B2D3F">
        <w:t>in biodiversity finance</w:t>
      </w:r>
      <w:r w:rsidR="00AF28FF">
        <w:t xml:space="preserve"> and support to debt management</w:t>
      </w:r>
      <w:r w:rsidR="00A84659" w:rsidRPr="003B2D3F">
        <w:t xml:space="preserve">, UNDP will support the </w:t>
      </w:r>
      <w:r w:rsidR="0059526B">
        <w:t>G</w:t>
      </w:r>
      <w:r w:rsidR="00A84659" w:rsidRPr="003B2D3F">
        <w:t xml:space="preserve">overnment in establishing a credible conservation finance platform </w:t>
      </w:r>
      <w:r w:rsidR="00AF28FF">
        <w:t>to explore</w:t>
      </w:r>
      <w:r w:rsidR="00AF28FF" w:rsidRPr="003B2D3F">
        <w:t xml:space="preserve"> </w:t>
      </w:r>
      <w:r w:rsidR="0047504B">
        <w:t>‘</w:t>
      </w:r>
      <w:r w:rsidR="00A84659" w:rsidRPr="003B2D3F">
        <w:t>debt for nature</w:t>
      </w:r>
      <w:r w:rsidR="0047504B">
        <w:t>’</w:t>
      </w:r>
      <w:r w:rsidR="00A84659" w:rsidRPr="003B2D3F">
        <w:t xml:space="preserve"> swaps.</w:t>
      </w:r>
    </w:p>
    <w:p w14:paraId="57AF6424" w14:textId="77777777" w:rsidR="00C96760" w:rsidRPr="00236595" w:rsidRDefault="00C96760" w:rsidP="00236595">
      <w:pPr>
        <w:tabs>
          <w:tab w:val="left" w:pos="1530"/>
          <w:tab w:val="left" w:pos="1620"/>
        </w:tabs>
        <w:ind w:right="1123"/>
        <w:contextualSpacing/>
        <w:jc w:val="both"/>
        <w:rPr>
          <w:sz w:val="12"/>
          <w:szCs w:val="12"/>
        </w:rPr>
      </w:pPr>
    </w:p>
    <w:p w14:paraId="115C598A" w14:textId="0BA15D61" w:rsidR="00A84659" w:rsidRPr="00C95575" w:rsidRDefault="0057758B" w:rsidP="00236595">
      <w:pPr>
        <w:pStyle w:val="ListParagraph"/>
        <w:tabs>
          <w:tab w:val="left" w:pos="1530"/>
          <w:tab w:val="left" w:pos="1620"/>
        </w:tabs>
        <w:ind w:left="1260" w:right="1123"/>
        <w:contextualSpacing/>
        <w:jc w:val="both"/>
      </w:pPr>
      <w:r>
        <w:t xml:space="preserve">19. </w:t>
      </w:r>
      <w:r w:rsidR="00B44CD0">
        <w:t xml:space="preserve">Building on </w:t>
      </w:r>
      <w:r w:rsidR="00F97A9F">
        <w:t>progress</w:t>
      </w:r>
      <w:r w:rsidR="00B44CD0">
        <w:t xml:space="preserve"> in development finance, the</w:t>
      </w:r>
      <w:r w:rsidR="00B44CD0" w:rsidRPr="003B2D3F">
        <w:t xml:space="preserve"> </w:t>
      </w:r>
      <w:r w:rsidR="00A84659" w:rsidRPr="003B2D3F">
        <w:t>operationaliz</w:t>
      </w:r>
      <w:r w:rsidR="00E04F3F">
        <w:t>ation of</w:t>
      </w:r>
      <w:r w:rsidR="00A84659" w:rsidRPr="003B2D3F">
        <w:t xml:space="preserve"> the Integrated National Financing Framework </w:t>
      </w:r>
      <w:r w:rsidR="00E04F3F">
        <w:t xml:space="preserve">by </w:t>
      </w:r>
      <w:r w:rsidR="00E04F3F" w:rsidRPr="003B2D3F">
        <w:t xml:space="preserve">national counterparts </w:t>
      </w:r>
      <w:r w:rsidR="0047504B">
        <w:t xml:space="preserve">that is </w:t>
      </w:r>
      <w:r w:rsidR="00B11B4A">
        <w:t>supported by the UNCT</w:t>
      </w:r>
      <w:r w:rsidR="0047504B">
        <w:t xml:space="preserve">, </w:t>
      </w:r>
      <w:r w:rsidR="00B11B4A">
        <w:t>UNDP</w:t>
      </w:r>
      <w:r w:rsidR="0047504B">
        <w:t xml:space="preserve">, </w:t>
      </w:r>
      <w:r w:rsidR="00B11B4A" w:rsidRPr="00C95575">
        <w:t>U</w:t>
      </w:r>
      <w:r w:rsidR="00B263EB" w:rsidRPr="00C95575">
        <w:t xml:space="preserve">nited </w:t>
      </w:r>
      <w:r w:rsidR="00B11B4A" w:rsidRPr="00C95575">
        <w:t>N</w:t>
      </w:r>
      <w:r w:rsidR="00B263EB" w:rsidRPr="00C95575">
        <w:t xml:space="preserve">ations </w:t>
      </w:r>
      <w:r w:rsidR="00B11B4A" w:rsidRPr="00C95575">
        <w:t>I</w:t>
      </w:r>
      <w:r w:rsidR="00B263EB" w:rsidRPr="00C95575">
        <w:t xml:space="preserve">nternational </w:t>
      </w:r>
      <w:r w:rsidR="00B11B4A" w:rsidRPr="00C95575">
        <w:t>C</w:t>
      </w:r>
      <w:r w:rsidR="00B263EB" w:rsidRPr="00C95575">
        <w:t xml:space="preserve">hildren’s </w:t>
      </w:r>
      <w:r w:rsidR="00B11B4A" w:rsidRPr="00C95575">
        <w:t>E</w:t>
      </w:r>
      <w:r w:rsidR="00B263EB" w:rsidRPr="00C95575">
        <w:t xml:space="preserve">mergency </w:t>
      </w:r>
      <w:r w:rsidR="00B11B4A" w:rsidRPr="00C95575">
        <w:t>F</w:t>
      </w:r>
      <w:r w:rsidR="00B263EB" w:rsidRPr="00C95575">
        <w:t>und (UNICEF)</w:t>
      </w:r>
      <w:r w:rsidR="00B11B4A" w:rsidRPr="00C95575">
        <w:t xml:space="preserve"> </w:t>
      </w:r>
      <w:r w:rsidR="00E04F3F" w:rsidRPr="00C95575">
        <w:t xml:space="preserve">will be an important </w:t>
      </w:r>
      <w:r w:rsidR="00A84659" w:rsidRPr="00C95575">
        <w:t xml:space="preserve">vehicle for better planning, monitoring and coordination </w:t>
      </w:r>
      <w:r w:rsidR="00E04F3F" w:rsidRPr="00C95575">
        <w:t xml:space="preserve">of </w:t>
      </w:r>
      <w:r w:rsidR="00A84659" w:rsidRPr="00C95575">
        <w:t xml:space="preserve">various Sustainable Development Goal financing mechanisms in </w:t>
      </w:r>
      <w:r w:rsidR="0047504B">
        <w:t xml:space="preserve">the </w:t>
      </w:r>
      <w:r w:rsidR="00A84659" w:rsidRPr="00C95575">
        <w:t xml:space="preserve">public and private sectors. This will be done </w:t>
      </w:r>
      <w:r w:rsidR="0047504B">
        <w:t>by</w:t>
      </w:r>
      <w:r w:rsidR="0047504B" w:rsidRPr="00C95575">
        <w:t xml:space="preserve"> </w:t>
      </w:r>
      <w:r w:rsidR="00A84659" w:rsidRPr="00C95575">
        <w:t xml:space="preserve">streamlining financing systems and </w:t>
      </w:r>
      <w:r w:rsidR="00AF28FF" w:rsidRPr="00C95575">
        <w:t>enabling</w:t>
      </w:r>
      <w:r w:rsidR="00A84659" w:rsidRPr="00C95575">
        <w:t xml:space="preserve"> policies</w:t>
      </w:r>
      <w:r w:rsidR="00AF28FF" w:rsidRPr="00C95575">
        <w:t xml:space="preserve">, </w:t>
      </w:r>
      <w:r w:rsidR="00A84659" w:rsidRPr="00C95575">
        <w:t>budgeting</w:t>
      </w:r>
      <w:r w:rsidR="00AF28FF" w:rsidRPr="00C95575">
        <w:t>, and results tracking</w:t>
      </w:r>
      <w:r w:rsidR="00A84659" w:rsidRPr="00C95575">
        <w:t xml:space="preserve"> in support of </w:t>
      </w:r>
      <w:r w:rsidR="0059526B">
        <w:t>Sustainable Development Goals</w:t>
      </w:r>
      <w:r w:rsidR="00A84659" w:rsidRPr="00C95575">
        <w:t xml:space="preserve">, as well as mobilizing private sector finance </w:t>
      </w:r>
      <w:r w:rsidR="0047504B">
        <w:t>for</w:t>
      </w:r>
      <w:r w:rsidR="0047504B" w:rsidRPr="00C95575">
        <w:t xml:space="preserve"> </w:t>
      </w:r>
      <w:r w:rsidR="00A84659" w:rsidRPr="00C95575">
        <w:t>the development agenda.</w:t>
      </w:r>
      <w:r w:rsidR="00E04F3F" w:rsidRPr="00C95575">
        <w:t xml:space="preserve"> Civil society and parliament will play a key role in </w:t>
      </w:r>
      <w:r w:rsidR="0047504B">
        <w:t>making and managing</w:t>
      </w:r>
      <w:r w:rsidR="0047504B" w:rsidRPr="00C95575">
        <w:t xml:space="preserve"> </w:t>
      </w:r>
      <w:r w:rsidR="00E04F3F" w:rsidRPr="00C95575">
        <w:t>demand</w:t>
      </w:r>
      <w:r w:rsidR="0047504B">
        <w:t>s</w:t>
      </w:r>
      <w:r w:rsidR="00E04F3F" w:rsidRPr="00C95575">
        <w:t xml:space="preserve"> for transparent reporting.</w:t>
      </w:r>
    </w:p>
    <w:p w14:paraId="2AD8275C" w14:textId="77777777" w:rsidR="00C96760" w:rsidRPr="00236595" w:rsidRDefault="00C96760" w:rsidP="00236595">
      <w:pPr>
        <w:tabs>
          <w:tab w:val="left" w:pos="1530"/>
          <w:tab w:val="left" w:pos="1620"/>
        </w:tabs>
        <w:ind w:right="1123"/>
        <w:contextualSpacing/>
        <w:jc w:val="both"/>
        <w:rPr>
          <w:sz w:val="12"/>
          <w:szCs w:val="12"/>
        </w:rPr>
      </w:pPr>
    </w:p>
    <w:p w14:paraId="1EE3BEEE" w14:textId="6682C954" w:rsidR="00A84659" w:rsidRPr="00C95575" w:rsidRDefault="0057758B" w:rsidP="00236595">
      <w:pPr>
        <w:pStyle w:val="ListParagraph"/>
        <w:tabs>
          <w:tab w:val="left" w:pos="1530"/>
          <w:tab w:val="left" w:pos="1620"/>
        </w:tabs>
        <w:ind w:left="1260" w:right="1123"/>
        <w:contextualSpacing/>
        <w:jc w:val="both"/>
      </w:pPr>
      <w:r w:rsidRPr="00C95575">
        <w:t xml:space="preserve">20. </w:t>
      </w:r>
      <w:r w:rsidR="00A84659" w:rsidRPr="00C95575">
        <w:t xml:space="preserve">UNDP will support the </w:t>
      </w:r>
      <w:r w:rsidR="00253FAE">
        <w:t>G</w:t>
      </w:r>
      <w:r w:rsidR="00A84659" w:rsidRPr="00C95575">
        <w:t xml:space="preserve">overnment in leveraging resources from </w:t>
      </w:r>
      <w:r w:rsidR="00E30F7C">
        <w:t xml:space="preserve">the </w:t>
      </w:r>
      <w:r w:rsidR="00A84659" w:rsidRPr="00C95575">
        <w:t>G</w:t>
      </w:r>
      <w:r w:rsidR="00B263EB" w:rsidRPr="00C95575">
        <w:t xml:space="preserve">lobal </w:t>
      </w:r>
      <w:r w:rsidR="00A84659" w:rsidRPr="00C95575">
        <w:t>E</w:t>
      </w:r>
      <w:r w:rsidR="00B263EB" w:rsidRPr="00C95575">
        <w:t xml:space="preserve">nvironmental </w:t>
      </w:r>
      <w:r w:rsidR="00A84659" w:rsidRPr="00C95575">
        <w:t>F</w:t>
      </w:r>
      <w:r w:rsidR="00B263EB" w:rsidRPr="00C95575">
        <w:t>acility</w:t>
      </w:r>
      <w:r w:rsidR="00A84659" w:rsidRPr="00C95575">
        <w:t>, G</w:t>
      </w:r>
      <w:r w:rsidR="00B263EB" w:rsidRPr="00C95575">
        <w:t xml:space="preserve">reen </w:t>
      </w:r>
      <w:r w:rsidR="00A84659" w:rsidRPr="00C95575">
        <w:t>C</w:t>
      </w:r>
      <w:r w:rsidR="00B263EB" w:rsidRPr="00C95575">
        <w:t xml:space="preserve">limate </w:t>
      </w:r>
      <w:r w:rsidR="00A84659" w:rsidRPr="00C95575">
        <w:t>F</w:t>
      </w:r>
      <w:r w:rsidR="00B263EB" w:rsidRPr="00C95575">
        <w:t>und</w:t>
      </w:r>
      <w:r w:rsidR="00E30F7C">
        <w:t>,</w:t>
      </w:r>
      <w:r w:rsidR="00A84659" w:rsidRPr="00C95575">
        <w:t xml:space="preserve"> and other vertical, multilateral, and bilateral funds to achieve country priorities under the Paris Agreement</w:t>
      </w:r>
      <w:r w:rsidR="005C72C7" w:rsidRPr="00C95575">
        <w:t xml:space="preserve"> and other climate/environment frameworks</w:t>
      </w:r>
      <w:r w:rsidR="00A84659" w:rsidRPr="00C95575">
        <w:t xml:space="preserve">. UNDP will also partner with </w:t>
      </w:r>
      <w:r w:rsidR="005C72C7" w:rsidRPr="00C95575">
        <w:t>the national Climate Finance Center</w:t>
      </w:r>
      <w:r w:rsidR="00E30F7C">
        <w:t>,</w:t>
      </w:r>
      <w:r w:rsidR="005C72C7" w:rsidRPr="00C95575">
        <w:t xml:space="preserve"> as well as the </w:t>
      </w:r>
      <w:r w:rsidR="00A41148" w:rsidRPr="00C95575">
        <w:t>financial</w:t>
      </w:r>
      <w:r w:rsidR="005C72C7" w:rsidRPr="00C95575">
        <w:t xml:space="preserve"> sector</w:t>
      </w:r>
      <w:r w:rsidR="005C72C7" w:rsidRPr="00C95575" w:rsidDel="005C72C7">
        <w:t xml:space="preserve"> </w:t>
      </w:r>
      <w:r w:rsidR="00A84659" w:rsidRPr="00C95575">
        <w:t>to ensure access to public and private climate financing mechanisms, reduce G</w:t>
      </w:r>
      <w:r w:rsidR="00B263EB" w:rsidRPr="00C95575">
        <w:t xml:space="preserve">reenhouse </w:t>
      </w:r>
      <w:r w:rsidR="00A84659" w:rsidRPr="00C95575">
        <w:t>G</w:t>
      </w:r>
      <w:r w:rsidR="00B263EB" w:rsidRPr="00C95575">
        <w:t>as</w:t>
      </w:r>
      <w:r w:rsidR="00A84659" w:rsidRPr="00C95575">
        <w:t xml:space="preserve"> emissions</w:t>
      </w:r>
      <w:r w:rsidR="00E30F7C">
        <w:t>,</w:t>
      </w:r>
      <w:r w:rsidR="00A84659" w:rsidRPr="00C95575">
        <w:t xml:space="preserve"> and increase community resilience to climate and disaster risks, vulnerabilities, and shocks.</w:t>
      </w:r>
    </w:p>
    <w:p w14:paraId="32E34C0B" w14:textId="77777777" w:rsidR="00C96760" w:rsidRPr="00236595" w:rsidRDefault="00C96760" w:rsidP="00236595">
      <w:pPr>
        <w:tabs>
          <w:tab w:val="left" w:pos="1530"/>
          <w:tab w:val="left" w:pos="1620"/>
        </w:tabs>
        <w:ind w:right="1123"/>
        <w:contextualSpacing/>
        <w:jc w:val="both"/>
        <w:rPr>
          <w:sz w:val="12"/>
          <w:szCs w:val="12"/>
        </w:rPr>
      </w:pPr>
    </w:p>
    <w:p w14:paraId="112D89F9" w14:textId="7B79A3ED" w:rsidR="00A84BCA" w:rsidRDefault="0057758B" w:rsidP="00236595">
      <w:pPr>
        <w:pStyle w:val="ListParagraph"/>
        <w:tabs>
          <w:tab w:val="left" w:pos="1530"/>
          <w:tab w:val="left" w:pos="1620"/>
        </w:tabs>
        <w:ind w:left="1260" w:right="1123"/>
        <w:contextualSpacing/>
        <w:jc w:val="both"/>
      </w:pPr>
      <w:r w:rsidRPr="00C95575">
        <w:t xml:space="preserve">21. </w:t>
      </w:r>
      <w:r w:rsidR="00E04F3F" w:rsidRPr="00C95575">
        <w:t>Building</w:t>
      </w:r>
      <w:r w:rsidR="00A84659" w:rsidRPr="00C95575">
        <w:t xml:space="preserve"> on existing partnerships with </w:t>
      </w:r>
      <w:r w:rsidR="00703E0F" w:rsidRPr="00C95575">
        <w:t>t</w:t>
      </w:r>
      <w:r w:rsidR="00A84659" w:rsidRPr="00C95575">
        <w:t>he Global Fund</w:t>
      </w:r>
      <w:r w:rsidR="00E04F3F" w:rsidRPr="00C95575">
        <w:t xml:space="preserve">, the Country Coordination Mechanism, civil society, and competitively selected </w:t>
      </w:r>
      <w:r w:rsidR="00E30F7C">
        <w:t>s</w:t>
      </w:r>
      <w:r w:rsidR="00E04F3F" w:rsidRPr="00C95575">
        <w:t>ub-</w:t>
      </w:r>
      <w:r w:rsidR="00E30F7C">
        <w:t>r</w:t>
      </w:r>
      <w:r w:rsidR="00E04F3F" w:rsidRPr="00C95575">
        <w:t>ecipients, UNDP will</w:t>
      </w:r>
      <w:r w:rsidR="00A84BCA" w:rsidRPr="00C95575">
        <w:t xml:space="preserve"> </w:t>
      </w:r>
      <w:r w:rsidR="00012EB0" w:rsidRPr="00C95575">
        <w:t>continue strengthening</w:t>
      </w:r>
      <w:r w:rsidR="00A84BCA" w:rsidRPr="00C95575">
        <w:t xml:space="preserve"> the </w:t>
      </w:r>
      <w:r w:rsidR="00E30F7C">
        <w:t>national</w:t>
      </w:r>
      <w:r w:rsidR="00E30F7C" w:rsidRPr="00C95575">
        <w:t xml:space="preserve"> </w:t>
      </w:r>
      <w:r w:rsidR="00D854F2">
        <w:t>h</w:t>
      </w:r>
      <w:r w:rsidR="00A84BCA" w:rsidRPr="00C95575">
        <w:t xml:space="preserve">ealth system for stronger </w:t>
      </w:r>
      <w:r w:rsidR="00B263EB" w:rsidRPr="00C95575">
        <w:t>human immunodeficiency virus (</w:t>
      </w:r>
      <w:r w:rsidR="00A84BCA" w:rsidRPr="00C95575">
        <w:t>HIV</w:t>
      </w:r>
      <w:r w:rsidR="00B263EB" w:rsidRPr="00C95575">
        <w:t>)</w:t>
      </w:r>
      <w:r w:rsidR="00A84BCA" w:rsidRPr="00C95575">
        <w:t xml:space="preserve"> and </w:t>
      </w:r>
      <w:r w:rsidR="00B263EB" w:rsidRPr="00C95575">
        <w:t xml:space="preserve">tuberculosis </w:t>
      </w:r>
      <w:r w:rsidR="00A84BCA" w:rsidRPr="00C95575">
        <w:t>response</w:t>
      </w:r>
      <w:r w:rsidR="00101C92" w:rsidRPr="00C95575">
        <w:t>s</w:t>
      </w:r>
      <w:r w:rsidR="00E30F7C">
        <w:t xml:space="preserve"> and this includes</w:t>
      </w:r>
      <w:r w:rsidR="00A84BCA" w:rsidRPr="00C95575">
        <w:t xml:space="preserve"> </w:t>
      </w:r>
      <w:r w:rsidR="00E30F7C" w:rsidRPr="00C95575">
        <w:t xml:space="preserve"> </w:t>
      </w:r>
      <w:r w:rsidR="00E04F3F" w:rsidRPr="00C95575">
        <w:t>helping develop c</w:t>
      </w:r>
      <w:r w:rsidR="00A84BCA" w:rsidRPr="00C95575">
        <w:t xml:space="preserve">apacities </w:t>
      </w:r>
      <w:r w:rsidR="00E04F3F" w:rsidRPr="00C95575">
        <w:t>for sustained future service delivery</w:t>
      </w:r>
      <w:r w:rsidR="006249A9" w:rsidRPr="00C95575">
        <w:t xml:space="preserve"> </w:t>
      </w:r>
      <w:r w:rsidR="00101C92" w:rsidRPr="00C95575">
        <w:t>in cooperation with</w:t>
      </w:r>
      <w:r w:rsidR="006249A9" w:rsidRPr="00C95575">
        <w:t xml:space="preserve"> </w:t>
      </w:r>
      <w:r w:rsidR="00E30F7C">
        <w:t xml:space="preserve">the </w:t>
      </w:r>
      <w:r w:rsidR="00F72100" w:rsidRPr="00C95575">
        <w:t>Joint United Nations Programme on HIV/AIDS (</w:t>
      </w:r>
      <w:r w:rsidR="006249A9" w:rsidRPr="00C95575">
        <w:t>UNAIDS</w:t>
      </w:r>
      <w:r w:rsidR="00F72100" w:rsidRPr="00C95575">
        <w:t>)</w:t>
      </w:r>
      <w:r w:rsidR="00101C92" w:rsidRPr="00C95575">
        <w:t xml:space="preserve">, </w:t>
      </w:r>
      <w:r w:rsidR="00F72100" w:rsidRPr="00C95575">
        <w:t>World Health Organization (</w:t>
      </w:r>
      <w:r w:rsidR="006249A9" w:rsidRPr="00C95575">
        <w:t>WHO</w:t>
      </w:r>
      <w:r w:rsidR="00F72100" w:rsidRPr="00C95575">
        <w:t>)</w:t>
      </w:r>
      <w:r w:rsidR="00101C92" w:rsidRPr="00C95575">
        <w:t xml:space="preserve">, </w:t>
      </w:r>
      <w:r w:rsidR="00F72100" w:rsidRPr="00803F18">
        <w:t>Internationale Zusammenarbeit</w:t>
      </w:r>
      <w:r w:rsidR="00F72100" w:rsidRPr="00C95575">
        <w:t xml:space="preserve"> (</w:t>
      </w:r>
      <w:r w:rsidR="00101C92" w:rsidRPr="00C95575">
        <w:t>GIZ</w:t>
      </w:r>
      <w:r w:rsidR="00F72100" w:rsidRPr="00C95575">
        <w:t>) GmbH</w:t>
      </w:r>
      <w:r w:rsidR="00101C92" w:rsidRPr="00C95575">
        <w:t>, and U</w:t>
      </w:r>
      <w:r w:rsidR="00E30F7C">
        <w:t xml:space="preserve">nited </w:t>
      </w:r>
      <w:r w:rsidR="00101C92" w:rsidRPr="00C95575">
        <w:t>S</w:t>
      </w:r>
      <w:r w:rsidR="00E30F7C">
        <w:t>tates</w:t>
      </w:r>
      <w:r w:rsidR="00F72100" w:rsidRPr="00C95575">
        <w:t xml:space="preserve"> </w:t>
      </w:r>
      <w:r w:rsidR="00101C92" w:rsidRPr="00C95575">
        <w:t>A</w:t>
      </w:r>
      <w:r w:rsidR="00F72100" w:rsidRPr="00C95575">
        <w:t xml:space="preserve">gency for </w:t>
      </w:r>
      <w:r w:rsidR="00101C92" w:rsidRPr="00C95575">
        <w:t>I</w:t>
      </w:r>
      <w:r w:rsidR="00F72100" w:rsidRPr="00C95575">
        <w:t xml:space="preserve">nternational </w:t>
      </w:r>
      <w:r w:rsidR="00101C92" w:rsidRPr="00C95575">
        <w:t>D</w:t>
      </w:r>
      <w:r w:rsidR="00F72100" w:rsidRPr="00C95575">
        <w:t>evelopment</w:t>
      </w:r>
      <w:r w:rsidR="00E30F7C">
        <w:t xml:space="preserve"> (USAID)</w:t>
      </w:r>
      <w:r w:rsidR="00E04F3F" w:rsidRPr="00C95575">
        <w:t>. Lessons learned from the COVID-19 response demonstrated the importance of cooperation with U</w:t>
      </w:r>
      <w:r w:rsidR="00B263EB" w:rsidRPr="00C95575">
        <w:t xml:space="preserve">nited </w:t>
      </w:r>
      <w:r w:rsidR="00E04F3F" w:rsidRPr="00C95575">
        <w:t>N</w:t>
      </w:r>
      <w:r w:rsidR="00B263EB" w:rsidRPr="00C95575">
        <w:t>ations</w:t>
      </w:r>
      <w:r w:rsidR="00E04F3F" w:rsidRPr="00C95575">
        <w:t xml:space="preserve"> agencies and bilateral service providers in ensuring coherence and effectiveness of</w:t>
      </w:r>
      <w:r w:rsidR="00E04F3F">
        <w:t xml:space="preserve"> assistance.</w:t>
      </w:r>
      <w:r w:rsidR="008D414A">
        <w:t xml:space="preserve"> Being able to draw on flexible support from the Global Fund and UNDP global procurement system were determinant factors for UNDP to deliver early </w:t>
      </w:r>
      <w:r w:rsidR="00101C92">
        <w:t>COVID</w:t>
      </w:r>
      <w:r w:rsidR="00A851C0">
        <w:t>-19</w:t>
      </w:r>
      <w:r w:rsidR="00101C92">
        <w:t xml:space="preserve"> response </w:t>
      </w:r>
      <w:r w:rsidR="008D414A">
        <w:t xml:space="preserve">support </w:t>
      </w:r>
      <w:r w:rsidR="00683B0E">
        <w:t>locally</w:t>
      </w:r>
      <w:r w:rsidR="008D414A">
        <w:t>.</w:t>
      </w:r>
    </w:p>
    <w:p w14:paraId="1B12C890" w14:textId="77777777" w:rsidR="00A84BCA" w:rsidRPr="00236595" w:rsidRDefault="00A84BCA" w:rsidP="00236595">
      <w:pPr>
        <w:pStyle w:val="ListParagraph"/>
        <w:rPr>
          <w:sz w:val="12"/>
          <w:szCs w:val="12"/>
        </w:rPr>
      </w:pPr>
    </w:p>
    <w:p w14:paraId="1D255C4B" w14:textId="2B65CDA8" w:rsidR="00C96760" w:rsidRPr="00C95575" w:rsidRDefault="0057758B" w:rsidP="00236595">
      <w:pPr>
        <w:pStyle w:val="ListParagraph"/>
        <w:tabs>
          <w:tab w:val="left" w:pos="1530"/>
          <w:tab w:val="left" w:pos="1620"/>
        </w:tabs>
        <w:ind w:left="1260" w:right="1123"/>
        <w:contextualSpacing/>
        <w:jc w:val="both"/>
      </w:pPr>
      <w:r>
        <w:t xml:space="preserve">22. </w:t>
      </w:r>
      <w:r w:rsidR="00E04F3F">
        <w:t xml:space="preserve">New and continuing strategic </w:t>
      </w:r>
      <w:r w:rsidR="00A84BCA">
        <w:t xml:space="preserve">bilateral </w:t>
      </w:r>
      <w:r w:rsidR="00A84659" w:rsidRPr="003B2D3F">
        <w:t xml:space="preserve">partnerships </w:t>
      </w:r>
      <w:r w:rsidR="00E04F3F">
        <w:t>will help</w:t>
      </w:r>
      <w:r w:rsidR="00A84659" w:rsidRPr="003B2D3F">
        <w:t xml:space="preserve"> </w:t>
      </w:r>
      <w:r w:rsidR="00E04F3F">
        <w:t>UNDP</w:t>
      </w:r>
      <w:r w:rsidR="00A84659" w:rsidRPr="003B2D3F">
        <w:t xml:space="preserve"> improve governance and access to justice, </w:t>
      </w:r>
      <w:r w:rsidR="00A84659" w:rsidRPr="00C95575">
        <w:t>inequalities, local governance, and women</w:t>
      </w:r>
      <w:r w:rsidR="00683B0E">
        <w:t>’s</w:t>
      </w:r>
      <w:r w:rsidR="00D854F2">
        <w:t xml:space="preserve"> empowerment</w:t>
      </w:r>
      <w:r w:rsidR="00A84659" w:rsidRPr="00C95575">
        <w:t>.</w:t>
      </w:r>
      <w:r w:rsidR="00E04F3F" w:rsidRPr="00C95575">
        <w:t xml:space="preserve"> UNDP will also underwrite</w:t>
      </w:r>
      <w:r w:rsidR="004B44AC" w:rsidRPr="00C95575">
        <w:t xml:space="preserve"> joint U</w:t>
      </w:r>
      <w:r w:rsidR="00B263EB" w:rsidRPr="00C95575">
        <w:t xml:space="preserve">nited </w:t>
      </w:r>
      <w:r w:rsidR="004B44AC" w:rsidRPr="00C95575">
        <w:t>N</w:t>
      </w:r>
      <w:r w:rsidR="00B263EB" w:rsidRPr="00C95575">
        <w:t>ations</w:t>
      </w:r>
      <w:r w:rsidR="00E04F3F" w:rsidRPr="00C95575">
        <w:t xml:space="preserve"> approaches to</w:t>
      </w:r>
      <w:r w:rsidR="004B44AC" w:rsidRPr="00C95575">
        <w:t xml:space="preserve"> the</w:t>
      </w:r>
      <w:r w:rsidR="00E04F3F" w:rsidRPr="00C95575">
        <w:t xml:space="preserve"> prevention of hate speech and support to civil society</w:t>
      </w:r>
      <w:r w:rsidR="004B44AC" w:rsidRPr="00C95575">
        <w:t xml:space="preserve">, </w:t>
      </w:r>
      <w:r w:rsidR="00E04F3F" w:rsidRPr="00C95575">
        <w:t>leverag</w:t>
      </w:r>
      <w:r w:rsidR="004B44AC" w:rsidRPr="00C95575">
        <w:t>ing</w:t>
      </w:r>
      <w:r w:rsidR="00E04F3F" w:rsidRPr="00C95575">
        <w:t xml:space="preserve"> U</w:t>
      </w:r>
      <w:r w:rsidR="00B263EB" w:rsidRPr="00C95575">
        <w:t xml:space="preserve">nited </w:t>
      </w:r>
      <w:r w:rsidR="00E04F3F" w:rsidRPr="00C95575">
        <w:t>N</w:t>
      </w:r>
      <w:r w:rsidR="00B263EB" w:rsidRPr="00C95575">
        <w:t>ations</w:t>
      </w:r>
      <w:r w:rsidR="00E04F3F" w:rsidRPr="00C95575">
        <w:t xml:space="preserve"> system </w:t>
      </w:r>
      <w:r w:rsidR="004B44AC" w:rsidRPr="00C95575">
        <w:t>support to national</w:t>
      </w:r>
      <w:r w:rsidR="00E04F3F" w:rsidRPr="00C95575">
        <w:t xml:space="preserve"> </w:t>
      </w:r>
      <w:r w:rsidR="004B44AC" w:rsidRPr="00C95575">
        <w:t>civic engagement</w:t>
      </w:r>
      <w:r w:rsidR="00E04F3F" w:rsidRPr="00C95575">
        <w:t>.</w:t>
      </w:r>
      <w:r w:rsidR="004B44AC" w:rsidRPr="00C95575">
        <w:t xml:space="preserve"> UNDP leadership and contribution </w:t>
      </w:r>
      <w:r w:rsidR="00683B0E">
        <w:t>to</w:t>
      </w:r>
      <w:r w:rsidR="00683B0E" w:rsidRPr="00C95575">
        <w:t xml:space="preserve"> </w:t>
      </w:r>
      <w:r w:rsidR="004B44AC" w:rsidRPr="00C95575">
        <w:t>joint engagement</w:t>
      </w:r>
      <w:r w:rsidR="002D290B" w:rsidRPr="00C95575">
        <w:t>s</w:t>
      </w:r>
      <w:r w:rsidR="004B44AC" w:rsidRPr="00C95575">
        <w:t xml:space="preserve"> with youth</w:t>
      </w:r>
      <w:r w:rsidR="00101C92" w:rsidRPr="00C95575">
        <w:t>, building on and expanding national youth centers established successfully by UNDP,</w:t>
      </w:r>
      <w:r w:rsidR="004B44AC" w:rsidRPr="00C95575">
        <w:t xml:space="preserve"> </w:t>
      </w:r>
      <w:r w:rsidR="007E0E7F">
        <w:t>in</w:t>
      </w:r>
      <w:r w:rsidR="007E0E7F" w:rsidRPr="00C95575">
        <w:t xml:space="preserve"> </w:t>
      </w:r>
      <w:r w:rsidR="004B44AC" w:rsidRPr="00C95575">
        <w:t xml:space="preserve">areas such as </w:t>
      </w:r>
      <w:r w:rsidR="002D290B" w:rsidRPr="00C95575">
        <w:t>sus</w:t>
      </w:r>
      <w:r w:rsidR="000132B2" w:rsidRPr="00C95575">
        <w:t>t</w:t>
      </w:r>
      <w:r w:rsidR="002D290B" w:rsidRPr="00C95575">
        <w:t xml:space="preserve">ainability and </w:t>
      </w:r>
      <w:r w:rsidR="004B44AC" w:rsidRPr="00C95575">
        <w:t>climate awareness</w:t>
      </w:r>
      <w:r w:rsidR="007E0E7F">
        <w:t>,</w:t>
      </w:r>
      <w:r w:rsidR="004B44AC" w:rsidRPr="00C95575">
        <w:t xml:space="preserve"> will leverage stronger national response</w:t>
      </w:r>
      <w:r w:rsidR="002D290B" w:rsidRPr="00C95575">
        <w:t>s</w:t>
      </w:r>
      <w:r w:rsidR="004B44AC" w:rsidRPr="00C95575">
        <w:t>.</w:t>
      </w:r>
    </w:p>
    <w:p w14:paraId="222061FE" w14:textId="29F6AAA1" w:rsidR="00A84659" w:rsidRPr="00236595" w:rsidRDefault="00A84659" w:rsidP="00236595">
      <w:pPr>
        <w:tabs>
          <w:tab w:val="left" w:pos="1530"/>
          <w:tab w:val="left" w:pos="1620"/>
        </w:tabs>
        <w:ind w:right="1123"/>
        <w:contextualSpacing/>
        <w:jc w:val="both"/>
        <w:rPr>
          <w:sz w:val="12"/>
          <w:szCs w:val="12"/>
        </w:rPr>
      </w:pPr>
    </w:p>
    <w:p w14:paraId="4F5C0339" w14:textId="5FA8E627" w:rsidR="00A84659" w:rsidRDefault="0057758B" w:rsidP="00236595">
      <w:pPr>
        <w:pStyle w:val="ListParagraph"/>
        <w:tabs>
          <w:tab w:val="left" w:pos="1530"/>
          <w:tab w:val="left" w:pos="1620"/>
        </w:tabs>
        <w:ind w:left="1260" w:right="1123"/>
        <w:contextualSpacing/>
        <w:jc w:val="both"/>
        <w:rPr>
          <w:color w:val="000000" w:themeColor="text1"/>
        </w:rPr>
      </w:pPr>
      <w:r w:rsidRPr="00C95575">
        <w:t xml:space="preserve">23. </w:t>
      </w:r>
      <w:r w:rsidR="00A84659" w:rsidRPr="00C95575">
        <w:t>Working with</w:t>
      </w:r>
      <w:r w:rsidR="00E04F3F" w:rsidRPr="00C95575">
        <w:t xml:space="preserve"> the U</w:t>
      </w:r>
      <w:r w:rsidR="00B263EB" w:rsidRPr="00C95575">
        <w:t xml:space="preserve">nited </w:t>
      </w:r>
      <w:r w:rsidR="00E04F3F" w:rsidRPr="00C95575">
        <w:t>N</w:t>
      </w:r>
      <w:r w:rsidR="00B263EB" w:rsidRPr="00C95575">
        <w:t>ations</w:t>
      </w:r>
      <w:r w:rsidR="00E04F3F" w:rsidRPr="00C95575">
        <w:t xml:space="preserve"> Peacebuilding Fund,</w:t>
      </w:r>
      <w:r w:rsidR="00A84659" w:rsidRPr="00C95575">
        <w:t xml:space="preserve"> international partners</w:t>
      </w:r>
      <w:r w:rsidR="00E04F3F" w:rsidRPr="00C95575">
        <w:t>,</w:t>
      </w:r>
      <w:r w:rsidR="00A84659" w:rsidRPr="00C95575">
        <w:t xml:space="preserve"> and UNDP </w:t>
      </w:r>
      <w:r w:rsidR="007E0E7F">
        <w:t>c</w:t>
      </w:r>
      <w:r w:rsidR="00A84659" w:rsidRPr="00C95575">
        <w:t xml:space="preserve">ountry </w:t>
      </w:r>
      <w:r w:rsidR="007E0E7F">
        <w:t>o</w:t>
      </w:r>
      <w:r w:rsidR="00A84659" w:rsidRPr="00C95575">
        <w:t>ffices throughout the region, will</w:t>
      </w:r>
      <w:r w:rsidR="007E0E7F">
        <w:t xml:space="preserve"> see UNDP </w:t>
      </w:r>
      <w:r w:rsidR="00101C92" w:rsidRPr="00C95575">
        <w:t>contribute</w:t>
      </w:r>
      <w:r w:rsidR="00101C92">
        <w:t xml:space="preserve"> to peacebuilding</w:t>
      </w:r>
      <w:r w:rsidR="007E0E7F">
        <w:t xml:space="preserve"> and</w:t>
      </w:r>
      <w:r w:rsidR="00101C92">
        <w:t xml:space="preserve"> conflict prevention, </w:t>
      </w:r>
      <w:r w:rsidR="00A84659" w:rsidRPr="003B2D3F">
        <w:t>foster</w:t>
      </w:r>
      <w:r w:rsidR="007E0E7F">
        <w:t>ing</w:t>
      </w:r>
      <w:r w:rsidR="00A84659" w:rsidRPr="003B2D3F">
        <w:t xml:space="preserve"> economic prosperity and social cohesion in Fergana Valley</w:t>
      </w:r>
      <w:r w:rsidR="008D414A">
        <w:t xml:space="preserve"> and </w:t>
      </w:r>
      <w:r w:rsidR="000132B2">
        <w:t>nationally</w:t>
      </w:r>
      <w:r w:rsidR="00A84659" w:rsidRPr="003B2D3F">
        <w:t>. UNDP will encourage regional</w:t>
      </w:r>
      <w:r w:rsidR="0062381D">
        <w:t xml:space="preserve">, </w:t>
      </w:r>
      <w:r w:rsidR="007E0E7F">
        <w:t>S</w:t>
      </w:r>
      <w:r w:rsidR="0062381D">
        <w:t>outh</w:t>
      </w:r>
      <w:r w:rsidR="00AC7485">
        <w:t>-</w:t>
      </w:r>
      <w:r w:rsidR="007E0E7F">
        <w:t>S</w:t>
      </w:r>
      <w:r w:rsidR="00AC7485">
        <w:t>outh and triangular</w:t>
      </w:r>
      <w:r w:rsidR="00A84659" w:rsidRPr="003B2D3F">
        <w:t xml:space="preserve"> cooperation for sustainable management of water</w:t>
      </w:r>
      <w:r w:rsidR="00A84BCA">
        <w:t>, energy,</w:t>
      </w:r>
      <w:r w:rsidR="00A84659" w:rsidRPr="003B2D3F">
        <w:t xml:space="preserve"> and other resources</w:t>
      </w:r>
      <w:r w:rsidR="007E0E7F">
        <w:t>, as well as</w:t>
      </w:r>
      <w:r w:rsidR="00A84BCA">
        <w:t xml:space="preserve"> contribute support for regional cooperation mechanisms where applicable</w:t>
      </w:r>
      <w:r w:rsidR="00A84659" w:rsidRPr="003B2D3F">
        <w:t>.</w:t>
      </w:r>
      <w:r w:rsidR="00A84659" w:rsidRPr="003B2D3F">
        <w:rPr>
          <w:color w:val="000000" w:themeColor="text1"/>
        </w:rPr>
        <w:t xml:space="preserve"> </w:t>
      </w:r>
    </w:p>
    <w:p w14:paraId="6001BDB3" w14:textId="77777777" w:rsidR="00E30F7C" w:rsidRPr="003B2D3F" w:rsidRDefault="00E30F7C" w:rsidP="00236595">
      <w:pPr>
        <w:pStyle w:val="ListParagraph"/>
        <w:tabs>
          <w:tab w:val="left" w:pos="1530"/>
          <w:tab w:val="left" w:pos="1620"/>
        </w:tabs>
        <w:ind w:left="1260" w:right="1123"/>
        <w:contextualSpacing/>
        <w:jc w:val="both"/>
        <w:rPr>
          <w:color w:val="000000"/>
        </w:rPr>
      </w:pPr>
    </w:p>
    <w:p w14:paraId="17F28A05" w14:textId="77777777" w:rsidR="00A84659" w:rsidRPr="00F32628" w:rsidRDefault="00A84659" w:rsidP="006D6B55">
      <w:pPr>
        <w:spacing w:after="120" w:line="240" w:lineRule="exact"/>
        <w:ind w:left="1267" w:right="1123" w:hanging="7"/>
        <w:jc w:val="both"/>
        <w:rPr>
          <w:b/>
          <w:bCs/>
        </w:rPr>
      </w:pPr>
      <w:r w:rsidRPr="00F32628">
        <w:rPr>
          <w:b/>
          <w:bCs/>
        </w:rPr>
        <w:lastRenderedPageBreak/>
        <w:t xml:space="preserve">Green economic transformation and inclusive development </w:t>
      </w:r>
    </w:p>
    <w:p w14:paraId="4179EEA0" w14:textId="0C83930A" w:rsidR="00A84659" w:rsidRDefault="0057758B" w:rsidP="00236595">
      <w:pPr>
        <w:pStyle w:val="ListParagraph"/>
        <w:tabs>
          <w:tab w:val="left" w:pos="1530"/>
          <w:tab w:val="left" w:pos="1620"/>
        </w:tabs>
        <w:ind w:left="1267" w:right="1123"/>
        <w:contextualSpacing/>
        <w:jc w:val="both"/>
      </w:pPr>
      <w:r>
        <w:t xml:space="preserve">24. </w:t>
      </w:r>
      <w:r w:rsidR="00A84659" w:rsidRPr="003B2D3F">
        <w:t>Contributing directly to Sustainable Development Goals 1,</w:t>
      </w:r>
      <w:r w:rsidR="006D5A4C">
        <w:t xml:space="preserve"> </w:t>
      </w:r>
      <w:r w:rsidR="00A84659" w:rsidRPr="003B2D3F">
        <w:t xml:space="preserve">3, 5, 8, 11, and indirectly to 9, 10, </w:t>
      </w:r>
      <w:r w:rsidR="009E3F7C">
        <w:t xml:space="preserve">and </w:t>
      </w:r>
      <w:r w:rsidR="00A84659" w:rsidRPr="003B2D3F">
        <w:t>12, UNDP will provide technical support to mainstreaming and accelerat</w:t>
      </w:r>
      <w:r w:rsidR="009E3F7C">
        <w:t>ing</w:t>
      </w:r>
      <w:r w:rsidR="00A84659" w:rsidRPr="003B2D3F">
        <w:t xml:space="preserve"> Agenda 2030 and Sustainable Development Goals in national implementation. This will include developing inclusive growth models resilient to global trends and disruptors driven by new technologies, climate change, environmental degradation</w:t>
      </w:r>
      <w:r w:rsidR="009E3F7C">
        <w:t>,</w:t>
      </w:r>
      <w:r w:rsidR="00A84659" w:rsidRPr="003B2D3F">
        <w:t xml:space="preserve"> resource scarcity, urbanization and migration.</w:t>
      </w:r>
    </w:p>
    <w:p w14:paraId="1E1D691E" w14:textId="77777777" w:rsidR="00C96760" w:rsidRPr="00236595" w:rsidRDefault="00C96760" w:rsidP="00236595">
      <w:pPr>
        <w:pStyle w:val="ListParagraph"/>
        <w:tabs>
          <w:tab w:val="left" w:pos="1530"/>
          <w:tab w:val="left" w:pos="1620"/>
        </w:tabs>
        <w:ind w:left="1267" w:right="1123"/>
        <w:contextualSpacing/>
        <w:jc w:val="both"/>
        <w:rPr>
          <w:sz w:val="12"/>
          <w:szCs w:val="12"/>
        </w:rPr>
      </w:pPr>
    </w:p>
    <w:p w14:paraId="7DC446AA" w14:textId="503FB7A9" w:rsidR="00A84659" w:rsidRDefault="0057758B" w:rsidP="00236595">
      <w:pPr>
        <w:pStyle w:val="ListParagraph"/>
        <w:tabs>
          <w:tab w:val="left" w:pos="1530"/>
          <w:tab w:val="left" w:pos="1620"/>
        </w:tabs>
        <w:ind w:left="1267" w:right="1123"/>
        <w:contextualSpacing/>
        <w:jc w:val="both"/>
      </w:pPr>
      <w:r>
        <w:t xml:space="preserve">25. </w:t>
      </w:r>
      <w:r w:rsidR="0005778F">
        <w:t xml:space="preserve">Building on UNDP support to updated NDCs </w:t>
      </w:r>
      <w:r w:rsidR="00A43359">
        <w:t>and</w:t>
      </w:r>
      <w:r w:rsidR="0005778F">
        <w:t xml:space="preserve"> </w:t>
      </w:r>
      <w:r w:rsidR="00A43359">
        <w:t xml:space="preserve">related </w:t>
      </w:r>
      <w:r w:rsidR="0005778F">
        <w:t xml:space="preserve">analytical work, </w:t>
      </w:r>
      <w:r w:rsidR="00A84659" w:rsidRPr="003B2D3F">
        <w:t xml:space="preserve">UNDP will assist </w:t>
      </w:r>
      <w:r w:rsidR="009E3F7C">
        <w:t xml:space="preserve">the </w:t>
      </w:r>
      <w:r w:rsidR="00A84659" w:rsidRPr="003B2D3F">
        <w:t>Kyrgyz</w:t>
      </w:r>
      <w:r w:rsidR="00247C59">
        <w:t xml:space="preserve"> Republic</w:t>
      </w:r>
      <w:r w:rsidR="00A84659" w:rsidRPr="003B2D3F">
        <w:t xml:space="preserve"> in access</w:t>
      </w:r>
      <w:r w:rsidR="0005778F">
        <w:t>ing</w:t>
      </w:r>
      <w:r w:rsidR="00A84659" w:rsidRPr="003B2D3F">
        <w:t xml:space="preserve"> investment </w:t>
      </w:r>
      <w:r w:rsidR="00101C92" w:rsidRPr="003B2D3F">
        <w:t xml:space="preserve">opportunities </w:t>
      </w:r>
      <w:r w:rsidR="00A84659" w:rsidRPr="003B2D3F">
        <w:t xml:space="preserve">for </w:t>
      </w:r>
      <w:r w:rsidR="0005778F">
        <w:t>initiating a</w:t>
      </w:r>
      <w:r w:rsidR="0005778F" w:rsidRPr="003B2D3F">
        <w:t xml:space="preserve"> </w:t>
      </w:r>
      <w:r w:rsidR="00A84659" w:rsidRPr="003B2D3F">
        <w:t xml:space="preserve">transition to low-carbon development, climate resilience, </w:t>
      </w:r>
      <w:r w:rsidR="0005778F">
        <w:t xml:space="preserve">and energy </w:t>
      </w:r>
      <w:r w:rsidR="004B44AC">
        <w:t>technolog</w:t>
      </w:r>
      <w:r w:rsidR="009E3F7C">
        <w:t>ies</w:t>
      </w:r>
      <w:r w:rsidR="00C96760">
        <w:t>.</w:t>
      </w:r>
    </w:p>
    <w:p w14:paraId="3756B61F" w14:textId="77777777" w:rsidR="00C96760" w:rsidRPr="00236595" w:rsidRDefault="00C96760" w:rsidP="00236595">
      <w:pPr>
        <w:tabs>
          <w:tab w:val="left" w:pos="1530"/>
          <w:tab w:val="left" w:pos="1620"/>
        </w:tabs>
        <w:ind w:left="1267" w:right="1123"/>
        <w:contextualSpacing/>
        <w:jc w:val="both"/>
        <w:rPr>
          <w:sz w:val="12"/>
          <w:szCs w:val="12"/>
        </w:rPr>
      </w:pPr>
    </w:p>
    <w:p w14:paraId="6DD7E017" w14:textId="381453D9" w:rsidR="00A84659" w:rsidRDefault="0057758B" w:rsidP="00236595">
      <w:pPr>
        <w:pStyle w:val="ListParagraph"/>
        <w:tabs>
          <w:tab w:val="left" w:pos="1530"/>
          <w:tab w:val="left" w:pos="1620"/>
        </w:tabs>
        <w:ind w:left="1267" w:right="1123"/>
        <w:contextualSpacing/>
        <w:jc w:val="both"/>
      </w:pPr>
      <w:r>
        <w:t xml:space="preserve">26. </w:t>
      </w:r>
      <w:r w:rsidR="00A84659" w:rsidRPr="003B2D3F">
        <w:t xml:space="preserve">UNDP will leverage innovative mechanisms for equitable access to </w:t>
      </w:r>
      <w:r w:rsidR="00B237E3" w:rsidRPr="003B2D3F">
        <w:t>finance</w:t>
      </w:r>
      <w:r w:rsidR="00B237E3">
        <w:t xml:space="preserve"> and</w:t>
      </w:r>
      <w:r w:rsidR="00A84659" w:rsidRPr="003B2D3F">
        <w:t xml:space="preserve"> support</w:t>
      </w:r>
      <w:r w:rsidR="009E3F7C">
        <w:t xml:space="preserve"> the</w:t>
      </w:r>
      <w:r w:rsidR="00A84659" w:rsidRPr="003B2D3F">
        <w:t xml:space="preserve"> development of integrated and transformative policy and programme solutions to empower informal businesses and vulnerable population, facilitate their pathways to decent jobs with a strong emphasis on </w:t>
      </w:r>
      <w:r w:rsidR="006E258E">
        <w:t xml:space="preserve">the economic empowerment of </w:t>
      </w:r>
      <w:r w:rsidR="00A84659" w:rsidRPr="003B2D3F">
        <w:t>ethnic minorities, youth</w:t>
      </w:r>
      <w:r w:rsidR="006E258E">
        <w:t>,</w:t>
      </w:r>
      <w:r w:rsidR="00A84659" w:rsidRPr="003B2D3F">
        <w:t xml:space="preserve"> and women. </w:t>
      </w:r>
      <w:r w:rsidR="0005778F">
        <w:t>Building on success</w:t>
      </w:r>
      <w:r w:rsidR="00A43359">
        <w:t>es</w:t>
      </w:r>
      <w:r w:rsidR="0005778F">
        <w:t xml:space="preserve"> </w:t>
      </w:r>
      <w:r w:rsidR="00A43359">
        <w:t>in</w:t>
      </w:r>
      <w:r w:rsidR="0005778F">
        <w:t xml:space="preserve"> the Aid for Trade programme, </w:t>
      </w:r>
      <w:r w:rsidR="00A84659" w:rsidRPr="003B2D3F">
        <w:t>UNDP will strengthen productivity of small businesses, including green and creative industries, by improving access to local and global value chains, incubation and business development support with a particular focus on digital solutions, coupled with efforts to close</w:t>
      </w:r>
      <w:r w:rsidR="00A43359">
        <w:t xml:space="preserve"> the</w:t>
      </w:r>
      <w:r w:rsidR="00A84659" w:rsidRPr="003B2D3F">
        <w:t xml:space="preserve"> digital divide.  </w:t>
      </w:r>
    </w:p>
    <w:p w14:paraId="4285EFDC" w14:textId="77777777" w:rsidR="00C96760" w:rsidRPr="00236595" w:rsidRDefault="00C96760" w:rsidP="00236595">
      <w:pPr>
        <w:tabs>
          <w:tab w:val="left" w:pos="1530"/>
          <w:tab w:val="left" w:pos="1620"/>
        </w:tabs>
        <w:ind w:left="1267" w:right="1123"/>
        <w:contextualSpacing/>
        <w:jc w:val="both"/>
        <w:rPr>
          <w:sz w:val="12"/>
          <w:szCs w:val="12"/>
        </w:rPr>
      </w:pPr>
    </w:p>
    <w:p w14:paraId="0DBCC7C6" w14:textId="648D4A59" w:rsidR="00A84659" w:rsidRPr="003B2D3F" w:rsidRDefault="0057758B" w:rsidP="00236595">
      <w:pPr>
        <w:pStyle w:val="ListParagraph"/>
        <w:tabs>
          <w:tab w:val="left" w:pos="1530"/>
          <w:tab w:val="left" w:pos="1620"/>
        </w:tabs>
        <w:spacing w:after="120"/>
        <w:ind w:left="1267" w:right="1123"/>
        <w:contextualSpacing/>
        <w:jc w:val="both"/>
      </w:pPr>
      <w:r>
        <w:t xml:space="preserve">27. </w:t>
      </w:r>
      <w:r w:rsidR="00A84659" w:rsidRPr="003B2D3F">
        <w:t>Working within the United Nations Migration Framework</w:t>
      </w:r>
      <w:r w:rsidR="004B44AC">
        <w:t xml:space="preserve"> and Migration Network at </w:t>
      </w:r>
      <w:r w:rsidR="006E258E">
        <w:t xml:space="preserve">the </w:t>
      </w:r>
      <w:r w:rsidR="004B44AC">
        <w:t>country level,</w:t>
      </w:r>
      <w:r w:rsidR="00A84659" w:rsidRPr="003B2D3F">
        <w:t xml:space="preserve"> UNDP </w:t>
      </w:r>
      <w:r w:rsidR="006E258E">
        <w:t>and</w:t>
      </w:r>
      <w:r w:rsidR="006249A9">
        <w:t xml:space="preserve"> IOM </w:t>
      </w:r>
      <w:r w:rsidR="00A84659" w:rsidRPr="003B2D3F">
        <w:t xml:space="preserve">will support migrants </w:t>
      </w:r>
      <w:r w:rsidR="00A43359">
        <w:t>in</w:t>
      </w:r>
      <w:r w:rsidR="00A43359" w:rsidRPr="003B2D3F">
        <w:t xml:space="preserve"> </w:t>
      </w:r>
      <w:r w:rsidR="00A84659" w:rsidRPr="003B2D3F">
        <w:t>contribut</w:t>
      </w:r>
      <w:r w:rsidR="00A43359">
        <w:t>ing</w:t>
      </w:r>
      <w:r w:rsidR="00A84659" w:rsidRPr="003B2D3F">
        <w:t xml:space="preserve"> to build more sustainable and resilient communities. </w:t>
      </w:r>
      <w:r w:rsidR="006E258E">
        <w:t>Concurrently</w:t>
      </w:r>
      <w:r w:rsidR="00A84659" w:rsidRPr="003B2D3F">
        <w:t xml:space="preserve">, UNDP will enhance </w:t>
      </w:r>
      <w:r w:rsidR="006E258E">
        <w:t xml:space="preserve">the </w:t>
      </w:r>
      <w:r w:rsidR="00A84659" w:rsidRPr="003B2D3F">
        <w:t>capacities of local authorities to generate employment opportunities</w:t>
      </w:r>
      <w:r w:rsidR="00A43359">
        <w:t>,</w:t>
      </w:r>
      <w:r w:rsidR="00A84659" w:rsidRPr="003B2D3F">
        <w:t xml:space="preserve"> incentiviz</w:t>
      </w:r>
      <w:r w:rsidR="00A43359">
        <w:t>ing</w:t>
      </w:r>
      <w:r w:rsidR="00A84659" w:rsidRPr="003B2D3F">
        <w:t xml:space="preserve"> people to </w:t>
      </w:r>
      <w:r w:rsidR="00A910A9">
        <w:t>uphold</w:t>
      </w:r>
      <w:r w:rsidR="00A910A9" w:rsidRPr="003B2D3F">
        <w:t xml:space="preserve"> </w:t>
      </w:r>
      <w:r w:rsidR="00A84659" w:rsidRPr="003B2D3F">
        <w:t xml:space="preserve">and contribute to social cohesion. </w:t>
      </w:r>
      <w:r w:rsidR="00A43359">
        <w:t>Within</w:t>
      </w:r>
      <w:r w:rsidR="00AB1C12">
        <w:t xml:space="preserve"> the</w:t>
      </w:r>
      <w:r w:rsidR="006249A9">
        <w:t xml:space="preserve"> </w:t>
      </w:r>
      <w:r w:rsidR="006249A9" w:rsidRPr="00C95575">
        <w:t>U</w:t>
      </w:r>
      <w:r w:rsidR="00B263EB" w:rsidRPr="00C95575">
        <w:t xml:space="preserve">nited </w:t>
      </w:r>
      <w:r w:rsidR="006249A9" w:rsidRPr="00C95575">
        <w:t>N</w:t>
      </w:r>
      <w:r w:rsidR="00B263EB" w:rsidRPr="00C95575">
        <w:t>ations</w:t>
      </w:r>
      <w:r w:rsidR="006249A9" w:rsidRPr="00C95575">
        <w:t xml:space="preserve"> Youth</w:t>
      </w:r>
      <w:r w:rsidR="0022381A" w:rsidRPr="00C95575">
        <w:t xml:space="preserve"> Thematic</w:t>
      </w:r>
      <w:r w:rsidR="006249A9" w:rsidRPr="00C95575">
        <w:t xml:space="preserve"> Group, </w:t>
      </w:r>
      <w:r w:rsidR="00A84659" w:rsidRPr="00C95575">
        <w:t xml:space="preserve">UNDP will support curriculum development and scale up </w:t>
      </w:r>
      <w:r w:rsidR="00A43359" w:rsidRPr="00C95575">
        <w:t xml:space="preserve">existing successful </w:t>
      </w:r>
      <w:r w:rsidR="00A84659" w:rsidRPr="00C95575">
        <w:t>youth center</w:t>
      </w:r>
      <w:r w:rsidR="00A910A9">
        <w:t xml:space="preserve"> models</w:t>
      </w:r>
      <w:r w:rsidR="00A84659" w:rsidRPr="00C95575">
        <w:t xml:space="preserve"> and </w:t>
      </w:r>
      <w:r w:rsidR="00A910A9">
        <w:t>i</w:t>
      </w:r>
      <w:r w:rsidR="00F72100" w:rsidRPr="00C95575">
        <w:t xml:space="preserve">nformation </w:t>
      </w:r>
      <w:r w:rsidR="00A910A9">
        <w:t>t</w:t>
      </w:r>
      <w:r w:rsidR="00F72100" w:rsidRPr="00C95575">
        <w:t xml:space="preserve">echnology </w:t>
      </w:r>
      <w:r w:rsidR="00A84659" w:rsidRPr="00C95575">
        <w:t>hubs as spaces for innovation, co-working, and advocacy.</w:t>
      </w:r>
      <w:r w:rsidR="00A84659" w:rsidRPr="003B2D3F">
        <w:t xml:space="preserve"> </w:t>
      </w:r>
    </w:p>
    <w:p w14:paraId="62A1C1C4" w14:textId="7EF4B039" w:rsidR="00A84659" w:rsidRPr="00F32628" w:rsidRDefault="00A84659" w:rsidP="006D6B55">
      <w:pPr>
        <w:spacing w:after="120" w:line="240" w:lineRule="exact"/>
        <w:ind w:left="1260" w:right="1123"/>
        <w:jc w:val="both"/>
        <w:rPr>
          <w:b/>
          <w:bCs/>
        </w:rPr>
      </w:pPr>
      <w:r w:rsidRPr="00F32628">
        <w:rPr>
          <w:b/>
          <w:bCs/>
        </w:rPr>
        <w:t>Accelerating climate action and nature-based solutions for protecting fragile ecosystem</w:t>
      </w:r>
      <w:r w:rsidR="00A910A9">
        <w:rPr>
          <w:b/>
          <w:bCs/>
        </w:rPr>
        <w:t>s</w:t>
      </w:r>
    </w:p>
    <w:p w14:paraId="1A0DF49D" w14:textId="1B6A249B" w:rsidR="00C96760" w:rsidRDefault="0057758B" w:rsidP="00236595">
      <w:pPr>
        <w:pStyle w:val="ListParagraph"/>
        <w:tabs>
          <w:tab w:val="left" w:pos="1530"/>
          <w:tab w:val="left" w:pos="1620"/>
        </w:tabs>
        <w:ind w:left="1260" w:right="1123"/>
        <w:contextualSpacing/>
        <w:jc w:val="both"/>
      </w:pPr>
      <w:r>
        <w:t xml:space="preserve">28. </w:t>
      </w:r>
      <w:r w:rsidR="00A84659" w:rsidRPr="003B2D3F">
        <w:t>Contributing directly to Sustainable Development Goals 7, 13, 14</w:t>
      </w:r>
      <w:r w:rsidR="00AC0313">
        <w:t xml:space="preserve">, </w:t>
      </w:r>
      <w:r w:rsidR="00A84659" w:rsidRPr="003B2D3F">
        <w:t>15</w:t>
      </w:r>
      <w:r w:rsidR="00A910A9">
        <w:t>,</w:t>
      </w:r>
      <w:r w:rsidR="00A84659" w:rsidRPr="003B2D3F">
        <w:t xml:space="preserve"> and indirectly to 1, 2,</w:t>
      </w:r>
      <w:r w:rsidR="00A43359">
        <w:t xml:space="preserve"> </w:t>
      </w:r>
      <w:r w:rsidR="00A84659" w:rsidRPr="003B2D3F">
        <w:t>3, 5, 8</w:t>
      </w:r>
      <w:r w:rsidR="00AC0313">
        <w:t xml:space="preserve">, </w:t>
      </w:r>
      <w:r w:rsidR="00A910A9">
        <w:t xml:space="preserve">and </w:t>
      </w:r>
      <w:r w:rsidR="00A84659" w:rsidRPr="003B2D3F">
        <w:t xml:space="preserve">12, UNDP will support </w:t>
      </w:r>
      <w:r w:rsidR="00A910A9">
        <w:t xml:space="preserve">the </w:t>
      </w:r>
      <w:r w:rsidR="00A84659" w:rsidRPr="003B2D3F">
        <w:t>Kyrgyz</w:t>
      </w:r>
      <w:r w:rsidR="00247C59">
        <w:t xml:space="preserve"> Republic</w:t>
      </w:r>
      <w:r w:rsidR="00A84659" w:rsidRPr="003B2D3F">
        <w:t xml:space="preserve"> in moving towards low-carbon, risk-informed resilient development, sustaining and protecting healthy ecosystems to realize international commitments. Stronger governance of natural resources will contribute to conflict prevention at local levels and in the context of trans</w:t>
      </w:r>
      <w:r w:rsidR="00A910A9">
        <w:t>-</w:t>
      </w:r>
      <w:r w:rsidR="00A84659" w:rsidRPr="003B2D3F">
        <w:t>boundary cooperation.</w:t>
      </w:r>
    </w:p>
    <w:p w14:paraId="1A66E984" w14:textId="6D61157A" w:rsidR="00A84659" w:rsidRPr="00236595" w:rsidRDefault="00A84659" w:rsidP="00236595">
      <w:pPr>
        <w:pStyle w:val="ListParagraph"/>
        <w:tabs>
          <w:tab w:val="left" w:pos="1530"/>
          <w:tab w:val="left" w:pos="1620"/>
        </w:tabs>
        <w:ind w:left="1260" w:right="1123"/>
        <w:contextualSpacing/>
        <w:jc w:val="both"/>
        <w:rPr>
          <w:sz w:val="12"/>
          <w:szCs w:val="12"/>
        </w:rPr>
      </w:pPr>
    </w:p>
    <w:p w14:paraId="20081B99" w14:textId="3C1362CD" w:rsidR="00C96760" w:rsidRDefault="0057758B" w:rsidP="00236595">
      <w:pPr>
        <w:pStyle w:val="ListParagraph"/>
        <w:tabs>
          <w:tab w:val="left" w:pos="1530"/>
          <w:tab w:val="left" w:pos="1620"/>
        </w:tabs>
        <w:ind w:left="1260" w:right="1123"/>
        <w:contextualSpacing/>
        <w:jc w:val="both"/>
      </w:pPr>
      <w:r>
        <w:t xml:space="preserve">29. </w:t>
      </w:r>
      <w:r w:rsidR="00A84659" w:rsidRPr="003B2D3F">
        <w:t xml:space="preserve">UNDP will assist </w:t>
      </w:r>
      <w:r w:rsidR="00A910A9">
        <w:t xml:space="preserve">the </w:t>
      </w:r>
      <w:r w:rsidR="00A84659" w:rsidRPr="003B2D3F">
        <w:t>Kyrgyz</w:t>
      </w:r>
      <w:r w:rsidR="00247C59">
        <w:t xml:space="preserve"> Republic</w:t>
      </w:r>
      <w:r w:rsidR="00A84659" w:rsidRPr="003B2D3F">
        <w:t xml:space="preserve"> in elaborating its long-term low-emission development strategy and support the </w:t>
      </w:r>
      <w:r w:rsidR="00A910A9">
        <w:t>g</w:t>
      </w:r>
      <w:r w:rsidR="00A84659" w:rsidRPr="003B2D3F">
        <w:t>overnment in accessing international climate and environment</w:t>
      </w:r>
      <w:r w:rsidR="00A910A9">
        <w:t>al</w:t>
      </w:r>
      <w:r w:rsidR="00A84659" w:rsidRPr="003B2D3F">
        <w:t xml:space="preserve"> financ</w:t>
      </w:r>
      <w:r w:rsidR="00A910A9">
        <w:t>ing</w:t>
      </w:r>
      <w:r w:rsidR="00A84659" w:rsidRPr="003B2D3F">
        <w:t>. UNDP will accelerate climate action and invest in capacities for adaptation to climate change and mitigation</w:t>
      </w:r>
      <w:r w:rsidR="00A910A9">
        <w:t xml:space="preserve"> measures</w:t>
      </w:r>
      <w:r w:rsidR="00A84659" w:rsidRPr="003B2D3F">
        <w:t xml:space="preserve">. UNDP will support efforts to mainstream adaptation into development planning and budgeting at all levels and, </w:t>
      </w:r>
      <w:r w:rsidR="00A910A9">
        <w:t>along</w:t>
      </w:r>
      <w:r w:rsidR="00A910A9" w:rsidRPr="003B2D3F">
        <w:t xml:space="preserve"> </w:t>
      </w:r>
      <w:r w:rsidR="00A84659" w:rsidRPr="003B2D3F">
        <w:t xml:space="preserve">with UN Women, </w:t>
      </w:r>
      <w:r w:rsidR="00A910A9">
        <w:t>help</w:t>
      </w:r>
      <w:r w:rsidR="00A910A9" w:rsidRPr="003B2D3F">
        <w:t xml:space="preserve"> </w:t>
      </w:r>
      <w:r w:rsidR="00A84659" w:rsidRPr="003B2D3F">
        <w:t>women to play leading roles in decision making and implementation.</w:t>
      </w:r>
    </w:p>
    <w:p w14:paraId="721790CC" w14:textId="77777777" w:rsidR="00C96760" w:rsidRPr="00236595" w:rsidRDefault="00C96760" w:rsidP="00236595">
      <w:pPr>
        <w:pStyle w:val="ListParagraph"/>
        <w:rPr>
          <w:sz w:val="12"/>
          <w:szCs w:val="12"/>
        </w:rPr>
      </w:pPr>
    </w:p>
    <w:p w14:paraId="4339EA45" w14:textId="3CF27491" w:rsidR="00236595" w:rsidRDefault="0057758B" w:rsidP="00236595">
      <w:pPr>
        <w:pStyle w:val="ListParagraph"/>
        <w:tabs>
          <w:tab w:val="left" w:pos="1530"/>
          <w:tab w:val="left" w:pos="1620"/>
        </w:tabs>
        <w:ind w:left="1260" w:right="1123"/>
        <w:contextualSpacing/>
        <w:jc w:val="both"/>
      </w:pPr>
      <w:r>
        <w:t xml:space="preserve">30. </w:t>
      </w:r>
      <w:r w:rsidR="00A84659" w:rsidRPr="003B2D3F">
        <w:t xml:space="preserve">UNDP will work to raise awareness of climate impacts using data, evidence and analysis, </w:t>
      </w:r>
      <w:r w:rsidR="0045232C">
        <w:t xml:space="preserve">empowering youth through education, </w:t>
      </w:r>
      <w:r w:rsidR="00A84659" w:rsidRPr="003B2D3F">
        <w:t>and contribut</w:t>
      </w:r>
      <w:r w:rsidR="0045232C">
        <w:t>ing</w:t>
      </w:r>
      <w:r w:rsidR="00A84659" w:rsidRPr="003B2D3F">
        <w:t xml:space="preserve"> to strengthen national capacities for climate science. UNDP will introduce low-carbon, off-grid, renewable energy solutions, </w:t>
      </w:r>
      <w:r w:rsidR="00A910A9">
        <w:t xml:space="preserve">as well as </w:t>
      </w:r>
      <w:r w:rsidR="00A84659" w:rsidRPr="003B2D3F">
        <w:t>support energy saving</w:t>
      </w:r>
      <w:r w:rsidR="00A910A9">
        <w:t xml:space="preserve">, </w:t>
      </w:r>
      <w:r w:rsidR="00A84659" w:rsidRPr="003B2D3F">
        <w:t xml:space="preserve">increase energy efficiency in the building </w:t>
      </w:r>
      <w:r w:rsidR="00B237E3" w:rsidRPr="003B2D3F">
        <w:t>sector</w:t>
      </w:r>
      <w:r w:rsidR="00B237E3">
        <w:t xml:space="preserve"> and</w:t>
      </w:r>
      <w:r w:rsidR="00A84659" w:rsidRPr="003B2D3F">
        <w:t xml:space="preserve"> promote </w:t>
      </w:r>
      <w:r w:rsidR="00BD1875">
        <w:t>enhanced waste management</w:t>
      </w:r>
      <w:r w:rsidR="00A84659" w:rsidRPr="003B2D3F">
        <w:t>.</w:t>
      </w:r>
    </w:p>
    <w:p w14:paraId="0521B282" w14:textId="77777777" w:rsidR="00236595" w:rsidRPr="00236595" w:rsidRDefault="00236595" w:rsidP="00236595">
      <w:pPr>
        <w:pStyle w:val="ListParagraph"/>
        <w:tabs>
          <w:tab w:val="left" w:pos="1530"/>
          <w:tab w:val="left" w:pos="1620"/>
        </w:tabs>
        <w:ind w:left="1260" w:right="1123"/>
        <w:contextualSpacing/>
        <w:jc w:val="both"/>
        <w:rPr>
          <w:sz w:val="12"/>
          <w:szCs w:val="12"/>
        </w:rPr>
      </w:pPr>
    </w:p>
    <w:p w14:paraId="302B0F84" w14:textId="75E0331E" w:rsidR="00A84659" w:rsidRDefault="0057758B" w:rsidP="00236595">
      <w:pPr>
        <w:pStyle w:val="ListParagraph"/>
        <w:tabs>
          <w:tab w:val="left" w:pos="1530"/>
          <w:tab w:val="left" w:pos="1620"/>
        </w:tabs>
        <w:ind w:left="1260" w:right="1123"/>
        <w:contextualSpacing/>
        <w:jc w:val="both"/>
      </w:pPr>
      <w:r>
        <w:t xml:space="preserve">31. </w:t>
      </w:r>
      <w:r w:rsidR="00EA6464">
        <w:t xml:space="preserve">Building on existing successful projects on climate-resilient irrigation, </w:t>
      </w:r>
      <w:r w:rsidR="00A84659" w:rsidRPr="003B2D3F">
        <w:t xml:space="preserve">UNDP will </w:t>
      </w:r>
      <w:r w:rsidR="00EA6464">
        <w:t>support national efforts</w:t>
      </w:r>
      <w:r w:rsidR="00EA6464" w:rsidRPr="003B2D3F">
        <w:t xml:space="preserve"> </w:t>
      </w:r>
      <w:r w:rsidR="00A84659" w:rsidRPr="003B2D3F">
        <w:t xml:space="preserve">to improve water governance and increase water efficiency </w:t>
      </w:r>
      <w:r w:rsidR="009C6558">
        <w:t>by</w:t>
      </w:r>
      <w:r w:rsidR="009C6558" w:rsidRPr="003B2D3F">
        <w:t xml:space="preserve"> </w:t>
      </w:r>
      <w:r w:rsidR="00A84659" w:rsidRPr="003B2D3F">
        <w:t xml:space="preserve">strengthening </w:t>
      </w:r>
      <w:r w:rsidR="009C6558">
        <w:t xml:space="preserve">the </w:t>
      </w:r>
      <w:r w:rsidR="00A84659" w:rsidRPr="003B2D3F">
        <w:t>capacities of local administrations and water</w:t>
      </w:r>
      <w:r w:rsidR="009C6558">
        <w:t>-</w:t>
      </w:r>
      <w:r w:rsidR="00A84659" w:rsidRPr="003B2D3F">
        <w:t>user associations</w:t>
      </w:r>
      <w:r w:rsidR="0045232C">
        <w:t xml:space="preserve"> to reinforce cycles of enhanced accountability and integrity around fair distribution principles, service delivery</w:t>
      </w:r>
      <w:r w:rsidR="009C6558">
        <w:t>,</w:t>
      </w:r>
      <w:r w:rsidR="0045232C">
        <w:t xml:space="preserve"> and fee payment</w:t>
      </w:r>
      <w:r w:rsidR="00A84659" w:rsidRPr="003B2D3F">
        <w:t>. This will help address unsustainable agricultural practices and improve irrigation infrastructure. UNDP will also support prevention efforts around water-related conflict risks</w:t>
      </w:r>
      <w:r w:rsidR="00EA6464">
        <w:t xml:space="preserve"> and, where possible, support Integrated Water Resources Management</w:t>
      </w:r>
      <w:r w:rsidR="00A84659" w:rsidRPr="003B2D3F">
        <w:t>.</w:t>
      </w:r>
    </w:p>
    <w:p w14:paraId="4B7B2A55" w14:textId="77777777" w:rsidR="00C96760" w:rsidRPr="00236595" w:rsidRDefault="00C96760" w:rsidP="00236595">
      <w:pPr>
        <w:tabs>
          <w:tab w:val="left" w:pos="1530"/>
          <w:tab w:val="left" w:pos="1620"/>
        </w:tabs>
        <w:ind w:right="1123"/>
        <w:contextualSpacing/>
        <w:jc w:val="both"/>
        <w:rPr>
          <w:sz w:val="12"/>
          <w:szCs w:val="12"/>
        </w:rPr>
      </w:pPr>
    </w:p>
    <w:p w14:paraId="568B722E" w14:textId="27D26C8D" w:rsidR="00C96760" w:rsidRDefault="0057758B" w:rsidP="00236595">
      <w:pPr>
        <w:pStyle w:val="ListParagraph"/>
        <w:tabs>
          <w:tab w:val="left" w:pos="1530"/>
          <w:tab w:val="left" w:pos="1620"/>
        </w:tabs>
        <w:ind w:left="1260" w:right="1123"/>
        <w:contextualSpacing/>
        <w:jc w:val="both"/>
      </w:pPr>
      <w:r>
        <w:lastRenderedPageBreak/>
        <w:t xml:space="preserve">32. </w:t>
      </w:r>
      <w:r w:rsidR="00A84659" w:rsidRPr="003B2D3F">
        <w:t xml:space="preserve">UNDP will continue to support the </w:t>
      </w:r>
      <w:r w:rsidR="009C6558">
        <w:t>g</w:t>
      </w:r>
      <w:r w:rsidR="00A84659" w:rsidRPr="003B2D3F">
        <w:t xml:space="preserve">overnment to expand the </w:t>
      </w:r>
      <w:r w:rsidR="009C6558">
        <w:t>p</w:t>
      </w:r>
      <w:r w:rsidR="00A84659" w:rsidRPr="003B2D3F">
        <w:t xml:space="preserve">rotected </w:t>
      </w:r>
      <w:r w:rsidR="009C6558">
        <w:t>a</w:t>
      </w:r>
      <w:r w:rsidR="00A84659" w:rsidRPr="003B2D3F">
        <w:t xml:space="preserve">reas network and implement gender responsive nature-based conservation plans that protect biodiversity and generate eco-friendly livelihoods. UNDP will help introduce approaches to access and benefit sharing in accordance with </w:t>
      </w:r>
      <w:r w:rsidR="009C6558">
        <w:t xml:space="preserve">the </w:t>
      </w:r>
      <w:r w:rsidR="00A84659" w:rsidRPr="003B2D3F">
        <w:t xml:space="preserve">Nagoya </w:t>
      </w:r>
      <w:r w:rsidR="009C6558">
        <w:t>P</w:t>
      </w:r>
      <w:r w:rsidR="00A84659" w:rsidRPr="003B2D3F">
        <w:t>rotocol</w:t>
      </w:r>
      <w:r w:rsidR="009C6558">
        <w:t xml:space="preserve"> and</w:t>
      </w:r>
      <w:r w:rsidR="00A84659" w:rsidRPr="003B2D3F">
        <w:t xml:space="preserve"> </w:t>
      </w:r>
      <w:r w:rsidR="00EA6464">
        <w:t>support the development of</w:t>
      </w:r>
      <w:r w:rsidR="00A84659" w:rsidRPr="003B2D3F">
        <w:t xml:space="preserve"> models and enabling framework</w:t>
      </w:r>
      <w:r w:rsidR="009C6558">
        <w:t>s</w:t>
      </w:r>
      <w:r w:rsidR="00A84659" w:rsidRPr="003B2D3F">
        <w:t xml:space="preserve"> for the equitable distribution of gains from ecosystem services.</w:t>
      </w:r>
    </w:p>
    <w:p w14:paraId="7EFF0222" w14:textId="3D350703" w:rsidR="00A84659" w:rsidRPr="00236595" w:rsidRDefault="00A84659" w:rsidP="00236595">
      <w:pPr>
        <w:tabs>
          <w:tab w:val="left" w:pos="1530"/>
          <w:tab w:val="left" w:pos="1620"/>
        </w:tabs>
        <w:ind w:left="1260" w:right="1123"/>
        <w:contextualSpacing/>
        <w:jc w:val="both"/>
        <w:rPr>
          <w:sz w:val="12"/>
          <w:szCs w:val="12"/>
        </w:rPr>
      </w:pPr>
    </w:p>
    <w:p w14:paraId="1801C19F" w14:textId="7170FD81" w:rsidR="00A84659" w:rsidRPr="003B2D3F" w:rsidRDefault="0057758B" w:rsidP="00236595">
      <w:pPr>
        <w:pStyle w:val="ListParagraph"/>
        <w:tabs>
          <w:tab w:val="left" w:pos="1530"/>
          <w:tab w:val="left" w:pos="1620"/>
        </w:tabs>
        <w:spacing w:after="120"/>
        <w:ind w:left="1260" w:right="1123"/>
        <w:contextualSpacing/>
        <w:jc w:val="both"/>
      </w:pPr>
      <w:r>
        <w:t xml:space="preserve">33. </w:t>
      </w:r>
      <w:r w:rsidR="00A84659" w:rsidRPr="003B2D3F">
        <w:t xml:space="preserve">UNDP will contribute to </w:t>
      </w:r>
      <w:r w:rsidR="009C6558">
        <w:t xml:space="preserve">the </w:t>
      </w:r>
      <w:r w:rsidR="00A84659" w:rsidRPr="003B2D3F">
        <w:t xml:space="preserve">implementation of national disaster risk reduction plans, focusing on strengthening resilience to multi-hazard, climate-aggravated disasters </w:t>
      </w:r>
      <w:r w:rsidR="009C6558">
        <w:t>by</w:t>
      </w:r>
      <w:r w:rsidR="009C6558" w:rsidRPr="003B2D3F">
        <w:t xml:space="preserve"> </w:t>
      </w:r>
      <w:r w:rsidR="00A84659" w:rsidRPr="003B2D3F">
        <w:t xml:space="preserve">strengthening early warning, preparedness, emergency response and recovery capacities at national and local levels, </w:t>
      </w:r>
      <w:r w:rsidR="00EA6464">
        <w:t xml:space="preserve">in particular </w:t>
      </w:r>
      <w:r w:rsidR="009C6558">
        <w:t>through</w:t>
      </w:r>
      <w:r w:rsidR="009C6558" w:rsidRPr="003B2D3F">
        <w:t xml:space="preserve"> </w:t>
      </w:r>
      <w:r w:rsidR="00A84659" w:rsidRPr="003B2D3F">
        <w:t>leveraging innovative technologies. UNDP will promote</w:t>
      </w:r>
      <w:r w:rsidR="009C6558">
        <w:t xml:space="preserve"> the</w:t>
      </w:r>
      <w:r w:rsidR="00A84659" w:rsidRPr="003B2D3F">
        <w:t xml:space="preserve"> integration of risks into development strategies and </w:t>
      </w:r>
      <w:r w:rsidR="0027242E" w:rsidRPr="003B2D3F">
        <w:t>plans</w:t>
      </w:r>
      <w:r w:rsidR="0027242E">
        <w:t xml:space="preserve"> and</w:t>
      </w:r>
      <w:r w:rsidR="00A84659" w:rsidRPr="003B2D3F">
        <w:t xml:space="preserve"> facilitate investment</w:t>
      </w:r>
      <w:r w:rsidR="009C6558">
        <w:t>s</w:t>
      </w:r>
      <w:r w:rsidR="00A84659" w:rsidRPr="003B2D3F">
        <w:t xml:space="preserve"> into national and local disaster and crisis preparedness and response</w:t>
      </w:r>
      <w:r w:rsidR="009C6558">
        <w:t xml:space="preserve"> programmes</w:t>
      </w:r>
      <w:r w:rsidR="00EA6464">
        <w:t>, including the application of</w:t>
      </w:r>
      <w:r w:rsidR="00A84659" w:rsidRPr="003B2D3F">
        <w:t xml:space="preserve"> disaster risk financing tools to strengthen the protection of vulnerable communities.</w:t>
      </w:r>
    </w:p>
    <w:p w14:paraId="0B8118F3" w14:textId="026EA6B3" w:rsidR="00A84659" w:rsidRPr="00F32628" w:rsidRDefault="00A84659" w:rsidP="006D6B55">
      <w:pPr>
        <w:spacing w:after="120" w:line="240" w:lineRule="exact"/>
        <w:ind w:left="1260" w:right="1123"/>
        <w:jc w:val="both"/>
        <w:rPr>
          <w:b/>
          <w:bCs/>
        </w:rPr>
      </w:pPr>
      <w:r w:rsidRPr="00F32628">
        <w:rPr>
          <w:b/>
          <w:bCs/>
        </w:rPr>
        <w:t xml:space="preserve">Strengthening </w:t>
      </w:r>
      <w:r w:rsidR="009C6558">
        <w:rPr>
          <w:b/>
          <w:bCs/>
        </w:rPr>
        <w:t>i</w:t>
      </w:r>
      <w:r w:rsidRPr="00F32628">
        <w:rPr>
          <w:b/>
          <w:bCs/>
        </w:rPr>
        <w:t>nclusive, accountable and democratic governance</w:t>
      </w:r>
    </w:p>
    <w:p w14:paraId="07968571" w14:textId="6A606EE1" w:rsidR="00A84659" w:rsidRDefault="0057758B" w:rsidP="00236595">
      <w:pPr>
        <w:pStyle w:val="ListParagraph"/>
        <w:tabs>
          <w:tab w:val="left" w:pos="1530"/>
          <w:tab w:val="left" w:pos="1620"/>
        </w:tabs>
        <w:ind w:left="1260" w:right="1123"/>
        <w:contextualSpacing/>
        <w:jc w:val="both"/>
      </w:pPr>
      <w:r>
        <w:t xml:space="preserve">34. </w:t>
      </w:r>
      <w:r w:rsidR="00A84659" w:rsidRPr="003B2D3F">
        <w:t xml:space="preserve">Capitalizing on existing active engagement with the </w:t>
      </w:r>
      <w:r w:rsidR="009C6558">
        <w:t>g</w:t>
      </w:r>
      <w:r w:rsidR="00A84659" w:rsidRPr="003B2D3F">
        <w:t>overnment and civil society</w:t>
      </w:r>
      <w:r w:rsidR="009C6558">
        <w:t>,</w:t>
      </w:r>
      <w:r w:rsidR="00A84659" w:rsidRPr="003B2D3F">
        <w:t xml:space="preserve"> UNDP will contribute directly to </w:t>
      </w:r>
      <w:r w:rsidR="0059526B">
        <w:t xml:space="preserve">Sustainable Development Goals </w:t>
      </w:r>
      <w:r w:rsidR="00A84659" w:rsidRPr="003B2D3F">
        <w:t xml:space="preserve"> 16 and 5</w:t>
      </w:r>
      <w:r w:rsidR="009C6558">
        <w:t>,</w:t>
      </w:r>
      <w:r w:rsidR="00A84659" w:rsidRPr="003B2D3F">
        <w:t xml:space="preserve"> and indirectly to 3 and 10</w:t>
      </w:r>
      <w:r w:rsidR="009C6558">
        <w:t>,</w:t>
      </w:r>
      <w:r w:rsidR="00A84659" w:rsidRPr="003B2D3F">
        <w:t xml:space="preserve"> </w:t>
      </w:r>
      <w:r w:rsidR="009C6558">
        <w:t>in providing</w:t>
      </w:r>
      <w:r w:rsidR="00A84659" w:rsidRPr="003B2D3F">
        <w:t xml:space="preserve"> support to strengthening democratic processes, </w:t>
      </w:r>
      <w:r w:rsidR="009C6558">
        <w:t xml:space="preserve">and </w:t>
      </w:r>
      <w:r w:rsidR="00A84659" w:rsidRPr="003B2D3F">
        <w:t>national and local governance systems for ensuring participatory, inclusive, people-centered</w:t>
      </w:r>
      <w:r w:rsidR="009C6558">
        <w:t>,</w:t>
      </w:r>
      <w:r w:rsidR="00A84659" w:rsidRPr="003B2D3F">
        <w:t xml:space="preserve"> and human rights-based decision-making and services in a conflict sensitive manner.</w:t>
      </w:r>
    </w:p>
    <w:p w14:paraId="21047D84" w14:textId="77777777" w:rsidR="00C96760" w:rsidRPr="00236595" w:rsidRDefault="00C96760" w:rsidP="00236595">
      <w:pPr>
        <w:pStyle w:val="ListParagraph"/>
        <w:tabs>
          <w:tab w:val="left" w:pos="1530"/>
          <w:tab w:val="left" w:pos="1620"/>
        </w:tabs>
        <w:ind w:left="1260" w:right="1123"/>
        <w:contextualSpacing/>
        <w:jc w:val="both"/>
        <w:rPr>
          <w:sz w:val="12"/>
          <w:szCs w:val="12"/>
        </w:rPr>
      </w:pPr>
    </w:p>
    <w:p w14:paraId="3489F121" w14:textId="6D639D1D" w:rsidR="00A84659" w:rsidRDefault="0057758B" w:rsidP="00236595">
      <w:pPr>
        <w:pStyle w:val="ListParagraph"/>
        <w:tabs>
          <w:tab w:val="left" w:pos="1530"/>
          <w:tab w:val="left" w:pos="1620"/>
        </w:tabs>
        <w:ind w:left="1260" w:right="1123"/>
        <w:contextualSpacing/>
        <w:jc w:val="both"/>
      </w:pPr>
      <w:r>
        <w:t xml:space="preserve">35. </w:t>
      </w:r>
      <w:r w:rsidR="00EA6464">
        <w:t xml:space="preserve">Building on comprehensive parliamentary assistance in the present cycle, </w:t>
      </w:r>
      <w:r w:rsidR="00A84659" w:rsidRPr="003B2D3F">
        <w:t xml:space="preserve">UNDP will strengthen the capacities of the seventh convocation of </w:t>
      </w:r>
      <w:r w:rsidR="00437A8B">
        <w:t>p</w:t>
      </w:r>
      <w:r w:rsidR="004813F4">
        <w:t>arliament</w:t>
      </w:r>
      <w:r w:rsidR="00A84659" w:rsidRPr="003B2D3F">
        <w:t xml:space="preserve"> with a view to support parliamentary legislative, oversight</w:t>
      </w:r>
      <w:r w:rsidR="00437A8B">
        <w:t>,</w:t>
      </w:r>
      <w:r w:rsidR="00A84659" w:rsidRPr="003B2D3F">
        <w:t xml:space="preserve"> and representative functions and improve transparency, accountability, accessibility</w:t>
      </w:r>
      <w:r w:rsidR="00437A8B">
        <w:t>,</w:t>
      </w:r>
      <w:r w:rsidR="00A84659" w:rsidRPr="003B2D3F">
        <w:t xml:space="preserve"> and public engagement </w:t>
      </w:r>
      <w:r w:rsidR="00437A8B">
        <w:t>in</w:t>
      </w:r>
      <w:r w:rsidR="00437A8B" w:rsidRPr="003B2D3F">
        <w:t xml:space="preserve"> </w:t>
      </w:r>
      <w:r w:rsidR="00A84659" w:rsidRPr="003B2D3F">
        <w:t xml:space="preserve">decision-making processes, including mainstreaming </w:t>
      </w:r>
      <w:r w:rsidR="00437A8B">
        <w:t>the</w:t>
      </w:r>
      <w:r w:rsidR="00437A8B" w:rsidRPr="003B2D3F">
        <w:t xml:space="preserve"> </w:t>
      </w:r>
      <w:r w:rsidR="00A84659" w:rsidRPr="003B2D3F">
        <w:t>digital transformation agenda.</w:t>
      </w:r>
      <w:r w:rsidR="00AC0313">
        <w:t xml:space="preserve"> </w:t>
      </w:r>
      <w:r w:rsidR="00A84659" w:rsidRPr="003B2D3F">
        <w:t xml:space="preserve">UNDP will assist parliamentary committees in performing oversight functions, especially on national budget processes, advancement of </w:t>
      </w:r>
      <w:r w:rsidR="00437A8B">
        <w:t xml:space="preserve">the 2030 </w:t>
      </w:r>
      <w:r w:rsidR="00A84659" w:rsidRPr="003B2D3F">
        <w:t>Agenda, strengthening parliamentary interaction</w:t>
      </w:r>
      <w:r w:rsidR="00437A8B">
        <w:t>s</w:t>
      </w:r>
      <w:r w:rsidR="00A84659" w:rsidRPr="003B2D3F">
        <w:t xml:space="preserve"> with civil society</w:t>
      </w:r>
      <w:r w:rsidR="00437A8B">
        <w:t>,</w:t>
      </w:r>
      <w:r w:rsidR="00A84659" w:rsidRPr="003B2D3F">
        <w:t xml:space="preserve"> and promoting </w:t>
      </w:r>
      <w:r w:rsidR="00437A8B">
        <w:t xml:space="preserve">the </w:t>
      </w:r>
      <w:r w:rsidR="00A84659" w:rsidRPr="003B2D3F">
        <w:t>civic education and national gender equality strateg</w:t>
      </w:r>
      <w:r w:rsidR="00437A8B">
        <w:t>ies</w:t>
      </w:r>
      <w:r w:rsidR="00A84659" w:rsidRPr="003B2D3F">
        <w:t>.</w:t>
      </w:r>
      <w:r w:rsidR="00151764">
        <w:t xml:space="preserve"> </w:t>
      </w:r>
    </w:p>
    <w:p w14:paraId="4BDDB4E3" w14:textId="77777777" w:rsidR="00C96760" w:rsidRPr="00236595" w:rsidRDefault="00C96760" w:rsidP="00236595">
      <w:pPr>
        <w:tabs>
          <w:tab w:val="left" w:pos="1530"/>
          <w:tab w:val="left" w:pos="1620"/>
        </w:tabs>
        <w:ind w:right="1123"/>
        <w:contextualSpacing/>
        <w:jc w:val="both"/>
        <w:rPr>
          <w:sz w:val="12"/>
          <w:szCs w:val="12"/>
        </w:rPr>
      </w:pPr>
    </w:p>
    <w:p w14:paraId="2AF457DB" w14:textId="7FB09145" w:rsidR="00A84659" w:rsidRDefault="0057758B" w:rsidP="00236595">
      <w:pPr>
        <w:pStyle w:val="ListParagraph"/>
        <w:tabs>
          <w:tab w:val="left" w:pos="1530"/>
          <w:tab w:val="left" w:pos="1620"/>
        </w:tabs>
        <w:ind w:left="1260" w:right="1123"/>
        <w:contextualSpacing/>
        <w:jc w:val="both"/>
      </w:pPr>
      <w:r>
        <w:t xml:space="preserve">36. </w:t>
      </w:r>
      <w:r w:rsidR="00EA6464">
        <w:t xml:space="preserve">Continuing successful support for access to justice, </w:t>
      </w:r>
      <w:r w:rsidR="00A84659" w:rsidRPr="003B2D3F">
        <w:t>UNDP will promote rule of law by fostering a more strategic, coordinated, responsive, gender-sensitive</w:t>
      </w:r>
      <w:r w:rsidR="00437A8B">
        <w:t>,</w:t>
      </w:r>
      <w:r w:rsidR="00A84659" w:rsidRPr="003B2D3F">
        <w:t xml:space="preserve"> and sustainable implementation of national legal and judicial reform processes, including preventing and responding to violence against women and girls. UNDP will support the </w:t>
      </w:r>
      <w:r w:rsidR="0059526B">
        <w:t>G</w:t>
      </w:r>
      <w:r w:rsidR="00A84659" w:rsidRPr="003B2D3F">
        <w:t xml:space="preserve">overnment to strengthen </w:t>
      </w:r>
      <w:r w:rsidR="00437A8B">
        <w:t xml:space="preserve">the </w:t>
      </w:r>
      <w:r w:rsidR="00EA6464">
        <w:t>sustainability</w:t>
      </w:r>
      <w:r w:rsidR="00EA6464" w:rsidRPr="003B2D3F">
        <w:t xml:space="preserve"> </w:t>
      </w:r>
      <w:r w:rsidR="00A84659" w:rsidRPr="003B2D3F">
        <w:t>of the state-funded legal aid system</w:t>
      </w:r>
      <w:r w:rsidR="00EA6464">
        <w:t xml:space="preserve">, introduced </w:t>
      </w:r>
      <w:r w:rsidR="00437A8B">
        <w:t xml:space="preserve">through </w:t>
      </w:r>
      <w:r w:rsidR="00EA6464">
        <w:t>UNDP support,</w:t>
      </w:r>
      <w:r w:rsidR="00A84659" w:rsidRPr="003B2D3F">
        <w:t xml:space="preserve"> and</w:t>
      </w:r>
      <w:r w:rsidR="00437A8B">
        <w:t xml:space="preserve"> to</w:t>
      </w:r>
      <w:r w:rsidR="00A84659" w:rsidRPr="003B2D3F">
        <w:t xml:space="preserve"> assist national efforts aimed at improving equal access to justice and due process in line with international human rights standards. </w:t>
      </w:r>
    </w:p>
    <w:p w14:paraId="55DDBE62" w14:textId="77777777" w:rsidR="00C96760" w:rsidRPr="00236595" w:rsidRDefault="00C96760" w:rsidP="00236595">
      <w:pPr>
        <w:tabs>
          <w:tab w:val="left" w:pos="1530"/>
          <w:tab w:val="left" w:pos="1620"/>
        </w:tabs>
        <w:ind w:left="1260" w:right="1123"/>
        <w:contextualSpacing/>
        <w:jc w:val="both"/>
        <w:rPr>
          <w:sz w:val="12"/>
          <w:szCs w:val="12"/>
        </w:rPr>
      </w:pPr>
    </w:p>
    <w:p w14:paraId="7ADB305E" w14:textId="0527E1FF" w:rsidR="00A84659" w:rsidRDefault="0057758B" w:rsidP="00236595">
      <w:pPr>
        <w:pStyle w:val="ListParagraph"/>
        <w:tabs>
          <w:tab w:val="left" w:pos="1530"/>
          <w:tab w:val="left" w:pos="1620"/>
        </w:tabs>
        <w:ind w:left="1260" w:right="1123"/>
        <w:contextualSpacing/>
        <w:jc w:val="both"/>
      </w:pPr>
      <w:r>
        <w:t xml:space="preserve">37. </w:t>
      </w:r>
      <w:r w:rsidR="00A84659" w:rsidRPr="003B2D3F">
        <w:t xml:space="preserve">UNDP will assist the </w:t>
      </w:r>
      <w:r w:rsidR="0059526B">
        <w:t>G</w:t>
      </w:r>
      <w:r w:rsidR="00A84659" w:rsidRPr="003B2D3F">
        <w:t xml:space="preserve">overnment, </w:t>
      </w:r>
      <w:r w:rsidR="00437A8B">
        <w:t xml:space="preserve">and </w:t>
      </w:r>
      <w:r w:rsidR="00A84659" w:rsidRPr="003B2D3F">
        <w:t>key stakeholders</w:t>
      </w:r>
      <w:r w:rsidR="00437A8B">
        <w:t xml:space="preserve"> from</w:t>
      </w:r>
      <w:r w:rsidR="00A84659" w:rsidRPr="003B2D3F">
        <w:t xml:space="preserve"> private sector and civil society to promote a more responsible, human rights-compliant, law-abiding and environmentally conscious business environment</w:t>
      </w:r>
      <w:r w:rsidR="00437A8B">
        <w:t xml:space="preserve"> that includes </w:t>
      </w:r>
      <w:r w:rsidR="00A84659" w:rsidRPr="003B2D3F">
        <w:t>environmental and human rights due diligence practices and related access to remedies.</w:t>
      </w:r>
    </w:p>
    <w:p w14:paraId="2E4ABC57" w14:textId="77777777" w:rsidR="00C96760" w:rsidRPr="00236595" w:rsidRDefault="00C96760" w:rsidP="00236595">
      <w:pPr>
        <w:tabs>
          <w:tab w:val="left" w:pos="1530"/>
          <w:tab w:val="left" w:pos="1620"/>
        </w:tabs>
        <w:ind w:left="1260" w:right="1123"/>
        <w:contextualSpacing/>
        <w:jc w:val="both"/>
        <w:rPr>
          <w:sz w:val="12"/>
          <w:szCs w:val="12"/>
        </w:rPr>
      </w:pPr>
    </w:p>
    <w:p w14:paraId="45DB6EC0" w14:textId="6DAEC3EB" w:rsidR="00A84659" w:rsidRDefault="0057758B" w:rsidP="00236595">
      <w:pPr>
        <w:pStyle w:val="ListParagraph"/>
        <w:tabs>
          <w:tab w:val="left" w:pos="1530"/>
          <w:tab w:val="left" w:pos="1620"/>
        </w:tabs>
        <w:ind w:left="1260" w:right="1123"/>
        <w:contextualSpacing/>
        <w:jc w:val="both"/>
      </w:pPr>
      <w:r>
        <w:t xml:space="preserve">38. </w:t>
      </w:r>
      <w:r w:rsidR="00A84659" w:rsidRPr="003B2D3F">
        <w:t xml:space="preserve">Based on lessons </w:t>
      </w:r>
      <w:r w:rsidR="00437A8B">
        <w:t>from</w:t>
      </w:r>
      <w:r w:rsidR="00437A8B" w:rsidRPr="003B2D3F">
        <w:t xml:space="preserve"> </w:t>
      </w:r>
      <w:r w:rsidR="00A84659" w:rsidRPr="003B2D3F">
        <w:t>recent multi-dimensional cris</w:t>
      </w:r>
      <w:r w:rsidR="00437A8B">
        <w:t>e</w:t>
      </w:r>
      <w:r w:rsidR="00A84659" w:rsidRPr="003B2D3F">
        <w:t>s and</w:t>
      </w:r>
      <w:r w:rsidR="00437A8B">
        <w:t xml:space="preserve"> to</w:t>
      </w:r>
      <w:r w:rsidR="00A84659" w:rsidRPr="003B2D3F">
        <w:t xml:space="preserve"> further leverag</w:t>
      </w:r>
      <w:r w:rsidR="00437A8B">
        <w:t>e</w:t>
      </w:r>
      <w:r w:rsidR="00A84659" w:rsidRPr="003B2D3F">
        <w:t xml:space="preserve"> the digital agenda, UNDP will support state efforts in shifting towards e-government and digitalization </w:t>
      </w:r>
      <w:r w:rsidR="00437A8B">
        <w:t>for</w:t>
      </w:r>
      <w:r w:rsidR="00437A8B" w:rsidRPr="003B2D3F">
        <w:t xml:space="preserve"> </w:t>
      </w:r>
      <w:r w:rsidR="00A84659" w:rsidRPr="003B2D3F">
        <w:t>enabl</w:t>
      </w:r>
      <w:r w:rsidR="00437A8B">
        <w:t>ing</w:t>
      </w:r>
      <w:r w:rsidR="00A84659" w:rsidRPr="003B2D3F">
        <w:t xml:space="preserve"> more effective, inclusive, transparent and uninterrupted public services, while ensuring </w:t>
      </w:r>
      <w:r w:rsidR="00437A8B">
        <w:t xml:space="preserve">the </w:t>
      </w:r>
      <w:r w:rsidR="00A84659" w:rsidRPr="003B2D3F">
        <w:t>privacy of citizens’ digital identity.</w:t>
      </w:r>
    </w:p>
    <w:p w14:paraId="4AD25796" w14:textId="77777777" w:rsidR="00C96760" w:rsidRPr="00236595" w:rsidRDefault="00C96760" w:rsidP="00236595">
      <w:pPr>
        <w:tabs>
          <w:tab w:val="left" w:pos="1530"/>
          <w:tab w:val="left" w:pos="1620"/>
        </w:tabs>
        <w:ind w:left="1260" w:right="1123"/>
        <w:contextualSpacing/>
        <w:jc w:val="both"/>
        <w:rPr>
          <w:sz w:val="12"/>
          <w:szCs w:val="12"/>
        </w:rPr>
      </w:pPr>
    </w:p>
    <w:p w14:paraId="0E34851C" w14:textId="2D6DA5BB" w:rsidR="00A84659" w:rsidRDefault="0057758B" w:rsidP="00236595">
      <w:pPr>
        <w:pStyle w:val="ListParagraph"/>
        <w:tabs>
          <w:tab w:val="left" w:pos="1530"/>
          <w:tab w:val="left" w:pos="1620"/>
        </w:tabs>
        <w:ind w:left="1260" w:right="1123"/>
        <w:contextualSpacing/>
        <w:jc w:val="both"/>
      </w:pPr>
      <w:r>
        <w:t xml:space="preserve">39. </w:t>
      </w:r>
      <w:r w:rsidR="00B237E3">
        <w:t>In b</w:t>
      </w:r>
      <w:r w:rsidR="00A84659" w:rsidRPr="003B2D3F">
        <w:t xml:space="preserve">uilding on the vibrant tradition of civic participation and active civil society in </w:t>
      </w:r>
      <w:r w:rsidR="00437A8B">
        <w:t xml:space="preserve">the </w:t>
      </w:r>
      <w:r w:rsidR="00A84659" w:rsidRPr="003B2D3F">
        <w:t>Kyrgyz</w:t>
      </w:r>
      <w:r w:rsidR="00247C59">
        <w:t xml:space="preserve"> Republic</w:t>
      </w:r>
      <w:r w:rsidR="00437A8B">
        <w:t>,</w:t>
      </w:r>
      <w:r w:rsidR="00A84659" w:rsidRPr="003B2D3F">
        <w:t xml:space="preserve"> and working closely with other United Nations Development System</w:t>
      </w:r>
      <w:r w:rsidR="00437A8B">
        <w:t xml:space="preserve"> entities</w:t>
      </w:r>
      <w:r w:rsidR="00A84659" w:rsidRPr="003B2D3F">
        <w:t xml:space="preserve">, UNDP will support the emergence of a new generation of accountable  </w:t>
      </w:r>
      <w:r w:rsidR="00F72100">
        <w:t xml:space="preserve">non-governmental organizations </w:t>
      </w:r>
      <w:r w:rsidR="00A84659" w:rsidRPr="003B2D3F">
        <w:t>as partner</w:t>
      </w:r>
      <w:r w:rsidR="00437A8B">
        <w:t>s</w:t>
      </w:r>
      <w:r w:rsidR="00A84659" w:rsidRPr="003B2D3F">
        <w:t xml:space="preserve"> in the </w:t>
      </w:r>
      <w:r w:rsidR="00437A8B">
        <w:t>national</w:t>
      </w:r>
      <w:r w:rsidR="00437A8B" w:rsidRPr="003B2D3F">
        <w:t xml:space="preserve"> </w:t>
      </w:r>
      <w:r w:rsidR="00A84659" w:rsidRPr="003B2D3F">
        <w:t>development processes at all levels.</w:t>
      </w:r>
    </w:p>
    <w:p w14:paraId="066100C4" w14:textId="77777777" w:rsidR="00C96760" w:rsidRPr="00236595" w:rsidRDefault="00C96760" w:rsidP="00236595">
      <w:pPr>
        <w:tabs>
          <w:tab w:val="left" w:pos="1530"/>
          <w:tab w:val="left" w:pos="1620"/>
        </w:tabs>
        <w:ind w:left="1260" w:right="1123"/>
        <w:contextualSpacing/>
        <w:jc w:val="both"/>
        <w:rPr>
          <w:sz w:val="12"/>
          <w:szCs w:val="12"/>
        </w:rPr>
      </w:pPr>
    </w:p>
    <w:p w14:paraId="7ADD66D1" w14:textId="3E45244F" w:rsidR="00C96760" w:rsidRDefault="0057758B" w:rsidP="00236595">
      <w:pPr>
        <w:pStyle w:val="ListParagraph"/>
        <w:tabs>
          <w:tab w:val="left" w:pos="1530"/>
          <w:tab w:val="left" w:pos="1620"/>
        </w:tabs>
        <w:ind w:left="1260" w:right="1123"/>
        <w:contextualSpacing/>
        <w:jc w:val="both"/>
      </w:pPr>
      <w:r>
        <w:t xml:space="preserve">40. </w:t>
      </w:r>
      <w:r w:rsidR="00656C20">
        <w:t xml:space="preserve">As part of implementing programmes at the local level, </w:t>
      </w:r>
      <w:r w:rsidR="00A84659" w:rsidRPr="003B2D3F">
        <w:t xml:space="preserve">UNDP will </w:t>
      </w:r>
      <w:r w:rsidR="00656C20">
        <w:t>tackle</w:t>
      </w:r>
      <w:r w:rsidR="00A84659" w:rsidRPr="003B2D3F">
        <w:t xml:space="preserve"> a range of issues </w:t>
      </w:r>
      <w:r w:rsidR="00656C20">
        <w:t xml:space="preserve">in </w:t>
      </w:r>
      <w:r w:rsidR="00656C20" w:rsidRPr="003B2D3F">
        <w:t xml:space="preserve">local self-governance </w:t>
      </w:r>
      <w:r w:rsidR="00A84659" w:rsidRPr="003B2D3F">
        <w:t>such as strengthening civic participation, promoting inclusive, transparent, and accountable governance</w:t>
      </w:r>
      <w:r w:rsidR="00437A8B">
        <w:t>,</w:t>
      </w:r>
      <w:r w:rsidR="00A84659" w:rsidRPr="003B2D3F">
        <w:t xml:space="preserve"> and improv</w:t>
      </w:r>
      <w:r w:rsidR="00437A8B">
        <w:t>ing</w:t>
      </w:r>
      <w:r w:rsidR="00A84659" w:rsidRPr="003B2D3F">
        <w:t xml:space="preserve"> </w:t>
      </w:r>
      <w:r w:rsidR="00437A8B">
        <w:t xml:space="preserve">the </w:t>
      </w:r>
      <w:r w:rsidR="00A84659" w:rsidRPr="003B2D3F">
        <w:t>capacity for local development and service delivery.</w:t>
      </w:r>
      <w:r w:rsidR="00894A50">
        <w:t xml:space="preserve"> </w:t>
      </w:r>
    </w:p>
    <w:p w14:paraId="0FE32FFB" w14:textId="060D0281" w:rsidR="00A84659" w:rsidRPr="00236595" w:rsidRDefault="00A84659" w:rsidP="00236595">
      <w:pPr>
        <w:tabs>
          <w:tab w:val="left" w:pos="1530"/>
          <w:tab w:val="left" w:pos="1620"/>
        </w:tabs>
        <w:ind w:left="1260" w:right="1123"/>
        <w:contextualSpacing/>
        <w:jc w:val="both"/>
        <w:rPr>
          <w:sz w:val="12"/>
          <w:szCs w:val="12"/>
        </w:rPr>
      </w:pPr>
    </w:p>
    <w:p w14:paraId="400874E7" w14:textId="7D8EAE95" w:rsidR="00A84659" w:rsidRDefault="0057758B" w:rsidP="00236595">
      <w:pPr>
        <w:pStyle w:val="ListParagraph"/>
        <w:tabs>
          <w:tab w:val="left" w:pos="1530"/>
          <w:tab w:val="left" w:pos="1620"/>
        </w:tabs>
        <w:ind w:left="1260" w:right="1123"/>
        <w:contextualSpacing/>
        <w:jc w:val="both"/>
      </w:pPr>
      <w:r>
        <w:lastRenderedPageBreak/>
        <w:t xml:space="preserve">41. </w:t>
      </w:r>
      <w:r w:rsidR="00A84659" w:rsidRPr="003B2D3F">
        <w:t>To address multi-dimensional and multi-layered challenges to social cohesion and peaceful coexistence among</w:t>
      </w:r>
      <w:r w:rsidR="00437A8B">
        <w:t>st</w:t>
      </w:r>
      <w:r w:rsidR="00A84659" w:rsidRPr="003B2D3F">
        <w:t xml:space="preserve"> communities, UNDP will work to support the development of national capacities and architecture for conflict prevention and resolution, especially in the Fergana Valley, and to ensure policy making is conflict-sensitive and inclusive of the needs of minority groups.</w:t>
      </w:r>
    </w:p>
    <w:p w14:paraId="3B6EBE8C" w14:textId="77777777" w:rsidR="00C96760" w:rsidRPr="00236595" w:rsidRDefault="00C96760" w:rsidP="00236595">
      <w:pPr>
        <w:tabs>
          <w:tab w:val="left" w:pos="1530"/>
          <w:tab w:val="left" w:pos="1620"/>
        </w:tabs>
        <w:ind w:left="1260" w:right="1123"/>
        <w:contextualSpacing/>
        <w:jc w:val="both"/>
        <w:rPr>
          <w:sz w:val="12"/>
          <w:szCs w:val="12"/>
        </w:rPr>
      </w:pPr>
    </w:p>
    <w:p w14:paraId="2440D3F6" w14:textId="3BD5890A" w:rsidR="004736BE" w:rsidRDefault="0057758B" w:rsidP="00236595">
      <w:pPr>
        <w:pStyle w:val="ListParagraph"/>
        <w:tabs>
          <w:tab w:val="left" w:pos="1530"/>
          <w:tab w:val="left" w:pos="1620"/>
        </w:tabs>
        <w:ind w:left="1260" w:right="1123"/>
        <w:contextualSpacing/>
        <w:jc w:val="both"/>
      </w:pPr>
      <w:r>
        <w:t xml:space="preserve">42. </w:t>
      </w:r>
      <w:r w:rsidR="00A84659" w:rsidRPr="003B2D3F">
        <w:t xml:space="preserve">UNDP will build upon successful work </w:t>
      </w:r>
      <w:r w:rsidR="00437A8B">
        <w:t>in</w:t>
      </w:r>
      <w:r w:rsidR="00437A8B" w:rsidRPr="003B2D3F">
        <w:t xml:space="preserve"> </w:t>
      </w:r>
      <w:r w:rsidR="00A84659" w:rsidRPr="003B2D3F">
        <w:t>women’s political participation</w:t>
      </w:r>
      <w:r w:rsidR="00437A8B">
        <w:t>,</w:t>
      </w:r>
      <w:r w:rsidR="00A84659" w:rsidRPr="003B2D3F">
        <w:t xml:space="preserve"> as well as joint </w:t>
      </w:r>
      <w:r w:rsidR="00437A8B">
        <w:t>efforts to</w:t>
      </w:r>
      <w:r w:rsidR="00437A8B" w:rsidRPr="003B2D3F">
        <w:t xml:space="preserve"> </w:t>
      </w:r>
      <w:r w:rsidR="00437A8B">
        <w:t>reduce</w:t>
      </w:r>
      <w:r w:rsidR="00A84659" w:rsidRPr="003B2D3F">
        <w:t xml:space="preserve"> gender-based violence </w:t>
      </w:r>
      <w:r w:rsidR="00437A8B">
        <w:t>in</w:t>
      </w:r>
      <w:r w:rsidR="00437A8B" w:rsidRPr="003B2D3F">
        <w:t xml:space="preserve"> </w:t>
      </w:r>
      <w:r w:rsidR="00A84659" w:rsidRPr="003B2D3F">
        <w:t xml:space="preserve">support of </w:t>
      </w:r>
      <w:r w:rsidR="00437A8B">
        <w:t xml:space="preserve">implementing </w:t>
      </w:r>
      <w:r w:rsidR="00A84659" w:rsidRPr="003B2D3F">
        <w:t>the national strategy on gender equality and promot</w:t>
      </w:r>
      <w:r w:rsidR="00437A8B">
        <w:t>ing</w:t>
      </w:r>
      <w:r w:rsidR="00A84659" w:rsidRPr="003B2D3F">
        <w:t xml:space="preserve"> women’s leadership and participation. </w:t>
      </w:r>
    </w:p>
    <w:p w14:paraId="148D735B" w14:textId="77777777" w:rsidR="00A84659" w:rsidRPr="00A84659" w:rsidRDefault="00A84659" w:rsidP="005A4A7C">
      <w:pPr>
        <w:pStyle w:val="ListParagraph"/>
        <w:tabs>
          <w:tab w:val="left" w:pos="1530"/>
          <w:tab w:val="left" w:pos="1620"/>
        </w:tabs>
        <w:spacing w:line="240" w:lineRule="exact"/>
        <w:ind w:left="1260" w:right="1123"/>
        <w:contextualSpacing/>
        <w:jc w:val="both"/>
      </w:pPr>
    </w:p>
    <w:p w14:paraId="2440D3F7" w14:textId="497AD767" w:rsidR="0063402B" w:rsidRDefault="0063402B" w:rsidP="00236595">
      <w:pPr>
        <w:pStyle w:val="Heading1"/>
        <w:tabs>
          <w:tab w:val="left" w:pos="1800"/>
        </w:tabs>
        <w:spacing w:after="200" w:line="240" w:lineRule="exact"/>
        <w:ind w:left="1260" w:right="1267" w:hanging="450"/>
        <w:jc w:val="both"/>
        <w:rPr>
          <w:rFonts w:ascii="Times New Roman" w:hAnsi="Times New Roman"/>
          <w:color w:val="000000"/>
          <w:sz w:val="24"/>
          <w:szCs w:val="24"/>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II</w:t>
      </w:r>
      <w:r w:rsidRPr="003C26C1">
        <w:rPr>
          <w:rFonts w:ascii="Times New Roman" w:hAnsi="Times New Roman"/>
          <w:color w:val="000000"/>
          <w:sz w:val="24"/>
          <w:szCs w:val="24"/>
        </w:rPr>
        <w:t>.</w:t>
      </w:r>
      <w:r w:rsidR="00236595">
        <w:rPr>
          <w:rFonts w:ascii="Times New Roman" w:hAnsi="Times New Roman"/>
          <w:color w:val="000000"/>
          <w:sz w:val="24"/>
          <w:szCs w:val="24"/>
        </w:rPr>
        <w:tab/>
      </w:r>
      <w:r w:rsidRPr="003C26C1">
        <w:rPr>
          <w:rFonts w:ascii="Times New Roman" w:hAnsi="Times New Roman"/>
          <w:color w:val="000000"/>
          <w:sz w:val="24"/>
          <w:szCs w:val="24"/>
          <w:lang w:val="en-US"/>
        </w:rPr>
        <w:t xml:space="preserve">Programme and </w:t>
      </w:r>
      <w:r w:rsidR="00236595">
        <w:rPr>
          <w:rFonts w:ascii="Times New Roman" w:hAnsi="Times New Roman"/>
          <w:color w:val="000000"/>
          <w:sz w:val="24"/>
          <w:szCs w:val="24"/>
          <w:lang w:val="en-US"/>
        </w:rPr>
        <w:t>r</w:t>
      </w:r>
      <w:r w:rsidRPr="003C26C1">
        <w:rPr>
          <w:rFonts w:ascii="Times New Roman" w:hAnsi="Times New Roman"/>
          <w:color w:val="000000"/>
          <w:sz w:val="24"/>
          <w:szCs w:val="24"/>
          <w:lang w:val="en-US"/>
        </w:rPr>
        <w:t>isk</w:t>
      </w:r>
      <w:r w:rsidR="00AC1BE7" w:rsidRPr="003C26C1">
        <w:rPr>
          <w:rFonts w:ascii="Times New Roman" w:hAnsi="Times New Roman"/>
          <w:color w:val="000000"/>
          <w:sz w:val="24"/>
          <w:szCs w:val="24"/>
          <w:lang w:val="en-US"/>
        </w:rPr>
        <w:t xml:space="preserve"> </w:t>
      </w:r>
      <w:r w:rsidR="00236595">
        <w:rPr>
          <w:rFonts w:ascii="Times New Roman" w:hAnsi="Times New Roman"/>
          <w:color w:val="000000"/>
          <w:sz w:val="24"/>
          <w:szCs w:val="24"/>
          <w:lang w:val="en-US"/>
        </w:rPr>
        <w:t>m</w:t>
      </w:r>
      <w:r w:rsidR="001C6C08" w:rsidRPr="003C26C1">
        <w:rPr>
          <w:rFonts w:ascii="Times New Roman" w:hAnsi="Times New Roman"/>
          <w:color w:val="000000"/>
          <w:sz w:val="24"/>
          <w:szCs w:val="24"/>
          <w:lang w:val="en-US"/>
        </w:rPr>
        <w:t>anagement</w:t>
      </w:r>
      <w:r w:rsidRPr="003C26C1">
        <w:rPr>
          <w:rFonts w:ascii="Times New Roman" w:hAnsi="Times New Roman"/>
          <w:color w:val="000000"/>
          <w:sz w:val="24"/>
          <w:szCs w:val="24"/>
        </w:rPr>
        <w:t xml:space="preserve"> </w:t>
      </w:r>
    </w:p>
    <w:p w14:paraId="4707E5C6" w14:textId="1B5557A3" w:rsidR="00A84659" w:rsidRDefault="0057758B" w:rsidP="00236595">
      <w:pPr>
        <w:pStyle w:val="ListParagraph"/>
        <w:tabs>
          <w:tab w:val="left" w:pos="1530"/>
          <w:tab w:val="left" w:pos="1620"/>
        </w:tabs>
        <w:ind w:left="1260" w:right="1123"/>
        <w:contextualSpacing/>
        <w:jc w:val="both"/>
      </w:pPr>
      <w:r>
        <w:t xml:space="preserve">43. </w:t>
      </w:r>
      <w:r w:rsidR="00A84659" w:rsidRPr="003B2D3F">
        <w:t xml:space="preserve">This CPD outlines UNDP contributions to national results and serves as the primary unit of accountability to the Executive Board for </w:t>
      </w:r>
      <w:r w:rsidR="00437A8B">
        <w:t xml:space="preserve">alignment of </w:t>
      </w:r>
      <w:r w:rsidR="00A84659" w:rsidRPr="003B2D3F">
        <w:t xml:space="preserve">results and resources assigned to the programme at country level. </w:t>
      </w:r>
      <w:r w:rsidR="00437A8B">
        <w:t>Managerial a</w:t>
      </w:r>
      <w:r w:rsidR="00A84659" w:rsidRPr="003B2D3F">
        <w:t>ccountabilities at country, regional</w:t>
      </w:r>
      <w:r w:rsidR="00437A8B">
        <w:t>,</w:t>
      </w:r>
      <w:r w:rsidR="00A84659" w:rsidRPr="003B2D3F">
        <w:t xml:space="preserve"> and headquarter levels with respect to country programmes is prescribed in the organization’s Program and Operations Policies and Procedures and Internal Control Framework. </w:t>
      </w:r>
    </w:p>
    <w:p w14:paraId="3B9F78F9" w14:textId="77777777" w:rsidR="00C96760" w:rsidRPr="00236595" w:rsidRDefault="00C96760" w:rsidP="00236595">
      <w:pPr>
        <w:pStyle w:val="ListParagraph"/>
        <w:tabs>
          <w:tab w:val="left" w:pos="1530"/>
          <w:tab w:val="left" w:pos="1620"/>
        </w:tabs>
        <w:ind w:left="1260" w:right="1123"/>
        <w:contextualSpacing/>
        <w:jc w:val="both"/>
        <w:rPr>
          <w:sz w:val="12"/>
          <w:szCs w:val="12"/>
        </w:rPr>
      </w:pPr>
    </w:p>
    <w:p w14:paraId="1506B007" w14:textId="1582A900" w:rsidR="00A84659" w:rsidRDefault="0057758B" w:rsidP="00236595">
      <w:pPr>
        <w:pStyle w:val="ListParagraph"/>
        <w:tabs>
          <w:tab w:val="left" w:pos="1530"/>
          <w:tab w:val="left" w:pos="1620"/>
        </w:tabs>
        <w:ind w:left="1260" w:right="1123"/>
        <w:contextualSpacing/>
        <w:jc w:val="both"/>
      </w:pPr>
      <w:r>
        <w:t xml:space="preserve">44. </w:t>
      </w:r>
      <w:r w:rsidR="00423875">
        <w:t>UNDP</w:t>
      </w:r>
      <w:r w:rsidR="00423875" w:rsidRPr="003B2D3F">
        <w:t xml:space="preserve"> </w:t>
      </w:r>
      <w:r w:rsidR="00A84659" w:rsidRPr="003B2D3F">
        <w:t>nationally execute and</w:t>
      </w:r>
      <w:r w:rsidR="006E6DCB">
        <w:t>/or</w:t>
      </w:r>
      <w:r w:rsidR="00A84659" w:rsidRPr="003B2D3F">
        <w:t xml:space="preserve"> directly </w:t>
      </w:r>
      <w:r w:rsidR="006E6DCB">
        <w:t>execute</w:t>
      </w:r>
      <w:r w:rsidR="00A84659" w:rsidRPr="003B2D3F">
        <w:t xml:space="preserve"> </w:t>
      </w:r>
      <w:r w:rsidR="00423875">
        <w:t>the programme</w:t>
      </w:r>
      <w:r w:rsidR="00A84659" w:rsidRPr="003B2D3F">
        <w:t>.</w:t>
      </w:r>
      <w:r w:rsidR="006E6DCB">
        <w:t xml:space="preserve">  </w:t>
      </w:r>
      <w:r w:rsidR="00A84659" w:rsidRPr="003B2D3F">
        <w:t>Harmonized Approach to Cash Transfers, will be used in a coordinated fashion with other U</w:t>
      </w:r>
      <w:r w:rsidR="005148CC">
        <w:t xml:space="preserve">nited </w:t>
      </w:r>
      <w:r w:rsidR="00A84659" w:rsidRPr="003B2D3F">
        <w:t>N</w:t>
      </w:r>
      <w:r w:rsidR="005148CC">
        <w:t>ations</w:t>
      </w:r>
      <w:r w:rsidR="00A84659" w:rsidRPr="003B2D3F">
        <w:t xml:space="preserve"> agencies to manage financial risks. Cost definitions and classifications for programme and development effectiveness will be charged to concerned projects.</w:t>
      </w:r>
      <w:r w:rsidR="00002945">
        <w:t xml:space="preserve"> </w:t>
      </w:r>
    </w:p>
    <w:p w14:paraId="01077E8C" w14:textId="77777777" w:rsidR="00C96760" w:rsidRPr="00236595" w:rsidRDefault="00C96760" w:rsidP="00236595">
      <w:pPr>
        <w:tabs>
          <w:tab w:val="left" w:pos="1530"/>
          <w:tab w:val="left" w:pos="1620"/>
        </w:tabs>
        <w:ind w:right="1123"/>
        <w:contextualSpacing/>
        <w:jc w:val="both"/>
        <w:rPr>
          <w:sz w:val="12"/>
          <w:szCs w:val="12"/>
        </w:rPr>
      </w:pPr>
    </w:p>
    <w:p w14:paraId="07F4C8AC" w14:textId="639DC3C7" w:rsidR="00C96760" w:rsidRDefault="0057758B" w:rsidP="00236595">
      <w:pPr>
        <w:pStyle w:val="ListParagraph"/>
        <w:tabs>
          <w:tab w:val="left" w:pos="1530"/>
          <w:tab w:val="left" w:pos="1620"/>
        </w:tabs>
        <w:ind w:left="1260" w:right="1123"/>
        <w:contextualSpacing/>
        <w:jc w:val="both"/>
      </w:pPr>
      <w:r>
        <w:t xml:space="preserve">45. </w:t>
      </w:r>
      <w:r w:rsidR="00A84659" w:rsidRPr="003B2D3F">
        <w:t xml:space="preserve">UNDP will participate in joint </w:t>
      </w:r>
      <w:r w:rsidR="0059526B">
        <w:t>G</w:t>
      </w:r>
      <w:r w:rsidR="00A84659" w:rsidRPr="003B2D3F">
        <w:t>overnment-United Nations coordination mechanism</w:t>
      </w:r>
      <w:r w:rsidR="00467E08">
        <w:t>s and exercise joint responsibility for the programme</w:t>
      </w:r>
      <w:r w:rsidR="00645062">
        <w:t xml:space="preserve"> and UNSDCF indicators</w:t>
      </w:r>
      <w:r w:rsidR="00A84659" w:rsidRPr="003B2D3F">
        <w:t xml:space="preserve">. Programme and project boards will be established in line with </w:t>
      </w:r>
      <w:hyperlink r:id="rId20">
        <w:r w:rsidR="00A84659" w:rsidRPr="003B2D3F">
          <w:t>social and environmental standards and accountability mechanism</w:t>
        </w:r>
      </w:hyperlink>
      <w:r w:rsidR="00A84659" w:rsidRPr="003B2D3F">
        <w:t xml:space="preserve">s. When necessary, a project level accountability mechanism will be accessible to address stakeholder concerns through coordination and partnership, advocacy, and policy </w:t>
      </w:r>
      <w:r w:rsidR="00A84659" w:rsidRPr="00C95575">
        <w:t>dialogue. UNDP will employ innovative programming instruments</w:t>
      </w:r>
      <w:r w:rsidR="00423875">
        <w:t xml:space="preserve"> to</w:t>
      </w:r>
      <w:r w:rsidR="00A84659" w:rsidRPr="00C95575">
        <w:t xml:space="preserve"> explore and </w:t>
      </w:r>
      <w:r w:rsidR="00423875">
        <w:t xml:space="preserve">launch </w:t>
      </w:r>
      <w:r w:rsidR="00A84659" w:rsidRPr="00C95575">
        <w:t>experiment</w:t>
      </w:r>
      <w:r w:rsidR="00423875">
        <w:t>al</w:t>
      </w:r>
      <w:r w:rsidR="00A84659" w:rsidRPr="00C95575">
        <w:t xml:space="preserve"> solutions, utilize digital technologies where suitable</w:t>
      </w:r>
      <w:r w:rsidR="00423875">
        <w:t>,</w:t>
      </w:r>
      <w:r w:rsidR="00A84659" w:rsidRPr="00C95575">
        <w:t xml:space="preserve"> and apply joint programming </w:t>
      </w:r>
      <w:r w:rsidR="00423875">
        <w:t xml:space="preserve">to </w:t>
      </w:r>
      <w:r w:rsidR="00A84659" w:rsidRPr="00C95575">
        <w:t>increase overall U</w:t>
      </w:r>
      <w:r w:rsidR="00B263EB" w:rsidRPr="00C95575">
        <w:t xml:space="preserve">nited </w:t>
      </w:r>
      <w:r w:rsidR="00A84659" w:rsidRPr="00C95575">
        <w:t>N</w:t>
      </w:r>
      <w:r w:rsidR="00B263EB" w:rsidRPr="00C95575">
        <w:t>ations</w:t>
      </w:r>
      <w:r w:rsidR="00A84659" w:rsidRPr="00C95575">
        <w:t xml:space="preserve"> relevance</w:t>
      </w:r>
      <w:r w:rsidR="00467E08" w:rsidRPr="00C95575">
        <w:t xml:space="preserve"> and portfolio-based approach</w:t>
      </w:r>
      <w:r w:rsidR="00423875">
        <w:t>es</w:t>
      </w:r>
      <w:r w:rsidR="00467E08" w:rsidRPr="00C95575">
        <w:t xml:space="preserve"> while delivering </w:t>
      </w:r>
      <w:r w:rsidR="00423875">
        <w:t>the</w:t>
      </w:r>
      <w:r w:rsidR="00423875" w:rsidRPr="00C95575">
        <w:t xml:space="preserve"> </w:t>
      </w:r>
      <w:r w:rsidR="00467E08" w:rsidRPr="00C95575">
        <w:t>programme and ensur</w:t>
      </w:r>
      <w:r w:rsidR="00423875">
        <w:t>ing</w:t>
      </w:r>
      <w:r w:rsidR="00467E08" w:rsidRPr="00C95575">
        <w:t xml:space="preserve"> appropriate business processes are in place</w:t>
      </w:r>
      <w:r w:rsidR="00A84659" w:rsidRPr="00C95575">
        <w:t>.</w:t>
      </w:r>
    </w:p>
    <w:p w14:paraId="3C9BC0E1" w14:textId="423CEC7D" w:rsidR="00A84659" w:rsidRPr="00236595" w:rsidRDefault="00A84659" w:rsidP="00236595">
      <w:pPr>
        <w:tabs>
          <w:tab w:val="left" w:pos="1530"/>
          <w:tab w:val="left" w:pos="1620"/>
        </w:tabs>
        <w:ind w:left="1260" w:right="1123"/>
        <w:contextualSpacing/>
        <w:jc w:val="both"/>
        <w:rPr>
          <w:sz w:val="12"/>
          <w:szCs w:val="12"/>
        </w:rPr>
      </w:pPr>
    </w:p>
    <w:p w14:paraId="1F379992" w14:textId="652A25DA" w:rsidR="007B386E" w:rsidRDefault="0057758B" w:rsidP="00236595">
      <w:pPr>
        <w:pStyle w:val="ListParagraph"/>
        <w:tabs>
          <w:tab w:val="left" w:pos="1530"/>
          <w:tab w:val="left" w:pos="1620"/>
        </w:tabs>
        <w:ind w:left="1260" w:right="1123"/>
        <w:contextualSpacing/>
        <w:jc w:val="both"/>
      </w:pPr>
      <w:bookmarkStart w:id="2" w:name="_Hlk66318114"/>
      <w:r>
        <w:t xml:space="preserve">46. </w:t>
      </w:r>
      <w:r w:rsidR="007B386E">
        <w:t xml:space="preserve">Successful implementation of this programme builds on the active mobilization of non-core resources </w:t>
      </w:r>
      <w:r w:rsidR="00722817">
        <w:t>from</w:t>
      </w:r>
      <w:r w:rsidR="007B386E">
        <w:t xml:space="preserve"> a multitude of sources. Active resource mobilization mechanisms, including partnerships to access joint U</w:t>
      </w:r>
      <w:r w:rsidR="00B263EB">
        <w:t xml:space="preserve">nited </w:t>
      </w:r>
      <w:r w:rsidR="007B386E">
        <w:t>N</w:t>
      </w:r>
      <w:r w:rsidR="00B263EB">
        <w:t>ations</w:t>
      </w:r>
      <w:r w:rsidR="007B386E">
        <w:t xml:space="preserve"> facilities and leverag</w:t>
      </w:r>
      <w:r w:rsidR="00722817">
        <w:t>e</w:t>
      </w:r>
      <w:r w:rsidR="007B386E">
        <w:t xml:space="preserve"> global funds, will secure the achievement of results. The risk of negative impact to resource mobilization patterns from </w:t>
      </w:r>
      <w:r w:rsidR="00285ED8">
        <w:t>regional and global developments</w:t>
      </w:r>
      <w:r w:rsidR="007B386E">
        <w:t xml:space="preserve"> will be mitigated through active outreach to non-traditional partners and programming for self-sustaining mechanisms.</w:t>
      </w:r>
    </w:p>
    <w:p w14:paraId="330B3641" w14:textId="77777777" w:rsidR="007B386E" w:rsidRPr="00236595" w:rsidRDefault="007B386E" w:rsidP="00236595">
      <w:pPr>
        <w:pStyle w:val="ListParagraph"/>
        <w:rPr>
          <w:sz w:val="12"/>
          <w:szCs w:val="12"/>
        </w:rPr>
      </w:pPr>
    </w:p>
    <w:p w14:paraId="1C562527" w14:textId="605E54E7" w:rsidR="00C96760" w:rsidRDefault="0057758B" w:rsidP="00236595">
      <w:pPr>
        <w:pStyle w:val="ListParagraph"/>
        <w:tabs>
          <w:tab w:val="left" w:pos="1530"/>
          <w:tab w:val="left" w:pos="1620"/>
        </w:tabs>
        <w:ind w:left="1260" w:right="1123"/>
        <w:contextualSpacing/>
        <w:jc w:val="both"/>
      </w:pPr>
      <w:r>
        <w:t xml:space="preserve">47. </w:t>
      </w:r>
      <w:r w:rsidR="00A84659" w:rsidRPr="003B2D3F">
        <w:t xml:space="preserve">The COVID-19 crisis underscored the need to address existing vulnerabilities and layers of fragility. </w:t>
      </w:r>
      <w:bookmarkEnd w:id="2"/>
      <w:r w:rsidR="00A84659" w:rsidRPr="003B2D3F">
        <w:t>Such risks will be addressed by strengthening conflict sensitivity, risk prevention and management system</w:t>
      </w:r>
      <w:r w:rsidR="00423875">
        <w:t>s,</w:t>
      </w:r>
      <w:r w:rsidR="00A84659" w:rsidRPr="003B2D3F">
        <w:t xml:space="preserve"> as well as engaging within the peace</w:t>
      </w:r>
      <w:r w:rsidR="00423875">
        <w:t>-</w:t>
      </w:r>
      <w:r w:rsidR="00A84659" w:rsidRPr="003B2D3F">
        <w:t>humanit</w:t>
      </w:r>
      <w:r w:rsidR="007B386E">
        <w:t>arian</w:t>
      </w:r>
      <w:r w:rsidR="00423875">
        <w:t>-</w:t>
      </w:r>
      <w:r w:rsidR="007B386E">
        <w:t>development</w:t>
      </w:r>
      <w:r w:rsidR="00423875">
        <w:t xml:space="preserve"> nexus</w:t>
      </w:r>
      <w:r w:rsidR="00A84659" w:rsidRPr="003B2D3F">
        <w:t>.</w:t>
      </w:r>
    </w:p>
    <w:p w14:paraId="3E434464" w14:textId="7B7AE273" w:rsidR="00A84659" w:rsidRPr="00236595" w:rsidRDefault="00A84659" w:rsidP="00236595">
      <w:pPr>
        <w:tabs>
          <w:tab w:val="left" w:pos="1530"/>
          <w:tab w:val="left" w:pos="1620"/>
        </w:tabs>
        <w:ind w:left="1260" w:right="1123"/>
        <w:contextualSpacing/>
        <w:jc w:val="both"/>
        <w:rPr>
          <w:sz w:val="12"/>
          <w:szCs w:val="12"/>
        </w:rPr>
      </w:pPr>
    </w:p>
    <w:p w14:paraId="35A38333" w14:textId="0395D717" w:rsidR="00A84659" w:rsidRDefault="0057758B" w:rsidP="00236595">
      <w:pPr>
        <w:pStyle w:val="ListParagraph"/>
        <w:tabs>
          <w:tab w:val="left" w:pos="1530"/>
          <w:tab w:val="left" w:pos="1620"/>
        </w:tabs>
        <w:ind w:left="1260" w:right="1123"/>
        <w:contextualSpacing/>
        <w:jc w:val="both"/>
      </w:pPr>
      <w:r>
        <w:t xml:space="preserve">48. </w:t>
      </w:r>
      <w:r w:rsidR="00894A50" w:rsidRPr="003B2D3F">
        <w:t>Dedicated initiatives to empower youth will be mainstreamed in all programming with monitoring based on gender and age-disaggregated data.</w:t>
      </w:r>
      <w:r w:rsidR="00894A50">
        <w:t xml:space="preserve"> </w:t>
      </w:r>
      <w:r w:rsidR="007B386E">
        <w:t>R</w:t>
      </w:r>
      <w:r w:rsidR="00A84659" w:rsidRPr="003B2D3F">
        <w:t>isks related to gender inequality and discrimination against women and girls will be addressed through the implementation of the Gender Equality Strategy</w:t>
      </w:r>
      <w:r w:rsidR="00D561C4">
        <w:t xml:space="preserve"> and</w:t>
      </w:r>
      <w:r w:rsidR="00423875">
        <w:t>,</w:t>
      </w:r>
      <w:r w:rsidR="00D561C4">
        <w:t xml:space="preserve"> in particular</w:t>
      </w:r>
      <w:r w:rsidR="00423875">
        <w:t>,</w:t>
      </w:r>
      <w:r w:rsidR="007B386E">
        <w:t xml:space="preserve"> sustained</w:t>
      </w:r>
      <w:r w:rsidR="00D561C4">
        <w:t xml:space="preserve"> awareness-raising</w:t>
      </w:r>
      <w:r w:rsidR="007B386E">
        <w:t xml:space="preserve"> and</w:t>
      </w:r>
      <w:r w:rsidR="00D561C4">
        <w:t xml:space="preserve"> sensitization </w:t>
      </w:r>
      <w:r w:rsidR="00423875">
        <w:t xml:space="preserve">of a </w:t>
      </w:r>
      <w:r w:rsidR="00D561C4">
        <w:t xml:space="preserve">UNDP programme </w:t>
      </w:r>
      <w:r w:rsidR="00423875">
        <w:t xml:space="preserve">where </w:t>
      </w:r>
      <w:r w:rsidR="00D561C4">
        <w:t>young people</w:t>
      </w:r>
      <w:r w:rsidR="005148CC">
        <w:t xml:space="preserve"> and </w:t>
      </w:r>
      <w:r w:rsidR="00D561C4">
        <w:t xml:space="preserve">community members </w:t>
      </w:r>
      <w:r w:rsidR="00423875">
        <w:t xml:space="preserve">address </w:t>
      </w:r>
      <w:r w:rsidR="00D561C4">
        <w:t>harmful practices that violate the health and development rights of women</w:t>
      </w:r>
      <w:r w:rsidR="00D7266F">
        <w:t xml:space="preserve"> and </w:t>
      </w:r>
      <w:r w:rsidR="00D561C4">
        <w:t>girls</w:t>
      </w:r>
      <w:r w:rsidR="00D7266F">
        <w:t>.</w:t>
      </w:r>
    </w:p>
    <w:p w14:paraId="5E086E3B" w14:textId="77777777" w:rsidR="000C36A2" w:rsidRPr="00236595" w:rsidRDefault="000C36A2" w:rsidP="00236595">
      <w:pPr>
        <w:pStyle w:val="ListParagraph"/>
        <w:rPr>
          <w:sz w:val="12"/>
          <w:szCs w:val="12"/>
        </w:rPr>
      </w:pPr>
    </w:p>
    <w:p w14:paraId="3236091D" w14:textId="1C41364E" w:rsidR="000C36A2" w:rsidRDefault="0057758B" w:rsidP="00236595">
      <w:pPr>
        <w:pStyle w:val="ListParagraph"/>
        <w:tabs>
          <w:tab w:val="left" w:pos="1530"/>
          <w:tab w:val="left" w:pos="1620"/>
        </w:tabs>
        <w:ind w:left="1260" w:right="1123"/>
        <w:contextualSpacing/>
        <w:jc w:val="both"/>
      </w:pPr>
      <w:r>
        <w:t xml:space="preserve">49. </w:t>
      </w:r>
      <w:r w:rsidR="000C36A2">
        <w:t>UNDP will regularly monitor political, socio-economic</w:t>
      </w:r>
      <w:r w:rsidR="003134F6">
        <w:t xml:space="preserve">, </w:t>
      </w:r>
      <w:r w:rsidR="00423875">
        <w:t xml:space="preserve">and </w:t>
      </w:r>
      <w:r w:rsidR="003134F6">
        <w:t>regional security issues</w:t>
      </w:r>
      <w:r w:rsidR="00423875">
        <w:t>,</w:t>
      </w:r>
      <w:r w:rsidR="000C36A2">
        <w:t xml:space="preserve"> </w:t>
      </w:r>
      <w:r w:rsidR="00423875">
        <w:t xml:space="preserve">along with the </w:t>
      </w:r>
      <w:r w:rsidR="000C36A2">
        <w:t xml:space="preserve">pandemic </w:t>
      </w:r>
      <w:r w:rsidR="00423875">
        <w:t xml:space="preserve">while </w:t>
      </w:r>
      <w:r w:rsidR="000C36A2">
        <w:t xml:space="preserve">adhering to its Social and Environmental Standards and Accountability Mechanism. UNDP will use risk monitoring as a tool for early warning, risk management and decision-making. </w:t>
      </w:r>
    </w:p>
    <w:p w14:paraId="7FBBEC20" w14:textId="77777777" w:rsidR="00D561C4" w:rsidRPr="00236595" w:rsidRDefault="00D561C4" w:rsidP="00236595">
      <w:pPr>
        <w:pStyle w:val="ListParagraph"/>
        <w:rPr>
          <w:sz w:val="12"/>
          <w:szCs w:val="12"/>
        </w:rPr>
      </w:pPr>
    </w:p>
    <w:p w14:paraId="55CB9FBD" w14:textId="061D25BE" w:rsidR="00D561C4" w:rsidRPr="003B2D3F" w:rsidRDefault="0057758B" w:rsidP="00236595">
      <w:pPr>
        <w:pStyle w:val="ListParagraph"/>
        <w:tabs>
          <w:tab w:val="left" w:pos="1530"/>
          <w:tab w:val="left" w:pos="1620"/>
        </w:tabs>
        <w:ind w:left="1260" w:right="1123"/>
        <w:contextualSpacing/>
        <w:jc w:val="both"/>
      </w:pPr>
      <w:r>
        <w:lastRenderedPageBreak/>
        <w:t xml:space="preserve">50. </w:t>
      </w:r>
      <w:r w:rsidR="00D561C4">
        <w:t xml:space="preserve">A business continuity plan </w:t>
      </w:r>
      <w:r w:rsidR="00111D88">
        <w:t>is</w:t>
      </w:r>
      <w:r w:rsidR="00D561C4">
        <w:t xml:space="preserve"> in place</w:t>
      </w:r>
      <w:r w:rsidR="00616EA3">
        <w:t xml:space="preserve"> for regular monitoring and </w:t>
      </w:r>
      <w:r w:rsidR="00CA07C3">
        <w:t>updates to</w:t>
      </w:r>
      <w:r w:rsidR="00D561C4">
        <w:t xml:space="preserve"> ensure staff safety and security, as well as maintain the continuity of essential functions during critical incident</w:t>
      </w:r>
      <w:r w:rsidR="00423875">
        <w:t>s</w:t>
      </w:r>
      <w:r w:rsidR="00D561C4">
        <w:t xml:space="preserve"> of any </w:t>
      </w:r>
      <w:r w:rsidR="00423875">
        <w:t>type</w:t>
      </w:r>
      <w:r w:rsidR="00D561C4">
        <w:t xml:space="preserve">. </w:t>
      </w:r>
    </w:p>
    <w:p w14:paraId="2440D408" w14:textId="77777777" w:rsidR="002A7363" w:rsidRPr="003C26C1" w:rsidRDefault="002A7363" w:rsidP="00236595">
      <w:pPr>
        <w:spacing w:line="240" w:lineRule="exact"/>
        <w:ind w:left="1260" w:right="1267"/>
        <w:jc w:val="both"/>
        <w:rPr>
          <w:color w:val="000000"/>
        </w:rPr>
      </w:pPr>
    </w:p>
    <w:p w14:paraId="2440D409" w14:textId="0505C3FC" w:rsidR="00701B6B" w:rsidRPr="003C26C1" w:rsidRDefault="001D42D1" w:rsidP="00236595">
      <w:pPr>
        <w:pStyle w:val="Heading1"/>
        <w:numPr>
          <w:ilvl w:val="0"/>
          <w:numId w:val="56"/>
        </w:numPr>
        <w:tabs>
          <w:tab w:val="left" w:pos="1800"/>
        </w:tabs>
        <w:spacing w:after="200" w:line="240" w:lineRule="exact"/>
        <w:ind w:right="1267"/>
        <w:jc w:val="both"/>
        <w:rPr>
          <w:rFonts w:ascii="Times New Roman" w:hAnsi="Times New Roman"/>
          <w:color w:val="000000"/>
          <w:sz w:val="24"/>
          <w:szCs w:val="24"/>
          <w:lang w:val="en-US"/>
        </w:rPr>
      </w:pPr>
      <w:r w:rsidRPr="003C26C1">
        <w:rPr>
          <w:rFonts w:ascii="Times New Roman" w:hAnsi="Times New Roman"/>
          <w:color w:val="000000"/>
          <w:sz w:val="24"/>
          <w:szCs w:val="24"/>
        </w:rPr>
        <w:t xml:space="preserve">Monitoring and </w:t>
      </w:r>
      <w:r w:rsidR="00236595">
        <w:rPr>
          <w:rFonts w:ascii="Times New Roman" w:hAnsi="Times New Roman"/>
          <w:color w:val="000000"/>
          <w:sz w:val="24"/>
          <w:szCs w:val="24"/>
          <w:lang w:val="en-US"/>
        </w:rPr>
        <w:t>e</w:t>
      </w:r>
      <w:r w:rsidR="001B3F87" w:rsidRPr="003C26C1">
        <w:rPr>
          <w:rFonts w:ascii="Times New Roman" w:hAnsi="Times New Roman"/>
          <w:color w:val="000000"/>
          <w:sz w:val="24"/>
          <w:szCs w:val="24"/>
          <w:lang w:val="en-US"/>
        </w:rPr>
        <w:t>valuation</w:t>
      </w:r>
    </w:p>
    <w:p w14:paraId="03232ADB" w14:textId="5FBF07C9" w:rsidR="00C96760" w:rsidRDefault="0057758B" w:rsidP="00236595">
      <w:pPr>
        <w:pStyle w:val="ListParagraph"/>
        <w:tabs>
          <w:tab w:val="left" w:pos="1530"/>
          <w:tab w:val="left" w:pos="1620"/>
        </w:tabs>
        <w:ind w:left="1260" w:right="1123"/>
        <w:contextualSpacing/>
        <w:jc w:val="both"/>
      </w:pPr>
      <w:r>
        <w:t xml:space="preserve">51. </w:t>
      </w:r>
      <w:r w:rsidR="001131FA">
        <w:t>Outcome indicators are derived from UNSDCF</w:t>
      </w:r>
      <w:r w:rsidR="00DD6D7F">
        <w:t xml:space="preserve"> outcome level indicators. </w:t>
      </w:r>
      <w:r w:rsidR="00A84659" w:rsidRPr="003B2D3F">
        <w:t xml:space="preserve">Output indicators are a combination of nationalized Sustainable Development Goal indicators and qualitative indicators in line with national sector strategies. They are aligned with </w:t>
      </w:r>
      <w:r w:rsidR="00423875">
        <w:t xml:space="preserve">the </w:t>
      </w:r>
      <w:r w:rsidR="00A84659" w:rsidRPr="003B2D3F">
        <w:t>UNSDCF and UNDP Strategic Plan</w:t>
      </w:r>
      <w:r w:rsidR="00423875">
        <w:t xml:space="preserve"> for</w:t>
      </w:r>
      <w:r w:rsidR="00A84659" w:rsidRPr="003B2D3F">
        <w:t xml:space="preserve"> 2022-2025.</w:t>
      </w:r>
    </w:p>
    <w:p w14:paraId="0174EBA8" w14:textId="5025DBE4" w:rsidR="00A84659" w:rsidRPr="00236595" w:rsidRDefault="00A84659" w:rsidP="00236595">
      <w:pPr>
        <w:pStyle w:val="ListParagraph"/>
        <w:tabs>
          <w:tab w:val="left" w:pos="1530"/>
          <w:tab w:val="left" w:pos="1620"/>
        </w:tabs>
        <w:ind w:left="1260" w:right="1123"/>
        <w:contextualSpacing/>
        <w:jc w:val="both"/>
        <w:rPr>
          <w:sz w:val="12"/>
          <w:szCs w:val="12"/>
        </w:rPr>
      </w:pPr>
    </w:p>
    <w:p w14:paraId="7FF34A6E" w14:textId="125D96CA" w:rsidR="00C96760" w:rsidRDefault="0057758B" w:rsidP="00236595">
      <w:pPr>
        <w:pStyle w:val="ListParagraph"/>
        <w:tabs>
          <w:tab w:val="left" w:pos="1530"/>
          <w:tab w:val="left" w:pos="1620"/>
        </w:tabs>
        <w:ind w:left="1260" w:right="1123"/>
        <w:contextualSpacing/>
        <w:jc w:val="both"/>
      </w:pPr>
      <w:r>
        <w:t xml:space="preserve">52. </w:t>
      </w:r>
      <w:r w:rsidR="00423875">
        <w:t xml:space="preserve">The </w:t>
      </w:r>
      <w:r w:rsidR="00A84659" w:rsidRPr="003B2D3F">
        <w:t xml:space="preserve">National Statistics Committee </w:t>
      </w:r>
      <w:r w:rsidR="005148CC">
        <w:t xml:space="preserve">(NSC) </w:t>
      </w:r>
      <w:r w:rsidR="00A84659" w:rsidRPr="003B2D3F">
        <w:t xml:space="preserve">of </w:t>
      </w:r>
      <w:r w:rsidR="00423875">
        <w:t xml:space="preserve">the </w:t>
      </w:r>
      <w:r w:rsidR="00A84659" w:rsidRPr="003B2D3F">
        <w:t>Kyrgyz</w:t>
      </w:r>
      <w:r w:rsidR="00247C59">
        <w:t xml:space="preserve"> Republic</w:t>
      </w:r>
      <w:r w:rsidR="00A84659" w:rsidRPr="003B2D3F">
        <w:t xml:space="preserve">, collects and publishes data on </w:t>
      </w:r>
      <w:r w:rsidR="005D5AD3">
        <w:t xml:space="preserve">the </w:t>
      </w:r>
      <w:r w:rsidR="00A84659" w:rsidRPr="003B2D3F">
        <w:t xml:space="preserve">Sustainable Development Goals. </w:t>
      </w:r>
      <w:r w:rsidR="005D5AD3">
        <w:t>Out of</w:t>
      </w:r>
      <w:r w:rsidR="005D5AD3" w:rsidRPr="003B2D3F">
        <w:t xml:space="preserve"> </w:t>
      </w:r>
      <w:r w:rsidR="00A84659" w:rsidRPr="003B2D3F">
        <w:t xml:space="preserve">102 indicators for which data is available, </w:t>
      </w:r>
      <w:r w:rsidR="005D5AD3">
        <w:t>57</w:t>
      </w:r>
      <w:r w:rsidR="00A84659" w:rsidRPr="003B2D3F">
        <w:t xml:space="preserve"> are disaggregated by region, </w:t>
      </w:r>
      <w:r w:rsidR="005D5AD3">
        <w:t>32</w:t>
      </w:r>
      <w:r w:rsidR="00A84659" w:rsidRPr="003B2D3F">
        <w:t xml:space="preserve"> by sex,</w:t>
      </w:r>
      <w:r w:rsidR="005D5AD3">
        <w:t xml:space="preserve"> and</w:t>
      </w:r>
      <w:r w:rsidR="00A84659" w:rsidRPr="003B2D3F">
        <w:t xml:space="preserve"> </w:t>
      </w:r>
      <w:r w:rsidR="005D5AD3">
        <w:t>21</w:t>
      </w:r>
      <w:r w:rsidR="00A84659" w:rsidRPr="003B2D3F">
        <w:t xml:space="preserve"> by age, income</w:t>
      </w:r>
      <w:r w:rsidR="005D5AD3">
        <w:t>,</w:t>
      </w:r>
      <w:r w:rsidR="00A84659" w:rsidRPr="003B2D3F">
        <w:t xml:space="preserve"> and education</w:t>
      </w:r>
      <w:r w:rsidR="005D5AD3">
        <w:t>.</w:t>
      </w:r>
      <w:r w:rsidR="00A84659" w:rsidRPr="00C95575">
        <w:rPr>
          <w:rStyle w:val="FootnoteReference"/>
        </w:rPr>
        <w:footnoteReference w:id="6"/>
      </w:r>
      <w:r w:rsidR="00A84659" w:rsidRPr="003B2D3F">
        <w:t xml:space="preserve"> With United Nations partners, UNDP will help the </w:t>
      </w:r>
      <w:r w:rsidR="00253FAE">
        <w:t>G</w:t>
      </w:r>
      <w:r w:rsidR="00A84659" w:rsidRPr="003B2D3F">
        <w:t>overnment integrate Sustainable Development Goals indicators and targets into the national system and continue strengthening the capacity of the NSC to collect, produce, and disseminate data.</w:t>
      </w:r>
    </w:p>
    <w:p w14:paraId="7D814952" w14:textId="772FCDB3" w:rsidR="00A84659" w:rsidRPr="00236595" w:rsidRDefault="00A84659" w:rsidP="00236595">
      <w:pPr>
        <w:tabs>
          <w:tab w:val="left" w:pos="1530"/>
          <w:tab w:val="left" w:pos="1620"/>
        </w:tabs>
        <w:ind w:right="1123"/>
        <w:contextualSpacing/>
        <w:jc w:val="both"/>
        <w:rPr>
          <w:sz w:val="12"/>
          <w:szCs w:val="12"/>
        </w:rPr>
      </w:pPr>
      <w:r w:rsidRPr="003B2D3F">
        <w:t xml:space="preserve"> </w:t>
      </w:r>
    </w:p>
    <w:p w14:paraId="4CEECD2C" w14:textId="4ECD7B35" w:rsidR="00C96760" w:rsidRDefault="0057758B" w:rsidP="00236595">
      <w:pPr>
        <w:pStyle w:val="ListParagraph"/>
        <w:tabs>
          <w:tab w:val="left" w:pos="1530"/>
          <w:tab w:val="left" w:pos="1620"/>
        </w:tabs>
        <w:ind w:left="1260" w:right="1123"/>
        <w:contextualSpacing/>
        <w:jc w:val="both"/>
      </w:pPr>
      <w:r>
        <w:t xml:space="preserve">53. </w:t>
      </w:r>
      <w:r w:rsidR="00A84659" w:rsidRPr="003B2D3F">
        <w:t xml:space="preserve">The </w:t>
      </w:r>
      <w:r w:rsidR="005D5AD3">
        <w:t>e</w:t>
      </w:r>
      <w:r w:rsidR="00A84659" w:rsidRPr="003B2D3F">
        <w:t>valuation plan will be updated over the course of CPD implementation. UNDP will undertake assessments</w:t>
      </w:r>
      <w:r w:rsidR="003D6318">
        <w:t xml:space="preserve"> and</w:t>
      </w:r>
      <w:r w:rsidR="00A84659" w:rsidRPr="003B2D3F">
        <w:t xml:space="preserve"> analyses, as well as independent evaluations to facilitate learning and evidence-based decision-making. Monitoring and evaluation will be carried out through UNSCDF mechanisms</w:t>
      </w:r>
      <w:r w:rsidR="005D5AD3">
        <w:t xml:space="preserve"> and engage </w:t>
      </w:r>
      <w:r w:rsidR="00A84659" w:rsidRPr="003B2D3F">
        <w:t xml:space="preserve">United Nations organizations, </w:t>
      </w:r>
      <w:r w:rsidR="0059526B">
        <w:t>G</w:t>
      </w:r>
      <w:r w:rsidR="00A84659" w:rsidRPr="003B2D3F">
        <w:t>overnment</w:t>
      </w:r>
      <w:r w:rsidR="003D6318">
        <w:t xml:space="preserve"> </w:t>
      </w:r>
      <w:r w:rsidR="00A84659" w:rsidRPr="003B2D3F">
        <w:t xml:space="preserve">and development partners. UNDP will promote national ownership of indicators aligned with the Sustainable Development Goals throughout the results chain and </w:t>
      </w:r>
      <w:r w:rsidR="005D5AD3">
        <w:t>as per</w:t>
      </w:r>
      <w:r w:rsidR="005D5AD3" w:rsidRPr="003B2D3F">
        <w:t xml:space="preserve"> </w:t>
      </w:r>
      <w:r w:rsidR="00A84659" w:rsidRPr="003B2D3F">
        <w:t>the national monitoring and evaluation system.</w:t>
      </w:r>
    </w:p>
    <w:p w14:paraId="63E6BEF5" w14:textId="2ECB6BAE" w:rsidR="00A84659" w:rsidRPr="00236595" w:rsidRDefault="00A84659" w:rsidP="00236595">
      <w:pPr>
        <w:tabs>
          <w:tab w:val="left" w:pos="1530"/>
          <w:tab w:val="left" w:pos="1620"/>
        </w:tabs>
        <w:ind w:right="1123"/>
        <w:contextualSpacing/>
        <w:jc w:val="both"/>
        <w:rPr>
          <w:sz w:val="12"/>
          <w:szCs w:val="12"/>
        </w:rPr>
      </w:pPr>
      <w:r w:rsidRPr="003B2D3F">
        <w:t xml:space="preserve"> </w:t>
      </w:r>
    </w:p>
    <w:p w14:paraId="26389F3D" w14:textId="009013A6" w:rsidR="00A84659" w:rsidRDefault="0057758B" w:rsidP="00236595">
      <w:pPr>
        <w:pStyle w:val="ListParagraph"/>
        <w:tabs>
          <w:tab w:val="left" w:pos="1530"/>
          <w:tab w:val="left" w:pos="1620"/>
        </w:tabs>
        <w:ind w:left="1260" w:right="1123"/>
        <w:contextualSpacing/>
        <w:jc w:val="both"/>
      </w:pPr>
      <w:r>
        <w:t xml:space="preserve">54. </w:t>
      </w:r>
      <w:r w:rsidR="00A84659" w:rsidRPr="003B2D3F">
        <w:t xml:space="preserve">Adequate human and financial resources will be allocated to effectively implement actions and achieve results related to gender </w:t>
      </w:r>
      <w:r w:rsidR="0027242E" w:rsidRPr="003B2D3F">
        <w:t>equality and</w:t>
      </w:r>
      <w:r w:rsidR="00A84659" w:rsidRPr="003B2D3F">
        <w:t xml:space="preserve"> monitor and report on gender-related progress towards results. The UNDP gender marker will monitor country programme budget and expenditures to improve planning and decision-making, ensuring at least 15 per cent </w:t>
      </w:r>
      <w:r w:rsidR="00B237E3">
        <w:t xml:space="preserve">of financing is set aside </w:t>
      </w:r>
      <w:r w:rsidR="00A84659" w:rsidRPr="003B2D3F">
        <w:t xml:space="preserve">for interventions </w:t>
      </w:r>
      <w:r w:rsidR="00B237E3">
        <w:t>that</w:t>
      </w:r>
      <w:r w:rsidR="00B237E3" w:rsidRPr="003B2D3F">
        <w:t xml:space="preserve"> </w:t>
      </w:r>
      <w:r w:rsidR="00A84659" w:rsidRPr="003B2D3F">
        <w:t>achieve results in gender equality and women’s empowerment.</w:t>
      </w:r>
    </w:p>
    <w:p w14:paraId="4F1FEDB2" w14:textId="77777777" w:rsidR="000A0652" w:rsidRPr="00236595" w:rsidRDefault="000A0652" w:rsidP="00236595">
      <w:pPr>
        <w:tabs>
          <w:tab w:val="left" w:pos="1530"/>
          <w:tab w:val="left" w:pos="1620"/>
        </w:tabs>
        <w:ind w:right="1123"/>
        <w:contextualSpacing/>
        <w:jc w:val="both"/>
        <w:rPr>
          <w:sz w:val="12"/>
          <w:szCs w:val="12"/>
        </w:rPr>
      </w:pPr>
    </w:p>
    <w:p w14:paraId="7078BA53" w14:textId="24E1B802" w:rsidR="00236595" w:rsidRDefault="0057758B" w:rsidP="00236595">
      <w:pPr>
        <w:pStyle w:val="ListParagraph"/>
        <w:tabs>
          <w:tab w:val="left" w:pos="1530"/>
          <w:tab w:val="left" w:pos="1620"/>
        </w:tabs>
        <w:ind w:left="1260" w:right="1123"/>
        <w:contextualSpacing/>
        <w:jc w:val="both"/>
        <w:rPr>
          <w:color w:val="000000" w:themeColor="text1"/>
        </w:rPr>
      </w:pPr>
      <w:r>
        <w:t xml:space="preserve">55. </w:t>
      </w:r>
      <w:r w:rsidR="00A84659" w:rsidRPr="003B2D3F">
        <w:t xml:space="preserve">Inclusive methods of </w:t>
      </w:r>
      <w:r w:rsidR="00D7266F">
        <w:t>m</w:t>
      </w:r>
      <w:r w:rsidR="00D7266F" w:rsidRPr="003B2D3F">
        <w:t xml:space="preserve">onitoring </w:t>
      </w:r>
      <w:r w:rsidR="00A84659" w:rsidRPr="003B2D3F">
        <w:t xml:space="preserve">and </w:t>
      </w:r>
      <w:r w:rsidR="00D7266F">
        <w:t>e</w:t>
      </w:r>
      <w:r w:rsidR="00D7266F" w:rsidRPr="003B2D3F">
        <w:t xml:space="preserve">valuation </w:t>
      </w:r>
      <w:r w:rsidR="00A84659" w:rsidRPr="003B2D3F">
        <w:t xml:space="preserve">will inform decision-making, promote learning among stakeholders, and ensure the accountability of UNDP activities </w:t>
      </w:r>
      <w:r w:rsidR="00B237E3">
        <w:t>in the</w:t>
      </w:r>
      <w:r w:rsidR="00A84659" w:rsidRPr="003B2D3F">
        <w:t xml:space="preserve"> Kyrgyz</w:t>
      </w:r>
      <w:r w:rsidR="00247C59">
        <w:t xml:space="preserve"> Republic</w:t>
      </w:r>
      <w:r w:rsidR="00A84659" w:rsidRPr="003B2D3F">
        <w:t xml:space="preserve"> and contribution to development results.</w:t>
      </w:r>
      <w:r w:rsidR="00A84659" w:rsidRPr="003B2D3F">
        <w:rPr>
          <w:color w:val="000000" w:themeColor="text1"/>
        </w:rPr>
        <w:t xml:space="preserve"> </w:t>
      </w:r>
    </w:p>
    <w:p w14:paraId="5CA3FEDD" w14:textId="77777777" w:rsidR="00EE0DF2" w:rsidRDefault="00EE0DF2" w:rsidP="00236595">
      <w:pPr>
        <w:tabs>
          <w:tab w:val="left" w:pos="1530"/>
          <w:tab w:val="left" w:pos="1620"/>
        </w:tabs>
        <w:spacing w:after="120" w:line="240" w:lineRule="exact"/>
        <w:ind w:right="1123"/>
        <w:contextualSpacing/>
        <w:jc w:val="both"/>
        <w:rPr>
          <w:color w:val="000000"/>
        </w:rPr>
      </w:pPr>
    </w:p>
    <w:p w14:paraId="2440D41D" w14:textId="12658B77" w:rsidR="00236595" w:rsidRPr="00236595" w:rsidRDefault="00236595" w:rsidP="00236595">
      <w:pPr>
        <w:tabs>
          <w:tab w:val="left" w:pos="1530"/>
          <w:tab w:val="left" w:pos="1620"/>
        </w:tabs>
        <w:spacing w:after="120" w:line="240" w:lineRule="exact"/>
        <w:ind w:right="1123"/>
        <w:contextualSpacing/>
        <w:jc w:val="both"/>
        <w:rPr>
          <w:color w:val="000000"/>
        </w:rPr>
        <w:sectPr w:rsidR="00236595" w:rsidRPr="00236595" w:rsidSect="00677A8F">
          <w:headerReference w:type="even" r:id="rId21"/>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4A183916" w14:textId="35F42D85" w:rsidR="00661736" w:rsidRPr="001348D1" w:rsidRDefault="00661736" w:rsidP="00661736">
      <w:pPr>
        <w:pStyle w:val="Heading4"/>
        <w:spacing w:after="120"/>
        <w:rPr>
          <w:rFonts w:ascii="Times New Roman" w:hAnsi="Times New Roman"/>
          <w:sz w:val="20"/>
        </w:rPr>
      </w:pPr>
      <w:r w:rsidRPr="00112F45">
        <w:rPr>
          <w:rFonts w:ascii="Times New Roman" w:hAnsi="Times New Roman"/>
          <w:bCs/>
          <w:sz w:val="24"/>
          <w:szCs w:val="24"/>
        </w:rPr>
        <w:lastRenderedPageBreak/>
        <w:t>Annex</w:t>
      </w:r>
      <w:r w:rsidR="005A4A7C">
        <w:rPr>
          <w:rFonts w:ascii="Times New Roman" w:hAnsi="Times New Roman"/>
          <w:bCs/>
          <w:sz w:val="24"/>
          <w:szCs w:val="24"/>
        </w:rPr>
        <w:t>.</w:t>
      </w:r>
      <w:r w:rsidRPr="00112F45">
        <w:rPr>
          <w:rFonts w:ascii="Times New Roman" w:hAnsi="Times New Roman"/>
          <w:bCs/>
          <w:sz w:val="24"/>
          <w:szCs w:val="24"/>
        </w:rPr>
        <w:t xml:space="preserve"> </w:t>
      </w:r>
      <w:r w:rsidRPr="00112F45">
        <w:rPr>
          <w:rFonts w:ascii="Times New Roman" w:hAnsi="Times New Roman"/>
          <w:color w:val="000000"/>
          <w:kern w:val="14"/>
          <w:sz w:val="24"/>
          <w:szCs w:val="24"/>
          <w:lang w:eastAsia="fr-FR"/>
        </w:rPr>
        <w:t xml:space="preserve">Results and resources framework for </w:t>
      </w:r>
      <w:r>
        <w:rPr>
          <w:rFonts w:ascii="Times New Roman" w:hAnsi="Times New Roman"/>
          <w:color w:val="000000"/>
          <w:kern w:val="14"/>
          <w:sz w:val="24"/>
          <w:szCs w:val="24"/>
          <w:lang w:eastAsia="fr-FR"/>
        </w:rPr>
        <w:t>the Kyrgyz Republic</w:t>
      </w:r>
      <w:r w:rsidRPr="00112F45">
        <w:rPr>
          <w:rFonts w:ascii="Times New Roman" w:hAnsi="Times New Roman"/>
          <w:color w:val="000000"/>
          <w:kern w:val="14"/>
          <w:sz w:val="24"/>
          <w:szCs w:val="24"/>
          <w:lang w:eastAsia="fr-FR"/>
        </w:rPr>
        <w:t xml:space="preserve"> (2023-2027)</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18"/>
        <w:gridCol w:w="3117"/>
        <w:gridCol w:w="2803"/>
        <w:gridCol w:w="2688"/>
        <w:gridCol w:w="1659"/>
      </w:tblGrid>
      <w:tr w:rsidR="00661736" w:rsidRPr="00661736" w14:paraId="67D3E9CE" w14:textId="77777777" w:rsidTr="004761DE">
        <w:tc>
          <w:tcPr>
            <w:tcW w:w="5000" w:type="pct"/>
            <w:gridSpan w:val="5"/>
            <w:shd w:val="clear" w:color="auto" w:fill="DBE5F1" w:themeFill="accent1" w:themeFillTint="33"/>
            <w:tcMar>
              <w:top w:w="72" w:type="dxa"/>
              <w:left w:w="144" w:type="dxa"/>
              <w:bottom w:w="72" w:type="dxa"/>
              <w:right w:w="144" w:type="dxa"/>
            </w:tcMar>
          </w:tcPr>
          <w:p w14:paraId="42E860BC" w14:textId="74B88C19" w:rsidR="000A0652" w:rsidRPr="00661736" w:rsidRDefault="000A0652" w:rsidP="000A0652">
            <w:pPr>
              <w:rPr>
                <w:sz w:val="16"/>
                <w:szCs w:val="16"/>
              </w:rPr>
            </w:pPr>
            <w:r w:rsidRPr="00661736">
              <w:rPr>
                <w:b/>
                <w:bCs/>
                <w:sz w:val="16"/>
                <w:szCs w:val="16"/>
                <w:lang w:val="en-GB"/>
              </w:rPr>
              <w:t xml:space="preserve">NATIONAL PRIORITY OR GOAL: </w:t>
            </w:r>
            <w:r w:rsidR="000843A9" w:rsidRPr="00661736">
              <w:rPr>
                <w:bCs/>
                <w:sz w:val="16"/>
                <w:szCs w:val="16"/>
                <w:lang w:val="en-GB"/>
              </w:rPr>
              <w:t xml:space="preserve">Enhanced </w:t>
            </w:r>
            <w:r w:rsidR="00CB420C" w:rsidRPr="00661736">
              <w:rPr>
                <w:bCs/>
                <w:sz w:val="16"/>
                <w:szCs w:val="16"/>
                <w:lang w:val="en-GB"/>
              </w:rPr>
              <w:t xml:space="preserve">prosperity and resilience </w:t>
            </w:r>
            <w:r w:rsidR="00E85FEF" w:rsidRPr="00661736">
              <w:rPr>
                <w:bCs/>
                <w:sz w:val="16"/>
                <w:szCs w:val="16"/>
                <w:lang w:val="en-GB"/>
              </w:rPr>
              <w:t xml:space="preserve">of the population </w:t>
            </w:r>
            <w:r w:rsidR="00CB420C" w:rsidRPr="00661736">
              <w:rPr>
                <w:bCs/>
                <w:sz w:val="16"/>
                <w:szCs w:val="16"/>
                <w:lang w:val="en-GB"/>
              </w:rPr>
              <w:t>through inclusive green socioeconomic development.</w:t>
            </w:r>
            <w:r w:rsidR="00E85FEF" w:rsidRPr="00661736">
              <w:rPr>
                <w:bCs/>
                <w:sz w:val="16"/>
                <w:szCs w:val="16"/>
                <w:lang w:val="en-GB"/>
              </w:rPr>
              <w:t xml:space="preserve"> S</w:t>
            </w:r>
            <w:r w:rsidR="00FA03F2" w:rsidRPr="00661736">
              <w:rPr>
                <w:bCs/>
                <w:sz w:val="16"/>
                <w:szCs w:val="16"/>
                <w:lang w:val="en-GB"/>
              </w:rPr>
              <w:t xml:space="preserve">ustainable </w:t>
            </w:r>
            <w:r w:rsidR="00E85FEF" w:rsidRPr="00661736">
              <w:rPr>
                <w:bCs/>
                <w:sz w:val="16"/>
                <w:szCs w:val="16"/>
                <w:lang w:val="en-GB"/>
              </w:rPr>
              <w:t>D</w:t>
            </w:r>
            <w:r w:rsidR="00FA03F2" w:rsidRPr="00661736">
              <w:rPr>
                <w:bCs/>
                <w:sz w:val="16"/>
                <w:szCs w:val="16"/>
                <w:lang w:val="en-GB"/>
              </w:rPr>
              <w:t xml:space="preserve">evelopment </w:t>
            </w:r>
            <w:r w:rsidR="00E85FEF" w:rsidRPr="00661736">
              <w:rPr>
                <w:bCs/>
                <w:sz w:val="16"/>
                <w:szCs w:val="16"/>
                <w:lang w:val="en-GB"/>
              </w:rPr>
              <w:t>G</w:t>
            </w:r>
            <w:r w:rsidR="00FA03F2" w:rsidRPr="00661736">
              <w:rPr>
                <w:bCs/>
                <w:sz w:val="16"/>
                <w:szCs w:val="16"/>
                <w:lang w:val="en-GB"/>
              </w:rPr>
              <w:t>oal</w:t>
            </w:r>
            <w:r w:rsidR="00E85FEF" w:rsidRPr="00661736">
              <w:rPr>
                <w:bCs/>
                <w:sz w:val="16"/>
                <w:szCs w:val="16"/>
                <w:lang w:val="en-GB"/>
              </w:rPr>
              <w:t xml:space="preserve">s 1, </w:t>
            </w:r>
            <w:r w:rsidR="006D5A4C" w:rsidRPr="00661736">
              <w:rPr>
                <w:bCs/>
                <w:sz w:val="16"/>
                <w:szCs w:val="16"/>
                <w:lang w:val="en-GB"/>
              </w:rPr>
              <w:t>3</w:t>
            </w:r>
            <w:r w:rsidR="00E85FEF" w:rsidRPr="00661736">
              <w:rPr>
                <w:bCs/>
                <w:sz w:val="16"/>
                <w:szCs w:val="16"/>
                <w:lang w:val="en-GB"/>
              </w:rPr>
              <w:t xml:space="preserve">, 5, 8, </w:t>
            </w:r>
            <w:r w:rsidR="00C93B30" w:rsidRPr="00661736">
              <w:rPr>
                <w:bCs/>
                <w:sz w:val="16"/>
                <w:szCs w:val="16"/>
                <w:lang w:val="en-GB"/>
              </w:rPr>
              <w:t xml:space="preserve">9, 10, </w:t>
            </w:r>
            <w:r w:rsidR="006D5A4C" w:rsidRPr="00661736">
              <w:rPr>
                <w:bCs/>
                <w:sz w:val="16"/>
                <w:szCs w:val="16"/>
                <w:lang w:val="en-GB"/>
              </w:rPr>
              <w:t>11</w:t>
            </w:r>
            <w:r w:rsidR="00C93B30" w:rsidRPr="00661736">
              <w:rPr>
                <w:bCs/>
                <w:sz w:val="16"/>
                <w:szCs w:val="16"/>
                <w:lang w:val="en-GB"/>
              </w:rPr>
              <w:t>, 12</w:t>
            </w:r>
            <w:r w:rsidR="00E85FEF" w:rsidRPr="00661736">
              <w:rPr>
                <w:bCs/>
                <w:sz w:val="16"/>
                <w:szCs w:val="16"/>
                <w:lang w:val="en-GB"/>
              </w:rPr>
              <w:t>.</w:t>
            </w:r>
          </w:p>
        </w:tc>
      </w:tr>
      <w:tr w:rsidR="00661736" w:rsidRPr="00661736" w14:paraId="4AB359FF" w14:textId="77777777" w:rsidTr="004761DE">
        <w:tc>
          <w:tcPr>
            <w:tcW w:w="5000" w:type="pct"/>
            <w:gridSpan w:val="5"/>
            <w:shd w:val="clear" w:color="auto" w:fill="DBE5F1" w:themeFill="accent1" w:themeFillTint="33"/>
            <w:tcMar>
              <w:top w:w="72" w:type="dxa"/>
              <w:left w:w="144" w:type="dxa"/>
              <w:bottom w:w="72" w:type="dxa"/>
              <w:right w:w="144" w:type="dxa"/>
            </w:tcMar>
          </w:tcPr>
          <w:p w14:paraId="3B19B3C0" w14:textId="66E3A16D" w:rsidR="000A0652" w:rsidRPr="00661736" w:rsidRDefault="000A0652" w:rsidP="000A0652">
            <w:r w:rsidRPr="00661736">
              <w:rPr>
                <w:b/>
                <w:bCs/>
                <w:sz w:val="16"/>
                <w:szCs w:val="16"/>
                <w:lang w:val="en-GB"/>
              </w:rPr>
              <w:t>COOPERATION FRAMEWORK (OR EQUIVALENT) OUTCOME INVOLVING UNDP 2:</w:t>
            </w:r>
            <w:r w:rsidRPr="00661736">
              <w:rPr>
                <w:sz w:val="16"/>
                <w:szCs w:val="16"/>
                <w:lang w:val="en-GB"/>
              </w:rPr>
              <w:t xml:space="preserve"> </w:t>
            </w:r>
          </w:p>
          <w:p w14:paraId="47BD780D" w14:textId="06BDBDE6" w:rsidR="0005084C" w:rsidRPr="00661736" w:rsidRDefault="0005084C" w:rsidP="000A0652">
            <w:pPr>
              <w:rPr>
                <w:sz w:val="16"/>
                <w:szCs w:val="16"/>
              </w:rPr>
            </w:pPr>
            <w:bookmarkStart w:id="4" w:name="_Hlk103361007"/>
            <w:r w:rsidRPr="00661736">
              <w:rPr>
                <w:b/>
                <w:bCs/>
                <w:sz w:val="16"/>
                <w:szCs w:val="16"/>
              </w:rPr>
              <w:t>By 2027, the well-being of the population of the Kyrgyz Republic will have improved through the further rollout of a green economy based on sustainable and healthy food systems natural resource management, and effective migration processes, by accelerating the use of innovation and entrepreneurship</w:t>
            </w:r>
            <w:bookmarkEnd w:id="4"/>
            <w:r w:rsidR="00236E26">
              <w:rPr>
                <w:b/>
                <w:bCs/>
                <w:sz w:val="16"/>
                <w:szCs w:val="16"/>
              </w:rPr>
              <w:t>.</w:t>
            </w:r>
          </w:p>
        </w:tc>
      </w:tr>
      <w:tr w:rsidR="00661736" w:rsidRPr="00661736" w14:paraId="08947F5B" w14:textId="77777777" w:rsidTr="004761DE">
        <w:tc>
          <w:tcPr>
            <w:tcW w:w="5000" w:type="pct"/>
            <w:gridSpan w:val="5"/>
            <w:shd w:val="clear" w:color="auto" w:fill="DBE5F1" w:themeFill="accent1" w:themeFillTint="33"/>
            <w:tcMar>
              <w:top w:w="72" w:type="dxa"/>
              <w:left w:w="144" w:type="dxa"/>
              <w:bottom w:w="72" w:type="dxa"/>
              <w:right w:w="144" w:type="dxa"/>
            </w:tcMar>
          </w:tcPr>
          <w:p w14:paraId="5D906C38" w14:textId="150E3C00" w:rsidR="000A0652" w:rsidRPr="00661736" w:rsidRDefault="000A0652" w:rsidP="000A0652">
            <w:pPr>
              <w:rPr>
                <w:b/>
                <w:bCs/>
                <w:sz w:val="16"/>
                <w:szCs w:val="16"/>
                <w:lang w:val="en-GB"/>
              </w:rPr>
            </w:pPr>
            <w:r w:rsidRPr="00661736">
              <w:rPr>
                <w:b/>
                <w:bCs/>
                <w:sz w:val="16"/>
                <w:szCs w:val="16"/>
                <w:lang w:val="en-GB"/>
              </w:rPr>
              <w:t>RELATED STRATEGIC PLAN OUTCOME:</w:t>
            </w:r>
            <w:r w:rsidRPr="00661736">
              <w:rPr>
                <w:sz w:val="16"/>
                <w:szCs w:val="16"/>
                <w:lang w:val="en-GB"/>
              </w:rPr>
              <w:t xml:space="preserve"> </w:t>
            </w:r>
            <w:r w:rsidRPr="00661736">
              <w:rPr>
                <w:sz w:val="16"/>
                <w:szCs w:val="16"/>
              </w:rPr>
              <w:t>2) No one left behind, centering on equitable access to opportunities and a rights-based approach to human agency and human development</w:t>
            </w:r>
            <w:r w:rsidR="00236E26">
              <w:rPr>
                <w:sz w:val="16"/>
                <w:szCs w:val="16"/>
              </w:rPr>
              <w:t>.</w:t>
            </w:r>
          </w:p>
        </w:tc>
      </w:tr>
      <w:tr w:rsidR="00661736" w:rsidRPr="00661736" w14:paraId="3CD8A029" w14:textId="77777777" w:rsidTr="009E5D20">
        <w:tc>
          <w:tcPr>
            <w:tcW w:w="1077" w:type="pct"/>
            <w:shd w:val="clear" w:color="auto" w:fill="DBE5F1" w:themeFill="accent1" w:themeFillTint="33"/>
            <w:tcMar>
              <w:top w:w="72" w:type="dxa"/>
              <w:left w:w="144" w:type="dxa"/>
              <w:bottom w:w="72" w:type="dxa"/>
              <w:right w:w="144" w:type="dxa"/>
            </w:tcMar>
            <w:vAlign w:val="center"/>
          </w:tcPr>
          <w:p w14:paraId="43E685D3" w14:textId="77777777" w:rsidR="000A0652" w:rsidRPr="00661736" w:rsidRDefault="000A0652" w:rsidP="000A0652">
            <w:pPr>
              <w:jc w:val="center"/>
              <w:rPr>
                <w:sz w:val="16"/>
                <w:szCs w:val="16"/>
              </w:rPr>
            </w:pPr>
            <w:r w:rsidRPr="00661736">
              <w:rPr>
                <w:b/>
                <w:bCs/>
                <w:sz w:val="16"/>
                <w:szCs w:val="16"/>
                <w:lang w:val="en-GB"/>
              </w:rPr>
              <w:t>COOPERATION FRAMEWORK OUTCOME INDICATOR(S), BASELINES, TARGET(S)</w:t>
            </w:r>
          </w:p>
        </w:tc>
        <w:tc>
          <w:tcPr>
            <w:tcW w:w="1191" w:type="pct"/>
            <w:shd w:val="clear" w:color="auto" w:fill="DBE5F1" w:themeFill="accent1" w:themeFillTint="33"/>
            <w:vAlign w:val="center"/>
          </w:tcPr>
          <w:p w14:paraId="7DA8B93A" w14:textId="77777777" w:rsidR="000A0652" w:rsidRPr="00661736" w:rsidRDefault="000A0652" w:rsidP="000A0652">
            <w:pPr>
              <w:jc w:val="center"/>
              <w:rPr>
                <w:b/>
                <w:sz w:val="16"/>
                <w:szCs w:val="16"/>
              </w:rPr>
            </w:pPr>
            <w:r w:rsidRPr="00661736">
              <w:rPr>
                <w:b/>
                <w:sz w:val="16"/>
                <w:szCs w:val="16"/>
              </w:rPr>
              <w:t>DATA SOURCE AND FREQUENCY OF DATA COLLECTION, AND RESPONSIBILITIES</w:t>
            </w:r>
          </w:p>
        </w:tc>
        <w:tc>
          <w:tcPr>
            <w:tcW w:w="1071" w:type="pct"/>
            <w:shd w:val="clear" w:color="auto" w:fill="DBE5F1" w:themeFill="accent1" w:themeFillTint="33"/>
            <w:tcMar>
              <w:top w:w="72" w:type="dxa"/>
              <w:left w:w="144" w:type="dxa"/>
              <w:bottom w:w="72" w:type="dxa"/>
              <w:right w:w="144" w:type="dxa"/>
            </w:tcMar>
            <w:vAlign w:val="center"/>
          </w:tcPr>
          <w:p w14:paraId="4CD6F482" w14:textId="77777777" w:rsidR="000A0652" w:rsidRPr="00661736" w:rsidRDefault="000A0652" w:rsidP="000A0652">
            <w:pPr>
              <w:jc w:val="center"/>
              <w:rPr>
                <w:sz w:val="16"/>
                <w:szCs w:val="16"/>
              </w:rPr>
            </w:pPr>
            <w:r w:rsidRPr="00661736">
              <w:rPr>
                <w:b/>
                <w:bCs/>
                <w:sz w:val="16"/>
                <w:szCs w:val="16"/>
                <w:lang w:val="en-GB"/>
              </w:rPr>
              <w:t>INDICATIVE COUNTRY PROGRAMME OUTPUTS (including indicators, baselines targets)</w:t>
            </w:r>
          </w:p>
        </w:tc>
        <w:tc>
          <w:tcPr>
            <w:tcW w:w="1027" w:type="pct"/>
            <w:shd w:val="clear" w:color="auto" w:fill="DBE5F1" w:themeFill="accent1" w:themeFillTint="33"/>
            <w:vAlign w:val="center"/>
          </w:tcPr>
          <w:p w14:paraId="6D6F049A" w14:textId="77777777" w:rsidR="000A0652" w:rsidRPr="00661736" w:rsidRDefault="000A0652" w:rsidP="000A0652">
            <w:pPr>
              <w:jc w:val="center"/>
              <w:rPr>
                <w:b/>
                <w:bCs/>
                <w:sz w:val="16"/>
                <w:szCs w:val="16"/>
                <w:lang w:val="en-GB"/>
              </w:rPr>
            </w:pPr>
            <w:r w:rsidRPr="00661736">
              <w:rPr>
                <w:b/>
                <w:bCs/>
                <w:sz w:val="16"/>
                <w:szCs w:val="16"/>
                <w:lang w:val="en-GB"/>
              </w:rPr>
              <w:t>MAJOR PARTNERS / PARTNERSHIPS</w:t>
            </w:r>
          </w:p>
          <w:p w14:paraId="57107EEE" w14:textId="77777777" w:rsidR="000A0652" w:rsidRPr="00661736" w:rsidRDefault="000A0652" w:rsidP="000A0652">
            <w:pPr>
              <w:jc w:val="center"/>
              <w:rPr>
                <w:b/>
                <w:bCs/>
                <w:sz w:val="16"/>
                <w:szCs w:val="16"/>
                <w:lang w:val="en-GB"/>
              </w:rPr>
            </w:pPr>
            <w:r w:rsidRPr="00661736">
              <w:rPr>
                <w:b/>
                <w:bCs/>
                <w:sz w:val="16"/>
                <w:szCs w:val="16"/>
                <w:lang w:val="en-GB"/>
              </w:rPr>
              <w:t>FRAMEWORKS</w:t>
            </w:r>
          </w:p>
        </w:tc>
        <w:tc>
          <w:tcPr>
            <w:tcW w:w="634" w:type="pct"/>
            <w:shd w:val="clear" w:color="auto" w:fill="DBE5F1" w:themeFill="accent1" w:themeFillTint="33"/>
            <w:tcMar>
              <w:top w:w="15" w:type="dxa"/>
              <w:left w:w="108" w:type="dxa"/>
              <w:bottom w:w="0" w:type="dxa"/>
              <w:right w:w="108" w:type="dxa"/>
            </w:tcMar>
            <w:vAlign w:val="center"/>
          </w:tcPr>
          <w:p w14:paraId="2EE25B63" w14:textId="17250494" w:rsidR="000A0652" w:rsidRPr="00661736" w:rsidRDefault="000A0652" w:rsidP="000A0652">
            <w:pPr>
              <w:jc w:val="center"/>
              <w:rPr>
                <w:sz w:val="16"/>
                <w:szCs w:val="16"/>
              </w:rPr>
            </w:pPr>
            <w:r w:rsidRPr="00661736">
              <w:rPr>
                <w:b/>
                <w:bCs/>
                <w:sz w:val="16"/>
                <w:szCs w:val="16"/>
                <w:lang w:val="en-GB"/>
              </w:rPr>
              <w:t>ESTIMATED COST BY OUTCOME</w:t>
            </w:r>
            <w:r w:rsidR="009E5D20">
              <w:rPr>
                <w:b/>
                <w:bCs/>
                <w:sz w:val="16"/>
                <w:szCs w:val="16"/>
                <w:lang w:val="en-GB"/>
              </w:rPr>
              <w:br/>
            </w:r>
            <w:r w:rsidRPr="00661736">
              <w:rPr>
                <w:b/>
                <w:bCs/>
                <w:sz w:val="16"/>
                <w:szCs w:val="16"/>
                <w:lang w:val="en-GB"/>
              </w:rPr>
              <w:t>(US</w:t>
            </w:r>
            <w:r w:rsidR="00236E26">
              <w:rPr>
                <w:b/>
                <w:bCs/>
                <w:sz w:val="16"/>
                <w:szCs w:val="16"/>
                <w:lang w:val="en-GB"/>
              </w:rPr>
              <w:t xml:space="preserve"> dollars</w:t>
            </w:r>
            <w:r w:rsidRPr="00661736">
              <w:rPr>
                <w:b/>
                <w:bCs/>
                <w:sz w:val="16"/>
                <w:szCs w:val="16"/>
                <w:lang w:val="en-GB"/>
              </w:rPr>
              <w:t>)</w:t>
            </w:r>
          </w:p>
        </w:tc>
      </w:tr>
      <w:tr w:rsidR="00661736" w:rsidRPr="00661736" w14:paraId="261758DC" w14:textId="77777777" w:rsidTr="009E5D20">
        <w:tc>
          <w:tcPr>
            <w:tcW w:w="1077" w:type="pct"/>
            <w:vMerge w:val="restart"/>
            <w:tcMar>
              <w:top w:w="72" w:type="dxa"/>
              <w:left w:w="144" w:type="dxa"/>
              <w:bottom w:w="72" w:type="dxa"/>
              <w:right w:w="144" w:type="dxa"/>
            </w:tcMar>
          </w:tcPr>
          <w:p w14:paraId="40CF36BA" w14:textId="43362918" w:rsidR="00C40F37" w:rsidRPr="00661736" w:rsidRDefault="00C40F37" w:rsidP="00A67566">
            <w:pPr>
              <w:rPr>
                <w:b/>
                <w:bCs/>
                <w:sz w:val="16"/>
                <w:szCs w:val="16"/>
              </w:rPr>
            </w:pPr>
            <w:r w:rsidRPr="00661736">
              <w:rPr>
                <w:b/>
                <w:bCs/>
                <w:sz w:val="16"/>
                <w:szCs w:val="16"/>
                <w:lang w:val="en-GB"/>
              </w:rPr>
              <w:t xml:space="preserve">Outcome </w:t>
            </w:r>
            <w:r w:rsidR="00236E26">
              <w:rPr>
                <w:b/>
                <w:bCs/>
                <w:sz w:val="16"/>
                <w:szCs w:val="16"/>
                <w:lang w:val="en-GB"/>
              </w:rPr>
              <w:t>i</w:t>
            </w:r>
            <w:r w:rsidRPr="00661736">
              <w:rPr>
                <w:b/>
                <w:bCs/>
                <w:sz w:val="16"/>
                <w:szCs w:val="16"/>
                <w:lang w:val="en-GB"/>
              </w:rPr>
              <w:t xml:space="preserve">ndicators: </w:t>
            </w:r>
          </w:p>
          <w:p w14:paraId="429F0CF2" w14:textId="77777777" w:rsidR="00C40F37" w:rsidRPr="00661736" w:rsidRDefault="00C40F37" w:rsidP="00A67566">
            <w:pPr>
              <w:rPr>
                <w:sz w:val="16"/>
                <w:szCs w:val="16"/>
              </w:rPr>
            </w:pPr>
          </w:p>
          <w:p w14:paraId="2ACD55E3" w14:textId="04BCE082" w:rsidR="00C40F37" w:rsidRPr="00661736" w:rsidRDefault="00C40F37" w:rsidP="00C40F37">
            <w:pPr>
              <w:pStyle w:val="ListParagraph"/>
              <w:numPr>
                <w:ilvl w:val="0"/>
                <w:numId w:val="53"/>
              </w:numPr>
              <w:ind w:left="210" w:hanging="210"/>
              <w:rPr>
                <w:sz w:val="16"/>
                <w:szCs w:val="16"/>
              </w:rPr>
            </w:pPr>
            <w:r w:rsidRPr="00661736">
              <w:rPr>
                <w:sz w:val="16"/>
                <w:szCs w:val="16"/>
              </w:rPr>
              <w:t>Proportion of population living below the national poverty line, by sex and age</w:t>
            </w:r>
            <w:r w:rsidR="00236E26">
              <w:rPr>
                <w:sz w:val="16"/>
                <w:szCs w:val="16"/>
              </w:rPr>
              <w:t>.</w:t>
            </w:r>
          </w:p>
          <w:p w14:paraId="6419853C" w14:textId="3FA57724" w:rsidR="00C40F37" w:rsidRPr="00661736" w:rsidRDefault="00C40F37" w:rsidP="00C40F37">
            <w:pPr>
              <w:ind w:left="210"/>
              <w:rPr>
                <w:sz w:val="16"/>
                <w:szCs w:val="16"/>
                <w:lang w:val="en-GB"/>
              </w:rPr>
            </w:pPr>
            <w:r w:rsidRPr="00661736">
              <w:rPr>
                <w:sz w:val="16"/>
                <w:szCs w:val="16"/>
                <w:lang w:val="en-GB"/>
              </w:rPr>
              <w:t>Baseline (</w:t>
            </w:r>
            <w:r w:rsidR="008F2628" w:rsidRPr="00661736">
              <w:rPr>
                <w:sz w:val="16"/>
                <w:szCs w:val="16"/>
                <w:lang w:val="en-GB"/>
              </w:rPr>
              <w:t>2020</w:t>
            </w:r>
            <w:r w:rsidRPr="00661736">
              <w:rPr>
                <w:sz w:val="16"/>
                <w:szCs w:val="16"/>
                <w:lang w:val="en-GB"/>
              </w:rPr>
              <w:t>): 25</w:t>
            </w:r>
            <w:r w:rsidR="004E4851">
              <w:rPr>
                <w:sz w:val="16"/>
                <w:szCs w:val="16"/>
                <w:lang w:val="en-GB"/>
              </w:rPr>
              <w:t>.</w:t>
            </w:r>
            <w:r w:rsidRPr="00661736">
              <w:rPr>
                <w:sz w:val="16"/>
                <w:szCs w:val="16"/>
                <w:lang w:val="en-GB"/>
              </w:rPr>
              <w:t>3 per cent</w:t>
            </w:r>
            <w:r w:rsidRPr="00661736">
              <w:rPr>
                <w:bCs/>
                <w:sz w:val="16"/>
                <w:szCs w:val="16"/>
                <w:lang w:val="en-GB"/>
              </w:rPr>
              <w:br/>
              <w:t>Target (</w:t>
            </w:r>
            <w:r w:rsidR="008F2628" w:rsidRPr="00661736">
              <w:rPr>
                <w:bCs/>
                <w:sz w:val="16"/>
                <w:szCs w:val="16"/>
                <w:lang w:val="en-GB"/>
              </w:rPr>
              <w:t>2027</w:t>
            </w:r>
            <w:r w:rsidRPr="00661736">
              <w:rPr>
                <w:bCs/>
                <w:sz w:val="16"/>
                <w:szCs w:val="16"/>
                <w:lang w:val="en-GB"/>
              </w:rPr>
              <w:t>):</w:t>
            </w:r>
            <w:r w:rsidRPr="00661736">
              <w:rPr>
                <w:sz w:val="16"/>
                <w:szCs w:val="16"/>
                <w:lang w:val="en-GB"/>
              </w:rPr>
              <w:t xml:space="preserve"> 20 per cent</w:t>
            </w:r>
          </w:p>
          <w:p w14:paraId="060CCB19" w14:textId="6F23C210" w:rsidR="00C40F37" w:rsidRPr="00661736" w:rsidRDefault="00C40F37" w:rsidP="00C40F37">
            <w:pPr>
              <w:ind w:left="210" w:hanging="210"/>
              <w:rPr>
                <w:sz w:val="16"/>
                <w:szCs w:val="16"/>
                <w:lang w:val="en-GB"/>
              </w:rPr>
            </w:pPr>
          </w:p>
          <w:p w14:paraId="49D8C8F0" w14:textId="0CB578EA" w:rsidR="00C40F37" w:rsidRPr="00661736" w:rsidRDefault="00C40F37" w:rsidP="00C40F37">
            <w:pPr>
              <w:pStyle w:val="ListParagraph"/>
              <w:numPr>
                <w:ilvl w:val="0"/>
                <w:numId w:val="53"/>
              </w:numPr>
              <w:ind w:left="210" w:hanging="210"/>
              <w:rPr>
                <w:sz w:val="16"/>
                <w:szCs w:val="16"/>
              </w:rPr>
            </w:pPr>
            <w:r w:rsidRPr="00661736">
              <w:rPr>
                <w:sz w:val="16"/>
                <w:szCs w:val="16"/>
              </w:rPr>
              <w:t>Share of employed in small and medium enterprises of the total employed population in the economy</w:t>
            </w:r>
            <w:r w:rsidR="00236E26">
              <w:rPr>
                <w:sz w:val="16"/>
                <w:szCs w:val="16"/>
              </w:rPr>
              <w:t>.</w:t>
            </w:r>
          </w:p>
          <w:p w14:paraId="7BD4E0F4" w14:textId="108C47CB" w:rsidR="00C40F37" w:rsidRPr="00661736" w:rsidRDefault="00C40F37" w:rsidP="00C40F37">
            <w:pPr>
              <w:ind w:left="210"/>
              <w:rPr>
                <w:sz w:val="16"/>
                <w:szCs w:val="16"/>
                <w:lang w:val="en-GB"/>
              </w:rPr>
            </w:pPr>
            <w:r w:rsidRPr="00661736">
              <w:rPr>
                <w:sz w:val="16"/>
                <w:szCs w:val="16"/>
                <w:lang w:val="en-GB"/>
              </w:rPr>
              <w:t>Baseline (</w:t>
            </w:r>
            <w:r w:rsidR="008F2628" w:rsidRPr="00661736">
              <w:rPr>
                <w:sz w:val="16"/>
                <w:szCs w:val="16"/>
                <w:lang w:val="en-GB"/>
              </w:rPr>
              <w:t>2018</w:t>
            </w:r>
            <w:r w:rsidRPr="00661736">
              <w:rPr>
                <w:sz w:val="16"/>
                <w:szCs w:val="16"/>
                <w:lang w:val="en-GB"/>
              </w:rPr>
              <w:t>): 3</w:t>
            </w:r>
            <w:r w:rsidR="004E4851">
              <w:rPr>
                <w:sz w:val="16"/>
                <w:szCs w:val="16"/>
                <w:lang w:val="en-GB"/>
              </w:rPr>
              <w:t>.</w:t>
            </w:r>
            <w:r w:rsidRPr="00661736">
              <w:rPr>
                <w:sz w:val="16"/>
                <w:szCs w:val="16"/>
                <w:lang w:val="en-GB"/>
              </w:rPr>
              <w:t>6 per cent</w:t>
            </w:r>
            <w:r w:rsidRPr="00661736">
              <w:rPr>
                <w:bCs/>
                <w:sz w:val="16"/>
                <w:szCs w:val="16"/>
                <w:lang w:val="en-GB"/>
              </w:rPr>
              <w:br/>
              <w:t>Target (</w:t>
            </w:r>
            <w:r w:rsidR="008F2628" w:rsidRPr="00661736">
              <w:rPr>
                <w:bCs/>
                <w:sz w:val="16"/>
                <w:szCs w:val="16"/>
                <w:lang w:val="en-GB"/>
              </w:rPr>
              <w:t>2027</w:t>
            </w:r>
            <w:r w:rsidRPr="00661736">
              <w:rPr>
                <w:bCs/>
                <w:sz w:val="16"/>
                <w:szCs w:val="16"/>
                <w:lang w:val="en-GB"/>
              </w:rPr>
              <w:t>):</w:t>
            </w:r>
            <w:r w:rsidRPr="00661736">
              <w:rPr>
                <w:sz w:val="16"/>
                <w:szCs w:val="16"/>
                <w:lang w:val="en-GB"/>
              </w:rPr>
              <w:t xml:space="preserve"> 5</w:t>
            </w:r>
            <w:r w:rsidR="004E4851">
              <w:rPr>
                <w:sz w:val="16"/>
                <w:szCs w:val="16"/>
                <w:lang w:val="en-GB"/>
              </w:rPr>
              <w:t>.</w:t>
            </w:r>
            <w:r w:rsidRPr="00661736">
              <w:rPr>
                <w:sz w:val="16"/>
                <w:szCs w:val="16"/>
                <w:lang w:val="en-GB"/>
              </w:rPr>
              <w:t>8 per cent</w:t>
            </w:r>
          </w:p>
          <w:p w14:paraId="30C6FCFC" w14:textId="77777777" w:rsidR="00C40F37" w:rsidRPr="00661736" w:rsidRDefault="00C40F37" w:rsidP="000A0652">
            <w:pPr>
              <w:rPr>
                <w:bCs/>
                <w:sz w:val="16"/>
                <w:szCs w:val="16"/>
                <w:lang w:val="en-GB"/>
              </w:rPr>
            </w:pPr>
          </w:p>
        </w:tc>
        <w:tc>
          <w:tcPr>
            <w:tcW w:w="1191" w:type="pct"/>
            <w:vMerge w:val="restart"/>
          </w:tcPr>
          <w:p w14:paraId="5CE42231" w14:textId="77777777" w:rsidR="00C40F37" w:rsidRPr="00661736" w:rsidRDefault="00C40F37" w:rsidP="000A0652">
            <w:pPr>
              <w:rPr>
                <w:b/>
                <w:bCs/>
                <w:sz w:val="16"/>
                <w:szCs w:val="16"/>
                <w:lang w:val="en-GB"/>
              </w:rPr>
            </w:pPr>
          </w:p>
        </w:tc>
        <w:tc>
          <w:tcPr>
            <w:tcW w:w="1071" w:type="pct"/>
            <w:vMerge w:val="restart"/>
            <w:tcMar>
              <w:top w:w="72" w:type="dxa"/>
              <w:left w:w="144" w:type="dxa"/>
              <w:bottom w:w="72" w:type="dxa"/>
              <w:right w:w="144" w:type="dxa"/>
            </w:tcMar>
          </w:tcPr>
          <w:p w14:paraId="3700990E" w14:textId="17F9F8BE" w:rsidR="00C40F37" w:rsidRPr="00661736" w:rsidRDefault="00C40F37" w:rsidP="000A0652">
            <w:pPr>
              <w:jc w:val="both"/>
              <w:rPr>
                <w:sz w:val="16"/>
                <w:szCs w:val="16"/>
              </w:rPr>
            </w:pPr>
            <w:r w:rsidRPr="00661736">
              <w:rPr>
                <w:sz w:val="16"/>
                <w:szCs w:val="16"/>
                <w:lang w:val="en-GB"/>
              </w:rPr>
              <w:t>Output 2.1.</w:t>
            </w:r>
            <w:r w:rsidR="00916606">
              <w:rPr>
                <w:sz w:val="16"/>
                <w:szCs w:val="16"/>
                <w:lang w:val="en-GB"/>
              </w:rPr>
              <w:t>:</w:t>
            </w:r>
            <w:r w:rsidRPr="00661736">
              <w:rPr>
                <w:sz w:val="16"/>
                <w:szCs w:val="16"/>
              </w:rPr>
              <w:t xml:space="preserve"> Polices and mechanisms in place for equitable access to finance and decent employment create opportunities, especially for women, youth, and other vulnerable groups.</w:t>
            </w:r>
          </w:p>
          <w:p w14:paraId="2CFC6D1A" w14:textId="77777777" w:rsidR="00C40F37" w:rsidRPr="00661736" w:rsidRDefault="00C40F37" w:rsidP="000A0652">
            <w:pPr>
              <w:rPr>
                <w:sz w:val="16"/>
                <w:szCs w:val="16"/>
              </w:rPr>
            </w:pPr>
          </w:p>
          <w:p w14:paraId="6AF24F11" w14:textId="184BCB1E" w:rsidR="00C40F37" w:rsidRPr="00661736" w:rsidRDefault="00C40F37" w:rsidP="000A0652">
            <w:pPr>
              <w:pStyle w:val="ListParagraph"/>
              <w:numPr>
                <w:ilvl w:val="0"/>
                <w:numId w:val="5"/>
              </w:numPr>
              <w:rPr>
                <w:rStyle w:val="FootnoteReference"/>
                <w:sz w:val="16"/>
                <w:szCs w:val="16"/>
              </w:rPr>
            </w:pPr>
            <w:r w:rsidRPr="00661736">
              <w:rPr>
                <w:sz w:val="16"/>
                <w:szCs w:val="16"/>
                <w:lang w:val="en-GB"/>
              </w:rPr>
              <w:t>Indicator 2.1.1</w:t>
            </w:r>
            <w:r w:rsidR="00916606">
              <w:rPr>
                <w:sz w:val="16"/>
                <w:szCs w:val="16"/>
                <w:lang w:val="en-GB"/>
              </w:rPr>
              <w:t>.</w:t>
            </w:r>
            <w:r w:rsidRPr="00661736">
              <w:rPr>
                <w:sz w:val="16"/>
                <w:szCs w:val="16"/>
                <w:lang w:val="en-GB"/>
              </w:rPr>
              <w:t xml:space="preserve">: </w:t>
            </w:r>
            <w:r w:rsidRPr="00661736">
              <w:rPr>
                <w:sz w:val="16"/>
                <w:szCs w:val="16"/>
              </w:rPr>
              <w:t>Number of women-led businesses with access to green finance</w:t>
            </w:r>
            <w:r w:rsidRPr="00661736">
              <w:rPr>
                <w:rStyle w:val="FootnoteReference"/>
                <w:sz w:val="16"/>
                <w:szCs w:val="16"/>
              </w:rPr>
              <w:t xml:space="preserve"> </w:t>
            </w:r>
          </w:p>
          <w:p w14:paraId="6CD02A19" w14:textId="77777777" w:rsidR="00C40F37" w:rsidRPr="00661736" w:rsidRDefault="00C40F37" w:rsidP="000A0652">
            <w:pPr>
              <w:pStyle w:val="ListParagraph"/>
              <w:ind w:left="360"/>
              <w:rPr>
                <w:sz w:val="16"/>
                <w:szCs w:val="16"/>
                <w:lang w:val="en-GB"/>
              </w:rPr>
            </w:pPr>
            <w:r w:rsidRPr="00661736">
              <w:rPr>
                <w:sz w:val="16"/>
                <w:szCs w:val="16"/>
                <w:lang w:val="en-GB"/>
              </w:rPr>
              <w:t>Baseline, 2020:0</w:t>
            </w:r>
          </w:p>
          <w:p w14:paraId="08EBE2B8" w14:textId="77777777" w:rsidR="00C40F37" w:rsidRPr="00661736" w:rsidRDefault="00C40F37" w:rsidP="000A0652">
            <w:pPr>
              <w:pStyle w:val="ListParagraph"/>
              <w:ind w:left="360"/>
              <w:rPr>
                <w:sz w:val="16"/>
                <w:szCs w:val="16"/>
                <w:lang w:val="en-GB"/>
              </w:rPr>
            </w:pPr>
            <w:r w:rsidRPr="00661736">
              <w:rPr>
                <w:sz w:val="16"/>
                <w:szCs w:val="16"/>
                <w:lang w:val="en-GB"/>
              </w:rPr>
              <w:t>Target 2027:300</w:t>
            </w:r>
          </w:p>
          <w:p w14:paraId="1549916F" w14:textId="79EB29CE" w:rsidR="00C40F37" w:rsidRPr="00661736" w:rsidRDefault="00C40F37" w:rsidP="000A0652">
            <w:pPr>
              <w:pStyle w:val="ListParagraph"/>
              <w:ind w:left="360"/>
              <w:rPr>
                <w:sz w:val="16"/>
                <w:szCs w:val="16"/>
                <w:lang w:val="en-GB"/>
              </w:rPr>
            </w:pPr>
            <w:r w:rsidRPr="00661736">
              <w:rPr>
                <w:sz w:val="16"/>
                <w:szCs w:val="16"/>
                <w:lang w:val="en-GB"/>
              </w:rPr>
              <w:t xml:space="preserve">Data source: NSC </w:t>
            </w:r>
          </w:p>
          <w:p w14:paraId="0E0F4866" w14:textId="17F10B42" w:rsidR="00C40F37" w:rsidRPr="00661736" w:rsidRDefault="00C40F37" w:rsidP="000A0652">
            <w:pPr>
              <w:pStyle w:val="ListParagraph"/>
              <w:ind w:left="360"/>
              <w:rPr>
                <w:b/>
                <w:bCs/>
                <w:sz w:val="16"/>
                <w:szCs w:val="16"/>
                <w:lang w:val="en-GB"/>
              </w:rPr>
            </w:pPr>
            <w:r w:rsidRPr="00661736">
              <w:rPr>
                <w:b/>
                <w:bCs/>
                <w:sz w:val="16"/>
                <w:szCs w:val="16"/>
                <w:lang w:val="en-GB"/>
              </w:rPr>
              <w:t xml:space="preserve"> </w:t>
            </w:r>
          </w:p>
          <w:p w14:paraId="0B9BE131" w14:textId="002B1C63" w:rsidR="00C40F37" w:rsidRPr="00661736" w:rsidRDefault="00C40F37" w:rsidP="000A0652">
            <w:pPr>
              <w:pStyle w:val="ListParagraph"/>
              <w:numPr>
                <w:ilvl w:val="0"/>
                <w:numId w:val="30"/>
              </w:numPr>
              <w:ind w:left="360"/>
              <w:rPr>
                <w:sz w:val="16"/>
                <w:szCs w:val="16"/>
                <w:lang w:val="en-GB"/>
              </w:rPr>
            </w:pPr>
            <w:r w:rsidRPr="00661736">
              <w:rPr>
                <w:sz w:val="16"/>
                <w:szCs w:val="16"/>
                <w:lang w:val="en-GB"/>
              </w:rPr>
              <w:t>Indicator 2.1.2</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p>
          <w:p w14:paraId="7D0EF720" w14:textId="7DF10F2F" w:rsidR="00C40F37" w:rsidRPr="00661736" w:rsidRDefault="00C40F37" w:rsidP="000A0652">
            <w:pPr>
              <w:pStyle w:val="ListParagraph"/>
              <w:ind w:left="360"/>
              <w:rPr>
                <w:sz w:val="16"/>
                <w:szCs w:val="16"/>
                <w:lang w:val="en-GB"/>
              </w:rPr>
            </w:pPr>
            <w:r w:rsidRPr="00661736">
              <w:rPr>
                <w:sz w:val="16"/>
                <w:szCs w:val="16"/>
                <w:shd w:val="clear" w:color="auto" w:fill="FFFFFF"/>
              </w:rPr>
              <w:t xml:space="preserve">Number of youths supported with employment and training </w:t>
            </w:r>
            <w:r w:rsidRPr="00661736">
              <w:rPr>
                <w:sz w:val="16"/>
                <w:szCs w:val="16"/>
                <w:lang w:val="en-GB"/>
              </w:rPr>
              <w:t>Baseline, 2020:  0</w:t>
            </w:r>
          </w:p>
          <w:p w14:paraId="7CC59609" w14:textId="23E074FD" w:rsidR="00C40F37" w:rsidRPr="00661736" w:rsidRDefault="00C40F37" w:rsidP="000A0652">
            <w:pPr>
              <w:pStyle w:val="ListParagraph"/>
              <w:ind w:left="360"/>
              <w:rPr>
                <w:sz w:val="16"/>
                <w:szCs w:val="16"/>
                <w:lang w:val="en-GB"/>
              </w:rPr>
            </w:pPr>
            <w:r w:rsidRPr="00661736">
              <w:rPr>
                <w:sz w:val="16"/>
                <w:szCs w:val="16"/>
                <w:lang w:val="en-GB"/>
              </w:rPr>
              <w:t xml:space="preserve">Target 2027: 500,000-800,000 </w:t>
            </w:r>
          </w:p>
          <w:p w14:paraId="194DD6DF" w14:textId="702426B4" w:rsidR="00C40F37" w:rsidRPr="00661736" w:rsidRDefault="00C40F37" w:rsidP="00661736">
            <w:pPr>
              <w:pStyle w:val="ListParagraph"/>
              <w:ind w:left="360"/>
              <w:rPr>
                <w:sz w:val="16"/>
                <w:szCs w:val="16"/>
                <w:lang w:val="en-GB"/>
              </w:rPr>
            </w:pPr>
            <w:r w:rsidRPr="00661736">
              <w:rPr>
                <w:sz w:val="16"/>
                <w:szCs w:val="16"/>
                <w:lang w:val="en-GB"/>
              </w:rPr>
              <w:t xml:space="preserve">Data source: NSC </w:t>
            </w:r>
          </w:p>
        </w:tc>
        <w:tc>
          <w:tcPr>
            <w:tcW w:w="1027" w:type="pct"/>
            <w:vMerge w:val="restart"/>
          </w:tcPr>
          <w:p w14:paraId="5A38E481" w14:textId="67BD4051" w:rsidR="00C40F37" w:rsidRPr="00661736" w:rsidRDefault="00A80622" w:rsidP="000A0652">
            <w:pPr>
              <w:rPr>
                <w:sz w:val="16"/>
                <w:szCs w:val="16"/>
                <w:lang w:val="en-GB"/>
              </w:rPr>
            </w:pPr>
            <w:r>
              <w:rPr>
                <w:sz w:val="16"/>
                <w:szCs w:val="16"/>
                <w:lang w:val="en-GB"/>
              </w:rPr>
              <w:t>Ministry</w:t>
            </w:r>
            <w:r w:rsidRPr="00661736">
              <w:rPr>
                <w:sz w:val="16"/>
                <w:szCs w:val="16"/>
                <w:lang w:val="en-GB"/>
              </w:rPr>
              <w:t xml:space="preserve"> </w:t>
            </w:r>
            <w:r w:rsidR="00C40F37" w:rsidRPr="00661736">
              <w:rPr>
                <w:sz w:val="16"/>
                <w:szCs w:val="16"/>
                <w:lang w:val="en-GB"/>
              </w:rPr>
              <w:t xml:space="preserve">of Economy and Commerce, </w:t>
            </w:r>
            <w:r w:rsidR="0059526B">
              <w:rPr>
                <w:sz w:val="16"/>
                <w:szCs w:val="16"/>
                <w:lang w:val="en-GB"/>
              </w:rPr>
              <w:t xml:space="preserve">Ministry of </w:t>
            </w:r>
            <w:r w:rsidR="00C40F37" w:rsidRPr="00661736">
              <w:rPr>
                <w:sz w:val="16"/>
                <w:szCs w:val="16"/>
                <w:lang w:val="en-GB"/>
              </w:rPr>
              <w:t>Agriculture (MoA),</w:t>
            </w:r>
            <w:r>
              <w:rPr>
                <w:sz w:val="16"/>
                <w:szCs w:val="16"/>
                <w:lang w:val="en-GB"/>
              </w:rPr>
              <w:t xml:space="preserve"> Ministry of</w:t>
            </w:r>
            <w:r w:rsidR="00C40F37" w:rsidRPr="00661736">
              <w:rPr>
                <w:sz w:val="16"/>
                <w:szCs w:val="16"/>
                <w:lang w:val="en-GB"/>
              </w:rPr>
              <w:t xml:space="preserve"> Finance (MoF), </w:t>
            </w:r>
            <w:r>
              <w:rPr>
                <w:sz w:val="16"/>
                <w:szCs w:val="16"/>
                <w:lang w:val="en-GB"/>
              </w:rPr>
              <w:t xml:space="preserve">Ministry of </w:t>
            </w:r>
            <w:r w:rsidR="00C40F37" w:rsidRPr="00661736">
              <w:rPr>
                <w:sz w:val="16"/>
                <w:szCs w:val="16"/>
                <w:lang w:val="en-GB"/>
              </w:rPr>
              <w:t>Digital Development</w:t>
            </w:r>
            <w:r>
              <w:rPr>
                <w:sz w:val="16"/>
                <w:szCs w:val="16"/>
                <w:lang w:val="en-GB"/>
              </w:rPr>
              <w:t xml:space="preserve">, </w:t>
            </w:r>
            <w:r w:rsidR="00C40F37" w:rsidRPr="00661736">
              <w:rPr>
                <w:sz w:val="16"/>
                <w:szCs w:val="16"/>
                <w:lang w:val="en-GB"/>
              </w:rPr>
              <w:t xml:space="preserve">Energy (MoE), </w:t>
            </w:r>
            <w:r>
              <w:rPr>
                <w:sz w:val="16"/>
                <w:szCs w:val="16"/>
                <w:lang w:val="en-GB"/>
              </w:rPr>
              <w:t xml:space="preserve">Ministry of </w:t>
            </w:r>
            <w:r w:rsidR="00C40F37" w:rsidRPr="00661736">
              <w:rPr>
                <w:sz w:val="16"/>
                <w:szCs w:val="16"/>
                <w:lang w:val="en-GB"/>
              </w:rPr>
              <w:t>Natural Resources, Ecology and Technical Supervision (MoNRETS)</w:t>
            </w:r>
          </w:p>
          <w:p w14:paraId="53A30B3E" w14:textId="77777777" w:rsidR="00C40F37" w:rsidRPr="00661736" w:rsidRDefault="00C40F37" w:rsidP="000A0652">
            <w:pPr>
              <w:rPr>
                <w:sz w:val="16"/>
                <w:szCs w:val="16"/>
              </w:rPr>
            </w:pPr>
          </w:p>
          <w:p w14:paraId="30F33652" w14:textId="574912F5" w:rsidR="00C40F37" w:rsidRPr="00661736" w:rsidRDefault="00C40F37" w:rsidP="000A0652">
            <w:pPr>
              <w:rPr>
                <w:sz w:val="16"/>
                <w:szCs w:val="16"/>
              </w:rPr>
            </w:pPr>
            <w:r w:rsidRPr="00661736">
              <w:rPr>
                <w:sz w:val="16"/>
                <w:szCs w:val="16"/>
              </w:rPr>
              <w:t>NSC</w:t>
            </w:r>
          </w:p>
          <w:p w14:paraId="7D77B7BC" w14:textId="77777777" w:rsidR="00C40F37" w:rsidRPr="00661736" w:rsidRDefault="00C40F37" w:rsidP="000A0652">
            <w:pPr>
              <w:rPr>
                <w:rFonts w:eastAsia="Calibri"/>
                <w:sz w:val="16"/>
                <w:szCs w:val="16"/>
              </w:rPr>
            </w:pPr>
          </w:p>
          <w:p w14:paraId="74D0A03A" w14:textId="5706F366" w:rsidR="00C40F37" w:rsidRPr="00661736" w:rsidRDefault="00DF49D2" w:rsidP="000A0652">
            <w:pPr>
              <w:rPr>
                <w:rFonts w:eastAsia="Calibri"/>
                <w:sz w:val="16"/>
                <w:szCs w:val="16"/>
              </w:rPr>
            </w:pPr>
            <w:r>
              <w:rPr>
                <w:rFonts w:eastAsia="Calibri"/>
                <w:sz w:val="16"/>
                <w:szCs w:val="16"/>
              </w:rPr>
              <w:t>Civil society organizations (</w:t>
            </w:r>
            <w:r w:rsidR="00C40F37" w:rsidRPr="00661736">
              <w:rPr>
                <w:rFonts w:eastAsia="Calibri"/>
                <w:sz w:val="16"/>
                <w:szCs w:val="16"/>
              </w:rPr>
              <w:t>CSOs</w:t>
            </w:r>
            <w:r>
              <w:rPr>
                <w:rFonts w:eastAsia="Calibri"/>
                <w:sz w:val="16"/>
                <w:szCs w:val="16"/>
              </w:rPr>
              <w:t>)</w:t>
            </w:r>
            <w:r w:rsidR="00C40F37" w:rsidRPr="00661736">
              <w:rPr>
                <w:rFonts w:eastAsia="Calibri"/>
                <w:sz w:val="16"/>
                <w:szCs w:val="16"/>
              </w:rPr>
              <w:t xml:space="preserve"> </w:t>
            </w:r>
          </w:p>
          <w:p w14:paraId="029FD7DF" w14:textId="77777777" w:rsidR="00C40F37" w:rsidRPr="00661736" w:rsidRDefault="00C40F37" w:rsidP="000A0652">
            <w:pPr>
              <w:rPr>
                <w:rFonts w:eastAsia="Calibri"/>
                <w:sz w:val="16"/>
                <w:szCs w:val="16"/>
              </w:rPr>
            </w:pPr>
          </w:p>
          <w:p w14:paraId="492930CC" w14:textId="77777777" w:rsidR="00C40F37" w:rsidRPr="00661736" w:rsidRDefault="00C40F37" w:rsidP="000A0652">
            <w:pPr>
              <w:rPr>
                <w:rFonts w:eastAsia="Calibri"/>
                <w:sz w:val="16"/>
                <w:szCs w:val="16"/>
              </w:rPr>
            </w:pPr>
            <w:r w:rsidRPr="00661736">
              <w:rPr>
                <w:rFonts w:eastAsia="Calibri"/>
                <w:sz w:val="16"/>
                <w:szCs w:val="16"/>
              </w:rPr>
              <w:t>Private sector</w:t>
            </w:r>
          </w:p>
          <w:p w14:paraId="4C41D116" w14:textId="77777777" w:rsidR="00C40F37" w:rsidRPr="00661736" w:rsidRDefault="00C40F37" w:rsidP="000A0652">
            <w:pPr>
              <w:rPr>
                <w:rFonts w:eastAsia="Calibri"/>
                <w:sz w:val="16"/>
                <w:szCs w:val="16"/>
              </w:rPr>
            </w:pPr>
          </w:p>
          <w:p w14:paraId="13FF14B5" w14:textId="62595457" w:rsidR="00C40F37" w:rsidRPr="00661736" w:rsidRDefault="00C40F37" w:rsidP="000A0652">
            <w:pPr>
              <w:rPr>
                <w:rFonts w:eastAsia="Calibri"/>
                <w:sz w:val="16"/>
                <w:szCs w:val="16"/>
              </w:rPr>
            </w:pPr>
            <w:r w:rsidRPr="00661736">
              <w:rPr>
                <w:rFonts w:eastAsia="Calibri"/>
                <w:sz w:val="16"/>
                <w:szCs w:val="16"/>
              </w:rPr>
              <w:t>FAO, International Labor Organization, UN</w:t>
            </w:r>
            <w:r w:rsidR="004E4851">
              <w:rPr>
                <w:rFonts w:eastAsia="Calibri"/>
                <w:sz w:val="16"/>
                <w:szCs w:val="16"/>
              </w:rPr>
              <w:t xml:space="preserve"> </w:t>
            </w:r>
            <w:r w:rsidRPr="00661736">
              <w:rPr>
                <w:rFonts w:eastAsia="Calibri"/>
                <w:sz w:val="16"/>
                <w:szCs w:val="16"/>
              </w:rPr>
              <w:t>Women</w:t>
            </w:r>
          </w:p>
          <w:p w14:paraId="3BCA23D1" w14:textId="77777777" w:rsidR="00C40F37" w:rsidRPr="00661736" w:rsidRDefault="00C40F37" w:rsidP="000A0652">
            <w:pPr>
              <w:rPr>
                <w:rFonts w:eastAsia="Calibri"/>
                <w:sz w:val="16"/>
                <w:szCs w:val="16"/>
              </w:rPr>
            </w:pPr>
          </w:p>
          <w:p w14:paraId="54CCEE61" w14:textId="76D8CCDC" w:rsidR="00C40F37" w:rsidRPr="00661736" w:rsidRDefault="00C40F37" w:rsidP="000A0652">
            <w:pPr>
              <w:rPr>
                <w:rFonts w:eastAsia="Calibri"/>
                <w:sz w:val="16"/>
                <w:szCs w:val="16"/>
              </w:rPr>
            </w:pPr>
            <w:r w:rsidRPr="00661736">
              <w:rPr>
                <w:rFonts w:eastAsia="Calibri"/>
                <w:sz w:val="16"/>
                <w:szCs w:val="16"/>
              </w:rPr>
              <w:t>Finland, Russian Federation, IFIs</w:t>
            </w:r>
          </w:p>
          <w:p w14:paraId="54E1D6D4" w14:textId="77777777" w:rsidR="00C40F37" w:rsidRPr="00661736" w:rsidRDefault="00C40F37" w:rsidP="000A0652">
            <w:pPr>
              <w:rPr>
                <w:sz w:val="16"/>
                <w:szCs w:val="16"/>
              </w:rPr>
            </w:pPr>
          </w:p>
        </w:tc>
        <w:tc>
          <w:tcPr>
            <w:tcW w:w="634" w:type="pct"/>
            <w:tcMar>
              <w:top w:w="15" w:type="dxa"/>
              <w:left w:w="108" w:type="dxa"/>
              <w:bottom w:w="0" w:type="dxa"/>
              <w:right w:w="108" w:type="dxa"/>
            </w:tcMar>
          </w:tcPr>
          <w:p w14:paraId="76FB69D0" w14:textId="77777777" w:rsidR="00C40F37" w:rsidRPr="00661736" w:rsidRDefault="00C40F37" w:rsidP="000A0652">
            <w:pPr>
              <w:rPr>
                <w:b/>
                <w:bCs/>
                <w:sz w:val="16"/>
                <w:szCs w:val="16"/>
              </w:rPr>
            </w:pPr>
            <w:r w:rsidRPr="00661736">
              <w:rPr>
                <w:b/>
                <w:bCs/>
                <w:sz w:val="16"/>
                <w:szCs w:val="16"/>
              </w:rPr>
              <w:t>Regular: $ 1,000,000</w:t>
            </w:r>
          </w:p>
        </w:tc>
      </w:tr>
      <w:tr w:rsidR="00661736" w:rsidRPr="00661736" w14:paraId="6485214D" w14:textId="77777777" w:rsidTr="009E5D20">
        <w:tc>
          <w:tcPr>
            <w:tcW w:w="1077" w:type="pct"/>
            <w:vMerge/>
            <w:tcMar>
              <w:top w:w="72" w:type="dxa"/>
              <w:left w:w="144" w:type="dxa"/>
              <w:bottom w:w="72" w:type="dxa"/>
              <w:right w:w="144" w:type="dxa"/>
            </w:tcMar>
          </w:tcPr>
          <w:p w14:paraId="68B8B2FB" w14:textId="77777777" w:rsidR="00C40F37" w:rsidRPr="00661736" w:rsidRDefault="00C40F37" w:rsidP="000A0652">
            <w:pPr>
              <w:rPr>
                <w:sz w:val="16"/>
                <w:szCs w:val="16"/>
                <w:lang w:val="en-GB"/>
              </w:rPr>
            </w:pPr>
          </w:p>
        </w:tc>
        <w:tc>
          <w:tcPr>
            <w:tcW w:w="1191" w:type="pct"/>
            <w:vMerge/>
          </w:tcPr>
          <w:p w14:paraId="10B736D4" w14:textId="77777777" w:rsidR="00C40F37" w:rsidRPr="00661736" w:rsidRDefault="00C40F37" w:rsidP="000A0652">
            <w:pPr>
              <w:rPr>
                <w:sz w:val="16"/>
                <w:szCs w:val="16"/>
                <w:lang w:val="en-GB"/>
              </w:rPr>
            </w:pPr>
          </w:p>
        </w:tc>
        <w:tc>
          <w:tcPr>
            <w:tcW w:w="1071" w:type="pct"/>
            <w:vMerge/>
            <w:tcMar>
              <w:top w:w="72" w:type="dxa"/>
              <w:left w:w="144" w:type="dxa"/>
              <w:bottom w:w="72" w:type="dxa"/>
              <w:right w:w="144" w:type="dxa"/>
            </w:tcMar>
          </w:tcPr>
          <w:p w14:paraId="5FBF2F37" w14:textId="77777777" w:rsidR="00C40F37" w:rsidRPr="00661736" w:rsidRDefault="00C40F37" w:rsidP="000A0652">
            <w:pPr>
              <w:rPr>
                <w:sz w:val="16"/>
                <w:szCs w:val="16"/>
                <w:lang w:val="en-GB"/>
              </w:rPr>
            </w:pPr>
          </w:p>
        </w:tc>
        <w:tc>
          <w:tcPr>
            <w:tcW w:w="1027" w:type="pct"/>
            <w:vMerge/>
          </w:tcPr>
          <w:p w14:paraId="448346C5" w14:textId="77777777" w:rsidR="00C40F37" w:rsidRPr="00661736" w:rsidRDefault="00C40F37" w:rsidP="000A0652">
            <w:pPr>
              <w:rPr>
                <w:sz w:val="16"/>
                <w:szCs w:val="16"/>
                <w:lang w:val="en-GB"/>
              </w:rPr>
            </w:pPr>
          </w:p>
        </w:tc>
        <w:tc>
          <w:tcPr>
            <w:tcW w:w="634" w:type="pct"/>
            <w:tcMar>
              <w:top w:w="15" w:type="dxa"/>
              <w:left w:w="108" w:type="dxa"/>
              <w:bottom w:w="0" w:type="dxa"/>
              <w:right w:w="108" w:type="dxa"/>
            </w:tcMar>
          </w:tcPr>
          <w:p w14:paraId="7B3EBBB8" w14:textId="77777777" w:rsidR="00C40F37" w:rsidRPr="00661736" w:rsidRDefault="00C40F37" w:rsidP="000A0652">
            <w:pPr>
              <w:rPr>
                <w:b/>
                <w:bCs/>
                <w:sz w:val="16"/>
                <w:szCs w:val="16"/>
              </w:rPr>
            </w:pPr>
            <w:r w:rsidRPr="00661736">
              <w:rPr>
                <w:b/>
                <w:bCs/>
                <w:sz w:val="16"/>
                <w:szCs w:val="16"/>
              </w:rPr>
              <w:t>Other: $ 3,600,000</w:t>
            </w:r>
          </w:p>
          <w:p w14:paraId="1777FD7C" w14:textId="77777777" w:rsidR="00C40F37" w:rsidRPr="00661736" w:rsidRDefault="00C40F37" w:rsidP="000A0652">
            <w:pPr>
              <w:rPr>
                <w:sz w:val="16"/>
                <w:szCs w:val="16"/>
                <w:lang w:val="en-GB"/>
              </w:rPr>
            </w:pPr>
          </w:p>
          <w:p w14:paraId="71444E84" w14:textId="77777777" w:rsidR="00C40F37" w:rsidRPr="00661736" w:rsidRDefault="00C40F37" w:rsidP="000A0652">
            <w:pPr>
              <w:rPr>
                <w:sz w:val="16"/>
                <w:szCs w:val="16"/>
                <w:lang w:val="en-GB"/>
              </w:rPr>
            </w:pPr>
          </w:p>
        </w:tc>
      </w:tr>
      <w:tr w:rsidR="00661736" w:rsidRPr="00661736" w14:paraId="12213803" w14:textId="77777777" w:rsidTr="009E5D20">
        <w:tc>
          <w:tcPr>
            <w:tcW w:w="1077" w:type="pct"/>
            <w:vMerge/>
            <w:tcMar>
              <w:top w:w="72" w:type="dxa"/>
              <w:left w:w="144" w:type="dxa"/>
              <w:bottom w:w="72" w:type="dxa"/>
              <w:right w:w="144" w:type="dxa"/>
            </w:tcMar>
          </w:tcPr>
          <w:p w14:paraId="72D3AB0D" w14:textId="4EB1DDF3" w:rsidR="00C40F37" w:rsidRPr="00661736" w:rsidRDefault="00C40F37" w:rsidP="000A0652">
            <w:pPr>
              <w:rPr>
                <w:sz w:val="16"/>
                <w:szCs w:val="16"/>
              </w:rPr>
            </w:pPr>
          </w:p>
        </w:tc>
        <w:tc>
          <w:tcPr>
            <w:tcW w:w="1191" w:type="pct"/>
            <w:vMerge w:val="restart"/>
          </w:tcPr>
          <w:p w14:paraId="3D56117A" w14:textId="77777777" w:rsidR="00C40F37" w:rsidRPr="00661736" w:rsidRDefault="00C40F37" w:rsidP="00655D0C">
            <w:pPr>
              <w:pStyle w:val="ListParagraph"/>
              <w:ind w:left="360"/>
              <w:rPr>
                <w:sz w:val="16"/>
                <w:szCs w:val="16"/>
                <w:lang w:val="en-GB"/>
              </w:rPr>
            </w:pPr>
          </w:p>
        </w:tc>
        <w:tc>
          <w:tcPr>
            <w:tcW w:w="1071" w:type="pct"/>
            <w:vMerge w:val="restart"/>
            <w:tcMar>
              <w:top w:w="72" w:type="dxa"/>
              <w:left w:w="144" w:type="dxa"/>
              <w:bottom w:w="72" w:type="dxa"/>
              <w:right w:w="144" w:type="dxa"/>
            </w:tcMar>
          </w:tcPr>
          <w:p w14:paraId="29E95142" w14:textId="015CCDAC" w:rsidR="00C40F37" w:rsidRPr="00661736" w:rsidRDefault="00C40F37" w:rsidP="000A0652">
            <w:pPr>
              <w:rPr>
                <w:sz w:val="16"/>
                <w:szCs w:val="16"/>
              </w:rPr>
            </w:pPr>
            <w:r w:rsidRPr="00661736">
              <w:rPr>
                <w:sz w:val="16"/>
                <w:szCs w:val="16"/>
                <w:lang w:val="en-GB"/>
              </w:rPr>
              <w:t>Output 2.2.</w:t>
            </w:r>
            <w:r w:rsidR="00916606">
              <w:rPr>
                <w:sz w:val="16"/>
                <w:szCs w:val="16"/>
                <w:lang w:val="en-GB"/>
              </w:rPr>
              <w:t>:</w:t>
            </w:r>
            <w:r w:rsidRPr="00661736">
              <w:rPr>
                <w:sz w:val="16"/>
                <w:szCs w:val="16"/>
                <w:lang w:val="en-GB"/>
              </w:rPr>
              <w:t xml:space="preserve"> The adoption and dissemination of d</w:t>
            </w:r>
            <w:r w:rsidRPr="00661736">
              <w:rPr>
                <w:sz w:val="16"/>
                <w:szCs w:val="16"/>
              </w:rPr>
              <w:t xml:space="preserve">igital and green technologies are supported to create decent jobs and build skills. </w:t>
            </w:r>
          </w:p>
          <w:p w14:paraId="76DF25F1" w14:textId="77777777" w:rsidR="00C40F37" w:rsidRPr="00661736" w:rsidRDefault="00C40F37" w:rsidP="000A0652">
            <w:pPr>
              <w:rPr>
                <w:sz w:val="16"/>
                <w:szCs w:val="16"/>
              </w:rPr>
            </w:pPr>
          </w:p>
          <w:p w14:paraId="69BF8E00" w14:textId="008B767D" w:rsidR="00C40F37" w:rsidRPr="00661736" w:rsidRDefault="00C40F37" w:rsidP="000A0652">
            <w:pPr>
              <w:pStyle w:val="ListParagraph"/>
              <w:numPr>
                <w:ilvl w:val="0"/>
                <w:numId w:val="30"/>
              </w:numPr>
              <w:ind w:left="360"/>
              <w:rPr>
                <w:sz w:val="16"/>
                <w:szCs w:val="16"/>
                <w:lang w:val="en-GB"/>
              </w:rPr>
            </w:pPr>
            <w:r w:rsidRPr="00661736">
              <w:rPr>
                <w:sz w:val="16"/>
                <w:szCs w:val="16"/>
                <w:lang w:val="en-GB"/>
              </w:rPr>
              <w:t>Indicator 2.2.1</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shd w:val="clear" w:color="auto" w:fill="FFFFFF"/>
              </w:rPr>
              <w:t>Number of jobs created through green technologies</w:t>
            </w:r>
          </w:p>
          <w:p w14:paraId="74B79527" w14:textId="77777777" w:rsidR="00C40F37" w:rsidRPr="00661736" w:rsidRDefault="00C40F37" w:rsidP="000A0652">
            <w:pPr>
              <w:pStyle w:val="ListParagraph"/>
              <w:ind w:left="360"/>
              <w:rPr>
                <w:sz w:val="16"/>
                <w:szCs w:val="16"/>
                <w:lang w:val="en-GB"/>
              </w:rPr>
            </w:pPr>
            <w:r w:rsidRPr="00661736">
              <w:rPr>
                <w:sz w:val="16"/>
                <w:szCs w:val="16"/>
                <w:lang w:val="en-GB"/>
              </w:rPr>
              <w:t>Baseline, 2020: 0</w:t>
            </w:r>
          </w:p>
          <w:p w14:paraId="41E1DC60" w14:textId="02EE98F0" w:rsidR="00C40F37" w:rsidRPr="00661736" w:rsidRDefault="00C40F37" w:rsidP="000A0652">
            <w:pPr>
              <w:pStyle w:val="ListParagraph"/>
              <w:ind w:left="360"/>
              <w:rPr>
                <w:sz w:val="16"/>
                <w:szCs w:val="16"/>
                <w:lang w:val="en-GB"/>
              </w:rPr>
            </w:pPr>
            <w:r w:rsidRPr="00661736">
              <w:rPr>
                <w:sz w:val="16"/>
                <w:szCs w:val="16"/>
                <w:lang w:val="en-GB"/>
              </w:rPr>
              <w:t>Target 2027: 1,250</w:t>
            </w:r>
          </w:p>
          <w:p w14:paraId="166DDD45" w14:textId="619C739B" w:rsidR="00C40F37" w:rsidRPr="00661736" w:rsidRDefault="00C40F37" w:rsidP="000A0652">
            <w:pPr>
              <w:pStyle w:val="ListParagraph"/>
              <w:ind w:left="360"/>
              <w:rPr>
                <w:sz w:val="16"/>
                <w:szCs w:val="16"/>
                <w:lang w:val="en-GB"/>
              </w:rPr>
            </w:pPr>
            <w:r w:rsidRPr="00661736">
              <w:rPr>
                <w:sz w:val="16"/>
                <w:szCs w:val="16"/>
                <w:lang w:val="en-GB"/>
              </w:rPr>
              <w:t xml:space="preserve">Data source: NSC, </w:t>
            </w:r>
            <w:r w:rsidR="00253FAE">
              <w:rPr>
                <w:sz w:val="16"/>
                <w:szCs w:val="16"/>
                <w:lang w:val="en-GB"/>
              </w:rPr>
              <w:t>G</w:t>
            </w:r>
            <w:r w:rsidRPr="00661736">
              <w:rPr>
                <w:sz w:val="16"/>
                <w:szCs w:val="16"/>
                <w:lang w:val="en-GB"/>
              </w:rPr>
              <w:t>overnment</w:t>
            </w:r>
          </w:p>
          <w:p w14:paraId="26E02C76" w14:textId="77777777" w:rsidR="00C40F37" w:rsidRPr="00661736" w:rsidRDefault="00C40F37" w:rsidP="000A0652">
            <w:pPr>
              <w:pStyle w:val="ListParagraph"/>
              <w:ind w:left="360"/>
              <w:rPr>
                <w:sz w:val="16"/>
                <w:szCs w:val="16"/>
                <w:lang w:val="en-GB"/>
              </w:rPr>
            </w:pPr>
          </w:p>
          <w:p w14:paraId="19CB67C8" w14:textId="672D373E" w:rsidR="00C40F37" w:rsidRPr="00661736" w:rsidRDefault="00C40F37" w:rsidP="000A0652">
            <w:pPr>
              <w:pStyle w:val="ListParagraph"/>
              <w:numPr>
                <w:ilvl w:val="0"/>
                <w:numId w:val="30"/>
              </w:numPr>
              <w:ind w:left="366"/>
              <w:rPr>
                <w:sz w:val="16"/>
                <w:szCs w:val="16"/>
              </w:rPr>
            </w:pPr>
            <w:r w:rsidRPr="00661736">
              <w:rPr>
                <w:sz w:val="16"/>
                <w:szCs w:val="16"/>
                <w:lang w:val="en-GB"/>
              </w:rPr>
              <w:lastRenderedPageBreak/>
              <w:t>Indicator 2.2.2</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shd w:val="clear" w:color="auto" w:fill="FFFFFF"/>
              </w:rPr>
              <w:t>Proportion of women and youth with information and communications technology skills, by type of skills</w:t>
            </w:r>
            <w:r w:rsidRPr="00661736">
              <w:rPr>
                <w:sz w:val="16"/>
                <w:szCs w:val="16"/>
              </w:rPr>
              <w:t xml:space="preserve">. </w:t>
            </w:r>
          </w:p>
          <w:p w14:paraId="2B5913FD" w14:textId="1C282555" w:rsidR="00C40F37" w:rsidRPr="00661736" w:rsidRDefault="00C40F37" w:rsidP="000A0652">
            <w:pPr>
              <w:pStyle w:val="ListParagraph"/>
              <w:ind w:left="360"/>
              <w:rPr>
                <w:sz w:val="16"/>
                <w:szCs w:val="16"/>
                <w:lang w:val="en-GB"/>
              </w:rPr>
            </w:pPr>
            <w:r w:rsidRPr="00661736">
              <w:rPr>
                <w:sz w:val="16"/>
                <w:szCs w:val="16"/>
                <w:lang w:val="en-GB"/>
              </w:rPr>
              <w:t xml:space="preserve">Baseline, 2020: </w:t>
            </w:r>
            <w:r w:rsidR="004E4851">
              <w:rPr>
                <w:sz w:val="16"/>
                <w:szCs w:val="16"/>
                <w:lang w:val="en-GB"/>
              </w:rPr>
              <w:t>to be determined (</w:t>
            </w:r>
            <w:r w:rsidRPr="00661736">
              <w:rPr>
                <w:sz w:val="16"/>
                <w:szCs w:val="16"/>
                <w:lang w:val="en-GB"/>
              </w:rPr>
              <w:t>TBD</w:t>
            </w:r>
            <w:r w:rsidR="004E4851">
              <w:rPr>
                <w:sz w:val="16"/>
                <w:szCs w:val="16"/>
                <w:lang w:val="en-GB"/>
              </w:rPr>
              <w:t>)</w:t>
            </w:r>
            <w:r w:rsidRPr="00661736">
              <w:rPr>
                <w:sz w:val="16"/>
                <w:szCs w:val="16"/>
                <w:lang w:val="en-GB"/>
              </w:rPr>
              <w:t xml:space="preserve"> </w:t>
            </w:r>
          </w:p>
          <w:p w14:paraId="79AC7128" w14:textId="025F9452" w:rsidR="00C40F37" w:rsidRPr="00661736" w:rsidRDefault="00C40F37" w:rsidP="000A0652">
            <w:pPr>
              <w:pStyle w:val="ListParagraph"/>
              <w:ind w:left="360"/>
              <w:rPr>
                <w:sz w:val="16"/>
                <w:szCs w:val="16"/>
                <w:lang w:val="en-GB"/>
              </w:rPr>
            </w:pPr>
            <w:r w:rsidRPr="00661736">
              <w:rPr>
                <w:sz w:val="16"/>
                <w:szCs w:val="16"/>
                <w:lang w:val="en-GB"/>
              </w:rPr>
              <w:t>Target 2027: 23</w:t>
            </w:r>
          </w:p>
          <w:p w14:paraId="677E16BF" w14:textId="0CD95ED3" w:rsidR="00C40F37" w:rsidRPr="00661736" w:rsidRDefault="00C40F37" w:rsidP="00661736">
            <w:pPr>
              <w:pStyle w:val="ListParagraph"/>
              <w:ind w:left="360"/>
              <w:rPr>
                <w:sz w:val="16"/>
                <w:szCs w:val="16"/>
                <w:lang w:val="en-GB"/>
              </w:rPr>
            </w:pPr>
            <w:r w:rsidRPr="00661736">
              <w:rPr>
                <w:sz w:val="16"/>
                <w:szCs w:val="16"/>
                <w:lang w:val="en-GB"/>
              </w:rPr>
              <w:t>Data source: Government</w:t>
            </w:r>
          </w:p>
        </w:tc>
        <w:tc>
          <w:tcPr>
            <w:tcW w:w="1027" w:type="pct"/>
            <w:vMerge/>
          </w:tcPr>
          <w:p w14:paraId="6B3B8A1B" w14:textId="77777777" w:rsidR="00C40F37" w:rsidRPr="00661736" w:rsidRDefault="00C40F37" w:rsidP="000A0652">
            <w:pPr>
              <w:rPr>
                <w:sz w:val="16"/>
                <w:szCs w:val="16"/>
                <w:lang w:val="en-GB"/>
              </w:rPr>
            </w:pPr>
          </w:p>
        </w:tc>
        <w:tc>
          <w:tcPr>
            <w:tcW w:w="634" w:type="pct"/>
            <w:tcMar>
              <w:top w:w="15" w:type="dxa"/>
              <w:left w:w="108" w:type="dxa"/>
              <w:bottom w:w="0" w:type="dxa"/>
              <w:right w:w="108" w:type="dxa"/>
            </w:tcMar>
          </w:tcPr>
          <w:p w14:paraId="662E1D26" w14:textId="77777777" w:rsidR="00C40F37" w:rsidRPr="00661736" w:rsidRDefault="00C40F37" w:rsidP="000A0652">
            <w:pPr>
              <w:rPr>
                <w:b/>
                <w:bCs/>
                <w:sz w:val="16"/>
                <w:szCs w:val="16"/>
              </w:rPr>
            </w:pPr>
            <w:r w:rsidRPr="00661736">
              <w:rPr>
                <w:b/>
                <w:bCs/>
                <w:sz w:val="16"/>
                <w:szCs w:val="16"/>
              </w:rPr>
              <w:t>Regular: $ 1,200,000</w:t>
            </w:r>
          </w:p>
        </w:tc>
      </w:tr>
      <w:tr w:rsidR="00661736" w:rsidRPr="00661736" w14:paraId="75CF6542" w14:textId="77777777" w:rsidTr="009E5D20">
        <w:tc>
          <w:tcPr>
            <w:tcW w:w="1077" w:type="pct"/>
            <w:vMerge/>
            <w:tcMar>
              <w:top w:w="72" w:type="dxa"/>
              <w:left w:w="144" w:type="dxa"/>
              <w:bottom w:w="72" w:type="dxa"/>
              <w:right w:w="144" w:type="dxa"/>
            </w:tcMar>
          </w:tcPr>
          <w:p w14:paraId="1F6E9293" w14:textId="77777777" w:rsidR="00C40F37" w:rsidRPr="00661736" w:rsidRDefault="00C40F37" w:rsidP="000A0652">
            <w:pPr>
              <w:rPr>
                <w:sz w:val="16"/>
                <w:szCs w:val="16"/>
                <w:lang w:val="en-GB"/>
              </w:rPr>
            </w:pPr>
          </w:p>
        </w:tc>
        <w:tc>
          <w:tcPr>
            <w:tcW w:w="1191" w:type="pct"/>
            <w:vMerge/>
          </w:tcPr>
          <w:p w14:paraId="6FF9CFD1" w14:textId="77777777" w:rsidR="00C40F37" w:rsidRPr="00661736" w:rsidRDefault="00C40F37" w:rsidP="000A0652">
            <w:pPr>
              <w:rPr>
                <w:sz w:val="16"/>
                <w:szCs w:val="16"/>
                <w:lang w:val="en-GB"/>
              </w:rPr>
            </w:pPr>
          </w:p>
        </w:tc>
        <w:tc>
          <w:tcPr>
            <w:tcW w:w="1071" w:type="pct"/>
            <w:vMerge/>
            <w:tcMar>
              <w:top w:w="72" w:type="dxa"/>
              <w:left w:w="144" w:type="dxa"/>
              <w:bottom w:w="72" w:type="dxa"/>
              <w:right w:w="144" w:type="dxa"/>
            </w:tcMar>
          </w:tcPr>
          <w:p w14:paraId="5DA66A87" w14:textId="77777777" w:rsidR="00C40F37" w:rsidRPr="00661736" w:rsidRDefault="00C40F37" w:rsidP="000A0652">
            <w:pPr>
              <w:rPr>
                <w:sz w:val="16"/>
                <w:szCs w:val="16"/>
                <w:lang w:val="en-GB"/>
              </w:rPr>
            </w:pPr>
          </w:p>
        </w:tc>
        <w:tc>
          <w:tcPr>
            <w:tcW w:w="1027" w:type="pct"/>
            <w:vMerge/>
          </w:tcPr>
          <w:p w14:paraId="5451A292" w14:textId="77777777" w:rsidR="00C40F37" w:rsidRPr="00661736" w:rsidRDefault="00C40F37" w:rsidP="000A0652">
            <w:pPr>
              <w:rPr>
                <w:sz w:val="16"/>
                <w:szCs w:val="16"/>
                <w:lang w:val="en-GB"/>
              </w:rPr>
            </w:pPr>
          </w:p>
        </w:tc>
        <w:tc>
          <w:tcPr>
            <w:tcW w:w="634" w:type="pct"/>
            <w:tcMar>
              <w:top w:w="15" w:type="dxa"/>
              <w:left w:w="108" w:type="dxa"/>
              <w:bottom w:w="0" w:type="dxa"/>
              <w:right w:w="108" w:type="dxa"/>
            </w:tcMar>
          </w:tcPr>
          <w:p w14:paraId="5AD69999" w14:textId="77777777" w:rsidR="00C40F37" w:rsidRPr="00661736" w:rsidRDefault="00C40F37" w:rsidP="000A0652">
            <w:pPr>
              <w:rPr>
                <w:b/>
                <w:bCs/>
                <w:sz w:val="16"/>
                <w:szCs w:val="16"/>
              </w:rPr>
            </w:pPr>
            <w:r w:rsidRPr="00661736">
              <w:rPr>
                <w:b/>
                <w:bCs/>
                <w:sz w:val="16"/>
                <w:szCs w:val="16"/>
              </w:rPr>
              <w:t>Other: $ 8,100,000</w:t>
            </w:r>
          </w:p>
        </w:tc>
      </w:tr>
      <w:tr w:rsidR="00661736" w:rsidRPr="00661736" w14:paraId="6AF53F53" w14:textId="77777777" w:rsidTr="009E5D20">
        <w:tc>
          <w:tcPr>
            <w:tcW w:w="1077" w:type="pct"/>
            <w:vMerge/>
            <w:shd w:val="clear" w:color="auto" w:fill="auto"/>
            <w:tcMar>
              <w:top w:w="72" w:type="dxa"/>
              <w:left w:w="144" w:type="dxa"/>
              <w:bottom w:w="72" w:type="dxa"/>
              <w:right w:w="144" w:type="dxa"/>
            </w:tcMar>
          </w:tcPr>
          <w:p w14:paraId="52BEABF3" w14:textId="77777777" w:rsidR="00C40F37" w:rsidRPr="00661736" w:rsidRDefault="00C40F37">
            <w:pPr>
              <w:rPr>
                <w:b/>
                <w:bCs/>
                <w:sz w:val="16"/>
                <w:szCs w:val="16"/>
                <w:lang w:val="en-GB"/>
              </w:rPr>
            </w:pPr>
          </w:p>
        </w:tc>
        <w:tc>
          <w:tcPr>
            <w:tcW w:w="1191" w:type="pct"/>
            <w:vMerge w:val="restart"/>
            <w:shd w:val="clear" w:color="auto" w:fill="auto"/>
          </w:tcPr>
          <w:p w14:paraId="145FCE8C" w14:textId="77777777" w:rsidR="00C40F37" w:rsidRPr="00661736" w:rsidRDefault="00C40F37" w:rsidP="008D7980">
            <w:pPr>
              <w:rPr>
                <w:b/>
              </w:rPr>
            </w:pPr>
          </w:p>
        </w:tc>
        <w:tc>
          <w:tcPr>
            <w:tcW w:w="1071" w:type="pct"/>
            <w:vMerge w:val="restart"/>
            <w:shd w:val="clear" w:color="auto" w:fill="auto"/>
          </w:tcPr>
          <w:p w14:paraId="3A83945F" w14:textId="7BC12DAA" w:rsidR="00C40F37" w:rsidRPr="00661736" w:rsidRDefault="00C40F37" w:rsidP="000A0652">
            <w:pPr>
              <w:jc w:val="both"/>
              <w:rPr>
                <w:sz w:val="16"/>
                <w:szCs w:val="16"/>
              </w:rPr>
            </w:pPr>
            <w:r w:rsidRPr="00661736">
              <w:rPr>
                <w:sz w:val="16"/>
                <w:szCs w:val="16"/>
                <w:lang w:val="en-GB"/>
              </w:rPr>
              <w:t>Output 2.3.</w:t>
            </w:r>
            <w:r w:rsidR="00916606">
              <w:rPr>
                <w:sz w:val="16"/>
                <w:szCs w:val="16"/>
                <w:lang w:val="en-GB"/>
              </w:rPr>
              <w:t>:</w:t>
            </w:r>
            <w:r w:rsidRPr="00661736">
              <w:rPr>
                <w:sz w:val="16"/>
                <w:szCs w:val="16"/>
                <w:lang w:val="en-GB"/>
              </w:rPr>
              <w:t xml:space="preserve"> </w:t>
            </w:r>
            <w:r w:rsidRPr="00661736">
              <w:rPr>
                <w:sz w:val="16"/>
                <w:szCs w:val="16"/>
              </w:rPr>
              <w:t>Local and regional authorities and stakeholders empowered to lead local sustainable development and to build more resilient, economically sustainable communities.</w:t>
            </w:r>
          </w:p>
          <w:p w14:paraId="64DFCD3D" w14:textId="77777777" w:rsidR="00C40F37" w:rsidRPr="00661736" w:rsidRDefault="00C40F37" w:rsidP="000A0652">
            <w:pPr>
              <w:pStyle w:val="ListParagraph"/>
              <w:ind w:left="360"/>
              <w:rPr>
                <w:sz w:val="16"/>
                <w:szCs w:val="16"/>
                <w:highlight w:val="yellow"/>
              </w:rPr>
            </w:pPr>
          </w:p>
          <w:p w14:paraId="78D176FF" w14:textId="3040EFF0" w:rsidR="00C40F37" w:rsidRPr="00661736" w:rsidRDefault="00C40F37" w:rsidP="000A0652">
            <w:pPr>
              <w:pStyle w:val="ListParagraph"/>
              <w:numPr>
                <w:ilvl w:val="0"/>
                <w:numId w:val="30"/>
              </w:numPr>
              <w:ind w:left="360"/>
              <w:rPr>
                <w:sz w:val="16"/>
                <w:szCs w:val="16"/>
                <w:lang w:val="en-GB"/>
              </w:rPr>
            </w:pPr>
            <w:r w:rsidRPr="00661736">
              <w:rPr>
                <w:sz w:val="16"/>
                <w:szCs w:val="16"/>
                <w:lang w:val="en-GB"/>
              </w:rPr>
              <w:t>Indicator 2.3.1</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shd w:val="clear" w:color="auto" w:fill="FFFFFF"/>
              </w:rPr>
              <w:t xml:space="preserve">Number of local authorities capacitated to support migrant investments. </w:t>
            </w:r>
          </w:p>
          <w:p w14:paraId="16CF0CAD" w14:textId="43C0BEA7" w:rsidR="00C40F37" w:rsidRPr="00661736" w:rsidRDefault="00C40F37" w:rsidP="000A0652">
            <w:pPr>
              <w:pStyle w:val="ListParagraph"/>
              <w:ind w:left="360"/>
              <w:rPr>
                <w:sz w:val="16"/>
                <w:szCs w:val="16"/>
                <w:lang w:val="en-GB"/>
              </w:rPr>
            </w:pPr>
            <w:r w:rsidRPr="00661736">
              <w:rPr>
                <w:sz w:val="16"/>
                <w:szCs w:val="16"/>
                <w:lang w:val="en-GB"/>
              </w:rPr>
              <w:t xml:space="preserve">Baseline, 2020: 0 </w:t>
            </w:r>
          </w:p>
          <w:p w14:paraId="2025FC07" w14:textId="32FEBCD7" w:rsidR="00C40F37" w:rsidRPr="00661736" w:rsidRDefault="00C40F37" w:rsidP="000A0652">
            <w:pPr>
              <w:pStyle w:val="ListParagraph"/>
              <w:ind w:left="360"/>
              <w:rPr>
                <w:sz w:val="16"/>
                <w:szCs w:val="16"/>
                <w:lang w:val="en-GB"/>
              </w:rPr>
            </w:pPr>
            <w:r w:rsidRPr="00661736">
              <w:rPr>
                <w:sz w:val="16"/>
                <w:szCs w:val="16"/>
                <w:lang w:val="en-GB"/>
              </w:rPr>
              <w:t xml:space="preserve">Target 2027: to be agreed with the Government  </w:t>
            </w:r>
          </w:p>
          <w:p w14:paraId="46C4497B" w14:textId="45407E88" w:rsidR="00C40F37" w:rsidRPr="00661736" w:rsidRDefault="00C40F37" w:rsidP="000A0652">
            <w:pPr>
              <w:pStyle w:val="ListParagraph"/>
              <w:ind w:left="360"/>
              <w:rPr>
                <w:sz w:val="16"/>
                <w:szCs w:val="16"/>
                <w:lang w:val="en-GB"/>
              </w:rPr>
            </w:pPr>
            <w:r w:rsidRPr="00661736">
              <w:rPr>
                <w:sz w:val="16"/>
                <w:szCs w:val="16"/>
                <w:lang w:val="en-GB"/>
              </w:rPr>
              <w:t>Data source: Government</w:t>
            </w:r>
          </w:p>
          <w:p w14:paraId="0D375365" w14:textId="77777777" w:rsidR="00C40F37" w:rsidRPr="00661736" w:rsidRDefault="00C40F37" w:rsidP="000A0652">
            <w:pPr>
              <w:pStyle w:val="ListParagraph"/>
              <w:ind w:left="360"/>
              <w:rPr>
                <w:sz w:val="16"/>
                <w:szCs w:val="16"/>
                <w:lang w:val="en-GB"/>
              </w:rPr>
            </w:pPr>
          </w:p>
          <w:p w14:paraId="7343C07B" w14:textId="22B844DD" w:rsidR="00C40F37" w:rsidRPr="00661736" w:rsidRDefault="00C40F37" w:rsidP="000A0652">
            <w:pPr>
              <w:pStyle w:val="ListParagraph"/>
              <w:numPr>
                <w:ilvl w:val="0"/>
                <w:numId w:val="30"/>
              </w:numPr>
              <w:ind w:left="360"/>
              <w:rPr>
                <w:sz w:val="16"/>
                <w:szCs w:val="16"/>
                <w:lang w:val="en-GB"/>
              </w:rPr>
            </w:pPr>
            <w:r w:rsidRPr="00661736">
              <w:rPr>
                <w:sz w:val="16"/>
                <w:szCs w:val="16"/>
                <w:lang w:val="en-GB"/>
              </w:rPr>
              <w:t>Indicator 2.3.2</w:t>
            </w:r>
            <w:r w:rsidR="00916606">
              <w:rPr>
                <w:sz w:val="16"/>
                <w:szCs w:val="16"/>
                <w:lang w:val="en-GB"/>
              </w:rPr>
              <w:t>.</w:t>
            </w:r>
            <w:r w:rsidRPr="00661736">
              <w:rPr>
                <w:sz w:val="16"/>
                <w:szCs w:val="16"/>
                <w:lang w:val="en-GB"/>
              </w:rPr>
              <w:t>: Regional Governance Index</w:t>
            </w:r>
            <w:r w:rsidRPr="00661736">
              <w:rPr>
                <w:sz w:val="16"/>
                <w:szCs w:val="16"/>
                <w:shd w:val="clear" w:color="auto" w:fill="FFFFFF"/>
              </w:rPr>
              <w:t xml:space="preserve"> </w:t>
            </w:r>
          </w:p>
          <w:p w14:paraId="093C35DC" w14:textId="3095D6E8" w:rsidR="00C40F37" w:rsidRPr="00661736" w:rsidRDefault="00C40F37" w:rsidP="000A0652">
            <w:pPr>
              <w:pStyle w:val="ListParagraph"/>
              <w:ind w:left="360"/>
              <w:rPr>
                <w:sz w:val="16"/>
                <w:szCs w:val="16"/>
                <w:lang w:val="en-GB"/>
              </w:rPr>
            </w:pPr>
            <w:r w:rsidRPr="00661736">
              <w:rPr>
                <w:sz w:val="16"/>
                <w:szCs w:val="16"/>
                <w:lang w:val="en-GB"/>
              </w:rPr>
              <w:t>Baseline, 2020: 0,54</w:t>
            </w:r>
          </w:p>
          <w:p w14:paraId="65EAE01B" w14:textId="4CB8FFED" w:rsidR="00C40F37" w:rsidRPr="00661736" w:rsidRDefault="00C40F37" w:rsidP="000A0652">
            <w:pPr>
              <w:pStyle w:val="ListParagraph"/>
              <w:ind w:left="360"/>
              <w:rPr>
                <w:sz w:val="16"/>
                <w:szCs w:val="16"/>
                <w:lang w:val="en-GB"/>
              </w:rPr>
            </w:pPr>
            <w:r w:rsidRPr="00661736">
              <w:rPr>
                <w:sz w:val="16"/>
                <w:szCs w:val="16"/>
                <w:lang w:val="en-GB"/>
              </w:rPr>
              <w:t xml:space="preserve">Target 2027: this is to be agreed with the Government  </w:t>
            </w:r>
          </w:p>
          <w:p w14:paraId="7EA46BEF" w14:textId="1B9BBA10" w:rsidR="00C40F37" w:rsidRPr="00661736" w:rsidRDefault="00C40F37" w:rsidP="00661736">
            <w:pPr>
              <w:pStyle w:val="ListParagraph"/>
              <w:ind w:left="360"/>
              <w:rPr>
                <w:sz w:val="16"/>
                <w:szCs w:val="16"/>
                <w:lang w:val="en-GB"/>
              </w:rPr>
            </w:pPr>
            <w:r w:rsidRPr="00661736">
              <w:rPr>
                <w:sz w:val="16"/>
                <w:szCs w:val="16"/>
                <w:lang w:val="en-GB"/>
              </w:rPr>
              <w:t xml:space="preserve">Data source: </w:t>
            </w:r>
            <w:hyperlink r:id="rId22" w:anchor=":~:text=Kyrgyzstan%3A%20Government%20effectiveness%20index%20(%2D,of%20%2D0.1%20points%20in%201998." w:history="1">
              <w:r w:rsidRPr="00661736">
                <w:rPr>
                  <w:rStyle w:val="Hyperlink"/>
                  <w:color w:val="auto"/>
                  <w:sz w:val="16"/>
                  <w:szCs w:val="16"/>
                </w:rPr>
                <w:t>Kyrgyzstan Government Index</w:t>
              </w:r>
            </w:hyperlink>
          </w:p>
        </w:tc>
        <w:tc>
          <w:tcPr>
            <w:tcW w:w="1027" w:type="pct"/>
            <w:vMerge/>
          </w:tcPr>
          <w:p w14:paraId="04CDA0E5" w14:textId="77777777" w:rsidR="00C40F37" w:rsidRPr="00661736" w:rsidRDefault="00C40F37" w:rsidP="000A0652">
            <w:pPr>
              <w:rPr>
                <w:b/>
                <w:bCs/>
                <w:sz w:val="16"/>
                <w:szCs w:val="16"/>
                <w:lang w:val="en-GB"/>
              </w:rPr>
            </w:pPr>
          </w:p>
        </w:tc>
        <w:tc>
          <w:tcPr>
            <w:tcW w:w="634" w:type="pct"/>
            <w:shd w:val="clear" w:color="auto" w:fill="auto"/>
          </w:tcPr>
          <w:p w14:paraId="5FA22869" w14:textId="77777777" w:rsidR="00C40F37" w:rsidRPr="00661736" w:rsidRDefault="00C40F37" w:rsidP="000A0652">
            <w:pPr>
              <w:rPr>
                <w:b/>
                <w:bCs/>
                <w:sz w:val="16"/>
                <w:szCs w:val="16"/>
                <w:lang w:val="en-GB"/>
              </w:rPr>
            </w:pPr>
            <w:r w:rsidRPr="00661736">
              <w:rPr>
                <w:b/>
                <w:bCs/>
                <w:sz w:val="16"/>
                <w:szCs w:val="16"/>
              </w:rPr>
              <w:t>Regular: $ 1,500,000</w:t>
            </w:r>
          </w:p>
        </w:tc>
      </w:tr>
      <w:tr w:rsidR="00661736" w:rsidRPr="00661736" w14:paraId="23BE91F6" w14:textId="77777777" w:rsidTr="009E5D20">
        <w:tc>
          <w:tcPr>
            <w:tcW w:w="1077" w:type="pct"/>
            <w:vMerge/>
            <w:tcMar>
              <w:top w:w="72" w:type="dxa"/>
              <w:left w:w="144" w:type="dxa"/>
              <w:bottom w:w="72" w:type="dxa"/>
              <w:right w:w="144" w:type="dxa"/>
            </w:tcMar>
          </w:tcPr>
          <w:p w14:paraId="5D8B44AB" w14:textId="77777777" w:rsidR="00C40F37" w:rsidRPr="00661736" w:rsidRDefault="00C40F37" w:rsidP="000A0652">
            <w:pPr>
              <w:rPr>
                <w:b/>
                <w:bCs/>
                <w:sz w:val="16"/>
                <w:szCs w:val="16"/>
                <w:lang w:val="en-GB"/>
              </w:rPr>
            </w:pPr>
          </w:p>
        </w:tc>
        <w:tc>
          <w:tcPr>
            <w:tcW w:w="1191" w:type="pct"/>
            <w:vMerge/>
          </w:tcPr>
          <w:p w14:paraId="42D63527" w14:textId="77777777" w:rsidR="00C40F37" w:rsidRPr="00661736" w:rsidRDefault="00C40F37" w:rsidP="000A0652">
            <w:pPr>
              <w:rPr>
                <w:b/>
                <w:bCs/>
                <w:sz w:val="16"/>
                <w:szCs w:val="16"/>
                <w:lang w:val="en-GB"/>
              </w:rPr>
            </w:pPr>
          </w:p>
        </w:tc>
        <w:tc>
          <w:tcPr>
            <w:tcW w:w="1071" w:type="pct"/>
            <w:vMerge/>
          </w:tcPr>
          <w:p w14:paraId="2EC1FBA0" w14:textId="77777777" w:rsidR="00C40F37" w:rsidRPr="00661736" w:rsidRDefault="00C40F37" w:rsidP="000A0652">
            <w:pPr>
              <w:rPr>
                <w:b/>
                <w:bCs/>
                <w:sz w:val="16"/>
                <w:szCs w:val="16"/>
                <w:lang w:val="en-GB"/>
              </w:rPr>
            </w:pPr>
          </w:p>
        </w:tc>
        <w:tc>
          <w:tcPr>
            <w:tcW w:w="1027" w:type="pct"/>
            <w:vMerge/>
          </w:tcPr>
          <w:p w14:paraId="62DEF686" w14:textId="77777777" w:rsidR="00C40F37" w:rsidRPr="00661736" w:rsidRDefault="00C40F37" w:rsidP="000A0652">
            <w:pPr>
              <w:rPr>
                <w:b/>
                <w:bCs/>
                <w:sz w:val="16"/>
                <w:szCs w:val="16"/>
                <w:lang w:val="en-GB"/>
              </w:rPr>
            </w:pPr>
          </w:p>
        </w:tc>
        <w:tc>
          <w:tcPr>
            <w:tcW w:w="634" w:type="pct"/>
            <w:shd w:val="clear" w:color="auto" w:fill="auto"/>
          </w:tcPr>
          <w:p w14:paraId="1EA464DF" w14:textId="77777777" w:rsidR="00C40F37" w:rsidRPr="00661736" w:rsidRDefault="00C40F37" w:rsidP="000A0652">
            <w:pPr>
              <w:rPr>
                <w:b/>
                <w:bCs/>
                <w:sz w:val="16"/>
                <w:szCs w:val="16"/>
                <w:lang w:val="en-GB"/>
              </w:rPr>
            </w:pPr>
            <w:r w:rsidRPr="00661736">
              <w:rPr>
                <w:b/>
                <w:bCs/>
                <w:sz w:val="16"/>
                <w:szCs w:val="16"/>
              </w:rPr>
              <w:t>Other: $ 6,000,000</w:t>
            </w:r>
          </w:p>
        </w:tc>
      </w:tr>
      <w:tr w:rsidR="00661736" w:rsidRPr="00661736" w14:paraId="48AB7419" w14:textId="77777777" w:rsidTr="004761DE">
        <w:tc>
          <w:tcPr>
            <w:tcW w:w="5000" w:type="pct"/>
            <w:gridSpan w:val="5"/>
            <w:shd w:val="clear" w:color="auto" w:fill="DBE5F1" w:themeFill="accent1" w:themeFillTint="33"/>
            <w:tcMar>
              <w:top w:w="72" w:type="dxa"/>
              <w:left w:w="144" w:type="dxa"/>
              <w:bottom w:w="72" w:type="dxa"/>
              <w:right w:w="144" w:type="dxa"/>
            </w:tcMar>
          </w:tcPr>
          <w:p w14:paraId="60F240C3" w14:textId="4A88F665" w:rsidR="000A0652" w:rsidRPr="00661736" w:rsidRDefault="000A0652" w:rsidP="000A0652">
            <w:pPr>
              <w:rPr>
                <w:b/>
                <w:sz w:val="16"/>
                <w:szCs w:val="16"/>
              </w:rPr>
            </w:pPr>
            <w:r w:rsidRPr="00661736">
              <w:rPr>
                <w:b/>
                <w:bCs/>
                <w:sz w:val="16"/>
                <w:szCs w:val="16"/>
                <w:lang w:val="en-GB"/>
              </w:rPr>
              <w:t xml:space="preserve">NATIONAL PRIORITY OR GOAL: </w:t>
            </w:r>
            <w:r w:rsidR="009177BF" w:rsidRPr="00661736">
              <w:rPr>
                <w:bCs/>
                <w:sz w:val="16"/>
                <w:szCs w:val="16"/>
                <w:lang w:val="en-GB"/>
              </w:rPr>
              <w:t>P</w:t>
            </w:r>
            <w:r w:rsidR="00CB420C" w:rsidRPr="00661736">
              <w:rPr>
                <w:bCs/>
                <w:sz w:val="16"/>
                <w:szCs w:val="16"/>
                <w:lang w:val="en-GB"/>
              </w:rPr>
              <w:t>romot</w:t>
            </w:r>
            <w:r w:rsidR="009177BF" w:rsidRPr="00661736">
              <w:rPr>
                <w:bCs/>
                <w:sz w:val="16"/>
                <w:szCs w:val="16"/>
                <w:lang w:val="en-GB"/>
              </w:rPr>
              <w:t>ion of</w:t>
            </w:r>
            <w:r w:rsidR="00CB420C" w:rsidRPr="00661736">
              <w:rPr>
                <w:bCs/>
                <w:sz w:val="16"/>
                <w:szCs w:val="16"/>
                <w:lang w:val="en-GB"/>
              </w:rPr>
              <w:t xml:space="preserve"> inclusive approaches to climate action, disaster risk management and environmental protection to conserve natural resources and leverage ecosystem benefits for sustainable human development.</w:t>
            </w:r>
            <w:r w:rsidR="009177BF" w:rsidRPr="00661736">
              <w:rPr>
                <w:bCs/>
                <w:sz w:val="16"/>
                <w:szCs w:val="16"/>
                <w:lang w:val="en-GB"/>
              </w:rPr>
              <w:t xml:space="preserve"> S</w:t>
            </w:r>
            <w:r w:rsidR="00FA03F2" w:rsidRPr="00661736">
              <w:rPr>
                <w:bCs/>
                <w:sz w:val="16"/>
                <w:szCs w:val="16"/>
                <w:lang w:val="en-GB"/>
              </w:rPr>
              <w:t xml:space="preserve">ustainable </w:t>
            </w:r>
            <w:r w:rsidR="009177BF" w:rsidRPr="00661736">
              <w:rPr>
                <w:bCs/>
                <w:sz w:val="16"/>
                <w:szCs w:val="16"/>
                <w:lang w:val="en-GB"/>
              </w:rPr>
              <w:t>D</w:t>
            </w:r>
            <w:r w:rsidR="00FA03F2" w:rsidRPr="00661736">
              <w:rPr>
                <w:bCs/>
                <w:sz w:val="16"/>
                <w:szCs w:val="16"/>
                <w:lang w:val="en-GB"/>
              </w:rPr>
              <w:t xml:space="preserve">evelopment </w:t>
            </w:r>
            <w:r w:rsidR="009177BF" w:rsidRPr="00661736">
              <w:rPr>
                <w:bCs/>
                <w:sz w:val="16"/>
                <w:szCs w:val="16"/>
                <w:lang w:val="en-GB"/>
              </w:rPr>
              <w:t>G</w:t>
            </w:r>
            <w:r w:rsidR="00FA03F2" w:rsidRPr="00661736">
              <w:rPr>
                <w:bCs/>
                <w:sz w:val="16"/>
                <w:szCs w:val="16"/>
                <w:lang w:val="en-GB"/>
              </w:rPr>
              <w:t>oal</w:t>
            </w:r>
            <w:r w:rsidR="009177BF" w:rsidRPr="00661736">
              <w:rPr>
                <w:bCs/>
                <w:sz w:val="16"/>
                <w:szCs w:val="16"/>
                <w:lang w:val="en-GB"/>
              </w:rPr>
              <w:t xml:space="preserve">s </w:t>
            </w:r>
            <w:r w:rsidR="00C93B30" w:rsidRPr="00661736">
              <w:rPr>
                <w:bCs/>
                <w:sz w:val="16"/>
                <w:szCs w:val="16"/>
                <w:lang w:val="en-GB"/>
              </w:rPr>
              <w:t xml:space="preserve">1, 2, 3, </w:t>
            </w:r>
            <w:r w:rsidR="009177BF" w:rsidRPr="00661736">
              <w:rPr>
                <w:bCs/>
                <w:sz w:val="16"/>
                <w:szCs w:val="16"/>
                <w:lang w:val="en-GB"/>
              </w:rPr>
              <w:t xml:space="preserve">5, 7, </w:t>
            </w:r>
            <w:r w:rsidR="00C93B30" w:rsidRPr="00661736">
              <w:rPr>
                <w:bCs/>
                <w:sz w:val="16"/>
                <w:szCs w:val="16"/>
                <w:lang w:val="en-GB"/>
              </w:rPr>
              <w:t xml:space="preserve">8, 12, </w:t>
            </w:r>
            <w:r w:rsidR="009177BF" w:rsidRPr="00661736">
              <w:rPr>
                <w:bCs/>
                <w:sz w:val="16"/>
                <w:szCs w:val="16"/>
                <w:lang w:val="en-GB"/>
              </w:rPr>
              <w:t xml:space="preserve">13, </w:t>
            </w:r>
            <w:r w:rsidR="006D5A4C" w:rsidRPr="00661736">
              <w:rPr>
                <w:bCs/>
                <w:sz w:val="16"/>
                <w:szCs w:val="16"/>
                <w:lang w:val="en-GB"/>
              </w:rPr>
              <w:t xml:space="preserve">14, </w:t>
            </w:r>
            <w:r w:rsidR="009177BF" w:rsidRPr="00661736">
              <w:rPr>
                <w:bCs/>
                <w:sz w:val="16"/>
                <w:szCs w:val="16"/>
                <w:lang w:val="en-GB"/>
              </w:rPr>
              <w:t>15</w:t>
            </w:r>
            <w:r w:rsidR="00236E26">
              <w:rPr>
                <w:bCs/>
                <w:sz w:val="16"/>
                <w:szCs w:val="16"/>
                <w:lang w:val="en-GB"/>
              </w:rPr>
              <w:t>.</w:t>
            </w:r>
            <w:r w:rsidR="009177BF" w:rsidRPr="00661736">
              <w:rPr>
                <w:bCs/>
                <w:sz w:val="16"/>
                <w:szCs w:val="16"/>
                <w:lang w:val="en-GB"/>
              </w:rPr>
              <w:t xml:space="preserve"> </w:t>
            </w:r>
          </w:p>
        </w:tc>
      </w:tr>
      <w:tr w:rsidR="00661736" w:rsidRPr="00661736" w14:paraId="14E168BB" w14:textId="77777777" w:rsidTr="004761DE">
        <w:tc>
          <w:tcPr>
            <w:tcW w:w="5000" w:type="pct"/>
            <w:gridSpan w:val="5"/>
            <w:shd w:val="clear" w:color="auto" w:fill="DBE5F1" w:themeFill="accent1" w:themeFillTint="33"/>
            <w:tcMar>
              <w:top w:w="72" w:type="dxa"/>
              <w:left w:w="144" w:type="dxa"/>
              <w:bottom w:w="72" w:type="dxa"/>
              <w:right w:w="144" w:type="dxa"/>
            </w:tcMar>
          </w:tcPr>
          <w:p w14:paraId="7491B533" w14:textId="3C11C0C2" w:rsidR="000A0652" w:rsidRPr="00661736" w:rsidRDefault="000A0652" w:rsidP="000A0652">
            <w:pPr>
              <w:rPr>
                <w:b/>
                <w:bCs/>
                <w:sz w:val="16"/>
                <w:szCs w:val="16"/>
              </w:rPr>
            </w:pPr>
            <w:r w:rsidRPr="00661736">
              <w:rPr>
                <w:b/>
                <w:bCs/>
                <w:sz w:val="16"/>
                <w:szCs w:val="16"/>
                <w:lang w:val="en-GB"/>
              </w:rPr>
              <w:t>COOPERATION FRAMEWORK (OR EQUIVALENT) OUTCOME INVOLVING UNDP 3:</w:t>
            </w:r>
            <w:r w:rsidRPr="00661736">
              <w:rPr>
                <w:sz w:val="16"/>
                <w:szCs w:val="16"/>
                <w:lang w:val="en-GB"/>
              </w:rPr>
              <w:t xml:space="preserve"> </w:t>
            </w:r>
            <w:r w:rsidRPr="00661736">
              <w:rPr>
                <w:b/>
                <w:bCs/>
                <w:sz w:val="16"/>
                <w:szCs w:val="16"/>
              </w:rPr>
              <w:t xml:space="preserve"> </w:t>
            </w:r>
            <w:bookmarkStart w:id="5" w:name="_Hlk103361313"/>
            <w:r w:rsidR="00EA4D19" w:rsidRPr="00661736">
              <w:rPr>
                <w:b/>
                <w:bCs/>
                <w:sz w:val="16"/>
                <w:szCs w:val="16"/>
              </w:rPr>
              <w:t>By 2027, the Kyrgyz Republic started the transition to low-carbon development and risk-informed climate resilience, contributing to people’s fair and equitable access to ecosystem benefits and to empowerment of vulnerable communities in the governance of natural resources and disaster prevention</w:t>
            </w:r>
            <w:bookmarkEnd w:id="5"/>
            <w:r w:rsidR="00236E26">
              <w:rPr>
                <w:b/>
                <w:bCs/>
                <w:sz w:val="16"/>
                <w:szCs w:val="16"/>
              </w:rPr>
              <w:t>.</w:t>
            </w:r>
          </w:p>
        </w:tc>
      </w:tr>
      <w:tr w:rsidR="00661736" w:rsidRPr="00661736" w14:paraId="6B70E731" w14:textId="77777777" w:rsidTr="004761DE">
        <w:tc>
          <w:tcPr>
            <w:tcW w:w="5000" w:type="pct"/>
            <w:gridSpan w:val="5"/>
            <w:shd w:val="clear" w:color="auto" w:fill="DBE5F1" w:themeFill="accent1" w:themeFillTint="33"/>
            <w:tcMar>
              <w:top w:w="72" w:type="dxa"/>
              <w:left w:w="144" w:type="dxa"/>
              <w:bottom w:w="72" w:type="dxa"/>
              <w:right w:w="144" w:type="dxa"/>
            </w:tcMar>
          </w:tcPr>
          <w:p w14:paraId="267B8382" w14:textId="1FA5B4AA" w:rsidR="000A0652" w:rsidRPr="00661736" w:rsidRDefault="000A0652" w:rsidP="000A0652">
            <w:pPr>
              <w:rPr>
                <w:b/>
                <w:sz w:val="16"/>
                <w:szCs w:val="16"/>
              </w:rPr>
            </w:pPr>
            <w:r w:rsidRPr="00661736">
              <w:rPr>
                <w:b/>
                <w:bCs/>
                <w:sz w:val="16"/>
                <w:szCs w:val="16"/>
                <w:lang w:val="en-GB"/>
              </w:rPr>
              <w:t>RELATED STRATEGIC PLAN OUTCOME:</w:t>
            </w:r>
            <w:r w:rsidRPr="00661736">
              <w:rPr>
                <w:sz w:val="16"/>
                <w:szCs w:val="16"/>
              </w:rPr>
              <w:t xml:space="preserve"> 3) </w:t>
            </w:r>
            <w:r w:rsidR="00805998" w:rsidRPr="00661736">
              <w:rPr>
                <w:sz w:val="16"/>
                <w:szCs w:val="16"/>
              </w:rPr>
              <w:t xml:space="preserve">Building </w:t>
            </w:r>
            <w:r w:rsidRPr="00661736">
              <w:rPr>
                <w:sz w:val="16"/>
                <w:szCs w:val="16"/>
              </w:rPr>
              <w:t>resilience to respond to systemic uncertainty and risk.</w:t>
            </w:r>
          </w:p>
        </w:tc>
      </w:tr>
      <w:tr w:rsidR="00661736" w:rsidRPr="00661736" w14:paraId="40F7B463" w14:textId="77777777" w:rsidTr="009E5D20">
        <w:tc>
          <w:tcPr>
            <w:tcW w:w="1077" w:type="pct"/>
            <w:vMerge w:val="restart"/>
            <w:tcMar>
              <w:top w:w="72" w:type="dxa"/>
              <w:left w:w="144" w:type="dxa"/>
              <w:bottom w:w="72" w:type="dxa"/>
              <w:right w:w="144" w:type="dxa"/>
            </w:tcMar>
          </w:tcPr>
          <w:p w14:paraId="13766D15" w14:textId="301EE868" w:rsidR="00655D0C" w:rsidRPr="00661736" w:rsidRDefault="00655D0C" w:rsidP="000A0652">
            <w:pPr>
              <w:rPr>
                <w:b/>
                <w:bCs/>
                <w:sz w:val="16"/>
                <w:szCs w:val="16"/>
                <w:lang w:val="en-GB"/>
              </w:rPr>
            </w:pPr>
            <w:r w:rsidRPr="00661736">
              <w:rPr>
                <w:b/>
                <w:bCs/>
                <w:sz w:val="16"/>
                <w:szCs w:val="16"/>
                <w:lang w:val="en-GB"/>
              </w:rPr>
              <w:t xml:space="preserve">Outcome </w:t>
            </w:r>
            <w:r w:rsidR="00236E26">
              <w:rPr>
                <w:b/>
                <w:bCs/>
                <w:sz w:val="16"/>
                <w:szCs w:val="16"/>
                <w:lang w:val="en-GB"/>
              </w:rPr>
              <w:t>i</w:t>
            </w:r>
            <w:r w:rsidRPr="00661736">
              <w:rPr>
                <w:b/>
                <w:bCs/>
                <w:sz w:val="16"/>
                <w:szCs w:val="16"/>
                <w:lang w:val="en-GB"/>
              </w:rPr>
              <w:t>ndicators:</w:t>
            </w:r>
          </w:p>
          <w:p w14:paraId="6CA259B1" w14:textId="77777777" w:rsidR="00655D0C" w:rsidRPr="00661736" w:rsidRDefault="00655D0C" w:rsidP="007A400E">
            <w:pPr>
              <w:rPr>
                <w:sz w:val="16"/>
                <w:szCs w:val="16"/>
              </w:rPr>
            </w:pPr>
          </w:p>
          <w:p w14:paraId="6D5A9C57" w14:textId="2CC69DD9" w:rsidR="00655D0C" w:rsidRPr="00661736" w:rsidRDefault="00655D0C" w:rsidP="00655D0C">
            <w:pPr>
              <w:pStyle w:val="ListParagraph"/>
              <w:numPr>
                <w:ilvl w:val="0"/>
                <w:numId w:val="30"/>
              </w:numPr>
              <w:ind w:left="209" w:hanging="209"/>
              <w:rPr>
                <w:sz w:val="16"/>
                <w:szCs w:val="16"/>
              </w:rPr>
            </w:pPr>
            <w:r w:rsidRPr="00661736">
              <w:rPr>
                <w:sz w:val="16"/>
                <w:szCs w:val="16"/>
              </w:rPr>
              <w:t xml:space="preserve">Kyrgyz Republic communicated the establishment or operationalization of an integrated policy/strategy/plan which increases their ability to adapt to the adverse impacts of </w:t>
            </w:r>
            <w:r w:rsidRPr="00661736">
              <w:rPr>
                <w:sz w:val="16"/>
                <w:szCs w:val="16"/>
              </w:rPr>
              <w:lastRenderedPageBreak/>
              <w:t>climate change, and foster climate resilience and low greenhouse gas emissions development in a manner that does not threaten food production (including a national adaptation plan, nationally determined contribution, national communication, biennial update report or other SDG)</w:t>
            </w:r>
            <w:r w:rsidR="00236E26">
              <w:rPr>
                <w:sz w:val="16"/>
                <w:szCs w:val="16"/>
              </w:rPr>
              <w:t>.</w:t>
            </w:r>
          </w:p>
          <w:p w14:paraId="550ABB09" w14:textId="0B7343A0" w:rsidR="00655D0C" w:rsidRPr="00661736" w:rsidRDefault="00655D0C" w:rsidP="00655D0C">
            <w:pPr>
              <w:ind w:left="209" w:firstLine="1"/>
              <w:rPr>
                <w:sz w:val="16"/>
                <w:szCs w:val="16"/>
                <w:lang w:val="en-GB"/>
              </w:rPr>
            </w:pPr>
            <w:r w:rsidRPr="00661736">
              <w:rPr>
                <w:sz w:val="16"/>
                <w:szCs w:val="16"/>
                <w:lang w:val="en-GB"/>
              </w:rPr>
              <w:t>Baseline (</w:t>
            </w:r>
            <w:r w:rsidR="008F2628" w:rsidRPr="00661736">
              <w:rPr>
                <w:sz w:val="16"/>
                <w:szCs w:val="16"/>
                <w:lang w:val="en-GB"/>
              </w:rPr>
              <w:t>2023</w:t>
            </w:r>
            <w:r w:rsidRPr="00661736">
              <w:rPr>
                <w:sz w:val="16"/>
                <w:szCs w:val="16"/>
                <w:lang w:val="en-GB"/>
              </w:rPr>
              <w:t>): 1</w:t>
            </w:r>
            <w:r w:rsidRPr="00661736">
              <w:rPr>
                <w:bCs/>
                <w:sz w:val="16"/>
                <w:szCs w:val="16"/>
                <w:lang w:val="en-GB"/>
              </w:rPr>
              <w:br/>
              <w:t>Target (</w:t>
            </w:r>
            <w:r w:rsidR="008F2628" w:rsidRPr="00661736">
              <w:rPr>
                <w:bCs/>
                <w:sz w:val="16"/>
                <w:szCs w:val="16"/>
                <w:lang w:val="en-GB"/>
              </w:rPr>
              <w:t>2027</w:t>
            </w:r>
            <w:r w:rsidRPr="00661736">
              <w:rPr>
                <w:bCs/>
                <w:sz w:val="16"/>
                <w:szCs w:val="16"/>
                <w:lang w:val="en-GB"/>
              </w:rPr>
              <w:t>):</w:t>
            </w:r>
            <w:r w:rsidRPr="00661736">
              <w:rPr>
                <w:sz w:val="16"/>
                <w:szCs w:val="16"/>
                <w:lang w:val="en-GB"/>
              </w:rPr>
              <w:t xml:space="preserve"> 4</w:t>
            </w:r>
          </w:p>
          <w:p w14:paraId="292F3219" w14:textId="77777777" w:rsidR="00655D0C" w:rsidRPr="00661736" w:rsidRDefault="00655D0C" w:rsidP="00655D0C">
            <w:pPr>
              <w:ind w:left="209" w:hanging="209"/>
              <w:rPr>
                <w:sz w:val="16"/>
                <w:szCs w:val="16"/>
                <w:lang w:val="en-GB"/>
              </w:rPr>
            </w:pPr>
          </w:p>
          <w:p w14:paraId="482CA58C" w14:textId="176C3D11" w:rsidR="00655D0C" w:rsidRPr="00661736" w:rsidRDefault="00655D0C" w:rsidP="00655D0C">
            <w:pPr>
              <w:pStyle w:val="ListParagraph"/>
              <w:numPr>
                <w:ilvl w:val="0"/>
                <w:numId w:val="30"/>
              </w:numPr>
              <w:ind w:left="209" w:hanging="209"/>
              <w:rPr>
                <w:sz w:val="16"/>
                <w:szCs w:val="16"/>
              </w:rPr>
            </w:pPr>
            <w:r w:rsidRPr="00661736">
              <w:rPr>
                <w:sz w:val="16"/>
                <w:szCs w:val="16"/>
              </w:rPr>
              <w:t>Kyrgyz Republic has adopted and are implementing national disaster risk reduction strategies in line with the Sendai Framework for Disaster Risk Reduction 2015-2030</w:t>
            </w:r>
            <w:r w:rsidR="00236E26">
              <w:rPr>
                <w:sz w:val="16"/>
                <w:szCs w:val="16"/>
              </w:rPr>
              <w:t>.</w:t>
            </w:r>
          </w:p>
          <w:p w14:paraId="79A49402" w14:textId="7F17F737" w:rsidR="00655D0C" w:rsidRPr="00661736" w:rsidRDefault="00655D0C" w:rsidP="00655D0C">
            <w:pPr>
              <w:ind w:left="209" w:firstLine="1"/>
              <w:rPr>
                <w:sz w:val="16"/>
                <w:szCs w:val="16"/>
                <w:lang w:val="en-GB"/>
              </w:rPr>
            </w:pPr>
            <w:r w:rsidRPr="00661736">
              <w:rPr>
                <w:sz w:val="16"/>
                <w:szCs w:val="16"/>
                <w:lang w:val="en-GB"/>
              </w:rPr>
              <w:t>Baseline (</w:t>
            </w:r>
            <w:r w:rsidR="008F2628" w:rsidRPr="00661736">
              <w:rPr>
                <w:sz w:val="16"/>
                <w:szCs w:val="16"/>
                <w:lang w:val="en-GB"/>
              </w:rPr>
              <w:t>2023</w:t>
            </w:r>
            <w:r w:rsidRPr="00661736">
              <w:rPr>
                <w:sz w:val="16"/>
                <w:szCs w:val="16"/>
                <w:lang w:val="en-GB"/>
              </w:rPr>
              <w:t>): 0</w:t>
            </w:r>
            <w:r w:rsidRPr="00661736">
              <w:rPr>
                <w:bCs/>
                <w:sz w:val="16"/>
                <w:szCs w:val="16"/>
                <w:lang w:val="en-GB"/>
              </w:rPr>
              <w:br/>
              <w:t>Target (</w:t>
            </w:r>
            <w:r w:rsidR="008F2628" w:rsidRPr="00661736">
              <w:rPr>
                <w:bCs/>
                <w:sz w:val="16"/>
                <w:szCs w:val="16"/>
                <w:lang w:val="en-GB"/>
              </w:rPr>
              <w:t>2027</w:t>
            </w:r>
            <w:r w:rsidRPr="00661736">
              <w:rPr>
                <w:bCs/>
                <w:sz w:val="16"/>
                <w:szCs w:val="16"/>
                <w:lang w:val="en-GB"/>
              </w:rPr>
              <w:t>):</w:t>
            </w:r>
            <w:r w:rsidRPr="00661736">
              <w:rPr>
                <w:sz w:val="16"/>
                <w:szCs w:val="16"/>
                <w:lang w:val="en-GB"/>
              </w:rPr>
              <w:t xml:space="preserve"> 1</w:t>
            </w:r>
          </w:p>
          <w:p w14:paraId="413A8AF4" w14:textId="77777777" w:rsidR="00655D0C" w:rsidRPr="00661736" w:rsidRDefault="00655D0C" w:rsidP="00655D0C">
            <w:pPr>
              <w:ind w:left="209" w:hanging="209"/>
              <w:rPr>
                <w:sz w:val="16"/>
                <w:szCs w:val="16"/>
                <w:lang w:val="en-GB"/>
              </w:rPr>
            </w:pPr>
          </w:p>
          <w:p w14:paraId="73D7D415" w14:textId="01A9184D" w:rsidR="00655D0C" w:rsidRPr="00661736" w:rsidRDefault="00655D0C" w:rsidP="00655D0C">
            <w:pPr>
              <w:pStyle w:val="ListParagraph"/>
              <w:numPr>
                <w:ilvl w:val="0"/>
                <w:numId w:val="30"/>
              </w:numPr>
              <w:ind w:left="209" w:hanging="209"/>
              <w:rPr>
                <w:sz w:val="16"/>
                <w:szCs w:val="16"/>
              </w:rPr>
            </w:pPr>
            <w:r w:rsidRPr="00661736">
              <w:rPr>
                <w:sz w:val="16"/>
                <w:szCs w:val="16"/>
              </w:rPr>
              <w:t>Area of protected areas (national nature reserves and parks) from the total area of the country</w:t>
            </w:r>
            <w:r w:rsidR="00236E26">
              <w:rPr>
                <w:sz w:val="16"/>
                <w:szCs w:val="16"/>
              </w:rPr>
              <w:t>.</w:t>
            </w:r>
          </w:p>
          <w:p w14:paraId="4143758D" w14:textId="48D3D993" w:rsidR="00655D0C" w:rsidRPr="00661736" w:rsidRDefault="00655D0C" w:rsidP="00655D0C">
            <w:pPr>
              <w:ind w:left="209" w:firstLine="1"/>
              <w:rPr>
                <w:sz w:val="16"/>
                <w:szCs w:val="16"/>
                <w:lang w:val="en-GB"/>
              </w:rPr>
            </w:pPr>
            <w:r w:rsidRPr="00661736">
              <w:rPr>
                <w:sz w:val="16"/>
                <w:szCs w:val="16"/>
                <w:lang w:val="en-GB"/>
              </w:rPr>
              <w:t>Baseline (</w:t>
            </w:r>
            <w:r w:rsidR="008F2628" w:rsidRPr="00661736">
              <w:rPr>
                <w:sz w:val="16"/>
                <w:szCs w:val="16"/>
                <w:lang w:val="en-GB"/>
              </w:rPr>
              <w:t>2019</w:t>
            </w:r>
            <w:r w:rsidRPr="00661736">
              <w:rPr>
                <w:sz w:val="16"/>
                <w:szCs w:val="16"/>
                <w:lang w:val="en-GB"/>
              </w:rPr>
              <w:t>): 6</w:t>
            </w:r>
            <w:r w:rsidR="004E4851">
              <w:rPr>
                <w:sz w:val="16"/>
                <w:szCs w:val="16"/>
                <w:lang w:val="en-GB"/>
              </w:rPr>
              <w:t>.</w:t>
            </w:r>
            <w:r w:rsidRPr="00661736">
              <w:rPr>
                <w:sz w:val="16"/>
                <w:szCs w:val="16"/>
                <w:lang w:val="en-GB"/>
              </w:rPr>
              <w:t>5 per cent</w:t>
            </w:r>
            <w:r w:rsidRPr="00661736">
              <w:rPr>
                <w:bCs/>
                <w:sz w:val="16"/>
                <w:szCs w:val="16"/>
                <w:lang w:val="en-GB"/>
              </w:rPr>
              <w:br/>
              <w:t>Target (</w:t>
            </w:r>
            <w:r w:rsidR="008F2628" w:rsidRPr="00661736">
              <w:rPr>
                <w:bCs/>
                <w:sz w:val="16"/>
                <w:szCs w:val="16"/>
                <w:lang w:val="en-GB"/>
              </w:rPr>
              <w:t>2025</w:t>
            </w:r>
            <w:r w:rsidRPr="00661736">
              <w:rPr>
                <w:bCs/>
                <w:sz w:val="16"/>
                <w:szCs w:val="16"/>
                <w:lang w:val="en-GB"/>
              </w:rPr>
              <w:t>):</w:t>
            </w:r>
            <w:r w:rsidRPr="00661736">
              <w:rPr>
                <w:sz w:val="16"/>
                <w:szCs w:val="16"/>
                <w:lang w:val="en-GB"/>
              </w:rPr>
              <w:t xml:space="preserve"> 6</w:t>
            </w:r>
            <w:r w:rsidR="004E4851">
              <w:rPr>
                <w:sz w:val="16"/>
                <w:szCs w:val="16"/>
                <w:lang w:val="en-GB"/>
              </w:rPr>
              <w:t>.</w:t>
            </w:r>
            <w:r w:rsidRPr="00661736">
              <w:rPr>
                <w:sz w:val="16"/>
                <w:szCs w:val="16"/>
                <w:lang w:val="en-GB"/>
              </w:rPr>
              <w:t>7 per cent</w:t>
            </w:r>
          </w:p>
          <w:p w14:paraId="54018188" w14:textId="77777777" w:rsidR="00655D0C" w:rsidRPr="00661736" w:rsidRDefault="00655D0C" w:rsidP="000A0652">
            <w:pPr>
              <w:rPr>
                <w:b/>
                <w:bCs/>
                <w:sz w:val="16"/>
                <w:szCs w:val="16"/>
                <w:lang w:val="en-GB"/>
              </w:rPr>
            </w:pPr>
          </w:p>
        </w:tc>
        <w:tc>
          <w:tcPr>
            <w:tcW w:w="1191" w:type="pct"/>
            <w:vMerge w:val="restart"/>
          </w:tcPr>
          <w:p w14:paraId="58D31A0B" w14:textId="77777777" w:rsidR="00655D0C" w:rsidRPr="00661736" w:rsidRDefault="00655D0C" w:rsidP="00655D0C">
            <w:pPr>
              <w:pStyle w:val="ListParagraph"/>
              <w:ind w:left="360"/>
              <w:rPr>
                <w:b/>
                <w:sz w:val="16"/>
                <w:szCs w:val="16"/>
              </w:rPr>
            </w:pPr>
          </w:p>
        </w:tc>
        <w:tc>
          <w:tcPr>
            <w:tcW w:w="1071" w:type="pct"/>
            <w:vMerge w:val="restart"/>
            <w:tcMar>
              <w:top w:w="72" w:type="dxa"/>
              <w:left w:w="144" w:type="dxa"/>
              <w:bottom w:w="72" w:type="dxa"/>
              <w:right w:w="144" w:type="dxa"/>
            </w:tcMar>
          </w:tcPr>
          <w:p w14:paraId="359AF775" w14:textId="530443F4" w:rsidR="00655D0C" w:rsidRPr="00661736" w:rsidRDefault="00655D0C" w:rsidP="000A0652">
            <w:pPr>
              <w:rPr>
                <w:sz w:val="16"/>
                <w:szCs w:val="16"/>
              </w:rPr>
            </w:pPr>
            <w:r w:rsidRPr="00661736">
              <w:rPr>
                <w:sz w:val="16"/>
                <w:szCs w:val="16"/>
                <w:lang w:val="en-GB"/>
              </w:rPr>
              <w:t>Output 3.1.</w:t>
            </w:r>
            <w:r w:rsidR="00916606">
              <w:rPr>
                <w:sz w:val="16"/>
                <w:szCs w:val="16"/>
                <w:lang w:val="en-GB"/>
              </w:rPr>
              <w:t>:</w:t>
            </w:r>
            <w:r w:rsidRPr="00661736">
              <w:rPr>
                <w:sz w:val="16"/>
                <w:szCs w:val="16"/>
                <w:lang w:val="en-GB"/>
              </w:rPr>
              <w:t xml:space="preserve"> </w:t>
            </w:r>
            <w:r w:rsidRPr="00661736">
              <w:rPr>
                <w:sz w:val="16"/>
                <w:szCs w:val="16"/>
              </w:rPr>
              <w:t xml:space="preserve">National and subnational </w:t>
            </w:r>
            <w:r w:rsidR="00236E26">
              <w:rPr>
                <w:sz w:val="16"/>
                <w:szCs w:val="16"/>
              </w:rPr>
              <w:t>g</w:t>
            </w:r>
            <w:r w:rsidRPr="00661736">
              <w:rPr>
                <w:sz w:val="16"/>
                <w:szCs w:val="16"/>
              </w:rPr>
              <w:t>overnment improved capacities to implement low carbon, people-centered climate change mitigation and adaptation actions, utilizing efficiency-enhancing measures in access to clean sustainable energy and water.</w:t>
            </w:r>
          </w:p>
          <w:p w14:paraId="151406B8" w14:textId="77777777" w:rsidR="00655D0C" w:rsidRPr="00661736" w:rsidRDefault="00655D0C" w:rsidP="000A0652">
            <w:pPr>
              <w:rPr>
                <w:sz w:val="16"/>
                <w:szCs w:val="16"/>
                <w:lang w:val="en-GB"/>
              </w:rPr>
            </w:pPr>
          </w:p>
          <w:p w14:paraId="3C5271B3" w14:textId="42EBB080" w:rsidR="00655D0C" w:rsidRPr="00661736" w:rsidRDefault="00655D0C" w:rsidP="000A0652">
            <w:pPr>
              <w:pStyle w:val="ListParagraph"/>
              <w:numPr>
                <w:ilvl w:val="0"/>
                <w:numId w:val="30"/>
              </w:numPr>
              <w:ind w:left="360"/>
              <w:rPr>
                <w:sz w:val="16"/>
                <w:szCs w:val="16"/>
                <w:lang w:val="en-GB"/>
              </w:rPr>
            </w:pPr>
            <w:r w:rsidRPr="00661736">
              <w:rPr>
                <w:sz w:val="16"/>
                <w:szCs w:val="16"/>
                <w:lang w:val="en-GB"/>
              </w:rPr>
              <w:lastRenderedPageBreak/>
              <w:t>Indicator 3.1.1</w:t>
            </w:r>
            <w:r w:rsidR="00916606">
              <w:rPr>
                <w:sz w:val="16"/>
                <w:szCs w:val="16"/>
                <w:lang w:val="en-GB"/>
              </w:rPr>
              <w:t>.</w:t>
            </w:r>
            <w:r w:rsidRPr="00661736">
              <w:rPr>
                <w:sz w:val="16"/>
                <w:szCs w:val="16"/>
                <w:lang w:val="en-GB"/>
              </w:rPr>
              <w:t>:</w:t>
            </w:r>
            <w:r w:rsidRPr="00661736">
              <w:t xml:space="preserve"> </w:t>
            </w:r>
            <w:r w:rsidRPr="00661736">
              <w:rPr>
                <w:sz w:val="16"/>
                <w:szCs w:val="16"/>
              </w:rPr>
              <w:t>Low-carbon and adaptation objectives incorporated in national, sub - national and sectoral development plans and policies to promote green growth</w:t>
            </w:r>
            <w:r w:rsidR="00236E26">
              <w:rPr>
                <w:sz w:val="16"/>
                <w:szCs w:val="16"/>
              </w:rPr>
              <w:t>.</w:t>
            </w:r>
          </w:p>
          <w:p w14:paraId="41E0A3FD" w14:textId="77777777" w:rsidR="00655D0C" w:rsidRPr="00661736" w:rsidRDefault="00655D0C" w:rsidP="000A0652">
            <w:pPr>
              <w:pStyle w:val="ListParagraph"/>
              <w:ind w:left="360"/>
              <w:rPr>
                <w:sz w:val="16"/>
                <w:szCs w:val="16"/>
                <w:lang w:val="en-GB"/>
              </w:rPr>
            </w:pPr>
            <w:r w:rsidRPr="00661736">
              <w:rPr>
                <w:sz w:val="16"/>
                <w:szCs w:val="16"/>
                <w:lang w:val="en-GB"/>
              </w:rPr>
              <w:t>Baseline, 2020: 0</w:t>
            </w:r>
          </w:p>
          <w:p w14:paraId="61FFF115" w14:textId="1F66E53F" w:rsidR="00655D0C" w:rsidRPr="00661736" w:rsidRDefault="00655D0C" w:rsidP="000A0652">
            <w:pPr>
              <w:pStyle w:val="ListParagraph"/>
              <w:ind w:left="360"/>
              <w:rPr>
                <w:sz w:val="16"/>
                <w:szCs w:val="16"/>
                <w:lang w:val="en-GB"/>
              </w:rPr>
            </w:pPr>
            <w:r w:rsidRPr="00661736">
              <w:rPr>
                <w:sz w:val="16"/>
                <w:szCs w:val="16"/>
                <w:lang w:val="en-GB"/>
              </w:rPr>
              <w:t>Target 2027: 4</w:t>
            </w:r>
          </w:p>
          <w:p w14:paraId="3901B84C" w14:textId="0F5E6BDA" w:rsidR="00655D0C" w:rsidRPr="00661736" w:rsidRDefault="00655D0C" w:rsidP="00B34D36">
            <w:pPr>
              <w:pStyle w:val="ListParagraph"/>
              <w:ind w:left="360"/>
              <w:rPr>
                <w:sz w:val="16"/>
                <w:szCs w:val="16"/>
                <w:lang w:val="en-GB"/>
              </w:rPr>
            </w:pPr>
            <w:r w:rsidRPr="00661736">
              <w:rPr>
                <w:sz w:val="16"/>
                <w:szCs w:val="16"/>
                <w:lang w:val="en-GB"/>
              </w:rPr>
              <w:t>Data source: Government</w:t>
            </w:r>
          </w:p>
          <w:p w14:paraId="07B4D1BB" w14:textId="77777777" w:rsidR="00655D0C" w:rsidRPr="00661736" w:rsidRDefault="00655D0C" w:rsidP="00655D0C">
            <w:pPr>
              <w:rPr>
                <w:b/>
                <w:bCs/>
                <w:sz w:val="16"/>
                <w:szCs w:val="16"/>
                <w:lang w:val="en-GB"/>
              </w:rPr>
            </w:pPr>
          </w:p>
          <w:p w14:paraId="0126BEDA" w14:textId="66432432" w:rsidR="00655D0C" w:rsidRPr="00661736" w:rsidRDefault="00655D0C" w:rsidP="000A0652">
            <w:pPr>
              <w:pStyle w:val="ListParagraph"/>
              <w:numPr>
                <w:ilvl w:val="0"/>
                <w:numId w:val="30"/>
              </w:numPr>
              <w:ind w:left="366"/>
              <w:rPr>
                <w:sz w:val="16"/>
                <w:szCs w:val="16"/>
                <w:lang w:val="en-GB"/>
              </w:rPr>
            </w:pPr>
            <w:r w:rsidRPr="00661736">
              <w:rPr>
                <w:sz w:val="16"/>
                <w:szCs w:val="16"/>
                <w:lang w:val="en-GB"/>
              </w:rPr>
              <w:t>Indicator 3.1.</w:t>
            </w:r>
            <w:r w:rsidRPr="00661736">
              <w:rPr>
                <w:sz w:val="16"/>
                <w:szCs w:val="16"/>
                <w:lang w:val="ka-GE"/>
              </w:rPr>
              <w:t>2</w:t>
            </w:r>
            <w:r w:rsidR="00916606">
              <w:rPr>
                <w:sz w:val="16"/>
                <w:szCs w:val="16"/>
              </w:rPr>
              <w:t>.</w:t>
            </w:r>
            <w:r w:rsidRPr="00661736">
              <w:rPr>
                <w:sz w:val="16"/>
                <w:szCs w:val="16"/>
                <w:lang w:val="en-GB"/>
              </w:rPr>
              <w:t>: Low-carbon development and adaptation solutions and mechanisms introduced</w:t>
            </w:r>
            <w:r w:rsidR="00236E26">
              <w:rPr>
                <w:sz w:val="16"/>
                <w:szCs w:val="16"/>
                <w:lang w:val="en-GB"/>
              </w:rPr>
              <w:t>.</w:t>
            </w:r>
          </w:p>
          <w:p w14:paraId="467461D3" w14:textId="77777777" w:rsidR="00655D0C" w:rsidRPr="00661736" w:rsidRDefault="00655D0C" w:rsidP="000A0652">
            <w:pPr>
              <w:pStyle w:val="ListParagraph"/>
              <w:ind w:left="360"/>
              <w:rPr>
                <w:sz w:val="16"/>
                <w:szCs w:val="16"/>
                <w:lang w:val="en-GB"/>
              </w:rPr>
            </w:pPr>
            <w:r w:rsidRPr="00661736">
              <w:rPr>
                <w:sz w:val="16"/>
                <w:szCs w:val="16"/>
                <w:lang w:val="en-GB"/>
              </w:rPr>
              <w:t>Baseline, 2020: 0</w:t>
            </w:r>
          </w:p>
          <w:p w14:paraId="79D9B112" w14:textId="5AFDB084" w:rsidR="00655D0C" w:rsidRPr="00661736" w:rsidRDefault="00655D0C" w:rsidP="000A0652">
            <w:pPr>
              <w:pStyle w:val="ListParagraph"/>
              <w:ind w:left="360"/>
              <w:rPr>
                <w:sz w:val="16"/>
                <w:szCs w:val="16"/>
                <w:lang w:val="en-GB"/>
              </w:rPr>
            </w:pPr>
            <w:r w:rsidRPr="00661736">
              <w:rPr>
                <w:sz w:val="16"/>
                <w:szCs w:val="16"/>
                <w:lang w:val="en-GB"/>
              </w:rPr>
              <w:t>Target 2027: 7</w:t>
            </w:r>
          </w:p>
          <w:p w14:paraId="2F6AE78A" w14:textId="17E8AE13" w:rsidR="00655D0C" w:rsidRPr="00661736" w:rsidRDefault="00655D0C" w:rsidP="00661736">
            <w:pPr>
              <w:pStyle w:val="ListParagraph"/>
              <w:ind w:left="360"/>
              <w:rPr>
                <w:sz w:val="16"/>
                <w:szCs w:val="16"/>
                <w:lang w:val="en-GB"/>
              </w:rPr>
            </w:pPr>
            <w:r w:rsidRPr="00661736">
              <w:rPr>
                <w:sz w:val="16"/>
                <w:szCs w:val="16"/>
                <w:lang w:val="en-GB"/>
              </w:rPr>
              <w:t>Data source: Government</w:t>
            </w:r>
          </w:p>
        </w:tc>
        <w:tc>
          <w:tcPr>
            <w:tcW w:w="1027" w:type="pct"/>
            <w:vMerge w:val="restart"/>
          </w:tcPr>
          <w:p w14:paraId="33417778" w14:textId="77777777" w:rsidR="00655D0C" w:rsidRPr="00661736" w:rsidRDefault="00655D0C" w:rsidP="000A0652">
            <w:pPr>
              <w:pStyle w:val="Pasus1"/>
              <w:rPr>
                <w:rFonts w:ascii="Times New Roman" w:eastAsia="Calibri" w:hAnsi="Times New Roman"/>
                <w:sz w:val="16"/>
                <w:szCs w:val="16"/>
              </w:rPr>
            </w:pPr>
            <w:r w:rsidRPr="00661736">
              <w:rPr>
                <w:rFonts w:ascii="Times New Roman" w:eastAsia="Calibri" w:hAnsi="Times New Roman"/>
                <w:sz w:val="16"/>
                <w:szCs w:val="16"/>
              </w:rPr>
              <w:lastRenderedPageBreak/>
              <w:t xml:space="preserve">Parliament </w:t>
            </w:r>
          </w:p>
          <w:p w14:paraId="7191045E" w14:textId="56AC785C" w:rsidR="00655D0C" w:rsidRPr="00661736" w:rsidRDefault="00655D0C" w:rsidP="000A0652">
            <w:pPr>
              <w:pStyle w:val="Pasus1"/>
              <w:spacing w:before="0" w:after="0"/>
              <w:rPr>
                <w:rFonts w:ascii="Times New Roman" w:eastAsia="Calibri" w:hAnsi="Times New Roman"/>
                <w:sz w:val="16"/>
                <w:szCs w:val="16"/>
              </w:rPr>
            </w:pPr>
            <w:r w:rsidRPr="00661736">
              <w:rPr>
                <w:rFonts w:ascii="Times New Roman" w:hAnsi="Times New Roman"/>
                <w:sz w:val="16"/>
                <w:szCs w:val="16"/>
                <w:lang w:val="en-GB"/>
              </w:rPr>
              <w:t xml:space="preserve">MoNRETS, </w:t>
            </w:r>
            <w:r w:rsidRPr="00661736">
              <w:rPr>
                <w:rFonts w:ascii="Times New Roman" w:eastAsia="Calibri" w:hAnsi="Times New Roman"/>
                <w:sz w:val="16"/>
                <w:szCs w:val="16"/>
              </w:rPr>
              <w:t xml:space="preserve">MoA, MoE, MoF, </w:t>
            </w:r>
            <w:r w:rsidRPr="00661736">
              <w:rPr>
                <w:rFonts w:ascii="Times New Roman" w:eastAsia="SimSun" w:hAnsi="Times New Roman"/>
                <w:sz w:val="16"/>
                <w:szCs w:val="16"/>
              </w:rPr>
              <w:t xml:space="preserve">Ministry of Emergency Situations </w:t>
            </w:r>
          </w:p>
          <w:p w14:paraId="636178D1" w14:textId="77777777" w:rsidR="00655D0C" w:rsidRPr="00661736" w:rsidRDefault="00655D0C" w:rsidP="000A0652">
            <w:pPr>
              <w:rPr>
                <w:sz w:val="16"/>
                <w:szCs w:val="16"/>
                <w:lang w:val="en-GB"/>
              </w:rPr>
            </w:pPr>
          </w:p>
          <w:p w14:paraId="2D64CEB5" w14:textId="517A2A10" w:rsidR="00655D0C" w:rsidRPr="00661736" w:rsidRDefault="00655D0C" w:rsidP="000A0652">
            <w:pPr>
              <w:rPr>
                <w:sz w:val="16"/>
                <w:szCs w:val="16"/>
              </w:rPr>
            </w:pPr>
            <w:r w:rsidRPr="00661736">
              <w:rPr>
                <w:sz w:val="16"/>
                <w:szCs w:val="16"/>
              </w:rPr>
              <w:t xml:space="preserve">Department for Development of Drinking Water Supply and Sanitation </w:t>
            </w:r>
          </w:p>
          <w:p w14:paraId="0F5AB4FF" w14:textId="77777777" w:rsidR="00655D0C" w:rsidRPr="00661736" w:rsidRDefault="00655D0C" w:rsidP="000A0652">
            <w:pPr>
              <w:rPr>
                <w:sz w:val="16"/>
                <w:szCs w:val="16"/>
              </w:rPr>
            </w:pPr>
          </w:p>
          <w:p w14:paraId="25DE59CE" w14:textId="016FC480" w:rsidR="00655D0C" w:rsidRPr="00661736" w:rsidRDefault="00655D0C" w:rsidP="000A0652">
            <w:pPr>
              <w:rPr>
                <w:sz w:val="16"/>
                <w:szCs w:val="16"/>
              </w:rPr>
            </w:pPr>
            <w:r w:rsidRPr="00661736">
              <w:rPr>
                <w:sz w:val="16"/>
                <w:szCs w:val="16"/>
              </w:rPr>
              <w:t>State Agency for Construction</w:t>
            </w:r>
            <w:r w:rsidR="00626705" w:rsidRPr="00661736">
              <w:rPr>
                <w:sz w:val="16"/>
                <w:szCs w:val="16"/>
              </w:rPr>
              <w:t xml:space="preserve"> and </w:t>
            </w:r>
            <w:r w:rsidRPr="00661736">
              <w:rPr>
                <w:sz w:val="16"/>
                <w:szCs w:val="16"/>
              </w:rPr>
              <w:t>Architecture</w:t>
            </w:r>
          </w:p>
          <w:p w14:paraId="5E27EC08" w14:textId="77777777" w:rsidR="00655D0C" w:rsidRPr="00661736" w:rsidRDefault="00655D0C" w:rsidP="000A0652">
            <w:pPr>
              <w:rPr>
                <w:sz w:val="16"/>
                <w:szCs w:val="16"/>
              </w:rPr>
            </w:pPr>
          </w:p>
          <w:p w14:paraId="3C96D196" w14:textId="23D4CF64" w:rsidR="00655D0C" w:rsidRPr="00661736" w:rsidRDefault="00655D0C" w:rsidP="000A0652">
            <w:pPr>
              <w:pStyle w:val="Pasus1"/>
              <w:spacing w:before="0" w:after="0"/>
              <w:rPr>
                <w:rFonts w:ascii="Times New Roman" w:eastAsia="Calibri" w:hAnsi="Times New Roman"/>
                <w:sz w:val="16"/>
                <w:szCs w:val="16"/>
              </w:rPr>
            </w:pPr>
            <w:r w:rsidRPr="00661736">
              <w:rPr>
                <w:rFonts w:ascii="Times New Roman" w:eastAsia="Calibri" w:hAnsi="Times New Roman"/>
                <w:sz w:val="16"/>
                <w:szCs w:val="16"/>
              </w:rPr>
              <w:t xml:space="preserve">Local </w:t>
            </w:r>
            <w:r w:rsidR="00916606">
              <w:rPr>
                <w:rFonts w:ascii="Times New Roman" w:eastAsia="Calibri" w:hAnsi="Times New Roman"/>
                <w:sz w:val="16"/>
                <w:szCs w:val="16"/>
              </w:rPr>
              <w:t>s</w:t>
            </w:r>
            <w:r w:rsidRPr="00661736">
              <w:rPr>
                <w:rFonts w:ascii="Times New Roman" w:eastAsia="Calibri" w:hAnsi="Times New Roman"/>
                <w:sz w:val="16"/>
                <w:szCs w:val="16"/>
              </w:rPr>
              <w:t>elf-</w:t>
            </w:r>
            <w:r w:rsidR="00916606">
              <w:rPr>
                <w:rFonts w:ascii="Times New Roman" w:eastAsia="Calibri" w:hAnsi="Times New Roman"/>
                <w:sz w:val="16"/>
                <w:szCs w:val="16"/>
              </w:rPr>
              <w:t>g</w:t>
            </w:r>
            <w:r w:rsidRPr="00661736">
              <w:rPr>
                <w:rFonts w:ascii="Times New Roman" w:eastAsia="Calibri" w:hAnsi="Times New Roman"/>
                <w:sz w:val="16"/>
                <w:szCs w:val="16"/>
              </w:rPr>
              <w:t>overnments</w:t>
            </w:r>
            <w:r w:rsidR="00916606">
              <w:rPr>
                <w:rFonts w:ascii="Times New Roman" w:eastAsia="Calibri" w:hAnsi="Times New Roman"/>
                <w:sz w:val="16"/>
                <w:szCs w:val="16"/>
              </w:rPr>
              <w:t>,</w:t>
            </w:r>
          </w:p>
          <w:p w14:paraId="00F349CD" w14:textId="77777777" w:rsidR="00655D0C" w:rsidRPr="00661736" w:rsidRDefault="00655D0C" w:rsidP="000A0652">
            <w:pPr>
              <w:pStyle w:val="Pasus1"/>
              <w:spacing w:before="0" w:after="0"/>
              <w:rPr>
                <w:rFonts w:ascii="Times New Roman" w:eastAsia="Calibri" w:hAnsi="Times New Roman"/>
                <w:sz w:val="16"/>
                <w:szCs w:val="16"/>
              </w:rPr>
            </w:pPr>
            <w:r w:rsidRPr="00661736">
              <w:rPr>
                <w:rFonts w:ascii="Times New Roman" w:eastAsia="Calibri" w:hAnsi="Times New Roman"/>
                <w:sz w:val="16"/>
                <w:szCs w:val="16"/>
              </w:rPr>
              <w:t>CSOs, private sector</w:t>
            </w:r>
          </w:p>
          <w:p w14:paraId="1062FCF1" w14:textId="77777777" w:rsidR="00655D0C" w:rsidRPr="00661736" w:rsidRDefault="00655D0C" w:rsidP="000A0652">
            <w:pPr>
              <w:pStyle w:val="Pasus1"/>
              <w:spacing w:before="0" w:after="0"/>
              <w:rPr>
                <w:rFonts w:ascii="Times New Roman" w:eastAsia="Calibri" w:hAnsi="Times New Roman"/>
                <w:sz w:val="16"/>
                <w:szCs w:val="16"/>
              </w:rPr>
            </w:pPr>
            <w:r w:rsidRPr="00661736">
              <w:rPr>
                <w:rFonts w:ascii="Times New Roman" w:eastAsia="Calibri" w:hAnsi="Times New Roman"/>
                <w:sz w:val="16"/>
                <w:szCs w:val="16"/>
              </w:rPr>
              <w:t xml:space="preserve"> </w:t>
            </w:r>
          </w:p>
          <w:p w14:paraId="408E5742" w14:textId="77777777" w:rsidR="00655D0C" w:rsidRPr="00661736" w:rsidRDefault="00655D0C" w:rsidP="000A0652">
            <w:pPr>
              <w:pStyle w:val="Pasus1"/>
              <w:spacing w:before="0" w:after="0"/>
              <w:rPr>
                <w:rFonts w:ascii="Times New Roman" w:eastAsia="Calibri" w:hAnsi="Times New Roman"/>
                <w:sz w:val="16"/>
                <w:szCs w:val="16"/>
              </w:rPr>
            </w:pPr>
            <w:r w:rsidRPr="00661736">
              <w:rPr>
                <w:rFonts w:ascii="Times New Roman" w:eastAsia="Calibri" w:hAnsi="Times New Roman"/>
                <w:sz w:val="16"/>
                <w:szCs w:val="16"/>
              </w:rPr>
              <w:t>WHO</w:t>
            </w:r>
          </w:p>
          <w:p w14:paraId="2FB65CAD" w14:textId="77777777" w:rsidR="00655D0C" w:rsidRPr="00661736" w:rsidRDefault="00655D0C" w:rsidP="000A0652">
            <w:pPr>
              <w:pStyle w:val="Pasus1"/>
              <w:rPr>
                <w:rFonts w:ascii="Times New Roman" w:eastAsia="Calibri" w:hAnsi="Times New Roman" w:cstheme="majorBidi"/>
                <w:b/>
                <w:bCs/>
                <w:sz w:val="16"/>
                <w:szCs w:val="16"/>
              </w:rPr>
            </w:pPr>
            <w:r w:rsidRPr="00661736">
              <w:rPr>
                <w:rFonts w:ascii="Times New Roman" w:eastAsia="Calibri" w:hAnsi="Times New Roman"/>
                <w:sz w:val="16"/>
                <w:szCs w:val="16"/>
              </w:rPr>
              <w:t xml:space="preserve">FAO, World Food Program, UNICEF  </w:t>
            </w:r>
          </w:p>
          <w:p w14:paraId="020E24FB" w14:textId="1F1A0C90" w:rsidR="00655D0C" w:rsidRPr="00661736" w:rsidRDefault="00655D0C" w:rsidP="000A0652">
            <w:pPr>
              <w:rPr>
                <w:rFonts w:eastAsia="Calibri"/>
                <w:sz w:val="16"/>
                <w:szCs w:val="16"/>
              </w:rPr>
            </w:pPr>
            <w:r w:rsidRPr="00661736">
              <w:rPr>
                <w:rFonts w:eastAsia="Calibri"/>
                <w:sz w:val="16"/>
                <w:szCs w:val="16"/>
              </w:rPr>
              <w:t xml:space="preserve">Japan, </w:t>
            </w:r>
            <w:r w:rsidR="004E4851">
              <w:rPr>
                <w:rFonts w:eastAsia="Calibri"/>
                <w:sz w:val="16"/>
                <w:szCs w:val="16"/>
              </w:rPr>
              <w:t>Russian Federation</w:t>
            </w:r>
            <w:r w:rsidRPr="00661736">
              <w:rPr>
                <w:rFonts w:eastAsia="Calibri"/>
                <w:sz w:val="16"/>
                <w:szCs w:val="16"/>
              </w:rPr>
              <w:t xml:space="preserve">, IFIs </w:t>
            </w:r>
          </w:p>
          <w:p w14:paraId="23907B03" w14:textId="77777777" w:rsidR="00655D0C" w:rsidRPr="00661736" w:rsidRDefault="00655D0C" w:rsidP="00661736"/>
        </w:tc>
        <w:tc>
          <w:tcPr>
            <w:tcW w:w="634" w:type="pct"/>
            <w:tcMar>
              <w:top w:w="15" w:type="dxa"/>
              <w:left w:w="108" w:type="dxa"/>
              <w:bottom w:w="0" w:type="dxa"/>
              <w:right w:w="108" w:type="dxa"/>
            </w:tcMar>
          </w:tcPr>
          <w:p w14:paraId="78CBE406" w14:textId="77777777" w:rsidR="00655D0C" w:rsidRPr="00661736" w:rsidRDefault="00655D0C" w:rsidP="000A0652">
            <w:pPr>
              <w:rPr>
                <w:b/>
                <w:bCs/>
                <w:sz w:val="16"/>
                <w:szCs w:val="16"/>
                <w:lang w:val="en-GB"/>
              </w:rPr>
            </w:pPr>
            <w:r w:rsidRPr="00661736">
              <w:rPr>
                <w:b/>
                <w:bCs/>
                <w:sz w:val="16"/>
                <w:szCs w:val="16"/>
              </w:rPr>
              <w:lastRenderedPageBreak/>
              <w:t>Regular: $ 1,300,000</w:t>
            </w:r>
          </w:p>
        </w:tc>
      </w:tr>
      <w:tr w:rsidR="00661736" w:rsidRPr="00661736" w14:paraId="60E9F03B" w14:textId="77777777" w:rsidTr="009E5D20">
        <w:tc>
          <w:tcPr>
            <w:tcW w:w="1077" w:type="pct"/>
            <w:vMerge/>
            <w:tcMar>
              <w:top w:w="72" w:type="dxa"/>
              <w:left w:w="144" w:type="dxa"/>
              <w:bottom w:w="72" w:type="dxa"/>
              <w:right w:w="144" w:type="dxa"/>
            </w:tcMar>
          </w:tcPr>
          <w:p w14:paraId="79D01DB1" w14:textId="77777777" w:rsidR="00655D0C" w:rsidRPr="00661736" w:rsidRDefault="00655D0C" w:rsidP="000A0652">
            <w:pPr>
              <w:rPr>
                <w:sz w:val="16"/>
                <w:szCs w:val="16"/>
                <w:lang w:val="en-GB"/>
              </w:rPr>
            </w:pPr>
          </w:p>
        </w:tc>
        <w:tc>
          <w:tcPr>
            <w:tcW w:w="1191" w:type="pct"/>
            <w:vMerge/>
          </w:tcPr>
          <w:p w14:paraId="40100670" w14:textId="77777777" w:rsidR="00655D0C" w:rsidRPr="00661736" w:rsidRDefault="00655D0C" w:rsidP="000A0652">
            <w:pPr>
              <w:pStyle w:val="ListParagraph"/>
              <w:numPr>
                <w:ilvl w:val="0"/>
                <w:numId w:val="5"/>
              </w:numPr>
              <w:rPr>
                <w:sz w:val="16"/>
                <w:szCs w:val="16"/>
                <w:lang w:val="en-GB"/>
              </w:rPr>
            </w:pPr>
          </w:p>
        </w:tc>
        <w:tc>
          <w:tcPr>
            <w:tcW w:w="1071" w:type="pct"/>
            <w:vMerge/>
            <w:tcMar>
              <w:top w:w="72" w:type="dxa"/>
              <w:left w:w="144" w:type="dxa"/>
              <w:bottom w:w="72" w:type="dxa"/>
              <w:right w:w="144" w:type="dxa"/>
            </w:tcMar>
          </w:tcPr>
          <w:p w14:paraId="41D3C955" w14:textId="77777777" w:rsidR="00655D0C" w:rsidRPr="00661736" w:rsidRDefault="00655D0C" w:rsidP="000A0652">
            <w:pPr>
              <w:rPr>
                <w:sz w:val="16"/>
                <w:szCs w:val="16"/>
                <w:lang w:val="en-GB"/>
              </w:rPr>
            </w:pPr>
          </w:p>
        </w:tc>
        <w:tc>
          <w:tcPr>
            <w:tcW w:w="1027" w:type="pct"/>
            <w:vMerge/>
          </w:tcPr>
          <w:p w14:paraId="74DFA921"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10E0B2D9" w14:textId="6398709A" w:rsidR="00655D0C" w:rsidRPr="00661736" w:rsidRDefault="00655D0C" w:rsidP="000A0652">
            <w:pPr>
              <w:rPr>
                <w:b/>
                <w:bCs/>
                <w:sz w:val="16"/>
                <w:szCs w:val="16"/>
              </w:rPr>
            </w:pPr>
            <w:r w:rsidRPr="00661736">
              <w:rPr>
                <w:b/>
                <w:sz w:val="16"/>
                <w:szCs w:val="16"/>
              </w:rPr>
              <w:t xml:space="preserve">Other </w:t>
            </w:r>
            <w:r w:rsidRPr="00661736">
              <w:rPr>
                <w:b/>
                <w:bCs/>
                <w:sz w:val="16"/>
                <w:szCs w:val="16"/>
              </w:rPr>
              <w:t>$ 30,000,0000</w:t>
            </w:r>
          </w:p>
          <w:p w14:paraId="789756CD" w14:textId="77777777" w:rsidR="00655D0C" w:rsidRPr="00661736" w:rsidRDefault="00655D0C" w:rsidP="000A0652">
            <w:pPr>
              <w:rPr>
                <w:b/>
                <w:bCs/>
                <w:sz w:val="16"/>
                <w:szCs w:val="16"/>
              </w:rPr>
            </w:pPr>
            <w:r w:rsidRPr="00661736">
              <w:rPr>
                <w:sz w:val="16"/>
                <w:szCs w:val="16"/>
                <w:lang w:val="en-GB"/>
              </w:rPr>
              <w:t xml:space="preserve"> </w:t>
            </w:r>
          </w:p>
        </w:tc>
      </w:tr>
      <w:tr w:rsidR="00661736" w:rsidRPr="00661736" w14:paraId="74CF339A" w14:textId="77777777" w:rsidTr="009E5D20">
        <w:tc>
          <w:tcPr>
            <w:tcW w:w="1077" w:type="pct"/>
            <w:vMerge/>
            <w:tcMar>
              <w:top w:w="72" w:type="dxa"/>
              <w:left w:w="144" w:type="dxa"/>
              <w:bottom w:w="72" w:type="dxa"/>
              <w:right w:w="144" w:type="dxa"/>
            </w:tcMar>
          </w:tcPr>
          <w:p w14:paraId="4C1394BE" w14:textId="1D7D8076" w:rsidR="00655D0C" w:rsidRPr="00661736" w:rsidRDefault="00655D0C" w:rsidP="000A0652">
            <w:pPr>
              <w:rPr>
                <w:sz w:val="16"/>
                <w:szCs w:val="16"/>
                <w:lang w:val="en-GB"/>
              </w:rPr>
            </w:pPr>
          </w:p>
        </w:tc>
        <w:tc>
          <w:tcPr>
            <w:tcW w:w="1191" w:type="pct"/>
            <w:vMerge w:val="restart"/>
          </w:tcPr>
          <w:p w14:paraId="263E0914" w14:textId="77777777" w:rsidR="00655D0C" w:rsidRPr="00661736" w:rsidRDefault="00655D0C" w:rsidP="008177C9">
            <w:pPr>
              <w:pStyle w:val="ListParagraph"/>
              <w:ind w:left="360"/>
              <w:rPr>
                <w:sz w:val="16"/>
                <w:szCs w:val="16"/>
                <w:lang w:val="en-GB"/>
              </w:rPr>
            </w:pPr>
          </w:p>
        </w:tc>
        <w:tc>
          <w:tcPr>
            <w:tcW w:w="1071" w:type="pct"/>
            <w:vMerge w:val="restart"/>
            <w:tcMar>
              <w:top w:w="72" w:type="dxa"/>
              <w:left w:w="144" w:type="dxa"/>
              <w:bottom w:w="72" w:type="dxa"/>
              <w:right w:w="144" w:type="dxa"/>
            </w:tcMar>
          </w:tcPr>
          <w:p w14:paraId="34EF05C1" w14:textId="3624F1A4" w:rsidR="00655D0C" w:rsidRPr="00661736" w:rsidRDefault="00655D0C" w:rsidP="000A0652">
            <w:pPr>
              <w:rPr>
                <w:sz w:val="16"/>
                <w:szCs w:val="16"/>
              </w:rPr>
            </w:pPr>
            <w:r w:rsidRPr="00661736">
              <w:rPr>
                <w:sz w:val="16"/>
                <w:szCs w:val="16"/>
                <w:lang w:val="en-GB"/>
              </w:rPr>
              <w:t>Output 3.2.</w:t>
            </w:r>
            <w:r w:rsidR="00916606">
              <w:rPr>
                <w:sz w:val="16"/>
                <w:szCs w:val="16"/>
                <w:lang w:val="en-GB"/>
              </w:rPr>
              <w:t>:</w:t>
            </w:r>
            <w:r w:rsidRPr="00661736">
              <w:t xml:space="preserve"> </w:t>
            </w:r>
            <w:r w:rsidRPr="00661736">
              <w:rPr>
                <w:sz w:val="16"/>
                <w:szCs w:val="16"/>
              </w:rPr>
              <w:t>National and subnational mechanisms and systems are in place to introduce solutions for improved conservation of biodiversity and management of natural resources.</w:t>
            </w:r>
          </w:p>
          <w:p w14:paraId="50BC8D83" w14:textId="77777777" w:rsidR="00655D0C" w:rsidRPr="00661736" w:rsidRDefault="00655D0C" w:rsidP="000A0652">
            <w:pPr>
              <w:rPr>
                <w:sz w:val="16"/>
                <w:szCs w:val="16"/>
              </w:rPr>
            </w:pPr>
          </w:p>
          <w:p w14:paraId="4C24FAF1" w14:textId="3878CE5D" w:rsidR="00655D0C" w:rsidRPr="00661736" w:rsidRDefault="00655D0C" w:rsidP="000A0652">
            <w:pPr>
              <w:pStyle w:val="ListParagraph"/>
              <w:numPr>
                <w:ilvl w:val="0"/>
                <w:numId w:val="30"/>
              </w:numPr>
              <w:ind w:left="360"/>
              <w:rPr>
                <w:sz w:val="16"/>
                <w:szCs w:val="16"/>
              </w:rPr>
            </w:pPr>
            <w:r w:rsidRPr="00661736">
              <w:rPr>
                <w:sz w:val="16"/>
                <w:szCs w:val="16"/>
                <w:lang w:val="en-GB"/>
              </w:rPr>
              <w:t>Indicator 3.2.1</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rPr>
              <w:t>Number of improved policies and frameworks adopted on the conservation and sustainable use of natural resources</w:t>
            </w:r>
            <w:r w:rsidR="00236E26">
              <w:rPr>
                <w:sz w:val="16"/>
                <w:szCs w:val="16"/>
              </w:rPr>
              <w:t>.</w:t>
            </w:r>
          </w:p>
          <w:p w14:paraId="3E18AB25" w14:textId="77777777" w:rsidR="00C40F37" w:rsidRPr="00661736" w:rsidRDefault="00655D0C" w:rsidP="000A0652">
            <w:pPr>
              <w:pStyle w:val="ListParagraph"/>
              <w:ind w:left="360"/>
              <w:rPr>
                <w:sz w:val="16"/>
                <w:szCs w:val="16"/>
                <w:lang w:val="en-GB"/>
              </w:rPr>
            </w:pPr>
            <w:r w:rsidRPr="00661736">
              <w:rPr>
                <w:sz w:val="16"/>
                <w:szCs w:val="16"/>
                <w:lang w:val="en-GB"/>
              </w:rPr>
              <w:t xml:space="preserve">Baseline, 2022: 0 </w:t>
            </w:r>
          </w:p>
          <w:p w14:paraId="7B5754E4" w14:textId="4560AD15" w:rsidR="00655D0C" w:rsidRPr="00661736" w:rsidRDefault="00655D0C" w:rsidP="000A0652">
            <w:pPr>
              <w:pStyle w:val="ListParagraph"/>
              <w:ind w:left="360"/>
              <w:rPr>
                <w:sz w:val="16"/>
                <w:szCs w:val="16"/>
                <w:lang w:val="en-GB"/>
              </w:rPr>
            </w:pPr>
            <w:r w:rsidRPr="00661736">
              <w:rPr>
                <w:sz w:val="16"/>
                <w:szCs w:val="16"/>
                <w:lang w:val="en-GB"/>
              </w:rPr>
              <w:t>Target 2027: 7</w:t>
            </w:r>
          </w:p>
          <w:p w14:paraId="3F5E15F7" w14:textId="3AB30D9B" w:rsidR="00655D0C" w:rsidRPr="00661736" w:rsidRDefault="00655D0C" w:rsidP="00B34D36">
            <w:pPr>
              <w:pStyle w:val="ListParagraph"/>
              <w:ind w:left="360"/>
              <w:rPr>
                <w:sz w:val="16"/>
                <w:szCs w:val="16"/>
                <w:lang w:val="en-GB"/>
              </w:rPr>
            </w:pPr>
            <w:r w:rsidRPr="00661736">
              <w:rPr>
                <w:sz w:val="16"/>
                <w:szCs w:val="16"/>
                <w:lang w:val="en-GB"/>
              </w:rPr>
              <w:t>Data source: Government</w:t>
            </w:r>
          </w:p>
          <w:p w14:paraId="749860B9" w14:textId="77777777" w:rsidR="00655D0C" w:rsidRPr="00661736" w:rsidRDefault="00655D0C" w:rsidP="000A0652">
            <w:pPr>
              <w:pStyle w:val="ListParagraph"/>
              <w:ind w:left="360"/>
              <w:rPr>
                <w:sz w:val="16"/>
                <w:szCs w:val="16"/>
                <w:lang w:val="en-GB"/>
              </w:rPr>
            </w:pPr>
          </w:p>
          <w:p w14:paraId="14C3828F" w14:textId="6ECD2D2C" w:rsidR="00655D0C" w:rsidRPr="00661736" w:rsidRDefault="00655D0C" w:rsidP="000A0652">
            <w:pPr>
              <w:pStyle w:val="ListParagraph"/>
              <w:numPr>
                <w:ilvl w:val="0"/>
                <w:numId w:val="30"/>
              </w:numPr>
              <w:ind w:left="360"/>
              <w:rPr>
                <w:sz w:val="16"/>
                <w:szCs w:val="16"/>
              </w:rPr>
            </w:pPr>
            <w:r w:rsidRPr="00661736">
              <w:rPr>
                <w:sz w:val="16"/>
                <w:szCs w:val="16"/>
              </w:rPr>
              <w:t>Indicator 3.2.2</w:t>
            </w:r>
            <w:r w:rsidR="00916606">
              <w:rPr>
                <w:sz w:val="16"/>
                <w:szCs w:val="16"/>
              </w:rPr>
              <w:t>.</w:t>
            </w:r>
            <w:r w:rsidRPr="00661736">
              <w:rPr>
                <w:sz w:val="16"/>
                <w:szCs w:val="16"/>
              </w:rPr>
              <w:t>: Hectares of ecosystems/lands rehabilitated or sustainably managed, including through rural community-based solutions and plans</w:t>
            </w:r>
            <w:r w:rsidR="00236E26">
              <w:rPr>
                <w:sz w:val="16"/>
                <w:szCs w:val="16"/>
              </w:rPr>
              <w:t>.</w:t>
            </w:r>
            <w:r w:rsidRPr="00661736">
              <w:t xml:space="preserve"> </w:t>
            </w:r>
          </w:p>
          <w:p w14:paraId="2B746A6A" w14:textId="264A30F4" w:rsidR="00655D0C" w:rsidRPr="00661736" w:rsidRDefault="00655D0C" w:rsidP="000A0652">
            <w:pPr>
              <w:pStyle w:val="ListParagraph"/>
              <w:ind w:left="360"/>
              <w:rPr>
                <w:sz w:val="16"/>
                <w:szCs w:val="16"/>
              </w:rPr>
            </w:pPr>
            <w:r w:rsidRPr="00661736">
              <w:rPr>
                <w:sz w:val="16"/>
                <w:szCs w:val="16"/>
              </w:rPr>
              <w:t xml:space="preserve">Baseline, 2020: 226,621 </w:t>
            </w:r>
          </w:p>
          <w:p w14:paraId="2155D549" w14:textId="4256F0E7" w:rsidR="00655D0C" w:rsidRPr="00661736" w:rsidRDefault="00655D0C" w:rsidP="000A0652">
            <w:pPr>
              <w:pStyle w:val="ListParagraph"/>
              <w:ind w:left="360"/>
              <w:rPr>
                <w:sz w:val="16"/>
                <w:szCs w:val="16"/>
                <w:lang w:val="en-GB"/>
              </w:rPr>
            </w:pPr>
            <w:r w:rsidRPr="00661736">
              <w:rPr>
                <w:sz w:val="16"/>
                <w:szCs w:val="16"/>
              </w:rPr>
              <w:t xml:space="preserve">Target 2027: 621,905 </w:t>
            </w:r>
          </w:p>
          <w:p w14:paraId="227728C9" w14:textId="177490FD" w:rsidR="00655D0C" w:rsidRPr="00661736" w:rsidRDefault="00655D0C" w:rsidP="00661736">
            <w:pPr>
              <w:pStyle w:val="ListParagraph"/>
              <w:ind w:left="360"/>
              <w:rPr>
                <w:sz w:val="16"/>
                <w:szCs w:val="16"/>
                <w:lang w:val="en-GB"/>
              </w:rPr>
            </w:pPr>
            <w:r w:rsidRPr="00661736">
              <w:rPr>
                <w:sz w:val="16"/>
                <w:szCs w:val="16"/>
                <w:lang w:val="en-GB"/>
              </w:rPr>
              <w:t>Data source: Government</w:t>
            </w:r>
          </w:p>
        </w:tc>
        <w:tc>
          <w:tcPr>
            <w:tcW w:w="1027" w:type="pct"/>
            <w:vMerge/>
          </w:tcPr>
          <w:p w14:paraId="50647744"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39405A26" w14:textId="77777777" w:rsidR="00655D0C" w:rsidRPr="00661736" w:rsidRDefault="00655D0C" w:rsidP="000A0652">
            <w:pPr>
              <w:rPr>
                <w:b/>
                <w:bCs/>
                <w:sz w:val="16"/>
                <w:szCs w:val="16"/>
              </w:rPr>
            </w:pPr>
            <w:r w:rsidRPr="00661736">
              <w:rPr>
                <w:b/>
                <w:bCs/>
                <w:sz w:val="16"/>
                <w:szCs w:val="16"/>
              </w:rPr>
              <w:t>Regular: $ 1,000,000</w:t>
            </w:r>
          </w:p>
        </w:tc>
      </w:tr>
      <w:tr w:rsidR="00661736" w:rsidRPr="00661736" w14:paraId="053E9BB1" w14:textId="77777777" w:rsidTr="009E5D20">
        <w:tc>
          <w:tcPr>
            <w:tcW w:w="1077" w:type="pct"/>
            <w:vMerge/>
            <w:tcMar>
              <w:top w:w="72" w:type="dxa"/>
              <w:left w:w="144" w:type="dxa"/>
              <w:bottom w:w="72" w:type="dxa"/>
              <w:right w:w="144" w:type="dxa"/>
            </w:tcMar>
          </w:tcPr>
          <w:p w14:paraId="4BFB85F1" w14:textId="77777777" w:rsidR="00655D0C" w:rsidRPr="00661736" w:rsidRDefault="00655D0C" w:rsidP="000A0652">
            <w:pPr>
              <w:rPr>
                <w:sz w:val="16"/>
                <w:szCs w:val="16"/>
                <w:lang w:val="en-GB"/>
              </w:rPr>
            </w:pPr>
          </w:p>
        </w:tc>
        <w:tc>
          <w:tcPr>
            <w:tcW w:w="1191" w:type="pct"/>
            <w:vMerge/>
          </w:tcPr>
          <w:p w14:paraId="0B4E5714" w14:textId="77777777" w:rsidR="00655D0C" w:rsidRPr="00661736" w:rsidRDefault="00655D0C" w:rsidP="000A0652">
            <w:pPr>
              <w:pStyle w:val="ListParagraph"/>
              <w:numPr>
                <w:ilvl w:val="0"/>
                <w:numId w:val="5"/>
              </w:numPr>
              <w:rPr>
                <w:sz w:val="16"/>
                <w:szCs w:val="16"/>
                <w:lang w:val="en-GB"/>
              </w:rPr>
            </w:pPr>
          </w:p>
        </w:tc>
        <w:tc>
          <w:tcPr>
            <w:tcW w:w="1071" w:type="pct"/>
            <w:vMerge/>
            <w:tcMar>
              <w:top w:w="72" w:type="dxa"/>
              <w:left w:w="144" w:type="dxa"/>
              <w:bottom w:w="72" w:type="dxa"/>
              <w:right w:w="144" w:type="dxa"/>
            </w:tcMar>
          </w:tcPr>
          <w:p w14:paraId="576F5CA7" w14:textId="77777777" w:rsidR="00655D0C" w:rsidRPr="00661736" w:rsidRDefault="00655D0C" w:rsidP="000A0652">
            <w:pPr>
              <w:rPr>
                <w:sz w:val="16"/>
                <w:szCs w:val="16"/>
                <w:lang w:val="en-GB"/>
              </w:rPr>
            </w:pPr>
          </w:p>
        </w:tc>
        <w:tc>
          <w:tcPr>
            <w:tcW w:w="1027" w:type="pct"/>
            <w:vMerge/>
          </w:tcPr>
          <w:p w14:paraId="664249F5"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181C2D4C" w14:textId="6E6B14A6" w:rsidR="00655D0C" w:rsidRPr="00661736" w:rsidRDefault="00655D0C" w:rsidP="000A0652">
            <w:pPr>
              <w:rPr>
                <w:b/>
                <w:bCs/>
                <w:sz w:val="16"/>
                <w:szCs w:val="16"/>
              </w:rPr>
            </w:pPr>
            <w:r w:rsidRPr="00661736">
              <w:rPr>
                <w:b/>
                <w:bCs/>
                <w:sz w:val="16"/>
                <w:szCs w:val="16"/>
              </w:rPr>
              <w:t>Other $ 5,400,000</w:t>
            </w:r>
          </w:p>
          <w:p w14:paraId="1DB35E8A" w14:textId="77777777" w:rsidR="00655D0C" w:rsidRPr="00661736" w:rsidRDefault="00655D0C" w:rsidP="00661736">
            <w:pPr>
              <w:rPr>
                <w:b/>
                <w:bCs/>
                <w:sz w:val="16"/>
                <w:szCs w:val="16"/>
                <w:lang w:val="en-GB"/>
              </w:rPr>
            </w:pPr>
          </w:p>
        </w:tc>
      </w:tr>
      <w:tr w:rsidR="00661736" w:rsidRPr="00661736" w14:paraId="63562B50" w14:textId="77777777" w:rsidTr="009E5D20">
        <w:tc>
          <w:tcPr>
            <w:tcW w:w="1077" w:type="pct"/>
            <w:vMerge/>
            <w:tcMar>
              <w:top w:w="72" w:type="dxa"/>
              <w:left w:w="144" w:type="dxa"/>
              <w:bottom w:w="72" w:type="dxa"/>
              <w:right w:w="144" w:type="dxa"/>
            </w:tcMar>
          </w:tcPr>
          <w:p w14:paraId="36EC1B5A" w14:textId="77777777" w:rsidR="00655D0C" w:rsidRPr="00661736" w:rsidRDefault="00655D0C" w:rsidP="008D4E53">
            <w:pPr>
              <w:rPr>
                <w:sz w:val="16"/>
                <w:szCs w:val="16"/>
                <w:lang w:val="en-GB"/>
              </w:rPr>
            </w:pPr>
          </w:p>
        </w:tc>
        <w:tc>
          <w:tcPr>
            <w:tcW w:w="1191" w:type="pct"/>
            <w:vMerge w:val="restart"/>
          </w:tcPr>
          <w:p w14:paraId="1AE22FE1" w14:textId="77777777" w:rsidR="00655D0C" w:rsidRPr="00661736" w:rsidRDefault="00655D0C" w:rsidP="00655D0C">
            <w:pPr>
              <w:pStyle w:val="ListParagraph"/>
              <w:ind w:left="360"/>
              <w:rPr>
                <w:sz w:val="16"/>
                <w:szCs w:val="16"/>
                <w:lang w:val="en-GB"/>
              </w:rPr>
            </w:pPr>
          </w:p>
        </w:tc>
        <w:tc>
          <w:tcPr>
            <w:tcW w:w="1071" w:type="pct"/>
            <w:vMerge w:val="restart"/>
            <w:tcMar>
              <w:top w:w="72" w:type="dxa"/>
              <w:left w:w="144" w:type="dxa"/>
              <w:bottom w:w="72" w:type="dxa"/>
              <w:right w:w="144" w:type="dxa"/>
            </w:tcMar>
          </w:tcPr>
          <w:p w14:paraId="72537897" w14:textId="2F52255D" w:rsidR="00655D0C" w:rsidRPr="00661736" w:rsidRDefault="00655D0C" w:rsidP="000A0652">
            <w:pPr>
              <w:rPr>
                <w:sz w:val="16"/>
                <w:szCs w:val="16"/>
              </w:rPr>
            </w:pPr>
            <w:r w:rsidRPr="00661736">
              <w:rPr>
                <w:sz w:val="16"/>
                <w:szCs w:val="16"/>
                <w:lang w:val="en-GB"/>
              </w:rPr>
              <w:t>Output 3.3.</w:t>
            </w:r>
            <w:r w:rsidR="00916606">
              <w:rPr>
                <w:sz w:val="16"/>
                <w:szCs w:val="16"/>
                <w:lang w:val="en-GB"/>
              </w:rPr>
              <w:t>:</w:t>
            </w:r>
            <w:r w:rsidRPr="00661736">
              <w:rPr>
                <w:lang w:val="en-GB"/>
              </w:rPr>
              <w:t xml:space="preserve"> </w:t>
            </w:r>
            <w:r w:rsidRPr="00661736">
              <w:rPr>
                <w:sz w:val="16"/>
                <w:szCs w:val="16"/>
                <w:lang w:val="en-GB"/>
              </w:rPr>
              <w:t>National, institutional, legal and p</w:t>
            </w:r>
            <w:r w:rsidRPr="00661736">
              <w:rPr>
                <w:sz w:val="16"/>
                <w:szCs w:val="16"/>
              </w:rPr>
              <w:t>olicy frameworks are in place for risk-informed development and building resilience to disaster and climate risk, including through transboundary cooperation.</w:t>
            </w:r>
          </w:p>
          <w:p w14:paraId="2CF93B56" w14:textId="47159853" w:rsidR="00655D0C" w:rsidRPr="00661736" w:rsidRDefault="00655D0C" w:rsidP="000A0652">
            <w:pPr>
              <w:pStyle w:val="ListParagraph"/>
              <w:numPr>
                <w:ilvl w:val="0"/>
                <w:numId w:val="30"/>
              </w:numPr>
              <w:ind w:left="360"/>
              <w:rPr>
                <w:sz w:val="16"/>
                <w:szCs w:val="16"/>
                <w:lang w:val="en-GB"/>
              </w:rPr>
            </w:pPr>
            <w:r w:rsidRPr="00661736">
              <w:rPr>
                <w:sz w:val="16"/>
                <w:szCs w:val="16"/>
                <w:lang w:val="en-GB"/>
              </w:rPr>
              <w:lastRenderedPageBreak/>
              <w:t>Indicator 3.3.1</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shd w:val="clear" w:color="auto" w:fill="FFFFFF"/>
              </w:rPr>
              <w:t xml:space="preserve">Number of regions covered by comprehensive monitoring system. </w:t>
            </w:r>
          </w:p>
          <w:p w14:paraId="70660B56" w14:textId="77777777" w:rsidR="00655D0C" w:rsidRPr="00661736" w:rsidRDefault="00655D0C" w:rsidP="000A0652">
            <w:pPr>
              <w:pStyle w:val="ListParagraph"/>
              <w:ind w:left="360"/>
              <w:rPr>
                <w:sz w:val="16"/>
                <w:szCs w:val="16"/>
                <w:lang w:val="en-GB"/>
              </w:rPr>
            </w:pPr>
            <w:r w:rsidRPr="00661736">
              <w:rPr>
                <w:sz w:val="16"/>
                <w:szCs w:val="16"/>
                <w:lang w:val="en-GB"/>
              </w:rPr>
              <w:t>Baseline, 2020: 1</w:t>
            </w:r>
          </w:p>
          <w:p w14:paraId="15CDCBD2" w14:textId="77777777" w:rsidR="00655D0C" w:rsidRPr="00661736" w:rsidRDefault="00655D0C" w:rsidP="000A0652">
            <w:pPr>
              <w:pStyle w:val="ListParagraph"/>
              <w:ind w:left="360"/>
              <w:rPr>
                <w:rFonts w:asciiTheme="minorHAnsi" w:hAnsiTheme="minorHAnsi"/>
                <w:sz w:val="16"/>
                <w:szCs w:val="16"/>
                <w:lang w:val="ka-GE"/>
              </w:rPr>
            </w:pPr>
            <w:r w:rsidRPr="00661736">
              <w:rPr>
                <w:sz w:val="16"/>
                <w:szCs w:val="16"/>
                <w:lang w:val="en-GB"/>
              </w:rPr>
              <w:t>Target 2027:</w:t>
            </w:r>
            <w:r w:rsidRPr="00661736">
              <w:rPr>
                <w:rFonts w:asciiTheme="minorHAnsi" w:hAnsiTheme="minorHAnsi"/>
                <w:sz w:val="16"/>
                <w:szCs w:val="16"/>
                <w:lang w:val="ka-GE"/>
              </w:rPr>
              <w:t xml:space="preserve"> 7</w:t>
            </w:r>
          </w:p>
          <w:p w14:paraId="46BD9E12" w14:textId="3B28AF9A" w:rsidR="00655D0C" w:rsidRPr="00661736" w:rsidRDefault="00655D0C" w:rsidP="00B34D36">
            <w:pPr>
              <w:pStyle w:val="ListParagraph"/>
              <w:ind w:left="360"/>
              <w:rPr>
                <w:sz w:val="16"/>
                <w:szCs w:val="16"/>
                <w:lang w:val="en-GB"/>
              </w:rPr>
            </w:pPr>
            <w:r w:rsidRPr="00661736">
              <w:rPr>
                <w:sz w:val="16"/>
                <w:szCs w:val="16"/>
                <w:lang w:val="en-GB"/>
              </w:rPr>
              <w:t>Data source: Government</w:t>
            </w:r>
          </w:p>
          <w:p w14:paraId="0AA97747" w14:textId="77777777" w:rsidR="00655D0C" w:rsidRPr="00661736" w:rsidRDefault="00655D0C" w:rsidP="000A0652">
            <w:pPr>
              <w:pStyle w:val="ListParagraph"/>
              <w:ind w:left="360"/>
              <w:rPr>
                <w:sz w:val="16"/>
                <w:szCs w:val="16"/>
                <w:lang w:val="en-GB"/>
              </w:rPr>
            </w:pPr>
          </w:p>
          <w:p w14:paraId="2251847C" w14:textId="03D9A3D3" w:rsidR="00655D0C" w:rsidRPr="00661736" w:rsidRDefault="00655D0C" w:rsidP="000A0652">
            <w:pPr>
              <w:pStyle w:val="ListParagraph"/>
              <w:numPr>
                <w:ilvl w:val="0"/>
                <w:numId w:val="30"/>
              </w:numPr>
              <w:ind w:left="360"/>
              <w:rPr>
                <w:lang w:val="en-GB"/>
              </w:rPr>
            </w:pPr>
            <w:r w:rsidRPr="00661736">
              <w:rPr>
                <w:sz w:val="16"/>
                <w:szCs w:val="16"/>
                <w:lang w:val="en-GB"/>
              </w:rPr>
              <w:t>Indicator 3.3.2</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shd w:val="clear" w:color="auto" w:fill="FFFFFF"/>
              </w:rPr>
              <w:t>Number of regional risk-reduction plans updated</w:t>
            </w:r>
          </w:p>
          <w:p w14:paraId="2C544A89" w14:textId="77777777" w:rsidR="00655D0C" w:rsidRPr="00661736" w:rsidRDefault="00655D0C" w:rsidP="000A0652">
            <w:pPr>
              <w:pStyle w:val="ListParagraph"/>
              <w:ind w:left="360"/>
              <w:rPr>
                <w:lang w:val="en-GB"/>
              </w:rPr>
            </w:pPr>
            <w:r w:rsidRPr="00661736">
              <w:rPr>
                <w:sz w:val="16"/>
                <w:szCs w:val="16"/>
                <w:lang w:val="en-GB"/>
              </w:rPr>
              <w:t>Baseline, 2020: 0</w:t>
            </w:r>
          </w:p>
          <w:p w14:paraId="38BC3A2B" w14:textId="77777777" w:rsidR="00655D0C" w:rsidRPr="00661736" w:rsidRDefault="00655D0C" w:rsidP="000A0652">
            <w:pPr>
              <w:pStyle w:val="ListParagraph"/>
              <w:ind w:left="360"/>
              <w:rPr>
                <w:sz w:val="16"/>
                <w:szCs w:val="16"/>
                <w:lang w:val="en-GB"/>
              </w:rPr>
            </w:pPr>
            <w:r w:rsidRPr="00661736">
              <w:rPr>
                <w:sz w:val="16"/>
                <w:szCs w:val="16"/>
                <w:lang w:val="en-GB"/>
              </w:rPr>
              <w:t>Target 2027: 8</w:t>
            </w:r>
          </w:p>
          <w:p w14:paraId="7365ECFB" w14:textId="4F9697E2" w:rsidR="00655D0C" w:rsidRPr="00661736" w:rsidRDefault="00655D0C" w:rsidP="00B34D36">
            <w:pPr>
              <w:pStyle w:val="ListParagraph"/>
              <w:ind w:left="360"/>
              <w:rPr>
                <w:sz w:val="16"/>
                <w:szCs w:val="16"/>
                <w:lang w:val="en-GB"/>
              </w:rPr>
            </w:pPr>
            <w:r w:rsidRPr="00661736">
              <w:rPr>
                <w:sz w:val="16"/>
                <w:szCs w:val="16"/>
                <w:lang w:val="en-GB"/>
              </w:rPr>
              <w:t>Data source: Government</w:t>
            </w:r>
          </w:p>
          <w:p w14:paraId="5BA9E324" w14:textId="77777777" w:rsidR="00655D0C" w:rsidRPr="00661736" w:rsidRDefault="00655D0C" w:rsidP="000A0652">
            <w:pPr>
              <w:rPr>
                <w:sz w:val="16"/>
                <w:szCs w:val="16"/>
                <w:lang w:val="en-GB"/>
              </w:rPr>
            </w:pPr>
          </w:p>
          <w:p w14:paraId="70B0F419" w14:textId="7093523A" w:rsidR="00655D0C" w:rsidRPr="00661736" w:rsidRDefault="00655D0C" w:rsidP="000A0652">
            <w:pPr>
              <w:pStyle w:val="ListParagraph"/>
              <w:numPr>
                <w:ilvl w:val="0"/>
                <w:numId w:val="30"/>
              </w:numPr>
              <w:ind w:left="366"/>
              <w:rPr>
                <w:sz w:val="16"/>
                <w:szCs w:val="16"/>
                <w:lang w:val="en-GB"/>
              </w:rPr>
            </w:pPr>
            <w:r w:rsidRPr="00661736">
              <w:rPr>
                <w:sz w:val="16"/>
                <w:szCs w:val="16"/>
                <w:lang w:val="en-GB"/>
              </w:rPr>
              <w:t>Indicator 3.3.3</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shd w:val="clear" w:color="auto" w:fill="FFFFFF"/>
              </w:rPr>
              <w:t xml:space="preserve">Number of sustainable community initiatives to reduce multi hazards with improved preparedness and infrastructure. </w:t>
            </w:r>
          </w:p>
          <w:p w14:paraId="4F914490" w14:textId="77777777" w:rsidR="00655D0C" w:rsidRPr="00661736" w:rsidRDefault="00655D0C" w:rsidP="000A0652">
            <w:pPr>
              <w:pStyle w:val="ListParagraph"/>
              <w:ind w:left="360"/>
              <w:rPr>
                <w:sz w:val="16"/>
                <w:szCs w:val="16"/>
                <w:lang w:val="en-GB"/>
              </w:rPr>
            </w:pPr>
            <w:r w:rsidRPr="00661736">
              <w:rPr>
                <w:sz w:val="16"/>
                <w:szCs w:val="16"/>
                <w:lang w:val="en-GB"/>
              </w:rPr>
              <w:t>Baseline, 2020: 0</w:t>
            </w:r>
          </w:p>
          <w:p w14:paraId="13002E4B" w14:textId="77777777" w:rsidR="00655D0C" w:rsidRPr="00661736" w:rsidRDefault="00655D0C" w:rsidP="000A0652">
            <w:pPr>
              <w:pStyle w:val="ListParagraph"/>
              <w:ind w:left="360"/>
              <w:rPr>
                <w:sz w:val="16"/>
                <w:szCs w:val="16"/>
                <w:lang w:val="en-GB"/>
              </w:rPr>
            </w:pPr>
            <w:r w:rsidRPr="00661736">
              <w:rPr>
                <w:sz w:val="16"/>
                <w:szCs w:val="16"/>
                <w:lang w:val="en-GB"/>
              </w:rPr>
              <w:t>Target 2027: 7</w:t>
            </w:r>
          </w:p>
          <w:p w14:paraId="08FCAEE5" w14:textId="29DA40E3" w:rsidR="00655D0C" w:rsidRPr="00661736" w:rsidRDefault="00655D0C" w:rsidP="00661736">
            <w:pPr>
              <w:pStyle w:val="ListParagraph"/>
              <w:ind w:left="360"/>
              <w:rPr>
                <w:sz w:val="16"/>
                <w:szCs w:val="16"/>
                <w:lang w:val="en-GB"/>
              </w:rPr>
            </w:pPr>
            <w:r w:rsidRPr="00661736">
              <w:rPr>
                <w:sz w:val="16"/>
                <w:szCs w:val="16"/>
                <w:lang w:val="en-GB"/>
              </w:rPr>
              <w:t>Data source: Government</w:t>
            </w:r>
          </w:p>
        </w:tc>
        <w:tc>
          <w:tcPr>
            <w:tcW w:w="1027" w:type="pct"/>
            <w:vMerge/>
          </w:tcPr>
          <w:p w14:paraId="60CE2AC8"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604C1F35" w14:textId="77777777" w:rsidR="00655D0C" w:rsidRPr="00661736" w:rsidRDefault="00655D0C" w:rsidP="000A0652">
            <w:pPr>
              <w:rPr>
                <w:sz w:val="16"/>
                <w:szCs w:val="16"/>
                <w:lang w:val="en-GB"/>
              </w:rPr>
            </w:pPr>
            <w:r w:rsidRPr="00661736">
              <w:rPr>
                <w:b/>
                <w:bCs/>
                <w:sz w:val="16"/>
                <w:szCs w:val="16"/>
              </w:rPr>
              <w:t>Regular: $ 1,350,000</w:t>
            </w:r>
          </w:p>
        </w:tc>
      </w:tr>
      <w:tr w:rsidR="00661736" w:rsidRPr="00661736" w14:paraId="390CE5AA" w14:textId="77777777" w:rsidTr="009E5D20">
        <w:tc>
          <w:tcPr>
            <w:tcW w:w="1077" w:type="pct"/>
            <w:vMerge/>
            <w:tcMar>
              <w:top w:w="72" w:type="dxa"/>
              <w:left w:w="144" w:type="dxa"/>
              <w:bottom w:w="72" w:type="dxa"/>
              <w:right w:w="144" w:type="dxa"/>
            </w:tcMar>
          </w:tcPr>
          <w:p w14:paraId="7BC88DF3" w14:textId="77777777" w:rsidR="00655D0C" w:rsidRPr="00661736" w:rsidRDefault="00655D0C" w:rsidP="000A0652">
            <w:pPr>
              <w:rPr>
                <w:sz w:val="16"/>
                <w:szCs w:val="16"/>
                <w:lang w:val="en-GB"/>
              </w:rPr>
            </w:pPr>
          </w:p>
        </w:tc>
        <w:tc>
          <w:tcPr>
            <w:tcW w:w="1191" w:type="pct"/>
            <w:vMerge/>
          </w:tcPr>
          <w:p w14:paraId="57FAA713" w14:textId="77777777" w:rsidR="00655D0C" w:rsidRPr="00661736" w:rsidRDefault="00655D0C" w:rsidP="000A0652">
            <w:pPr>
              <w:pStyle w:val="ListParagraph"/>
              <w:numPr>
                <w:ilvl w:val="0"/>
                <w:numId w:val="5"/>
              </w:numPr>
              <w:rPr>
                <w:sz w:val="16"/>
                <w:szCs w:val="16"/>
                <w:lang w:val="en-GB"/>
              </w:rPr>
            </w:pPr>
          </w:p>
        </w:tc>
        <w:tc>
          <w:tcPr>
            <w:tcW w:w="1071" w:type="pct"/>
            <w:vMerge/>
            <w:tcMar>
              <w:top w:w="72" w:type="dxa"/>
              <w:left w:w="144" w:type="dxa"/>
              <w:bottom w:w="72" w:type="dxa"/>
              <w:right w:w="144" w:type="dxa"/>
            </w:tcMar>
          </w:tcPr>
          <w:p w14:paraId="45E87139" w14:textId="77777777" w:rsidR="00655D0C" w:rsidRPr="00661736" w:rsidRDefault="00655D0C" w:rsidP="000A0652">
            <w:pPr>
              <w:rPr>
                <w:sz w:val="16"/>
                <w:szCs w:val="16"/>
                <w:lang w:val="en-GB"/>
              </w:rPr>
            </w:pPr>
          </w:p>
        </w:tc>
        <w:tc>
          <w:tcPr>
            <w:tcW w:w="1027" w:type="pct"/>
            <w:vMerge/>
          </w:tcPr>
          <w:p w14:paraId="014C7213"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6CC0F8A0" w14:textId="77777777" w:rsidR="00655D0C" w:rsidRPr="00661736" w:rsidRDefault="00655D0C" w:rsidP="000A0652">
            <w:pPr>
              <w:rPr>
                <w:b/>
                <w:bCs/>
                <w:sz w:val="16"/>
                <w:szCs w:val="16"/>
              </w:rPr>
            </w:pPr>
            <w:r w:rsidRPr="00661736">
              <w:rPr>
                <w:b/>
                <w:bCs/>
                <w:sz w:val="16"/>
                <w:szCs w:val="16"/>
              </w:rPr>
              <w:t>Other $ 18,000,000</w:t>
            </w:r>
          </w:p>
          <w:p w14:paraId="52DB104B" w14:textId="79D8F462" w:rsidR="00655D0C" w:rsidRPr="00661736" w:rsidRDefault="00655D0C" w:rsidP="000A0652">
            <w:pPr>
              <w:rPr>
                <w:sz w:val="16"/>
                <w:szCs w:val="16"/>
                <w:lang w:val="en-GB"/>
              </w:rPr>
            </w:pPr>
          </w:p>
        </w:tc>
      </w:tr>
      <w:tr w:rsidR="00661736" w:rsidRPr="00661736" w14:paraId="4FC15F39" w14:textId="77777777" w:rsidTr="004761DE">
        <w:tc>
          <w:tcPr>
            <w:tcW w:w="5000" w:type="pct"/>
            <w:gridSpan w:val="5"/>
            <w:shd w:val="clear" w:color="auto" w:fill="DBE5F1" w:themeFill="accent1" w:themeFillTint="33"/>
            <w:tcMar>
              <w:top w:w="72" w:type="dxa"/>
              <w:left w:w="144" w:type="dxa"/>
              <w:bottom w:w="72" w:type="dxa"/>
              <w:right w:w="144" w:type="dxa"/>
            </w:tcMar>
          </w:tcPr>
          <w:p w14:paraId="3ED36B1F" w14:textId="50E6BE30" w:rsidR="000A0652" w:rsidRPr="00661736" w:rsidRDefault="000A0652" w:rsidP="000A0652">
            <w:pPr>
              <w:rPr>
                <w:sz w:val="16"/>
                <w:szCs w:val="16"/>
                <w:lang w:val="en-GB"/>
              </w:rPr>
            </w:pPr>
            <w:r w:rsidRPr="00661736">
              <w:rPr>
                <w:b/>
                <w:bCs/>
                <w:sz w:val="16"/>
                <w:szCs w:val="16"/>
                <w:lang w:val="en-GB"/>
              </w:rPr>
              <w:t xml:space="preserve">NATIONAL PRIORITY OR GOAL: </w:t>
            </w:r>
            <w:r w:rsidR="009177BF" w:rsidRPr="00661736">
              <w:rPr>
                <w:bCs/>
                <w:sz w:val="16"/>
                <w:szCs w:val="16"/>
                <w:lang w:val="en-GB"/>
              </w:rPr>
              <w:t>J</w:t>
            </w:r>
            <w:r w:rsidR="00CB420C" w:rsidRPr="00661736">
              <w:rPr>
                <w:bCs/>
                <w:sz w:val="16"/>
                <w:szCs w:val="16"/>
                <w:lang w:val="en-GB"/>
              </w:rPr>
              <w:t xml:space="preserve">ust, accountable, and inclusive institutions and civil society </w:t>
            </w:r>
            <w:r w:rsidR="009177BF" w:rsidRPr="00661736">
              <w:rPr>
                <w:bCs/>
                <w:sz w:val="16"/>
                <w:szCs w:val="16"/>
                <w:lang w:val="en-GB"/>
              </w:rPr>
              <w:t xml:space="preserve">promoting </w:t>
            </w:r>
            <w:r w:rsidR="00CB420C" w:rsidRPr="00661736">
              <w:rPr>
                <w:bCs/>
                <w:sz w:val="16"/>
                <w:szCs w:val="16"/>
                <w:lang w:val="en-GB"/>
              </w:rPr>
              <w:t>peace, cohesion, and human rights for all.</w:t>
            </w:r>
            <w:r w:rsidR="009177BF" w:rsidRPr="00661736">
              <w:rPr>
                <w:bCs/>
                <w:sz w:val="16"/>
                <w:szCs w:val="16"/>
                <w:lang w:val="en-GB"/>
              </w:rPr>
              <w:t xml:space="preserve"> S</w:t>
            </w:r>
            <w:r w:rsidR="00FA03F2" w:rsidRPr="00661736">
              <w:rPr>
                <w:bCs/>
                <w:sz w:val="16"/>
                <w:szCs w:val="16"/>
                <w:lang w:val="en-GB"/>
              </w:rPr>
              <w:t xml:space="preserve">ustainable </w:t>
            </w:r>
            <w:r w:rsidR="009177BF" w:rsidRPr="00661736">
              <w:rPr>
                <w:bCs/>
                <w:sz w:val="16"/>
                <w:szCs w:val="16"/>
                <w:lang w:val="en-GB"/>
              </w:rPr>
              <w:t>D</w:t>
            </w:r>
            <w:r w:rsidR="00FA03F2" w:rsidRPr="00661736">
              <w:rPr>
                <w:bCs/>
                <w:sz w:val="16"/>
                <w:szCs w:val="16"/>
                <w:lang w:val="en-GB"/>
              </w:rPr>
              <w:t xml:space="preserve">evelopment </w:t>
            </w:r>
            <w:r w:rsidR="009177BF" w:rsidRPr="00661736">
              <w:rPr>
                <w:bCs/>
                <w:sz w:val="16"/>
                <w:szCs w:val="16"/>
                <w:lang w:val="en-GB"/>
              </w:rPr>
              <w:t>G</w:t>
            </w:r>
            <w:r w:rsidR="00FA03F2" w:rsidRPr="00661736">
              <w:rPr>
                <w:bCs/>
                <w:sz w:val="16"/>
                <w:szCs w:val="16"/>
                <w:lang w:val="en-GB"/>
              </w:rPr>
              <w:t>oal</w:t>
            </w:r>
            <w:r w:rsidR="009177BF" w:rsidRPr="00661736">
              <w:rPr>
                <w:bCs/>
                <w:sz w:val="16"/>
                <w:szCs w:val="16"/>
                <w:lang w:val="en-GB"/>
              </w:rPr>
              <w:t xml:space="preserve">s </w:t>
            </w:r>
            <w:r w:rsidR="000843A9" w:rsidRPr="00661736">
              <w:rPr>
                <w:bCs/>
                <w:sz w:val="16"/>
                <w:szCs w:val="16"/>
                <w:lang w:val="en-GB"/>
              </w:rPr>
              <w:t xml:space="preserve">3, </w:t>
            </w:r>
            <w:r w:rsidR="009177BF" w:rsidRPr="00661736">
              <w:rPr>
                <w:bCs/>
                <w:sz w:val="16"/>
                <w:szCs w:val="16"/>
                <w:lang w:val="en-GB"/>
              </w:rPr>
              <w:t>5, 10, 16</w:t>
            </w:r>
            <w:r w:rsidR="00916606">
              <w:rPr>
                <w:bCs/>
                <w:sz w:val="16"/>
                <w:szCs w:val="16"/>
                <w:lang w:val="en-GB"/>
              </w:rPr>
              <w:t>.</w:t>
            </w:r>
          </w:p>
        </w:tc>
      </w:tr>
      <w:tr w:rsidR="00661736" w:rsidRPr="00661736" w14:paraId="64A6D5A5" w14:textId="77777777" w:rsidTr="004761DE">
        <w:tc>
          <w:tcPr>
            <w:tcW w:w="5000" w:type="pct"/>
            <w:gridSpan w:val="5"/>
            <w:shd w:val="clear" w:color="auto" w:fill="DBE5F1" w:themeFill="accent1" w:themeFillTint="33"/>
            <w:tcMar>
              <w:top w:w="72" w:type="dxa"/>
              <w:left w:w="144" w:type="dxa"/>
              <w:bottom w:w="72" w:type="dxa"/>
              <w:right w:w="144" w:type="dxa"/>
            </w:tcMar>
          </w:tcPr>
          <w:p w14:paraId="486EFB2D" w14:textId="10ED4C8F" w:rsidR="000A0652" w:rsidRPr="00661736" w:rsidRDefault="000A0652" w:rsidP="000A0652">
            <w:pPr>
              <w:rPr>
                <w:b/>
                <w:bCs/>
                <w:sz w:val="16"/>
                <w:szCs w:val="16"/>
              </w:rPr>
            </w:pPr>
            <w:r w:rsidRPr="00661736">
              <w:rPr>
                <w:b/>
                <w:bCs/>
                <w:sz w:val="16"/>
                <w:szCs w:val="16"/>
                <w:lang w:val="en-GB"/>
              </w:rPr>
              <w:t>COOPERATION FRAMEWORK (OR EQUIVALENT) OUTCOME INVOLVING UNDP #4</w:t>
            </w:r>
            <w:bookmarkStart w:id="6" w:name="_Hlk103361422"/>
            <w:r w:rsidRPr="00661736">
              <w:rPr>
                <w:b/>
                <w:bCs/>
                <w:sz w:val="16"/>
                <w:szCs w:val="16"/>
                <w:lang w:val="en-GB"/>
              </w:rPr>
              <w:t>:</w:t>
            </w:r>
            <w:r w:rsidRPr="00661736">
              <w:rPr>
                <w:sz w:val="16"/>
                <w:szCs w:val="16"/>
                <w:lang w:val="en-GB"/>
              </w:rPr>
              <w:t xml:space="preserve"> </w:t>
            </w:r>
            <w:r w:rsidRPr="00661736">
              <w:rPr>
                <w:b/>
                <w:bCs/>
                <w:sz w:val="16"/>
                <w:szCs w:val="16"/>
              </w:rPr>
              <w:t xml:space="preserve"> </w:t>
            </w:r>
            <w:bookmarkStart w:id="7" w:name="_Hlk103605125"/>
            <w:r w:rsidR="00001195" w:rsidRPr="00661736">
              <w:rPr>
                <w:b/>
                <w:bCs/>
                <w:sz w:val="16"/>
                <w:szCs w:val="16"/>
              </w:rPr>
              <w:t>By 2027, all people in the Kyrgyz Republic enjoy the benefits of fair and accountable democratic institutions that are free from corruption and apply innovative solutions that promote respect for human rights and strengthen peace and cohesion</w:t>
            </w:r>
            <w:bookmarkEnd w:id="6"/>
            <w:bookmarkEnd w:id="7"/>
            <w:r w:rsidR="00916606">
              <w:rPr>
                <w:b/>
                <w:bCs/>
                <w:sz w:val="16"/>
                <w:szCs w:val="16"/>
              </w:rPr>
              <w:t>.</w:t>
            </w:r>
          </w:p>
        </w:tc>
      </w:tr>
      <w:tr w:rsidR="00661736" w:rsidRPr="00661736" w14:paraId="2DBB3676" w14:textId="77777777" w:rsidTr="004761DE">
        <w:tc>
          <w:tcPr>
            <w:tcW w:w="5000" w:type="pct"/>
            <w:gridSpan w:val="5"/>
            <w:shd w:val="clear" w:color="auto" w:fill="DBE5F1" w:themeFill="accent1" w:themeFillTint="33"/>
            <w:tcMar>
              <w:top w:w="72" w:type="dxa"/>
              <w:left w:w="144" w:type="dxa"/>
              <w:bottom w:w="72" w:type="dxa"/>
              <w:right w:w="144" w:type="dxa"/>
            </w:tcMar>
          </w:tcPr>
          <w:p w14:paraId="6F5F1526" w14:textId="5FBBF76F" w:rsidR="000A0652" w:rsidRPr="00661736" w:rsidRDefault="000A0652" w:rsidP="000A0652">
            <w:pPr>
              <w:rPr>
                <w:sz w:val="16"/>
                <w:szCs w:val="16"/>
                <w:lang w:val="en-GB"/>
              </w:rPr>
            </w:pPr>
            <w:r w:rsidRPr="00661736">
              <w:rPr>
                <w:b/>
                <w:bCs/>
                <w:sz w:val="16"/>
                <w:szCs w:val="16"/>
                <w:lang w:val="en-GB"/>
              </w:rPr>
              <w:t xml:space="preserve">RELATED STRATEGIC PLAN OUTCOME: </w:t>
            </w:r>
            <w:r w:rsidRPr="00661736">
              <w:rPr>
                <w:sz w:val="16"/>
                <w:szCs w:val="16"/>
              </w:rPr>
              <w:t>1) Structural transformation accelerated, particularly green, inclusive and digital transitions</w:t>
            </w:r>
            <w:r w:rsidR="00916606">
              <w:rPr>
                <w:sz w:val="16"/>
                <w:szCs w:val="16"/>
              </w:rPr>
              <w:t>.</w:t>
            </w:r>
            <w:r w:rsidRPr="00661736">
              <w:rPr>
                <w:sz w:val="16"/>
                <w:szCs w:val="16"/>
              </w:rPr>
              <w:t xml:space="preserve"> </w:t>
            </w:r>
          </w:p>
        </w:tc>
      </w:tr>
      <w:tr w:rsidR="00661736" w:rsidRPr="00661736" w14:paraId="6EBEFD3A" w14:textId="77777777" w:rsidTr="009E5D20">
        <w:tc>
          <w:tcPr>
            <w:tcW w:w="1077" w:type="pct"/>
            <w:vMerge w:val="restart"/>
            <w:tcMar>
              <w:top w:w="72" w:type="dxa"/>
              <w:left w:w="144" w:type="dxa"/>
              <w:bottom w:w="72" w:type="dxa"/>
              <w:right w:w="144" w:type="dxa"/>
            </w:tcMar>
          </w:tcPr>
          <w:p w14:paraId="5A344CDB" w14:textId="1BD1FD1E" w:rsidR="00655D0C" w:rsidRPr="00661736" w:rsidRDefault="00655D0C" w:rsidP="00E41991">
            <w:pPr>
              <w:rPr>
                <w:b/>
                <w:bCs/>
                <w:sz w:val="16"/>
                <w:szCs w:val="16"/>
                <w:lang w:val="en-GB"/>
              </w:rPr>
            </w:pPr>
            <w:r w:rsidRPr="00661736">
              <w:rPr>
                <w:b/>
                <w:bCs/>
                <w:sz w:val="16"/>
                <w:szCs w:val="16"/>
                <w:lang w:val="en-GB"/>
              </w:rPr>
              <w:t>Outcome Indicators:</w:t>
            </w:r>
          </w:p>
          <w:p w14:paraId="2AFA5A77" w14:textId="77777777" w:rsidR="00655D0C" w:rsidRPr="00661736" w:rsidRDefault="00655D0C" w:rsidP="0042413A">
            <w:pPr>
              <w:rPr>
                <w:sz w:val="16"/>
                <w:szCs w:val="16"/>
              </w:rPr>
            </w:pPr>
          </w:p>
          <w:p w14:paraId="540EE686" w14:textId="40180681" w:rsidR="00655D0C" w:rsidRPr="00661736" w:rsidRDefault="00655D0C" w:rsidP="00655D0C">
            <w:pPr>
              <w:pStyle w:val="ListParagraph"/>
              <w:numPr>
                <w:ilvl w:val="0"/>
                <w:numId w:val="5"/>
              </w:numPr>
              <w:ind w:left="210"/>
              <w:rPr>
                <w:sz w:val="16"/>
                <w:szCs w:val="16"/>
              </w:rPr>
            </w:pPr>
            <w:r w:rsidRPr="00661736">
              <w:rPr>
                <w:sz w:val="16"/>
                <w:szCs w:val="16"/>
              </w:rPr>
              <w:t>Individual corruption perception of state bodies and local governance</w:t>
            </w:r>
            <w:r w:rsidR="00916606">
              <w:rPr>
                <w:sz w:val="16"/>
                <w:szCs w:val="16"/>
              </w:rPr>
              <w:t>.</w:t>
            </w:r>
          </w:p>
          <w:p w14:paraId="6352F22B" w14:textId="7D2A69D9" w:rsidR="00655D0C" w:rsidRPr="00661736" w:rsidRDefault="00655D0C" w:rsidP="00655D0C">
            <w:pPr>
              <w:ind w:left="210"/>
              <w:rPr>
                <w:sz w:val="16"/>
                <w:szCs w:val="16"/>
              </w:rPr>
            </w:pPr>
            <w:r w:rsidRPr="00661736">
              <w:rPr>
                <w:sz w:val="16"/>
                <w:szCs w:val="16"/>
              </w:rPr>
              <w:t>Baseline (</w:t>
            </w:r>
            <w:r w:rsidR="00815CEE" w:rsidRPr="00661736">
              <w:rPr>
                <w:sz w:val="16"/>
                <w:szCs w:val="16"/>
              </w:rPr>
              <w:t>202</w:t>
            </w:r>
            <w:r w:rsidR="008F2628" w:rsidRPr="00661736">
              <w:rPr>
                <w:sz w:val="16"/>
                <w:szCs w:val="16"/>
              </w:rPr>
              <w:t>1</w:t>
            </w:r>
            <w:r w:rsidRPr="00661736">
              <w:rPr>
                <w:sz w:val="16"/>
                <w:szCs w:val="16"/>
              </w:rPr>
              <w:t>): rank 144/180</w:t>
            </w:r>
            <w:r w:rsidRPr="00661736">
              <w:rPr>
                <w:sz w:val="16"/>
                <w:szCs w:val="16"/>
              </w:rPr>
              <w:br/>
              <w:t>Target (</w:t>
            </w:r>
            <w:r w:rsidR="00815CEE" w:rsidRPr="00661736">
              <w:rPr>
                <w:sz w:val="16"/>
                <w:szCs w:val="16"/>
              </w:rPr>
              <w:t>2027</w:t>
            </w:r>
            <w:r w:rsidRPr="00661736">
              <w:rPr>
                <w:sz w:val="16"/>
                <w:szCs w:val="16"/>
              </w:rPr>
              <w:t>): improvement of</w:t>
            </w:r>
            <w:r w:rsidRPr="00661736">
              <w:rPr>
                <w:sz w:val="16"/>
                <w:szCs w:val="16"/>
              </w:rPr>
              <w:br/>
              <w:t>the country’s global</w:t>
            </w:r>
            <w:r w:rsidRPr="00661736">
              <w:rPr>
                <w:sz w:val="16"/>
                <w:szCs w:val="16"/>
              </w:rPr>
              <w:br/>
              <w:t>ranking and/or</w:t>
            </w:r>
            <w:r w:rsidRPr="00661736">
              <w:rPr>
                <w:sz w:val="16"/>
                <w:szCs w:val="16"/>
              </w:rPr>
              <w:br/>
              <w:t>overall score</w:t>
            </w:r>
          </w:p>
          <w:p w14:paraId="4D9E35CC" w14:textId="77777777" w:rsidR="00655D0C" w:rsidRPr="00661736" w:rsidRDefault="00655D0C" w:rsidP="00655D0C">
            <w:pPr>
              <w:ind w:left="210"/>
              <w:rPr>
                <w:sz w:val="16"/>
                <w:szCs w:val="16"/>
              </w:rPr>
            </w:pPr>
          </w:p>
          <w:p w14:paraId="5AAE8968" w14:textId="1C649CF8" w:rsidR="00655D0C" w:rsidRPr="00661736" w:rsidRDefault="00655D0C" w:rsidP="00655D0C">
            <w:pPr>
              <w:pStyle w:val="ListParagraph"/>
              <w:numPr>
                <w:ilvl w:val="0"/>
                <w:numId w:val="5"/>
              </w:numPr>
              <w:ind w:left="210"/>
              <w:rPr>
                <w:sz w:val="16"/>
                <w:szCs w:val="16"/>
              </w:rPr>
            </w:pPr>
            <w:r w:rsidRPr="00661736">
              <w:rPr>
                <w:sz w:val="16"/>
                <w:szCs w:val="16"/>
              </w:rPr>
              <w:t xml:space="preserve">Executive branch of the </w:t>
            </w:r>
            <w:r w:rsidR="00916606">
              <w:rPr>
                <w:sz w:val="16"/>
                <w:szCs w:val="16"/>
              </w:rPr>
              <w:t>g</w:t>
            </w:r>
            <w:r w:rsidRPr="00661736">
              <w:rPr>
                <w:sz w:val="16"/>
                <w:szCs w:val="16"/>
              </w:rPr>
              <w:t>overnment satisfaction index</w:t>
            </w:r>
            <w:r w:rsidR="00916606">
              <w:rPr>
                <w:sz w:val="16"/>
                <w:szCs w:val="16"/>
              </w:rPr>
              <w:t>.</w:t>
            </w:r>
          </w:p>
          <w:p w14:paraId="7CFE5CA6" w14:textId="28DCD506" w:rsidR="00655D0C" w:rsidRPr="00661736" w:rsidRDefault="00655D0C" w:rsidP="00655D0C">
            <w:pPr>
              <w:ind w:left="210"/>
              <w:rPr>
                <w:sz w:val="16"/>
                <w:szCs w:val="16"/>
              </w:rPr>
            </w:pPr>
            <w:r w:rsidRPr="00661736">
              <w:rPr>
                <w:sz w:val="16"/>
                <w:szCs w:val="16"/>
              </w:rPr>
              <w:t>Baseline (</w:t>
            </w:r>
            <w:r w:rsidR="00815CEE" w:rsidRPr="00661736">
              <w:rPr>
                <w:sz w:val="16"/>
                <w:szCs w:val="16"/>
              </w:rPr>
              <w:t>20</w:t>
            </w:r>
            <w:r w:rsidR="008F2628" w:rsidRPr="00661736">
              <w:rPr>
                <w:sz w:val="16"/>
                <w:szCs w:val="16"/>
              </w:rPr>
              <w:t>19</w:t>
            </w:r>
            <w:r w:rsidRPr="00661736">
              <w:rPr>
                <w:sz w:val="16"/>
                <w:szCs w:val="16"/>
              </w:rPr>
              <w:t>): 27</w:t>
            </w:r>
            <w:r w:rsidR="00A80622">
              <w:rPr>
                <w:sz w:val="16"/>
                <w:szCs w:val="16"/>
              </w:rPr>
              <w:t>.</w:t>
            </w:r>
            <w:r w:rsidRPr="00661736">
              <w:rPr>
                <w:sz w:val="16"/>
                <w:szCs w:val="16"/>
              </w:rPr>
              <w:t>3</w:t>
            </w:r>
            <w:r w:rsidRPr="00661736">
              <w:rPr>
                <w:sz w:val="16"/>
                <w:szCs w:val="16"/>
              </w:rPr>
              <w:br/>
              <w:t>Target (</w:t>
            </w:r>
            <w:r w:rsidR="00815CEE" w:rsidRPr="00661736">
              <w:rPr>
                <w:sz w:val="16"/>
                <w:szCs w:val="16"/>
              </w:rPr>
              <w:t>2027</w:t>
            </w:r>
            <w:r w:rsidRPr="00661736">
              <w:rPr>
                <w:sz w:val="16"/>
                <w:szCs w:val="16"/>
              </w:rPr>
              <w:t xml:space="preserve">): to be provided </w:t>
            </w:r>
          </w:p>
          <w:p w14:paraId="7F4F1D45" w14:textId="0CCB42B0" w:rsidR="00655D0C" w:rsidRPr="00661736" w:rsidRDefault="00655D0C" w:rsidP="00655D0C">
            <w:pPr>
              <w:ind w:left="210"/>
              <w:rPr>
                <w:sz w:val="16"/>
                <w:szCs w:val="16"/>
              </w:rPr>
            </w:pPr>
          </w:p>
          <w:p w14:paraId="12BC3B1C" w14:textId="420D7B11" w:rsidR="00655D0C" w:rsidRPr="00661736" w:rsidRDefault="00655D0C" w:rsidP="00655D0C">
            <w:pPr>
              <w:pStyle w:val="ListParagraph"/>
              <w:numPr>
                <w:ilvl w:val="0"/>
                <w:numId w:val="5"/>
              </w:numPr>
              <w:ind w:left="210"/>
              <w:rPr>
                <w:sz w:val="16"/>
                <w:szCs w:val="16"/>
              </w:rPr>
            </w:pPr>
            <w:r w:rsidRPr="00661736">
              <w:rPr>
                <w:sz w:val="16"/>
                <w:szCs w:val="16"/>
              </w:rPr>
              <w:lastRenderedPageBreak/>
              <w:t>Proportion of seats held by women in a) national parliaments; b) local councils</w:t>
            </w:r>
            <w:r w:rsidR="00916606">
              <w:rPr>
                <w:sz w:val="16"/>
                <w:szCs w:val="16"/>
              </w:rPr>
              <w:t>.</w:t>
            </w:r>
          </w:p>
          <w:p w14:paraId="6E1889DC" w14:textId="079ACC99" w:rsidR="00655D0C" w:rsidRPr="00661736" w:rsidRDefault="00655D0C" w:rsidP="00655D0C">
            <w:pPr>
              <w:ind w:left="210"/>
              <w:rPr>
                <w:sz w:val="16"/>
                <w:szCs w:val="16"/>
              </w:rPr>
            </w:pPr>
            <w:r w:rsidRPr="00661736">
              <w:rPr>
                <w:sz w:val="16"/>
                <w:szCs w:val="16"/>
              </w:rPr>
              <w:t>Baseline (</w:t>
            </w:r>
            <w:r w:rsidR="00815CEE" w:rsidRPr="00661736">
              <w:rPr>
                <w:sz w:val="16"/>
                <w:szCs w:val="16"/>
              </w:rPr>
              <w:t>2020</w:t>
            </w:r>
            <w:r w:rsidRPr="00661736">
              <w:rPr>
                <w:sz w:val="16"/>
                <w:szCs w:val="16"/>
              </w:rPr>
              <w:t>): (a) 16</w:t>
            </w:r>
            <w:r w:rsidR="00A80622">
              <w:rPr>
                <w:sz w:val="16"/>
                <w:szCs w:val="16"/>
              </w:rPr>
              <w:t>.</w:t>
            </w:r>
            <w:r w:rsidRPr="00661736">
              <w:rPr>
                <w:sz w:val="16"/>
                <w:szCs w:val="16"/>
              </w:rPr>
              <w:t>7 per cent; (b) 10</w:t>
            </w:r>
            <w:r w:rsidR="00727ECE">
              <w:rPr>
                <w:sz w:val="16"/>
                <w:szCs w:val="16"/>
              </w:rPr>
              <w:t>per cent</w:t>
            </w:r>
            <w:r w:rsidRPr="00661736">
              <w:rPr>
                <w:sz w:val="16"/>
                <w:szCs w:val="16"/>
              </w:rPr>
              <w:br/>
              <w:t>Target (</w:t>
            </w:r>
            <w:r w:rsidR="00815CEE" w:rsidRPr="00661736">
              <w:rPr>
                <w:sz w:val="16"/>
                <w:szCs w:val="16"/>
              </w:rPr>
              <w:t>2027</w:t>
            </w:r>
            <w:r w:rsidRPr="00661736">
              <w:rPr>
                <w:sz w:val="16"/>
                <w:szCs w:val="16"/>
              </w:rPr>
              <w:t>): to be provided</w:t>
            </w:r>
          </w:p>
          <w:p w14:paraId="70BF4157" w14:textId="77777777" w:rsidR="00655D0C" w:rsidRPr="00661736" w:rsidRDefault="00655D0C" w:rsidP="00655D0C">
            <w:pPr>
              <w:ind w:left="210"/>
              <w:rPr>
                <w:sz w:val="16"/>
                <w:szCs w:val="16"/>
              </w:rPr>
            </w:pPr>
          </w:p>
          <w:p w14:paraId="3E6DA632" w14:textId="77777777" w:rsidR="00655D0C" w:rsidRPr="00661736" w:rsidRDefault="00655D0C" w:rsidP="001F27DB">
            <w:pPr>
              <w:rPr>
                <w:b/>
                <w:bCs/>
                <w:sz w:val="16"/>
                <w:szCs w:val="16"/>
                <w:lang w:val="en-GB"/>
              </w:rPr>
            </w:pPr>
          </w:p>
        </w:tc>
        <w:tc>
          <w:tcPr>
            <w:tcW w:w="1191" w:type="pct"/>
            <w:vMerge w:val="restart"/>
          </w:tcPr>
          <w:p w14:paraId="0F8DADF3" w14:textId="77777777" w:rsidR="00655D0C" w:rsidRPr="00661736" w:rsidRDefault="00655D0C" w:rsidP="00655D0C">
            <w:pPr>
              <w:pStyle w:val="ListParagraph"/>
              <w:ind w:left="360"/>
              <w:rPr>
                <w:b/>
                <w:sz w:val="16"/>
                <w:szCs w:val="16"/>
              </w:rPr>
            </w:pPr>
          </w:p>
        </w:tc>
        <w:tc>
          <w:tcPr>
            <w:tcW w:w="1071" w:type="pct"/>
            <w:vMerge w:val="restart"/>
            <w:tcMar>
              <w:top w:w="72" w:type="dxa"/>
              <w:left w:w="144" w:type="dxa"/>
              <w:bottom w:w="72" w:type="dxa"/>
              <w:right w:w="144" w:type="dxa"/>
            </w:tcMar>
          </w:tcPr>
          <w:p w14:paraId="4956F854" w14:textId="31B9C2DF" w:rsidR="00655D0C" w:rsidRPr="00661736" w:rsidRDefault="00655D0C" w:rsidP="000A0652">
            <w:pPr>
              <w:rPr>
                <w:sz w:val="16"/>
                <w:szCs w:val="16"/>
              </w:rPr>
            </w:pPr>
            <w:r w:rsidRPr="00661736">
              <w:rPr>
                <w:sz w:val="16"/>
                <w:szCs w:val="16"/>
                <w:lang w:val="en-GB"/>
              </w:rPr>
              <w:t>Output 4.1.</w:t>
            </w:r>
            <w:r w:rsidR="00916606">
              <w:rPr>
                <w:sz w:val="16"/>
                <w:szCs w:val="16"/>
                <w:lang w:val="en-GB"/>
              </w:rPr>
              <w:t>:</w:t>
            </w:r>
            <w:r w:rsidRPr="00661736">
              <w:rPr>
                <w:sz w:val="16"/>
                <w:szCs w:val="16"/>
                <w:lang w:val="en-GB"/>
              </w:rPr>
              <w:t xml:space="preserve"> </w:t>
            </w:r>
            <w:r w:rsidRPr="00661736">
              <w:rPr>
                <w:sz w:val="16"/>
                <w:szCs w:val="16"/>
              </w:rPr>
              <w:t xml:space="preserve">Capacity of national and local governance institutions strengthened to deliver responsive and accountable public services to all without any discrimination. </w:t>
            </w:r>
          </w:p>
          <w:p w14:paraId="28817912" w14:textId="77777777" w:rsidR="00655D0C" w:rsidRPr="00661736" w:rsidRDefault="00655D0C" w:rsidP="000A0652">
            <w:pPr>
              <w:rPr>
                <w:sz w:val="16"/>
                <w:szCs w:val="16"/>
                <w:lang w:val="en-GB"/>
              </w:rPr>
            </w:pPr>
          </w:p>
          <w:p w14:paraId="0A0E771E" w14:textId="1FBAFF10" w:rsidR="00655D0C" w:rsidRPr="00661736" w:rsidRDefault="00655D0C" w:rsidP="000A0652">
            <w:pPr>
              <w:pStyle w:val="ListParagraph"/>
              <w:numPr>
                <w:ilvl w:val="0"/>
                <w:numId w:val="30"/>
              </w:numPr>
              <w:ind w:left="360"/>
              <w:rPr>
                <w:sz w:val="16"/>
                <w:szCs w:val="16"/>
                <w:lang w:val="en-GB"/>
              </w:rPr>
            </w:pPr>
            <w:r w:rsidRPr="00661736">
              <w:rPr>
                <w:sz w:val="16"/>
                <w:szCs w:val="16"/>
                <w:lang w:val="en-GB"/>
              </w:rPr>
              <w:t>Indicator 4.</w:t>
            </w:r>
            <w:r w:rsidRPr="00661736">
              <w:rPr>
                <w:sz w:val="16"/>
                <w:szCs w:val="16"/>
                <w:lang w:val="ka-GE"/>
              </w:rPr>
              <w:t>1</w:t>
            </w:r>
            <w:r w:rsidRPr="00661736">
              <w:rPr>
                <w:sz w:val="16"/>
                <w:szCs w:val="16"/>
                <w:lang w:val="en-GB"/>
              </w:rPr>
              <w:t>.</w:t>
            </w:r>
            <w:r w:rsidRPr="00661736">
              <w:rPr>
                <w:sz w:val="16"/>
                <w:szCs w:val="16"/>
                <w:lang w:val="ka-GE"/>
              </w:rPr>
              <w:t>1</w:t>
            </w:r>
            <w:r w:rsidR="00916606">
              <w:rPr>
                <w:sz w:val="16"/>
                <w:szCs w:val="16"/>
              </w:rPr>
              <w:t>.</w:t>
            </w:r>
            <w:r w:rsidRPr="00661736">
              <w:rPr>
                <w:sz w:val="16"/>
                <w:szCs w:val="16"/>
                <w:lang w:val="en-GB"/>
              </w:rPr>
              <w:t xml:space="preserve">: </w:t>
            </w:r>
          </w:p>
          <w:p w14:paraId="67FC69A0" w14:textId="3B6CB1EE" w:rsidR="00655D0C" w:rsidRPr="00661736" w:rsidRDefault="00655D0C" w:rsidP="000A0652">
            <w:pPr>
              <w:pStyle w:val="ListParagraph"/>
              <w:ind w:left="360"/>
              <w:rPr>
                <w:sz w:val="16"/>
                <w:szCs w:val="16"/>
                <w:lang w:val="en-GB"/>
              </w:rPr>
            </w:pPr>
            <w:r w:rsidRPr="00661736">
              <w:rPr>
                <w:sz w:val="16"/>
                <w:szCs w:val="16"/>
                <w:lang w:val="en-GB"/>
              </w:rPr>
              <w:t>Public assessment of state institutions and LSG performance</w:t>
            </w:r>
            <w:r w:rsidR="00916606">
              <w:rPr>
                <w:sz w:val="16"/>
                <w:szCs w:val="16"/>
                <w:lang w:val="en-GB"/>
              </w:rPr>
              <w:t>.</w:t>
            </w:r>
            <w:r w:rsidRPr="00661736">
              <w:rPr>
                <w:sz w:val="16"/>
                <w:szCs w:val="16"/>
                <w:lang w:val="en-GB"/>
              </w:rPr>
              <w:t xml:space="preserve"> </w:t>
            </w:r>
          </w:p>
          <w:p w14:paraId="596D1403" w14:textId="4E53D71F" w:rsidR="00655D0C" w:rsidRPr="00661736" w:rsidRDefault="00655D0C" w:rsidP="000A0652">
            <w:pPr>
              <w:pStyle w:val="ListParagraph"/>
              <w:ind w:left="360"/>
              <w:rPr>
                <w:sz w:val="16"/>
                <w:szCs w:val="16"/>
                <w:lang w:val="en-GB"/>
              </w:rPr>
            </w:pPr>
            <w:r w:rsidRPr="00661736">
              <w:rPr>
                <w:sz w:val="16"/>
                <w:szCs w:val="16"/>
                <w:lang w:val="en-GB"/>
              </w:rPr>
              <w:t>Baseline 2020: 25.2 points</w:t>
            </w:r>
          </w:p>
          <w:p w14:paraId="48A59EB7" w14:textId="77777777" w:rsidR="00655D0C" w:rsidRPr="00661736" w:rsidRDefault="00655D0C" w:rsidP="000A0652">
            <w:pPr>
              <w:pStyle w:val="ListParagraph"/>
              <w:ind w:left="360"/>
              <w:rPr>
                <w:sz w:val="16"/>
                <w:szCs w:val="16"/>
                <w:lang w:val="en-GB"/>
              </w:rPr>
            </w:pPr>
            <w:r w:rsidRPr="00661736">
              <w:rPr>
                <w:sz w:val="16"/>
                <w:szCs w:val="16"/>
                <w:lang w:val="en-GB"/>
              </w:rPr>
              <w:t>Target 2027: 40 points</w:t>
            </w:r>
          </w:p>
          <w:p w14:paraId="7A73AF87" w14:textId="7B47451F" w:rsidR="00655D0C" w:rsidRPr="00661736" w:rsidRDefault="00655D0C" w:rsidP="00292B81">
            <w:pPr>
              <w:pStyle w:val="ListParagraph"/>
              <w:ind w:left="360"/>
              <w:rPr>
                <w:sz w:val="16"/>
                <w:szCs w:val="16"/>
                <w:lang w:val="en-GB"/>
              </w:rPr>
            </w:pPr>
            <w:r w:rsidRPr="00661736">
              <w:rPr>
                <w:sz w:val="16"/>
                <w:szCs w:val="16"/>
                <w:lang w:val="en-GB"/>
              </w:rPr>
              <w:t>Data source: NSC</w:t>
            </w:r>
          </w:p>
          <w:p w14:paraId="260129A0" w14:textId="77777777" w:rsidR="00655D0C" w:rsidRPr="00661736" w:rsidRDefault="00655D0C" w:rsidP="000A0652">
            <w:pPr>
              <w:pStyle w:val="ListParagraph"/>
              <w:ind w:left="360"/>
              <w:rPr>
                <w:lang w:val="en-GB"/>
              </w:rPr>
            </w:pPr>
          </w:p>
          <w:p w14:paraId="15A6A58F" w14:textId="318D190A" w:rsidR="00655D0C" w:rsidRPr="00661736" w:rsidRDefault="00655D0C" w:rsidP="000A0652">
            <w:pPr>
              <w:pStyle w:val="ListParagraph"/>
              <w:numPr>
                <w:ilvl w:val="0"/>
                <w:numId w:val="30"/>
              </w:numPr>
              <w:ind w:left="360"/>
              <w:rPr>
                <w:sz w:val="16"/>
                <w:szCs w:val="16"/>
                <w:lang w:val="en-GB"/>
              </w:rPr>
            </w:pPr>
            <w:r w:rsidRPr="00661736">
              <w:rPr>
                <w:sz w:val="16"/>
                <w:szCs w:val="16"/>
                <w:lang w:val="en-GB"/>
              </w:rPr>
              <w:t>Indicator 4.</w:t>
            </w:r>
            <w:r w:rsidRPr="00661736">
              <w:rPr>
                <w:sz w:val="16"/>
                <w:szCs w:val="16"/>
                <w:lang w:val="ka-GE"/>
              </w:rPr>
              <w:t>1</w:t>
            </w:r>
            <w:r w:rsidRPr="00661736">
              <w:rPr>
                <w:sz w:val="16"/>
                <w:szCs w:val="16"/>
                <w:lang w:val="en-GB"/>
              </w:rPr>
              <w:t>.2</w:t>
            </w:r>
            <w:r w:rsidR="00916606">
              <w:rPr>
                <w:sz w:val="16"/>
                <w:szCs w:val="16"/>
                <w:lang w:val="en-GB"/>
              </w:rPr>
              <w:t>.</w:t>
            </w:r>
            <w:r w:rsidRPr="00661736">
              <w:rPr>
                <w:sz w:val="16"/>
                <w:szCs w:val="16"/>
                <w:lang w:val="en-GB"/>
              </w:rPr>
              <w:t xml:space="preserve">: </w:t>
            </w:r>
          </w:p>
          <w:p w14:paraId="5A2933F2" w14:textId="453FD040" w:rsidR="00655D0C" w:rsidRPr="00661736" w:rsidRDefault="00655D0C" w:rsidP="000A0652">
            <w:pPr>
              <w:ind w:left="360"/>
              <w:rPr>
                <w:sz w:val="16"/>
                <w:szCs w:val="16"/>
              </w:rPr>
            </w:pPr>
            <w:r w:rsidRPr="00661736">
              <w:rPr>
                <w:sz w:val="16"/>
                <w:szCs w:val="16"/>
              </w:rPr>
              <w:t xml:space="preserve">Legal frameworks are in place to promote, enforce and monitor </w:t>
            </w:r>
            <w:r w:rsidRPr="00661736">
              <w:rPr>
                <w:sz w:val="16"/>
                <w:szCs w:val="16"/>
              </w:rPr>
              <w:lastRenderedPageBreak/>
              <w:t>equality and nondiscrimination on the basis of sex.</w:t>
            </w:r>
          </w:p>
          <w:p w14:paraId="2E560021" w14:textId="7B46242B" w:rsidR="00655D0C" w:rsidRPr="00661736" w:rsidRDefault="00655D0C" w:rsidP="000A0652">
            <w:pPr>
              <w:ind w:left="360"/>
              <w:rPr>
                <w:sz w:val="16"/>
                <w:szCs w:val="16"/>
                <w:lang w:val="en-GB"/>
              </w:rPr>
            </w:pPr>
            <w:r w:rsidRPr="00661736">
              <w:rPr>
                <w:sz w:val="16"/>
                <w:szCs w:val="16"/>
                <w:lang w:val="en-GB"/>
              </w:rPr>
              <w:t>Baseline 2020:  Partially</w:t>
            </w:r>
          </w:p>
          <w:p w14:paraId="344FABE9" w14:textId="4321BA04" w:rsidR="00655D0C" w:rsidRPr="00661736" w:rsidRDefault="00655D0C" w:rsidP="000A0652">
            <w:pPr>
              <w:ind w:left="360"/>
              <w:rPr>
                <w:sz w:val="16"/>
                <w:szCs w:val="16"/>
                <w:lang w:val="en-GB"/>
              </w:rPr>
            </w:pPr>
            <w:r w:rsidRPr="00661736">
              <w:rPr>
                <w:sz w:val="16"/>
                <w:szCs w:val="16"/>
                <w:lang w:val="en-GB"/>
              </w:rPr>
              <w:t>Target 2025: Yes</w:t>
            </w:r>
          </w:p>
          <w:p w14:paraId="4E6430BB" w14:textId="693DD411" w:rsidR="00655D0C" w:rsidRPr="00661736" w:rsidRDefault="00655D0C" w:rsidP="00292B81">
            <w:pPr>
              <w:pStyle w:val="ListParagraph"/>
              <w:ind w:left="360"/>
              <w:rPr>
                <w:sz w:val="16"/>
                <w:szCs w:val="16"/>
                <w:lang w:val="en-GB"/>
              </w:rPr>
            </w:pPr>
            <w:r w:rsidRPr="00661736">
              <w:rPr>
                <w:sz w:val="16"/>
                <w:szCs w:val="16"/>
                <w:lang w:val="en-GB"/>
              </w:rPr>
              <w:t>Data source: Government</w:t>
            </w:r>
          </w:p>
          <w:p w14:paraId="07F6E4E9" w14:textId="77777777" w:rsidR="00655D0C" w:rsidRPr="00661736" w:rsidRDefault="00655D0C" w:rsidP="000A0652">
            <w:pPr>
              <w:rPr>
                <w:lang w:val="en-GB"/>
              </w:rPr>
            </w:pPr>
          </w:p>
          <w:p w14:paraId="25B86070" w14:textId="1CC72CF3" w:rsidR="00655D0C" w:rsidRPr="00661736" w:rsidRDefault="00655D0C" w:rsidP="000A0652">
            <w:pPr>
              <w:pStyle w:val="ListParagraph"/>
              <w:numPr>
                <w:ilvl w:val="0"/>
                <w:numId w:val="30"/>
              </w:numPr>
              <w:ind w:left="360"/>
              <w:rPr>
                <w:sz w:val="16"/>
                <w:szCs w:val="16"/>
                <w:lang w:val="en-GB"/>
              </w:rPr>
            </w:pPr>
            <w:r w:rsidRPr="00661736">
              <w:rPr>
                <w:sz w:val="16"/>
                <w:szCs w:val="16"/>
                <w:lang w:val="en-GB"/>
              </w:rPr>
              <w:t>Indicator 4.1.3</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shd w:val="clear" w:color="auto" w:fill="FFFFFF"/>
              </w:rPr>
              <w:t xml:space="preserve">Number of </w:t>
            </w:r>
            <w:r w:rsidR="0059526B">
              <w:rPr>
                <w:color w:val="242424"/>
                <w:sz w:val="16"/>
                <w:szCs w:val="16"/>
                <w:shd w:val="clear" w:color="auto" w:fill="FFFFFF"/>
              </w:rPr>
              <w:t xml:space="preserve">Multidrug resistant </w:t>
            </w:r>
            <w:r w:rsidR="00916606">
              <w:rPr>
                <w:sz w:val="16"/>
                <w:szCs w:val="16"/>
                <w:shd w:val="clear" w:color="auto" w:fill="FFFFFF"/>
              </w:rPr>
              <w:t>tuberculosis</w:t>
            </w:r>
            <w:r w:rsidR="00916606" w:rsidRPr="00661736">
              <w:rPr>
                <w:sz w:val="16"/>
                <w:szCs w:val="16"/>
                <w:shd w:val="clear" w:color="auto" w:fill="FFFFFF"/>
              </w:rPr>
              <w:t xml:space="preserve"> </w:t>
            </w:r>
            <w:r w:rsidRPr="00661736">
              <w:rPr>
                <w:sz w:val="16"/>
                <w:szCs w:val="16"/>
                <w:shd w:val="clear" w:color="auto" w:fill="FFFFFF"/>
              </w:rPr>
              <w:t xml:space="preserve">patients enrolled to second line </w:t>
            </w:r>
            <w:r w:rsidR="00916606">
              <w:rPr>
                <w:sz w:val="16"/>
                <w:szCs w:val="16"/>
                <w:shd w:val="clear" w:color="auto" w:fill="FFFFFF"/>
              </w:rPr>
              <w:t>tuberculosis</w:t>
            </w:r>
            <w:r w:rsidR="00916606" w:rsidRPr="00661736">
              <w:rPr>
                <w:sz w:val="16"/>
                <w:szCs w:val="16"/>
                <w:shd w:val="clear" w:color="auto" w:fill="FFFFFF"/>
              </w:rPr>
              <w:t xml:space="preserve"> </w:t>
            </w:r>
            <w:r w:rsidRPr="00661736">
              <w:rPr>
                <w:sz w:val="16"/>
                <w:szCs w:val="16"/>
                <w:shd w:val="clear" w:color="auto" w:fill="FFFFFF"/>
              </w:rPr>
              <w:t>treatment</w:t>
            </w:r>
            <w:r w:rsidR="00916606">
              <w:rPr>
                <w:sz w:val="16"/>
                <w:szCs w:val="16"/>
                <w:shd w:val="clear" w:color="auto" w:fill="FFFFFF"/>
              </w:rPr>
              <w:t>.</w:t>
            </w:r>
          </w:p>
          <w:p w14:paraId="2D587F75" w14:textId="77777777" w:rsidR="00655D0C" w:rsidRPr="00661736" w:rsidRDefault="00655D0C" w:rsidP="000A0652">
            <w:pPr>
              <w:pStyle w:val="ListParagraph"/>
              <w:ind w:left="360"/>
              <w:rPr>
                <w:sz w:val="16"/>
                <w:szCs w:val="16"/>
                <w:lang w:val="en-GB"/>
              </w:rPr>
            </w:pPr>
            <w:r w:rsidRPr="00661736">
              <w:rPr>
                <w:sz w:val="16"/>
                <w:szCs w:val="16"/>
                <w:lang w:val="en-GB"/>
              </w:rPr>
              <w:t>Baseline, 2020:948</w:t>
            </w:r>
          </w:p>
          <w:p w14:paraId="371E6C05" w14:textId="637B6FCF" w:rsidR="00655D0C" w:rsidRPr="00661736" w:rsidRDefault="00655D0C" w:rsidP="000A0652">
            <w:pPr>
              <w:pStyle w:val="ListParagraph"/>
              <w:ind w:left="360"/>
              <w:rPr>
                <w:sz w:val="16"/>
                <w:szCs w:val="16"/>
                <w:lang w:val="en-GB"/>
              </w:rPr>
            </w:pPr>
            <w:r w:rsidRPr="00661736">
              <w:rPr>
                <w:sz w:val="16"/>
                <w:szCs w:val="16"/>
                <w:lang w:val="en-GB"/>
              </w:rPr>
              <w:t>Target 2027: 1,850</w:t>
            </w:r>
          </w:p>
          <w:p w14:paraId="2522BE5B" w14:textId="4E1BD0E6" w:rsidR="00655D0C" w:rsidRPr="00661736" w:rsidRDefault="00655D0C" w:rsidP="00661736">
            <w:pPr>
              <w:pStyle w:val="ListParagraph"/>
              <w:ind w:left="360"/>
              <w:rPr>
                <w:sz w:val="16"/>
                <w:szCs w:val="16"/>
                <w:lang w:val="en-GB"/>
              </w:rPr>
            </w:pPr>
            <w:r w:rsidRPr="00661736">
              <w:rPr>
                <w:sz w:val="16"/>
                <w:szCs w:val="16"/>
                <w:lang w:val="en-GB"/>
              </w:rPr>
              <w:t xml:space="preserve">Data source: Global Fund </w:t>
            </w:r>
          </w:p>
        </w:tc>
        <w:tc>
          <w:tcPr>
            <w:tcW w:w="1027" w:type="pct"/>
            <w:vMerge w:val="restart"/>
          </w:tcPr>
          <w:p w14:paraId="40ED67EC" w14:textId="77777777" w:rsidR="00655D0C" w:rsidRPr="00661736" w:rsidRDefault="00655D0C" w:rsidP="000A0652">
            <w:pPr>
              <w:rPr>
                <w:sz w:val="16"/>
                <w:szCs w:val="16"/>
                <w:lang w:val="en-GB"/>
              </w:rPr>
            </w:pPr>
            <w:r w:rsidRPr="00661736">
              <w:rPr>
                <w:sz w:val="16"/>
                <w:szCs w:val="16"/>
                <w:lang w:val="en-GB"/>
              </w:rPr>
              <w:lastRenderedPageBreak/>
              <w:t xml:space="preserve">Parliament </w:t>
            </w:r>
          </w:p>
          <w:p w14:paraId="6EB8B1C8" w14:textId="77777777" w:rsidR="00655D0C" w:rsidRPr="00661736" w:rsidRDefault="00655D0C" w:rsidP="000A0652">
            <w:pPr>
              <w:rPr>
                <w:sz w:val="16"/>
                <w:szCs w:val="16"/>
                <w:lang w:val="en-GB"/>
              </w:rPr>
            </w:pPr>
          </w:p>
          <w:p w14:paraId="3E8938D2" w14:textId="058D619B" w:rsidR="00655D0C" w:rsidRPr="00661736" w:rsidRDefault="00626705" w:rsidP="000A0652">
            <w:pPr>
              <w:rPr>
                <w:sz w:val="16"/>
                <w:szCs w:val="16"/>
                <w:lang w:val="en-GB"/>
              </w:rPr>
            </w:pPr>
            <w:r w:rsidRPr="00661736">
              <w:rPr>
                <w:sz w:val="16"/>
                <w:szCs w:val="16"/>
                <w:lang w:val="en-GB"/>
              </w:rPr>
              <w:t xml:space="preserve">President </w:t>
            </w:r>
            <w:r w:rsidR="00655D0C" w:rsidRPr="00661736">
              <w:rPr>
                <w:sz w:val="16"/>
                <w:szCs w:val="16"/>
                <w:lang w:val="en-GB"/>
              </w:rPr>
              <w:t xml:space="preserve">Administration </w:t>
            </w:r>
          </w:p>
          <w:p w14:paraId="3155B12C" w14:textId="77777777" w:rsidR="00655D0C" w:rsidRPr="00661736" w:rsidRDefault="00655D0C" w:rsidP="000A0652">
            <w:pPr>
              <w:rPr>
                <w:sz w:val="16"/>
                <w:szCs w:val="16"/>
                <w:lang w:val="en-GB"/>
              </w:rPr>
            </w:pPr>
          </w:p>
          <w:p w14:paraId="3F7AB981" w14:textId="676AE0FB" w:rsidR="00655D0C" w:rsidRPr="00661736" w:rsidRDefault="00655D0C" w:rsidP="000A0652">
            <w:pPr>
              <w:rPr>
                <w:sz w:val="16"/>
                <w:szCs w:val="16"/>
              </w:rPr>
            </w:pPr>
            <w:r w:rsidRPr="00661736">
              <w:rPr>
                <w:sz w:val="16"/>
                <w:szCs w:val="16"/>
                <w:lang w:val="en-GB"/>
              </w:rPr>
              <w:t>Ministries of Justice, Interior, Health, Education and Science, Labour</w:t>
            </w:r>
            <w:r w:rsidRPr="00661736">
              <w:rPr>
                <w:rFonts w:asciiTheme="minorHAnsi" w:hAnsiTheme="minorHAnsi"/>
                <w:sz w:val="16"/>
                <w:szCs w:val="16"/>
              </w:rPr>
              <w:t xml:space="preserve">, </w:t>
            </w:r>
            <w:r w:rsidRPr="00661736">
              <w:rPr>
                <w:sz w:val="16"/>
                <w:szCs w:val="16"/>
                <w:lang w:val="en-GB"/>
              </w:rPr>
              <w:t>Social Protection and Migration, MOF</w:t>
            </w:r>
          </w:p>
          <w:p w14:paraId="622B5F81" w14:textId="77777777" w:rsidR="00655D0C" w:rsidRPr="00661736" w:rsidRDefault="00655D0C" w:rsidP="000A0652">
            <w:pPr>
              <w:rPr>
                <w:sz w:val="16"/>
                <w:szCs w:val="16"/>
                <w:lang w:val="en-GB"/>
              </w:rPr>
            </w:pPr>
          </w:p>
          <w:p w14:paraId="0B9542C4" w14:textId="6DBFF0A1" w:rsidR="00655D0C" w:rsidRPr="00661736" w:rsidRDefault="00655D0C" w:rsidP="000A0652">
            <w:pPr>
              <w:rPr>
                <w:sz w:val="16"/>
                <w:szCs w:val="16"/>
              </w:rPr>
            </w:pPr>
            <w:r w:rsidRPr="00661736">
              <w:rPr>
                <w:sz w:val="16"/>
                <w:szCs w:val="16"/>
              </w:rPr>
              <w:t xml:space="preserve">State Registry Service </w:t>
            </w:r>
          </w:p>
          <w:p w14:paraId="782F03FC" w14:textId="77777777" w:rsidR="00655D0C" w:rsidRPr="00661736" w:rsidRDefault="00655D0C" w:rsidP="000A0652">
            <w:pPr>
              <w:rPr>
                <w:sz w:val="16"/>
                <w:szCs w:val="16"/>
              </w:rPr>
            </w:pPr>
          </w:p>
          <w:p w14:paraId="3EB8CFE3" w14:textId="00ECCD63" w:rsidR="00655D0C" w:rsidRPr="00661736" w:rsidRDefault="00655D0C" w:rsidP="000A0652">
            <w:pPr>
              <w:rPr>
                <w:sz w:val="16"/>
                <w:szCs w:val="16"/>
                <w:lang w:val="en-GB"/>
              </w:rPr>
            </w:pPr>
            <w:r w:rsidRPr="00661736">
              <w:rPr>
                <w:sz w:val="16"/>
                <w:szCs w:val="16"/>
              </w:rPr>
              <w:t xml:space="preserve">State Agency on Local Self- Governance </w:t>
            </w:r>
            <w:r w:rsidR="00626705" w:rsidRPr="00661736">
              <w:rPr>
                <w:sz w:val="16"/>
                <w:szCs w:val="16"/>
              </w:rPr>
              <w:t xml:space="preserve">(LSG) </w:t>
            </w:r>
            <w:r w:rsidRPr="00661736">
              <w:rPr>
                <w:sz w:val="16"/>
                <w:szCs w:val="16"/>
              </w:rPr>
              <w:t>and Inter-Ethnic Relations</w:t>
            </w:r>
          </w:p>
          <w:p w14:paraId="530BFC53" w14:textId="77777777" w:rsidR="00655D0C" w:rsidRPr="00661736" w:rsidRDefault="00655D0C" w:rsidP="000A0652">
            <w:pPr>
              <w:rPr>
                <w:sz w:val="16"/>
                <w:szCs w:val="16"/>
                <w:lang w:val="en-GB"/>
              </w:rPr>
            </w:pPr>
          </w:p>
          <w:p w14:paraId="0DDBD339" w14:textId="77777777" w:rsidR="00655D0C" w:rsidRPr="00661736" w:rsidRDefault="00655D0C" w:rsidP="000A0652">
            <w:pPr>
              <w:rPr>
                <w:sz w:val="16"/>
                <w:szCs w:val="16"/>
                <w:lang w:val="en-GB"/>
              </w:rPr>
            </w:pPr>
            <w:r w:rsidRPr="00661736">
              <w:rPr>
                <w:sz w:val="16"/>
                <w:szCs w:val="16"/>
                <w:lang w:val="en-GB"/>
              </w:rPr>
              <w:t>NSC</w:t>
            </w:r>
          </w:p>
          <w:p w14:paraId="4542E7BB" w14:textId="77777777" w:rsidR="00655D0C" w:rsidRPr="00661736" w:rsidRDefault="00655D0C" w:rsidP="000A0652">
            <w:pPr>
              <w:rPr>
                <w:sz w:val="16"/>
                <w:szCs w:val="16"/>
                <w:lang w:val="en-GB"/>
              </w:rPr>
            </w:pPr>
          </w:p>
          <w:p w14:paraId="32C0C95A" w14:textId="77777777" w:rsidR="00655D0C" w:rsidRPr="00661736" w:rsidRDefault="00655D0C" w:rsidP="000A0652">
            <w:pPr>
              <w:rPr>
                <w:rFonts w:eastAsia="Calibri"/>
                <w:sz w:val="16"/>
                <w:szCs w:val="16"/>
              </w:rPr>
            </w:pPr>
            <w:r w:rsidRPr="00661736">
              <w:rPr>
                <w:rFonts w:eastAsia="Calibri"/>
                <w:sz w:val="16"/>
                <w:szCs w:val="16"/>
              </w:rPr>
              <w:t>Ombudsman</w:t>
            </w:r>
          </w:p>
          <w:p w14:paraId="28F9420F" w14:textId="77777777" w:rsidR="00655D0C" w:rsidRPr="00661736" w:rsidRDefault="00655D0C" w:rsidP="000A0652">
            <w:pPr>
              <w:pStyle w:val="Pasus1"/>
              <w:rPr>
                <w:rFonts w:ascii="Times New Roman" w:eastAsia="Calibri" w:hAnsi="Times New Roman"/>
                <w:sz w:val="16"/>
                <w:szCs w:val="16"/>
              </w:rPr>
            </w:pPr>
            <w:r w:rsidRPr="00661736">
              <w:rPr>
                <w:rFonts w:ascii="Times New Roman" w:eastAsia="Calibri" w:hAnsi="Times New Roman"/>
                <w:sz w:val="16"/>
                <w:szCs w:val="16"/>
              </w:rPr>
              <w:lastRenderedPageBreak/>
              <w:t xml:space="preserve">Judicial bodies, Prosecutor General, Supreme Court </w:t>
            </w:r>
          </w:p>
          <w:p w14:paraId="7D681469" w14:textId="178FEF56" w:rsidR="00655D0C" w:rsidRPr="00661736" w:rsidRDefault="00655D0C" w:rsidP="000A0652">
            <w:pPr>
              <w:pStyle w:val="Pasus1"/>
              <w:rPr>
                <w:rFonts w:ascii="Times New Roman" w:eastAsia="Calibri" w:hAnsi="Times New Roman"/>
                <w:sz w:val="16"/>
                <w:szCs w:val="16"/>
              </w:rPr>
            </w:pPr>
            <w:r w:rsidRPr="00661736">
              <w:rPr>
                <w:rFonts w:ascii="Times New Roman" w:eastAsia="Calibri" w:hAnsi="Times New Roman"/>
                <w:sz w:val="16"/>
                <w:szCs w:val="16"/>
              </w:rPr>
              <w:t xml:space="preserve">LSGs </w:t>
            </w:r>
          </w:p>
          <w:p w14:paraId="1CE3ED9E" w14:textId="77777777" w:rsidR="00655D0C" w:rsidRPr="00661736" w:rsidRDefault="00655D0C" w:rsidP="000A0652">
            <w:pPr>
              <w:rPr>
                <w:rFonts w:eastAsia="Calibri"/>
                <w:sz w:val="16"/>
                <w:szCs w:val="16"/>
              </w:rPr>
            </w:pPr>
            <w:r w:rsidRPr="00661736">
              <w:rPr>
                <w:rFonts w:eastAsia="Calibri"/>
                <w:sz w:val="16"/>
                <w:szCs w:val="16"/>
              </w:rPr>
              <w:t>CSOs, media</w:t>
            </w:r>
          </w:p>
          <w:p w14:paraId="6F1F8868" w14:textId="2638D43F" w:rsidR="00655D0C" w:rsidRPr="00661736" w:rsidRDefault="00916606" w:rsidP="000A0652">
            <w:pPr>
              <w:rPr>
                <w:sz w:val="16"/>
                <w:szCs w:val="16"/>
              </w:rPr>
            </w:pPr>
            <w:r>
              <w:rPr>
                <w:sz w:val="16"/>
                <w:szCs w:val="16"/>
              </w:rPr>
              <w:t xml:space="preserve">(United Nation’s Population Fund) </w:t>
            </w:r>
            <w:r w:rsidR="00655D0C" w:rsidRPr="00661736">
              <w:rPr>
                <w:sz w:val="16"/>
                <w:szCs w:val="16"/>
              </w:rPr>
              <w:t xml:space="preserve">UNFPA, UNICEF, </w:t>
            </w:r>
          </w:p>
          <w:p w14:paraId="27C0FEF6" w14:textId="5E0D2153" w:rsidR="00655D0C" w:rsidRPr="00661736" w:rsidRDefault="00655D0C" w:rsidP="000A0652">
            <w:pPr>
              <w:rPr>
                <w:sz w:val="16"/>
                <w:szCs w:val="16"/>
              </w:rPr>
            </w:pPr>
            <w:r w:rsidRPr="00661736">
              <w:rPr>
                <w:sz w:val="16"/>
                <w:szCs w:val="16"/>
              </w:rPr>
              <w:t xml:space="preserve">UN Women, </w:t>
            </w:r>
            <w:r w:rsidR="004E4851" w:rsidRPr="004E4851">
              <w:rPr>
                <w:sz w:val="16"/>
                <w:szCs w:val="16"/>
              </w:rPr>
              <w:t>Office of the United Nations High Commissioner for Human Rights</w:t>
            </w:r>
            <w:r w:rsidR="004E4851">
              <w:rPr>
                <w:sz w:val="16"/>
                <w:szCs w:val="16"/>
              </w:rPr>
              <w:t xml:space="preserve"> (</w:t>
            </w:r>
            <w:r w:rsidRPr="00661736">
              <w:rPr>
                <w:sz w:val="16"/>
                <w:szCs w:val="16"/>
              </w:rPr>
              <w:t>OHCHR</w:t>
            </w:r>
            <w:r w:rsidR="004E4851">
              <w:rPr>
                <w:sz w:val="16"/>
                <w:szCs w:val="16"/>
              </w:rPr>
              <w:t>)</w:t>
            </w:r>
            <w:r w:rsidRPr="00661736">
              <w:rPr>
                <w:sz w:val="16"/>
                <w:szCs w:val="16"/>
              </w:rPr>
              <w:t xml:space="preserve">, </w:t>
            </w:r>
            <w:r w:rsidR="00916606" w:rsidRPr="00916606">
              <w:rPr>
                <w:sz w:val="16"/>
                <w:szCs w:val="16"/>
              </w:rPr>
              <w:t>United Nations Office on Drugs and Crime</w:t>
            </w:r>
            <w:r w:rsidR="00916606">
              <w:rPr>
                <w:sz w:val="16"/>
                <w:szCs w:val="16"/>
              </w:rPr>
              <w:t xml:space="preserve"> (</w:t>
            </w:r>
            <w:r w:rsidRPr="00661736">
              <w:rPr>
                <w:sz w:val="16"/>
                <w:szCs w:val="16"/>
              </w:rPr>
              <w:t>UNODC</w:t>
            </w:r>
            <w:r w:rsidR="00916606">
              <w:rPr>
                <w:sz w:val="16"/>
                <w:szCs w:val="16"/>
              </w:rPr>
              <w:t>)</w:t>
            </w:r>
            <w:r w:rsidRPr="00661736">
              <w:rPr>
                <w:sz w:val="16"/>
                <w:szCs w:val="16"/>
              </w:rPr>
              <w:t>, UNAIDS, WHO</w:t>
            </w:r>
          </w:p>
          <w:p w14:paraId="3201DC8A" w14:textId="77777777" w:rsidR="00655D0C" w:rsidRPr="00661736" w:rsidRDefault="00655D0C" w:rsidP="000A0652">
            <w:pPr>
              <w:rPr>
                <w:sz w:val="16"/>
                <w:szCs w:val="16"/>
              </w:rPr>
            </w:pPr>
          </w:p>
          <w:p w14:paraId="0C766451" w14:textId="77777777" w:rsidR="00655D0C" w:rsidRPr="00661736" w:rsidRDefault="00655D0C" w:rsidP="000A0652">
            <w:pPr>
              <w:rPr>
                <w:b/>
                <w:bCs/>
                <w:sz w:val="16"/>
                <w:szCs w:val="16"/>
              </w:rPr>
            </w:pPr>
            <w:r w:rsidRPr="00661736">
              <w:rPr>
                <w:sz w:val="16"/>
                <w:szCs w:val="16"/>
              </w:rPr>
              <w:t>Finland, Japan, Switzerland, United Kingdom, United States of America, European Commission</w:t>
            </w:r>
          </w:p>
        </w:tc>
        <w:tc>
          <w:tcPr>
            <w:tcW w:w="634" w:type="pct"/>
            <w:tcMar>
              <w:top w:w="15" w:type="dxa"/>
              <w:left w:w="108" w:type="dxa"/>
              <w:bottom w:w="0" w:type="dxa"/>
              <w:right w:w="108" w:type="dxa"/>
            </w:tcMar>
          </w:tcPr>
          <w:p w14:paraId="34F32429" w14:textId="77777777" w:rsidR="00655D0C" w:rsidRPr="00661736" w:rsidRDefault="00655D0C" w:rsidP="000A0652">
            <w:pPr>
              <w:rPr>
                <w:b/>
                <w:bCs/>
                <w:sz w:val="16"/>
                <w:szCs w:val="16"/>
                <w:lang w:val="en-GB"/>
              </w:rPr>
            </w:pPr>
            <w:r w:rsidRPr="00661736">
              <w:rPr>
                <w:b/>
                <w:bCs/>
                <w:sz w:val="16"/>
                <w:szCs w:val="16"/>
              </w:rPr>
              <w:lastRenderedPageBreak/>
              <w:t>Regular: $ 1,000,000</w:t>
            </w:r>
          </w:p>
        </w:tc>
      </w:tr>
      <w:tr w:rsidR="00661736" w:rsidRPr="00661736" w14:paraId="5136A1FC" w14:textId="77777777" w:rsidTr="009E5D20">
        <w:tc>
          <w:tcPr>
            <w:tcW w:w="1077" w:type="pct"/>
            <w:vMerge/>
            <w:tcMar>
              <w:top w:w="72" w:type="dxa"/>
              <w:left w:w="144" w:type="dxa"/>
              <w:bottom w:w="72" w:type="dxa"/>
              <w:right w:w="144" w:type="dxa"/>
            </w:tcMar>
          </w:tcPr>
          <w:p w14:paraId="30058D16" w14:textId="77777777" w:rsidR="00655D0C" w:rsidRPr="00661736" w:rsidRDefault="00655D0C" w:rsidP="001F27DB">
            <w:pPr>
              <w:rPr>
                <w:sz w:val="16"/>
                <w:szCs w:val="16"/>
                <w:lang w:val="en-GB"/>
              </w:rPr>
            </w:pPr>
          </w:p>
        </w:tc>
        <w:tc>
          <w:tcPr>
            <w:tcW w:w="1191" w:type="pct"/>
            <w:vMerge/>
          </w:tcPr>
          <w:p w14:paraId="600257F0" w14:textId="77777777" w:rsidR="00655D0C" w:rsidRPr="00661736" w:rsidRDefault="00655D0C" w:rsidP="000A0652">
            <w:pPr>
              <w:pStyle w:val="ListParagraph"/>
              <w:numPr>
                <w:ilvl w:val="0"/>
                <w:numId w:val="5"/>
              </w:numPr>
              <w:rPr>
                <w:sz w:val="16"/>
                <w:szCs w:val="16"/>
                <w:lang w:val="en-GB"/>
              </w:rPr>
            </w:pPr>
          </w:p>
        </w:tc>
        <w:tc>
          <w:tcPr>
            <w:tcW w:w="1071" w:type="pct"/>
            <w:vMerge/>
            <w:tcMar>
              <w:top w:w="72" w:type="dxa"/>
              <w:left w:w="144" w:type="dxa"/>
              <w:bottom w:w="72" w:type="dxa"/>
              <w:right w:w="144" w:type="dxa"/>
            </w:tcMar>
          </w:tcPr>
          <w:p w14:paraId="54F46EF3" w14:textId="77777777" w:rsidR="00655D0C" w:rsidRPr="00661736" w:rsidRDefault="00655D0C" w:rsidP="000A0652">
            <w:pPr>
              <w:rPr>
                <w:sz w:val="16"/>
                <w:szCs w:val="16"/>
                <w:lang w:val="en-GB"/>
              </w:rPr>
            </w:pPr>
          </w:p>
        </w:tc>
        <w:tc>
          <w:tcPr>
            <w:tcW w:w="1027" w:type="pct"/>
            <w:vMerge/>
          </w:tcPr>
          <w:p w14:paraId="4051352C"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0671AB1C" w14:textId="77777777" w:rsidR="00655D0C" w:rsidRPr="00661736" w:rsidRDefault="00655D0C" w:rsidP="000A0652">
            <w:pPr>
              <w:rPr>
                <w:b/>
                <w:bCs/>
                <w:sz w:val="16"/>
                <w:szCs w:val="16"/>
              </w:rPr>
            </w:pPr>
            <w:r w:rsidRPr="00661736">
              <w:rPr>
                <w:b/>
                <w:bCs/>
                <w:sz w:val="16"/>
                <w:szCs w:val="16"/>
              </w:rPr>
              <w:t>Other: $ 7,000,000</w:t>
            </w:r>
          </w:p>
          <w:p w14:paraId="03438AF6" w14:textId="10750712" w:rsidR="00655D0C" w:rsidRPr="00661736" w:rsidRDefault="00655D0C" w:rsidP="000A0652">
            <w:pPr>
              <w:rPr>
                <w:b/>
                <w:sz w:val="16"/>
                <w:szCs w:val="16"/>
              </w:rPr>
            </w:pPr>
          </w:p>
        </w:tc>
      </w:tr>
      <w:tr w:rsidR="00661736" w:rsidRPr="00661736" w14:paraId="446E4274" w14:textId="77777777" w:rsidTr="009E5D20">
        <w:tc>
          <w:tcPr>
            <w:tcW w:w="1077" w:type="pct"/>
            <w:vMerge/>
            <w:tcMar>
              <w:top w:w="72" w:type="dxa"/>
              <w:left w:w="144" w:type="dxa"/>
              <w:bottom w:w="72" w:type="dxa"/>
              <w:right w:w="144" w:type="dxa"/>
            </w:tcMar>
          </w:tcPr>
          <w:p w14:paraId="6204EB73" w14:textId="2054C4D2" w:rsidR="00655D0C" w:rsidRPr="00661736" w:rsidRDefault="00655D0C" w:rsidP="001F27DB">
            <w:pPr>
              <w:rPr>
                <w:sz w:val="16"/>
                <w:szCs w:val="16"/>
                <w:highlight w:val="yellow"/>
                <w:lang w:val="en-GB"/>
              </w:rPr>
            </w:pPr>
          </w:p>
        </w:tc>
        <w:tc>
          <w:tcPr>
            <w:tcW w:w="1191" w:type="pct"/>
            <w:vMerge w:val="restart"/>
          </w:tcPr>
          <w:p w14:paraId="71C98745" w14:textId="77777777" w:rsidR="00655D0C" w:rsidRPr="00661736" w:rsidRDefault="00655D0C" w:rsidP="00655D0C">
            <w:pPr>
              <w:pStyle w:val="ListParagraph"/>
              <w:ind w:left="357"/>
              <w:rPr>
                <w:sz w:val="16"/>
                <w:szCs w:val="16"/>
              </w:rPr>
            </w:pPr>
          </w:p>
        </w:tc>
        <w:tc>
          <w:tcPr>
            <w:tcW w:w="1071" w:type="pct"/>
            <w:vMerge w:val="restart"/>
            <w:tcMar>
              <w:top w:w="72" w:type="dxa"/>
              <w:left w:w="144" w:type="dxa"/>
              <w:bottom w:w="72" w:type="dxa"/>
              <w:right w:w="144" w:type="dxa"/>
            </w:tcMar>
          </w:tcPr>
          <w:p w14:paraId="5B5762DE" w14:textId="001EC52A" w:rsidR="00655D0C" w:rsidRPr="00661736" w:rsidRDefault="00655D0C" w:rsidP="000A0652">
            <w:pPr>
              <w:rPr>
                <w:sz w:val="16"/>
                <w:szCs w:val="16"/>
              </w:rPr>
            </w:pPr>
            <w:r w:rsidRPr="00661736">
              <w:rPr>
                <w:sz w:val="16"/>
                <w:szCs w:val="16"/>
                <w:lang w:val="en-GB"/>
              </w:rPr>
              <w:t>Output 4.2.</w:t>
            </w:r>
            <w:r w:rsidR="00916606">
              <w:rPr>
                <w:sz w:val="16"/>
                <w:szCs w:val="16"/>
                <w:lang w:val="en-GB"/>
              </w:rPr>
              <w:t>:</w:t>
            </w:r>
            <w:r w:rsidRPr="00661736">
              <w:rPr>
                <w:sz w:val="16"/>
                <w:szCs w:val="16"/>
              </w:rPr>
              <w:t xml:space="preserve"> Justice system and national human rights institutions are strengthened to ensure equal access to justice and due process, reduce corruption, promote the rule of law and human rights for conflict prevention and sustaining peace to address drivers of fragility.</w:t>
            </w:r>
          </w:p>
          <w:p w14:paraId="18494B5F" w14:textId="77777777" w:rsidR="00655D0C" w:rsidRPr="00661736" w:rsidRDefault="00655D0C" w:rsidP="000A0652">
            <w:pPr>
              <w:rPr>
                <w:sz w:val="16"/>
                <w:szCs w:val="16"/>
              </w:rPr>
            </w:pPr>
          </w:p>
          <w:p w14:paraId="4278C1C7" w14:textId="451C698B" w:rsidR="00655D0C" w:rsidRPr="00661736" w:rsidRDefault="00655D0C" w:rsidP="000A0652">
            <w:pPr>
              <w:pStyle w:val="ListParagraph"/>
              <w:numPr>
                <w:ilvl w:val="0"/>
                <w:numId w:val="5"/>
              </w:numPr>
              <w:rPr>
                <w:sz w:val="16"/>
                <w:szCs w:val="16"/>
                <w:lang w:val="en-GB"/>
              </w:rPr>
            </w:pPr>
            <w:r w:rsidRPr="00661736">
              <w:rPr>
                <w:sz w:val="16"/>
                <w:szCs w:val="16"/>
                <w:lang w:val="en-GB"/>
              </w:rPr>
              <w:t>Indicator 4.2.1</w:t>
            </w:r>
            <w:r w:rsidR="00916606">
              <w:rPr>
                <w:sz w:val="16"/>
                <w:szCs w:val="16"/>
                <w:lang w:val="en-GB"/>
              </w:rPr>
              <w:t>.</w:t>
            </w:r>
            <w:r w:rsidRPr="00661736">
              <w:rPr>
                <w:sz w:val="16"/>
                <w:szCs w:val="16"/>
                <w:lang w:val="en-GB"/>
              </w:rPr>
              <w:t>: Number of</w:t>
            </w:r>
            <w:r w:rsidRPr="00661736">
              <w:rPr>
                <w:sz w:val="16"/>
                <w:szCs w:val="16"/>
              </w:rPr>
              <w:t xml:space="preserve"> people who received access to justice through free legal aid </w:t>
            </w:r>
            <w:r w:rsidR="00815CEE" w:rsidRPr="00661736">
              <w:rPr>
                <w:sz w:val="16"/>
                <w:szCs w:val="16"/>
              </w:rPr>
              <w:t xml:space="preserve">(FLA) </w:t>
            </w:r>
            <w:r w:rsidRPr="00661736">
              <w:rPr>
                <w:sz w:val="16"/>
                <w:szCs w:val="16"/>
              </w:rPr>
              <w:t>services, by sex, age, people with disabilities</w:t>
            </w:r>
            <w:r w:rsidR="00916606">
              <w:rPr>
                <w:sz w:val="16"/>
                <w:szCs w:val="16"/>
              </w:rPr>
              <w:t>.</w:t>
            </w:r>
            <w:r w:rsidRPr="00661736">
              <w:rPr>
                <w:sz w:val="16"/>
                <w:szCs w:val="16"/>
              </w:rPr>
              <w:t xml:space="preserve"> </w:t>
            </w:r>
          </w:p>
          <w:p w14:paraId="2DAED50C" w14:textId="2D4D2A3D" w:rsidR="00655D0C" w:rsidRPr="00661736" w:rsidRDefault="00655D0C" w:rsidP="000A0652">
            <w:pPr>
              <w:pStyle w:val="ListParagraph"/>
              <w:ind w:left="357"/>
              <w:rPr>
                <w:b/>
                <w:bCs/>
              </w:rPr>
            </w:pPr>
            <w:r w:rsidRPr="00661736">
              <w:rPr>
                <w:sz w:val="16"/>
                <w:szCs w:val="16"/>
              </w:rPr>
              <w:t>Baseline (2020): 43,577 legal consultations provided by FLA</w:t>
            </w:r>
          </w:p>
          <w:p w14:paraId="272FFA76" w14:textId="77777777" w:rsidR="00655D0C" w:rsidRPr="00661736" w:rsidRDefault="00655D0C" w:rsidP="000A0652">
            <w:pPr>
              <w:pStyle w:val="ListParagraph"/>
              <w:ind w:left="357"/>
              <w:rPr>
                <w:sz w:val="16"/>
                <w:szCs w:val="16"/>
              </w:rPr>
            </w:pPr>
            <w:r w:rsidRPr="00661736">
              <w:rPr>
                <w:sz w:val="16"/>
                <w:szCs w:val="16"/>
              </w:rPr>
              <w:t>Target: (2027): 45-50,000 consultations with FLA</w:t>
            </w:r>
          </w:p>
          <w:p w14:paraId="2FB6701C" w14:textId="74D013EC" w:rsidR="00655D0C" w:rsidRPr="00661736" w:rsidRDefault="00655D0C" w:rsidP="00292B81">
            <w:pPr>
              <w:pStyle w:val="ListParagraph"/>
              <w:ind w:left="360"/>
              <w:rPr>
                <w:sz w:val="16"/>
                <w:szCs w:val="16"/>
                <w:lang w:val="en-GB"/>
              </w:rPr>
            </w:pPr>
            <w:r w:rsidRPr="00661736">
              <w:rPr>
                <w:sz w:val="16"/>
                <w:szCs w:val="16"/>
                <w:lang w:val="en-GB"/>
              </w:rPr>
              <w:t>Data source: FLA</w:t>
            </w:r>
          </w:p>
          <w:p w14:paraId="33258981" w14:textId="77777777" w:rsidR="00655D0C" w:rsidRPr="00661736" w:rsidRDefault="00655D0C" w:rsidP="000A0652">
            <w:pPr>
              <w:pStyle w:val="ListParagraph"/>
              <w:ind w:left="360"/>
              <w:rPr>
                <w:sz w:val="16"/>
                <w:szCs w:val="16"/>
                <w:lang w:val="en-GB"/>
              </w:rPr>
            </w:pPr>
          </w:p>
          <w:p w14:paraId="4218F533" w14:textId="65E95D99" w:rsidR="00655D0C" w:rsidRPr="00661736" w:rsidRDefault="00655D0C" w:rsidP="000A0652">
            <w:pPr>
              <w:pStyle w:val="ListParagraph"/>
              <w:numPr>
                <w:ilvl w:val="0"/>
                <w:numId w:val="5"/>
              </w:numPr>
              <w:rPr>
                <w:sz w:val="16"/>
                <w:szCs w:val="16"/>
                <w:lang w:val="en-GB"/>
              </w:rPr>
            </w:pPr>
            <w:r w:rsidRPr="00661736">
              <w:rPr>
                <w:sz w:val="16"/>
                <w:szCs w:val="16"/>
                <w:lang w:val="en-GB"/>
              </w:rPr>
              <w:t>Indicator 4.2.2</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shd w:val="clear" w:color="auto" w:fill="FFFFFF"/>
              </w:rPr>
              <w:t>Number of victims of domestic violence by gender.</w:t>
            </w:r>
          </w:p>
          <w:p w14:paraId="52838F7A" w14:textId="70FF0226" w:rsidR="00655D0C" w:rsidRPr="00661736" w:rsidRDefault="00655D0C" w:rsidP="000A0652">
            <w:pPr>
              <w:pStyle w:val="ListParagraph"/>
              <w:ind w:left="360"/>
              <w:rPr>
                <w:sz w:val="16"/>
                <w:szCs w:val="16"/>
                <w:lang w:val="en-GB"/>
              </w:rPr>
            </w:pPr>
            <w:r w:rsidRPr="00661736">
              <w:rPr>
                <w:sz w:val="16"/>
                <w:szCs w:val="16"/>
                <w:lang w:val="en-GB"/>
              </w:rPr>
              <w:t>Baseline, 2020: 8,308</w:t>
            </w:r>
          </w:p>
          <w:p w14:paraId="2DF4BC46" w14:textId="77777777" w:rsidR="00655D0C" w:rsidRPr="00661736" w:rsidRDefault="00655D0C" w:rsidP="00803F18">
            <w:pPr>
              <w:pStyle w:val="ListParagraph"/>
              <w:ind w:left="360"/>
              <w:rPr>
                <w:sz w:val="16"/>
                <w:szCs w:val="16"/>
                <w:lang w:val="en-GB"/>
              </w:rPr>
            </w:pPr>
            <w:r w:rsidRPr="00661736">
              <w:rPr>
                <w:sz w:val="16"/>
                <w:szCs w:val="16"/>
                <w:lang w:val="en-GB"/>
              </w:rPr>
              <w:t>Target 2027: 6,000</w:t>
            </w:r>
          </w:p>
          <w:p w14:paraId="7A31DC95" w14:textId="3E8E5F92" w:rsidR="00655D0C" w:rsidRPr="00661736" w:rsidRDefault="00655D0C" w:rsidP="00661736">
            <w:pPr>
              <w:pStyle w:val="ListParagraph"/>
              <w:ind w:left="360"/>
              <w:rPr>
                <w:sz w:val="16"/>
                <w:szCs w:val="16"/>
                <w:lang w:val="en-GB"/>
              </w:rPr>
            </w:pPr>
            <w:r w:rsidRPr="00661736">
              <w:rPr>
                <w:sz w:val="16"/>
                <w:szCs w:val="16"/>
                <w:lang w:val="en-GB"/>
              </w:rPr>
              <w:t>Data source: FLA, NSC</w:t>
            </w:r>
          </w:p>
        </w:tc>
        <w:tc>
          <w:tcPr>
            <w:tcW w:w="1027" w:type="pct"/>
            <w:vMerge/>
          </w:tcPr>
          <w:p w14:paraId="65E82D13"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17160FF1" w14:textId="77777777" w:rsidR="00655D0C" w:rsidRPr="00661736" w:rsidRDefault="00655D0C" w:rsidP="000A0652">
            <w:pPr>
              <w:rPr>
                <w:b/>
                <w:bCs/>
                <w:sz w:val="16"/>
                <w:szCs w:val="16"/>
              </w:rPr>
            </w:pPr>
            <w:r w:rsidRPr="00661736">
              <w:rPr>
                <w:b/>
                <w:bCs/>
                <w:sz w:val="16"/>
                <w:szCs w:val="16"/>
              </w:rPr>
              <w:t>Regular: $ 1,000,000</w:t>
            </w:r>
          </w:p>
        </w:tc>
      </w:tr>
      <w:tr w:rsidR="00661736" w:rsidRPr="00661736" w14:paraId="5DCEE6C2" w14:textId="77777777" w:rsidTr="009E5D20">
        <w:tc>
          <w:tcPr>
            <w:tcW w:w="1077" w:type="pct"/>
            <w:vMerge/>
            <w:tcMar>
              <w:top w:w="72" w:type="dxa"/>
              <w:left w:w="144" w:type="dxa"/>
              <w:bottom w:w="72" w:type="dxa"/>
              <w:right w:w="144" w:type="dxa"/>
            </w:tcMar>
          </w:tcPr>
          <w:p w14:paraId="54F834EE" w14:textId="77777777" w:rsidR="00655D0C" w:rsidRPr="00661736" w:rsidRDefault="00655D0C" w:rsidP="001F27DB">
            <w:pPr>
              <w:rPr>
                <w:sz w:val="16"/>
                <w:szCs w:val="16"/>
                <w:lang w:val="en-GB"/>
              </w:rPr>
            </w:pPr>
          </w:p>
        </w:tc>
        <w:tc>
          <w:tcPr>
            <w:tcW w:w="1191" w:type="pct"/>
            <w:vMerge/>
          </w:tcPr>
          <w:p w14:paraId="511371AA" w14:textId="77777777" w:rsidR="00655D0C" w:rsidRPr="00661736" w:rsidRDefault="00655D0C" w:rsidP="000A0652">
            <w:pPr>
              <w:pStyle w:val="ListParagraph"/>
              <w:numPr>
                <w:ilvl w:val="0"/>
                <w:numId w:val="5"/>
              </w:numPr>
              <w:rPr>
                <w:sz w:val="16"/>
                <w:szCs w:val="16"/>
                <w:lang w:val="en-GB"/>
              </w:rPr>
            </w:pPr>
          </w:p>
        </w:tc>
        <w:tc>
          <w:tcPr>
            <w:tcW w:w="1071" w:type="pct"/>
            <w:vMerge/>
            <w:tcMar>
              <w:top w:w="72" w:type="dxa"/>
              <w:left w:w="144" w:type="dxa"/>
              <w:bottom w:w="72" w:type="dxa"/>
              <w:right w:w="144" w:type="dxa"/>
            </w:tcMar>
          </w:tcPr>
          <w:p w14:paraId="71FC737A" w14:textId="77777777" w:rsidR="00655D0C" w:rsidRPr="00661736" w:rsidRDefault="00655D0C" w:rsidP="000A0652">
            <w:pPr>
              <w:rPr>
                <w:sz w:val="16"/>
                <w:szCs w:val="16"/>
                <w:lang w:val="en-GB"/>
              </w:rPr>
            </w:pPr>
          </w:p>
        </w:tc>
        <w:tc>
          <w:tcPr>
            <w:tcW w:w="1027" w:type="pct"/>
            <w:vMerge/>
          </w:tcPr>
          <w:p w14:paraId="7CE6FEA9"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44C4969A" w14:textId="77777777" w:rsidR="00655D0C" w:rsidRPr="00661736" w:rsidRDefault="00655D0C" w:rsidP="000A0652">
            <w:pPr>
              <w:rPr>
                <w:b/>
                <w:bCs/>
                <w:sz w:val="16"/>
                <w:szCs w:val="16"/>
              </w:rPr>
            </w:pPr>
            <w:r w:rsidRPr="00661736">
              <w:rPr>
                <w:b/>
                <w:bCs/>
                <w:sz w:val="16"/>
                <w:szCs w:val="16"/>
              </w:rPr>
              <w:t>Other: $ 5,000,000</w:t>
            </w:r>
          </w:p>
          <w:p w14:paraId="306CED0D" w14:textId="77777777" w:rsidR="00655D0C" w:rsidRPr="00661736" w:rsidRDefault="00655D0C" w:rsidP="00661736">
            <w:pPr>
              <w:rPr>
                <w:sz w:val="16"/>
                <w:szCs w:val="16"/>
                <w:lang w:val="en-GB"/>
              </w:rPr>
            </w:pPr>
          </w:p>
        </w:tc>
      </w:tr>
      <w:tr w:rsidR="00661736" w:rsidRPr="00661736" w14:paraId="745E6BB4" w14:textId="77777777" w:rsidTr="009E5D20">
        <w:tc>
          <w:tcPr>
            <w:tcW w:w="1077" w:type="pct"/>
            <w:vMerge/>
            <w:tcMar>
              <w:top w:w="72" w:type="dxa"/>
              <w:left w:w="144" w:type="dxa"/>
              <w:bottom w:w="72" w:type="dxa"/>
              <w:right w:w="144" w:type="dxa"/>
            </w:tcMar>
          </w:tcPr>
          <w:p w14:paraId="44C069E5" w14:textId="77777777" w:rsidR="00655D0C" w:rsidRPr="00661736" w:rsidRDefault="00655D0C">
            <w:pPr>
              <w:rPr>
                <w:sz w:val="16"/>
                <w:szCs w:val="16"/>
                <w:lang w:val="en-GB"/>
              </w:rPr>
            </w:pPr>
          </w:p>
        </w:tc>
        <w:tc>
          <w:tcPr>
            <w:tcW w:w="1191" w:type="pct"/>
            <w:vMerge w:val="restart"/>
          </w:tcPr>
          <w:p w14:paraId="5C01AAE1" w14:textId="77777777" w:rsidR="00655D0C" w:rsidRPr="00661736" w:rsidRDefault="00655D0C" w:rsidP="000A0652">
            <w:pPr>
              <w:rPr>
                <w:sz w:val="16"/>
                <w:szCs w:val="16"/>
                <w:lang w:val="en"/>
              </w:rPr>
            </w:pPr>
          </w:p>
        </w:tc>
        <w:tc>
          <w:tcPr>
            <w:tcW w:w="1071" w:type="pct"/>
            <w:vMerge w:val="restart"/>
            <w:tcMar>
              <w:top w:w="72" w:type="dxa"/>
              <w:left w:w="144" w:type="dxa"/>
              <w:bottom w:w="72" w:type="dxa"/>
              <w:right w:w="144" w:type="dxa"/>
            </w:tcMar>
          </w:tcPr>
          <w:p w14:paraId="470550F4" w14:textId="60D74863" w:rsidR="00655D0C" w:rsidRPr="00661736" w:rsidRDefault="00655D0C" w:rsidP="000A0652">
            <w:pPr>
              <w:rPr>
                <w:sz w:val="16"/>
                <w:szCs w:val="16"/>
              </w:rPr>
            </w:pPr>
            <w:r w:rsidRPr="00661736">
              <w:rPr>
                <w:sz w:val="16"/>
                <w:szCs w:val="16"/>
                <w:lang w:val="en-GB"/>
              </w:rPr>
              <w:t>Output 4.3.</w:t>
            </w:r>
            <w:r w:rsidR="00916606">
              <w:rPr>
                <w:sz w:val="16"/>
                <w:szCs w:val="16"/>
                <w:lang w:val="en-GB"/>
              </w:rPr>
              <w:t>:</w:t>
            </w:r>
            <w:r w:rsidRPr="00661736">
              <w:rPr>
                <w:sz w:val="16"/>
                <w:szCs w:val="16"/>
              </w:rPr>
              <w:t xml:space="preserve"> Civil society and vulnerable groups, especially women, youth and people with disabilities, benefit from strengthened and inclusive social dialogue and are empowered to equally participate in </w:t>
            </w:r>
            <w:r w:rsidRPr="00661736">
              <w:rPr>
                <w:sz w:val="16"/>
                <w:szCs w:val="16"/>
              </w:rPr>
              <w:lastRenderedPageBreak/>
              <w:t>national and local decision-making and development, fostering resilience.</w:t>
            </w:r>
          </w:p>
          <w:p w14:paraId="31FF8AF7" w14:textId="77777777" w:rsidR="00655D0C" w:rsidRPr="00661736" w:rsidRDefault="00655D0C" w:rsidP="000A0652">
            <w:pPr>
              <w:rPr>
                <w:sz w:val="16"/>
                <w:szCs w:val="16"/>
                <w:lang w:val="en-GB"/>
              </w:rPr>
            </w:pPr>
          </w:p>
          <w:p w14:paraId="3382F5E8" w14:textId="7C14CA79" w:rsidR="00655D0C" w:rsidRPr="00661736" w:rsidRDefault="00655D0C" w:rsidP="000A0652">
            <w:pPr>
              <w:pStyle w:val="ListParagraph"/>
              <w:numPr>
                <w:ilvl w:val="0"/>
                <w:numId w:val="5"/>
              </w:numPr>
              <w:rPr>
                <w:sz w:val="16"/>
                <w:szCs w:val="16"/>
                <w:lang w:val="en-GB"/>
              </w:rPr>
            </w:pPr>
            <w:r w:rsidRPr="00661736">
              <w:rPr>
                <w:sz w:val="16"/>
                <w:szCs w:val="16"/>
                <w:lang w:val="en-GB"/>
              </w:rPr>
              <w:t>Indicator 4.3.1</w:t>
            </w:r>
            <w:r w:rsidR="00916606">
              <w:rPr>
                <w:sz w:val="16"/>
                <w:szCs w:val="16"/>
                <w:lang w:val="en-GB"/>
              </w:rPr>
              <w:t>.</w:t>
            </w:r>
            <w:r w:rsidRPr="00661736">
              <w:rPr>
                <w:sz w:val="16"/>
                <w:szCs w:val="16"/>
                <w:lang w:val="en-GB"/>
              </w:rPr>
              <w:t>:</w:t>
            </w:r>
            <w:r w:rsidRPr="00661736">
              <w:rPr>
                <w:rFonts w:ascii="Segoe UI" w:hAnsi="Segoe UI" w:cs="Segoe UI"/>
                <w:sz w:val="21"/>
                <w:szCs w:val="21"/>
                <w:shd w:val="clear" w:color="auto" w:fill="FFFFFF"/>
              </w:rPr>
              <w:t xml:space="preserve"> </w:t>
            </w:r>
            <w:r w:rsidRPr="00661736">
              <w:rPr>
                <w:sz w:val="16"/>
                <w:szCs w:val="16"/>
                <w:shd w:val="clear" w:color="auto" w:fill="FFFFFF"/>
              </w:rPr>
              <w:t xml:space="preserve">Number </w:t>
            </w:r>
            <w:r w:rsidRPr="00661736">
              <w:rPr>
                <w:sz w:val="16"/>
                <w:szCs w:val="16"/>
                <w:lang w:val="en-GB"/>
              </w:rPr>
              <w:t>of inclusive policies and mechanisms for pre-emptive governance and risk-informed development, civic participation, and</w:t>
            </w:r>
            <w:r w:rsidRPr="00661736">
              <w:rPr>
                <w:rFonts w:asciiTheme="minorHAnsi" w:hAnsiTheme="minorHAnsi"/>
                <w:sz w:val="16"/>
                <w:szCs w:val="16"/>
                <w:lang w:val="ka-GE"/>
              </w:rPr>
              <w:t xml:space="preserve"> </w:t>
            </w:r>
            <w:r w:rsidRPr="00661736">
              <w:rPr>
                <w:sz w:val="16"/>
                <w:szCs w:val="16"/>
              </w:rPr>
              <w:t>soc</w:t>
            </w:r>
            <w:r w:rsidRPr="00661736">
              <w:rPr>
                <w:sz w:val="16"/>
                <w:szCs w:val="16"/>
                <w:lang w:val="en-GB"/>
              </w:rPr>
              <w:t>ial dialogue with focus on most vulnerable women and youth, to strengthen social contract at national and local levels.</w:t>
            </w:r>
          </w:p>
          <w:p w14:paraId="42208665" w14:textId="510EA2FD" w:rsidR="00655D0C" w:rsidRPr="00661736" w:rsidRDefault="00655D0C" w:rsidP="000A0652">
            <w:pPr>
              <w:pStyle w:val="ListParagraph"/>
              <w:ind w:left="360"/>
              <w:rPr>
                <w:lang w:val="en-GB"/>
              </w:rPr>
            </w:pPr>
            <w:r w:rsidRPr="00661736">
              <w:rPr>
                <w:sz w:val="16"/>
                <w:szCs w:val="16"/>
                <w:lang w:val="en-GB"/>
              </w:rPr>
              <w:t>Baseline 2020: 0</w:t>
            </w:r>
          </w:p>
          <w:p w14:paraId="74D0A49C" w14:textId="443819A8" w:rsidR="00655D0C" w:rsidRPr="00661736" w:rsidRDefault="00655D0C" w:rsidP="000A0652">
            <w:pPr>
              <w:pStyle w:val="ListParagraph"/>
              <w:ind w:left="360"/>
              <w:rPr>
                <w:lang w:val="en-GB"/>
              </w:rPr>
            </w:pPr>
            <w:r w:rsidRPr="00661736">
              <w:rPr>
                <w:sz w:val="16"/>
                <w:szCs w:val="16"/>
                <w:lang w:val="en-GB"/>
              </w:rPr>
              <w:t>Target 2027: 1 policy, 3 mechanisms</w:t>
            </w:r>
          </w:p>
          <w:p w14:paraId="6ED75D9C" w14:textId="6060DAAD" w:rsidR="00655D0C" w:rsidRPr="00661736" w:rsidRDefault="00655D0C" w:rsidP="00292B81">
            <w:pPr>
              <w:pStyle w:val="ListParagraph"/>
              <w:ind w:left="360"/>
              <w:rPr>
                <w:sz w:val="16"/>
                <w:szCs w:val="16"/>
                <w:lang w:val="en-GB"/>
              </w:rPr>
            </w:pPr>
            <w:r w:rsidRPr="00661736">
              <w:rPr>
                <w:sz w:val="16"/>
                <w:szCs w:val="16"/>
                <w:lang w:val="en-GB"/>
              </w:rPr>
              <w:t>Data source: Government</w:t>
            </w:r>
          </w:p>
          <w:p w14:paraId="774E2C5D" w14:textId="77777777" w:rsidR="00655D0C" w:rsidRPr="00661736" w:rsidRDefault="00655D0C" w:rsidP="000A0652">
            <w:pPr>
              <w:pStyle w:val="ListParagraph"/>
              <w:ind w:left="360"/>
              <w:rPr>
                <w:sz w:val="16"/>
                <w:szCs w:val="16"/>
                <w:lang w:val="en-GB"/>
              </w:rPr>
            </w:pPr>
          </w:p>
          <w:p w14:paraId="0D08F01D" w14:textId="123051F8" w:rsidR="00655D0C" w:rsidRPr="00661736" w:rsidRDefault="00655D0C" w:rsidP="000A0652">
            <w:pPr>
              <w:pStyle w:val="ListParagraph"/>
              <w:numPr>
                <w:ilvl w:val="0"/>
                <w:numId w:val="5"/>
              </w:numPr>
              <w:rPr>
                <w:sz w:val="16"/>
                <w:szCs w:val="16"/>
                <w:lang w:val="en-GB"/>
              </w:rPr>
            </w:pPr>
            <w:r w:rsidRPr="00661736">
              <w:rPr>
                <w:sz w:val="16"/>
                <w:szCs w:val="16"/>
                <w:lang w:val="en-GB"/>
              </w:rPr>
              <w:t>Indicator 4.3.2</w:t>
            </w:r>
            <w:r w:rsidR="00916606">
              <w:rPr>
                <w:sz w:val="16"/>
                <w:szCs w:val="16"/>
                <w:lang w:val="en-GB"/>
              </w:rPr>
              <w:t>.</w:t>
            </w:r>
            <w:r w:rsidRPr="00661736">
              <w:rPr>
                <w:sz w:val="16"/>
                <w:szCs w:val="16"/>
                <w:lang w:val="en-GB"/>
              </w:rPr>
              <w:t>:</w:t>
            </w:r>
            <w:r w:rsidRPr="00661736">
              <w:rPr>
                <w:sz w:val="16"/>
                <w:szCs w:val="16"/>
                <w:shd w:val="clear" w:color="auto" w:fill="FFFFFF"/>
              </w:rPr>
              <w:t xml:space="preserve">  </w:t>
            </w:r>
            <w:r w:rsidRPr="00661736">
              <w:rPr>
                <w:sz w:val="16"/>
                <w:szCs w:val="16"/>
                <w:lang w:val="en-GB"/>
              </w:rPr>
              <w:t>Number of relevant CSOs and vulnerable groups empowered to jointly advocate their needs and participate in national and local decision-making and regional development (Rating scale from 0 to 3, where 0 - no capacit</w:t>
            </w:r>
            <w:r w:rsidR="008F2628" w:rsidRPr="00661736">
              <w:rPr>
                <w:sz w:val="16"/>
                <w:szCs w:val="16"/>
                <w:lang w:val="en-GB"/>
              </w:rPr>
              <w:t>y</w:t>
            </w:r>
            <w:r w:rsidRPr="00661736">
              <w:rPr>
                <w:sz w:val="16"/>
                <w:szCs w:val="16"/>
                <w:lang w:val="en-GB"/>
              </w:rPr>
              <w:t xml:space="preserve">, </w:t>
            </w:r>
            <w:r w:rsidR="008F2628" w:rsidRPr="00661736">
              <w:rPr>
                <w:sz w:val="16"/>
                <w:szCs w:val="16"/>
                <w:lang w:val="en-GB"/>
              </w:rPr>
              <w:t>and</w:t>
            </w:r>
            <w:r w:rsidRPr="00661736">
              <w:rPr>
                <w:sz w:val="16"/>
                <w:szCs w:val="16"/>
                <w:lang w:val="en-GB"/>
              </w:rPr>
              <w:t xml:space="preserve"> 3 - good)</w:t>
            </w:r>
            <w:r w:rsidR="00916606">
              <w:rPr>
                <w:sz w:val="16"/>
                <w:szCs w:val="16"/>
                <w:lang w:val="en-GB"/>
              </w:rPr>
              <w:t>.</w:t>
            </w:r>
          </w:p>
          <w:p w14:paraId="2AF04A8C" w14:textId="248EF478" w:rsidR="00655D0C" w:rsidRPr="00661736" w:rsidRDefault="00655D0C" w:rsidP="000A0652">
            <w:pPr>
              <w:pStyle w:val="ListParagraph"/>
              <w:ind w:left="360"/>
              <w:rPr>
                <w:sz w:val="16"/>
                <w:szCs w:val="16"/>
                <w:lang w:val="en-GB"/>
              </w:rPr>
            </w:pPr>
            <w:r w:rsidRPr="00661736">
              <w:rPr>
                <w:sz w:val="16"/>
                <w:szCs w:val="16"/>
                <w:lang w:val="en-GB"/>
              </w:rPr>
              <w:t>Baseline 2020: 0</w:t>
            </w:r>
          </w:p>
          <w:p w14:paraId="5F68B7AC" w14:textId="0F95465D" w:rsidR="00655D0C" w:rsidRPr="00661736" w:rsidRDefault="00655D0C" w:rsidP="000A0652">
            <w:pPr>
              <w:pStyle w:val="ListParagraph"/>
              <w:ind w:left="360"/>
              <w:rPr>
                <w:sz w:val="16"/>
                <w:szCs w:val="16"/>
                <w:lang w:val="en-GB"/>
              </w:rPr>
            </w:pPr>
            <w:r w:rsidRPr="00661736">
              <w:rPr>
                <w:sz w:val="16"/>
                <w:szCs w:val="16"/>
                <w:lang w:val="en-GB"/>
              </w:rPr>
              <w:t>Target 2027: 30</w:t>
            </w:r>
          </w:p>
          <w:p w14:paraId="4F5B2104" w14:textId="362D1FA7" w:rsidR="00655D0C" w:rsidRPr="00661736" w:rsidRDefault="00655D0C" w:rsidP="00655D0C">
            <w:pPr>
              <w:pStyle w:val="ListParagraph"/>
              <w:ind w:left="360"/>
              <w:rPr>
                <w:sz w:val="16"/>
                <w:szCs w:val="16"/>
                <w:lang w:val="en-GB"/>
              </w:rPr>
            </w:pPr>
            <w:r w:rsidRPr="00661736">
              <w:rPr>
                <w:sz w:val="16"/>
                <w:szCs w:val="16"/>
                <w:lang w:val="en-GB"/>
              </w:rPr>
              <w:t>Data source: CSOs</w:t>
            </w:r>
          </w:p>
        </w:tc>
        <w:tc>
          <w:tcPr>
            <w:tcW w:w="1027" w:type="pct"/>
            <w:vMerge/>
          </w:tcPr>
          <w:p w14:paraId="760E86FE"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265DB7BC" w14:textId="77777777" w:rsidR="00655D0C" w:rsidRPr="00661736" w:rsidRDefault="00655D0C" w:rsidP="000A0652">
            <w:pPr>
              <w:rPr>
                <w:sz w:val="16"/>
                <w:szCs w:val="16"/>
                <w:lang w:val="en-GB"/>
              </w:rPr>
            </w:pPr>
            <w:r w:rsidRPr="00661736">
              <w:rPr>
                <w:b/>
                <w:bCs/>
                <w:sz w:val="16"/>
                <w:szCs w:val="16"/>
              </w:rPr>
              <w:t>Regular: $ 1,650,000</w:t>
            </w:r>
          </w:p>
        </w:tc>
      </w:tr>
      <w:tr w:rsidR="00661736" w:rsidRPr="00661736" w14:paraId="44D1C942" w14:textId="77777777" w:rsidTr="009E5D20">
        <w:tc>
          <w:tcPr>
            <w:tcW w:w="1077" w:type="pct"/>
            <w:vMerge/>
            <w:tcMar>
              <w:top w:w="72" w:type="dxa"/>
              <w:left w:w="144" w:type="dxa"/>
              <w:bottom w:w="72" w:type="dxa"/>
              <w:right w:w="144" w:type="dxa"/>
            </w:tcMar>
          </w:tcPr>
          <w:p w14:paraId="6556D25F" w14:textId="77777777" w:rsidR="00655D0C" w:rsidRPr="00661736" w:rsidRDefault="00655D0C" w:rsidP="000A0652">
            <w:pPr>
              <w:rPr>
                <w:sz w:val="16"/>
                <w:szCs w:val="16"/>
                <w:lang w:val="en-GB"/>
              </w:rPr>
            </w:pPr>
          </w:p>
        </w:tc>
        <w:tc>
          <w:tcPr>
            <w:tcW w:w="1191" w:type="pct"/>
            <w:vMerge/>
          </w:tcPr>
          <w:p w14:paraId="4ED17BA0" w14:textId="77777777" w:rsidR="00655D0C" w:rsidRPr="00661736" w:rsidRDefault="00655D0C" w:rsidP="000A0652">
            <w:pPr>
              <w:pStyle w:val="ListParagraph"/>
              <w:numPr>
                <w:ilvl w:val="0"/>
                <w:numId w:val="5"/>
              </w:numPr>
              <w:rPr>
                <w:sz w:val="16"/>
                <w:szCs w:val="16"/>
                <w:lang w:val="en-GB"/>
              </w:rPr>
            </w:pPr>
          </w:p>
        </w:tc>
        <w:tc>
          <w:tcPr>
            <w:tcW w:w="1071" w:type="pct"/>
            <w:vMerge/>
            <w:tcMar>
              <w:top w:w="72" w:type="dxa"/>
              <w:left w:w="144" w:type="dxa"/>
              <w:bottom w:w="72" w:type="dxa"/>
              <w:right w:w="144" w:type="dxa"/>
            </w:tcMar>
          </w:tcPr>
          <w:p w14:paraId="55807F4B" w14:textId="77777777" w:rsidR="00655D0C" w:rsidRPr="00661736" w:rsidRDefault="00655D0C" w:rsidP="000A0652">
            <w:pPr>
              <w:rPr>
                <w:sz w:val="16"/>
                <w:szCs w:val="16"/>
                <w:lang w:val="en-GB"/>
              </w:rPr>
            </w:pPr>
          </w:p>
        </w:tc>
        <w:tc>
          <w:tcPr>
            <w:tcW w:w="1027" w:type="pct"/>
            <w:vMerge/>
          </w:tcPr>
          <w:p w14:paraId="3DA035BD" w14:textId="77777777" w:rsidR="00655D0C" w:rsidRPr="00661736" w:rsidRDefault="00655D0C" w:rsidP="000A0652">
            <w:pPr>
              <w:jc w:val="center"/>
              <w:rPr>
                <w:sz w:val="16"/>
                <w:szCs w:val="16"/>
                <w:lang w:val="en-GB"/>
              </w:rPr>
            </w:pPr>
          </w:p>
        </w:tc>
        <w:tc>
          <w:tcPr>
            <w:tcW w:w="634" w:type="pct"/>
            <w:tcMar>
              <w:top w:w="15" w:type="dxa"/>
              <w:left w:w="108" w:type="dxa"/>
              <w:bottom w:w="0" w:type="dxa"/>
              <w:right w:w="108" w:type="dxa"/>
            </w:tcMar>
          </w:tcPr>
          <w:p w14:paraId="463A772A" w14:textId="77777777" w:rsidR="00655D0C" w:rsidRPr="00661736" w:rsidRDefault="00655D0C" w:rsidP="000A0652">
            <w:pPr>
              <w:rPr>
                <w:b/>
                <w:bCs/>
                <w:sz w:val="16"/>
                <w:szCs w:val="16"/>
              </w:rPr>
            </w:pPr>
            <w:r w:rsidRPr="00661736">
              <w:rPr>
                <w:b/>
                <w:bCs/>
                <w:sz w:val="16"/>
                <w:szCs w:val="16"/>
              </w:rPr>
              <w:t>Other:  $ 10,900,000</w:t>
            </w:r>
          </w:p>
          <w:p w14:paraId="60876245" w14:textId="76F53902" w:rsidR="00655D0C" w:rsidRPr="00661736" w:rsidRDefault="00655D0C" w:rsidP="000A0652">
            <w:pPr>
              <w:rPr>
                <w:sz w:val="16"/>
                <w:szCs w:val="16"/>
                <w:lang w:val="en-GB"/>
              </w:rPr>
            </w:pPr>
          </w:p>
        </w:tc>
      </w:tr>
    </w:tbl>
    <w:p w14:paraId="78AAD4B1" w14:textId="70341439" w:rsidR="00661736" w:rsidRPr="00661736" w:rsidRDefault="004761DE" w:rsidP="004761DE">
      <w:pPr>
        <w:jc w:val="center"/>
      </w:pPr>
      <w:r>
        <w:rPr>
          <w:noProof/>
        </w:rPr>
        <w:drawing>
          <wp:inline distT="0" distB="0" distL="0" distR="0" wp14:anchorId="1DE7BA9E" wp14:editId="7B61C0F3">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661736" w:rsidRPr="00661736" w:rsidSect="00C95575">
      <w:headerReference w:type="even" r:id="rId24"/>
      <w:headerReference w:type="default" r:id="rId25"/>
      <w:footerReference w:type="even" r:id="rId26"/>
      <w:footerReference w:type="default" r:id="rId27"/>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AD18" w14:textId="77777777" w:rsidR="00114979" w:rsidRDefault="00114979" w:rsidP="00441061">
      <w:r>
        <w:separator/>
      </w:r>
    </w:p>
  </w:endnote>
  <w:endnote w:type="continuationSeparator" w:id="0">
    <w:p w14:paraId="65A6BACC" w14:textId="77777777" w:rsidR="00114979" w:rsidRDefault="0011497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584E34" w:rsidRPr="005841A3" w:rsidRDefault="00584E34" w:rsidP="00315F14">
    <w:pPr>
      <w:pStyle w:val="Footer"/>
      <w:ind w:firstLine="99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143B36FB" w:rsidR="00584E34" w:rsidRPr="00315F14" w:rsidRDefault="00584E34" w:rsidP="00315F14">
    <w:pPr>
      <w:pStyle w:val="Footer"/>
      <w:ind w:right="85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9027" w14:textId="77777777" w:rsidR="00E934F5" w:rsidRPr="005841A3" w:rsidRDefault="00E934F5" w:rsidP="00112F45">
    <w:pPr>
      <w:pStyle w:val="Footer"/>
      <w:ind w:firstLine="900"/>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2</w:t>
    </w:r>
    <w:r w:rsidRPr="005841A3">
      <w:rPr>
        <w:b/>
        <w:color w:val="2B579A"/>
        <w:sz w:val="17"/>
        <w:szCs w:val="17"/>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AAB4" w14:textId="77777777" w:rsidR="00E934F5" w:rsidRPr="00EC10C5" w:rsidRDefault="00E934F5" w:rsidP="00112F45">
    <w:pPr>
      <w:pStyle w:val="Footer"/>
      <w:tabs>
        <w:tab w:val="clear" w:pos="8640"/>
        <w:tab w:val="right" w:pos="9000"/>
      </w:tabs>
      <w:ind w:right="940"/>
      <w:jc w:val="right"/>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3</w:t>
    </w:r>
    <w:r w:rsidRPr="005841A3">
      <w:rPr>
        <w:b/>
        <w:color w:val="2B579A"/>
        <w:sz w:val="17"/>
        <w:szCs w:val="17"/>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7ABA" w14:textId="77777777" w:rsidR="008D7980" w:rsidRPr="005841A3" w:rsidRDefault="008D7980" w:rsidP="008D7980">
    <w:pPr>
      <w:pStyle w:val="Footer"/>
      <w:ind w:firstLine="180"/>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2</w:t>
    </w:r>
    <w:r w:rsidRPr="005841A3">
      <w:rPr>
        <w:b/>
        <w:color w:val="2B579A"/>
        <w:sz w:val="17"/>
        <w:szCs w:val="17"/>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64E8" w14:textId="77777777" w:rsidR="008D7980" w:rsidRPr="00EC10C5" w:rsidRDefault="008D7980" w:rsidP="008D7980">
    <w:pPr>
      <w:pStyle w:val="Footer"/>
      <w:tabs>
        <w:tab w:val="clear" w:pos="8640"/>
        <w:tab w:val="right" w:pos="9000"/>
      </w:tabs>
      <w:ind w:right="486"/>
      <w:jc w:val="right"/>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3</w:t>
    </w:r>
    <w:r w:rsidRPr="005841A3">
      <w:rPr>
        <w:b/>
        <w:color w:val="2B579A"/>
        <w:sz w:val="17"/>
        <w:szCs w:val="17"/>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0497" w14:textId="77777777" w:rsidR="00114979" w:rsidRDefault="00114979" w:rsidP="00441061">
      <w:r>
        <w:separator/>
      </w:r>
    </w:p>
  </w:footnote>
  <w:footnote w:type="continuationSeparator" w:id="0">
    <w:p w14:paraId="0EDF91FF" w14:textId="77777777" w:rsidR="00114979" w:rsidRDefault="00114979" w:rsidP="00441061">
      <w:r>
        <w:continuationSeparator/>
      </w:r>
    </w:p>
  </w:footnote>
  <w:footnote w:id="1">
    <w:p w14:paraId="7866644E" w14:textId="6DDF6BE0" w:rsidR="00584E34" w:rsidRPr="002B6416" w:rsidRDefault="00584E34" w:rsidP="002B6416">
      <w:pPr>
        <w:pStyle w:val="FootnoteText"/>
        <w:rPr>
          <w:rFonts w:ascii="Times New Roman" w:hAnsi="Times New Roman"/>
          <w:sz w:val="16"/>
          <w:szCs w:val="16"/>
        </w:rPr>
      </w:pPr>
      <w:r w:rsidRPr="002B6416">
        <w:rPr>
          <w:rStyle w:val="FootnoteReference"/>
          <w:rFonts w:ascii="Times New Roman" w:hAnsi="Times New Roman"/>
          <w:sz w:val="16"/>
          <w:szCs w:val="16"/>
        </w:rPr>
        <w:footnoteRef/>
      </w:r>
      <w:r w:rsidRPr="002B6416">
        <w:rPr>
          <w:rFonts w:ascii="Times New Roman" w:hAnsi="Times New Roman"/>
          <w:sz w:val="16"/>
          <w:szCs w:val="16"/>
        </w:rPr>
        <w:t xml:space="preserve"> World Bank data</w:t>
      </w:r>
      <w:r w:rsidR="002B6416" w:rsidRPr="002B6416">
        <w:rPr>
          <w:rFonts w:ascii="Times New Roman" w:hAnsi="Times New Roman"/>
          <w:sz w:val="16"/>
          <w:szCs w:val="16"/>
        </w:rPr>
        <w:t>.</w:t>
      </w:r>
    </w:p>
  </w:footnote>
  <w:footnote w:id="2">
    <w:p w14:paraId="1BB489B5" w14:textId="76952502" w:rsidR="00584E34" w:rsidRPr="002B6416" w:rsidRDefault="00584E34" w:rsidP="002B6416">
      <w:pPr>
        <w:pStyle w:val="FootnoteText"/>
        <w:rPr>
          <w:rFonts w:ascii="Times New Roman" w:hAnsi="Times New Roman"/>
          <w:sz w:val="16"/>
          <w:szCs w:val="16"/>
        </w:rPr>
      </w:pPr>
      <w:r w:rsidRPr="002B6416">
        <w:rPr>
          <w:rStyle w:val="FootnoteReference"/>
          <w:rFonts w:ascii="Times New Roman" w:hAnsi="Times New Roman"/>
          <w:sz w:val="16"/>
          <w:szCs w:val="16"/>
        </w:rPr>
        <w:footnoteRef/>
      </w:r>
      <w:r w:rsidRPr="002B6416">
        <w:rPr>
          <w:rFonts w:ascii="Times New Roman" w:hAnsi="Times New Roman"/>
          <w:sz w:val="16"/>
          <w:szCs w:val="16"/>
        </w:rPr>
        <w:t xml:space="preserve"> </w:t>
      </w:r>
      <w:hyperlink r:id="rId1" w:history="1">
        <w:r w:rsidRPr="002B6416">
          <w:rPr>
            <w:rStyle w:val="Hyperlink"/>
            <w:rFonts w:ascii="Times New Roman" w:hAnsi="Times New Roman"/>
            <w:sz w:val="16"/>
            <w:szCs w:val="16"/>
          </w:rPr>
          <w:t>Assessment of Local Authorities’ Attitudes Towards Returned Migrants</w:t>
        </w:r>
      </w:hyperlink>
      <w:r w:rsidR="002B6416" w:rsidRPr="002B6416">
        <w:rPr>
          <w:rFonts w:ascii="Times New Roman" w:hAnsi="Times New Roman"/>
          <w:sz w:val="16"/>
          <w:szCs w:val="16"/>
        </w:rPr>
        <w:t>.</w:t>
      </w:r>
    </w:p>
  </w:footnote>
  <w:footnote w:id="3">
    <w:p w14:paraId="07F634BD" w14:textId="627D978C" w:rsidR="00584E34" w:rsidRPr="002B6416" w:rsidRDefault="00584E34" w:rsidP="002B6416">
      <w:pPr>
        <w:pStyle w:val="FootnoteText"/>
        <w:rPr>
          <w:rFonts w:ascii="Times New Roman" w:hAnsi="Times New Roman"/>
          <w:sz w:val="16"/>
          <w:szCs w:val="16"/>
        </w:rPr>
      </w:pPr>
      <w:r w:rsidRPr="002B6416">
        <w:rPr>
          <w:rStyle w:val="FootnoteReference"/>
          <w:rFonts w:ascii="Times New Roman" w:hAnsi="Times New Roman"/>
          <w:sz w:val="16"/>
          <w:szCs w:val="16"/>
        </w:rPr>
        <w:footnoteRef/>
      </w:r>
      <w:r w:rsidRPr="002B6416">
        <w:rPr>
          <w:rFonts w:ascii="Times New Roman" w:hAnsi="Times New Roman"/>
          <w:sz w:val="16"/>
          <w:szCs w:val="16"/>
        </w:rPr>
        <w:t xml:space="preserve"> </w:t>
      </w:r>
      <w:hyperlink r:id="rId2" w:history="1">
        <w:r w:rsidRPr="002B6416">
          <w:rPr>
            <w:rStyle w:val="Hyperlink"/>
            <w:rFonts w:ascii="Times New Roman" w:hAnsi="Times New Roman"/>
            <w:sz w:val="16"/>
            <w:szCs w:val="16"/>
          </w:rPr>
          <w:t>Climate Risk Country Profile: Kyrgyz Republic</w:t>
        </w:r>
      </w:hyperlink>
      <w:r w:rsidR="002B6416" w:rsidRPr="002B6416">
        <w:rPr>
          <w:rFonts w:ascii="Times New Roman" w:hAnsi="Times New Roman"/>
          <w:sz w:val="16"/>
          <w:szCs w:val="16"/>
        </w:rPr>
        <w:t>.</w:t>
      </w:r>
    </w:p>
  </w:footnote>
  <w:footnote w:id="4">
    <w:p w14:paraId="7BD7DA5E" w14:textId="056832F5" w:rsidR="00584E34" w:rsidRPr="002B6416" w:rsidRDefault="00584E34" w:rsidP="002B6416">
      <w:pPr>
        <w:pStyle w:val="FootnoteText"/>
        <w:rPr>
          <w:rFonts w:ascii="Times New Roman" w:hAnsi="Times New Roman"/>
          <w:sz w:val="16"/>
          <w:szCs w:val="16"/>
        </w:rPr>
      </w:pPr>
      <w:r w:rsidRPr="002B6416">
        <w:rPr>
          <w:rStyle w:val="FootnoteReference"/>
          <w:rFonts w:ascii="Times New Roman" w:hAnsi="Times New Roman"/>
          <w:sz w:val="16"/>
          <w:szCs w:val="16"/>
        </w:rPr>
        <w:footnoteRef/>
      </w:r>
      <w:r w:rsidRPr="002B6416">
        <w:rPr>
          <w:rFonts w:ascii="Times New Roman" w:hAnsi="Times New Roman"/>
          <w:sz w:val="16"/>
          <w:szCs w:val="16"/>
        </w:rPr>
        <w:t xml:space="preserve"> “Kyrgyz Zharany” Concept</w:t>
      </w:r>
      <w:r w:rsidR="002B6416" w:rsidRPr="002B6416">
        <w:rPr>
          <w:rFonts w:ascii="Times New Roman" w:hAnsi="Times New Roman"/>
          <w:sz w:val="16"/>
          <w:szCs w:val="16"/>
        </w:rPr>
        <w:t>.</w:t>
      </w:r>
    </w:p>
  </w:footnote>
  <w:footnote w:id="5">
    <w:p w14:paraId="13144630" w14:textId="0C7EDCDA" w:rsidR="00584E34" w:rsidRPr="002B6416" w:rsidRDefault="00584E34" w:rsidP="002B6416">
      <w:pPr>
        <w:pStyle w:val="FootnoteText"/>
        <w:rPr>
          <w:rFonts w:ascii="Times New Roman" w:hAnsi="Times New Roman"/>
          <w:sz w:val="16"/>
          <w:szCs w:val="16"/>
        </w:rPr>
      </w:pPr>
      <w:r w:rsidRPr="002B6416">
        <w:rPr>
          <w:rStyle w:val="FootnoteReference"/>
          <w:rFonts w:ascii="Times New Roman" w:hAnsi="Times New Roman"/>
          <w:sz w:val="16"/>
          <w:szCs w:val="16"/>
        </w:rPr>
        <w:footnoteRef/>
      </w:r>
      <w:r w:rsidRPr="002B6416">
        <w:rPr>
          <w:rFonts w:ascii="Times New Roman" w:hAnsi="Times New Roman"/>
          <w:sz w:val="16"/>
          <w:szCs w:val="16"/>
        </w:rPr>
        <w:t xml:space="preserve"> </w:t>
      </w:r>
      <w:hyperlink r:id="rId3" w:history="1">
        <w:r w:rsidRPr="002B6416">
          <w:rPr>
            <w:rStyle w:val="Hyperlink"/>
            <w:rFonts w:ascii="Times New Roman" w:hAnsi="Times New Roman"/>
            <w:sz w:val="16"/>
            <w:szCs w:val="16"/>
          </w:rPr>
          <w:t>MAPS Report</w:t>
        </w:r>
      </w:hyperlink>
      <w:r w:rsidR="00165318">
        <w:rPr>
          <w:rFonts w:ascii="Times New Roman" w:hAnsi="Times New Roman"/>
          <w:sz w:val="16"/>
          <w:szCs w:val="16"/>
        </w:rPr>
        <w:t>.</w:t>
      </w:r>
    </w:p>
  </w:footnote>
  <w:footnote w:id="6">
    <w:p w14:paraId="2196C839" w14:textId="55B85F9E" w:rsidR="00584E34" w:rsidRPr="002B6416" w:rsidRDefault="00584E34" w:rsidP="002B6416">
      <w:pPr>
        <w:pStyle w:val="FootnoteText"/>
        <w:rPr>
          <w:rFonts w:ascii="Times New Roman" w:hAnsi="Times New Roman"/>
          <w:sz w:val="16"/>
          <w:szCs w:val="16"/>
        </w:rPr>
      </w:pPr>
      <w:r w:rsidRPr="002B6416">
        <w:rPr>
          <w:rStyle w:val="FootnoteReference"/>
          <w:rFonts w:ascii="Times New Roman" w:hAnsi="Times New Roman"/>
          <w:sz w:val="16"/>
          <w:szCs w:val="16"/>
        </w:rPr>
        <w:footnoteRef/>
      </w:r>
      <w:r w:rsidRPr="002B6416">
        <w:rPr>
          <w:rFonts w:ascii="Times New Roman" w:hAnsi="Times New Roman"/>
          <w:sz w:val="16"/>
          <w:szCs w:val="16"/>
        </w:rPr>
        <w:t xml:space="preserve"> National Statistical Committee of Kyrgyz Republic.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84E34" w:rsidRPr="005841A3" w14:paraId="2440D552" w14:textId="77777777" w:rsidTr="00D6679C">
      <w:trPr>
        <w:trHeight w:hRule="exact" w:val="80"/>
      </w:trPr>
      <w:tc>
        <w:tcPr>
          <w:tcW w:w="4838" w:type="dxa"/>
          <w:tcBorders>
            <w:bottom w:val="single" w:sz="4" w:space="0" w:color="auto"/>
          </w:tcBorders>
          <w:vAlign w:val="bottom"/>
        </w:tcPr>
        <w:p w14:paraId="2440D550" w14:textId="320BA42B" w:rsidR="00584E34" w:rsidRPr="007C6F85" w:rsidRDefault="00584E34" w:rsidP="00EC049F">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14:paraId="2440D551" w14:textId="77777777" w:rsidR="00584E34" w:rsidRPr="007C6F85" w:rsidRDefault="00584E34" w:rsidP="005841A3">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p>
      </w:tc>
    </w:tr>
  </w:tbl>
  <w:p w14:paraId="52F6996F" w14:textId="5969270B" w:rsidR="00584E34" w:rsidRDefault="00584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584E34" w14:paraId="2440D55B" w14:textId="77777777">
      <w:trPr>
        <w:trHeight w:hRule="exact" w:val="864"/>
      </w:trPr>
      <w:tc>
        <w:tcPr>
          <w:tcW w:w="1267" w:type="dxa"/>
          <w:tcBorders>
            <w:top w:val="nil"/>
            <w:left w:val="nil"/>
            <w:bottom w:val="nil"/>
            <w:right w:val="nil"/>
          </w:tcBorders>
          <w:vAlign w:val="bottom"/>
        </w:tcPr>
        <w:p w14:paraId="2440D557" w14:textId="77777777" w:rsidR="00584E34" w:rsidRPr="007C6F85" w:rsidRDefault="00584E34">
          <w:pPr>
            <w:pStyle w:val="Header"/>
            <w:spacing w:after="120"/>
            <w:rPr>
              <w:lang w:val="en-US" w:eastAsia="en-US"/>
            </w:rPr>
          </w:pPr>
        </w:p>
      </w:tc>
      <w:tc>
        <w:tcPr>
          <w:tcW w:w="1872" w:type="dxa"/>
          <w:tcBorders>
            <w:top w:val="nil"/>
            <w:left w:val="nil"/>
            <w:bottom w:val="nil"/>
            <w:right w:val="nil"/>
          </w:tcBorders>
          <w:vAlign w:val="bottom"/>
        </w:tcPr>
        <w:p w14:paraId="2440D558" w14:textId="77777777" w:rsidR="00584E34" w:rsidRDefault="00584E34">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584E34" w:rsidRPr="007C6F85" w:rsidRDefault="00584E34">
          <w:pPr>
            <w:pStyle w:val="Header"/>
            <w:spacing w:after="120"/>
            <w:rPr>
              <w:lang w:val="en-US" w:eastAsia="en-US"/>
            </w:rPr>
          </w:pPr>
        </w:p>
      </w:tc>
      <w:tc>
        <w:tcPr>
          <w:tcW w:w="6876" w:type="dxa"/>
          <w:gridSpan w:val="3"/>
          <w:tcBorders>
            <w:top w:val="nil"/>
            <w:left w:val="nil"/>
            <w:bottom w:val="nil"/>
            <w:right w:val="nil"/>
          </w:tcBorders>
          <w:vAlign w:val="bottom"/>
        </w:tcPr>
        <w:p w14:paraId="2440D55A" w14:textId="6A7985E6" w:rsidR="00584E34" w:rsidRDefault="00584E34" w:rsidP="00441061">
          <w:pPr>
            <w:spacing w:after="80"/>
            <w:jc w:val="center"/>
            <w:rPr>
              <w:position w:val="-4"/>
            </w:rPr>
          </w:pPr>
          <w:r>
            <w:rPr>
              <w:position w:val="-4"/>
              <w:sz w:val="40"/>
            </w:rPr>
            <w:t xml:space="preserve">                         DP</w:t>
          </w:r>
          <w:r>
            <w:rPr>
              <w:position w:val="-4"/>
            </w:rPr>
            <w:t>/DCP/</w:t>
          </w:r>
          <w:r w:rsidR="00315F14">
            <w:rPr>
              <w:position w:val="-4"/>
            </w:rPr>
            <w:t>KGZ/4</w:t>
          </w:r>
        </w:p>
      </w:tc>
    </w:tr>
    <w:tr w:rsidR="00584E34"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584E34" w:rsidRPr="007C6F85" w:rsidRDefault="00584E34">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584E34" w:rsidRPr="007C6F85" w:rsidRDefault="00584E34">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584E34" w:rsidRDefault="00584E34">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584E34" w:rsidRPr="007C6F85" w:rsidRDefault="00584E34">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584E34" w:rsidRDefault="00584E34">
          <w:pPr>
            <w:spacing w:before="240"/>
          </w:pPr>
          <w:r>
            <w:t>Distr.: General</w:t>
          </w:r>
        </w:p>
        <w:p w14:paraId="2440D561" w14:textId="1A0137F0" w:rsidR="00584E34" w:rsidRDefault="00891338" w:rsidP="00441061">
          <w:r>
            <w:t>10</w:t>
          </w:r>
          <w:r w:rsidR="005A4A7C">
            <w:t xml:space="preserve"> June</w:t>
          </w:r>
          <w:r w:rsidR="00315F14">
            <w:t xml:space="preserve"> 2022</w:t>
          </w:r>
        </w:p>
        <w:p w14:paraId="2440D562" w14:textId="77777777" w:rsidR="00584E34" w:rsidRDefault="00584E34"/>
        <w:p w14:paraId="2440D563" w14:textId="3363DC31" w:rsidR="00584E34" w:rsidRDefault="00584E34">
          <w:r>
            <w:t xml:space="preserve">Original: </w:t>
          </w:r>
          <w:r w:rsidR="00315F14">
            <w:t>English</w:t>
          </w:r>
        </w:p>
      </w:tc>
    </w:tr>
  </w:tbl>
  <w:p w14:paraId="2440D565" w14:textId="77777777" w:rsidR="00584E34" w:rsidRDefault="00584E3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512"/>
    </w:tblGrid>
    <w:tr w:rsidR="00E934F5" w:rsidRPr="00657A41" w14:paraId="00858860" w14:textId="77777777" w:rsidTr="00112F45">
      <w:trPr>
        <w:trHeight w:hRule="exact" w:val="864"/>
      </w:trPr>
      <w:tc>
        <w:tcPr>
          <w:tcW w:w="4128" w:type="dxa"/>
          <w:shd w:val="clear" w:color="auto" w:fill="auto"/>
          <w:vAlign w:val="bottom"/>
        </w:tcPr>
        <w:p w14:paraId="72837B81" w14:textId="77777777" w:rsidR="00E934F5" w:rsidRPr="00657A41" w:rsidRDefault="00E934F5" w:rsidP="00EC10C5">
          <w:pPr>
            <w:tabs>
              <w:tab w:val="center" w:pos="4320"/>
              <w:tab w:val="right" w:pos="8640"/>
            </w:tabs>
            <w:spacing w:after="80"/>
            <w:rPr>
              <w:b/>
              <w:noProof/>
              <w:sz w:val="17"/>
            </w:rPr>
          </w:pPr>
          <w:r w:rsidRPr="00657A41">
            <w:rPr>
              <w:b/>
              <w:noProof/>
              <w:sz w:val="17"/>
            </w:rPr>
            <w:t>DP/DCP/</w:t>
          </w:r>
          <w:r>
            <w:rPr>
              <w:b/>
              <w:noProof/>
              <w:sz w:val="17"/>
            </w:rPr>
            <w:t>MNE</w:t>
          </w:r>
          <w:r w:rsidRPr="00657A41">
            <w:rPr>
              <w:b/>
              <w:noProof/>
              <w:sz w:val="17"/>
            </w:rPr>
            <w:t>/</w:t>
          </w:r>
          <w:r>
            <w:rPr>
              <w:b/>
              <w:noProof/>
              <w:sz w:val="17"/>
            </w:rPr>
            <w:t>3</w:t>
          </w:r>
        </w:p>
      </w:tc>
      <w:tc>
        <w:tcPr>
          <w:tcW w:w="4512" w:type="dxa"/>
          <w:shd w:val="clear" w:color="auto" w:fill="auto"/>
          <w:vAlign w:val="bottom"/>
        </w:tcPr>
        <w:p w14:paraId="3925F71B" w14:textId="77777777" w:rsidR="00E934F5" w:rsidRPr="00657A41" w:rsidRDefault="00E934F5" w:rsidP="00EC10C5">
          <w:pPr>
            <w:tabs>
              <w:tab w:val="center" w:pos="4320"/>
              <w:tab w:val="right" w:pos="8640"/>
            </w:tabs>
            <w:jc w:val="right"/>
            <w:rPr>
              <w:b/>
              <w:noProof/>
              <w:sz w:val="17"/>
            </w:rPr>
          </w:pPr>
        </w:p>
      </w:tc>
    </w:tr>
  </w:tbl>
  <w:p w14:paraId="1DCD7BE1" w14:textId="77777777" w:rsidR="00E934F5" w:rsidRPr="00EC10C5" w:rsidRDefault="00E934F5">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398"/>
      <w:gridCol w:w="4602"/>
    </w:tblGrid>
    <w:tr w:rsidR="00E934F5" w:rsidRPr="00657A41" w14:paraId="4FACD726" w14:textId="77777777" w:rsidTr="00256D08">
      <w:trPr>
        <w:trHeight w:hRule="exact" w:val="864"/>
      </w:trPr>
      <w:tc>
        <w:tcPr>
          <w:tcW w:w="4398" w:type="dxa"/>
          <w:shd w:val="clear" w:color="auto" w:fill="auto"/>
          <w:vAlign w:val="bottom"/>
        </w:tcPr>
        <w:p w14:paraId="428798A6" w14:textId="77777777" w:rsidR="00E934F5" w:rsidRPr="00657A41" w:rsidRDefault="00E934F5" w:rsidP="00EC10C5">
          <w:pPr>
            <w:tabs>
              <w:tab w:val="center" w:pos="4320"/>
              <w:tab w:val="right" w:pos="8640"/>
            </w:tabs>
            <w:spacing w:after="80"/>
            <w:rPr>
              <w:b/>
              <w:noProof/>
              <w:sz w:val="17"/>
            </w:rPr>
          </w:pPr>
        </w:p>
      </w:tc>
      <w:tc>
        <w:tcPr>
          <w:tcW w:w="4602" w:type="dxa"/>
          <w:shd w:val="clear" w:color="auto" w:fill="auto"/>
          <w:vAlign w:val="bottom"/>
        </w:tcPr>
        <w:p w14:paraId="66F7E8DA" w14:textId="11D6AE13" w:rsidR="00E934F5" w:rsidRPr="00657A41" w:rsidRDefault="00E934F5" w:rsidP="00EC10C5">
          <w:pPr>
            <w:tabs>
              <w:tab w:val="center" w:pos="4320"/>
              <w:tab w:val="right" w:pos="8640"/>
            </w:tabs>
            <w:jc w:val="right"/>
            <w:rPr>
              <w:b/>
              <w:noProof/>
              <w:sz w:val="17"/>
            </w:rPr>
          </w:pPr>
          <w:r w:rsidRPr="00657A41">
            <w:rPr>
              <w:b/>
              <w:noProof/>
              <w:sz w:val="17"/>
            </w:rPr>
            <w:t>DP/DCP/</w:t>
          </w:r>
          <w:r w:rsidR="00236595">
            <w:rPr>
              <w:b/>
              <w:noProof/>
              <w:sz w:val="17"/>
            </w:rPr>
            <w:t>KGZ</w:t>
          </w:r>
          <w:r w:rsidRPr="00657A41">
            <w:rPr>
              <w:b/>
              <w:noProof/>
              <w:sz w:val="17"/>
            </w:rPr>
            <w:t>/</w:t>
          </w:r>
          <w:r w:rsidR="00236595">
            <w:rPr>
              <w:b/>
              <w:noProof/>
              <w:sz w:val="17"/>
            </w:rPr>
            <w:t>4</w:t>
          </w:r>
        </w:p>
      </w:tc>
    </w:tr>
  </w:tbl>
  <w:p w14:paraId="34C6B27C" w14:textId="77777777" w:rsidR="00E934F5" w:rsidRPr="00EC10C5" w:rsidRDefault="00E934F5">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E934F5" w14:paraId="2C4182B0" w14:textId="77777777" w:rsidTr="00B33F3F">
      <w:trPr>
        <w:trHeight w:hRule="exact" w:val="864"/>
      </w:trPr>
      <w:tc>
        <w:tcPr>
          <w:tcW w:w="1267" w:type="dxa"/>
          <w:tcBorders>
            <w:top w:val="nil"/>
            <w:left w:val="nil"/>
            <w:bottom w:val="nil"/>
            <w:right w:val="nil"/>
          </w:tcBorders>
          <w:vAlign w:val="bottom"/>
        </w:tcPr>
        <w:p w14:paraId="4126F6C3" w14:textId="77777777" w:rsidR="00E934F5" w:rsidRPr="007C6F85" w:rsidRDefault="00E934F5" w:rsidP="009F7225">
          <w:pPr>
            <w:pStyle w:val="Header"/>
            <w:spacing w:after="120"/>
            <w:rPr>
              <w:lang w:val="en-US" w:eastAsia="en-US"/>
            </w:rPr>
          </w:pPr>
        </w:p>
      </w:tc>
      <w:tc>
        <w:tcPr>
          <w:tcW w:w="1872" w:type="dxa"/>
          <w:tcBorders>
            <w:top w:val="nil"/>
            <w:left w:val="nil"/>
            <w:bottom w:val="nil"/>
            <w:right w:val="nil"/>
          </w:tcBorders>
          <w:vAlign w:val="bottom"/>
        </w:tcPr>
        <w:p w14:paraId="0ED57DDF" w14:textId="77777777" w:rsidR="00E934F5" w:rsidRDefault="00E934F5" w:rsidP="009F7225">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F4A7E1F" w14:textId="77777777" w:rsidR="00E934F5" w:rsidRPr="007C6F85" w:rsidRDefault="00E934F5" w:rsidP="009F7225">
          <w:pPr>
            <w:pStyle w:val="Header"/>
            <w:spacing w:after="120"/>
            <w:rPr>
              <w:lang w:val="en-US" w:eastAsia="en-US"/>
            </w:rPr>
          </w:pPr>
        </w:p>
      </w:tc>
      <w:tc>
        <w:tcPr>
          <w:tcW w:w="6876" w:type="dxa"/>
          <w:gridSpan w:val="3"/>
          <w:tcBorders>
            <w:top w:val="nil"/>
            <w:left w:val="nil"/>
            <w:bottom w:val="nil"/>
            <w:right w:val="nil"/>
          </w:tcBorders>
          <w:vAlign w:val="bottom"/>
        </w:tcPr>
        <w:p w14:paraId="57D5483F" w14:textId="77777777" w:rsidR="00E934F5" w:rsidRDefault="00E934F5" w:rsidP="009F7225">
          <w:pPr>
            <w:spacing w:after="80"/>
            <w:jc w:val="center"/>
            <w:rPr>
              <w:position w:val="-4"/>
            </w:rPr>
          </w:pPr>
          <w:r>
            <w:rPr>
              <w:position w:val="-4"/>
              <w:sz w:val="40"/>
            </w:rPr>
            <w:t xml:space="preserve">                         DP</w:t>
          </w:r>
          <w:r>
            <w:rPr>
              <w:position w:val="-4"/>
            </w:rPr>
            <w:t>/DCP/MDA/4</w:t>
          </w:r>
        </w:p>
      </w:tc>
    </w:tr>
    <w:tr w:rsidR="00E934F5" w14:paraId="5F90EAC2" w14:textId="77777777" w:rsidTr="00B33F3F">
      <w:trPr>
        <w:trHeight w:hRule="exact" w:val="1936"/>
      </w:trPr>
      <w:tc>
        <w:tcPr>
          <w:tcW w:w="1267" w:type="dxa"/>
          <w:tcBorders>
            <w:top w:val="single" w:sz="4" w:space="0" w:color="auto"/>
            <w:left w:val="nil"/>
            <w:bottom w:val="single" w:sz="12" w:space="0" w:color="auto"/>
            <w:right w:val="nil"/>
          </w:tcBorders>
        </w:tcPr>
        <w:p w14:paraId="683F5FB2" w14:textId="77777777" w:rsidR="00E934F5" w:rsidRPr="007C6F85" w:rsidRDefault="00E934F5" w:rsidP="009F7225">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616BC315" wp14:editId="7E27EE71">
                <wp:extent cx="716280" cy="586740"/>
                <wp:effectExtent l="0" t="0" r="7620" b="381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62470D9F" w14:textId="77777777" w:rsidR="00E934F5" w:rsidRPr="007C6F85" w:rsidRDefault="00E934F5" w:rsidP="009F7225">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5AE2846C" w14:textId="77777777" w:rsidR="00E934F5" w:rsidRDefault="00E934F5" w:rsidP="009F7225">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3EFF0025" w14:textId="77777777" w:rsidR="00E934F5" w:rsidRPr="007C6F85" w:rsidRDefault="00E934F5" w:rsidP="009F7225">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57B56E45" w14:textId="77777777" w:rsidR="00E934F5" w:rsidRDefault="00E934F5" w:rsidP="009F7225">
          <w:pPr>
            <w:spacing w:before="240"/>
          </w:pPr>
          <w:r>
            <w:t>Distr.: General</w:t>
          </w:r>
        </w:p>
        <w:p w14:paraId="66543D4F" w14:textId="77777777" w:rsidR="00E934F5" w:rsidRDefault="00E934F5" w:rsidP="009F7225">
          <w:r>
            <w:t>May 2022</w:t>
          </w:r>
        </w:p>
        <w:p w14:paraId="48C0DD49" w14:textId="77777777" w:rsidR="00E934F5" w:rsidRDefault="00E934F5" w:rsidP="009F7225"/>
        <w:p w14:paraId="29F60E57" w14:textId="77777777" w:rsidR="00E934F5" w:rsidRDefault="00E934F5" w:rsidP="009F7225">
          <w:r>
            <w:t>Original: English</w:t>
          </w:r>
        </w:p>
      </w:tc>
    </w:tr>
  </w:tbl>
  <w:p w14:paraId="558AF56F" w14:textId="77777777" w:rsidR="00E934F5" w:rsidRPr="00CA20B5" w:rsidRDefault="00E934F5">
    <w:pPr>
      <w:pStyle w:val="Header"/>
      <w:rPr>
        <w:sz w:val="6"/>
        <w:szCs w:val="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398"/>
      <w:gridCol w:w="4782"/>
    </w:tblGrid>
    <w:tr w:rsidR="008D7980" w:rsidRPr="00657A41" w14:paraId="641C1BE5" w14:textId="77777777" w:rsidTr="008D7980">
      <w:trPr>
        <w:trHeight w:hRule="exact" w:val="864"/>
      </w:trPr>
      <w:tc>
        <w:tcPr>
          <w:tcW w:w="4398" w:type="dxa"/>
          <w:shd w:val="clear" w:color="auto" w:fill="auto"/>
          <w:vAlign w:val="bottom"/>
        </w:tcPr>
        <w:p w14:paraId="75E54BD3" w14:textId="3273F9C6" w:rsidR="008D7980" w:rsidRPr="00657A41" w:rsidRDefault="008D7980" w:rsidP="008D7980">
          <w:pPr>
            <w:tabs>
              <w:tab w:val="center" w:pos="4320"/>
              <w:tab w:val="right" w:pos="8640"/>
            </w:tabs>
            <w:spacing w:after="80"/>
            <w:rPr>
              <w:b/>
              <w:noProof/>
              <w:sz w:val="17"/>
            </w:rPr>
          </w:pPr>
          <w:bookmarkStart w:id="3" w:name="_Hlk72161445"/>
          <w:r w:rsidRPr="00657A41">
            <w:rPr>
              <w:b/>
              <w:noProof/>
              <w:sz w:val="17"/>
            </w:rPr>
            <w:t>DP/DCP/</w:t>
          </w:r>
          <w:r>
            <w:rPr>
              <w:b/>
              <w:noProof/>
              <w:sz w:val="17"/>
            </w:rPr>
            <w:t>KGZ</w:t>
          </w:r>
          <w:r w:rsidRPr="00657A41">
            <w:rPr>
              <w:b/>
              <w:noProof/>
              <w:sz w:val="17"/>
            </w:rPr>
            <w:t>/</w:t>
          </w:r>
          <w:r>
            <w:rPr>
              <w:b/>
              <w:noProof/>
              <w:sz w:val="17"/>
            </w:rPr>
            <w:t>4</w:t>
          </w:r>
        </w:p>
      </w:tc>
      <w:tc>
        <w:tcPr>
          <w:tcW w:w="4782" w:type="dxa"/>
          <w:shd w:val="clear" w:color="auto" w:fill="auto"/>
          <w:vAlign w:val="bottom"/>
        </w:tcPr>
        <w:p w14:paraId="789AC247" w14:textId="77777777" w:rsidR="008D7980" w:rsidRPr="00657A41" w:rsidRDefault="008D7980" w:rsidP="008D7980">
          <w:pPr>
            <w:tabs>
              <w:tab w:val="center" w:pos="4320"/>
              <w:tab w:val="right" w:pos="8640"/>
            </w:tabs>
            <w:jc w:val="right"/>
            <w:rPr>
              <w:b/>
              <w:noProof/>
              <w:sz w:val="17"/>
            </w:rPr>
          </w:pPr>
        </w:p>
      </w:tc>
    </w:tr>
    <w:bookmarkEnd w:id="3"/>
  </w:tbl>
  <w:p w14:paraId="62F95C1C" w14:textId="77777777" w:rsidR="00315F14" w:rsidRPr="008D7980" w:rsidRDefault="00315F14">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8D7980" w:rsidRPr="00657A41" w14:paraId="52D4B60E" w14:textId="77777777" w:rsidTr="008D7980">
      <w:trPr>
        <w:trHeight w:hRule="exact" w:val="864"/>
      </w:trPr>
      <w:tc>
        <w:tcPr>
          <w:tcW w:w="4668" w:type="dxa"/>
          <w:shd w:val="clear" w:color="auto" w:fill="auto"/>
          <w:vAlign w:val="bottom"/>
        </w:tcPr>
        <w:p w14:paraId="6DC36F08" w14:textId="77777777" w:rsidR="008D7980" w:rsidRPr="00657A41" w:rsidRDefault="008D7980" w:rsidP="008D7980">
          <w:pPr>
            <w:tabs>
              <w:tab w:val="center" w:pos="4320"/>
              <w:tab w:val="right" w:pos="8640"/>
            </w:tabs>
            <w:spacing w:after="80"/>
            <w:rPr>
              <w:b/>
              <w:noProof/>
              <w:sz w:val="17"/>
            </w:rPr>
          </w:pPr>
          <w:r w:rsidRPr="00657A41">
            <w:rPr>
              <w:b/>
              <w:noProof/>
              <w:sz w:val="17"/>
            </w:rPr>
            <w:t>DP/DCP/</w:t>
          </w:r>
          <w:r>
            <w:rPr>
              <w:b/>
              <w:noProof/>
              <w:sz w:val="17"/>
            </w:rPr>
            <w:t>KGZ</w:t>
          </w:r>
          <w:r w:rsidRPr="00657A41">
            <w:rPr>
              <w:b/>
              <w:noProof/>
              <w:sz w:val="17"/>
            </w:rPr>
            <w:t>/</w:t>
          </w:r>
          <w:r>
            <w:rPr>
              <w:b/>
              <w:noProof/>
              <w:sz w:val="17"/>
            </w:rPr>
            <w:t>4</w:t>
          </w:r>
        </w:p>
      </w:tc>
      <w:tc>
        <w:tcPr>
          <w:tcW w:w="8382" w:type="dxa"/>
          <w:shd w:val="clear" w:color="auto" w:fill="auto"/>
          <w:vAlign w:val="bottom"/>
        </w:tcPr>
        <w:p w14:paraId="7D8783B5" w14:textId="77777777" w:rsidR="008D7980" w:rsidRPr="00657A41" w:rsidRDefault="008D7980" w:rsidP="008D7980">
          <w:pPr>
            <w:tabs>
              <w:tab w:val="center" w:pos="4320"/>
              <w:tab w:val="right" w:pos="8640"/>
            </w:tabs>
            <w:jc w:val="right"/>
            <w:rPr>
              <w:b/>
              <w:noProof/>
              <w:sz w:val="17"/>
            </w:rPr>
          </w:pPr>
        </w:p>
      </w:tc>
    </w:tr>
  </w:tbl>
  <w:p w14:paraId="4559284D" w14:textId="77777777" w:rsidR="008D7980" w:rsidRPr="008D7980" w:rsidRDefault="008D7980">
    <w:pPr>
      <w:pStyle w:val="Header"/>
      <w:rPr>
        <w:sz w:val="6"/>
        <w:szCs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8D7980" w:rsidRPr="00657A41" w14:paraId="43F027E0" w14:textId="77777777" w:rsidTr="003C6F2E">
      <w:trPr>
        <w:trHeight w:hRule="exact" w:val="864"/>
      </w:trPr>
      <w:tc>
        <w:tcPr>
          <w:tcW w:w="4668" w:type="dxa"/>
          <w:shd w:val="clear" w:color="auto" w:fill="auto"/>
          <w:vAlign w:val="bottom"/>
        </w:tcPr>
        <w:p w14:paraId="3E1A1E16" w14:textId="77777777" w:rsidR="008D7980" w:rsidRPr="00657A41" w:rsidRDefault="008D7980" w:rsidP="00EC10C5">
          <w:pPr>
            <w:tabs>
              <w:tab w:val="center" w:pos="4320"/>
              <w:tab w:val="right" w:pos="8640"/>
            </w:tabs>
            <w:spacing w:after="80"/>
            <w:rPr>
              <w:b/>
              <w:noProof/>
              <w:sz w:val="17"/>
            </w:rPr>
          </w:pPr>
        </w:p>
      </w:tc>
      <w:tc>
        <w:tcPr>
          <w:tcW w:w="8382" w:type="dxa"/>
          <w:shd w:val="clear" w:color="auto" w:fill="auto"/>
          <w:vAlign w:val="bottom"/>
        </w:tcPr>
        <w:p w14:paraId="0B011786" w14:textId="77777777" w:rsidR="008D7980" w:rsidRPr="00657A41" w:rsidRDefault="008D7980" w:rsidP="00EC10C5">
          <w:pPr>
            <w:tabs>
              <w:tab w:val="center" w:pos="4320"/>
              <w:tab w:val="right" w:pos="8640"/>
            </w:tabs>
            <w:jc w:val="right"/>
            <w:rPr>
              <w:b/>
              <w:noProof/>
              <w:sz w:val="17"/>
            </w:rPr>
          </w:pPr>
          <w:r w:rsidRPr="00657A41">
            <w:rPr>
              <w:b/>
              <w:noProof/>
              <w:sz w:val="17"/>
            </w:rPr>
            <w:t>DP/DCP/</w:t>
          </w:r>
          <w:r>
            <w:rPr>
              <w:b/>
              <w:noProof/>
              <w:sz w:val="17"/>
            </w:rPr>
            <w:t>KGZ</w:t>
          </w:r>
          <w:r w:rsidRPr="00657A41">
            <w:rPr>
              <w:b/>
              <w:noProof/>
              <w:sz w:val="17"/>
            </w:rPr>
            <w:t>/</w:t>
          </w:r>
          <w:r>
            <w:rPr>
              <w:b/>
              <w:noProof/>
              <w:sz w:val="17"/>
            </w:rPr>
            <w:t>4</w:t>
          </w:r>
        </w:p>
      </w:tc>
    </w:tr>
  </w:tbl>
  <w:p w14:paraId="6F369F0E" w14:textId="77777777" w:rsidR="008D7980" w:rsidRPr="00EC10C5" w:rsidRDefault="008D7980">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503"/>
    <w:multiLevelType w:val="hybridMultilevel"/>
    <w:tmpl w:val="D8A60488"/>
    <w:lvl w:ilvl="0" w:tplc="FD5EC554">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DC2C90"/>
    <w:multiLevelType w:val="hybridMultilevel"/>
    <w:tmpl w:val="7908B74C"/>
    <w:lvl w:ilvl="0" w:tplc="FFFFFFFF">
      <w:start w:val="1"/>
      <w:numFmt w:val="decimal"/>
      <w:lvlText w:val="%1."/>
      <w:lvlJc w:val="left"/>
      <w:pPr>
        <w:ind w:left="1620" w:hanging="360"/>
      </w:pPr>
      <w:rPr>
        <w:caps w:val="0"/>
        <w:strike w:val="0"/>
        <w:dstrike w:val="0"/>
        <w:vanish w:val="0"/>
        <w:color w:val="auto"/>
        <w:sz w:val="22"/>
        <w:vertAlign w:val="baseline"/>
      </w:r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0"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5"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4A60297"/>
    <w:multiLevelType w:val="hybridMultilevel"/>
    <w:tmpl w:val="DC8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8C4703B"/>
    <w:multiLevelType w:val="hybridMultilevel"/>
    <w:tmpl w:val="BC5496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3"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745FD"/>
    <w:multiLevelType w:val="hybridMultilevel"/>
    <w:tmpl w:val="37C0325C"/>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4" w15:restartNumberingAfterBreak="0">
    <w:nsid w:val="58D10498"/>
    <w:multiLevelType w:val="hybridMultilevel"/>
    <w:tmpl w:val="73DE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7"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9"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1"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3" w15:restartNumberingAfterBreak="0">
    <w:nsid w:val="698D17BF"/>
    <w:multiLevelType w:val="multilevel"/>
    <w:tmpl w:val="56240CC2"/>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1850"/>
        </w:tabs>
        <w:ind w:left="185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5"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7" w15:restartNumberingAfterBreak="0">
    <w:nsid w:val="6DEC45EE"/>
    <w:multiLevelType w:val="hybridMultilevel"/>
    <w:tmpl w:val="0FFC9684"/>
    <w:lvl w:ilvl="0" w:tplc="B740ABDE">
      <w:start w:val="1"/>
      <w:numFmt w:val="decimal"/>
      <w:lvlText w:val="%1."/>
      <w:lvlJc w:val="left"/>
      <w:pPr>
        <w:ind w:left="7650" w:hanging="360"/>
      </w:pPr>
      <w:rPr>
        <w:rFonts w:ascii="Times New Roman" w:hAnsi="Times New Roman" w:cs="Times New Roman" w:hint="default"/>
        <w:caps w:val="0"/>
        <w:strike w:val="0"/>
        <w:dstrike w:val="0"/>
        <w:vanish w:val="0"/>
        <w:color w:val="auto"/>
        <w:sz w:val="20"/>
        <w:szCs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28D6D70"/>
    <w:multiLevelType w:val="hybridMultilevel"/>
    <w:tmpl w:val="CB4219C8"/>
    <w:lvl w:ilvl="0" w:tplc="53CC4070">
      <w:start w:val="11"/>
      <w:numFmt w:val="decimal"/>
      <w:lvlText w:val="%1."/>
      <w:lvlJc w:val="left"/>
      <w:pPr>
        <w:ind w:left="2970" w:hanging="360"/>
      </w:pPr>
      <w:rPr>
        <w:rFonts w:hint="default"/>
        <w:caps w:val="0"/>
        <w:strike w:val="0"/>
        <w:dstrike w:val="0"/>
        <w:vanish w:val="0"/>
        <w:color w:val="auto"/>
        <w:sz w:val="20"/>
        <w:szCs w:val="18"/>
        <w:vertAlign w:val="baseline"/>
      </w:r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2"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5CC684B"/>
    <w:multiLevelType w:val="hybridMultilevel"/>
    <w:tmpl w:val="24D2FDE2"/>
    <w:lvl w:ilvl="0" w:tplc="EADA3DEC">
      <w:start w:val="7"/>
      <w:numFmt w:val="decimal"/>
      <w:lvlText w:val="%1."/>
      <w:lvlJc w:val="left"/>
      <w:pPr>
        <w:ind w:left="1530" w:hanging="360"/>
      </w:pPr>
      <w:rPr>
        <w:rFonts w:ascii="Times New Roman" w:hAnsi="Times New Roman" w:cs="Times New Roman" w:hint="default"/>
        <w:caps w:val="0"/>
        <w:strike w:val="0"/>
        <w:dstrike w:val="0"/>
        <w:vanish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A07F9C"/>
    <w:multiLevelType w:val="hybridMultilevel"/>
    <w:tmpl w:val="8D9A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37"/>
  </w:num>
  <w:num w:numId="3">
    <w:abstractNumId w:val="31"/>
  </w:num>
  <w:num w:numId="4">
    <w:abstractNumId w:val="42"/>
  </w:num>
  <w:num w:numId="5">
    <w:abstractNumId w:val="32"/>
  </w:num>
  <w:num w:numId="6">
    <w:abstractNumId w:val="1"/>
  </w:num>
  <w:num w:numId="7">
    <w:abstractNumId w:val="20"/>
  </w:num>
  <w:num w:numId="8">
    <w:abstractNumId w:val="38"/>
  </w:num>
  <w:num w:numId="9">
    <w:abstractNumId w:val="55"/>
  </w:num>
  <w:num w:numId="10">
    <w:abstractNumId w:val="41"/>
  </w:num>
  <w:num w:numId="11">
    <w:abstractNumId w:val="52"/>
  </w:num>
  <w:num w:numId="12">
    <w:abstractNumId w:val="28"/>
  </w:num>
  <w:num w:numId="13">
    <w:abstractNumId w:val="9"/>
  </w:num>
  <w:num w:numId="14">
    <w:abstractNumId w:val="18"/>
  </w:num>
  <w:num w:numId="15">
    <w:abstractNumId w:val="46"/>
  </w:num>
  <w:num w:numId="16">
    <w:abstractNumId w:val="12"/>
  </w:num>
  <w:num w:numId="17">
    <w:abstractNumId w:val="15"/>
  </w:num>
  <w:num w:numId="18">
    <w:abstractNumId w:val="22"/>
  </w:num>
  <w:num w:numId="19">
    <w:abstractNumId w:val="50"/>
  </w:num>
  <w:num w:numId="20">
    <w:abstractNumId w:val="11"/>
  </w:num>
  <w:num w:numId="21">
    <w:abstractNumId w:val="10"/>
  </w:num>
  <w:num w:numId="22">
    <w:abstractNumId w:val="48"/>
  </w:num>
  <w:num w:numId="23">
    <w:abstractNumId w:val="17"/>
  </w:num>
  <w:num w:numId="24">
    <w:abstractNumId w:val="4"/>
  </w:num>
  <w:num w:numId="25">
    <w:abstractNumId w:val="44"/>
  </w:num>
  <w:num w:numId="26">
    <w:abstractNumId w:val="40"/>
  </w:num>
  <w:num w:numId="27">
    <w:abstractNumId w:val="35"/>
  </w:num>
  <w:num w:numId="28">
    <w:abstractNumId w:val="2"/>
  </w:num>
  <w:num w:numId="29">
    <w:abstractNumId w:val="29"/>
  </w:num>
  <w:num w:numId="30">
    <w:abstractNumId w:val="34"/>
  </w:num>
  <w:num w:numId="31">
    <w:abstractNumId w:val="14"/>
  </w:num>
  <w:num w:numId="32">
    <w:abstractNumId w:val="5"/>
  </w:num>
  <w:num w:numId="33">
    <w:abstractNumId w:val="26"/>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7"/>
  </w:num>
  <w:num w:numId="37">
    <w:abstractNumId w:val="33"/>
  </w:num>
  <w:num w:numId="38">
    <w:abstractNumId w:val="13"/>
  </w:num>
  <w:num w:numId="39">
    <w:abstractNumId w:val="3"/>
  </w:num>
  <w:num w:numId="40">
    <w:abstractNumId w:val="24"/>
  </w:num>
  <w:num w:numId="41">
    <w:abstractNumId w:val="6"/>
  </w:num>
  <w:num w:numId="42">
    <w:abstractNumId w:val="21"/>
  </w:num>
  <w:num w:numId="43">
    <w:abstractNumId w:val="45"/>
  </w:num>
  <w:num w:numId="44">
    <w:abstractNumId w:val="39"/>
  </w:num>
  <w:num w:numId="45">
    <w:abstractNumId w:val="30"/>
  </w:num>
  <w:num w:numId="46">
    <w:abstractNumId w:val="49"/>
  </w:num>
  <w:num w:numId="47">
    <w:abstractNumId w:val="47"/>
  </w:num>
  <w:num w:numId="48">
    <w:abstractNumId w:val="51"/>
  </w:num>
  <w:num w:numId="49">
    <w:abstractNumId w:val="8"/>
  </w:num>
  <w:num w:numId="50">
    <w:abstractNumId w:val="19"/>
  </w:num>
  <w:num w:numId="51">
    <w:abstractNumId w:val="53"/>
  </w:num>
  <w:num w:numId="52">
    <w:abstractNumId w:val="54"/>
  </w:num>
  <w:num w:numId="53">
    <w:abstractNumId w:val="16"/>
  </w:num>
  <w:num w:numId="54">
    <w:abstractNumId w:val="27"/>
  </w:num>
  <w:num w:numId="55">
    <w:abstractNumId w:val="0"/>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195"/>
    <w:rsid w:val="000027D2"/>
    <w:rsid w:val="00002945"/>
    <w:rsid w:val="0000312F"/>
    <w:rsid w:val="00003E8B"/>
    <w:rsid w:val="00005E26"/>
    <w:rsid w:val="00006E59"/>
    <w:rsid w:val="00012EB0"/>
    <w:rsid w:val="0001309E"/>
    <w:rsid w:val="000132B2"/>
    <w:rsid w:val="000153EB"/>
    <w:rsid w:val="00015FDE"/>
    <w:rsid w:val="00016217"/>
    <w:rsid w:val="00016861"/>
    <w:rsid w:val="00017D05"/>
    <w:rsid w:val="000200CF"/>
    <w:rsid w:val="000205F1"/>
    <w:rsid w:val="00022047"/>
    <w:rsid w:val="00023AEE"/>
    <w:rsid w:val="0002609F"/>
    <w:rsid w:val="000274B9"/>
    <w:rsid w:val="0002758B"/>
    <w:rsid w:val="000276A0"/>
    <w:rsid w:val="0003257C"/>
    <w:rsid w:val="000330DB"/>
    <w:rsid w:val="0003429F"/>
    <w:rsid w:val="0003562A"/>
    <w:rsid w:val="00036095"/>
    <w:rsid w:val="000367E0"/>
    <w:rsid w:val="00036AF4"/>
    <w:rsid w:val="00040826"/>
    <w:rsid w:val="000412A7"/>
    <w:rsid w:val="00041C10"/>
    <w:rsid w:val="00043804"/>
    <w:rsid w:val="000441A1"/>
    <w:rsid w:val="0005084C"/>
    <w:rsid w:val="00050869"/>
    <w:rsid w:val="00051E3C"/>
    <w:rsid w:val="00051E74"/>
    <w:rsid w:val="00055596"/>
    <w:rsid w:val="00056014"/>
    <w:rsid w:val="000561C1"/>
    <w:rsid w:val="00056204"/>
    <w:rsid w:val="00056CBF"/>
    <w:rsid w:val="000570D1"/>
    <w:rsid w:val="000571A9"/>
    <w:rsid w:val="0005778F"/>
    <w:rsid w:val="00060290"/>
    <w:rsid w:val="000611AB"/>
    <w:rsid w:val="00063E24"/>
    <w:rsid w:val="00065554"/>
    <w:rsid w:val="00072229"/>
    <w:rsid w:val="00072480"/>
    <w:rsid w:val="000728F8"/>
    <w:rsid w:val="00073CF1"/>
    <w:rsid w:val="00074463"/>
    <w:rsid w:val="00074BD0"/>
    <w:rsid w:val="00074D9A"/>
    <w:rsid w:val="00074DB9"/>
    <w:rsid w:val="000753C4"/>
    <w:rsid w:val="00075DF0"/>
    <w:rsid w:val="000762CA"/>
    <w:rsid w:val="000803A4"/>
    <w:rsid w:val="000806E3"/>
    <w:rsid w:val="0008339E"/>
    <w:rsid w:val="000843A9"/>
    <w:rsid w:val="0008581D"/>
    <w:rsid w:val="00086F9A"/>
    <w:rsid w:val="00090AD1"/>
    <w:rsid w:val="00090F4F"/>
    <w:rsid w:val="00091476"/>
    <w:rsid w:val="00091984"/>
    <w:rsid w:val="00092879"/>
    <w:rsid w:val="00094E87"/>
    <w:rsid w:val="0009508F"/>
    <w:rsid w:val="00097FB2"/>
    <w:rsid w:val="000A0652"/>
    <w:rsid w:val="000A151D"/>
    <w:rsid w:val="000A24C5"/>
    <w:rsid w:val="000A2967"/>
    <w:rsid w:val="000A2ABD"/>
    <w:rsid w:val="000A30A1"/>
    <w:rsid w:val="000A3A38"/>
    <w:rsid w:val="000A3F7F"/>
    <w:rsid w:val="000A47FD"/>
    <w:rsid w:val="000A7192"/>
    <w:rsid w:val="000B0228"/>
    <w:rsid w:val="000B2E16"/>
    <w:rsid w:val="000B3A13"/>
    <w:rsid w:val="000B4BB2"/>
    <w:rsid w:val="000B6379"/>
    <w:rsid w:val="000C02B3"/>
    <w:rsid w:val="000C36A2"/>
    <w:rsid w:val="000C4830"/>
    <w:rsid w:val="000C4E54"/>
    <w:rsid w:val="000C76B0"/>
    <w:rsid w:val="000C7BBE"/>
    <w:rsid w:val="000D2475"/>
    <w:rsid w:val="000D442C"/>
    <w:rsid w:val="000D4DC4"/>
    <w:rsid w:val="000E0132"/>
    <w:rsid w:val="000E3DE2"/>
    <w:rsid w:val="000E55D6"/>
    <w:rsid w:val="000E612D"/>
    <w:rsid w:val="000E6AB1"/>
    <w:rsid w:val="000E745A"/>
    <w:rsid w:val="000E7E9E"/>
    <w:rsid w:val="000F0044"/>
    <w:rsid w:val="000F0EFD"/>
    <w:rsid w:val="000F2566"/>
    <w:rsid w:val="000F38A8"/>
    <w:rsid w:val="000F3F1E"/>
    <w:rsid w:val="000F5541"/>
    <w:rsid w:val="000F703B"/>
    <w:rsid w:val="000F72ED"/>
    <w:rsid w:val="000F7A4C"/>
    <w:rsid w:val="001000E8"/>
    <w:rsid w:val="00101B18"/>
    <w:rsid w:val="00101C92"/>
    <w:rsid w:val="00102781"/>
    <w:rsid w:val="00103698"/>
    <w:rsid w:val="00106EF8"/>
    <w:rsid w:val="001079CD"/>
    <w:rsid w:val="001101A2"/>
    <w:rsid w:val="00111489"/>
    <w:rsid w:val="00111792"/>
    <w:rsid w:val="00111797"/>
    <w:rsid w:val="00111B19"/>
    <w:rsid w:val="00111D88"/>
    <w:rsid w:val="00111EF7"/>
    <w:rsid w:val="001131FA"/>
    <w:rsid w:val="00114979"/>
    <w:rsid w:val="00114A64"/>
    <w:rsid w:val="00115F59"/>
    <w:rsid w:val="00116C1A"/>
    <w:rsid w:val="00121554"/>
    <w:rsid w:val="00121F3E"/>
    <w:rsid w:val="0012229E"/>
    <w:rsid w:val="00123849"/>
    <w:rsid w:val="00123A5E"/>
    <w:rsid w:val="001247F5"/>
    <w:rsid w:val="00125010"/>
    <w:rsid w:val="001251C8"/>
    <w:rsid w:val="00125266"/>
    <w:rsid w:val="00125B82"/>
    <w:rsid w:val="001305E6"/>
    <w:rsid w:val="001315CD"/>
    <w:rsid w:val="0013239A"/>
    <w:rsid w:val="00132D93"/>
    <w:rsid w:val="001330C2"/>
    <w:rsid w:val="001334D3"/>
    <w:rsid w:val="00134B9E"/>
    <w:rsid w:val="0013761A"/>
    <w:rsid w:val="001410A6"/>
    <w:rsid w:val="0014423A"/>
    <w:rsid w:val="00147042"/>
    <w:rsid w:val="001471A7"/>
    <w:rsid w:val="00147F64"/>
    <w:rsid w:val="001502BF"/>
    <w:rsid w:val="001506F6"/>
    <w:rsid w:val="001508E6"/>
    <w:rsid w:val="00151764"/>
    <w:rsid w:val="00154032"/>
    <w:rsid w:val="001547D3"/>
    <w:rsid w:val="001559BD"/>
    <w:rsid w:val="001567AE"/>
    <w:rsid w:val="00157F09"/>
    <w:rsid w:val="00157F79"/>
    <w:rsid w:val="00163E84"/>
    <w:rsid w:val="00165318"/>
    <w:rsid w:val="00165A12"/>
    <w:rsid w:val="001668AA"/>
    <w:rsid w:val="001675B1"/>
    <w:rsid w:val="0016789D"/>
    <w:rsid w:val="00167C87"/>
    <w:rsid w:val="00171F01"/>
    <w:rsid w:val="00172EE3"/>
    <w:rsid w:val="00172F34"/>
    <w:rsid w:val="00174F19"/>
    <w:rsid w:val="00177E7E"/>
    <w:rsid w:val="00180BB5"/>
    <w:rsid w:val="0018356F"/>
    <w:rsid w:val="001874A7"/>
    <w:rsid w:val="001876C5"/>
    <w:rsid w:val="00187D68"/>
    <w:rsid w:val="00190155"/>
    <w:rsid w:val="001906B5"/>
    <w:rsid w:val="001913A7"/>
    <w:rsid w:val="00192198"/>
    <w:rsid w:val="00194163"/>
    <w:rsid w:val="00194359"/>
    <w:rsid w:val="00194FEB"/>
    <w:rsid w:val="001970A4"/>
    <w:rsid w:val="00197AD1"/>
    <w:rsid w:val="001A17DA"/>
    <w:rsid w:val="001A1F69"/>
    <w:rsid w:val="001B0020"/>
    <w:rsid w:val="001B1692"/>
    <w:rsid w:val="001B3F87"/>
    <w:rsid w:val="001B4026"/>
    <w:rsid w:val="001B598C"/>
    <w:rsid w:val="001B6419"/>
    <w:rsid w:val="001B76A6"/>
    <w:rsid w:val="001C07F8"/>
    <w:rsid w:val="001C1147"/>
    <w:rsid w:val="001C29C2"/>
    <w:rsid w:val="001C2D7D"/>
    <w:rsid w:val="001C2F59"/>
    <w:rsid w:val="001C6C08"/>
    <w:rsid w:val="001D0646"/>
    <w:rsid w:val="001D1B55"/>
    <w:rsid w:val="001D2056"/>
    <w:rsid w:val="001D220F"/>
    <w:rsid w:val="001D42D1"/>
    <w:rsid w:val="001D547F"/>
    <w:rsid w:val="001D5D49"/>
    <w:rsid w:val="001D5F99"/>
    <w:rsid w:val="001D64E5"/>
    <w:rsid w:val="001D6EB8"/>
    <w:rsid w:val="001E05EC"/>
    <w:rsid w:val="001E2165"/>
    <w:rsid w:val="001E4809"/>
    <w:rsid w:val="001E4F4F"/>
    <w:rsid w:val="001F27F4"/>
    <w:rsid w:val="001F3DC0"/>
    <w:rsid w:val="001F4C5A"/>
    <w:rsid w:val="001F4EA9"/>
    <w:rsid w:val="001F4F73"/>
    <w:rsid w:val="001F6425"/>
    <w:rsid w:val="001F6772"/>
    <w:rsid w:val="001F7143"/>
    <w:rsid w:val="001F7421"/>
    <w:rsid w:val="00200195"/>
    <w:rsid w:val="00200B5F"/>
    <w:rsid w:val="00201EEF"/>
    <w:rsid w:val="00202476"/>
    <w:rsid w:val="00202B58"/>
    <w:rsid w:val="002045FB"/>
    <w:rsid w:val="002047C8"/>
    <w:rsid w:val="002052B3"/>
    <w:rsid w:val="00205453"/>
    <w:rsid w:val="002058F9"/>
    <w:rsid w:val="0020650A"/>
    <w:rsid w:val="002071D7"/>
    <w:rsid w:val="00207F32"/>
    <w:rsid w:val="00212B1F"/>
    <w:rsid w:val="00213340"/>
    <w:rsid w:val="00213D7C"/>
    <w:rsid w:val="00214513"/>
    <w:rsid w:val="00214F8D"/>
    <w:rsid w:val="002155B7"/>
    <w:rsid w:val="00215905"/>
    <w:rsid w:val="0021657B"/>
    <w:rsid w:val="0021766A"/>
    <w:rsid w:val="00220913"/>
    <w:rsid w:val="00220C88"/>
    <w:rsid w:val="00221B67"/>
    <w:rsid w:val="002225D3"/>
    <w:rsid w:val="00222A35"/>
    <w:rsid w:val="0022301D"/>
    <w:rsid w:val="002236F0"/>
    <w:rsid w:val="0022381A"/>
    <w:rsid w:val="00224B2C"/>
    <w:rsid w:val="00226F3A"/>
    <w:rsid w:val="002272E2"/>
    <w:rsid w:val="00227E55"/>
    <w:rsid w:val="00232AA0"/>
    <w:rsid w:val="00234CDF"/>
    <w:rsid w:val="00234CFF"/>
    <w:rsid w:val="00236595"/>
    <w:rsid w:val="00236B91"/>
    <w:rsid w:val="00236BF6"/>
    <w:rsid w:val="00236E26"/>
    <w:rsid w:val="002371AE"/>
    <w:rsid w:val="002424C0"/>
    <w:rsid w:val="00242617"/>
    <w:rsid w:val="00242CAA"/>
    <w:rsid w:val="0024503B"/>
    <w:rsid w:val="0024573D"/>
    <w:rsid w:val="00245D74"/>
    <w:rsid w:val="00246D03"/>
    <w:rsid w:val="00246DDF"/>
    <w:rsid w:val="00247C59"/>
    <w:rsid w:val="002526E2"/>
    <w:rsid w:val="00253FAE"/>
    <w:rsid w:val="00257069"/>
    <w:rsid w:val="002573CC"/>
    <w:rsid w:val="00260FAA"/>
    <w:rsid w:val="00262338"/>
    <w:rsid w:val="00263694"/>
    <w:rsid w:val="00263938"/>
    <w:rsid w:val="002646D7"/>
    <w:rsid w:val="00264990"/>
    <w:rsid w:val="002671D7"/>
    <w:rsid w:val="0027242E"/>
    <w:rsid w:val="0027259C"/>
    <w:rsid w:val="00273543"/>
    <w:rsid w:val="00274C82"/>
    <w:rsid w:val="00275D94"/>
    <w:rsid w:val="0027654D"/>
    <w:rsid w:val="002810DF"/>
    <w:rsid w:val="002812AB"/>
    <w:rsid w:val="002816D8"/>
    <w:rsid w:val="00281F8F"/>
    <w:rsid w:val="00282A8C"/>
    <w:rsid w:val="002854EE"/>
    <w:rsid w:val="0028565C"/>
    <w:rsid w:val="00285ED8"/>
    <w:rsid w:val="002875DE"/>
    <w:rsid w:val="00287E07"/>
    <w:rsid w:val="00290EB3"/>
    <w:rsid w:val="00292846"/>
    <w:rsid w:val="00292A90"/>
    <w:rsid w:val="00292B81"/>
    <w:rsid w:val="002971D6"/>
    <w:rsid w:val="002A2F08"/>
    <w:rsid w:val="002A3641"/>
    <w:rsid w:val="002A495F"/>
    <w:rsid w:val="002A4CE1"/>
    <w:rsid w:val="002A706F"/>
    <w:rsid w:val="002A70EA"/>
    <w:rsid w:val="002A7363"/>
    <w:rsid w:val="002A7F43"/>
    <w:rsid w:val="002B365E"/>
    <w:rsid w:val="002B3E6C"/>
    <w:rsid w:val="002B489A"/>
    <w:rsid w:val="002B6341"/>
    <w:rsid w:val="002B6416"/>
    <w:rsid w:val="002C031A"/>
    <w:rsid w:val="002C0526"/>
    <w:rsid w:val="002C0FC5"/>
    <w:rsid w:val="002C1895"/>
    <w:rsid w:val="002C27A8"/>
    <w:rsid w:val="002C333E"/>
    <w:rsid w:val="002C36C8"/>
    <w:rsid w:val="002C51A0"/>
    <w:rsid w:val="002C57E0"/>
    <w:rsid w:val="002C7971"/>
    <w:rsid w:val="002D0584"/>
    <w:rsid w:val="002D290B"/>
    <w:rsid w:val="002D2E2A"/>
    <w:rsid w:val="002D4274"/>
    <w:rsid w:val="002D46AF"/>
    <w:rsid w:val="002D4F19"/>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B3C"/>
    <w:rsid w:val="002E6428"/>
    <w:rsid w:val="002E7A79"/>
    <w:rsid w:val="002F1D9E"/>
    <w:rsid w:val="002F2C6E"/>
    <w:rsid w:val="002F3C88"/>
    <w:rsid w:val="002F4067"/>
    <w:rsid w:val="002F47EB"/>
    <w:rsid w:val="002F7339"/>
    <w:rsid w:val="002F7461"/>
    <w:rsid w:val="003025E2"/>
    <w:rsid w:val="003038DC"/>
    <w:rsid w:val="00303CB0"/>
    <w:rsid w:val="00306D24"/>
    <w:rsid w:val="00307712"/>
    <w:rsid w:val="00313076"/>
    <w:rsid w:val="003134F6"/>
    <w:rsid w:val="0031404A"/>
    <w:rsid w:val="003141CE"/>
    <w:rsid w:val="00314B7C"/>
    <w:rsid w:val="00314E49"/>
    <w:rsid w:val="00315445"/>
    <w:rsid w:val="00315F14"/>
    <w:rsid w:val="003164FD"/>
    <w:rsid w:val="00317183"/>
    <w:rsid w:val="003204AE"/>
    <w:rsid w:val="003208EF"/>
    <w:rsid w:val="00323D35"/>
    <w:rsid w:val="00324846"/>
    <w:rsid w:val="00324980"/>
    <w:rsid w:val="00324ABD"/>
    <w:rsid w:val="00324D9B"/>
    <w:rsid w:val="003272A6"/>
    <w:rsid w:val="003273CB"/>
    <w:rsid w:val="0033125E"/>
    <w:rsid w:val="00331B0F"/>
    <w:rsid w:val="00332ED2"/>
    <w:rsid w:val="0033325E"/>
    <w:rsid w:val="00335C99"/>
    <w:rsid w:val="00336913"/>
    <w:rsid w:val="0033718C"/>
    <w:rsid w:val="00337407"/>
    <w:rsid w:val="00337BB8"/>
    <w:rsid w:val="00340E02"/>
    <w:rsid w:val="00341DBD"/>
    <w:rsid w:val="00341F33"/>
    <w:rsid w:val="00342E94"/>
    <w:rsid w:val="00343E6E"/>
    <w:rsid w:val="00343E9A"/>
    <w:rsid w:val="003450C8"/>
    <w:rsid w:val="003457F2"/>
    <w:rsid w:val="00345BA7"/>
    <w:rsid w:val="0034782B"/>
    <w:rsid w:val="0035108F"/>
    <w:rsid w:val="00351E5C"/>
    <w:rsid w:val="00351F5A"/>
    <w:rsid w:val="003538F7"/>
    <w:rsid w:val="0035580F"/>
    <w:rsid w:val="0035645F"/>
    <w:rsid w:val="00357CB4"/>
    <w:rsid w:val="003604EE"/>
    <w:rsid w:val="0036286B"/>
    <w:rsid w:val="00363371"/>
    <w:rsid w:val="00364989"/>
    <w:rsid w:val="003664C0"/>
    <w:rsid w:val="0036651B"/>
    <w:rsid w:val="00366769"/>
    <w:rsid w:val="00367793"/>
    <w:rsid w:val="00367A28"/>
    <w:rsid w:val="00367E04"/>
    <w:rsid w:val="003761F2"/>
    <w:rsid w:val="00376A05"/>
    <w:rsid w:val="003774FE"/>
    <w:rsid w:val="00380429"/>
    <w:rsid w:val="00390E30"/>
    <w:rsid w:val="00392823"/>
    <w:rsid w:val="003938AC"/>
    <w:rsid w:val="00393ABE"/>
    <w:rsid w:val="0039458D"/>
    <w:rsid w:val="00394D61"/>
    <w:rsid w:val="00395201"/>
    <w:rsid w:val="00396BDA"/>
    <w:rsid w:val="00396C6B"/>
    <w:rsid w:val="003A05FC"/>
    <w:rsid w:val="003A1F5A"/>
    <w:rsid w:val="003A20C4"/>
    <w:rsid w:val="003A2ECE"/>
    <w:rsid w:val="003A4252"/>
    <w:rsid w:val="003A539A"/>
    <w:rsid w:val="003A62A4"/>
    <w:rsid w:val="003A7476"/>
    <w:rsid w:val="003A7D86"/>
    <w:rsid w:val="003B0AA1"/>
    <w:rsid w:val="003B243D"/>
    <w:rsid w:val="003B304F"/>
    <w:rsid w:val="003B58DC"/>
    <w:rsid w:val="003B59AA"/>
    <w:rsid w:val="003B5D18"/>
    <w:rsid w:val="003B795D"/>
    <w:rsid w:val="003C26A6"/>
    <w:rsid w:val="003C26C1"/>
    <w:rsid w:val="003C5C11"/>
    <w:rsid w:val="003C6A5A"/>
    <w:rsid w:val="003C6AAD"/>
    <w:rsid w:val="003C6B03"/>
    <w:rsid w:val="003C6EAC"/>
    <w:rsid w:val="003C6F2E"/>
    <w:rsid w:val="003C76E4"/>
    <w:rsid w:val="003C7ADB"/>
    <w:rsid w:val="003D1D4D"/>
    <w:rsid w:val="003D2D68"/>
    <w:rsid w:val="003D3682"/>
    <w:rsid w:val="003D37DD"/>
    <w:rsid w:val="003D45DF"/>
    <w:rsid w:val="003D47C6"/>
    <w:rsid w:val="003D5ED7"/>
    <w:rsid w:val="003D6318"/>
    <w:rsid w:val="003D7E00"/>
    <w:rsid w:val="003D7E38"/>
    <w:rsid w:val="003D7EAC"/>
    <w:rsid w:val="003E1AFA"/>
    <w:rsid w:val="003E3362"/>
    <w:rsid w:val="003E375F"/>
    <w:rsid w:val="003E379A"/>
    <w:rsid w:val="003E52B0"/>
    <w:rsid w:val="003E64DC"/>
    <w:rsid w:val="003E77D0"/>
    <w:rsid w:val="003E7A43"/>
    <w:rsid w:val="003F0B58"/>
    <w:rsid w:val="003F0D40"/>
    <w:rsid w:val="003F2236"/>
    <w:rsid w:val="003F27B7"/>
    <w:rsid w:val="003F4051"/>
    <w:rsid w:val="003F4672"/>
    <w:rsid w:val="003F5812"/>
    <w:rsid w:val="003F625A"/>
    <w:rsid w:val="003F6AA4"/>
    <w:rsid w:val="003F6EA1"/>
    <w:rsid w:val="00400330"/>
    <w:rsid w:val="00400E4A"/>
    <w:rsid w:val="0040217F"/>
    <w:rsid w:val="004027E7"/>
    <w:rsid w:val="004028E7"/>
    <w:rsid w:val="00402E9A"/>
    <w:rsid w:val="00403FA8"/>
    <w:rsid w:val="00404040"/>
    <w:rsid w:val="00404213"/>
    <w:rsid w:val="004048AC"/>
    <w:rsid w:val="00404B8E"/>
    <w:rsid w:val="004068C2"/>
    <w:rsid w:val="00406E61"/>
    <w:rsid w:val="00407DD6"/>
    <w:rsid w:val="0041160A"/>
    <w:rsid w:val="00412559"/>
    <w:rsid w:val="004145F0"/>
    <w:rsid w:val="004151D8"/>
    <w:rsid w:val="00415200"/>
    <w:rsid w:val="00415E7F"/>
    <w:rsid w:val="00420288"/>
    <w:rsid w:val="00421C78"/>
    <w:rsid w:val="004224CE"/>
    <w:rsid w:val="00423875"/>
    <w:rsid w:val="00423D5E"/>
    <w:rsid w:val="0042413A"/>
    <w:rsid w:val="00424A78"/>
    <w:rsid w:val="004254DB"/>
    <w:rsid w:val="00427EEA"/>
    <w:rsid w:val="00431836"/>
    <w:rsid w:val="004321E6"/>
    <w:rsid w:val="0043278E"/>
    <w:rsid w:val="004332A4"/>
    <w:rsid w:val="004360AC"/>
    <w:rsid w:val="00436B83"/>
    <w:rsid w:val="00437A8B"/>
    <w:rsid w:val="00441061"/>
    <w:rsid w:val="00443157"/>
    <w:rsid w:val="0044560C"/>
    <w:rsid w:val="004501C9"/>
    <w:rsid w:val="00450C70"/>
    <w:rsid w:val="0045232C"/>
    <w:rsid w:val="00453344"/>
    <w:rsid w:val="00454E76"/>
    <w:rsid w:val="00457080"/>
    <w:rsid w:val="00460891"/>
    <w:rsid w:val="00463D3A"/>
    <w:rsid w:val="00464FB2"/>
    <w:rsid w:val="00465C9A"/>
    <w:rsid w:val="004662A8"/>
    <w:rsid w:val="00466CDC"/>
    <w:rsid w:val="0046745E"/>
    <w:rsid w:val="00467E08"/>
    <w:rsid w:val="004725ED"/>
    <w:rsid w:val="004736BE"/>
    <w:rsid w:val="0047406C"/>
    <w:rsid w:val="0047504B"/>
    <w:rsid w:val="0047556D"/>
    <w:rsid w:val="00475789"/>
    <w:rsid w:val="00475D54"/>
    <w:rsid w:val="00476170"/>
    <w:rsid w:val="004761DE"/>
    <w:rsid w:val="004801D4"/>
    <w:rsid w:val="00480284"/>
    <w:rsid w:val="0048099E"/>
    <w:rsid w:val="004813F4"/>
    <w:rsid w:val="004820B0"/>
    <w:rsid w:val="00482117"/>
    <w:rsid w:val="00482E2F"/>
    <w:rsid w:val="00484BE0"/>
    <w:rsid w:val="004859B4"/>
    <w:rsid w:val="00486ACD"/>
    <w:rsid w:val="00490B8D"/>
    <w:rsid w:val="0049255A"/>
    <w:rsid w:val="00492C65"/>
    <w:rsid w:val="0049403F"/>
    <w:rsid w:val="00494323"/>
    <w:rsid w:val="00494349"/>
    <w:rsid w:val="00494485"/>
    <w:rsid w:val="0049682B"/>
    <w:rsid w:val="0049762B"/>
    <w:rsid w:val="004A0F27"/>
    <w:rsid w:val="004A0F37"/>
    <w:rsid w:val="004A0F68"/>
    <w:rsid w:val="004A3608"/>
    <w:rsid w:val="004A4FBD"/>
    <w:rsid w:val="004A76FF"/>
    <w:rsid w:val="004A7810"/>
    <w:rsid w:val="004A7E93"/>
    <w:rsid w:val="004B021E"/>
    <w:rsid w:val="004B0B6A"/>
    <w:rsid w:val="004B3CFB"/>
    <w:rsid w:val="004B44AC"/>
    <w:rsid w:val="004B54BE"/>
    <w:rsid w:val="004B5D6B"/>
    <w:rsid w:val="004B76F8"/>
    <w:rsid w:val="004C119E"/>
    <w:rsid w:val="004C1FA6"/>
    <w:rsid w:val="004C2869"/>
    <w:rsid w:val="004C3C81"/>
    <w:rsid w:val="004C5CFD"/>
    <w:rsid w:val="004D12C0"/>
    <w:rsid w:val="004D18EA"/>
    <w:rsid w:val="004D2B29"/>
    <w:rsid w:val="004D3713"/>
    <w:rsid w:val="004D5BA0"/>
    <w:rsid w:val="004D5D94"/>
    <w:rsid w:val="004D6254"/>
    <w:rsid w:val="004D70FD"/>
    <w:rsid w:val="004D7E99"/>
    <w:rsid w:val="004E00CE"/>
    <w:rsid w:val="004E2BDB"/>
    <w:rsid w:val="004E307B"/>
    <w:rsid w:val="004E4851"/>
    <w:rsid w:val="004E6A9C"/>
    <w:rsid w:val="004E764F"/>
    <w:rsid w:val="004F0966"/>
    <w:rsid w:val="004F50AF"/>
    <w:rsid w:val="004F681D"/>
    <w:rsid w:val="004F6BA2"/>
    <w:rsid w:val="004F6E14"/>
    <w:rsid w:val="004F7C7E"/>
    <w:rsid w:val="0050228C"/>
    <w:rsid w:val="00502857"/>
    <w:rsid w:val="005032DC"/>
    <w:rsid w:val="0050439B"/>
    <w:rsid w:val="005044A9"/>
    <w:rsid w:val="00504F68"/>
    <w:rsid w:val="005054DC"/>
    <w:rsid w:val="00505994"/>
    <w:rsid w:val="00505FD4"/>
    <w:rsid w:val="005062F0"/>
    <w:rsid w:val="00506E25"/>
    <w:rsid w:val="00510947"/>
    <w:rsid w:val="0051132C"/>
    <w:rsid w:val="005119D0"/>
    <w:rsid w:val="00513483"/>
    <w:rsid w:val="005148CC"/>
    <w:rsid w:val="00514A55"/>
    <w:rsid w:val="00514EF5"/>
    <w:rsid w:val="005160C8"/>
    <w:rsid w:val="0051782D"/>
    <w:rsid w:val="0052087E"/>
    <w:rsid w:val="0052315E"/>
    <w:rsid w:val="00523B73"/>
    <w:rsid w:val="00524C05"/>
    <w:rsid w:val="00530ED3"/>
    <w:rsid w:val="005315CE"/>
    <w:rsid w:val="00532D58"/>
    <w:rsid w:val="00533C25"/>
    <w:rsid w:val="00533D2D"/>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0A3F"/>
    <w:rsid w:val="00553B32"/>
    <w:rsid w:val="00554BF3"/>
    <w:rsid w:val="0055655F"/>
    <w:rsid w:val="0055657D"/>
    <w:rsid w:val="005569A5"/>
    <w:rsid w:val="005579B9"/>
    <w:rsid w:val="00560D0D"/>
    <w:rsid w:val="005632F1"/>
    <w:rsid w:val="005644AD"/>
    <w:rsid w:val="00565FB1"/>
    <w:rsid w:val="005662FB"/>
    <w:rsid w:val="00567781"/>
    <w:rsid w:val="00567ECC"/>
    <w:rsid w:val="0057019C"/>
    <w:rsid w:val="005713B1"/>
    <w:rsid w:val="0057363E"/>
    <w:rsid w:val="0057624B"/>
    <w:rsid w:val="0057644D"/>
    <w:rsid w:val="0057649A"/>
    <w:rsid w:val="0057758B"/>
    <w:rsid w:val="00583090"/>
    <w:rsid w:val="005835F4"/>
    <w:rsid w:val="00583EFE"/>
    <w:rsid w:val="00584076"/>
    <w:rsid w:val="005841A3"/>
    <w:rsid w:val="00584E34"/>
    <w:rsid w:val="00586D9A"/>
    <w:rsid w:val="00590EAE"/>
    <w:rsid w:val="0059112A"/>
    <w:rsid w:val="0059116B"/>
    <w:rsid w:val="00591B65"/>
    <w:rsid w:val="00592A14"/>
    <w:rsid w:val="00593216"/>
    <w:rsid w:val="0059485D"/>
    <w:rsid w:val="00594BC3"/>
    <w:rsid w:val="0059526B"/>
    <w:rsid w:val="005956DC"/>
    <w:rsid w:val="00596CA7"/>
    <w:rsid w:val="00596DC8"/>
    <w:rsid w:val="00596E16"/>
    <w:rsid w:val="00597A78"/>
    <w:rsid w:val="00597DC7"/>
    <w:rsid w:val="005A16A3"/>
    <w:rsid w:val="005A19C1"/>
    <w:rsid w:val="005A1C48"/>
    <w:rsid w:val="005A1D8D"/>
    <w:rsid w:val="005A253A"/>
    <w:rsid w:val="005A2AD8"/>
    <w:rsid w:val="005A3152"/>
    <w:rsid w:val="005A40AF"/>
    <w:rsid w:val="005A4A7C"/>
    <w:rsid w:val="005A64BF"/>
    <w:rsid w:val="005B0565"/>
    <w:rsid w:val="005B4421"/>
    <w:rsid w:val="005B513F"/>
    <w:rsid w:val="005B7483"/>
    <w:rsid w:val="005B7929"/>
    <w:rsid w:val="005C0643"/>
    <w:rsid w:val="005C23AF"/>
    <w:rsid w:val="005C25D1"/>
    <w:rsid w:val="005C35A9"/>
    <w:rsid w:val="005C464B"/>
    <w:rsid w:val="005C4E5F"/>
    <w:rsid w:val="005C5A69"/>
    <w:rsid w:val="005C680D"/>
    <w:rsid w:val="005C72C7"/>
    <w:rsid w:val="005C7477"/>
    <w:rsid w:val="005C74A0"/>
    <w:rsid w:val="005D052C"/>
    <w:rsid w:val="005D16FE"/>
    <w:rsid w:val="005D4084"/>
    <w:rsid w:val="005D4777"/>
    <w:rsid w:val="005D4C2B"/>
    <w:rsid w:val="005D5784"/>
    <w:rsid w:val="005D5AD3"/>
    <w:rsid w:val="005E22CD"/>
    <w:rsid w:val="005E6B93"/>
    <w:rsid w:val="005E7953"/>
    <w:rsid w:val="005E7E82"/>
    <w:rsid w:val="005F2C42"/>
    <w:rsid w:val="005F6BAB"/>
    <w:rsid w:val="005F6C28"/>
    <w:rsid w:val="005F7AB6"/>
    <w:rsid w:val="005F7E3C"/>
    <w:rsid w:val="00600FA8"/>
    <w:rsid w:val="0060219B"/>
    <w:rsid w:val="0060479D"/>
    <w:rsid w:val="006063DA"/>
    <w:rsid w:val="00606CD0"/>
    <w:rsid w:val="00606CE3"/>
    <w:rsid w:val="00611DD3"/>
    <w:rsid w:val="00611EF0"/>
    <w:rsid w:val="00612219"/>
    <w:rsid w:val="00612E04"/>
    <w:rsid w:val="00616EA3"/>
    <w:rsid w:val="006173A4"/>
    <w:rsid w:val="00617C44"/>
    <w:rsid w:val="00620086"/>
    <w:rsid w:val="00622074"/>
    <w:rsid w:val="00622A8A"/>
    <w:rsid w:val="00622CE4"/>
    <w:rsid w:val="006234A7"/>
    <w:rsid w:val="0062381D"/>
    <w:rsid w:val="00623F8E"/>
    <w:rsid w:val="006249A9"/>
    <w:rsid w:val="00625917"/>
    <w:rsid w:val="00626705"/>
    <w:rsid w:val="0062789F"/>
    <w:rsid w:val="006301BE"/>
    <w:rsid w:val="0063096E"/>
    <w:rsid w:val="00632DB2"/>
    <w:rsid w:val="00633349"/>
    <w:rsid w:val="006337AF"/>
    <w:rsid w:val="00633D61"/>
    <w:rsid w:val="0063402B"/>
    <w:rsid w:val="00634B9C"/>
    <w:rsid w:val="00635289"/>
    <w:rsid w:val="00635AC0"/>
    <w:rsid w:val="00636570"/>
    <w:rsid w:val="00637859"/>
    <w:rsid w:val="00637901"/>
    <w:rsid w:val="00637E1B"/>
    <w:rsid w:val="006400D8"/>
    <w:rsid w:val="006402DF"/>
    <w:rsid w:val="00640F01"/>
    <w:rsid w:val="0064164B"/>
    <w:rsid w:val="0064416A"/>
    <w:rsid w:val="00644468"/>
    <w:rsid w:val="00645062"/>
    <w:rsid w:val="00645F5E"/>
    <w:rsid w:val="00647B1E"/>
    <w:rsid w:val="00647C55"/>
    <w:rsid w:val="0065008B"/>
    <w:rsid w:val="00653721"/>
    <w:rsid w:val="00653A3B"/>
    <w:rsid w:val="00653FD9"/>
    <w:rsid w:val="006543A2"/>
    <w:rsid w:val="00654D42"/>
    <w:rsid w:val="00655D0C"/>
    <w:rsid w:val="00656328"/>
    <w:rsid w:val="00656C20"/>
    <w:rsid w:val="00660279"/>
    <w:rsid w:val="00660A94"/>
    <w:rsid w:val="00661736"/>
    <w:rsid w:val="006622A8"/>
    <w:rsid w:val="006622B9"/>
    <w:rsid w:val="00662E1E"/>
    <w:rsid w:val="0066371E"/>
    <w:rsid w:val="00664060"/>
    <w:rsid w:val="0066455B"/>
    <w:rsid w:val="00670BC4"/>
    <w:rsid w:val="006718ED"/>
    <w:rsid w:val="006724AD"/>
    <w:rsid w:val="00672BAB"/>
    <w:rsid w:val="0067314A"/>
    <w:rsid w:val="00673D1E"/>
    <w:rsid w:val="006752ED"/>
    <w:rsid w:val="0067557E"/>
    <w:rsid w:val="00675E9D"/>
    <w:rsid w:val="006779CF"/>
    <w:rsid w:val="00677A8F"/>
    <w:rsid w:val="00677D63"/>
    <w:rsid w:val="00677F8A"/>
    <w:rsid w:val="006821E3"/>
    <w:rsid w:val="00683AD6"/>
    <w:rsid w:val="00683B0E"/>
    <w:rsid w:val="006842AE"/>
    <w:rsid w:val="006875BA"/>
    <w:rsid w:val="0069097D"/>
    <w:rsid w:val="0069141B"/>
    <w:rsid w:val="00693FEA"/>
    <w:rsid w:val="00694C68"/>
    <w:rsid w:val="006A5773"/>
    <w:rsid w:val="006A5804"/>
    <w:rsid w:val="006A58F0"/>
    <w:rsid w:val="006A6262"/>
    <w:rsid w:val="006B0372"/>
    <w:rsid w:val="006B0764"/>
    <w:rsid w:val="006B081C"/>
    <w:rsid w:val="006B4467"/>
    <w:rsid w:val="006B6C46"/>
    <w:rsid w:val="006B6E78"/>
    <w:rsid w:val="006B7970"/>
    <w:rsid w:val="006C0039"/>
    <w:rsid w:val="006C1927"/>
    <w:rsid w:val="006C2585"/>
    <w:rsid w:val="006C4008"/>
    <w:rsid w:val="006C4E2C"/>
    <w:rsid w:val="006C5931"/>
    <w:rsid w:val="006C6EAB"/>
    <w:rsid w:val="006C73EF"/>
    <w:rsid w:val="006C7980"/>
    <w:rsid w:val="006D1723"/>
    <w:rsid w:val="006D5A4C"/>
    <w:rsid w:val="006D5D3F"/>
    <w:rsid w:val="006D60ED"/>
    <w:rsid w:val="006D6B55"/>
    <w:rsid w:val="006E0F98"/>
    <w:rsid w:val="006E1166"/>
    <w:rsid w:val="006E1E95"/>
    <w:rsid w:val="006E2398"/>
    <w:rsid w:val="006E24D9"/>
    <w:rsid w:val="006E258E"/>
    <w:rsid w:val="006E25BA"/>
    <w:rsid w:val="006E596E"/>
    <w:rsid w:val="006E65E0"/>
    <w:rsid w:val="006E6DCB"/>
    <w:rsid w:val="006E7E91"/>
    <w:rsid w:val="006F033F"/>
    <w:rsid w:val="006F24D8"/>
    <w:rsid w:val="006F33B8"/>
    <w:rsid w:val="006F4C9C"/>
    <w:rsid w:val="006F640F"/>
    <w:rsid w:val="006F762A"/>
    <w:rsid w:val="00701B6B"/>
    <w:rsid w:val="007026CB"/>
    <w:rsid w:val="00702D07"/>
    <w:rsid w:val="0070384F"/>
    <w:rsid w:val="00703A9E"/>
    <w:rsid w:val="00703D6D"/>
    <w:rsid w:val="00703E0F"/>
    <w:rsid w:val="00704095"/>
    <w:rsid w:val="00704152"/>
    <w:rsid w:val="00704FB5"/>
    <w:rsid w:val="00706B71"/>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116D"/>
    <w:rsid w:val="0072226F"/>
    <w:rsid w:val="00722817"/>
    <w:rsid w:val="00725B78"/>
    <w:rsid w:val="00726F91"/>
    <w:rsid w:val="00727082"/>
    <w:rsid w:val="00727ECE"/>
    <w:rsid w:val="0073233C"/>
    <w:rsid w:val="00732D0C"/>
    <w:rsid w:val="00733EAD"/>
    <w:rsid w:val="00734F54"/>
    <w:rsid w:val="00736D93"/>
    <w:rsid w:val="00737C04"/>
    <w:rsid w:val="00737F64"/>
    <w:rsid w:val="00741F05"/>
    <w:rsid w:val="007422C9"/>
    <w:rsid w:val="00744110"/>
    <w:rsid w:val="00744595"/>
    <w:rsid w:val="0074695A"/>
    <w:rsid w:val="00747A52"/>
    <w:rsid w:val="00750F1E"/>
    <w:rsid w:val="00751C12"/>
    <w:rsid w:val="00752691"/>
    <w:rsid w:val="007528F2"/>
    <w:rsid w:val="00752C30"/>
    <w:rsid w:val="007542AB"/>
    <w:rsid w:val="00756853"/>
    <w:rsid w:val="007575C4"/>
    <w:rsid w:val="00757D63"/>
    <w:rsid w:val="00762A1B"/>
    <w:rsid w:val="00762D6D"/>
    <w:rsid w:val="00763700"/>
    <w:rsid w:val="0076427C"/>
    <w:rsid w:val="00765217"/>
    <w:rsid w:val="007659AA"/>
    <w:rsid w:val="00766334"/>
    <w:rsid w:val="0077266C"/>
    <w:rsid w:val="0077269E"/>
    <w:rsid w:val="00772802"/>
    <w:rsid w:val="00772A20"/>
    <w:rsid w:val="00775066"/>
    <w:rsid w:val="00776406"/>
    <w:rsid w:val="0078005A"/>
    <w:rsid w:val="00781B6F"/>
    <w:rsid w:val="00781F9C"/>
    <w:rsid w:val="007820ED"/>
    <w:rsid w:val="00782DFD"/>
    <w:rsid w:val="007833B7"/>
    <w:rsid w:val="00784424"/>
    <w:rsid w:val="00785474"/>
    <w:rsid w:val="007875A6"/>
    <w:rsid w:val="0078772C"/>
    <w:rsid w:val="00787B99"/>
    <w:rsid w:val="007907C8"/>
    <w:rsid w:val="007925B6"/>
    <w:rsid w:val="007934F5"/>
    <w:rsid w:val="0079421C"/>
    <w:rsid w:val="0079526D"/>
    <w:rsid w:val="00795A2C"/>
    <w:rsid w:val="00797309"/>
    <w:rsid w:val="00797390"/>
    <w:rsid w:val="007A05B6"/>
    <w:rsid w:val="007A1C0A"/>
    <w:rsid w:val="007A1C59"/>
    <w:rsid w:val="007A1F6F"/>
    <w:rsid w:val="007A2B22"/>
    <w:rsid w:val="007A3EB3"/>
    <w:rsid w:val="007A400E"/>
    <w:rsid w:val="007A4397"/>
    <w:rsid w:val="007A5B41"/>
    <w:rsid w:val="007B342D"/>
    <w:rsid w:val="007B386E"/>
    <w:rsid w:val="007B3A76"/>
    <w:rsid w:val="007B5792"/>
    <w:rsid w:val="007C27F1"/>
    <w:rsid w:val="007C2934"/>
    <w:rsid w:val="007C31E2"/>
    <w:rsid w:val="007C5CE1"/>
    <w:rsid w:val="007C6300"/>
    <w:rsid w:val="007C6F85"/>
    <w:rsid w:val="007D0569"/>
    <w:rsid w:val="007D16B1"/>
    <w:rsid w:val="007D19E4"/>
    <w:rsid w:val="007D2001"/>
    <w:rsid w:val="007D7400"/>
    <w:rsid w:val="007D7761"/>
    <w:rsid w:val="007D79FF"/>
    <w:rsid w:val="007E02A7"/>
    <w:rsid w:val="007E0E7F"/>
    <w:rsid w:val="007E468A"/>
    <w:rsid w:val="007E4BD4"/>
    <w:rsid w:val="007E51A5"/>
    <w:rsid w:val="007E5629"/>
    <w:rsid w:val="007E7F4C"/>
    <w:rsid w:val="007F05CA"/>
    <w:rsid w:val="007F2EC6"/>
    <w:rsid w:val="007F3018"/>
    <w:rsid w:val="007F3600"/>
    <w:rsid w:val="007F6862"/>
    <w:rsid w:val="008013FC"/>
    <w:rsid w:val="00802D92"/>
    <w:rsid w:val="00803F18"/>
    <w:rsid w:val="00804FAB"/>
    <w:rsid w:val="00805998"/>
    <w:rsid w:val="008060C3"/>
    <w:rsid w:val="008063A1"/>
    <w:rsid w:val="00807F00"/>
    <w:rsid w:val="00812095"/>
    <w:rsid w:val="008134BD"/>
    <w:rsid w:val="008139A5"/>
    <w:rsid w:val="00814656"/>
    <w:rsid w:val="00815CEE"/>
    <w:rsid w:val="008177C9"/>
    <w:rsid w:val="00820D01"/>
    <w:rsid w:val="00820E45"/>
    <w:rsid w:val="00821E2C"/>
    <w:rsid w:val="00822835"/>
    <w:rsid w:val="0082459B"/>
    <w:rsid w:val="00826758"/>
    <w:rsid w:val="00827B19"/>
    <w:rsid w:val="008313D1"/>
    <w:rsid w:val="00832A7B"/>
    <w:rsid w:val="00833261"/>
    <w:rsid w:val="00834A7F"/>
    <w:rsid w:val="008353E0"/>
    <w:rsid w:val="008365F0"/>
    <w:rsid w:val="00841534"/>
    <w:rsid w:val="00842EE7"/>
    <w:rsid w:val="008461C8"/>
    <w:rsid w:val="008462F1"/>
    <w:rsid w:val="00846930"/>
    <w:rsid w:val="00850FDE"/>
    <w:rsid w:val="00852876"/>
    <w:rsid w:val="008543F5"/>
    <w:rsid w:val="00855004"/>
    <w:rsid w:val="00855105"/>
    <w:rsid w:val="008572C4"/>
    <w:rsid w:val="0085733E"/>
    <w:rsid w:val="0085765A"/>
    <w:rsid w:val="008604A8"/>
    <w:rsid w:val="00860876"/>
    <w:rsid w:val="00860E64"/>
    <w:rsid w:val="008616F7"/>
    <w:rsid w:val="00861AFA"/>
    <w:rsid w:val="008634F3"/>
    <w:rsid w:val="00863C61"/>
    <w:rsid w:val="00865522"/>
    <w:rsid w:val="00865ADF"/>
    <w:rsid w:val="0086644C"/>
    <w:rsid w:val="008666B5"/>
    <w:rsid w:val="008703B3"/>
    <w:rsid w:val="008705BF"/>
    <w:rsid w:val="00871312"/>
    <w:rsid w:val="00871F13"/>
    <w:rsid w:val="00876985"/>
    <w:rsid w:val="008771AF"/>
    <w:rsid w:val="008808E6"/>
    <w:rsid w:val="0088097B"/>
    <w:rsid w:val="00883780"/>
    <w:rsid w:val="00883B99"/>
    <w:rsid w:val="00885066"/>
    <w:rsid w:val="00885F85"/>
    <w:rsid w:val="0088665E"/>
    <w:rsid w:val="00887F48"/>
    <w:rsid w:val="00891338"/>
    <w:rsid w:val="008923C8"/>
    <w:rsid w:val="008924B5"/>
    <w:rsid w:val="00893260"/>
    <w:rsid w:val="008932A8"/>
    <w:rsid w:val="00893756"/>
    <w:rsid w:val="00894A50"/>
    <w:rsid w:val="00894A9E"/>
    <w:rsid w:val="008950F6"/>
    <w:rsid w:val="00895175"/>
    <w:rsid w:val="00895B8D"/>
    <w:rsid w:val="00896815"/>
    <w:rsid w:val="008A0744"/>
    <w:rsid w:val="008A0A6E"/>
    <w:rsid w:val="008A0D0F"/>
    <w:rsid w:val="008A2403"/>
    <w:rsid w:val="008A2FB3"/>
    <w:rsid w:val="008A398B"/>
    <w:rsid w:val="008A5601"/>
    <w:rsid w:val="008A59AD"/>
    <w:rsid w:val="008A7823"/>
    <w:rsid w:val="008B0EEB"/>
    <w:rsid w:val="008B389B"/>
    <w:rsid w:val="008B431D"/>
    <w:rsid w:val="008B51FD"/>
    <w:rsid w:val="008B5645"/>
    <w:rsid w:val="008B6269"/>
    <w:rsid w:val="008B6766"/>
    <w:rsid w:val="008B70F5"/>
    <w:rsid w:val="008B7186"/>
    <w:rsid w:val="008B7192"/>
    <w:rsid w:val="008C1279"/>
    <w:rsid w:val="008C1939"/>
    <w:rsid w:val="008C3396"/>
    <w:rsid w:val="008C621C"/>
    <w:rsid w:val="008C697C"/>
    <w:rsid w:val="008C7448"/>
    <w:rsid w:val="008C75ED"/>
    <w:rsid w:val="008C7649"/>
    <w:rsid w:val="008D3973"/>
    <w:rsid w:val="008D414A"/>
    <w:rsid w:val="008D4AFB"/>
    <w:rsid w:val="008D4E53"/>
    <w:rsid w:val="008D7980"/>
    <w:rsid w:val="008E03B0"/>
    <w:rsid w:val="008E0991"/>
    <w:rsid w:val="008E338E"/>
    <w:rsid w:val="008E4444"/>
    <w:rsid w:val="008E5210"/>
    <w:rsid w:val="008E57FE"/>
    <w:rsid w:val="008E6757"/>
    <w:rsid w:val="008F1573"/>
    <w:rsid w:val="008F1818"/>
    <w:rsid w:val="008F256E"/>
    <w:rsid w:val="008F2628"/>
    <w:rsid w:val="008F2665"/>
    <w:rsid w:val="008F507E"/>
    <w:rsid w:val="008F5251"/>
    <w:rsid w:val="008F6376"/>
    <w:rsid w:val="00900CC2"/>
    <w:rsid w:val="00901770"/>
    <w:rsid w:val="009019FB"/>
    <w:rsid w:val="00902AA5"/>
    <w:rsid w:val="00903DB7"/>
    <w:rsid w:val="009052B7"/>
    <w:rsid w:val="00905B05"/>
    <w:rsid w:val="0090753C"/>
    <w:rsid w:val="0090759D"/>
    <w:rsid w:val="0091156F"/>
    <w:rsid w:val="00911B66"/>
    <w:rsid w:val="00912A7E"/>
    <w:rsid w:val="00915330"/>
    <w:rsid w:val="00916606"/>
    <w:rsid w:val="00916E69"/>
    <w:rsid w:val="00917525"/>
    <w:rsid w:val="0091777D"/>
    <w:rsid w:val="009177BF"/>
    <w:rsid w:val="00917C39"/>
    <w:rsid w:val="0092057D"/>
    <w:rsid w:val="0092113B"/>
    <w:rsid w:val="009218DE"/>
    <w:rsid w:val="00922D00"/>
    <w:rsid w:val="009233CC"/>
    <w:rsid w:val="00923F17"/>
    <w:rsid w:val="009266DA"/>
    <w:rsid w:val="00927F35"/>
    <w:rsid w:val="00930DE8"/>
    <w:rsid w:val="009318DD"/>
    <w:rsid w:val="00934BB7"/>
    <w:rsid w:val="009352C3"/>
    <w:rsid w:val="00935413"/>
    <w:rsid w:val="00935F5D"/>
    <w:rsid w:val="0093669F"/>
    <w:rsid w:val="009368E0"/>
    <w:rsid w:val="0094260B"/>
    <w:rsid w:val="00942661"/>
    <w:rsid w:val="00945307"/>
    <w:rsid w:val="0094558D"/>
    <w:rsid w:val="0094697C"/>
    <w:rsid w:val="00946FCE"/>
    <w:rsid w:val="009515BC"/>
    <w:rsid w:val="0095349A"/>
    <w:rsid w:val="00953B5B"/>
    <w:rsid w:val="00953ED0"/>
    <w:rsid w:val="0095492E"/>
    <w:rsid w:val="00955571"/>
    <w:rsid w:val="00955F7D"/>
    <w:rsid w:val="0096242F"/>
    <w:rsid w:val="00962E3B"/>
    <w:rsid w:val="00962FF5"/>
    <w:rsid w:val="00964A4E"/>
    <w:rsid w:val="00965B02"/>
    <w:rsid w:val="00965C07"/>
    <w:rsid w:val="00965D2D"/>
    <w:rsid w:val="00967C86"/>
    <w:rsid w:val="00967D3B"/>
    <w:rsid w:val="00970A16"/>
    <w:rsid w:val="00971847"/>
    <w:rsid w:val="00972964"/>
    <w:rsid w:val="009753B7"/>
    <w:rsid w:val="0097762F"/>
    <w:rsid w:val="00977C0A"/>
    <w:rsid w:val="009816B8"/>
    <w:rsid w:val="00983B45"/>
    <w:rsid w:val="00983B5C"/>
    <w:rsid w:val="00983E72"/>
    <w:rsid w:val="0098766F"/>
    <w:rsid w:val="00993912"/>
    <w:rsid w:val="00994050"/>
    <w:rsid w:val="009962CF"/>
    <w:rsid w:val="009969D6"/>
    <w:rsid w:val="009A31A9"/>
    <w:rsid w:val="009A3C6C"/>
    <w:rsid w:val="009A4543"/>
    <w:rsid w:val="009A5DB1"/>
    <w:rsid w:val="009A7C5A"/>
    <w:rsid w:val="009A7E51"/>
    <w:rsid w:val="009B21B9"/>
    <w:rsid w:val="009B2FAD"/>
    <w:rsid w:val="009B4CD0"/>
    <w:rsid w:val="009B4DA7"/>
    <w:rsid w:val="009C21C6"/>
    <w:rsid w:val="009C2A8C"/>
    <w:rsid w:val="009C383B"/>
    <w:rsid w:val="009C3A80"/>
    <w:rsid w:val="009C41EC"/>
    <w:rsid w:val="009C5238"/>
    <w:rsid w:val="009C6558"/>
    <w:rsid w:val="009D12B4"/>
    <w:rsid w:val="009D1E70"/>
    <w:rsid w:val="009D2135"/>
    <w:rsid w:val="009D2FA7"/>
    <w:rsid w:val="009D3673"/>
    <w:rsid w:val="009D4166"/>
    <w:rsid w:val="009D4CAE"/>
    <w:rsid w:val="009D5249"/>
    <w:rsid w:val="009D55F9"/>
    <w:rsid w:val="009D5837"/>
    <w:rsid w:val="009D5A11"/>
    <w:rsid w:val="009D765F"/>
    <w:rsid w:val="009D7760"/>
    <w:rsid w:val="009E16E6"/>
    <w:rsid w:val="009E1C0D"/>
    <w:rsid w:val="009E1E62"/>
    <w:rsid w:val="009E2953"/>
    <w:rsid w:val="009E30CE"/>
    <w:rsid w:val="009E3F7C"/>
    <w:rsid w:val="009E4BA2"/>
    <w:rsid w:val="009E4CDF"/>
    <w:rsid w:val="009E5A07"/>
    <w:rsid w:val="009E5D20"/>
    <w:rsid w:val="009E5D56"/>
    <w:rsid w:val="009F04C3"/>
    <w:rsid w:val="009F0760"/>
    <w:rsid w:val="009F3B29"/>
    <w:rsid w:val="009F4860"/>
    <w:rsid w:val="00A00057"/>
    <w:rsid w:val="00A00485"/>
    <w:rsid w:val="00A01A5F"/>
    <w:rsid w:val="00A020CC"/>
    <w:rsid w:val="00A025AC"/>
    <w:rsid w:val="00A02C96"/>
    <w:rsid w:val="00A02CB2"/>
    <w:rsid w:val="00A02E65"/>
    <w:rsid w:val="00A0340A"/>
    <w:rsid w:val="00A0440C"/>
    <w:rsid w:val="00A047AE"/>
    <w:rsid w:val="00A04C82"/>
    <w:rsid w:val="00A04CB3"/>
    <w:rsid w:val="00A0585F"/>
    <w:rsid w:val="00A0694A"/>
    <w:rsid w:val="00A0724B"/>
    <w:rsid w:val="00A077AC"/>
    <w:rsid w:val="00A07A33"/>
    <w:rsid w:val="00A10A30"/>
    <w:rsid w:val="00A1137C"/>
    <w:rsid w:val="00A113D7"/>
    <w:rsid w:val="00A11F0F"/>
    <w:rsid w:val="00A12A4D"/>
    <w:rsid w:val="00A16126"/>
    <w:rsid w:val="00A165DB"/>
    <w:rsid w:val="00A20043"/>
    <w:rsid w:val="00A2083D"/>
    <w:rsid w:val="00A21C6C"/>
    <w:rsid w:val="00A2365A"/>
    <w:rsid w:val="00A24133"/>
    <w:rsid w:val="00A24B81"/>
    <w:rsid w:val="00A262BF"/>
    <w:rsid w:val="00A27809"/>
    <w:rsid w:val="00A30533"/>
    <w:rsid w:val="00A317B0"/>
    <w:rsid w:val="00A31BF6"/>
    <w:rsid w:val="00A34591"/>
    <w:rsid w:val="00A34E44"/>
    <w:rsid w:val="00A35645"/>
    <w:rsid w:val="00A35B8F"/>
    <w:rsid w:val="00A3640F"/>
    <w:rsid w:val="00A37ECF"/>
    <w:rsid w:val="00A40CE2"/>
    <w:rsid w:val="00A41148"/>
    <w:rsid w:val="00A42FAE"/>
    <w:rsid w:val="00A43359"/>
    <w:rsid w:val="00A43553"/>
    <w:rsid w:val="00A47176"/>
    <w:rsid w:val="00A475C5"/>
    <w:rsid w:val="00A4768C"/>
    <w:rsid w:val="00A50A68"/>
    <w:rsid w:val="00A50D3B"/>
    <w:rsid w:val="00A50E38"/>
    <w:rsid w:val="00A510C6"/>
    <w:rsid w:val="00A51724"/>
    <w:rsid w:val="00A518AA"/>
    <w:rsid w:val="00A5206E"/>
    <w:rsid w:val="00A525E7"/>
    <w:rsid w:val="00A52F9E"/>
    <w:rsid w:val="00A539ED"/>
    <w:rsid w:val="00A56348"/>
    <w:rsid w:val="00A5703F"/>
    <w:rsid w:val="00A57D39"/>
    <w:rsid w:val="00A57D78"/>
    <w:rsid w:val="00A61825"/>
    <w:rsid w:val="00A6316B"/>
    <w:rsid w:val="00A65316"/>
    <w:rsid w:val="00A65C77"/>
    <w:rsid w:val="00A674FF"/>
    <w:rsid w:val="00A67566"/>
    <w:rsid w:val="00A70F69"/>
    <w:rsid w:val="00A72611"/>
    <w:rsid w:val="00A73ABB"/>
    <w:rsid w:val="00A751A1"/>
    <w:rsid w:val="00A75C50"/>
    <w:rsid w:val="00A76AFB"/>
    <w:rsid w:val="00A76D2C"/>
    <w:rsid w:val="00A77746"/>
    <w:rsid w:val="00A80622"/>
    <w:rsid w:val="00A806AA"/>
    <w:rsid w:val="00A83BF6"/>
    <w:rsid w:val="00A84123"/>
    <w:rsid w:val="00A84659"/>
    <w:rsid w:val="00A84BAC"/>
    <w:rsid w:val="00A84BCA"/>
    <w:rsid w:val="00A851C0"/>
    <w:rsid w:val="00A87B4F"/>
    <w:rsid w:val="00A87F31"/>
    <w:rsid w:val="00A90D27"/>
    <w:rsid w:val="00A9103B"/>
    <w:rsid w:val="00A910A9"/>
    <w:rsid w:val="00A91284"/>
    <w:rsid w:val="00A918A7"/>
    <w:rsid w:val="00A92871"/>
    <w:rsid w:val="00A955EB"/>
    <w:rsid w:val="00A9591E"/>
    <w:rsid w:val="00AA1F49"/>
    <w:rsid w:val="00AA3A2E"/>
    <w:rsid w:val="00AA4099"/>
    <w:rsid w:val="00AA4D5A"/>
    <w:rsid w:val="00AA6913"/>
    <w:rsid w:val="00AB1C12"/>
    <w:rsid w:val="00AB204D"/>
    <w:rsid w:val="00AB2190"/>
    <w:rsid w:val="00AB39EB"/>
    <w:rsid w:val="00AB3F27"/>
    <w:rsid w:val="00AB3FD9"/>
    <w:rsid w:val="00AB7DE7"/>
    <w:rsid w:val="00AB7F49"/>
    <w:rsid w:val="00AC01D4"/>
    <w:rsid w:val="00AC0313"/>
    <w:rsid w:val="00AC03AB"/>
    <w:rsid w:val="00AC0650"/>
    <w:rsid w:val="00AC1AC3"/>
    <w:rsid w:val="00AC1BE7"/>
    <w:rsid w:val="00AC275F"/>
    <w:rsid w:val="00AC2BA3"/>
    <w:rsid w:val="00AC3EE4"/>
    <w:rsid w:val="00AC4D72"/>
    <w:rsid w:val="00AC50A4"/>
    <w:rsid w:val="00AC5A95"/>
    <w:rsid w:val="00AC6074"/>
    <w:rsid w:val="00AC6471"/>
    <w:rsid w:val="00AC7485"/>
    <w:rsid w:val="00AC795A"/>
    <w:rsid w:val="00AD07E9"/>
    <w:rsid w:val="00AD1751"/>
    <w:rsid w:val="00AD2B6E"/>
    <w:rsid w:val="00AD340D"/>
    <w:rsid w:val="00AD3443"/>
    <w:rsid w:val="00AD3E9B"/>
    <w:rsid w:val="00AD4B3C"/>
    <w:rsid w:val="00AD66C0"/>
    <w:rsid w:val="00AD68A5"/>
    <w:rsid w:val="00AE147F"/>
    <w:rsid w:val="00AE185D"/>
    <w:rsid w:val="00AE1A57"/>
    <w:rsid w:val="00AE1BFE"/>
    <w:rsid w:val="00AE22F5"/>
    <w:rsid w:val="00AE3842"/>
    <w:rsid w:val="00AE3D83"/>
    <w:rsid w:val="00AE4374"/>
    <w:rsid w:val="00AE466A"/>
    <w:rsid w:val="00AE47E9"/>
    <w:rsid w:val="00AE485C"/>
    <w:rsid w:val="00AE7D4F"/>
    <w:rsid w:val="00AE7FE4"/>
    <w:rsid w:val="00AF0117"/>
    <w:rsid w:val="00AF0232"/>
    <w:rsid w:val="00AF0DD1"/>
    <w:rsid w:val="00AF17D3"/>
    <w:rsid w:val="00AF1D77"/>
    <w:rsid w:val="00AF1E50"/>
    <w:rsid w:val="00AF28FF"/>
    <w:rsid w:val="00AF38BA"/>
    <w:rsid w:val="00AF4F67"/>
    <w:rsid w:val="00AF5811"/>
    <w:rsid w:val="00AF6509"/>
    <w:rsid w:val="00AF6758"/>
    <w:rsid w:val="00AF72A0"/>
    <w:rsid w:val="00AF7B61"/>
    <w:rsid w:val="00B00BBE"/>
    <w:rsid w:val="00B03360"/>
    <w:rsid w:val="00B0346F"/>
    <w:rsid w:val="00B0456E"/>
    <w:rsid w:val="00B06A05"/>
    <w:rsid w:val="00B06BF6"/>
    <w:rsid w:val="00B06F7F"/>
    <w:rsid w:val="00B100F0"/>
    <w:rsid w:val="00B11B4A"/>
    <w:rsid w:val="00B1402E"/>
    <w:rsid w:val="00B142FD"/>
    <w:rsid w:val="00B14865"/>
    <w:rsid w:val="00B1681D"/>
    <w:rsid w:val="00B17086"/>
    <w:rsid w:val="00B21D50"/>
    <w:rsid w:val="00B229BE"/>
    <w:rsid w:val="00B22F9B"/>
    <w:rsid w:val="00B23747"/>
    <w:rsid w:val="00B237E3"/>
    <w:rsid w:val="00B23E0A"/>
    <w:rsid w:val="00B24090"/>
    <w:rsid w:val="00B257E3"/>
    <w:rsid w:val="00B260C7"/>
    <w:rsid w:val="00B263EB"/>
    <w:rsid w:val="00B26FD1"/>
    <w:rsid w:val="00B27494"/>
    <w:rsid w:val="00B279B9"/>
    <w:rsid w:val="00B27AFE"/>
    <w:rsid w:val="00B27BFD"/>
    <w:rsid w:val="00B30051"/>
    <w:rsid w:val="00B307CA"/>
    <w:rsid w:val="00B30FD0"/>
    <w:rsid w:val="00B32616"/>
    <w:rsid w:val="00B34D36"/>
    <w:rsid w:val="00B34F48"/>
    <w:rsid w:val="00B44CD0"/>
    <w:rsid w:val="00B45DF2"/>
    <w:rsid w:val="00B5197B"/>
    <w:rsid w:val="00B51BA0"/>
    <w:rsid w:val="00B535BD"/>
    <w:rsid w:val="00B53701"/>
    <w:rsid w:val="00B5509D"/>
    <w:rsid w:val="00B56A26"/>
    <w:rsid w:val="00B573E6"/>
    <w:rsid w:val="00B6110A"/>
    <w:rsid w:val="00B61291"/>
    <w:rsid w:val="00B6176A"/>
    <w:rsid w:val="00B617A7"/>
    <w:rsid w:val="00B6301A"/>
    <w:rsid w:val="00B64799"/>
    <w:rsid w:val="00B64CAD"/>
    <w:rsid w:val="00B651FA"/>
    <w:rsid w:val="00B66751"/>
    <w:rsid w:val="00B66B7C"/>
    <w:rsid w:val="00B66CD7"/>
    <w:rsid w:val="00B67AA6"/>
    <w:rsid w:val="00B7066C"/>
    <w:rsid w:val="00B7068F"/>
    <w:rsid w:val="00B717D8"/>
    <w:rsid w:val="00B718E0"/>
    <w:rsid w:val="00B72495"/>
    <w:rsid w:val="00B72DF3"/>
    <w:rsid w:val="00B74146"/>
    <w:rsid w:val="00B747A3"/>
    <w:rsid w:val="00B75478"/>
    <w:rsid w:val="00B75A27"/>
    <w:rsid w:val="00B75E52"/>
    <w:rsid w:val="00B76F6C"/>
    <w:rsid w:val="00B8080B"/>
    <w:rsid w:val="00B80A60"/>
    <w:rsid w:val="00B811EF"/>
    <w:rsid w:val="00B81568"/>
    <w:rsid w:val="00B8310D"/>
    <w:rsid w:val="00B831B9"/>
    <w:rsid w:val="00B86CE6"/>
    <w:rsid w:val="00B86EF1"/>
    <w:rsid w:val="00B90674"/>
    <w:rsid w:val="00B918F0"/>
    <w:rsid w:val="00B91F77"/>
    <w:rsid w:val="00B91FFF"/>
    <w:rsid w:val="00B934E3"/>
    <w:rsid w:val="00B94323"/>
    <w:rsid w:val="00B94444"/>
    <w:rsid w:val="00B9566B"/>
    <w:rsid w:val="00B95F92"/>
    <w:rsid w:val="00B961B7"/>
    <w:rsid w:val="00B963D4"/>
    <w:rsid w:val="00B9772B"/>
    <w:rsid w:val="00BA1A3C"/>
    <w:rsid w:val="00BA2DEF"/>
    <w:rsid w:val="00BA35F2"/>
    <w:rsid w:val="00BA3F5E"/>
    <w:rsid w:val="00BA42FB"/>
    <w:rsid w:val="00BA4768"/>
    <w:rsid w:val="00BA4861"/>
    <w:rsid w:val="00BA4A92"/>
    <w:rsid w:val="00BA516F"/>
    <w:rsid w:val="00BA628C"/>
    <w:rsid w:val="00BA7059"/>
    <w:rsid w:val="00BB0051"/>
    <w:rsid w:val="00BB02C6"/>
    <w:rsid w:val="00BB1082"/>
    <w:rsid w:val="00BB2127"/>
    <w:rsid w:val="00BB3805"/>
    <w:rsid w:val="00BB4589"/>
    <w:rsid w:val="00BB52A5"/>
    <w:rsid w:val="00BB5893"/>
    <w:rsid w:val="00BB6740"/>
    <w:rsid w:val="00BB7EA1"/>
    <w:rsid w:val="00BB7F81"/>
    <w:rsid w:val="00BC269B"/>
    <w:rsid w:val="00BC27D2"/>
    <w:rsid w:val="00BC299D"/>
    <w:rsid w:val="00BC2B7D"/>
    <w:rsid w:val="00BC6D0F"/>
    <w:rsid w:val="00BD1875"/>
    <w:rsid w:val="00BD35E1"/>
    <w:rsid w:val="00BD3A56"/>
    <w:rsid w:val="00BD54FC"/>
    <w:rsid w:val="00BD63C3"/>
    <w:rsid w:val="00BD67CE"/>
    <w:rsid w:val="00BD76A4"/>
    <w:rsid w:val="00BE0186"/>
    <w:rsid w:val="00BE1C8A"/>
    <w:rsid w:val="00BE4857"/>
    <w:rsid w:val="00BE5847"/>
    <w:rsid w:val="00BE5BE0"/>
    <w:rsid w:val="00BE5D1D"/>
    <w:rsid w:val="00BE697B"/>
    <w:rsid w:val="00BE70E8"/>
    <w:rsid w:val="00BE72B5"/>
    <w:rsid w:val="00BE795D"/>
    <w:rsid w:val="00BF0E76"/>
    <w:rsid w:val="00BF19DC"/>
    <w:rsid w:val="00BF2B3E"/>
    <w:rsid w:val="00BF2DAF"/>
    <w:rsid w:val="00BF4D73"/>
    <w:rsid w:val="00BF4E1B"/>
    <w:rsid w:val="00BF5043"/>
    <w:rsid w:val="00BF5AB9"/>
    <w:rsid w:val="00C01083"/>
    <w:rsid w:val="00C01784"/>
    <w:rsid w:val="00C0480F"/>
    <w:rsid w:val="00C04C9A"/>
    <w:rsid w:val="00C06227"/>
    <w:rsid w:val="00C06682"/>
    <w:rsid w:val="00C1043C"/>
    <w:rsid w:val="00C10D90"/>
    <w:rsid w:val="00C11299"/>
    <w:rsid w:val="00C12A51"/>
    <w:rsid w:val="00C12C65"/>
    <w:rsid w:val="00C12CD1"/>
    <w:rsid w:val="00C131E9"/>
    <w:rsid w:val="00C1591E"/>
    <w:rsid w:val="00C173EE"/>
    <w:rsid w:val="00C20D36"/>
    <w:rsid w:val="00C21038"/>
    <w:rsid w:val="00C2286B"/>
    <w:rsid w:val="00C2396B"/>
    <w:rsid w:val="00C23EA8"/>
    <w:rsid w:val="00C26865"/>
    <w:rsid w:val="00C2785F"/>
    <w:rsid w:val="00C27BFD"/>
    <w:rsid w:val="00C3075C"/>
    <w:rsid w:val="00C30BA6"/>
    <w:rsid w:val="00C31467"/>
    <w:rsid w:val="00C33F0C"/>
    <w:rsid w:val="00C34CCB"/>
    <w:rsid w:val="00C34D57"/>
    <w:rsid w:val="00C35515"/>
    <w:rsid w:val="00C35807"/>
    <w:rsid w:val="00C35A4B"/>
    <w:rsid w:val="00C36696"/>
    <w:rsid w:val="00C36720"/>
    <w:rsid w:val="00C36777"/>
    <w:rsid w:val="00C37518"/>
    <w:rsid w:val="00C37F00"/>
    <w:rsid w:val="00C40F37"/>
    <w:rsid w:val="00C421C9"/>
    <w:rsid w:val="00C42A3A"/>
    <w:rsid w:val="00C437C6"/>
    <w:rsid w:val="00C4517F"/>
    <w:rsid w:val="00C45232"/>
    <w:rsid w:val="00C46E94"/>
    <w:rsid w:val="00C4713F"/>
    <w:rsid w:val="00C51509"/>
    <w:rsid w:val="00C52097"/>
    <w:rsid w:val="00C52BA5"/>
    <w:rsid w:val="00C52F47"/>
    <w:rsid w:val="00C53323"/>
    <w:rsid w:val="00C54D8C"/>
    <w:rsid w:val="00C5530A"/>
    <w:rsid w:val="00C57493"/>
    <w:rsid w:val="00C605E6"/>
    <w:rsid w:val="00C62F2C"/>
    <w:rsid w:val="00C64C4B"/>
    <w:rsid w:val="00C64D07"/>
    <w:rsid w:val="00C66CEF"/>
    <w:rsid w:val="00C670FE"/>
    <w:rsid w:val="00C71087"/>
    <w:rsid w:val="00C71E3C"/>
    <w:rsid w:val="00C73C17"/>
    <w:rsid w:val="00C75295"/>
    <w:rsid w:val="00C75492"/>
    <w:rsid w:val="00C75826"/>
    <w:rsid w:val="00C76E1D"/>
    <w:rsid w:val="00C771C6"/>
    <w:rsid w:val="00C77C78"/>
    <w:rsid w:val="00C8146C"/>
    <w:rsid w:val="00C8231E"/>
    <w:rsid w:val="00C846DD"/>
    <w:rsid w:val="00C85CA6"/>
    <w:rsid w:val="00C873DA"/>
    <w:rsid w:val="00C90A7F"/>
    <w:rsid w:val="00C9147E"/>
    <w:rsid w:val="00C925ED"/>
    <w:rsid w:val="00C9339F"/>
    <w:rsid w:val="00C93B30"/>
    <w:rsid w:val="00C95575"/>
    <w:rsid w:val="00C95976"/>
    <w:rsid w:val="00C96618"/>
    <w:rsid w:val="00C96760"/>
    <w:rsid w:val="00C96A10"/>
    <w:rsid w:val="00C9753B"/>
    <w:rsid w:val="00CA07C3"/>
    <w:rsid w:val="00CA0C87"/>
    <w:rsid w:val="00CA19CD"/>
    <w:rsid w:val="00CA1DFF"/>
    <w:rsid w:val="00CA1F28"/>
    <w:rsid w:val="00CA20F3"/>
    <w:rsid w:val="00CA2747"/>
    <w:rsid w:val="00CA4A62"/>
    <w:rsid w:val="00CA561E"/>
    <w:rsid w:val="00CA5B58"/>
    <w:rsid w:val="00CA659E"/>
    <w:rsid w:val="00CA6A39"/>
    <w:rsid w:val="00CA7DAD"/>
    <w:rsid w:val="00CB23DD"/>
    <w:rsid w:val="00CB2757"/>
    <w:rsid w:val="00CB2FE7"/>
    <w:rsid w:val="00CB3B57"/>
    <w:rsid w:val="00CB420C"/>
    <w:rsid w:val="00CB42AE"/>
    <w:rsid w:val="00CB5100"/>
    <w:rsid w:val="00CB6768"/>
    <w:rsid w:val="00CB7410"/>
    <w:rsid w:val="00CB768F"/>
    <w:rsid w:val="00CC0848"/>
    <w:rsid w:val="00CC0E95"/>
    <w:rsid w:val="00CC17DB"/>
    <w:rsid w:val="00CC2F01"/>
    <w:rsid w:val="00CC586C"/>
    <w:rsid w:val="00CC6453"/>
    <w:rsid w:val="00CD2D8A"/>
    <w:rsid w:val="00CD31EA"/>
    <w:rsid w:val="00CD4B6F"/>
    <w:rsid w:val="00CD4F91"/>
    <w:rsid w:val="00CD692F"/>
    <w:rsid w:val="00CE0392"/>
    <w:rsid w:val="00CE2303"/>
    <w:rsid w:val="00CE5481"/>
    <w:rsid w:val="00CE5866"/>
    <w:rsid w:val="00CF003F"/>
    <w:rsid w:val="00CF0045"/>
    <w:rsid w:val="00CF3DBB"/>
    <w:rsid w:val="00CF7194"/>
    <w:rsid w:val="00CF74AE"/>
    <w:rsid w:val="00CF7C90"/>
    <w:rsid w:val="00CF7EA0"/>
    <w:rsid w:val="00D00600"/>
    <w:rsid w:val="00D00A29"/>
    <w:rsid w:val="00D02612"/>
    <w:rsid w:val="00D0329F"/>
    <w:rsid w:val="00D04372"/>
    <w:rsid w:val="00D04F9C"/>
    <w:rsid w:val="00D05DB1"/>
    <w:rsid w:val="00D06299"/>
    <w:rsid w:val="00D1045D"/>
    <w:rsid w:val="00D10CDC"/>
    <w:rsid w:val="00D133AA"/>
    <w:rsid w:val="00D13B0B"/>
    <w:rsid w:val="00D13CCF"/>
    <w:rsid w:val="00D14CF7"/>
    <w:rsid w:val="00D1576E"/>
    <w:rsid w:val="00D15A00"/>
    <w:rsid w:val="00D15BBC"/>
    <w:rsid w:val="00D15E67"/>
    <w:rsid w:val="00D20ABB"/>
    <w:rsid w:val="00D24AEE"/>
    <w:rsid w:val="00D25315"/>
    <w:rsid w:val="00D2602B"/>
    <w:rsid w:val="00D26A33"/>
    <w:rsid w:val="00D3073E"/>
    <w:rsid w:val="00D31676"/>
    <w:rsid w:val="00D316C8"/>
    <w:rsid w:val="00D337D5"/>
    <w:rsid w:val="00D33FB9"/>
    <w:rsid w:val="00D34471"/>
    <w:rsid w:val="00D34817"/>
    <w:rsid w:val="00D365BB"/>
    <w:rsid w:val="00D3795A"/>
    <w:rsid w:val="00D37AB5"/>
    <w:rsid w:val="00D40C74"/>
    <w:rsid w:val="00D41F2A"/>
    <w:rsid w:val="00D42AA6"/>
    <w:rsid w:val="00D43282"/>
    <w:rsid w:val="00D43EA4"/>
    <w:rsid w:val="00D444B8"/>
    <w:rsid w:val="00D44508"/>
    <w:rsid w:val="00D476E4"/>
    <w:rsid w:val="00D47810"/>
    <w:rsid w:val="00D5128E"/>
    <w:rsid w:val="00D52FD0"/>
    <w:rsid w:val="00D535E4"/>
    <w:rsid w:val="00D54385"/>
    <w:rsid w:val="00D561C4"/>
    <w:rsid w:val="00D606D9"/>
    <w:rsid w:val="00D6259C"/>
    <w:rsid w:val="00D63B91"/>
    <w:rsid w:val="00D64A4A"/>
    <w:rsid w:val="00D657C5"/>
    <w:rsid w:val="00D6679C"/>
    <w:rsid w:val="00D71960"/>
    <w:rsid w:val="00D7266F"/>
    <w:rsid w:val="00D72F5D"/>
    <w:rsid w:val="00D7370C"/>
    <w:rsid w:val="00D73EE6"/>
    <w:rsid w:val="00D742D2"/>
    <w:rsid w:val="00D744DC"/>
    <w:rsid w:val="00D74556"/>
    <w:rsid w:val="00D75CF7"/>
    <w:rsid w:val="00D75F59"/>
    <w:rsid w:val="00D76ABB"/>
    <w:rsid w:val="00D776C3"/>
    <w:rsid w:val="00D80153"/>
    <w:rsid w:val="00D814BC"/>
    <w:rsid w:val="00D81AC7"/>
    <w:rsid w:val="00D83E45"/>
    <w:rsid w:val="00D842CD"/>
    <w:rsid w:val="00D8495C"/>
    <w:rsid w:val="00D84AB3"/>
    <w:rsid w:val="00D854F2"/>
    <w:rsid w:val="00D85728"/>
    <w:rsid w:val="00D864B2"/>
    <w:rsid w:val="00D86737"/>
    <w:rsid w:val="00D8696A"/>
    <w:rsid w:val="00D90419"/>
    <w:rsid w:val="00D90551"/>
    <w:rsid w:val="00D90F5A"/>
    <w:rsid w:val="00D9153B"/>
    <w:rsid w:val="00D9160A"/>
    <w:rsid w:val="00D931F3"/>
    <w:rsid w:val="00D954AB"/>
    <w:rsid w:val="00D95903"/>
    <w:rsid w:val="00D95D78"/>
    <w:rsid w:val="00DA0810"/>
    <w:rsid w:val="00DA3FCE"/>
    <w:rsid w:val="00DA4B42"/>
    <w:rsid w:val="00DA4C57"/>
    <w:rsid w:val="00DA5DB7"/>
    <w:rsid w:val="00DB2BE7"/>
    <w:rsid w:val="00DB37F9"/>
    <w:rsid w:val="00DB4203"/>
    <w:rsid w:val="00DB6B88"/>
    <w:rsid w:val="00DB7CA1"/>
    <w:rsid w:val="00DC094F"/>
    <w:rsid w:val="00DC24B5"/>
    <w:rsid w:val="00DC25DA"/>
    <w:rsid w:val="00DC4325"/>
    <w:rsid w:val="00DC4915"/>
    <w:rsid w:val="00DC4C59"/>
    <w:rsid w:val="00DC5149"/>
    <w:rsid w:val="00DC5B77"/>
    <w:rsid w:val="00DC6758"/>
    <w:rsid w:val="00DC68E1"/>
    <w:rsid w:val="00DC7FCE"/>
    <w:rsid w:val="00DD0452"/>
    <w:rsid w:val="00DD1B88"/>
    <w:rsid w:val="00DD334C"/>
    <w:rsid w:val="00DD3C08"/>
    <w:rsid w:val="00DD6D7F"/>
    <w:rsid w:val="00DE0476"/>
    <w:rsid w:val="00DE1B2F"/>
    <w:rsid w:val="00DE1C5A"/>
    <w:rsid w:val="00DE2AAC"/>
    <w:rsid w:val="00DE5E04"/>
    <w:rsid w:val="00DE6634"/>
    <w:rsid w:val="00DF1125"/>
    <w:rsid w:val="00DF22E5"/>
    <w:rsid w:val="00DF27AC"/>
    <w:rsid w:val="00DF28E7"/>
    <w:rsid w:val="00DF2FD1"/>
    <w:rsid w:val="00DF399A"/>
    <w:rsid w:val="00DF447B"/>
    <w:rsid w:val="00DF49D2"/>
    <w:rsid w:val="00DF4DCA"/>
    <w:rsid w:val="00DF6280"/>
    <w:rsid w:val="00DF708B"/>
    <w:rsid w:val="00DF72F7"/>
    <w:rsid w:val="00DF7B14"/>
    <w:rsid w:val="00DF7B16"/>
    <w:rsid w:val="00E00009"/>
    <w:rsid w:val="00E01EF4"/>
    <w:rsid w:val="00E02CF2"/>
    <w:rsid w:val="00E043B3"/>
    <w:rsid w:val="00E04947"/>
    <w:rsid w:val="00E04F3F"/>
    <w:rsid w:val="00E06267"/>
    <w:rsid w:val="00E069F7"/>
    <w:rsid w:val="00E06C35"/>
    <w:rsid w:val="00E0710D"/>
    <w:rsid w:val="00E07F71"/>
    <w:rsid w:val="00E101C6"/>
    <w:rsid w:val="00E114D8"/>
    <w:rsid w:val="00E1256E"/>
    <w:rsid w:val="00E1347F"/>
    <w:rsid w:val="00E1621B"/>
    <w:rsid w:val="00E16E24"/>
    <w:rsid w:val="00E174CE"/>
    <w:rsid w:val="00E21114"/>
    <w:rsid w:val="00E22B84"/>
    <w:rsid w:val="00E25E8A"/>
    <w:rsid w:val="00E26045"/>
    <w:rsid w:val="00E26BDB"/>
    <w:rsid w:val="00E27304"/>
    <w:rsid w:val="00E304D5"/>
    <w:rsid w:val="00E30F7C"/>
    <w:rsid w:val="00E33084"/>
    <w:rsid w:val="00E337F5"/>
    <w:rsid w:val="00E339E4"/>
    <w:rsid w:val="00E34EBC"/>
    <w:rsid w:val="00E3529F"/>
    <w:rsid w:val="00E352D0"/>
    <w:rsid w:val="00E35D44"/>
    <w:rsid w:val="00E37211"/>
    <w:rsid w:val="00E37848"/>
    <w:rsid w:val="00E4034D"/>
    <w:rsid w:val="00E404B3"/>
    <w:rsid w:val="00E41991"/>
    <w:rsid w:val="00E41EE7"/>
    <w:rsid w:val="00E42084"/>
    <w:rsid w:val="00E44854"/>
    <w:rsid w:val="00E45116"/>
    <w:rsid w:val="00E4540D"/>
    <w:rsid w:val="00E46D12"/>
    <w:rsid w:val="00E47664"/>
    <w:rsid w:val="00E47CFE"/>
    <w:rsid w:val="00E50B82"/>
    <w:rsid w:val="00E51630"/>
    <w:rsid w:val="00E524D9"/>
    <w:rsid w:val="00E53BF1"/>
    <w:rsid w:val="00E552CC"/>
    <w:rsid w:val="00E55808"/>
    <w:rsid w:val="00E559EA"/>
    <w:rsid w:val="00E5696D"/>
    <w:rsid w:val="00E56E45"/>
    <w:rsid w:val="00E6161C"/>
    <w:rsid w:val="00E62DEC"/>
    <w:rsid w:val="00E63233"/>
    <w:rsid w:val="00E63FE6"/>
    <w:rsid w:val="00E65960"/>
    <w:rsid w:val="00E65F8A"/>
    <w:rsid w:val="00E66ECB"/>
    <w:rsid w:val="00E67265"/>
    <w:rsid w:val="00E67486"/>
    <w:rsid w:val="00E71139"/>
    <w:rsid w:val="00E727CE"/>
    <w:rsid w:val="00E72B1E"/>
    <w:rsid w:val="00E73D84"/>
    <w:rsid w:val="00E749E1"/>
    <w:rsid w:val="00E761EC"/>
    <w:rsid w:val="00E762F6"/>
    <w:rsid w:val="00E8007A"/>
    <w:rsid w:val="00E80578"/>
    <w:rsid w:val="00E80B43"/>
    <w:rsid w:val="00E8121D"/>
    <w:rsid w:val="00E833CB"/>
    <w:rsid w:val="00E83995"/>
    <w:rsid w:val="00E83CBA"/>
    <w:rsid w:val="00E83D2E"/>
    <w:rsid w:val="00E83FB2"/>
    <w:rsid w:val="00E844D4"/>
    <w:rsid w:val="00E84E03"/>
    <w:rsid w:val="00E85FEF"/>
    <w:rsid w:val="00E90615"/>
    <w:rsid w:val="00E91FE0"/>
    <w:rsid w:val="00E934F5"/>
    <w:rsid w:val="00E95197"/>
    <w:rsid w:val="00E95AC2"/>
    <w:rsid w:val="00E97167"/>
    <w:rsid w:val="00E97787"/>
    <w:rsid w:val="00E97DBB"/>
    <w:rsid w:val="00EA0169"/>
    <w:rsid w:val="00EA0337"/>
    <w:rsid w:val="00EA093A"/>
    <w:rsid w:val="00EA0E77"/>
    <w:rsid w:val="00EA2028"/>
    <w:rsid w:val="00EA3569"/>
    <w:rsid w:val="00EA3781"/>
    <w:rsid w:val="00EA3888"/>
    <w:rsid w:val="00EA4D19"/>
    <w:rsid w:val="00EA5023"/>
    <w:rsid w:val="00EA5C06"/>
    <w:rsid w:val="00EA5C9D"/>
    <w:rsid w:val="00EA6464"/>
    <w:rsid w:val="00EA7061"/>
    <w:rsid w:val="00EA7C5B"/>
    <w:rsid w:val="00EB13FE"/>
    <w:rsid w:val="00EB254B"/>
    <w:rsid w:val="00EB39F1"/>
    <w:rsid w:val="00EB460F"/>
    <w:rsid w:val="00EB472E"/>
    <w:rsid w:val="00EB5434"/>
    <w:rsid w:val="00EB5D6C"/>
    <w:rsid w:val="00EB64E6"/>
    <w:rsid w:val="00EB6A9B"/>
    <w:rsid w:val="00EB76D6"/>
    <w:rsid w:val="00EC0178"/>
    <w:rsid w:val="00EC049F"/>
    <w:rsid w:val="00EC11E3"/>
    <w:rsid w:val="00EC1C8A"/>
    <w:rsid w:val="00ED024E"/>
    <w:rsid w:val="00ED194C"/>
    <w:rsid w:val="00ED2C26"/>
    <w:rsid w:val="00ED352C"/>
    <w:rsid w:val="00ED3898"/>
    <w:rsid w:val="00ED38BF"/>
    <w:rsid w:val="00ED5DB2"/>
    <w:rsid w:val="00ED5EC2"/>
    <w:rsid w:val="00EE0DF2"/>
    <w:rsid w:val="00EE1124"/>
    <w:rsid w:val="00EE21DD"/>
    <w:rsid w:val="00EE41DB"/>
    <w:rsid w:val="00EE56DF"/>
    <w:rsid w:val="00EE587F"/>
    <w:rsid w:val="00EE5ED7"/>
    <w:rsid w:val="00EE6010"/>
    <w:rsid w:val="00EE6266"/>
    <w:rsid w:val="00EE64CC"/>
    <w:rsid w:val="00EE6D6B"/>
    <w:rsid w:val="00EF04E7"/>
    <w:rsid w:val="00EF1A24"/>
    <w:rsid w:val="00EF1BF1"/>
    <w:rsid w:val="00EF5716"/>
    <w:rsid w:val="00EF6B5E"/>
    <w:rsid w:val="00EF6EE7"/>
    <w:rsid w:val="00EF71E1"/>
    <w:rsid w:val="00F003B9"/>
    <w:rsid w:val="00F0077E"/>
    <w:rsid w:val="00F01BD5"/>
    <w:rsid w:val="00F024E3"/>
    <w:rsid w:val="00F0264E"/>
    <w:rsid w:val="00F02815"/>
    <w:rsid w:val="00F041B2"/>
    <w:rsid w:val="00F0505F"/>
    <w:rsid w:val="00F05EAF"/>
    <w:rsid w:val="00F06D7C"/>
    <w:rsid w:val="00F1049D"/>
    <w:rsid w:val="00F11921"/>
    <w:rsid w:val="00F119F0"/>
    <w:rsid w:val="00F147FD"/>
    <w:rsid w:val="00F15FC1"/>
    <w:rsid w:val="00F166CE"/>
    <w:rsid w:val="00F17762"/>
    <w:rsid w:val="00F23C5A"/>
    <w:rsid w:val="00F23E91"/>
    <w:rsid w:val="00F261BC"/>
    <w:rsid w:val="00F277D4"/>
    <w:rsid w:val="00F30A70"/>
    <w:rsid w:val="00F31104"/>
    <w:rsid w:val="00F325BC"/>
    <w:rsid w:val="00F338A9"/>
    <w:rsid w:val="00F33E65"/>
    <w:rsid w:val="00F34E93"/>
    <w:rsid w:val="00F42CBC"/>
    <w:rsid w:val="00F43CC5"/>
    <w:rsid w:val="00F43F5A"/>
    <w:rsid w:val="00F44511"/>
    <w:rsid w:val="00F4474B"/>
    <w:rsid w:val="00F5097D"/>
    <w:rsid w:val="00F513E5"/>
    <w:rsid w:val="00F5219B"/>
    <w:rsid w:val="00F527A6"/>
    <w:rsid w:val="00F52C70"/>
    <w:rsid w:val="00F53138"/>
    <w:rsid w:val="00F534C0"/>
    <w:rsid w:val="00F54930"/>
    <w:rsid w:val="00F5523B"/>
    <w:rsid w:val="00F623B6"/>
    <w:rsid w:val="00F6280F"/>
    <w:rsid w:val="00F62819"/>
    <w:rsid w:val="00F6394B"/>
    <w:rsid w:val="00F642FE"/>
    <w:rsid w:val="00F64C9D"/>
    <w:rsid w:val="00F6653B"/>
    <w:rsid w:val="00F708D9"/>
    <w:rsid w:val="00F70F76"/>
    <w:rsid w:val="00F720FB"/>
    <w:rsid w:val="00F72100"/>
    <w:rsid w:val="00F721C2"/>
    <w:rsid w:val="00F72AB7"/>
    <w:rsid w:val="00F80602"/>
    <w:rsid w:val="00F81376"/>
    <w:rsid w:val="00F814DF"/>
    <w:rsid w:val="00F81E48"/>
    <w:rsid w:val="00F84C20"/>
    <w:rsid w:val="00F87614"/>
    <w:rsid w:val="00F92112"/>
    <w:rsid w:val="00F9230A"/>
    <w:rsid w:val="00F92366"/>
    <w:rsid w:val="00F92753"/>
    <w:rsid w:val="00F9598E"/>
    <w:rsid w:val="00F96B32"/>
    <w:rsid w:val="00F9735A"/>
    <w:rsid w:val="00F97A9F"/>
    <w:rsid w:val="00FA03F2"/>
    <w:rsid w:val="00FA42F4"/>
    <w:rsid w:val="00FA4EBA"/>
    <w:rsid w:val="00FA6502"/>
    <w:rsid w:val="00FA7B72"/>
    <w:rsid w:val="00FB0730"/>
    <w:rsid w:val="00FB0BC1"/>
    <w:rsid w:val="00FB14A0"/>
    <w:rsid w:val="00FB2E85"/>
    <w:rsid w:val="00FB34A3"/>
    <w:rsid w:val="00FB4E4A"/>
    <w:rsid w:val="00FB6D3A"/>
    <w:rsid w:val="00FB760E"/>
    <w:rsid w:val="00FB7924"/>
    <w:rsid w:val="00FB7F2C"/>
    <w:rsid w:val="00FB7F35"/>
    <w:rsid w:val="00FC11D6"/>
    <w:rsid w:val="00FC290B"/>
    <w:rsid w:val="00FC2C0F"/>
    <w:rsid w:val="00FC4623"/>
    <w:rsid w:val="00FC48DD"/>
    <w:rsid w:val="00FC569E"/>
    <w:rsid w:val="00FC67E5"/>
    <w:rsid w:val="00FC6BFF"/>
    <w:rsid w:val="00FC733B"/>
    <w:rsid w:val="00FC7B5F"/>
    <w:rsid w:val="00FD04EB"/>
    <w:rsid w:val="00FD1036"/>
    <w:rsid w:val="00FD1062"/>
    <w:rsid w:val="00FD131D"/>
    <w:rsid w:val="00FD3049"/>
    <w:rsid w:val="00FD5177"/>
    <w:rsid w:val="00FD5398"/>
    <w:rsid w:val="00FD6A78"/>
    <w:rsid w:val="00FE35E1"/>
    <w:rsid w:val="00FE3AFC"/>
    <w:rsid w:val="00FE6D86"/>
    <w:rsid w:val="00FE7FB0"/>
    <w:rsid w:val="00FF0DA7"/>
    <w:rsid w:val="00FF2E7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ADB,single space,f,Texto nota pie Car,ft Car,ft Car Car,Texto nota pie2,ft1,ft Car Car Car1,Texto nota pie Car2,ft Car Car2,ft Car Car Car,fn,FOOTNOTES,ALTS FOOTNOTE,Char,Footnote Text Char1,Footnote Text Char Char,Char Char Char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t,Superscript 6 Point,Char Char,Carattere Char1,Carattere Char Char Carattere Carattere Char Char,ftref,fr,Footnote Reference Number,Footnote Reference1,(NECG) Footnote Reference,BVI fnr,Ref,de nota al pie,BVI fnr Car Car,FO"/>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s,List Paragraph1,Akapit z listą BS,WB Para,Lapis Bulleted List,Dot pt,F5 List Paragraph,No Spacing1,List Paragraph Char Char Char,Indicator Text,Numbered Para 1,Bullet 1,List Paragraph12,Bullet Point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ADB Char,single space Char,f Char,Texto nota pie Car Char,ft Car Char,ft Car Car Char,Texto nota pie2 Char,ft1 Char,ft Car Car Car1 Char,Texto nota pie Car2 Char,ft Car Car2 Char,ft Car Car Car Char,fn Char,FOOTNOTES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Bullets Char,List Paragraph1 Char,Akapit z listą BS Char,WB Para Char,Lapis Bulleted List Char,Dot pt Char,F5 List Paragraph Char,No Spacing1 Char,List Paragraph Char Char Char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qFormat/>
    <w:rsid w:val="00A84659"/>
    <w:pPr>
      <w:spacing w:before="100" w:after="200" w:line="240" w:lineRule="exact"/>
    </w:pPr>
    <w:rPr>
      <w:vertAlign w:val="superscript"/>
      <w:lang w:val="en-GB" w:eastAsia="en-GB"/>
    </w:rPr>
  </w:style>
  <w:style w:type="character" w:customStyle="1" w:styleId="normaltextrun">
    <w:name w:val="normaltextrun"/>
    <w:basedOn w:val="DefaultParagraphFont"/>
    <w:rsid w:val="00A84659"/>
  </w:style>
  <w:style w:type="character" w:customStyle="1" w:styleId="EmailStyle24">
    <w:name w:val="EmailStyle24"/>
    <w:basedOn w:val="DefaultParagraphFont"/>
    <w:semiHidden/>
    <w:rsid w:val="00A84659"/>
    <w:rPr>
      <w:rFonts w:ascii="Arial" w:hAnsi="Arial" w:cs="Arial" w:hint="default"/>
      <w:color w:val="000000"/>
    </w:rPr>
  </w:style>
  <w:style w:type="paragraph" w:customStyle="1" w:styleId="Pasus1">
    <w:name w:val="Pasus1"/>
    <w:basedOn w:val="Normal"/>
    <w:qFormat/>
    <w:rsid w:val="005956DC"/>
    <w:pPr>
      <w:spacing w:before="120" w:after="120"/>
    </w:pPr>
    <w:rPr>
      <w:rFonts w:ascii="Candara" w:hAnsi="Candara"/>
      <w:sz w:val="22"/>
      <w:szCs w:val="22"/>
    </w:rPr>
  </w:style>
  <w:style w:type="paragraph" w:styleId="EndnoteText">
    <w:name w:val="endnote text"/>
    <w:basedOn w:val="Normal"/>
    <w:link w:val="EndnoteTextChar"/>
    <w:semiHidden/>
    <w:unhideWhenUsed/>
    <w:rsid w:val="00AF72A0"/>
  </w:style>
  <w:style w:type="character" w:customStyle="1" w:styleId="EndnoteTextChar">
    <w:name w:val="Endnote Text Char"/>
    <w:basedOn w:val="DefaultParagraphFont"/>
    <w:link w:val="EndnoteText"/>
    <w:semiHidden/>
    <w:rsid w:val="00AF72A0"/>
    <w:rPr>
      <w:lang w:val="en-US" w:eastAsia="en-US"/>
    </w:rPr>
  </w:style>
  <w:style w:type="character" w:styleId="EndnoteReference">
    <w:name w:val="endnote reference"/>
    <w:basedOn w:val="DefaultParagraphFont"/>
    <w:semiHidden/>
    <w:unhideWhenUsed/>
    <w:rsid w:val="00AF72A0"/>
    <w:rPr>
      <w:vertAlign w:val="superscript"/>
    </w:rPr>
  </w:style>
  <w:style w:type="character" w:customStyle="1" w:styleId="Heading4Char">
    <w:name w:val="Heading 4 Char"/>
    <w:basedOn w:val="DefaultParagraphFont"/>
    <w:link w:val="Heading4"/>
    <w:rsid w:val="00661736"/>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1276847">
      <w:bodyDiv w:val="1"/>
      <w:marLeft w:val="0"/>
      <w:marRight w:val="0"/>
      <w:marTop w:val="0"/>
      <w:marBottom w:val="0"/>
      <w:divBdr>
        <w:top w:val="none" w:sz="0" w:space="0" w:color="auto"/>
        <w:left w:val="none" w:sz="0" w:space="0" w:color="auto"/>
        <w:bottom w:val="none" w:sz="0" w:space="0" w:color="auto"/>
        <w:right w:val="none" w:sz="0" w:space="0" w:color="auto"/>
      </w:divBdr>
    </w:div>
    <w:div w:id="790056187">
      <w:bodyDiv w:val="1"/>
      <w:marLeft w:val="0"/>
      <w:marRight w:val="0"/>
      <w:marTop w:val="0"/>
      <w:marBottom w:val="0"/>
      <w:divBdr>
        <w:top w:val="none" w:sz="0" w:space="0" w:color="auto"/>
        <w:left w:val="none" w:sz="0" w:space="0" w:color="auto"/>
        <w:bottom w:val="none" w:sz="0" w:space="0" w:color="auto"/>
        <w:right w:val="none" w:sz="0" w:space="0" w:color="auto"/>
      </w:divBdr>
    </w:div>
    <w:div w:id="803158779">
      <w:bodyDiv w:val="1"/>
      <w:marLeft w:val="0"/>
      <w:marRight w:val="0"/>
      <w:marTop w:val="0"/>
      <w:marBottom w:val="0"/>
      <w:divBdr>
        <w:top w:val="none" w:sz="0" w:space="0" w:color="auto"/>
        <w:left w:val="none" w:sz="0" w:space="0" w:color="auto"/>
        <w:bottom w:val="none" w:sz="0" w:space="0" w:color="auto"/>
        <w:right w:val="none" w:sz="0" w:space="0" w:color="auto"/>
      </w:divBdr>
    </w:div>
    <w:div w:id="89936808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06686643">
      <w:bodyDiv w:val="1"/>
      <w:marLeft w:val="0"/>
      <w:marRight w:val="0"/>
      <w:marTop w:val="0"/>
      <w:marBottom w:val="0"/>
      <w:divBdr>
        <w:top w:val="none" w:sz="0" w:space="0" w:color="auto"/>
        <w:left w:val="none" w:sz="0" w:space="0" w:color="auto"/>
        <w:bottom w:val="none" w:sz="0" w:space="0" w:color="auto"/>
        <w:right w:val="none" w:sz="0" w:space="0" w:color="auto"/>
      </w:divBdr>
    </w:div>
    <w:div w:id="1517117789">
      <w:bodyDiv w:val="1"/>
      <w:marLeft w:val="0"/>
      <w:marRight w:val="0"/>
      <w:marTop w:val="0"/>
      <w:marBottom w:val="0"/>
      <w:divBdr>
        <w:top w:val="none" w:sz="0" w:space="0" w:color="auto"/>
        <w:left w:val="none" w:sz="0" w:space="0" w:color="auto"/>
        <w:bottom w:val="none" w:sz="0" w:space="0" w:color="auto"/>
        <w:right w:val="none" w:sz="0" w:space="0" w:color="auto"/>
      </w:divBdr>
    </w:div>
    <w:div w:id="1632010175">
      <w:bodyDiv w:val="1"/>
      <w:marLeft w:val="0"/>
      <w:marRight w:val="0"/>
      <w:marTop w:val="0"/>
      <w:marBottom w:val="0"/>
      <w:divBdr>
        <w:top w:val="none" w:sz="0" w:space="0" w:color="auto"/>
        <w:left w:val="none" w:sz="0" w:space="0" w:color="auto"/>
        <w:bottom w:val="none" w:sz="0" w:space="0" w:color="auto"/>
        <w:right w:val="none" w:sz="0" w:space="0" w:color="auto"/>
      </w:divBdr>
    </w:div>
    <w:div w:id="2044013264">
      <w:bodyDiv w:val="1"/>
      <w:marLeft w:val="0"/>
      <w:marRight w:val="0"/>
      <w:marTop w:val="0"/>
      <w:marBottom w:val="0"/>
      <w:divBdr>
        <w:top w:val="none" w:sz="0" w:space="0" w:color="auto"/>
        <w:left w:val="none" w:sz="0" w:space="0" w:color="auto"/>
        <w:bottom w:val="none" w:sz="0" w:space="0" w:color="auto"/>
        <w:right w:val="none" w:sz="0" w:space="0" w:color="auto"/>
      </w:divBdr>
    </w:div>
    <w:div w:id="20455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info.undp.org/sites/bpps/SES_Toolkit/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theglobaleconomy.com/Kyrgyzstan/wb_government_effectiveness/" TargetMode="Externa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kyrgyzstan.un.org/sites/default/files/2019-09/MAPS%20Report_ENG_Final_15May2019.pdf" TargetMode="External"/><Relationship Id="rId2" Type="http://schemas.openxmlformats.org/officeDocument/2006/relationships/hyperlink" Target="https://www.adb.org/publications/climate-risk-country-profile-kyrgyz-republic" TargetMode="External"/><Relationship Id="rId1" Type="http://schemas.openxmlformats.org/officeDocument/2006/relationships/hyperlink" Target="https://www.kg.undp.org/content/kyrgyzstan/en/home/library/poverty/undp-iom-migrant-assessmen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B1F745F8340141AA7D0922076B946E" ma:contentTypeVersion="6" ma:contentTypeDescription="Create a new document." ma:contentTypeScope="" ma:versionID="949b3a7fb1348a9be374252c93123d9b">
  <xsd:schema xmlns:xsd="http://www.w3.org/2001/XMLSchema" xmlns:xs="http://www.w3.org/2001/XMLSchema" xmlns:p="http://schemas.microsoft.com/office/2006/metadata/properties" xmlns:ns2="0892db1d-4763-4693-9338-66f47f5a4b95" xmlns:ns3="a1254c5d-eabd-425f-9228-f6d09e928d2c" targetNamespace="http://schemas.microsoft.com/office/2006/metadata/properties" ma:root="true" ma:fieldsID="9aae93699630eabe1215df740f29cc78" ns2:_="" ns3:_="">
    <xsd:import namespace="0892db1d-4763-4693-9338-66f47f5a4b95"/>
    <xsd:import namespace="a1254c5d-eabd-425f-9228-f6d09e928d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2db1d-4763-4693-9338-66f47f5a4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54c5d-eabd-425f-9228-f6d09e928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451CC840-DF58-4D0A-ACDD-4FE3C31B12D0}">
  <ds:schemaRefs>
    <ds:schemaRef ds:uri="http://schemas.openxmlformats.org/officeDocument/2006/bibliography"/>
  </ds:schemaRefs>
</ds:datastoreItem>
</file>

<file path=customXml/itemProps4.xml><?xml version="1.0" encoding="utf-8"?>
<ds:datastoreItem xmlns:ds="http://schemas.openxmlformats.org/officeDocument/2006/customXml" ds:itemID="{F2CABBD9-320F-472B-8CE7-7FF11704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2db1d-4763-4693-9338-66f47f5a4b95"/>
    <ds:schemaRef ds:uri="a1254c5d-eabd-425f-9228-f6d09e928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6529</Words>
  <Characters>37220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43662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2022-04-08T14:58:00Z</cp:lastPrinted>
  <dcterms:created xsi:type="dcterms:W3CDTF">2022-05-24T13:37:00Z</dcterms:created>
  <dcterms:modified xsi:type="dcterms:W3CDTF">2022-06-10T16:11:00Z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0x010100D3B1F745F8340141AA7D0922076B946E</vt:lpwstr>
  </property>
  <property fmtid="{D5CDD505-2E9C-101B-9397-08002B2CF9AE}" pid="3" name="_dlc_DocIdItemGuid">
    <vt:lpwstr>98e94454-2958-4f8e-953b-d0345c84921c</vt:lpwstr>
  </property>
</Properties>
</file>