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5BE5" w14:textId="259ADC97" w:rsidR="005C6168" w:rsidRPr="00517955" w:rsidRDefault="00185788" w:rsidP="00806281">
      <w:pPr>
        <w:pStyle w:val="Heading3"/>
        <w:jc w:val="left"/>
        <w:rPr>
          <w:rFonts w:ascii="Calibri" w:hAnsi="Calibri"/>
        </w:rPr>
      </w:pPr>
      <w:bookmarkStart w:id="0" w:name="_GoBack"/>
      <w:bookmarkEnd w:id="0"/>
      <w:r w:rsidRPr="00185788">
        <w:rPr>
          <w:rFonts w:ascii="Calibri" w:hAnsi="Calibri"/>
          <w:b/>
          <w:bCs w:val="0"/>
        </w:rPr>
        <w:t>Kingdom of Bahrain</w:t>
      </w:r>
    </w:p>
    <w:p w14:paraId="390809FE" w14:textId="59EABF81" w:rsidR="005C6168" w:rsidRPr="00517955" w:rsidRDefault="00BC38E0" w:rsidP="00B378FF">
      <w:pPr>
        <w:pStyle w:val="Heading3"/>
        <w:jc w:val="left"/>
        <w:rPr>
          <w:rFonts w:ascii="Calibri" w:hAnsi="Calibri"/>
          <w:b/>
        </w:rPr>
      </w:pPr>
      <w:r w:rsidRPr="00517955">
        <w:rPr>
          <w:rFonts w:ascii="Calibri" w:hAnsi="Calibri"/>
          <w:b/>
          <w:bCs w:val="0"/>
        </w:rPr>
        <w:t>COUNTRY PROGRAMME</w:t>
      </w:r>
      <w:r w:rsidR="00B32ADA">
        <w:rPr>
          <w:rFonts w:ascii="Calibri" w:hAnsi="Calibri"/>
          <w:b/>
          <w:bCs w:val="0"/>
        </w:rPr>
        <w:t xml:space="preserve"> PERFORMANCE SUMMARY</w:t>
      </w:r>
      <w:r w:rsidR="001F3524">
        <w:rPr>
          <w:rStyle w:val="FootnoteReference"/>
          <w:rFonts w:ascii="Calibri" w:hAnsi="Calibri"/>
          <w:b/>
          <w:bCs w:val="0"/>
        </w:rPr>
        <w:footnoteReference w:id="1"/>
      </w:r>
    </w:p>
    <w:p w14:paraId="047439AE" w14:textId="77777777" w:rsidR="005C6168" w:rsidRPr="00517955" w:rsidRDefault="00185788" w:rsidP="00185788">
      <w:pPr>
        <w:pStyle w:val="Heading3"/>
        <w:jc w:val="left"/>
        <w:rPr>
          <w:rFonts w:ascii="Calibri" w:hAnsi="Calibri"/>
        </w:rPr>
      </w:pPr>
      <w:r>
        <w:rPr>
          <w:rFonts w:ascii="Calibri" w:hAnsi="Calibri"/>
        </w:rPr>
        <w:t xml:space="preserve">Reporting period: </w:t>
      </w:r>
      <w:r>
        <w:rPr>
          <w:rFonts w:ascii="Calibri" w:hAnsi="Calibri"/>
        </w:rPr>
        <w:tab/>
      </w:r>
      <w:r w:rsidRPr="00185788">
        <w:rPr>
          <w:rFonts w:ascii="Calibri" w:hAnsi="Calibri"/>
          <w:b/>
          <w:bCs w:val="0"/>
        </w:rPr>
        <w:t>2012-2016</w:t>
      </w:r>
    </w:p>
    <w:p w14:paraId="79D58AF8" w14:textId="77777777" w:rsidR="005C6168" w:rsidRPr="00517955" w:rsidRDefault="005C6168">
      <w:pPr>
        <w:pStyle w:val="Heading3"/>
        <w:rPr>
          <w:rFonts w:ascii="Calibri" w:hAnsi="Calibri"/>
        </w:rPr>
      </w:pPr>
    </w:p>
    <w:p w14:paraId="1041463B" w14:textId="77777777" w:rsidR="005C6168" w:rsidRPr="00806281" w:rsidRDefault="005C6168">
      <w:pPr>
        <w:rPr>
          <w:rFonts w:ascii="Calibri" w:hAnsi="Calibri"/>
          <w:sz w:val="16"/>
          <w:szCs w:val="12"/>
        </w:rPr>
      </w:pPr>
    </w:p>
    <w:p w14:paraId="332FFBE8" w14:textId="77777777" w:rsidR="005C6168" w:rsidRPr="00517955" w:rsidRDefault="005C6168" w:rsidP="00D15BB1">
      <w:pPr>
        <w:pStyle w:val="Heading3"/>
        <w:rPr>
          <w:rFonts w:ascii="Calibri" w:hAnsi="Calibri"/>
          <w:b/>
          <w:bCs w:val="0"/>
        </w:rPr>
      </w:pPr>
      <w:r w:rsidRPr="00517955">
        <w:rPr>
          <w:rFonts w:ascii="Calibri" w:hAnsi="Calibri"/>
          <w:b/>
          <w:bCs w:val="0"/>
        </w:rPr>
        <w:t xml:space="preserve">I.  </w:t>
      </w:r>
      <w:r w:rsidR="0064746F">
        <w:rPr>
          <w:rFonts w:ascii="Calibri" w:hAnsi="Calibri"/>
          <w:b/>
          <w:bCs w:val="0"/>
        </w:rPr>
        <w:t>EXECUTIVE SUMMARY</w:t>
      </w:r>
      <w:r w:rsidR="00760E32" w:rsidRPr="00517955">
        <w:rPr>
          <w:rFonts w:ascii="Calibri" w:hAnsi="Calibri"/>
          <w:b/>
          <w:bCs w:val="0"/>
        </w:rPr>
        <w:t xml:space="preserve"> </w:t>
      </w:r>
    </w:p>
    <w:p w14:paraId="52DFCF24" w14:textId="499C8C1A" w:rsidR="00A25E54" w:rsidRPr="00806281" w:rsidRDefault="00A25E54" w:rsidP="00363EC5">
      <w:pPr>
        <w:pStyle w:val="BodyText2"/>
        <w:rPr>
          <w:rFonts w:ascii="Calibri" w:hAnsi="Calibri"/>
          <w:color w:val="000000"/>
          <w:sz w:val="16"/>
          <w:szCs w:val="12"/>
        </w:rPr>
      </w:pPr>
    </w:p>
    <w:p w14:paraId="2D89973F" w14:textId="0EAC7B58" w:rsidR="008F76E6" w:rsidRPr="00236672" w:rsidRDefault="00A25E54" w:rsidP="008F76E6">
      <w:pPr>
        <w:pStyle w:val="BodyText2"/>
        <w:jc w:val="both"/>
        <w:rPr>
          <w:rFonts w:ascii="Calibri" w:eastAsia="Calibri" w:hAnsi="Calibri"/>
          <w:sz w:val="22"/>
          <w:szCs w:val="22"/>
          <w:lang w:val="en-CA"/>
        </w:rPr>
      </w:pPr>
      <w:r w:rsidRPr="00236672">
        <w:rPr>
          <w:rFonts w:ascii="Calibri" w:eastAsia="Calibri" w:hAnsi="Calibri"/>
          <w:sz w:val="22"/>
          <w:szCs w:val="22"/>
          <w:lang w:val="en-CA"/>
        </w:rPr>
        <w:t>Based on the recent evaluation conducted on the CPD, it</w:t>
      </w:r>
      <w:r w:rsidR="00D15BB1" w:rsidRPr="00236672">
        <w:rPr>
          <w:rFonts w:ascii="Calibri" w:eastAsia="Calibri" w:hAnsi="Calibri"/>
          <w:sz w:val="22"/>
          <w:szCs w:val="22"/>
          <w:lang w:val="en-CA"/>
        </w:rPr>
        <w:t xml:space="preserve"> was concluded that the project</w:t>
      </w:r>
      <w:r w:rsidRPr="00236672">
        <w:rPr>
          <w:rFonts w:ascii="Calibri" w:eastAsia="Calibri" w:hAnsi="Calibri"/>
          <w:sz w:val="22"/>
          <w:szCs w:val="22"/>
          <w:lang w:val="en-CA"/>
        </w:rPr>
        <w:t xml:space="preserve"> </w:t>
      </w:r>
      <w:r w:rsidR="00967681" w:rsidRPr="00236672">
        <w:rPr>
          <w:rFonts w:ascii="Calibri" w:eastAsia="Calibri" w:hAnsi="Calibri"/>
          <w:sz w:val="22"/>
          <w:szCs w:val="22"/>
          <w:lang w:val="en-CA"/>
        </w:rPr>
        <w:t>outputs</w:t>
      </w:r>
      <w:r w:rsidRPr="00236672">
        <w:rPr>
          <w:rFonts w:ascii="Calibri" w:eastAsia="Calibri" w:hAnsi="Calibri"/>
          <w:sz w:val="22"/>
          <w:szCs w:val="22"/>
          <w:lang w:val="en-CA"/>
        </w:rPr>
        <w:t xml:space="preserve"> contributed </w:t>
      </w:r>
      <w:r w:rsidR="00967681" w:rsidRPr="00236672">
        <w:rPr>
          <w:rFonts w:ascii="Calibri" w:eastAsia="Calibri" w:hAnsi="Calibri"/>
          <w:sz w:val="22"/>
          <w:szCs w:val="22"/>
          <w:lang w:val="en-CA"/>
        </w:rPr>
        <w:t>reasonably</w:t>
      </w:r>
      <w:r w:rsidRPr="00236672">
        <w:rPr>
          <w:rFonts w:ascii="Calibri" w:eastAsia="Calibri" w:hAnsi="Calibri"/>
          <w:sz w:val="22"/>
          <w:szCs w:val="22"/>
          <w:lang w:val="en-CA"/>
        </w:rPr>
        <w:t xml:space="preserve"> to the CPD Outcomes. </w:t>
      </w:r>
      <w:r w:rsidR="00F93467" w:rsidRPr="00236672">
        <w:rPr>
          <w:rFonts w:ascii="Calibri" w:eastAsia="Calibri" w:hAnsi="Calibri"/>
          <w:sz w:val="22"/>
          <w:szCs w:val="22"/>
          <w:lang w:val="en-CA"/>
        </w:rPr>
        <w:t xml:space="preserve">It </w:t>
      </w:r>
      <w:r w:rsidR="00F93467" w:rsidRPr="00236672">
        <w:rPr>
          <w:rFonts w:ascii="Calibri" w:eastAsia="Calibri" w:hAnsi="Calibri"/>
          <w:sz w:val="22"/>
          <w:szCs w:val="22"/>
        </w:rPr>
        <w:t xml:space="preserve">concluded that the CPD </w:t>
      </w:r>
      <w:r w:rsidR="001F1062">
        <w:rPr>
          <w:rFonts w:ascii="Calibri" w:eastAsia="Calibri" w:hAnsi="Calibri"/>
          <w:sz w:val="22"/>
          <w:szCs w:val="22"/>
        </w:rPr>
        <w:t>is g</w:t>
      </w:r>
      <w:r w:rsidR="00F93467" w:rsidRPr="00236672">
        <w:rPr>
          <w:rFonts w:ascii="Calibri" w:eastAsia="Calibri" w:hAnsi="Calibri"/>
          <w:sz w:val="22"/>
          <w:szCs w:val="22"/>
        </w:rPr>
        <w:t xml:space="preserve">rounded in national priorities and goals and aligned with the country’s international commitments. It was also largely owned by the national counterparts who took advantage of the NIM. </w:t>
      </w:r>
      <w:r w:rsidR="000A34CF" w:rsidRPr="00236672">
        <w:rPr>
          <w:rFonts w:ascii="Calibri" w:eastAsia="Calibri" w:hAnsi="Calibri"/>
          <w:sz w:val="22"/>
          <w:szCs w:val="22"/>
        </w:rPr>
        <w:t xml:space="preserve">Furthermore, </w:t>
      </w:r>
      <w:r w:rsidR="00F93467" w:rsidRPr="00236672">
        <w:rPr>
          <w:rFonts w:ascii="Calibri" w:eastAsia="Calibri" w:hAnsi="Calibri"/>
          <w:sz w:val="22"/>
          <w:szCs w:val="22"/>
        </w:rPr>
        <w:t>UNDP’s programme contributed to the development of institutional capacity of its partners in key areas such as formulating relevant national policies and strategies, establishing necessary institutional infrastructure, building skills and knowledge of partners, and strengthening national coordination in the relevant sectors.</w:t>
      </w:r>
      <w:r w:rsidR="000A34CF" w:rsidRPr="00236672">
        <w:rPr>
          <w:rFonts w:ascii="Calibri" w:eastAsia="Calibri" w:hAnsi="Calibri"/>
          <w:sz w:val="22"/>
          <w:szCs w:val="22"/>
        </w:rPr>
        <w:t xml:space="preserve"> </w:t>
      </w:r>
      <w:r w:rsidR="00F93467" w:rsidRPr="00236672">
        <w:rPr>
          <w:rFonts w:ascii="Calibri" w:eastAsia="Calibri" w:hAnsi="Calibri"/>
          <w:sz w:val="22"/>
          <w:szCs w:val="22"/>
        </w:rPr>
        <w:t xml:space="preserve"> </w:t>
      </w:r>
      <w:r w:rsidRPr="00236672">
        <w:rPr>
          <w:rFonts w:ascii="Calibri" w:eastAsia="Calibri" w:hAnsi="Calibri"/>
          <w:sz w:val="22"/>
          <w:szCs w:val="22"/>
          <w:lang w:val="en-CA"/>
        </w:rPr>
        <w:t xml:space="preserve">As such, the following summarizes the </w:t>
      </w:r>
      <w:r w:rsidR="00D15BB1" w:rsidRPr="00236672">
        <w:rPr>
          <w:rFonts w:ascii="Calibri" w:eastAsia="Calibri" w:hAnsi="Calibri"/>
          <w:sz w:val="22"/>
          <w:szCs w:val="22"/>
          <w:lang w:val="en-CA"/>
        </w:rPr>
        <w:t xml:space="preserve">assessment </w:t>
      </w:r>
      <w:r w:rsidRPr="00236672">
        <w:rPr>
          <w:rFonts w:ascii="Calibri" w:eastAsia="Calibri" w:hAnsi="Calibri"/>
          <w:sz w:val="22"/>
          <w:szCs w:val="22"/>
          <w:lang w:val="en-CA"/>
        </w:rPr>
        <w:t>of the progress:</w:t>
      </w:r>
    </w:p>
    <w:p w14:paraId="5AA28471" w14:textId="77777777" w:rsidR="008008DB" w:rsidRPr="00236672" w:rsidRDefault="008008DB" w:rsidP="00806281">
      <w:pPr>
        <w:pStyle w:val="BodyText2"/>
        <w:jc w:val="both"/>
        <w:rPr>
          <w:rFonts w:ascii="Calibri" w:hAnsi="Calibri"/>
          <w:color w:val="000000"/>
          <w:sz w:val="22"/>
          <w:szCs w:val="22"/>
        </w:rPr>
      </w:pPr>
    </w:p>
    <w:p w14:paraId="5FF53CB7" w14:textId="4A456A90" w:rsidR="00A25E54" w:rsidRPr="0058585C" w:rsidRDefault="00A25E54" w:rsidP="00806281">
      <w:pPr>
        <w:widowControl/>
        <w:numPr>
          <w:ilvl w:val="0"/>
          <w:numId w:val="18"/>
        </w:numPr>
        <w:spacing w:line="259" w:lineRule="auto"/>
        <w:ind w:left="360"/>
        <w:contextualSpacing/>
        <w:jc w:val="lowKashida"/>
        <w:rPr>
          <w:rFonts w:ascii="Calibri" w:eastAsia="Calibri" w:hAnsi="Calibri"/>
          <w:sz w:val="22"/>
          <w:szCs w:val="22"/>
          <w:lang w:val="en-CA"/>
        </w:rPr>
      </w:pPr>
      <w:r w:rsidRPr="00236672">
        <w:rPr>
          <w:rFonts w:ascii="Calibri" w:eastAsia="Calibri" w:hAnsi="Calibri"/>
          <w:b/>
          <w:i/>
          <w:sz w:val="22"/>
          <w:szCs w:val="22"/>
          <w:lang w:val="en-CA"/>
        </w:rPr>
        <w:t>Strengthened governance institutions and functions, including empowerment of women, youth and other vulnerable groups.</w:t>
      </w:r>
      <w:r w:rsidRPr="00236672">
        <w:rPr>
          <w:rFonts w:ascii="Calibri" w:eastAsia="Calibri" w:hAnsi="Calibri"/>
          <w:sz w:val="22"/>
          <w:szCs w:val="22"/>
          <w:lang w:val="en-CA"/>
        </w:rPr>
        <w:t xml:space="preserve"> UNDP supported the Parliament in strengthening the capacity of its Secretariat</w:t>
      </w:r>
      <w:r w:rsidR="00D15BB1" w:rsidRPr="00236672">
        <w:rPr>
          <w:rFonts w:ascii="Calibri" w:eastAsia="Calibri" w:hAnsi="Calibri"/>
          <w:sz w:val="22"/>
          <w:szCs w:val="22"/>
          <w:lang w:val="en-CA"/>
        </w:rPr>
        <w:t xml:space="preserve"> &amp; MPs</w:t>
      </w:r>
      <w:r w:rsidR="00BE0E70">
        <w:rPr>
          <w:rFonts w:ascii="Calibri" w:eastAsia="Calibri" w:hAnsi="Calibri"/>
          <w:sz w:val="22"/>
          <w:szCs w:val="22"/>
          <w:lang w:val="en-CA"/>
        </w:rPr>
        <w:t>.</w:t>
      </w:r>
      <w:r w:rsidRPr="00236672">
        <w:rPr>
          <w:rFonts w:ascii="Calibri" w:eastAsia="Calibri" w:hAnsi="Calibri"/>
          <w:sz w:val="22"/>
          <w:szCs w:val="22"/>
          <w:lang w:val="en-CA"/>
        </w:rPr>
        <w:t xml:space="preserve"> </w:t>
      </w:r>
      <w:r w:rsidR="00167DC5">
        <w:rPr>
          <w:rFonts w:ascii="Calibri" w:eastAsia="Calibri" w:hAnsi="Calibri"/>
          <w:sz w:val="22"/>
          <w:szCs w:val="22"/>
          <w:lang w:val="en-CA"/>
        </w:rPr>
        <w:t xml:space="preserve">The CP supported the various committees including the Women &amp;Child Committee in the Nuwab. </w:t>
      </w:r>
      <w:r w:rsidR="00167DC5" w:rsidRPr="00236672">
        <w:rPr>
          <w:rFonts w:ascii="Calibri" w:eastAsia="Calibri" w:hAnsi="Calibri"/>
          <w:sz w:val="22"/>
          <w:szCs w:val="22"/>
          <w:lang w:val="en-CA"/>
        </w:rPr>
        <w:t>The</w:t>
      </w:r>
      <w:r w:rsidRPr="00236672">
        <w:rPr>
          <w:rFonts w:ascii="Calibri" w:eastAsia="Calibri" w:hAnsi="Calibri"/>
          <w:sz w:val="22"/>
          <w:szCs w:val="22"/>
          <w:lang w:val="en-CA"/>
        </w:rPr>
        <w:t xml:space="preserve"> Bahrain Institute of Political Development </w:t>
      </w:r>
      <w:r w:rsidR="00711A76" w:rsidRPr="00236672">
        <w:rPr>
          <w:rFonts w:ascii="Calibri" w:eastAsia="Calibri" w:hAnsi="Calibri"/>
          <w:sz w:val="22"/>
          <w:szCs w:val="22"/>
          <w:lang w:val="en-CA"/>
        </w:rPr>
        <w:t xml:space="preserve">(BIPD) was supported </w:t>
      </w:r>
      <w:r w:rsidR="00D15BB1" w:rsidRPr="00236672">
        <w:rPr>
          <w:rFonts w:ascii="Calibri" w:eastAsia="Calibri" w:hAnsi="Calibri"/>
          <w:sz w:val="22"/>
          <w:szCs w:val="22"/>
          <w:lang w:val="en-CA"/>
        </w:rPr>
        <w:t>in its role to</w:t>
      </w:r>
      <w:r w:rsidRPr="00236672">
        <w:rPr>
          <w:rFonts w:ascii="Calibri" w:eastAsia="Calibri" w:hAnsi="Calibri"/>
          <w:sz w:val="22"/>
          <w:szCs w:val="22"/>
          <w:lang w:val="en-CA"/>
        </w:rPr>
        <w:t xml:space="preserve"> support of political </w:t>
      </w:r>
      <w:r w:rsidR="00711A76" w:rsidRPr="00236672">
        <w:rPr>
          <w:rFonts w:ascii="Calibri" w:eastAsia="Calibri" w:hAnsi="Calibri"/>
          <w:sz w:val="22"/>
          <w:szCs w:val="22"/>
          <w:lang w:val="en-CA"/>
        </w:rPr>
        <w:t>reform process</w:t>
      </w:r>
      <w:r w:rsidRPr="00236672">
        <w:rPr>
          <w:rFonts w:ascii="Calibri" w:eastAsia="Calibri" w:hAnsi="Calibri"/>
          <w:sz w:val="22"/>
          <w:szCs w:val="22"/>
          <w:lang w:val="en-CA"/>
        </w:rPr>
        <w:t xml:space="preserve">, the newly-established Special Investigation Unit of the Public Prosecution Office which investigates sensitive cases of </w:t>
      </w:r>
      <w:r w:rsidR="000F5700" w:rsidRPr="00236672">
        <w:rPr>
          <w:rFonts w:ascii="Calibri" w:eastAsia="Calibri" w:hAnsi="Calibri"/>
          <w:sz w:val="22"/>
          <w:szCs w:val="22"/>
          <w:lang w:val="en-CA"/>
        </w:rPr>
        <w:t xml:space="preserve">torture </w:t>
      </w:r>
      <w:r w:rsidR="00711A76" w:rsidRPr="00236672">
        <w:rPr>
          <w:rFonts w:ascii="Calibri" w:eastAsia="Calibri" w:hAnsi="Calibri"/>
          <w:sz w:val="22"/>
          <w:szCs w:val="22"/>
          <w:lang w:val="en-CA"/>
        </w:rPr>
        <w:t>was supported to enhance it</w:t>
      </w:r>
      <w:r w:rsidR="00D15BB1" w:rsidRPr="00236672">
        <w:rPr>
          <w:rFonts w:ascii="Calibri" w:eastAsia="Calibri" w:hAnsi="Calibri"/>
          <w:sz w:val="22"/>
          <w:szCs w:val="22"/>
          <w:lang w:val="en-CA"/>
        </w:rPr>
        <w:t>s</w:t>
      </w:r>
      <w:r w:rsidR="00711A76" w:rsidRPr="00236672">
        <w:rPr>
          <w:rFonts w:ascii="Calibri" w:eastAsia="Calibri" w:hAnsi="Calibri"/>
          <w:sz w:val="22"/>
          <w:szCs w:val="22"/>
          <w:lang w:val="en-CA"/>
        </w:rPr>
        <w:t xml:space="preserve"> capacities and  functions in accordance with international best practices</w:t>
      </w:r>
      <w:r w:rsidRPr="00236672">
        <w:rPr>
          <w:rFonts w:ascii="Calibri" w:eastAsia="Calibri" w:hAnsi="Calibri"/>
          <w:sz w:val="22"/>
          <w:szCs w:val="22"/>
          <w:lang w:val="en-CA"/>
        </w:rPr>
        <w:t xml:space="preserve">, the Ministry of Foreign Affairs </w:t>
      </w:r>
      <w:r w:rsidR="00711A76" w:rsidRPr="00236672">
        <w:rPr>
          <w:rFonts w:ascii="Calibri" w:eastAsia="Calibri" w:hAnsi="Calibri"/>
          <w:sz w:val="22"/>
          <w:szCs w:val="22"/>
          <w:lang w:val="en-CA"/>
        </w:rPr>
        <w:t xml:space="preserve">was supported </w:t>
      </w:r>
      <w:r w:rsidRPr="00236672">
        <w:rPr>
          <w:rFonts w:ascii="Calibri" w:eastAsia="Calibri" w:hAnsi="Calibri"/>
          <w:sz w:val="22"/>
          <w:szCs w:val="22"/>
          <w:lang w:val="en-CA"/>
        </w:rPr>
        <w:t xml:space="preserve">in the implementation and reporting </w:t>
      </w:r>
      <w:r w:rsidR="00D15BB1" w:rsidRPr="00236672">
        <w:rPr>
          <w:rFonts w:ascii="Calibri" w:eastAsia="Calibri" w:hAnsi="Calibri"/>
          <w:sz w:val="22"/>
          <w:szCs w:val="22"/>
          <w:lang w:val="en-CA"/>
        </w:rPr>
        <w:t xml:space="preserve">capacities to implement </w:t>
      </w:r>
      <w:r w:rsidR="00083BB3" w:rsidRPr="00236672">
        <w:rPr>
          <w:rFonts w:ascii="Calibri" w:eastAsia="Calibri" w:hAnsi="Calibri"/>
          <w:sz w:val="22"/>
          <w:szCs w:val="22"/>
          <w:lang w:val="en-CA"/>
        </w:rPr>
        <w:t xml:space="preserve">UPR recommendations of </w:t>
      </w:r>
      <w:r w:rsidRPr="00236672">
        <w:rPr>
          <w:rFonts w:ascii="Calibri" w:eastAsia="Calibri" w:hAnsi="Calibri"/>
          <w:sz w:val="22"/>
          <w:szCs w:val="22"/>
          <w:lang w:val="en-CA"/>
        </w:rPr>
        <w:t xml:space="preserve">the </w:t>
      </w:r>
      <w:r w:rsidR="00711A76" w:rsidRPr="00236672">
        <w:rPr>
          <w:rFonts w:ascii="Calibri" w:eastAsia="Calibri" w:hAnsi="Calibri"/>
          <w:sz w:val="22"/>
          <w:szCs w:val="22"/>
          <w:lang w:val="en-CA"/>
        </w:rPr>
        <w:t>Human Rights</w:t>
      </w:r>
      <w:r w:rsidR="00083BB3" w:rsidRPr="00236672">
        <w:rPr>
          <w:rFonts w:ascii="Calibri" w:eastAsia="Calibri" w:hAnsi="Calibri"/>
          <w:sz w:val="22"/>
          <w:szCs w:val="22"/>
          <w:lang w:val="en-CA"/>
        </w:rPr>
        <w:t xml:space="preserve"> Council</w:t>
      </w:r>
      <w:r w:rsidR="00711A76" w:rsidRPr="00236672">
        <w:rPr>
          <w:rFonts w:ascii="Calibri" w:eastAsia="Calibri" w:hAnsi="Calibri"/>
          <w:sz w:val="22"/>
          <w:szCs w:val="22"/>
          <w:lang w:val="en-CA"/>
        </w:rPr>
        <w:t>, the Supreme Council for</w:t>
      </w:r>
      <w:r w:rsidRPr="00236672">
        <w:rPr>
          <w:rFonts w:ascii="Calibri" w:eastAsia="Calibri" w:hAnsi="Calibri"/>
          <w:sz w:val="22"/>
          <w:szCs w:val="22"/>
          <w:lang w:val="en-CA"/>
        </w:rPr>
        <w:t xml:space="preserve"> Women </w:t>
      </w:r>
      <w:r w:rsidR="00711A76" w:rsidRPr="00236672">
        <w:rPr>
          <w:rFonts w:ascii="Calibri" w:eastAsia="Calibri" w:hAnsi="Calibri"/>
          <w:sz w:val="22"/>
          <w:szCs w:val="22"/>
          <w:lang w:val="en-CA"/>
        </w:rPr>
        <w:t>was supported in its main strategy to empower Bahraini wo</w:t>
      </w:r>
      <w:r w:rsidR="00083BB3" w:rsidRPr="00236672">
        <w:rPr>
          <w:rFonts w:ascii="Calibri" w:eastAsia="Calibri" w:hAnsi="Calibri"/>
          <w:sz w:val="22"/>
          <w:szCs w:val="22"/>
          <w:lang w:val="en-CA"/>
        </w:rPr>
        <w:t>men specially during</w:t>
      </w:r>
      <w:r w:rsidR="00711A76" w:rsidRPr="00236672">
        <w:rPr>
          <w:rFonts w:ascii="Calibri" w:eastAsia="Calibri" w:hAnsi="Calibri"/>
          <w:sz w:val="22"/>
          <w:szCs w:val="22"/>
          <w:lang w:val="en-CA"/>
        </w:rPr>
        <w:t xml:space="preserve"> the elections</w:t>
      </w:r>
      <w:r w:rsidR="00083BB3" w:rsidRPr="00236672">
        <w:rPr>
          <w:rFonts w:ascii="Calibri" w:eastAsia="Calibri" w:hAnsi="Calibri"/>
          <w:sz w:val="22"/>
          <w:szCs w:val="22"/>
          <w:lang w:val="en-CA"/>
        </w:rPr>
        <w:t xml:space="preserve"> period</w:t>
      </w:r>
      <w:r w:rsidRPr="00236672">
        <w:rPr>
          <w:rFonts w:ascii="Calibri" w:eastAsia="Calibri" w:hAnsi="Calibri"/>
          <w:sz w:val="22"/>
          <w:szCs w:val="22"/>
          <w:lang w:val="en-CA"/>
        </w:rPr>
        <w:t>, and a range of activities related to Bahrain’s engagement with the MDGs and SDGs processes</w:t>
      </w:r>
      <w:r w:rsidR="00083BB3" w:rsidRPr="00236672">
        <w:rPr>
          <w:rFonts w:ascii="Calibri" w:eastAsia="Calibri" w:hAnsi="Calibri"/>
          <w:sz w:val="22"/>
          <w:szCs w:val="22"/>
          <w:lang w:val="en-CA"/>
        </w:rPr>
        <w:t xml:space="preserve"> that was consistently supported by UNDP</w:t>
      </w:r>
      <w:r w:rsidRPr="00236672">
        <w:rPr>
          <w:rFonts w:ascii="Calibri" w:eastAsia="Calibri" w:hAnsi="Calibri"/>
          <w:sz w:val="22"/>
          <w:szCs w:val="22"/>
          <w:lang w:val="en-CA"/>
        </w:rPr>
        <w:t>.</w:t>
      </w:r>
      <w:r w:rsidR="000C182C">
        <w:rPr>
          <w:rFonts w:ascii="Calibri" w:eastAsia="Calibri" w:hAnsi="Calibri"/>
          <w:sz w:val="22"/>
          <w:szCs w:val="22"/>
          <w:lang w:val="en-CA"/>
        </w:rPr>
        <w:t xml:space="preserve"> </w:t>
      </w:r>
      <w:r w:rsidR="000C182C" w:rsidRPr="006F139E">
        <w:rPr>
          <w:rFonts w:ascii="Calibri" w:eastAsia="Calibri" w:hAnsi="Calibri"/>
          <w:sz w:val="22"/>
          <w:szCs w:val="22"/>
          <w:lang w:val="en-CA"/>
        </w:rPr>
        <w:t>The Bahrain Institute of Public Administration was progressively assisted in its role to support of public administration training, research and advisory services, in addition to establishing the capacity development facility, and launching and operationalising MENAPAR, a regional public administration initiative that spearheads collaboration and networking in public administration-related research.</w:t>
      </w:r>
    </w:p>
    <w:p w14:paraId="32C2A7D1" w14:textId="77777777" w:rsidR="00196E28" w:rsidRDefault="00196E28" w:rsidP="00FA0352">
      <w:pPr>
        <w:widowControl/>
        <w:numPr>
          <w:ilvl w:val="0"/>
          <w:numId w:val="18"/>
        </w:numPr>
        <w:spacing w:after="160" w:line="259" w:lineRule="auto"/>
        <w:ind w:left="360"/>
        <w:contextualSpacing/>
        <w:jc w:val="both"/>
        <w:rPr>
          <w:rFonts w:ascii="Calibri" w:eastAsia="Calibri" w:hAnsi="Calibri"/>
          <w:sz w:val="22"/>
          <w:szCs w:val="22"/>
          <w:lang w:val="en-CA"/>
        </w:rPr>
      </w:pPr>
      <w:r w:rsidRPr="00236672">
        <w:rPr>
          <w:rFonts w:ascii="Calibri" w:eastAsia="Calibri" w:hAnsi="Calibri"/>
          <w:b/>
          <w:i/>
          <w:sz w:val="22"/>
          <w:szCs w:val="22"/>
          <w:lang w:val="en-CA"/>
        </w:rPr>
        <w:t>Strengthened capacity of national institutions to formulate plans and policies more efficiently, fairly and transparently and deliver services more effectively.</w:t>
      </w:r>
      <w:r w:rsidRPr="00236672">
        <w:rPr>
          <w:rFonts w:ascii="Calibri" w:eastAsia="Calibri" w:hAnsi="Calibri"/>
          <w:sz w:val="22"/>
          <w:szCs w:val="22"/>
          <w:lang w:val="en-CA"/>
        </w:rPr>
        <w:t xml:space="preserve"> UNDP projects </w:t>
      </w:r>
      <w:r w:rsidRPr="002501DC">
        <w:rPr>
          <w:rFonts w:ascii="Calibri" w:eastAsia="Calibri" w:hAnsi="Calibri"/>
          <w:sz w:val="22"/>
          <w:szCs w:val="22"/>
          <w:lang w:val="en-CA"/>
        </w:rPr>
        <w:t xml:space="preserve">contributed and supported the Ministry of Social Development in the formulation and implementation of the national strategies on persons with disabilities, elderly and childhood (in collaboration with UNICEF). </w:t>
      </w:r>
      <w:r>
        <w:rPr>
          <w:rFonts w:ascii="Calibri" w:eastAsia="Calibri" w:hAnsi="Calibri"/>
          <w:sz w:val="22"/>
          <w:szCs w:val="22"/>
          <w:lang w:val="en-CA"/>
        </w:rPr>
        <w:t xml:space="preserve">UNDP supported the Supreme Council for Women efforts to institutionalise Equal Opportunity Units in ministries, and with the University of Bahrain developed 12 modules on gender and economic empowerment to be used nationally and regionally. </w:t>
      </w:r>
      <w:r w:rsidRPr="002501DC">
        <w:rPr>
          <w:rFonts w:ascii="Calibri" w:eastAsia="Calibri" w:hAnsi="Calibri"/>
          <w:sz w:val="22"/>
          <w:szCs w:val="22"/>
          <w:lang w:val="en-CA"/>
        </w:rPr>
        <w:t>Furthermore, UNDP played a key role in establishing and guiding the work of the Sustainable Energy Unit, which is driving national efforts to diversify Bahrain’s energy mix</w:t>
      </w:r>
      <w:r>
        <w:rPr>
          <w:rFonts w:ascii="Calibri" w:eastAsia="Calibri" w:hAnsi="Calibri"/>
          <w:sz w:val="22"/>
          <w:szCs w:val="22"/>
          <w:lang w:val="en-CA"/>
        </w:rPr>
        <w:t>,</w:t>
      </w:r>
      <w:r w:rsidRPr="002501DC">
        <w:rPr>
          <w:rFonts w:ascii="Calibri" w:eastAsia="Calibri" w:hAnsi="Calibri"/>
          <w:sz w:val="22"/>
          <w:szCs w:val="22"/>
          <w:lang w:val="en-CA"/>
        </w:rPr>
        <w:t xml:space="preserve"> enhanc</w:t>
      </w:r>
      <w:r>
        <w:rPr>
          <w:rFonts w:ascii="Calibri" w:eastAsia="Calibri" w:hAnsi="Calibri"/>
          <w:sz w:val="22"/>
          <w:szCs w:val="22"/>
          <w:lang w:val="en-CA"/>
        </w:rPr>
        <w:t>e</w:t>
      </w:r>
      <w:r w:rsidRPr="002501DC">
        <w:rPr>
          <w:rFonts w:ascii="Calibri" w:eastAsia="Calibri" w:hAnsi="Calibri"/>
          <w:sz w:val="22"/>
          <w:szCs w:val="22"/>
          <w:lang w:val="en-CA"/>
        </w:rPr>
        <w:t xml:space="preserve"> energy efficiency and increas</w:t>
      </w:r>
      <w:r>
        <w:rPr>
          <w:rFonts w:ascii="Calibri" w:eastAsia="Calibri" w:hAnsi="Calibri"/>
          <w:sz w:val="22"/>
          <w:szCs w:val="22"/>
          <w:lang w:val="en-CA"/>
        </w:rPr>
        <w:t>e</w:t>
      </w:r>
      <w:r w:rsidRPr="002501DC">
        <w:rPr>
          <w:rFonts w:ascii="Calibri" w:eastAsia="Calibri" w:hAnsi="Calibri"/>
          <w:sz w:val="22"/>
          <w:szCs w:val="22"/>
          <w:lang w:val="en-CA"/>
        </w:rPr>
        <w:t xml:space="preserve"> the use of renewable energy.  </w:t>
      </w:r>
    </w:p>
    <w:p w14:paraId="7075F070" w14:textId="1426FC22" w:rsidR="002E36F1" w:rsidRPr="0058585C" w:rsidRDefault="00A25E54" w:rsidP="00FA0352">
      <w:pPr>
        <w:widowControl/>
        <w:numPr>
          <w:ilvl w:val="0"/>
          <w:numId w:val="18"/>
        </w:numPr>
        <w:spacing w:after="160" w:line="259" w:lineRule="auto"/>
        <w:ind w:left="360"/>
        <w:contextualSpacing/>
        <w:jc w:val="both"/>
        <w:rPr>
          <w:rFonts w:ascii="Calibri" w:eastAsia="Calibri" w:hAnsi="Calibri"/>
          <w:sz w:val="22"/>
          <w:szCs w:val="22"/>
          <w:lang w:val="en-CA"/>
        </w:rPr>
      </w:pPr>
      <w:r w:rsidRPr="00FA0352">
        <w:rPr>
          <w:rFonts w:ascii="Calibri" w:eastAsia="Calibri" w:hAnsi="Calibri"/>
          <w:b/>
          <w:i/>
          <w:sz w:val="22"/>
          <w:szCs w:val="22"/>
          <w:lang w:val="en-CA"/>
        </w:rPr>
        <w:t xml:space="preserve">Strengthened national capacity in supporting economic diversification and development. </w:t>
      </w:r>
      <w:r w:rsidRPr="00FA0352">
        <w:rPr>
          <w:rFonts w:ascii="Calibri" w:eastAsia="Calibri" w:hAnsi="Calibri"/>
          <w:sz w:val="22"/>
          <w:szCs w:val="22"/>
          <w:lang w:val="en-CA"/>
        </w:rPr>
        <w:t xml:space="preserve">UNDP activities supported the Ministry of Industry and Commerce </w:t>
      </w:r>
      <w:r w:rsidR="00711A76" w:rsidRPr="00FA0352">
        <w:rPr>
          <w:rFonts w:ascii="Calibri" w:eastAsia="Calibri" w:hAnsi="Calibri"/>
          <w:sz w:val="22"/>
          <w:szCs w:val="22"/>
          <w:lang w:val="en-CA"/>
        </w:rPr>
        <w:t xml:space="preserve">capacities </w:t>
      </w:r>
      <w:r w:rsidRPr="00FA0352">
        <w:rPr>
          <w:rFonts w:ascii="Calibri" w:eastAsia="Calibri" w:hAnsi="Calibri"/>
          <w:sz w:val="22"/>
          <w:szCs w:val="22"/>
          <w:lang w:val="en-CA"/>
        </w:rPr>
        <w:t xml:space="preserve">in taking advantage of Bahrain’s participation in WTO processes </w:t>
      </w:r>
      <w:r w:rsidR="00711A76" w:rsidRPr="00FA0352">
        <w:rPr>
          <w:rFonts w:ascii="Calibri" w:eastAsia="Calibri" w:hAnsi="Calibri"/>
          <w:sz w:val="22"/>
          <w:szCs w:val="22"/>
          <w:lang w:val="en-CA"/>
        </w:rPr>
        <w:t xml:space="preserve">to negotiate best </w:t>
      </w:r>
      <w:r w:rsidR="00083BB3" w:rsidRPr="00FA0352">
        <w:rPr>
          <w:rFonts w:ascii="Calibri" w:eastAsia="Calibri" w:hAnsi="Calibri"/>
          <w:sz w:val="22"/>
          <w:szCs w:val="22"/>
          <w:lang w:val="en-CA"/>
        </w:rPr>
        <w:t xml:space="preserve">positions for its market </w:t>
      </w:r>
      <w:r w:rsidRPr="00FA0352">
        <w:rPr>
          <w:rFonts w:ascii="Calibri" w:eastAsia="Calibri" w:hAnsi="Calibri"/>
          <w:sz w:val="22"/>
          <w:szCs w:val="22"/>
          <w:lang w:val="en-CA"/>
        </w:rPr>
        <w:t>and</w:t>
      </w:r>
      <w:r w:rsidR="00083BB3" w:rsidRPr="00FA0352">
        <w:rPr>
          <w:rFonts w:ascii="Calibri" w:eastAsia="Calibri" w:hAnsi="Calibri"/>
          <w:sz w:val="22"/>
          <w:szCs w:val="22"/>
          <w:lang w:val="en-CA"/>
        </w:rPr>
        <w:t>,</w:t>
      </w:r>
      <w:r w:rsidRPr="00FA0352">
        <w:rPr>
          <w:rFonts w:ascii="Calibri" w:eastAsia="Calibri" w:hAnsi="Calibri"/>
          <w:sz w:val="22"/>
          <w:szCs w:val="22"/>
          <w:lang w:val="en-CA"/>
        </w:rPr>
        <w:t xml:space="preserve"> </w:t>
      </w:r>
      <w:r w:rsidR="002E36F1" w:rsidRPr="00806281">
        <w:rPr>
          <w:rFonts w:ascii="Calibri" w:eastAsia="Calibri" w:hAnsi="Calibri"/>
          <w:sz w:val="22"/>
          <w:szCs w:val="22"/>
          <w:lang w:val="en-CA"/>
        </w:rPr>
        <w:t>together with UNCTAD, UNDP played an instrumental role in supporting the adoption of both Bahrain’s Free Trade Agreements</w:t>
      </w:r>
      <w:r w:rsidR="007661E5">
        <w:rPr>
          <w:rFonts w:ascii="Calibri" w:eastAsia="Calibri" w:hAnsi="Calibri"/>
          <w:sz w:val="22"/>
          <w:szCs w:val="22"/>
          <w:lang w:val="en-CA"/>
        </w:rPr>
        <w:t>.</w:t>
      </w:r>
    </w:p>
    <w:p w14:paraId="1F6BFDA1" w14:textId="77777777" w:rsidR="0037523B" w:rsidRDefault="0037523B" w:rsidP="00806281">
      <w:pPr>
        <w:pStyle w:val="BodyText2"/>
        <w:rPr>
          <w:rFonts w:ascii="Times New Roman" w:hAnsi="Times New Roman"/>
          <w:b/>
          <w:sz w:val="24"/>
        </w:rPr>
        <w:sectPr w:rsidR="0037523B" w:rsidSect="00806281">
          <w:headerReference w:type="default" r:id="rId8"/>
          <w:footerReference w:type="default" r:id="rId9"/>
          <w:endnotePr>
            <w:numFmt w:val="decimal"/>
          </w:endnotePr>
          <w:pgSz w:w="11907" w:h="16840" w:code="9"/>
          <w:pgMar w:top="1440" w:right="1440" w:bottom="1170" w:left="1440" w:header="720" w:footer="720" w:gutter="0"/>
          <w:cols w:space="720"/>
        </w:sectPr>
      </w:pPr>
    </w:p>
    <w:p w14:paraId="0CEDDF96" w14:textId="77777777" w:rsidR="00975566" w:rsidRPr="00517955" w:rsidRDefault="006900FE" w:rsidP="008440D9">
      <w:pPr>
        <w:pStyle w:val="Heading3"/>
        <w:jc w:val="left"/>
        <w:rPr>
          <w:rFonts w:ascii="Calibri" w:hAnsi="Calibri"/>
          <w:b/>
        </w:rPr>
      </w:pPr>
      <w:r>
        <w:rPr>
          <w:rFonts w:ascii="Calibri" w:hAnsi="Calibri"/>
          <w:b/>
        </w:rPr>
        <w:lastRenderedPageBreak/>
        <w:t>II</w:t>
      </w:r>
      <w:r w:rsidR="0081403B" w:rsidRPr="00517955">
        <w:rPr>
          <w:rFonts w:ascii="Calibri" w:hAnsi="Calibri"/>
          <w:b/>
        </w:rPr>
        <w:t xml:space="preserve">: </w:t>
      </w:r>
      <w:r w:rsidR="000C09B4" w:rsidRPr="00517955">
        <w:rPr>
          <w:rFonts w:ascii="Calibri" w:hAnsi="Calibri"/>
          <w:b/>
        </w:rPr>
        <w:t xml:space="preserve">Country Programme Performance </w:t>
      </w:r>
      <w:r w:rsidR="00975566" w:rsidRPr="00517955">
        <w:rPr>
          <w:rFonts w:ascii="Calibri" w:hAnsi="Calibri"/>
          <w:b/>
        </w:rPr>
        <w:t>Summary</w:t>
      </w:r>
    </w:p>
    <w:p w14:paraId="1CA725A8" w14:textId="77777777"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0E17A1D4" w14:textId="77777777" w:rsidTr="009E7526">
        <w:tc>
          <w:tcPr>
            <w:tcW w:w="3150" w:type="dxa"/>
            <w:gridSpan w:val="2"/>
            <w:tcBorders>
              <w:right w:val="nil"/>
            </w:tcBorders>
            <w:shd w:val="clear" w:color="auto" w:fill="FFC000"/>
          </w:tcPr>
          <w:p w14:paraId="535C5F4B" w14:textId="77777777" w:rsidR="00CB647D" w:rsidRPr="00A85E34" w:rsidRDefault="00CB647D">
            <w:pPr>
              <w:pStyle w:val="BodyText2"/>
              <w:rPr>
                <w:rFonts w:ascii="Calibri" w:hAnsi="Calibri"/>
                <w:b/>
                <w:sz w:val="24"/>
              </w:rPr>
            </w:pPr>
            <w:r w:rsidRPr="00A85E34">
              <w:rPr>
                <w:rFonts w:ascii="Calibri" w:hAnsi="Calibri"/>
                <w:b/>
              </w:rPr>
              <w:t>Country information</w:t>
            </w:r>
          </w:p>
        </w:tc>
        <w:tc>
          <w:tcPr>
            <w:tcW w:w="10890" w:type="dxa"/>
            <w:gridSpan w:val="3"/>
            <w:tcBorders>
              <w:left w:val="nil"/>
            </w:tcBorders>
            <w:shd w:val="clear" w:color="auto" w:fill="FFC000"/>
          </w:tcPr>
          <w:p w14:paraId="19C0A21B" w14:textId="77777777" w:rsidR="00CB647D" w:rsidRPr="00A85E34" w:rsidRDefault="00CB647D">
            <w:pPr>
              <w:pStyle w:val="BodyText2"/>
              <w:rPr>
                <w:rFonts w:ascii="Calibri" w:hAnsi="Calibri"/>
                <w:b/>
                <w:sz w:val="24"/>
              </w:rPr>
            </w:pPr>
          </w:p>
        </w:tc>
      </w:tr>
      <w:tr w:rsidR="009B76A1" w:rsidRPr="00DC7354" w14:paraId="3858F3BA" w14:textId="77777777" w:rsidTr="00704406">
        <w:tc>
          <w:tcPr>
            <w:tcW w:w="14040" w:type="dxa"/>
            <w:gridSpan w:val="5"/>
          </w:tcPr>
          <w:p w14:paraId="3BA80873" w14:textId="7D1B1D74" w:rsidR="009B76A1" w:rsidRPr="00DC7354" w:rsidRDefault="009B76A1">
            <w:pPr>
              <w:pStyle w:val="BodyText2"/>
              <w:rPr>
                <w:rFonts w:ascii="Calibri" w:hAnsi="Calibri"/>
                <w:b/>
                <w:sz w:val="24"/>
              </w:rPr>
            </w:pPr>
            <w:r w:rsidRPr="00230A0E">
              <w:rPr>
                <w:rFonts w:ascii="Calibri" w:hAnsi="Calibri"/>
                <w:b/>
              </w:rPr>
              <w:t>Country name:</w:t>
            </w:r>
            <w:r w:rsidR="0061653D">
              <w:rPr>
                <w:rFonts w:ascii="Calibri" w:hAnsi="Calibri"/>
                <w:b/>
              </w:rPr>
              <w:t xml:space="preserve"> Bahrain</w:t>
            </w:r>
          </w:p>
        </w:tc>
      </w:tr>
      <w:tr w:rsidR="009B76A1" w:rsidRPr="00843006" w14:paraId="3984BA5D" w14:textId="77777777" w:rsidTr="00704406">
        <w:tc>
          <w:tcPr>
            <w:tcW w:w="14040" w:type="dxa"/>
            <w:gridSpan w:val="5"/>
          </w:tcPr>
          <w:p w14:paraId="478AF924" w14:textId="1445E2CE" w:rsidR="009B76A1" w:rsidRPr="00843006" w:rsidRDefault="009B76A1">
            <w:pPr>
              <w:pStyle w:val="BodyText2"/>
              <w:rPr>
                <w:rFonts w:ascii="Calibri" w:hAnsi="Calibri"/>
                <w:b/>
              </w:rPr>
            </w:pPr>
            <w:r w:rsidRPr="00843006">
              <w:rPr>
                <w:rFonts w:ascii="Calibri" w:hAnsi="Calibri"/>
                <w:b/>
              </w:rPr>
              <w:t>Current country program</w:t>
            </w:r>
            <w:r>
              <w:rPr>
                <w:rFonts w:ascii="Calibri" w:hAnsi="Calibri"/>
                <w:b/>
              </w:rPr>
              <w:t>me</w:t>
            </w:r>
            <w:r w:rsidRPr="00843006">
              <w:rPr>
                <w:rFonts w:ascii="Calibri" w:hAnsi="Calibri"/>
                <w:b/>
              </w:rPr>
              <w:t xml:space="preserve"> period:</w:t>
            </w:r>
            <w:r w:rsidR="0061653D">
              <w:rPr>
                <w:rFonts w:ascii="Calibri" w:hAnsi="Calibri"/>
                <w:b/>
              </w:rPr>
              <w:t xml:space="preserve"> 2012-2016</w:t>
            </w:r>
          </w:p>
        </w:tc>
      </w:tr>
      <w:tr w:rsidR="003B037A" w:rsidRPr="00DC7354" w14:paraId="586B9384" w14:textId="77777777" w:rsidTr="009E7526">
        <w:tc>
          <w:tcPr>
            <w:tcW w:w="3150" w:type="dxa"/>
            <w:gridSpan w:val="2"/>
          </w:tcPr>
          <w:p w14:paraId="33EE44EC" w14:textId="77777777" w:rsidR="003B037A" w:rsidRPr="00DC7354" w:rsidRDefault="003B037A">
            <w:pPr>
              <w:pStyle w:val="BodyText2"/>
              <w:rPr>
                <w:rFonts w:ascii="Calibri" w:hAnsi="Calibri"/>
                <w:b/>
                <w:sz w:val="24"/>
              </w:rPr>
            </w:pPr>
            <w:r w:rsidRPr="00DC7354">
              <w:rPr>
                <w:rFonts w:ascii="Calibri" w:hAnsi="Calibri"/>
                <w:b/>
                <w:sz w:val="24"/>
              </w:rPr>
              <w:t>Outcome</w:t>
            </w:r>
            <w:r w:rsidR="00700521">
              <w:rPr>
                <w:rFonts w:ascii="Calibri" w:hAnsi="Calibri"/>
                <w:b/>
                <w:sz w:val="24"/>
              </w:rPr>
              <w:t>s</w:t>
            </w:r>
          </w:p>
        </w:tc>
        <w:tc>
          <w:tcPr>
            <w:tcW w:w="1440" w:type="dxa"/>
            <w:shd w:val="clear" w:color="auto" w:fill="auto"/>
          </w:tcPr>
          <w:p w14:paraId="56D6E1FB" w14:textId="77777777" w:rsidR="003B037A" w:rsidRPr="005F6261" w:rsidRDefault="003B037A">
            <w:pPr>
              <w:pStyle w:val="BodyText2"/>
              <w:rPr>
                <w:rFonts w:ascii="Calibri" w:hAnsi="Calibri"/>
                <w:b/>
                <w:sz w:val="22"/>
              </w:rPr>
            </w:pPr>
            <w:r w:rsidRPr="005F6261">
              <w:rPr>
                <w:rFonts w:ascii="Calibri" w:hAnsi="Calibri"/>
                <w:b/>
                <w:sz w:val="22"/>
              </w:rPr>
              <w:t>Total Expenditure</w:t>
            </w:r>
          </w:p>
        </w:tc>
        <w:tc>
          <w:tcPr>
            <w:tcW w:w="3960" w:type="dxa"/>
            <w:tcBorders>
              <w:left w:val="single" w:sz="4" w:space="0" w:color="auto"/>
            </w:tcBorders>
          </w:tcPr>
          <w:p w14:paraId="0CA848A2" w14:textId="77777777" w:rsidR="003B037A" w:rsidRPr="005F6261" w:rsidRDefault="003B037A">
            <w:pPr>
              <w:pStyle w:val="BodyText2"/>
              <w:rPr>
                <w:rFonts w:ascii="Calibri" w:hAnsi="Calibri"/>
                <w:b/>
                <w:sz w:val="22"/>
              </w:rPr>
            </w:pPr>
            <w:r w:rsidRPr="005F6261">
              <w:rPr>
                <w:rFonts w:ascii="Calibri" w:hAnsi="Calibri"/>
                <w:b/>
                <w:sz w:val="22"/>
              </w:rPr>
              <w:t>Key Indicators of outcome (1-4 per outcome)</w:t>
            </w:r>
          </w:p>
        </w:tc>
        <w:tc>
          <w:tcPr>
            <w:tcW w:w="5490" w:type="dxa"/>
          </w:tcPr>
          <w:p w14:paraId="2EF7184A" w14:textId="77777777" w:rsidR="003B037A" w:rsidRPr="005F6261" w:rsidRDefault="003B037A">
            <w:pPr>
              <w:pStyle w:val="BodyText2"/>
              <w:rPr>
                <w:rFonts w:ascii="Calibri" w:hAnsi="Calibri"/>
                <w:b/>
                <w:sz w:val="22"/>
              </w:rPr>
            </w:pPr>
            <w:r w:rsidRPr="005F6261">
              <w:rPr>
                <w:rFonts w:ascii="Calibri" w:hAnsi="Calibri"/>
                <w:b/>
                <w:sz w:val="22"/>
              </w:rPr>
              <w:t>Progress made against key indicators</w:t>
            </w:r>
          </w:p>
        </w:tc>
      </w:tr>
      <w:tr w:rsidR="000823AC" w:rsidRPr="00DC7354" w14:paraId="00BAEFFE" w14:textId="77777777" w:rsidTr="000823AC">
        <w:tc>
          <w:tcPr>
            <w:tcW w:w="3150" w:type="dxa"/>
            <w:gridSpan w:val="2"/>
            <w:tcBorders>
              <w:bottom w:val="single" w:sz="4" w:space="0" w:color="auto"/>
            </w:tcBorders>
            <w:shd w:val="clear" w:color="auto" w:fill="95B3D7"/>
          </w:tcPr>
          <w:p w14:paraId="3207177B" w14:textId="77777777" w:rsidR="003B037A" w:rsidRPr="000823AC" w:rsidRDefault="00967681" w:rsidP="00967681">
            <w:pPr>
              <w:pStyle w:val="BodyText2"/>
              <w:rPr>
                <w:rFonts w:ascii="Calibri" w:hAnsi="Calibri"/>
                <w:b/>
              </w:rPr>
            </w:pPr>
            <w:r>
              <w:rPr>
                <w:rFonts w:ascii="Calibri" w:hAnsi="Calibri"/>
                <w:b/>
              </w:rPr>
              <w:t xml:space="preserve">1. Improved Governance: </w:t>
            </w:r>
            <w:r w:rsidRPr="00967681">
              <w:rPr>
                <w:rFonts w:ascii="Calibri" w:hAnsi="Calibri"/>
                <w:b/>
                <w:i/>
                <w:lang w:val="en-CA"/>
              </w:rPr>
              <w:t>Strengthened capacity of national institutions to formulate plans and policies more efficiently, fairly and transparently and deliver services more effectively</w:t>
            </w:r>
          </w:p>
        </w:tc>
        <w:tc>
          <w:tcPr>
            <w:tcW w:w="1440" w:type="dxa"/>
            <w:tcBorders>
              <w:bottom w:val="single" w:sz="4" w:space="0" w:color="auto"/>
            </w:tcBorders>
            <w:shd w:val="clear" w:color="auto" w:fill="auto"/>
          </w:tcPr>
          <w:p w14:paraId="551C8C12" w14:textId="3304976D" w:rsidR="003B037A" w:rsidRPr="00DC7354" w:rsidRDefault="00967681" w:rsidP="0058585C">
            <w:pPr>
              <w:pStyle w:val="BodyText2"/>
              <w:rPr>
                <w:rFonts w:ascii="Calibri" w:hAnsi="Calibri"/>
              </w:rPr>
            </w:pPr>
            <w:r>
              <w:rPr>
                <w:rFonts w:ascii="Calibri" w:hAnsi="Calibri"/>
              </w:rPr>
              <w:t xml:space="preserve">$ </w:t>
            </w:r>
            <w:r w:rsidR="0002200B">
              <w:rPr>
                <w:rFonts w:ascii="Calibri" w:hAnsi="Calibri"/>
              </w:rPr>
              <w:t>2.</w:t>
            </w:r>
            <w:r w:rsidR="00D62C0E">
              <w:rPr>
                <w:rFonts w:ascii="Calibri" w:hAnsi="Calibri"/>
              </w:rPr>
              <w:t>2</w:t>
            </w:r>
            <w:r w:rsidR="0002200B">
              <w:rPr>
                <w:rFonts w:ascii="Calibri" w:hAnsi="Calibri"/>
              </w:rPr>
              <w:t>3</w:t>
            </w:r>
            <w:r w:rsidR="0061653D">
              <w:rPr>
                <w:rFonts w:ascii="Calibri" w:hAnsi="Calibri"/>
              </w:rPr>
              <w:t xml:space="preserve"> million</w:t>
            </w:r>
          </w:p>
        </w:tc>
        <w:tc>
          <w:tcPr>
            <w:tcW w:w="3960" w:type="dxa"/>
            <w:tcBorders>
              <w:left w:val="single" w:sz="4" w:space="0" w:color="auto"/>
              <w:bottom w:val="single" w:sz="4" w:space="0" w:color="auto"/>
            </w:tcBorders>
          </w:tcPr>
          <w:p w14:paraId="433665D5" w14:textId="596C158C" w:rsidR="003B037A" w:rsidRDefault="00185788" w:rsidP="00D00E4E">
            <w:pPr>
              <w:pStyle w:val="BodyText2"/>
              <w:numPr>
                <w:ilvl w:val="0"/>
                <w:numId w:val="13"/>
              </w:numPr>
              <w:rPr>
                <w:rFonts w:ascii="Calibri" w:hAnsi="Calibri"/>
                <w:i/>
              </w:rPr>
            </w:pPr>
            <w:r>
              <w:rPr>
                <w:rFonts w:ascii="Calibri" w:hAnsi="Calibri"/>
                <w:i/>
              </w:rPr>
              <w:t>Improve public sector productivity &amp; accountability</w:t>
            </w:r>
            <w:r w:rsidR="00D00E4E">
              <w:rPr>
                <w:color w:val="000000"/>
              </w:rPr>
              <w:t>, and m</w:t>
            </w:r>
            <w:r w:rsidR="00D00E4E" w:rsidRPr="00DA5EED">
              <w:rPr>
                <w:color w:val="000000"/>
                <w:lang w:val="en-GB"/>
              </w:rPr>
              <w:t>onitoring of development indexes for public sector accountability</w:t>
            </w:r>
            <w:r>
              <w:rPr>
                <w:rFonts w:ascii="Calibri" w:hAnsi="Calibri"/>
                <w:i/>
              </w:rPr>
              <w:t>.</w:t>
            </w:r>
          </w:p>
          <w:p w14:paraId="4454668C" w14:textId="2B9E79C4" w:rsidR="00D00E4E" w:rsidRPr="00B378FF" w:rsidRDefault="00787D3F" w:rsidP="00B378FF">
            <w:pPr>
              <w:pStyle w:val="BodyText2"/>
              <w:numPr>
                <w:ilvl w:val="0"/>
                <w:numId w:val="13"/>
              </w:numPr>
              <w:rPr>
                <w:color w:val="000000"/>
                <w:lang w:val="en-GB"/>
              </w:rPr>
            </w:pPr>
            <w:r w:rsidRPr="00D00E4E">
              <w:rPr>
                <w:rFonts w:ascii="Calibri" w:hAnsi="Calibri"/>
                <w:i/>
              </w:rPr>
              <w:t xml:space="preserve">Enhance </w:t>
            </w:r>
            <w:r w:rsidR="005A2616" w:rsidRPr="00D00E4E">
              <w:rPr>
                <w:rFonts w:ascii="Calibri" w:hAnsi="Calibri"/>
                <w:i/>
              </w:rPr>
              <w:t>quality of</w:t>
            </w:r>
            <w:r w:rsidR="00185788" w:rsidRPr="00D00E4E">
              <w:rPr>
                <w:rFonts w:ascii="Calibri" w:hAnsi="Calibri"/>
                <w:i/>
              </w:rPr>
              <w:t xml:space="preserve"> legislation through </w:t>
            </w:r>
            <w:r w:rsidRPr="008D13B3">
              <w:rPr>
                <w:rFonts w:ascii="Calibri" w:hAnsi="Calibri"/>
                <w:i/>
              </w:rPr>
              <w:t xml:space="preserve">support to </w:t>
            </w:r>
            <w:r w:rsidR="005A2616" w:rsidRPr="008D13B3">
              <w:rPr>
                <w:rFonts w:ascii="Calibri" w:hAnsi="Calibri"/>
                <w:i/>
              </w:rPr>
              <w:t>parliamentar</w:t>
            </w:r>
            <w:r w:rsidR="005A2616" w:rsidRPr="00A002C6">
              <w:rPr>
                <w:rFonts w:ascii="Calibri" w:hAnsi="Calibri"/>
                <w:i/>
              </w:rPr>
              <w:t>y</w:t>
            </w:r>
            <w:r w:rsidRPr="00A002C6">
              <w:rPr>
                <w:rFonts w:ascii="Calibri" w:hAnsi="Calibri"/>
                <w:i/>
              </w:rPr>
              <w:t xml:space="preserve"> </w:t>
            </w:r>
            <w:r w:rsidR="005A2616" w:rsidRPr="00A002C6">
              <w:rPr>
                <w:rFonts w:ascii="Calibri" w:hAnsi="Calibri"/>
                <w:i/>
              </w:rPr>
              <w:t>administration</w:t>
            </w:r>
            <w:r w:rsidR="00D00E4E" w:rsidRPr="00A002C6">
              <w:rPr>
                <w:rFonts w:ascii="Calibri" w:hAnsi="Calibri"/>
                <w:i/>
              </w:rPr>
              <w:t xml:space="preserve">, and </w:t>
            </w:r>
            <w:r w:rsidR="00D00E4E" w:rsidRPr="00A002C6">
              <w:rPr>
                <w:color w:val="000000"/>
                <w:lang w:val="en-GB"/>
              </w:rPr>
              <w:t xml:space="preserve"> cooperative relationships between executive and legislative branches. </w:t>
            </w:r>
          </w:p>
          <w:p w14:paraId="1948BEC1" w14:textId="74EEDD4D" w:rsidR="00106E4C" w:rsidRPr="00A002C6" w:rsidRDefault="00106E4C" w:rsidP="00B378FF">
            <w:pPr>
              <w:pStyle w:val="BodyText2"/>
              <w:numPr>
                <w:ilvl w:val="0"/>
                <w:numId w:val="13"/>
              </w:numPr>
              <w:rPr>
                <w:color w:val="000000"/>
                <w:lang w:val="en-GB"/>
              </w:rPr>
            </w:pPr>
            <w:r w:rsidRPr="00D00E4E">
              <w:rPr>
                <w:color w:val="000000"/>
                <w:lang w:val="en-GB"/>
              </w:rPr>
              <w:t>Extent of routine use of performance-based and gender</w:t>
            </w:r>
            <w:r w:rsidRPr="008D13B3">
              <w:rPr>
                <w:color w:val="000000"/>
                <w:lang w:val="en-GB"/>
              </w:rPr>
              <w:t xml:space="preserve">-responsive budgeting by </w:t>
            </w:r>
            <w:r w:rsidRPr="00A002C6">
              <w:rPr>
                <w:color w:val="000000"/>
                <w:lang w:val="en-GB"/>
              </w:rPr>
              <w:t>ministries. </w:t>
            </w:r>
          </w:p>
          <w:p w14:paraId="18ED674F" w14:textId="23A0261E" w:rsidR="00106E4C" w:rsidRPr="00B378FF" w:rsidRDefault="00106E4C" w:rsidP="00B378FF">
            <w:pPr>
              <w:rPr>
                <w:color w:val="000000"/>
                <w:lang w:val="en-GB"/>
              </w:rPr>
            </w:pPr>
          </w:p>
        </w:tc>
        <w:tc>
          <w:tcPr>
            <w:tcW w:w="5490" w:type="dxa"/>
            <w:tcBorders>
              <w:bottom w:val="single" w:sz="4" w:space="0" w:color="auto"/>
            </w:tcBorders>
            <w:shd w:val="clear" w:color="auto" w:fill="auto"/>
          </w:tcPr>
          <w:p w14:paraId="6D68A9A4" w14:textId="4631B521" w:rsidR="0002200B" w:rsidRDefault="009C0090" w:rsidP="0058585C">
            <w:pPr>
              <w:pStyle w:val="BodyText2"/>
              <w:numPr>
                <w:ilvl w:val="0"/>
                <w:numId w:val="14"/>
              </w:numPr>
              <w:rPr>
                <w:rFonts w:ascii="Calibri" w:hAnsi="Calibri"/>
                <w:i/>
              </w:rPr>
            </w:pPr>
            <w:r>
              <w:rPr>
                <w:rFonts w:ascii="Calibri" w:hAnsi="Calibri"/>
                <w:i/>
              </w:rPr>
              <w:t xml:space="preserve">The Capacity Development Facility was established and the UNDP capacity assessment approach institutionalized and used with public sector institutions. </w:t>
            </w:r>
            <w:r w:rsidR="00132D83">
              <w:rPr>
                <w:rFonts w:ascii="Calibri" w:hAnsi="Calibri"/>
                <w:i/>
              </w:rPr>
              <w:t xml:space="preserve">BIPA </w:t>
            </w:r>
            <w:r w:rsidR="00787D3F">
              <w:rPr>
                <w:rFonts w:ascii="Calibri" w:hAnsi="Calibri"/>
                <w:i/>
              </w:rPr>
              <w:t xml:space="preserve">training modules </w:t>
            </w:r>
            <w:r w:rsidR="00132D83">
              <w:rPr>
                <w:rFonts w:ascii="Calibri" w:hAnsi="Calibri"/>
                <w:i/>
              </w:rPr>
              <w:t xml:space="preserve">(3) </w:t>
            </w:r>
            <w:r w:rsidR="00787D3F">
              <w:rPr>
                <w:rFonts w:ascii="Calibri" w:hAnsi="Calibri"/>
                <w:i/>
              </w:rPr>
              <w:t xml:space="preserve">were developed and </w:t>
            </w:r>
            <w:r w:rsidR="005A2616">
              <w:rPr>
                <w:rFonts w:ascii="Calibri" w:hAnsi="Calibri"/>
                <w:i/>
              </w:rPr>
              <w:t>implemented by</w:t>
            </w:r>
            <w:r w:rsidR="00787D3F">
              <w:rPr>
                <w:rFonts w:ascii="Calibri" w:hAnsi="Calibri"/>
                <w:i/>
              </w:rPr>
              <w:t xml:space="preserve"> BIPA for public </w:t>
            </w:r>
            <w:r w:rsidR="005A2616">
              <w:rPr>
                <w:rFonts w:ascii="Calibri" w:hAnsi="Calibri"/>
                <w:i/>
              </w:rPr>
              <w:t>administration</w:t>
            </w:r>
            <w:r w:rsidR="00787D3F">
              <w:rPr>
                <w:rFonts w:ascii="Calibri" w:hAnsi="Calibri"/>
                <w:i/>
              </w:rPr>
              <w:t xml:space="preserve"> staff. </w:t>
            </w:r>
          </w:p>
          <w:p w14:paraId="285A0C37" w14:textId="01EA610D" w:rsidR="008407B5" w:rsidRDefault="008407B5" w:rsidP="0058585C">
            <w:pPr>
              <w:pStyle w:val="BodyText2"/>
              <w:numPr>
                <w:ilvl w:val="0"/>
                <w:numId w:val="14"/>
              </w:numPr>
              <w:rPr>
                <w:rFonts w:ascii="Calibri" w:hAnsi="Calibri"/>
                <w:i/>
              </w:rPr>
            </w:pPr>
            <w:r>
              <w:rPr>
                <w:rFonts w:ascii="Calibri" w:hAnsi="Calibri"/>
                <w:i/>
              </w:rPr>
              <w:t>MEN</w:t>
            </w:r>
            <w:r w:rsidR="005A2616">
              <w:rPr>
                <w:rFonts w:ascii="Calibri" w:hAnsi="Calibri"/>
                <w:i/>
              </w:rPr>
              <w:t>A</w:t>
            </w:r>
            <w:r>
              <w:rPr>
                <w:rFonts w:ascii="Calibri" w:hAnsi="Calibri"/>
                <w:i/>
              </w:rPr>
              <w:t xml:space="preserve">PAR established as a </w:t>
            </w:r>
            <w:r w:rsidR="005A2616">
              <w:rPr>
                <w:rFonts w:ascii="Calibri" w:hAnsi="Calibri"/>
                <w:i/>
              </w:rPr>
              <w:t xml:space="preserve">network of Public Administration institutions in the Arab region </w:t>
            </w:r>
            <w:r>
              <w:rPr>
                <w:rFonts w:ascii="Calibri" w:hAnsi="Calibri"/>
                <w:i/>
              </w:rPr>
              <w:t xml:space="preserve">and operationalized </w:t>
            </w:r>
            <w:r w:rsidR="005A2616">
              <w:rPr>
                <w:rFonts w:ascii="Calibri" w:hAnsi="Calibri"/>
                <w:i/>
              </w:rPr>
              <w:t xml:space="preserve">to </w:t>
            </w:r>
            <w:r>
              <w:rPr>
                <w:rFonts w:ascii="Calibri" w:hAnsi="Calibri"/>
                <w:i/>
              </w:rPr>
              <w:t xml:space="preserve">develop and publish </w:t>
            </w:r>
            <w:r w:rsidR="005A2616">
              <w:rPr>
                <w:rFonts w:ascii="Calibri" w:hAnsi="Calibri"/>
                <w:i/>
              </w:rPr>
              <w:t xml:space="preserve">research on </w:t>
            </w:r>
            <w:r>
              <w:rPr>
                <w:rFonts w:ascii="Calibri" w:hAnsi="Calibri"/>
                <w:i/>
              </w:rPr>
              <w:t xml:space="preserve">public sector </w:t>
            </w:r>
            <w:r w:rsidR="005A2616">
              <w:rPr>
                <w:rFonts w:ascii="Calibri" w:hAnsi="Calibri"/>
                <w:i/>
              </w:rPr>
              <w:t xml:space="preserve">reform. </w:t>
            </w:r>
          </w:p>
          <w:p w14:paraId="66A10DC0" w14:textId="1799E29A" w:rsidR="00787D3F" w:rsidRDefault="008407B5" w:rsidP="0058585C">
            <w:pPr>
              <w:pStyle w:val="BodyText2"/>
              <w:numPr>
                <w:ilvl w:val="0"/>
                <w:numId w:val="14"/>
              </w:numPr>
              <w:rPr>
                <w:rFonts w:ascii="Calibri" w:hAnsi="Calibri"/>
                <w:i/>
              </w:rPr>
            </w:pPr>
            <w:r>
              <w:rPr>
                <w:rFonts w:ascii="Calibri" w:hAnsi="Calibri"/>
                <w:i/>
              </w:rPr>
              <w:t>Ca</w:t>
            </w:r>
            <w:r w:rsidR="005A2616">
              <w:rPr>
                <w:rFonts w:ascii="Calibri" w:hAnsi="Calibri"/>
                <w:i/>
              </w:rPr>
              <w:t xml:space="preserve">pacity development workshops </w:t>
            </w:r>
            <w:r>
              <w:rPr>
                <w:rFonts w:ascii="Calibri" w:hAnsi="Calibri"/>
                <w:i/>
              </w:rPr>
              <w:t xml:space="preserve">(3) </w:t>
            </w:r>
            <w:r w:rsidR="005A2616">
              <w:rPr>
                <w:rFonts w:ascii="Calibri" w:hAnsi="Calibri"/>
                <w:i/>
              </w:rPr>
              <w:t xml:space="preserve">were organized for the sector of rule of law on Instable Protocols to prevent torture. </w:t>
            </w:r>
          </w:p>
          <w:p w14:paraId="6C239458" w14:textId="0A3E5ECC" w:rsidR="003162C1" w:rsidRDefault="005A2616" w:rsidP="003162C1">
            <w:pPr>
              <w:pStyle w:val="BodyText2"/>
              <w:numPr>
                <w:ilvl w:val="0"/>
                <w:numId w:val="14"/>
              </w:numPr>
              <w:rPr>
                <w:rFonts w:ascii="Calibri" w:hAnsi="Calibri"/>
                <w:i/>
              </w:rPr>
            </w:pPr>
            <w:r>
              <w:rPr>
                <w:rFonts w:ascii="Calibri" w:hAnsi="Calibri"/>
                <w:i/>
              </w:rPr>
              <w:t xml:space="preserve">Parliamentary Administration strategies </w:t>
            </w:r>
            <w:r w:rsidR="009A4591">
              <w:rPr>
                <w:rFonts w:ascii="Calibri" w:hAnsi="Calibri"/>
                <w:i/>
              </w:rPr>
              <w:t xml:space="preserve">(2) </w:t>
            </w:r>
            <w:r>
              <w:rPr>
                <w:rFonts w:ascii="Calibri" w:hAnsi="Calibri"/>
                <w:i/>
              </w:rPr>
              <w:t xml:space="preserve">were developed to increase quality of support to MPs. </w:t>
            </w:r>
            <w:r w:rsidR="003162C1">
              <w:rPr>
                <w:rFonts w:ascii="Calibri" w:hAnsi="Calibri"/>
                <w:i/>
              </w:rPr>
              <w:t>C</w:t>
            </w:r>
            <w:r>
              <w:rPr>
                <w:rFonts w:ascii="Calibri" w:hAnsi="Calibri"/>
                <w:i/>
              </w:rPr>
              <w:t xml:space="preserve">apacity-building events </w:t>
            </w:r>
            <w:r w:rsidR="003162C1">
              <w:rPr>
                <w:rFonts w:ascii="Calibri" w:hAnsi="Calibri"/>
                <w:i/>
              </w:rPr>
              <w:t xml:space="preserve">(3) </w:t>
            </w:r>
            <w:r>
              <w:rPr>
                <w:rFonts w:ascii="Calibri" w:hAnsi="Calibri"/>
                <w:i/>
              </w:rPr>
              <w:t>to MPS on gender-budgeting, outreach and media skills to MPs, 5 training workshops to staff of parliament secretariat on parliamentary research, strategic planning, training needs assessment, SOPs were hel</w:t>
            </w:r>
            <w:r w:rsidR="003162C1">
              <w:rPr>
                <w:rFonts w:ascii="Calibri" w:hAnsi="Calibri"/>
                <w:i/>
              </w:rPr>
              <w:t>d.</w:t>
            </w:r>
          </w:p>
          <w:p w14:paraId="4B99669A" w14:textId="15C77A46" w:rsidR="003B037A" w:rsidRDefault="003162C1" w:rsidP="003162C1">
            <w:pPr>
              <w:pStyle w:val="BodyText2"/>
              <w:numPr>
                <w:ilvl w:val="0"/>
                <w:numId w:val="14"/>
              </w:numPr>
              <w:rPr>
                <w:rFonts w:ascii="Calibri" w:hAnsi="Calibri"/>
                <w:i/>
              </w:rPr>
            </w:pPr>
            <w:r>
              <w:rPr>
                <w:rFonts w:ascii="Calibri" w:hAnsi="Calibri"/>
                <w:i/>
              </w:rPr>
              <w:t>Senior members (10) of Parliament’s administration went on a specialized study tour to the French Parliament which brought new ideas in areas of session r</w:t>
            </w:r>
            <w:r w:rsidR="00993858">
              <w:rPr>
                <w:rFonts w:ascii="Calibri" w:hAnsi="Calibri"/>
                <w:i/>
              </w:rPr>
              <w:t>ecording and financial controls</w:t>
            </w:r>
            <w:r>
              <w:rPr>
                <w:rFonts w:ascii="Calibri" w:hAnsi="Calibri"/>
                <w:i/>
              </w:rPr>
              <w:t>.</w:t>
            </w:r>
          </w:p>
          <w:p w14:paraId="5701F258" w14:textId="77777777" w:rsidR="00787D3F" w:rsidRPr="00920DBC" w:rsidRDefault="00787D3F" w:rsidP="005A2616">
            <w:pPr>
              <w:pStyle w:val="BodyText2"/>
              <w:ind w:left="360"/>
              <w:rPr>
                <w:rFonts w:ascii="Calibri" w:hAnsi="Calibri"/>
                <w:i/>
              </w:rPr>
            </w:pPr>
          </w:p>
        </w:tc>
      </w:tr>
      <w:tr w:rsidR="00530FDE" w:rsidRPr="00DC7354" w14:paraId="0ADC9C34" w14:textId="77777777" w:rsidTr="009E7526">
        <w:tc>
          <w:tcPr>
            <w:tcW w:w="14040" w:type="dxa"/>
            <w:gridSpan w:val="5"/>
          </w:tcPr>
          <w:p w14:paraId="6907B4FA" w14:textId="20AA91D2" w:rsidR="00843006" w:rsidRDefault="00837C4B" w:rsidP="008F76E6">
            <w:pPr>
              <w:pStyle w:val="BodyText2"/>
              <w:rPr>
                <w:rFonts w:ascii="Calibri" w:hAnsi="Calibri"/>
              </w:rPr>
            </w:pPr>
            <w:r w:rsidRPr="00837C4B">
              <w:rPr>
                <w:rFonts w:ascii="Calibri" w:hAnsi="Calibri"/>
                <w:b/>
              </w:rPr>
              <w:t>UNDP Contribution:</w:t>
            </w:r>
          </w:p>
          <w:p w14:paraId="02502939" w14:textId="4A2EED46" w:rsidR="0002200B" w:rsidRPr="00806281" w:rsidRDefault="00E159A2" w:rsidP="009A4591">
            <w:pPr>
              <w:pStyle w:val="BodyText2"/>
              <w:rPr>
                <w:rFonts w:ascii="Calibri" w:hAnsi="Calibri"/>
                <w:lang w:val="en-CA"/>
              </w:rPr>
            </w:pPr>
            <w:r w:rsidRPr="00E159A2">
              <w:rPr>
                <w:rFonts w:ascii="Calibri" w:hAnsi="Calibri"/>
                <w:lang w:val="en-CA"/>
              </w:rPr>
              <w:t xml:space="preserve">UNDP supported the Parliament in strengthening the capacity of its Secretariat &amp; MPs, the Bahrain Institute of Political Development (BIPD) was supported in its role to support of political reform process, the newly-established Special Investigation Unit </w:t>
            </w:r>
            <w:r w:rsidR="000F5700">
              <w:rPr>
                <w:rFonts w:ascii="Calibri" w:hAnsi="Calibri"/>
                <w:lang w:val="en-CA"/>
              </w:rPr>
              <w:t xml:space="preserve">(SIU) </w:t>
            </w:r>
            <w:r w:rsidRPr="00E159A2">
              <w:rPr>
                <w:rFonts w:ascii="Calibri" w:hAnsi="Calibri"/>
                <w:lang w:val="en-CA"/>
              </w:rPr>
              <w:t>of the Public Prosecution Office which investigates sensitive cases of</w:t>
            </w:r>
            <w:r w:rsidR="000F5700">
              <w:rPr>
                <w:rFonts w:ascii="Calibri" w:hAnsi="Calibri"/>
                <w:lang w:val="en-CA"/>
              </w:rPr>
              <w:t xml:space="preserve"> torture </w:t>
            </w:r>
            <w:r w:rsidRPr="00E159A2">
              <w:rPr>
                <w:rFonts w:ascii="Calibri" w:hAnsi="Calibri"/>
                <w:lang w:val="en-CA"/>
              </w:rPr>
              <w:t>was supported to enhance its capacities and  functions in accordance with international best practices,</w:t>
            </w:r>
            <w:r w:rsidR="0058585C">
              <w:rPr>
                <w:rFonts w:ascii="Calibri" w:hAnsi="Calibri"/>
                <w:lang w:val="en-CA"/>
              </w:rPr>
              <w:t xml:space="preserve"> and internal structures adapted to reinforce independence of duties and case management registry and categorisation. T</w:t>
            </w:r>
            <w:r w:rsidRPr="00E159A2">
              <w:rPr>
                <w:rFonts w:ascii="Calibri" w:hAnsi="Calibri"/>
                <w:lang w:val="en-CA"/>
              </w:rPr>
              <w:t>he Ministry of Foreign Affairs was supported in the implementation and reporting capacities to implement UPR recommendations of the Human Rights Council, and a range of activities related to Bahrain’s engagement with the MDGs and SDGs processes that was consistently supported by UNDP.</w:t>
            </w:r>
            <w:r>
              <w:rPr>
                <w:rFonts w:ascii="Calibri" w:hAnsi="Calibri"/>
                <w:lang w:val="en-CA"/>
              </w:rPr>
              <w:t xml:space="preserve"> In addition, </w:t>
            </w:r>
            <w:r w:rsidRPr="00E159A2">
              <w:rPr>
                <w:rFonts w:ascii="Calibri" w:hAnsi="Calibri"/>
                <w:lang w:val="en-CA"/>
              </w:rPr>
              <w:t>the Bahrain Institute of Public Administration</w:t>
            </w:r>
            <w:r>
              <w:rPr>
                <w:rFonts w:ascii="Calibri" w:hAnsi="Calibri"/>
                <w:lang w:val="en-CA"/>
              </w:rPr>
              <w:t xml:space="preserve"> (BIPA)</w:t>
            </w:r>
            <w:r w:rsidRPr="00E159A2">
              <w:rPr>
                <w:rFonts w:ascii="Calibri" w:hAnsi="Calibri"/>
                <w:lang w:val="en-CA"/>
              </w:rPr>
              <w:t xml:space="preserve"> was progressively assisted </w:t>
            </w:r>
            <w:r>
              <w:rPr>
                <w:rFonts w:ascii="Calibri" w:hAnsi="Calibri"/>
                <w:lang w:val="en-CA"/>
              </w:rPr>
              <w:t xml:space="preserve">by UNDP in its role to support </w:t>
            </w:r>
            <w:r w:rsidRPr="00E159A2">
              <w:rPr>
                <w:rFonts w:ascii="Calibri" w:hAnsi="Calibri"/>
                <w:lang w:val="en-CA"/>
              </w:rPr>
              <w:t xml:space="preserve">public administration </w:t>
            </w:r>
            <w:r w:rsidRPr="00E159A2">
              <w:rPr>
                <w:rFonts w:ascii="Calibri" w:hAnsi="Calibri"/>
                <w:lang w:val="en-CA"/>
              </w:rPr>
              <w:lastRenderedPageBreak/>
              <w:t>training modules and initiating reforms in the public sector training assessment methodology.</w:t>
            </w:r>
            <w:r w:rsidR="009A4591">
              <w:rPr>
                <w:rFonts w:ascii="Calibri" w:hAnsi="Calibri"/>
                <w:lang w:val="en-CA"/>
              </w:rPr>
              <w:t xml:space="preserve"> With BIPA, the </w:t>
            </w:r>
            <w:r w:rsidR="0002200B" w:rsidRPr="00806281">
              <w:rPr>
                <w:rFonts w:ascii="Calibri" w:hAnsi="Calibri"/>
                <w:lang w:val="en-CA"/>
              </w:rPr>
              <w:t>C</w:t>
            </w:r>
            <w:r w:rsidR="009A4591" w:rsidRPr="00806281">
              <w:rPr>
                <w:rFonts w:ascii="Calibri" w:hAnsi="Calibri"/>
                <w:lang w:val="en-CA"/>
              </w:rPr>
              <w:t xml:space="preserve">apacity </w:t>
            </w:r>
            <w:r w:rsidR="0002200B" w:rsidRPr="00806281">
              <w:rPr>
                <w:rFonts w:ascii="Calibri" w:hAnsi="Calibri"/>
                <w:lang w:val="en-CA"/>
              </w:rPr>
              <w:t>D</w:t>
            </w:r>
            <w:r w:rsidR="009A4591" w:rsidRPr="00806281">
              <w:rPr>
                <w:rFonts w:ascii="Calibri" w:hAnsi="Calibri"/>
                <w:lang w:val="en-CA"/>
              </w:rPr>
              <w:t xml:space="preserve">evelopment </w:t>
            </w:r>
            <w:r w:rsidR="0002200B" w:rsidRPr="00806281">
              <w:rPr>
                <w:rFonts w:ascii="Calibri" w:hAnsi="Calibri"/>
                <w:lang w:val="en-CA"/>
              </w:rPr>
              <w:t>F</w:t>
            </w:r>
            <w:r w:rsidR="009A4591" w:rsidRPr="00806281">
              <w:rPr>
                <w:rFonts w:ascii="Calibri" w:hAnsi="Calibri"/>
                <w:lang w:val="en-CA"/>
              </w:rPr>
              <w:t>acility</w:t>
            </w:r>
            <w:r w:rsidR="0002200B" w:rsidRPr="00806281">
              <w:rPr>
                <w:rFonts w:ascii="Calibri" w:hAnsi="Calibri"/>
                <w:lang w:val="en-CA"/>
              </w:rPr>
              <w:t xml:space="preserve"> </w:t>
            </w:r>
            <w:r w:rsidR="009A4591">
              <w:rPr>
                <w:rFonts w:ascii="Calibri" w:hAnsi="Calibri"/>
                <w:lang w:val="en-CA"/>
              </w:rPr>
              <w:t xml:space="preserve">(CDF) </w:t>
            </w:r>
            <w:r w:rsidR="0002200B" w:rsidRPr="00806281">
              <w:rPr>
                <w:rFonts w:ascii="Calibri" w:hAnsi="Calibri"/>
                <w:lang w:val="en-CA"/>
              </w:rPr>
              <w:t xml:space="preserve">was established using </w:t>
            </w:r>
            <w:r w:rsidR="009A4591" w:rsidRPr="00806281">
              <w:rPr>
                <w:rFonts w:ascii="Calibri" w:hAnsi="Calibri"/>
                <w:lang w:val="en-CA"/>
              </w:rPr>
              <w:t xml:space="preserve">the </w:t>
            </w:r>
            <w:r w:rsidR="0002200B" w:rsidRPr="00806281">
              <w:rPr>
                <w:rFonts w:ascii="Calibri" w:hAnsi="Calibri"/>
                <w:lang w:val="en-CA"/>
              </w:rPr>
              <w:t xml:space="preserve">UNDP </w:t>
            </w:r>
            <w:r w:rsidR="009A4591" w:rsidRPr="00806281">
              <w:rPr>
                <w:rFonts w:ascii="Calibri" w:hAnsi="Calibri"/>
                <w:lang w:val="en-CA"/>
              </w:rPr>
              <w:t>capacity assessment/development</w:t>
            </w:r>
            <w:r w:rsidR="0002200B" w:rsidRPr="00806281">
              <w:rPr>
                <w:rFonts w:ascii="Calibri" w:hAnsi="Calibri"/>
                <w:lang w:val="en-CA"/>
              </w:rPr>
              <w:t xml:space="preserve"> methodology</w:t>
            </w:r>
            <w:r w:rsidR="009A4591" w:rsidRPr="00806281">
              <w:rPr>
                <w:rFonts w:ascii="Calibri" w:hAnsi="Calibri"/>
                <w:lang w:val="en-CA"/>
              </w:rPr>
              <w:t xml:space="preserve">. In addition, </w:t>
            </w:r>
            <w:r w:rsidR="0002200B" w:rsidRPr="00806281">
              <w:rPr>
                <w:rFonts w:ascii="Calibri" w:hAnsi="Calibri"/>
                <w:lang w:val="en-CA"/>
              </w:rPr>
              <w:t>MENAPAR was launched in April 2014 as the first regional network on public administration research and development</w:t>
            </w:r>
            <w:r w:rsidR="009A4591" w:rsidRPr="00806281">
              <w:rPr>
                <w:rFonts w:ascii="Calibri" w:hAnsi="Calibri"/>
                <w:lang w:val="en-CA"/>
              </w:rPr>
              <w:t xml:space="preserve">. </w:t>
            </w:r>
            <w:r w:rsidR="0002200B" w:rsidRPr="00806281">
              <w:rPr>
                <w:rFonts w:ascii="Calibri" w:hAnsi="Calibri"/>
                <w:lang w:val="en-CA"/>
              </w:rPr>
              <w:t>S</w:t>
            </w:r>
            <w:r w:rsidR="009A4591" w:rsidRPr="00806281">
              <w:rPr>
                <w:rFonts w:ascii="Calibri" w:hAnsi="Calibri"/>
                <w:lang w:val="en-CA"/>
              </w:rPr>
              <w:t>outh-south cooperation</w:t>
            </w:r>
            <w:r w:rsidR="0002200B" w:rsidRPr="00806281">
              <w:rPr>
                <w:rFonts w:ascii="Calibri" w:hAnsi="Calibri"/>
                <w:lang w:val="en-CA"/>
              </w:rPr>
              <w:t xml:space="preserve"> on public administration was also a first with Palestine which resulted in signing of an MOU on exchanging experiences</w:t>
            </w:r>
            <w:r w:rsidR="009A4591" w:rsidRPr="00806281">
              <w:rPr>
                <w:rFonts w:ascii="Calibri" w:hAnsi="Calibri"/>
                <w:lang w:val="en-CA"/>
              </w:rPr>
              <w:t>.</w:t>
            </w:r>
          </w:p>
          <w:p w14:paraId="4C2DBE14" w14:textId="77777777" w:rsidR="0002200B" w:rsidRPr="00806281" w:rsidRDefault="0002200B" w:rsidP="00EE1D60">
            <w:pPr>
              <w:pStyle w:val="BodyText2"/>
              <w:rPr>
                <w:rFonts w:ascii="Calibri" w:hAnsi="Calibri"/>
              </w:rPr>
            </w:pPr>
          </w:p>
          <w:p w14:paraId="4E084991" w14:textId="77777777" w:rsidR="00B00E5C" w:rsidRPr="00845340" w:rsidRDefault="00B00E5C" w:rsidP="00EE1D60">
            <w:pPr>
              <w:pStyle w:val="BodyText2"/>
              <w:rPr>
                <w:rFonts w:ascii="Calibri" w:hAnsi="Calibri"/>
              </w:rPr>
            </w:pPr>
            <w:r w:rsidRPr="00B00E5C">
              <w:rPr>
                <w:rFonts w:ascii="Calibri" w:hAnsi="Calibri"/>
                <w:u w:val="single"/>
              </w:rPr>
              <w:t>CP Outputs</w:t>
            </w:r>
            <w:r w:rsidR="00845340">
              <w:rPr>
                <w:rFonts w:ascii="Calibri" w:hAnsi="Calibri"/>
              </w:rPr>
              <w:t>:</w:t>
            </w:r>
          </w:p>
          <w:p w14:paraId="2EFB0BA8" w14:textId="77777777" w:rsidR="00B00E5C" w:rsidRPr="009B76A1" w:rsidRDefault="00E159A2" w:rsidP="000F5700">
            <w:pPr>
              <w:pStyle w:val="BodyText2"/>
              <w:rPr>
                <w:rFonts w:ascii="Calibri" w:hAnsi="Calibri"/>
                <w:i/>
              </w:rPr>
            </w:pPr>
            <w:r>
              <w:rPr>
                <w:rFonts w:ascii="Calibri" w:hAnsi="Calibri"/>
                <w:i/>
              </w:rPr>
              <w:t>The UNDP CP identified four</w:t>
            </w:r>
            <w:r w:rsidR="00842737" w:rsidRPr="009B76A1">
              <w:rPr>
                <w:rFonts w:ascii="Calibri" w:hAnsi="Calibri"/>
                <w:i/>
              </w:rPr>
              <w:t xml:space="preserve"> major outputs to support the Government in achieving this outcome: (a) capacity building of the </w:t>
            </w:r>
            <w:r>
              <w:rPr>
                <w:rFonts w:ascii="Calibri" w:hAnsi="Calibri"/>
                <w:i/>
              </w:rPr>
              <w:t xml:space="preserve">parliament </w:t>
            </w:r>
            <w:r w:rsidR="000F5700">
              <w:rPr>
                <w:rFonts w:ascii="Calibri" w:hAnsi="Calibri"/>
                <w:i/>
              </w:rPr>
              <w:t>Secretariat</w:t>
            </w:r>
            <w:r>
              <w:rPr>
                <w:rFonts w:ascii="Calibri" w:hAnsi="Calibri"/>
                <w:i/>
              </w:rPr>
              <w:t xml:space="preserve"> to support the work of MPS in drafting better legislations. (b) enhance the processes and </w:t>
            </w:r>
            <w:r w:rsidR="000F5700">
              <w:rPr>
                <w:rFonts w:ascii="Calibri" w:hAnsi="Calibri"/>
                <w:i/>
              </w:rPr>
              <w:t>capacities</w:t>
            </w:r>
            <w:r>
              <w:rPr>
                <w:rFonts w:ascii="Calibri" w:hAnsi="Calibri"/>
                <w:i/>
              </w:rPr>
              <w:t xml:space="preserve"> of </w:t>
            </w:r>
            <w:r w:rsidR="000F5700">
              <w:rPr>
                <w:rFonts w:ascii="Calibri" w:hAnsi="Calibri"/>
                <w:i/>
              </w:rPr>
              <w:t>institutions</w:t>
            </w:r>
            <w:r>
              <w:rPr>
                <w:rFonts w:ascii="Calibri" w:hAnsi="Calibri"/>
                <w:i/>
              </w:rPr>
              <w:t xml:space="preserve"> related o rule of law and Human Rights and (c) increase public sector prod</w:t>
            </w:r>
            <w:r w:rsidR="000F5700">
              <w:rPr>
                <w:rFonts w:ascii="Calibri" w:hAnsi="Calibri"/>
                <w:i/>
              </w:rPr>
              <w:t>uctivity</w:t>
            </w:r>
            <w:r>
              <w:rPr>
                <w:rFonts w:ascii="Calibri" w:hAnsi="Calibri"/>
                <w:i/>
              </w:rPr>
              <w:t xml:space="preserve"> through improved designs of training to better serve the community(d</w:t>
            </w:r>
            <w:r w:rsidR="00842737" w:rsidRPr="009B76A1">
              <w:rPr>
                <w:rFonts w:ascii="Calibri" w:hAnsi="Calibri"/>
                <w:i/>
              </w:rPr>
              <w:t xml:space="preserve">) </w:t>
            </w:r>
            <w:r>
              <w:rPr>
                <w:rFonts w:ascii="Calibri" w:hAnsi="Calibri"/>
                <w:i/>
              </w:rPr>
              <w:t>analytical capabilities to prepare</w:t>
            </w:r>
            <w:r w:rsidR="003D653B" w:rsidRPr="009B76A1">
              <w:rPr>
                <w:rFonts w:ascii="Calibri" w:hAnsi="Calibri"/>
                <w:i/>
              </w:rPr>
              <w:t xml:space="preserve"> MDG </w:t>
            </w:r>
            <w:r>
              <w:rPr>
                <w:rFonts w:ascii="Calibri" w:hAnsi="Calibri"/>
                <w:i/>
              </w:rPr>
              <w:t>reports</w:t>
            </w:r>
            <w:r w:rsidR="00B00E5C" w:rsidRPr="009B76A1">
              <w:rPr>
                <w:rFonts w:ascii="Calibri" w:hAnsi="Calibri"/>
                <w:i/>
              </w:rPr>
              <w:t>.</w:t>
            </w:r>
          </w:p>
          <w:p w14:paraId="6FFAE68C" w14:textId="77777777" w:rsidR="00B00E5C" w:rsidRDefault="00B00E5C" w:rsidP="00EE1D60">
            <w:pPr>
              <w:pStyle w:val="BodyText2"/>
              <w:rPr>
                <w:rFonts w:ascii="Calibri" w:hAnsi="Calibri"/>
              </w:rPr>
            </w:pPr>
          </w:p>
          <w:p w14:paraId="076B83BF" w14:textId="77777777" w:rsidR="00B00E5C" w:rsidRPr="00845340" w:rsidRDefault="00B00E5C" w:rsidP="00EE1D60">
            <w:pPr>
              <w:pStyle w:val="BodyText2"/>
              <w:rPr>
                <w:rFonts w:ascii="Calibri" w:hAnsi="Calibri"/>
              </w:rPr>
            </w:pPr>
            <w:r w:rsidRPr="00B00E5C">
              <w:rPr>
                <w:rFonts w:ascii="Calibri" w:hAnsi="Calibri"/>
                <w:u w:val="single"/>
              </w:rPr>
              <w:t>Progress and Achievements</w:t>
            </w:r>
            <w:r w:rsidR="00845340">
              <w:rPr>
                <w:rFonts w:ascii="Calibri" w:hAnsi="Calibri"/>
              </w:rPr>
              <w:t>:</w:t>
            </w:r>
          </w:p>
          <w:p w14:paraId="42A9E5AB" w14:textId="77777777" w:rsidR="00700521" w:rsidRPr="00DC7354" w:rsidRDefault="003D653B" w:rsidP="00A85515">
            <w:pPr>
              <w:pStyle w:val="BodyText2"/>
              <w:rPr>
                <w:rFonts w:ascii="Calibri" w:hAnsi="Calibri"/>
              </w:rPr>
            </w:pPr>
            <w:r w:rsidRPr="00920DBC">
              <w:rPr>
                <w:rFonts w:ascii="Calibri" w:hAnsi="Calibri"/>
                <w:i/>
              </w:rPr>
              <w:t xml:space="preserve">At the end of the cycle </w:t>
            </w:r>
            <w:r w:rsidR="00E159A2">
              <w:rPr>
                <w:rFonts w:ascii="Calibri" w:hAnsi="Calibri"/>
                <w:i/>
              </w:rPr>
              <w:t xml:space="preserve">a UPR data-base was developed to monitor the implementation of </w:t>
            </w:r>
            <w:r w:rsidR="000F5700">
              <w:rPr>
                <w:rFonts w:ascii="Calibri" w:hAnsi="Calibri"/>
                <w:i/>
              </w:rPr>
              <w:t>recommendations</w:t>
            </w:r>
            <w:r w:rsidR="00E159A2">
              <w:rPr>
                <w:rFonts w:ascii="Calibri" w:hAnsi="Calibri"/>
                <w:i/>
              </w:rPr>
              <w:t xml:space="preserve"> by the Human Rights Council, 3 training modules were developed for the public sector training with new methodologies to assess training needs, </w:t>
            </w:r>
            <w:r w:rsidR="000F5700">
              <w:rPr>
                <w:rFonts w:ascii="Calibri" w:hAnsi="Calibri"/>
                <w:i/>
              </w:rPr>
              <w:t xml:space="preserve">an interactive website was developed to provide information and knowledge products to citizens and community on different subjects related to political and </w:t>
            </w:r>
            <w:r w:rsidR="00A85515">
              <w:rPr>
                <w:rFonts w:ascii="Calibri" w:hAnsi="Calibri"/>
                <w:i/>
              </w:rPr>
              <w:t>constitutional</w:t>
            </w:r>
            <w:r w:rsidR="000F5700">
              <w:rPr>
                <w:rFonts w:ascii="Calibri" w:hAnsi="Calibri"/>
                <w:i/>
              </w:rPr>
              <w:t xml:space="preserve"> frameworks, </w:t>
            </w:r>
            <w:r w:rsidR="00A85515">
              <w:rPr>
                <w:rFonts w:ascii="Calibri" w:hAnsi="Calibri"/>
                <w:i/>
              </w:rPr>
              <w:t>Istanbul</w:t>
            </w:r>
            <w:r w:rsidR="000F5700">
              <w:rPr>
                <w:rFonts w:ascii="Calibri" w:hAnsi="Calibri"/>
                <w:i/>
              </w:rPr>
              <w:t xml:space="preserve"> </w:t>
            </w:r>
            <w:r w:rsidR="00A85515">
              <w:rPr>
                <w:rFonts w:ascii="Calibri" w:hAnsi="Calibri"/>
                <w:i/>
              </w:rPr>
              <w:t>Protocols</w:t>
            </w:r>
            <w:r w:rsidR="000F5700">
              <w:rPr>
                <w:rFonts w:ascii="Calibri" w:hAnsi="Calibri"/>
                <w:i/>
              </w:rPr>
              <w:t xml:space="preserve"> being </w:t>
            </w:r>
            <w:r w:rsidR="00A85515">
              <w:rPr>
                <w:rFonts w:ascii="Calibri" w:hAnsi="Calibri"/>
                <w:i/>
              </w:rPr>
              <w:t>amongst</w:t>
            </w:r>
            <w:r w:rsidR="000F5700">
              <w:rPr>
                <w:rFonts w:ascii="Calibri" w:hAnsi="Calibri"/>
                <w:i/>
              </w:rPr>
              <w:t xml:space="preserve"> main </w:t>
            </w:r>
            <w:r w:rsidR="00A85515">
              <w:rPr>
                <w:rFonts w:ascii="Calibri" w:hAnsi="Calibri"/>
                <w:i/>
              </w:rPr>
              <w:t>International</w:t>
            </w:r>
            <w:r w:rsidR="000F5700">
              <w:rPr>
                <w:rFonts w:ascii="Calibri" w:hAnsi="Calibri"/>
                <w:i/>
              </w:rPr>
              <w:t xml:space="preserve"> </w:t>
            </w:r>
            <w:r w:rsidR="00A85515">
              <w:rPr>
                <w:rFonts w:ascii="Calibri" w:hAnsi="Calibri"/>
                <w:i/>
              </w:rPr>
              <w:t>Frameworks</w:t>
            </w:r>
            <w:r w:rsidR="000F5700">
              <w:rPr>
                <w:rFonts w:ascii="Calibri" w:hAnsi="Calibri"/>
                <w:i/>
              </w:rPr>
              <w:t xml:space="preserve"> for dealing with torture cases </w:t>
            </w:r>
            <w:r w:rsidR="009B76A1" w:rsidRPr="00920DBC">
              <w:rPr>
                <w:rFonts w:ascii="Calibri" w:hAnsi="Calibri"/>
                <w:i/>
              </w:rPr>
              <w:t xml:space="preserve"> </w:t>
            </w:r>
            <w:r w:rsidR="00EC7BBC" w:rsidRPr="00920DBC">
              <w:rPr>
                <w:rFonts w:ascii="Calibri" w:hAnsi="Calibri"/>
                <w:i/>
              </w:rPr>
              <w:t xml:space="preserve">was </w:t>
            </w:r>
            <w:r w:rsidR="000F5700">
              <w:rPr>
                <w:rFonts w:ascii="Calibri" w:hAnsi="Calibri"/>
                <w:i/>
              </w:rPr>
              <w:t xml:space="preserve">mainstreamed in the work of the newly </w:t>
            </w:r>
            <w:r w:rsidR="00A85515">
              <w:rPr>
                <w:rFonts w:ascii="Calibri" w:hAnsi="Calibri"/>
                <w:i/>
              </w:rPr>
              <w:t>established</w:t>
            </w:r>
            <w:r w:rsidR="000F5700">
              <w:rPr>
                <w:rFonts w:ascii="Calibri" w:hAnsi="Calibri"/>
                <w:i/>
              </w:rPr>
              <w:t xml:space="preserve"> </w:t>
            </w:r>
            <w:r w:rsidR="000F5700" w:rsidRPr="000F5700">
              <w:rPr>
                <w:rFonts w:ascii="Calibri" w:hAnsi="Calibri"/>
                <w:i/>
                <w:lang w:val="en-CA"/>
              </w:rPr>
              <w:t>Special Investigation Unit (SIU)</w:t>
            </w:r>
            <w:r w:rsidR="00A85515">
              <w:rPr>
                <w:rFonts w:ascii="Calibri" w:hAnsi="Calibri"/>
                <w:i/>
                <w:lang w:val="en-CA"/>
              </w:rPr>
              <w:t xml:space="preserve"> and separate strategists were developed for the Parliamentary Administration to measure the quality and quantity of support being provided to MPS</w:t>
            </w:r>
            <w:r w:rsidR="00417008" w:rsidRPr="00920DBC">
              <w:rPr>
                <w:rFonts w:ascii="Calibri" w:hAnsi="Calibri"/>
                <w:i/>
              </w:rPr>
              <w:t xml:space="preserve">. </w:t>
            </w:r>
            <w:r w:rsidR="00A85515">
              <w:rPr>
                <w:rFonts w:ascii="Calibri" w:hAnsi="Calibri"/>
                <w:i/>
              </w:rPr>
              <w:t>All t</w:t>
            </w:r>
            <w:r w:rsidR="00EC7BBC" w:rsidRPr="00920DBC">
              <w:rPr>
                <w:rFonts w:ascii="Calibri" w:hAnsi="Calibri"/>
                <w:i/>
              </w:rPr>
              <w:t>hese have resulted in</w:t>
            </w:r>
            <w:r w:rsidR="00A85515">
              <w:rPr>
                <w:rFonts w:ascii="Calibri" w:hAnsi="Calibri"/>
                <w:i/>
              </w:rPr>
              <w:t xml:space="preserve"> supporting and strengthening the progress of the democratic and human rights process as well as the advancing the public administration skills to escalate the quality of services to the community. Two MDGs report were produced and linkages were made to SDGs with engagement of high-level decision-makers.</w:t>
            </w:r>
          </w:p>
        </w:tc>
      </w:tr>
      <w:tr w:rsidR="003B037A" w:rsidRPr="00DC7354" w14:paraId="74BC0BBB" w14:textId="77777777" w:rsidTr="000823AC">
        <w:tc>
          <w:tcPr>
            <w:tcW w:w="3060" w:type="dxa"/>
            <w:shd w:val="clear" w:color="auto" w:fill="95B3D7"/>
          </w:tcPr>
          <w:p w14:paraId="327CCA18" w14:textId="77777777" w:rsidR="003B037A" w:rsidRDefault="003B037A" w:rsidP="00967681">
            <w:pPr>
              <w:pStyle w:val="BodyText2"/>
              <w:rPr>
                <w:rFonts w:ascii="Calibri" w:hAnsi="Calibri"/>
                <w:b/>
              </w:rPr>
            </w:pPr>
            <w:r w:rsidRPr="000823AC">
              <w:rPr>
                <w:rFonts w:ascii="Calibri" w:hAnsi="Calibri"/>
                <w:b/>
              </w:rPr>
              <w:lastRenderedPageBreak/>
              <w:t xml:space="preserve">2. </w:t>
            </w:r>
            <w:r w:rsidR="00967681">
              <w:rPr>
                <w:rFonts w:ascii="Calibri" w:hAnsi="Calibri"/>
                <w:b/>
              </w:rPr>
              <w:t xml:space="preserve">Inclusive Sustainable Development: More women empowered, youth </w:t>
            </w:r>
            <w:r w:rsidR="00A85515">
              <w:rPr>
                <w:rFonts w:ascii="Calibri" w:hAnsi="Calibri"/>
                <w:b/>
              </w:rPr>
              <w:t>unemployment</w:t>
            </w:r>
            <w:r w:rsidR="00967681">
              <w:rPr>
                <w:rFonts w:ascii="Calibri" w:hAnsi="Calibri"/>
                <w:b/>
              </w:rPr>
              <w:t xml:space="preserve"> reduced and national </w:t>
            </w:r>
            <w:r w:rsidR="00A85515">
              <w:rPr>
                <w:rFonts w:ascii="Calibri" w:hAnsi="Calibri"/>
                <w:b/>
              </w:rPr>
              <w:t>environment</w:t>
            </w:r>
            <w:r w:rsidR="00967681">
              <w:rPr>
                <w:rFonts w:ascii="Calibri" w:hAnsi="Calibri"/>
                <w:b/>
              </w:rPr>
              <w:t xml:space="preserve"> protection actively pursued.</w:t>
            </w:r>
          </w:p>
          <w:p w14:paraId="4C612A84" w14:textId="4E24C846" w:rsidR="009A4591" w:rsidRPr="000823AC" w:rsidRDefault="009A4591" w:rsidP="00967681">
            <w:pPr>
              <w:pStyle w:val="BodyText2"/>
              <w:rPr>
                <w:rFonts w:ascii="Calibri" w:hAnsi="Calibri"/>
                <w:b/>
              </w:rPr>
            </w:pPr>
          </w:p>
        </w:tc>
        <w:tc>
          <w:tcPr>
            <w:tcW w:w="1530" w:type="dxa"/>
            <w:gridSpan w:val="2"/>
            <w:shd w:val="clear" w:color="auto" w:fill="auto"/>
          </w:tcPr>
          <w:p w14:paraId="46A8E990" w14:textId="0551627C" w:rsidR="003B037A" w:rsidRPr="00DC7354" w:rsidRDefault="003B037A" w:rsidP="00967681">
            <w:pPr>
              <w:pStyle w:val="BodyText2"/>
              <w:rPr>
                <w:rFonts w:ascii="Calibri" w:hAnsi="Calibri"/>
              </w:rPr>
            </w:pPr>
            <w:r w:rsidRPr="00DC7354">
              <w:rPr>
                <w:rFonts w:ascii="Calibri" w:hAnsi="Calibri"/>
              </w:rPr>
              <w:t>$1.</w:t>
            </w:r>
            <w:r w:rsidR="00184C30">
              <w:rPr>
                <w:rFonts w:ascii="Calibri" w:hAnsi="Calibri"/>
              </w:rPr>
              <w:t>94 million</w:t>
            </w:r>
          </w:p>
        </w:tc>
        <w:tc>
          <w:tcPr>
            <w:tcW w:w="3960" w:type="dxa"/>
            <w:tcBorders>
              <w:left w:val="single" w:sz="4" w:space="0" w:color="auto"/>
            </w:tcBorders>
          </w:tcPr>
          <w:p w14:paraId="2EE28843" w14:textId="1630F3BA" w:rsidR="00A002C6" w:rsidRPr="00B378FF" w:rsidRDefault="00A002C6" w:rsidP="00B378FF">
            <w:pPr>
              <w:pStyle w:val="BodyText2"/>
              <w:numPr>
                <w:ilvl w:val="0"/>
                <w:numId w:val="15"/>
              </w:numPr>
              <w:rPr>
                <w:rFonts w:ascii="Calibri" w:hAnsi="Calibri"/>
                <w:i/>
              </w:rPr>
            </w:pPr>
            <w:r w:rsidRPr="00B378FF">
              <w:rPr>
                <w:rFonts w:ascii="Calibri" w:hAnsi="Calibri"/>
                <w:i/>
              </w:rPr>
              <w:t>Increased share of women and youth in decision-making in public and private sectors and in civil society.</w:t>
            </w:r>
          </w:p>
          <w:p w14:paraId="1CCBE104" w14:textId="2C7D0A58" w:rsidR="00A002C6" w:rsidRPr="00B378FF" w:rsidRDefault="00A002C6" w:rsidP="00B378FF">
            <w:pPr>
              <w:pStyle w:val="BodyText2"/>
              <w:numPr>
                <w:ilvl w:val="0"/>
                <w:numId w:val="15"/>
              </w:numPr>
              <w:rPr>
                <w:rFonts w:ascii="Calibri" w:hAnsi="Calibri"/>
                <w:i/>
              </w:rPr>
            </w:pPr>
            <w:r w:rsidRPr="00B378FF">
              <w:rPr>
                <w:rFonts w:ascii="Calibri" w:hAnsi="Calibri"/>
                <w:i/>
              </w:rPr>
              <w:t>Energy conservation measures submitted to the Cabinet.</w:t>
            </w:r>
          </w:p>
          <w:p w14:paraId="0BDCC0F1" w14:textId="6606ED9C" w:rsidR="00A002C6" w:rsidRPr="00621779" w:rsidRDefault="00A002C6" w:rsidP="00621779">
            <w:pPr>
              <w:pStyle w:val="BodyText2"/>
              <w:numPr>
                <w:ilvl w:val="0"/>
                <w:numId w:val="15"/>
              </w:numPr>
              <w:rPr>
                <w:rFonts w:ascii="Calibri" w:hAnsi="Calibri"/>
                <w:i/>
              </w:rPr>
            </w:pPr>
            <w:r w:rsidRPr="00B378FF">
              <w:rPr>
                <w:rFonts w:ascii="Calibri" w:hAnsi="Calibri"/>
                <w:i/>
              </w:rPr>
              <w:t>Number of key recommendations of National Environment Strategy implemented.</w:t>
            </w:r>
          </w:p>
          <w:p w14:paraId="173F1FD8" w14:textId="767FAFA3" w:rsidR="003B037A" w:rsidRPr="00920DBC" w:rsidRDefault="003B037A" w:rsidP="00806281">
            <w:pPr>
              <w:pStyle w:val="BodyText2"/>
              <w:rPr>
                <w:rFonts w:ascii="Calibri" w:hAnsi="Calibri"/>
                <w:i/>
              </w:rPr>
            </w:pPr>
          </w:p>
        </w:tc>
        <w:tc>
          <w:tcPr>
            <w:tcW w:w="5490" w:type="dxa"/>
            <w:shd w:val="clear" w:color="auto" w:fill="auto"/>
          </w:tcPr>
          <w:p w14:paraId="10C17349" w14:textId="77777777" w:rsidR="001A55BF" w:rsidRDefault="001A55BF" w:rsidP="00424E4F">
            <w:pPr>
              <w:pStyle w:val="BodyText2"/>
              <w:numPr>
                <w:ilvl w:val="0"/>
                <w:numId w:val="16"/>
              </w:numPr>
              <w:rPr>
                <w:rFonts w:ascii="Calibri" w:hAnsi="Calibri"/>
                <w:i/>
              </w:rPr>
            </w:pPr>
            <w:r>
              <w:rPr>
                <w:rFonts w:ascii="Calibri" w:hAnsi="Calibri"/>
                <w:i/>
              </w:rPr>
              <w:t>Sustainable Energy Unit established and staffing taking place</w:t>
            </w:r>
          </w:p>
          <w:p w14:paraId="5776A519" w14:textId="4A08DCE2" w:rsidR="001A55BF" w:rsidRDefault="001A55BF" w:rsidP="001A55BF">
            <w:pPr>
              <w:pStyle w:val="BodyText2"/>
              <w:numPr>
                <w:ilvl w:val="0"/>
                <w:numId w:val="16"/>
              </w:numPr>
              <w:rPr>
                <w:rFonts w:ascii="Calibri" w:hAnsi="Calibri"/>
                <w:i/>
              </w:rPr>
            </w:pPr>
            <w:r>
              <w:rPr>
                <w:rFonts w:ascii="Calibri" w:hAnsi="Calibri"/>
                <w:i/>
              </w:rPr>
              <w:t>National targets for energy efficiency and renewable energy being agreed</w:t>
            </w:r>
          </w:p>
          <w:p w14:paraId="63A74B8A" w14:textId="7583112B" w:rsidR="001A55BF" w:rsidRDefault="005535F8" w:rsidP="001A55BF">
            <w:pPr>
              <w:pStyle w:val="BodyText2"/>
              <w:numPr>
                <w:ilvl w:val="0"/>
                <w:numId w:val="16"/>
              </w:numPr>
              <w:rPr>
                <w:rFonts w:ascii="Calibri" w:hAnsi="Calibri"/>
                <w:i/>
              </w:rPr>
            </w:pPr>
            <w:r>
              <w:rPr>
                <w:rFonts w:ascii="Calibri" w:hAnsi="Calibri"/>
                <w:i/>
              </w:rPr>
              <w:t>Energy Gap Analysis produced</w:t>
            </w:r>
          </w:p>
          <w:p w14:paraId="7CFA541C" w14:textId="1982297B" w:rsidR="005535F8" w:rsidRDefault="005535F8" w:rsidP="001A55BF">
            <w:pPr>
              <w:pStyle w:val="BodyText2"/>
              <w:numPr>
                <w:ilvl w:val="0"/>
                <w:numId w:val="16"/>
              </w:numPr>
              <w:rPr>
                <w:rFonts w:ascii="Calibri" w:hAnsi="Calibri"/>
                <w:i/>
              </w:rPr>
            </w:pPr>
            <w:r>
              <w:rPr>
                <w:rFonts w:ascii="Calibri" w:hAnsi="Calibri"/>
                <w:i/>
              </w:rPr>
              <w:t>National Energy Efficiency Action Plan and Renewable Energy Action Plan being agreed</w:t>
            </w:r>
          </w:p>
          <w:p w14:paraId="6BB5662D" w14:textId="1B81EE23" w:rsidR="003B037A" w:rsidRPr="00920DBC" w:rsidRDefault="00CB2279" w:rsidP="00424E4F">
            <w:pPr>
              <w:pStyle w:val="BodyText2"/>
              <w:numPr>
                <w:ilvl w:val="0"/>
                <w:numId w:val="16"/>
              </w:numPr>
              <w:rPr>
                <w:rFonts w:ascii="Calibri" w:hAnsi="Calibri"/>
                <w:i/>
              </w:rPr>
            </w:pPr>
            <w:r>
              <w:rPr>
                <w:rFonts w:ascii="Calibri" w:hAnsi="Calibri"/>
                <w:i/>
              </w:rPr>
              <w:t>Gender and economic policy courses developed (12)</w:t>
            </w:r>
            <w:r w:rsidR="003B037A" w:rsidRPr="00920DBC">
              <w:rPr>
                <w:rFonts w:ascii="Calibri" w:hAnsi="Calibri"/>
                <w:i/>
              </w:rPr>
              <w:t>.</w:t>
            </w:r>
          </w:p>
          <w:p w14:paraId="5EA4483E" w14:textId="62997A2C" w:rsidR="00CB2279" w:rsidRDefault="00CB2279" w:rsidP="009C5A06">
            <w:pPr>
              <w:pStyle w:val="BodyText2"/>
              <w:numPr>
                <w:ilvl w:val="0"/>
                <w:numId w:val="16"/>
              </w:numPr>
              <w:rPr>
                <w:rFonts w:ascii="Calibri" w:hAnsi="Calibri"/>
                <w:i/>
              </w:rPr>
            </w:pPr>
            <w:r>
              <w:rPr>
                <w:rFonts w:ascii="Calibri" w:hAnsi="Calibri"/>
                <w:i/>
              </w:rPr>
              <w:t>Equal Opportunity Units instituted in ministrie</w:t>
            </w:r>
            <w:r w:rsidR="00FC4249">
              <w:rPr>
                <w:rFonts w:ascii="Calibri" w:hAnsi="Calibri"/>
                <w:i/>
              </w:rPr>
              <w:t>s (21)</w:t>
            </w:r>
            <w:r>
              <w:rPr>
                <w:rFonts w:ascii="Calibri" w:hAnsi="Calibri"/>
                <w:i/>
              </w:rPr>
              <w:t>.</w:t>
            </w:r>
          </w:p>
          <w:p w14:paraId="52FE1099" w14:textId="7722ACEA" w:rsidR="009C5A06" w:rsidRDefault="00931A51" w:rsidP="00931A51">
            <w:pPr>
              <w:pStyle w:val="BodyText2"/>
              <w:numPr>
                <w:ilvl w:val="0"/>
                <w:numId w:val="16"/>
              </w:numPr>
              <w:rPr>
                <w:rFonts w:ascii="Calibri" w:hAnsi="Calibri"/>
                <w:i/>
              </w:rPr>
            </w:pPr>
            <w:r>
              <w:rPr>
                <w:rFonts w:ascii="Calibri" w:hAnsi="Calibri"/>
                <w:i/>
              </w:rPr>
              <w:t>Local NGOs (6) received extensive training on micro-finance over seven months – on all aspects of MF practices.</w:t>
            </w:r>
          </w:p>
          <w:p w14:paraId="4692796E" w14:textId="77777777" w:rsidR="00931A51" w:rsidRDefault="00931A51" w:rsidP="009C5A06">
            <w:pPr>
              <w:pStyle w:val="BodyText2"/>
              <w:numPr>
                <w:ilvl w:val="0"/>
                <w:numId w:val="16"/>
              </w:numPr>
              <w:rPr>
                <w:rFonts w:ascii="Calibri" w:hAnsi="Calibri"/>
                <w:i/>
              </w:rPr>
            </w:pPr>
            <w:r>
              <w:rPr>
                <w:rFonts w:ascii="Calibri" w:hAnsi="Calibri"/>
                <w:i/>
              </w:rPr>
              <w:t>Seed capital grant of USD 25,000 to each NGO (6)</w:t>
            </w:r>
          </w:p>
          <w:p w14:paraId="594C691D" w14:textId="64C302D1" w:rsidR="00931A51" w:rsidRDefault="00931A51" w:rsidP="009C5A06">
            <w:pPr>
              <w:pStyle w:val="BodyText2"/>
              <w:numPr>
                <w:ilvl w:val="0"/>
                <w:numId w:val="16"/>
              </w:numPr>
              <w:rPr>
                <w:rFonts w:ascii="Calibri" w:hAnsi="Calibri"/>
                <w:i/>
              </w:rPr>
            </w:pPr>
            <w:r>
              <w:rPr>
                <w:rFonts w:ascii="Calibri" w:hAnsi="Calibri"/>
                <w:i/>
              </w:rPr>
              <w:t>Commissioning and production of detailed Micro-finance Market Research</w:t>
            </w:r>
          </w:p>
          <w:p w14:paraId="15FEB6B5" w14:textId="4D56EBCA" w:rsidR="00931A51" w:rsidRDefault="00931A51" w:rsidP="009C5A06">
            <w:pPr>
              <w:pStyle w:val="BodyText2"/>
              <w:numPr>
                <w:ilvl w:val="0"/>
                <w:numId w:val="16"/>
              </w:numPr>
              <w:rPr>
                <w:rFonts w:ascii="Calibri" w:hAnsi="Calibri"/>
                <w:i/>
              </w:rPr>
            </w:pPr>
            <w:r>
              <w:rPr>
                <w:rFonts w:ascii="Calibri" w:hAnsi="Calibri"/>
                <w:i/>
              </w:rPr>
              <w:t>NGOs (2) supported in operational and planning</w:t>
            </w:r>
            <w:r w:rsidR="00FD1F84">
              <w:rPr>
                <w:rFonts w:ascii="Calibri" w:hAnsi="Calibri"/>
                <w:i/>
              </w:rPr>
              <w:t xml:space="preserve"> skills</w:t>
            </w:r>
          </w:p>
          <w:p w14:paraId="1CEF897A" w14:textId="77777777" w:rsidR="00931A51" w:rsidRDefault="004E6DB8" w:rsidP="004E6DB8">
            <w:pPr>
              <w:pStyle w:val="BodyText2"/>
              <w:numPr>
                <w:ilvl w:val="0"/>
                <w:numId w:val="16"/>
              </w:numPr>
              <w:rPr>
                <w:rFonts w:ascii="Calibri" w:hAnsi="Calibri"/>
                <w:i/>
              </w:rPr>
            </w:pPr>
            <w:r>
              <w:rPr>
                <w:rFonts w:ascii="Calibri" w:hAnsi="Calibri"/>
                <w:i/>
              </w:rPr>
              <w:t>More than 6,000 clients reached, of which 50% were women and 50% youth under 45 years of age</w:t>
            </w:r>
          </w:p>
          <w:p w14:paraId="1876791B" w14:textId="77777777" w:rsidR="004E6DB8" w:rsidRDefault="004E6DB8" w:rsidP="004E6DB8">
            <w:pPr>
              <w:pStyle w:val="BodyText2"/>
              <w:numPr>
                <w:ilvl w:val="0"/>
                <w:numId w:val="16"/>
              </w:numPr>
              <w:rPr>
                <w:rFonts w:ascii="Calibri" w:hAnsi="Calibri"/>
                <w:i/>
              </w:rPr>
            </w:pPr>
            <w:r>
              <w:rPr>
                <w:rFonts w:ascii="Calibri" w:hAnsi="Calibri"/>
                <w:i/>
              </w:rPr>
              <w:t xml:space="preserve">micro-finance support provided by the Family Bank and six </w:t>
            </w:r>
            <w:r>
              <w:rPr>
                <w:rFonts w:ascii="Calibri" w:hAnsi="Calibri"/>
                <w:i/>
              </w:rPr>
              <w:lastRenderedPageBreak/>
              <w:t>(6) local NGOs</w:t>
            </w:r>
          </w:p>
          <w:p w14:paraId="33409F7E" w14:textId="77777777" w:rsidR="004E6DB8" w:rsidRDefault="006362C0" w:rsidP="004E6DB8">
            <w:pPr>
              <w:pStyle w:val="BodyText2"/>
              <w:numPr>
                <w:ilvl w:val="0"/>
                <w:numId w:val="16"/>
              </w:numPr>
              <w:rPr>
                <w:rFonts w:ascii="Calibri" w:hAnsi="Calibri"/>
                <w:i/>
              </w:rPr>
            </w:pPr>
            <w:r w:rsidRPr="002650C2">
              <w:rPr>
                <w:rFonts w:ascii="Calibri" w:hAnsi="Calibri"/>
                <w:i/>
              </w:rPr>
              <w:t>capacity of NGO</w:t>
            </w:r>
            <w:r>
              <w:rPr>
                <w:rFonts w:ascii="Calibri" w:hAnsi="Calibri"/>
                <w:i/>
              </w:rPr>
              <w:t>s</w:t>
            </w:r>
            <w:r w:rsidRPr="002650C2">
              <w:rPr>
                <w:rFonts w:ascii="Calibri" w:hAnsi="Calibri"/>
                <w:i/>
              </w:rPr>
              <w:t>, HIV/AIDS, BIPA, MOSD improved</w:t>
            </w:r>
          </w:p>
          <w:p w14:paraId="65ED2FC9" w14:textId="77777777" w:rsidR="004A36EA" w:rsidRDefault="004A36EA" w:rsidP="008F48FE">
            <w:pPr>
              <w:pStyle w:val="BodyText2"/>
              <w:numPr>
                <w:ilvl w:val="0"/>
                <w:numId w:val="16"/>
              </w:numPr>
              <w:rPr>
                <w:rFonts w:ascii="Calibri" w:hAnsi="Calibri"/>
                <w:i/>
              </w:rPr>
            </w:pPr>
            <w:r>
              <w:rPr>
                <w:rFonts w:ascii="Calibri" w:hAnsi="Calibri"/>
                <w:i/>
              </w:rPr>
              <w:t>ToT workshop attended by the Central Bank of Bahrain,</w:t>
            </w:r>
            <w:r w:rsidR="008F48FE">
              <w:rPr>
                <w:rFonts w:ascii="Calibri" w:hAnsi="Calibri"/>
                <w:i/>
              </w:rPr>
              <w:t xml:space="preserve"> Family Bank, </w:t>
            </w:r>
            <w:r>
              <w:rPr>
                <w:rFonts w:ascii="Calibri" w:hAnsi="Calibri"/>
                <w:i/>
              </w:rPr>
              <w:t>Ibdaa bank</w:t>
            </w:r>
            <w:r w:rsidR="008F48FE">
              <w:rPr>
                <w:rFonts w:ascii="Calibri" w:hAnsi="Calibri"/>
                <w:i/>
              </w:rPr>
              <w:t>, and Ministry of Social Development</w:t>
            </w:r>
          </w:p>
          <w:p w14:paraId="71FABDC8" w14:textId="77777777" w:rsidR="00FD1F84" w:rsidRDefault="00FD1F84" w:rsidP="008F48FE">
            <w:pPr>
              <w:pStyle w:val="BodyText2"/>
              <w:numPr>
                <w:ilvl w:val="0"/>
                <w:numId w:val="16"/>
              </w:numPr>
              <w:rPr>
                <w:rFonts w:ascii="Calibri" w:hAnsi="Calibri"/>
                <w:i/>
              </w:rPr>
            </w:pPr>
            <w:r>
              <w:rPr>
                <w:rFonts w:ascii="Calibri" w:hAnsi="Calibri"/>
                <w:i/>
              </w:rPr>
              <w:t>2 social strategies developed (childhood and persons with disabilities)</w:t>
            </w:r>
          </w:p>
          <w:p w14:paraId="690C8834" w14:textId="159D42E3" w:rsidR="00FD1F84" w:rsidRPr="00806281" w:rsidRDefault="00A800FF" w:rsidP="008C6F7A">
            <w:pPr>
              <w:pStyle w:val="BodyText2"/>
              <w:numPr>
                <w:ilvl w:val="0"/>
                <w:numId w:val="16"/>
              </w:numPr>
              <w:rPr>
                <w:rFonts w:ascii="Calibri" w:hAnsi="Calibri"/>
                <w:i/>
              </w:rPr>
            </w:pPr>
            <w:r>
              <w:rPr>
                <w:rFonts w:ascii="Calibri" w:hAnsi="Calibri"/>
                <w:i/>
              </w:rPr>
              <w:t xml:space="preserve">Capacity development on HIV/AIDS </w:t>
            </w:r>
            <w:r w:rsidR="008C6F7A">
              <w:rPr>
                <w:rFonts w:ascii="Calibri" w:hAnsi="Calibri"/>
                <w:i/>
              </w:rPr>
              <w:t>for</w:t>
            </w:r>
            <w:r>
              <w:rPr>
                <w:rFonts w:ascii="Calibri" w:hAnsi="Calibri"/>
                <w:i/>
              </w:rPr>
              <w:t xml:space="preserve"> </w:t>
            </w:r>
            <w:r>
              <w:rPr>
                <w:rFonts w:ascii="Calibri Light" w:hAnsi="Calibri Light"/>
                <w:i/>
                <w:iCs/>
                <w:sz w:val="22"/>
                <w:szCs w:val="22"/>
              </w:rPr>
              <w:t>70 religious/ community leaders (Males and Females), 30 Security guards (males and females), 160 male prisoners and 20 Females, 40 community leaders and embassy staff,  were the target group of the HIV/AIDS awareness workshops</w:t>
            </w:r>
          </w:p>
          <w:p w14:paraId="291DBBD8" w14:textId="1111B4CB" w:rsidR="00A800FF" w:rsidRPr="009C5A06" w:rsidRDefault="008C6F7A" w:rsidP="00A800FF">
            <w:pPr>
              <w:pStyle w:val="BodyText2"/>
              <w:numPr>
                <w:ilvl w:val="0"/>
                <w:numId w:val="16"/>
              </w:numPr>
              <w:rPr>
                <w:rFonts w:ascii="Calibri" w:hAnsi="Calibri"/>
                <w:i/>
              </w:rPr>
            </w:pPr>
            <w:r>
              <w:rPr>
                <w:rFonts w:ascii="Calibri Light" w:hAnsi="Calibri Light"/>
                <w:i/>
                <w:iCs/>
                <w:sz w:val="22"/>
                <w:szCs w:val="22"/>
              </w:rPr>
              <w:t>an educational documentary Film was produced in Arabic (Subtitled in English).  Some PLWHIV had participated in the film to pass their experiences.  The main goal of the film will be to raise awareness among different clusters of the society, including expatriate labours</w:t>
            </w:r>
          </w:p>
        </w:tc>
      </w:tr>
      <w:tr w:rsidR="00700521" w:rsidRPr="00DC7354" w14:paraId="44FB3A04" w14:textId="77777777" w:rsidTr="009E7526">
        <w:tc>
          <w:tcPr>
            <w:tcW w:w="14040" w:type="dxa"/>
            <w:gridSpan w:val="5"/>
          </w:tcPr>
          <w:p w14:paraId="6D1B02F6" w14:textId="2A79B9E6" w:rsidR="00700521" w:rsidRPr="00837C4B" w:rsidRDefault="00700521" w:rsidP="00366AD1">
            <w:pPr>
              <w:pStyle w:val="BodyText2"/>
              <w:rPr>
                <w:rFonts w:ascii="Calibri" w:hAnsi="Calibri"/>
                <w:b/>
              </w:rPr>
            </w:pPr>
            <w:r w:rsidRPr="00837C4B">
              <w:rPr>
                <w:rFonts w:ascii="Calibri" w:hAnsi="Calibri"/>
                <w:b/>
              </w:rPr>
              <w:lastRenderedPageBreak/>
              <w:t>UNDP Contribution:</w:t>
            </w:r>
          </w:p>
          <w:p w14:paraId="2D153A4B" w14:textId="6381337E" w:rsidR="0002200B" w:rsidRPr="00806281" w:rsidRDefault="00993858" w:rsidP="00806281">
            <w:pPr>
              <w:pStyle w:val="BodyText2"/>
              <w:rPr>
                <w:rFonts w:ascii="Calibri" w:hAnsi="Calibri"/>
                <w:i/>
              </w:rPr>
            </w:pPr>
            <w:r w:rsidRPr="00806281">
              <w:rPr>
                <w:rFonts w:ascii="Calibri" w:hAnsi="Calibri"/>
                <w:i/>
              </w:rPr>
              <w:t xml:space="preserve">On the issue of gender, UNDP supported efforts of the Supreme Council for Women to institutionalize Equal Opportunity Units is government. </w:t>
            </w:r>
            <w:r w:rsidR="00CB2279" w:rsidRPr="00CB2279">
              <w:rPr>
                <w:rFonts w:ascii="Calibri" w:hAnsi="Calibri"/>
                <w:i/>
              </w:rPr>
              <w:t>In</w:t>
            </w:r>
            <w:r w:rsidRPr="00806281">
              <w:rPr>
                <w:rFonts w:ascii="Calibri" w:hAnsi="Calibri"/>
                <w:i/>
              </w:rPr>
              <w:t xml:space="preserve"> addition, with the University of Bahrain, twelve modules were developed for policy makers on gender and economic empowerment. The twelve modules were carefully and strategically identified taking into account the specific policy and socio-economic needs and performance in the Arab region. These modules focused on public finance and gender responsive budgeting, unpaid workers, employment and labour market, inclusive growth and other related topics. UNDP also supported the d</w:t>
            </w:r>
            <w:r w:rsidR="0002200B" w:rsidRPr="00806281">
              <w:rPr>
                <w:rFonts w:ascii="Calibri" w:hAnsi="Calibri"/>
                <w:i/>
              </w:rPr>
              <w:t xml:space="preserve">evelopment of the national strategies </w:t>
            </w:r>
            <w:r w:rsidRPr="00806281">
              <w:rPr>
                <w:rFonts w:ascii="Calibri" w:hAnsi="Calibri"/>
                <w:i/>
              </w:rPr>
              <w:t xml:space="preserve">on </w:t>
            </w:r>
            <w:r w:rsidR="0002200B" w:rsidRPr="00806281">
              <w:rPr>
                <w:rFonts w:ascii="Calibri" w:hAnsi="Calibri"/>
                <w:i/>
              </w:rPr>
              <w:t>childhoo</w:t>
            </w:r>
            <w:r w:rsidRPr="00806281">
              <w:rPr>
                <w:rFonts w:ascii="Calibri" w:hAnsi="Calibri"/>
                <w:i/>
              </w:rPr>
              <w:t>d and persons with disabilities, as well as their implementation. Over the CP period, there was a r</w:t>
            </w:r>
            <w:r w:rsidR="0002200B" w:rsidRPr="00806281">
              <w:rPr>
                <w:rFonts w:ascii="Calibri" w:hAnsi="Calibri"/>
                <w:i/>
              </w:rPr>
              <w:t>evitalization of micro-finance support espec</w:t>
            </w:r>
            <w:r w:rsidR="00CD577E" w:rsidRPr="00CD577E">
              <w:rPr>
                <w:rFonts w:ascii="Calibri" w:hAnsi="Calibri"/>
                <w:i/>
              </w:rPr>
              <w:t>ially in capacity development (</w:t>
            </w:r>
            <w:r w:rsidR="0002200B" w:rsidRPr="00806281">
              <w:rPr>
                <w:rFonts w:ascii="Calibri" w:hAnsi="Calibri"/>
                <w:i/>
              </w:rPr>
              <w:t>NGOs, Gov</w:t>
            </w:r>
            <w:r w:rsidRPr="00806281">
              <w:rPr>
                <w:rFonts w:ascii="Calibri" w:hAnsi="Calibri"/>
                <w:i/>
              </w:rPr>
              <w:t>ernment and the Family Bank ). Similarly micro-finance</w:t>
            </w:r>
            <w:r w:rsidR="0002200B" w:rsidRPr="00806281">
              <w:rPr>
                <w:rFonts w:ascii="Calibri" w:hAnsi="Calibri"/>
                <w:i/>
              </w:rPr>
              <w:t xml:space="preserve"> financial regulation</w:t>
            </w:r>
            <w:r w:rsidRPr="00806281">
              <w:rPr>
                <w:rFonts w:ascii="Calibri" w:hAnsi="Calibri"/>
                <w:i/>
              </w:rPr>
              <w:t>s were supported to further institutionalize efforts; the</w:t>
            </w:r>
            <w:r w:rsidR="0002200B" w:rsidRPr="00806281">
              <w:rPr>
                <w:rFonts w:ascii="Calibri" w:hAnsi="Calibri"/>
                <w:i/>
              </w:rPr>
              <w:t xml:space="preserve"> MF chapter was introduced in the C</w:t>
            </w:r>
            <w:r w:rsidRPr="00806281">
              <w:rPr>
                <w:rFonts w:ascii="Calibri" w:hAnsi="Calibri"/>
                <w:i/>
              </w:rPr>
              <w:t xml:space="preserve">entral </w:t>
            </w:r>
            <w:r w:rsidR="0002200B" w:rsidRPr="00806281">
              <w:rPr>
                <w:rFonts w:ascii="Calibri" w:hAnsi="Calibri"/>
                <w:i/>
              </w:rPr>
              <w:t>B</w:t>
            </w:r>
            <w:r w:rsidRPr="00806281">
              <w:rPr>
                <w:rFonts w:ascii="Calibri" w:hAnsi="Calibri"/>
                <w:i/>
              </w:rPr>
              <w:t xml:space="preserve">ank of </w:t>
            </w:r>
            <w:r w:rsidR="0002200B" w:rsidRPr="00806281">
              <w:rPr>
                <w:rFonts w:ascii="Calibri" w:hAnsi="Calibri"/>
                <w:i/>
              </w:rPr>
              <w:t>B</w:t>
            </w:r>
            <w:r w:rsidRPr="00806281">
              <w:rPr>
                <w:rFonts w:ascii="Calibri" w:hAnsi="Calibri"/>
                <w:i/>
              </w:rPr>
              <w:t>ahrain (CBB)</w:t>
            </w:r>
            <w:r w:rsidR="0002200B" w:rsidRPr="00806281">
              <w:rPr>
                <w:rFonts w:ascii="Calibri" w:hAnsi="Calibri"/>
                <w:i/>
              </w:rPr>
              <w:t xml:space="preserve"> financial manual</w:t>
            </w:r>
            <w:r w:rsidRPr="00806281">
              <w:rPr>
                <w:rFonts w:ascii="Calibri" w:hAnsi="Calibri"/>
                <w:i/>
              </w:rPr>
              <w:t xml:space="preserve">. The project with </w:t>
            </w:r>
            <w:r w:rsidR="0002200B" w:rsidRPr="00806281">
              <w:rPr>
                <w:rFonts w:ascii="Calibri" w:hAnsi="Calibri"/>
                <w:i/>
              </w:rPr>
              <w:t>M</w:t>
            </w:r>
            <w:r w:rsidRPr="00806281">
              <w:rPr>
                <w:rFonts w:ascii="Calibri" w:hAnsi="Calibri"/>
                <w:i/>
              </w:rPr>
              <w:t xml:space="preserve">inistry of </w:t>
            </w:r>
            <w:r w:rsidR="0002200B" w:rsidRPr="00806281">
              <w:rPr>
                <w:rFonts w:ascii="Calibri" w:hAnsi="Calibri"/>
                <w:i/>
              </w:rPr>
              <w:t>S</w:t>
            </w:r>
            <w:r w:rsidRPr="00806281">
              <w:rPr>
                <w:rFonts w:ascii="Calibri" w:hAnsi="Calibri"/>
                <w:i/>
              </w:rPr>
              <w:t xml:space="preserve">ocial </w:t>
            </w:r>
            <w:r w:rsidR="0002200B" w:rsidRPr="00806281">
              <w:rPr>
                <w:rFonts w:ascii="Calibri" w:hAnsi="Calibri"/>
                <w:i/>
              </w:rPr>
              <w:t>D</w:t>
            </w:r>
            <w:r w:rsidRPr="00806281">
              <w:rPr>
                <w:rFonts w:ascii="Calibri" w:hAnsi="Calibri"/>
                <w:i/>
              </w:rPr>
              <w:t>evelopment on</w:t>
            </w:r>
            <w:r w:rsidR="0002200B" w:rsidRPr="00806281">
              <w:rPr>
                <w:rFonts w:ascii="Calibri" w:hAnsi="Calibri"/>
                <w:i/>
              </w:rPr>
              <w:t xml:space="preserve"> MF targeted youth and women through </w:t>
            </w:r>
            <w:r w:rsidRPr="00806281">
              <w:rPr>
                <w:rFonts w:ascii="Calibri" w:hAnsi="Calibri"/>
                <w:i/>
              </w:rPr>
              <w:t xml:space="preserve">local </w:t>
            </w:r>
            <w:r w:rsidR="0002200B" w:rsidRPr="00806281">
              <w:rPr>
                <w:rFonts w:ascii="Calibri" w:hAnsi="Calibri"/>
                <w:i/>
              </w:rPr>
              <w:t>NGOs</w:t>
            </w:r>
            <w:r w:rsidRPr="00806281">
              <w:rPr>
                <w:rFonts w:ascii="Calibri" w:hAnsi="Calibri"/>
                <w:i/>
              </w:rPr>
              <w:t xml:space="preserve">. In addition, </w:t>
            </w:r>
            <w:r w:rsidR="0002200B" w:rsidRPr="00806281">
              <w:rPr>
                <w:rFonts w:ascii="Calibri" w:hAnsi="Calibri"/>
                <w:i/>
              </w:rPr>
              <w:t xml:space="preserve">resources </w:t>
            </w:r>
            <w:r w:rsidRPr="00806281">
              <w:rPr>
                <w:rFonts w:ascii="Calibri" w:hAnsi="Calibri"/>
                <w:i/>
              </w:rPr>
              <w:t xml:space="preserve">were mobilized </w:t>
            </w:r>
            <w:r w:rsidR="0002200B" w:rsidRPr="00806281">
              <w:rPr>
                <w:rFonts w:ascii="Calibri" w:hAnsi="Calibri"/>
                <w:i/>
              </w:rPr>
              <w:t>to train police officers</w:t>
            </w:r>
            <w:r w:rsidR="00E766FC" w:rsidRPr="00806281">
              <w:rPr>
                <w:rFonts w:ascii="Calibri" w:hAnsi="Calibri"/>
                <w:i/>
              </w:rPr>
              <w:t>,</w:t>
            </w:r>
            <w:r w:rsidR="0002200B" w:rsidRPr="00806281">
              <w:rPr>
                <w:rFonts w:ascii="Calibri" w:hAnsi="Calibri"/>
                <w:i/>
              </w:rPr>
              <w:t xml:space="preserve"> </w:t>
            </w:r>
            <w:r w:rsidR="00E766FC" w:rsidRPr="00806281">
              <w:rPr>
                <w:rFonts w:ascii="Calibri" w:hAnsi="Calibri"/>
                <w:i/>
              </w:rPr>
              <w:t>prisoners</w:t>
            </w:r>
            <w:r w:rsidR="0002200B" w:rsidRPr="00806281">
              <w:rPr>
                <w:rFonts w:ascii="Calibri" w:hAnsi="Calibri"/>
                <w:i/>
              </w:rPr>
              <w:t xml:space="preserve"> and People Living with HIV/AIDS and injected drug users</w:t>
            </w:r>
            <w:r w:rsidR="00E766FC" w:rsidRPr="00806281">
              <w:rPr>
                <w:rFonts w:ascii="Calibri" w:hAnsi="Calibri"/>
                <w:i/>
              </w:rPr>
              <w:t xml:space="preserve"> (IDUs)</w:t>
            </w:r>
            <w:r w:rsidR="0002200B" w:rsidRPr="00806281">
              <w:rPr>
                <w:rFonts w:ascii="Calibri" w:hAnsi="Calibri"/>
                <w:i/>
              </w:rPr>
              <w:t>, female and male, on preventive measures</w:t>
            </w:r>
            <w:r w:rsidR="00CD577E" w:rsidRPr="00806281">
              <w:rPr>
                <w:rFonts w:ascii="Calibri" w:hAnsi="Calibri"/>
                <w:i/>
              </w:rPr>
              <w:t xml:space="preserve">. Furthermore, </w:t>
            </w:r>
            <w:r w:rsidR="0002200B" w:rsidRPr="00806281">
              <w:rPr>
                <w:rFonts w:ascii="Calibri" w:hAnsi="Calibri"/>
                <w:i/>
              </w:rPr>
              <w:t xml:space="preserve">embassy staff </w:t>
            </w:r>
            <w:r w:rsidR="00CD577E" w:rsidRPr="00806281">
              <w:rPr>
                <w:rFonts w:ascii="Calibri" w:hAnsi="Calibri"/>
                <w:i/>
              </w:rPr>
              <w:t xml:space="preserve">were trained </w:t>
            </w:r>
            <w:r w:rsidR="0002200B" w:rsidRPr="00806281">
              <w:rPr>
                <w:rFonts w:ascii="Calibri" w:hAnsi="Calibri"/>
                <w:i/>
              </w:rPr>
              <w:t>on HIV/AIDS related issues. Produced an awareness film.</w:t>
            </w:r>
          </w:p>
          <w:p w14:paraId="404D854A" w14:textId="77777777" w:rsidR="008B06DD" w:rsidRPr="00806281" w:rsidRDefault="008B06DD" w:rsidP="00366AD1">
            <w:pPr>
              <w:pStyle w:val="BodyText2"/>
              <w:rPr>
                <w:rFonts w:ascii="Calibri" w:hAnsi="Calibri"/>
                <w:i/>
              </w:rPr>
            </w:pPr>
          </w:p>
          <w:p w14:paraId="78FF2D57" w14:textId="77777777" w:rsidR="008B06DD" w:rsidRDefault="008B06DD" w:rsidP="00612159">
            <w:pPr>
              <w:pStyle w:val="BodyText2"/>
              <w:rPr>
                <w:rFonts w:ascii="Calibri" w:hAnsi="Calibri"/>
              </w:rPr>
            </w:pPr>
            <w:r w:rsidRPr="00B00E5C">
              <w:rPr>
                <w:rFonts w:ascii="Calibri" w:hAnsi="Calibri"/>
                <w:u w:val="single"/>
              </w:rPr>
              <w:t>CP Outputs</w:t>
            </w:r>
            <w:r w:rsidR="00845340">
              <w:rPr>
                <w:rFonts w:ascii="Calibri" w:hAnsi="Calibri"/>
              </w:rPr>
              <w:t>:</w:t>
            </w:r>
          </w:p>
          <w:p w14:paraId="6373251E" w14:textId="7991B8F3" w:rsidR="004777E4" w:rsidRDefault="004777E4" w:rsidP="00CB2279">
            <w:pPr>
              <w:pStyle w:val="BodyText2"/>
              <w:rPr>
                <w:rFonts w:ascii="Calibri" w:hAnsi="Calibri"/>
                <w:i/>
              </w:rPr>
            </w:pPr>
            <w:r>
              <w:rPr>
                <w:rFonts w:ascii="Calibri" w:hAnsi="Calibri"/>
                <w:i/>
              </w:rPr>
              <w:t>The UNDP CP identified the following</w:t>
            </w:r>
            <w:r w:rsidRPr="009B76A1">
              <w:rPr>
                <w:rFonts w:ascii="Calibri" w:hAnsi="Calibri"/>
                <w:i/>
              </w:rPr>
              <w:t xml:space="preserve"> major outputs to support the Government in achieving this outcome: (a) </w:t>
            </w:r>
            <w:r>
              <w:rPr>
                <w:rFonts w:ascii="Calibri" w:hAnsi="Calibri"/>
                <w:i/>
              </w:rPr>
              <w:t xml:space="preserve">establishing the Sustainable Energy Unit,  (b) gender economic policy management courses developed, (c) Supreme Council for Women and the National Strategy for the Advancement of Bahraini Women supported, (d) </w:t>
            </w:r>
            <w:r w:rsidR="00A96118">
              <w:rPr>
                <w:rFonts w:ascii="Calibri" w:hAnsi="Calibri"/>
                <w:i/>
              </w:rPr>
              <w:t>support to the formulation and implementation of national social strategies (</w:t>
            </w:r>
            <w:r w:rsidR="00F471C8">
              <w:rPr>
                <w:rFonts w:ascii="Calibri" w:hAnsi="Calibri"/>
                <w:i/>
              </w:rPr>
              <w:t xml:space="preserve">childhood, youth, elderly, </w:t>
            </w:r>
            <w:r w:rsidR="008E4407">
              <w:rPr>
                <w:rFonts w:ascii="Calibri" w:hAnsi="Calibri"/>
                <w:i/>
              </w:rPr>
              <w:t xml:space="preserve">and </w:t>
            </w:r>
            <w:r w:rsidR="00F471C8">
              <w:rPr>
                <w:rFonts w:ascii="Calibri" w:hAnsi="Calibri"/>
                <w:i/>
              </w:rPr>
              <w:t>persons with disabilities</w:t>
            </w:r>
            <w:r w:rsidR="008E4407">
              <w:rPr>
                <w:rFonts w:ascii="Calibri" w:hAnsi="Calibri"/>
                <w:i/>
              </w:rPr>
              <w:t xml:space="preserve">), (e) support to </w:t>
            </w:r>
            <w:r w:rsidR="00CB2279">
              <w:rPr>
                <w:rFonts w:ascii="Calibri" w:hAnsi="Calibri"/>
                <w:i/>
              </w:rPr>
              <w:t xml:space="preserve">the expansion of </w:t>
            </w:r>
            <w:r w:rsidR="008E4407">
              <w:rPr>
                <w:rFonts w:ascii="Calibri" w:hAnsi="Calibri"/>
                <w:i/>
              </w:rPr>
              <w:t xml:space="preserve">micro-finance </w:t>
            </w:r>
            <w:r w:rsidR="00CB2279">
              <w:rPr>
                <w:rFonts w:ascii="Calibri" w:hAnsi="Calibri"/>
                <w:i/>
              </w:rPr>
              <w:t>services to the needy citizens</w:t>
            </w:r>
            <w:r w:rsidR="008E4407">
              <w:rPr>
                <w:rFonts w:ascii="Calibri" w:hAnsi="Calibri"/>
                <w:i/>
              </w:rPr>
              <w:t>, and (f) support to community responses to HIV/AIDS.</w:t>
            </w:r>
          </w:p>
          <w:p w14:paraId="5C1A317D" w14:textId="77777777" w:rsidR="004777E4" w:rsidRPr="00845340" w:rsidRDefault="004777E4" w:rsidP="00612159">
            <w:pPr>
              <w:pStyle w:val="BodyText2"/>
              <w:rPr>
                <w:rFonts w:ascii="Calibri" w:hAnsi="Calibri"/>
              </w:rPr>
            </w:pPr>
          </w:p>
          <w:p w14:paraId="161BE401" w14:textId="77777777" w:rsidR="00700521" w:rsidRDefault="008B06DD" w:rsidP="00D9192E">
            <w:pPr>
              <w:pStyle w:val="BodyText2"/>
              <w:rPr>
                <w:rFonts w:ascii="Calibri" w:hAnsi="Calibri"/>
              </w:rPr>
            </w:pPr>
            <w:r w:rsidRPr="00B00E5C">
              <w:rPr>
                <w:rFonts w:ascii="Calibri" w:hAnsi="Calibri"/>
                <w:u w:val="single"/>
              </w:rPr>
              <w:t>Progress and Achievements</w:t>
            </w:r>
            <w:r w:rsidR="00845340">
              <w:rPr>
                <w:rFonts w:ascii="Calibri" w:hAnsi="Calibri"/>
              </w:rPr>
              <w:t>:</w:t>
            </w:r>
          </w:p>
          <w:p w14:paraId="707B4B0E" w14:textId="34F0D26F" w:rsidR="00A800FF" w:rsidRPr="00806281" w:rsidRDefault="00FD1F84" w:rsidP="008674CC">
            <w:pPr>
              <w:pStyle w:val="BodyText2"/>
              <w:rPr>
                <w:rFonts w:ascii="Calibri" w:hAnsi="Calibri"/>
                <w:i/>
              </w:rPr>
            </w:pPr>
            <w:r w:rsidRPr="00920DBC">
              <w:rPr>
                <w:rFonts w:ascii="Calibri" w:hAnsi="Calibri"/>
                <w:i/>
              </w:rPr>
              <w:t>At the end of the cycle</w:t>
            </w:r>
            <w:r>
              <w:rPr>
                <w:rFonts w:ascii="Calibri" w:hAnsi="Calibri"/>
                <w:i/>
              </w:rPr>
              <w:t xml:space="preserve"> the gender and economic modules were ready and the project must now first launch them nationally with policy makers from Bahrain. This will provide the needed capacity and knowledge for decision makers in public sector and the Equal Opportunity Units ( EPUs), as well as support the agenda of these EOUs. The change in the regulation of the CBB on micro-finance enhanced the access and operalisation of micro-finance financial services.</w:t>
            </w:r>
            <w:r w:rsidR="00A800FF">
              <w:rPr>
                <w:rFonts w:ascii="Calibri" w:hAnsi="Calibri"/>
                <w:i/>
              </w:rPr>
              <w:t xml:space="preserve"> Finally the social strategies institutionalized national efforts on childhood and disabilities. These strategies were essential to set the baselines, agree targets and measure national progress of all partners.</w:t>
            </w:r>
            <w:r w:rsidR="008C6F7A">
              <w:rPr>
                <w:rFonts w:ascii="Calibri" w:hAnsi="Calibri"/>
                <w:i/>
              </w:rPr>
              <w:t xml:space="preserve"> </w:t>
            </w:r>
            <w:r w:rsidR="008674CC">
              <w:rPr>
                <w:rFonts w:ascii="Calibri" w:hAnsi="Calibri"/>
                <w:i/>
              </w:rPr>
              <w:t>The office secured resources to continue the awareness activities pertaining to HIV/AIDS on a national level, including reaching sensitive target groups, such as IDU prisoners, not previously accessed. Moreover, the establishment of the Sustainable Energy Unit is an important achievement that will support national efforts to raise awareness and pursue targets on energy efficiency and renewable energy</w:t>
            </w:r>
            <w:r w:rsidR="008F52AE">
              <w:rPr>
                <w:rFonts w:ascii="Calibri" w:hAnsi="Calibri"/>
                <w:i/>
              </w:rPr>
              <w:t>; through the development of the National Energy Efficiency Action Plan (NEEAP) and National Renewable Energy Action Plan (NREAP).</w:t>
            </w:r>
            <w:r w:rsidR="008674CC">
              <w:rPr>
                <w:rFonts w:ascii="Calibri" w:hAnsi="Calibri"/>
                <w:i/>
              </w:rPr>
              <w:t xml:space="preserve">  </w:t>
            </w:r>
          </w:p>
        </w:tc>
      </w:tr>
    </w:tbl>
    <w:p w14:paraId="74ED94E0" w14:textId="77777777" w:rsidR="00D9192E" w:rsidRDefault="00D9192E">
      <w:r>
        <w:lastRenderedPageBreak/>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F01FDE" w14:paraId="08CC8364" w14:textId="77777777" w:rsidTr="000823AC">
        <w:tc>
          <w:tcPr>
            <w:tcW w:w="3060" w:type="dxa"/>
            <w:shd w:val="clear" w:color="auto" w:fill="95B3D7"/>
          </w:tcPr>
          <w:p w14:paraId="59754504" w14:textId="77777777" w:rsidR="003B037A" w:rsidRPr="000823AC" w:rsidRDefault="00967681" w:rsidP="00DC4D86">
            <w:pPr>
              <w:pStyle w:val="BodyText2"/>
              <w:rPr>
                <w:rFonts w:ascii="Times New Roman" w:hAnsi="Times New Roman"/>
                <w:b/>
              </w:rPr>
            </w:pPr>
            <w:r w:rsidRPr="00967681">
              <w:rPr>
                <w:rFonts w:ascii="Calibri" w:hAnsi="Calibri"/>
                <w:b/>
              </w:rPr>
              <w:lastRenderedPageBreak/>
              <w:t xml:space="preserve">3. </w:t>
            </w:r>
            <w:r w:rsidR="00A85515" w:rsidRPr="00967681">
              <w:rPr>
                <w:rFonts w:ascii="Calibri" w:hAnsi="Calibri"/>
                <w:b/>
              </w:rPr>
              <w:t>Economic</w:t>
            </w:r>
            <w:r w:rsidRPr="00967681">
              <w:rPr>
                <w:rFonts w:ascii="Calibri" w:hAnsi="Calibri"/>
                <w:b/>
              </w:rPr>
              <w:t xml:space="preserve"> development</w:t>
            </w:r>
            <w:r>
              <w:rPr>
                <w:rFonts w:ascii="Calibri" w:hAnsi="Calibri"/>
                <w:b/>
              </w:rPr>
              <w:t xml:space="preserve">: </w:t>
            </w:r>
            <w:r w:rsidR="00A85515">
              <w:rPr>
                <w:rFonts w:ascii="Calibri" w:hAnsi="Calibri"/>
                <w:b/>
              </w:rPr>
              <w:t>Knowledge</w:t>
            </w:r>
            <w:r>
              <w:rPr>
                <w:rFonts w:ascii="Calibri" w:hAnsi="Calibri"/>
                <w:b/>
              </w:rPr>
              <w:t xml:space="preserve">-based and </w:t>
            </w:r>
            <w:r w:rsidR="00A85515">
              <w:rPr>
                <w:rFonts w:ascii="Calibri" w:hAnsi="Calibri"/>
                <w:b/>
              </w:rPr>
              <w:t>private</w:t>
            </w:r>
            <w:r>
              <w:rPr>
                <w:rFonts w:ascii="Calibri" w:hAnsi="Calibri"/>
                <w:b/>
              </w:rPr>
              <w:t xml:space="preserve"> sector growth for sustainable pro-poor and pro-</w:t>
            </w:r>
            <w:r w:rsidR="00A85515">
              <w:rPr>
                <w:rFonts w:ascii="Calibri" w:hAnsi="Calibri"/>
                <w:b/>
              </w:rPr>
              <w:t>women</w:t>
            </w:r>
            <w:r>
              <w:rPr>
                <w:rFonts w:ascii="Calibri" w:hAnsi="Calibri"/>
                <w:b/>
              </w:rPr>
              <w:t xml:space="preserve"> development.</w:t>
            </w:r>
          </w:p>
        </w:tc>
        <w:tc>
          <w:tcPr>
            <w:tcW w:w="1530" w:type="dxa"/>
            <w:shd w:val="clear" w:color="auto" w:fill="auto"/>
          </w:tcPr>
          <w:p w14:paraId="02E59D2C" w14:textId="66D30BC0" w:rsidR="003B037A" w:rsidRPr="00F01FDE" w:rsidRDefault="003B037A">
            <w:pPr>
              <w:pStyle w:val="BodyText2"/>
              <w:rPr>
                <w:rFonts w:ascii="Times New Roman" w:hAnsi="Times New Roman"/>
              </w:rPr>
            </w:pPr>
            <w:r w:rsidRPr="00F01FDE">
              <w:rPr>
                <w:rFonts w:ascii="Times New Roman" w:hAnsi="Times New Roman"/>
              </w:rPr>
              <w:t>$</w:t>
            </w:r>
            <w:r w:rsidR="00184C30">
              <w:rPr>
                <w:rFonts w:ascii="Times New Roman" w:hAnsi="Times New Roman"/>
              </w:rPr>
              <w:t xml:space="preserve"> 1.4 million</w:t>
            </w:r>
          </w:p>
        </w:tc>
        <w:tc>
          <w:tcPr>
            <w:tcW w:w="3960" w:type="dxa"/>
            <w:tcBorders>
              <w:left w:val="single" w:sz="4" w:space="0" w:color="auto"/>
            </w:tcBorders>
          </w:tcPr>
          <w:p w14:paraId="277CAE1B" w14:textId="6F02D300" w:rsidR="006658FB" w:rsidRPr="00B378FF" w:rsidRDefault="006658FB" w:rsidP="00B378FF">
            <w:pPr>
              <w:pStyle w:val="BodyText2"/>
              <w:numPr>
                <w:ilvl w:val="0"/>
                <w:numId w:val="21"/>
              </w:numPr>
              <w:rPr>
                <w:rFonts w:ascii="Calibri" w:hAnsi="Calibri"/>
                <w:i/>
              </w:rPr>
            </w:pPr>
            <w:r w:rsidRPr="00B378FF">
              <w:rPr>
                <w:rFonts w:ascii="Calibri" w:hAnsi="Calibri"/>
                <w:i/>
              </w:rPr>
              <w:t>Number of Bahraini companies successfully linked with global knowledge networks.</w:t>
            </w:r>
          </w:p>
          <w:p w14:paraId="45C181B3" w14:textId="75300A86" w:rsidR="006658FB" w:rsidRPr="00B378FF" w:rsidRDefault="006658FB" w:rsidP="00B378FF">
            <w:pPr>
              <w:pStyle w:val="BodyText2"/>
              <w:numPr>
                <w:ilvl w:val="0"/>
                <w:numId w:val="21"/>
              </w:numPr>
              <w:rPr>
                <w:rFonts w:ascii="Calibri" w:hAnsi="Calibri"/>
                <w:i/>
              </w:rPr>
            </w:pPr>
            <w:r w:rsidRPr="00B378FF">
              <w:rPr>
                <w:rFonts w:ascii="Calibri" w:hAnsi="Calibri"/>
                <w:i/>
              </w:rPr>
              <w:t xml:space="preserve">Enhanced negotiations, application and implementation of WTO Doha Development Agenda. </w:t>
            </w:r>
          </w:p>
          <w:p w14:paraId="3DCB57FB" w14:textId="323C68DC" w:rsidR="003B037A" w:rsidRPr="00B378FF" w:rsidRDefault="003B037A">
            <w:pPr>
              <w:pStyle w:val="BodyText2"/>
              <w:rPr>
                <w:rFonts w:ascii="Times New Roman" w:hAnsi="Times New Roman"/>
                <w:lang w:val="en-GB"/>
              </w:rPr>
            </w:pPr>
          </w:p>
        </w:tc>
        <w:tc>
          <w:tcPr>
            <w:tcW w:w="5490" w:type="dxa"/>
            <w:shd w:val="clear" w:color="auto" w:fill="auto"/>
          </w:tcPr>
          <w:p w14:paraId="3C7E22D1" w14:textId="5A659C30" w:rsidR="003B037A" w:rsidRPr="00B378FF" w:rsidRDefault="00CC2572" w:rsidP="00B378FF">
            <w:pPr>
              <w:pStyle w:val="BodyText2"/>
              <w:numPr>
                <w:ilvl w:val="0"/>
                <w:numId w:val="22"/>
              </w:numPr>
              <w:rPr>
                <w:rFonts w:ascii="Times New Roman" w:hAnsi="Times New Roman"/>
              </w:rPr>
            </w:pPr>
            <w:r>
              <w:rPr>
                <w:rFonts w:ascii="Times New Roman" w:hAnsi="Times New Roman"/>
              </w:rPr>
              <w:t xml:space="preserve">capacity development on </w:t>
            </w:r>
            <w:r w:rsidRPr="007D007B">
              <w:rPr>
                <w:rFonts w:ascii="Calibri" w:hAnsi="Calibri"/>
                <w:bCs/>
              </w:rPr>
              <w:t>trade facilitation</w:t>
            </w:r>
            <w:r>
              <w:rPr>
                <w:rFonts w:ascii="Calibri" w:hAnsi="Calibri"/>
                <w:bCs/>
              </w:rPr>
              <w:t>.</w:t>
            </w:r>
          </w:p>
          <w:p w14:paraId="605C99E8" w14:textId="3D185A87" w:rsidR="00CC2572" w:rsidRDefault="00530253" w:rsidP="00B378FF">
            <w:pPr>
              <w:pStyle w:val="BodyText2"/>
              <w:numPr>
                <w:ilvl w:val="0"/>
                <w:numId w:val="22"/>
              </w:numPr>
              <w:rPr>
                <w:rFonts w:ascii="Times New Roman" w:hAnsi="Times New Roman"/>
              </w:rPr>
            </w:pPr>
            <w:r>
              <w:rPr>
                <w:rFonts w:ascii="Times New Roman" w:hAnsi="Times New Roman"/>
              </w:rPr>
              <w:t>Studies and policy options on US-FTA.</w:t>
            </w:r>
          </w:p>
          <w:p w14:paraId="0FCFB7D3" w14:textId="77777777" w:rsidR="00530253" w:rsidRDefault="00530253" w:rsidP="00B378FF">
            <w:pPr>
              <w:pStyle w:val="BodyText2"/>
              <w:numPr>
                <w:ilvl w:val="0"/>
                <w:numId w:val="22"/>
              </w:numPr>
              <w:rPr>
                <w:rFonts w:ascii="Times New Roman" w:hAnsi="Times New Roman"/>
              </w:rPr>
            </w:pPr>
            <w:r>
              <w:rPr>
                <w:rFonts w:ascii="Times New Roman" w:hAnsi="Times New Roman"/>
              </w:rPr>
              <w:t>Studies and policy options on export promotion.</w:t>
            </w:r>
          </w:p>
          <w:p w14:paraId="574629E0" w14:textId="77777777" w:rsidR="00530253" w:rsidRPr="00B378FF" w:rsidRDefault="00F62557" w:rsidP="00B378FF">
            <w:pPr>
              <w:pStyle w:val="BodyText2"/>
              <w:numPr>
                <w:ilvl w:val="0"/>
                <w:numId w:val="22"/>
              </w:numPr>
              <w:rPr>
                <w:rFonts w:ascii="Times New Roman" w:hAnsi="Times New Roman"/>
              </w:rPr>
            </w:pPr>
            <w:r>
              <w:rPr>
                <w:rFonts w:ascii="Times New Roman" w:hAnsi="Times New Roman"/>
              </w:rPr>
              <w:t xml:space="preserve">Established </w:t>
            </w:r>
            <w:r w:rsidRPr="007D007B">
              <w:rPr>
                <w:rFonts w:ascii="Calibri" w:hAnsi="Calibri"/>
                <w:bCs/>
              </w:rPr>
              <w:t>Processes for patent examination</w:t>
            </w:r>
            <w:r>
              <w:rPr>
                <w:rFonts w:ascii="Calibri" w:hAnsi="Calibri"/>
                <w:bCs/>
              </w:rPr>
              <w:t>.</w:t>
            </w:r>
          </w:p>
          <w:p w14:paraId="4ACD9C14" w14:textId="77777777" w:rsidR="00F62557" w:rsidRDefault="00F62557" w:rsidP="00B378FF">
            <w:pPr>
              <w:pStyle w:val="BodyText2"/>
              <w:numPr>
                <w:ilvl w:val="0"/>
                <w:numId w:val="22"/>
              </w:numPr>
              <w:rPr>
                <w:rFonts w:ascii="Times New Roman" w:hAnsi="Times New Roman"/>
              </w:rPr>
            </w:pPr>
            <w:r>
              <w:rPr>
                <w:rFonts w:ascii="Times New Roman" w:hAnsi="Times New Roman"/>
              </w:rPr>
              <w:t>Capacity development of IP staff.</w:t>
            </w:r>
          </w:p>
          <w:p w14:paraId="3942FD9F" w14:textId="078BD2F9" w:rsidR="00F62557" w:rsidRPr="00B378FF" w:rsidRDefault="00F62557" w:rsidP="00B378FF">
            <w:pPr>
              <w:pStyle w:val="BodyText2"/>
              <w:numPr>
                <w:ilvl w:val="0"/>
                <w:numId w:val="22"/>
              </w:numPr>
              <w:rPr>
                <w:rFonts w:ascii="Times New Roman" w:hAnsi="Times New Roman"/>
              </w:rPr>
            </w:pPr>
            <w:r>
              <w:rPr>
                <w:rFonts w:ascii="Calibri" w:hAnsi="Calibri"/>
                <w:bCs/>
              </w:rPr>
              <w:t xml:space="preserve">Drafting of </w:t>
            </w:r>
            <w:r w:rsidRPr="007D007B">
              <w:rPr>
                <w:rFonts w:ascii="Calibri" w:hAnsi="Calibri"/>
                <w:bCs/>
              </w:rPr>
              <w:t xml:space="preserve">Plants Variety and Patent laws. </w:t>
            </w:r>
          </w:p>
          <w:p w14:paraId="66DF2388" w14:textId="77777777" w:rsidR="00F62557" w:rsidRPr="00B378FF" w:rsidRDefault="00F62557" w:rsidP="00B378FF">
            <w:pPr>
              <w:pStyle w:val="BodyText2"/>
              <w:numPr>
                <w:ilvl w:val="0"/>
                <w:numId w:val="22"/>
              </w:numPr>
              <w:rPr>
                <w:rFonts w:ascii="Times New Roman" w:hAnsi="Times New Roman"/>
              </w:rPr>
            </w:pPr>
            <w:r>
              <w:rPr>
                <w:rFonts w:ascii="Calibri" w:hAnsi="Calibri"/>
                <w:bCs/>
              </w:rPr>
              <w:t>Restructuring</w:t>
            </w:r>
            <w:r w:rsidRPr="007D007B">
              <w:rPr>
                <w:rFonts w:ascii="Calibri" w:hAnsi="Calibri"/>
                <w:bCs/>
              </w:rPr>
              <w:t xml:space="preserve"> Pricing of Patents and Trademarks in line with international and regional prices. </w:t>
            </w:r>
          </w:p>
          <w:p w14:paraId="5F8EF13D" w14:textId="77777777" w:rsidR="00F62557" w:rsidRPr="00B378FF" w:rsidRDefault="00F62557" w:rsidP="00B378FF">
            <w:pPr>
              <w:pStyle w:val="BodyText2"/>
              <w:numPr>
                <w:ilvl w:val="0"/>
                <w:numId w:val="22"/>
              </w:numPr>
              <w:rPr>
                <w:rFonts w:ascii="Times New Roman" w:hAnsi="Times New Roman"/>
              </w:rPr>
            </w:pPr>
            <w:r>
              <w:rPr>
                <w:rFonts w:ascii="Calibri" w:hAnsi="Calibri"/>
                <w:bCs/>
              </w:rPr>
              <w:t>Develop and operationalize a</w:t>
            </w:r>
            <w:r w:rsidRPr="007D007B">
              <w:rPr>
                <w:rFonts w:ascii="Calibri" w:hAnsi="Calibri"/>
                <w:bCs/>
              </w:rPr>
              <w:t xml:space="preserve"> web notification system</w:t>
            </w:r>
            <w:r>
              <w:rPr>
                <w:rFonts w:ascii="Calibri" w:hAnsi="Calibri"/>
                <w:bCs/>
              </w:rPr>
              <w:t>.</w:t>
            </w:r>
          </w:p>
          <w:p w14:paraId="3CFB1E77" w14:textId="521F91E2" w:rsidR="00095B65" w:rsidRPr="00F01FDE" w:rsidRDefault="00095B65" w:rsidP="00B378FF">
            <w:pPr>
              <w:pStyle w:val="BodyText2"/>
              <w:numPr>
                <w:ilvl w:val="0"/>
                <w:numId w:val="22"/>
              </w:numPr>
              <w:rPr>
                <w:rFonts w:ascii="Times New Roman" w:hAnsi="Times New Roman"/>
              </w:rPr>
            </w:pPr>
            <w:r>
              <w:rPr>
                <w:rFonts w:ascii="Calibri" w:hAnsi="Calibri"/>
                <w:bCs/>
              </w:rPr>
              <w:t xml:space="preserve">Developed a </w:t>
            </w:r>
            <w:r w:rsidRPr="007D007B">
              <w:rPr>
                <w:rFonts w:ascii="Calibri" w:hAnsi="Calibri"/>
                <w:bCs/>
              </w:rPr>
              <w:t>Trade Policy Support System</w:t>
            </w:r>
            <w:r>
              <w:rPr>
                <w:rFonts w:ascii="Calibri" w:hAnsi="Calibri"/>
                <w:bCs/>
              </w:rPr>
              <w:t>.</w:t>
            </w:r>
          </w:p>
        </w:tc>
      </w:tr>
      <w:tr w:rsidR="00DC4D86" w:rsidRPr="00DC7354" w14:paraId="663180C0" w14:textId="77777777" w:rsidTr="009E7526">
        <w:tc>
          <w:tcPr>
            <w:tcW w:w="14040" w:type="dxa"/>
            <w:gridSpan w:val="4"/>
          </w:tcPr>
          <w:p w14:paraId="28D943BC" w14:textId="4CE9870D" w:rsidR="00DC4D86" w:rsidRPr="0074489A" w:rsidRDefault="00DC4D86" w:rsidP="00845340">
            <w:pPr>
              <w:pStyle w:val="BodyText2"/>
              <w:rPr>
                <w:rFonts w:ascii="Calibri" w:hAnsi="Calibri"/>
                <w:b/>
              </w:rPr>
            </w:pPr>
            <w:r w:rsidRPr="0074489A">
              <w:rPr>
                <w:rFonts w:ascii="Calibri" w:hAnsi="Calibri"/>
                <w:b/>
              </w:rPr>
              <w:t>UNDP Contribution:</w:t>
            </w:r>
          </w:p>
          <w:p w14:paraId="7C9FEC45" w14:textId="77777777" w:rsidR="00D1688D" w:rsidRDefault="00D1688D" w:rsidP="00845340">
            <w:pPr>
              <w:pStyle w:val="BodyText2"/>
              <w:rPr>
                <w:rFonts w:ascii="Calibri" w:hAnsi="Calibri"/>
                <w:bCs/>
              </w:rPr>
            </w:pPr>
          </w:p>
          <w:p w14:paraId="320843D0" w14:textId="2F020C55" w:rsidR="00D9192E" w:rsidRPr="00806281" w:rsidRDefault="00D85F98" w:rsidP="00845340">
            <w:pPr>
              <w:pStyle w:val="BodyText2"/>
              <w:rPr>
                <w:rFonts w:ascii="Calibri" w:hAnsi="Calibri"/>
                <w:bCs/>
              </w:rPr>
            </w:pPr>
            <w:r w:rsidRPr="00806281">
              <w:rPr>
                <w:rFonts w:ascii="Calibri" w:hAnsi="Calibri"/>
                <w:bCs/>
              </w:rPr>
              <w:t xml:space="preserve">UNDP supported the Ministry of Industry and Commerce different Directorates on a wide range of different </w:t>
            </w:r>
            <w:r w:rsidR="009B146A" w:rsidRPr="00806281">
              <w:rPr>
                <w:rFonts w:ascii="Calibri" w:hAnsi="Calibri"/>
                <w:bCs/>
              </w:rPr>
              <w:t xml:space="preserve">issues related to trade, intellectual property and standards and metrology. </w:t>
            </w:r>
            <w:r w:rsidR="00D1688D" w:rsidRPr="00806281">
              <w:rPr>
                <w:rFonts w:ascii="Calibri" w:hAnsi="Calibri"/>
                <w:bCs/>
              </w:rPr>
              <w:t>UNDP contributed technical advice, capacity development and support to implementation.</w:t>
            </w:r>
          </w:p>
          <w:p w14:paraId="414A4A44" w14:textId="77777777" w:rsidR="009B146A" w:rsidRPr="00B378FF" w:rsidRDefault="009B146A" w:rsidP="00845340">
            <w:pPr>
              <w:pStyle w:val="BodyText2"/>
              <w:rPr>
                <w:rFonts w:ascii="Calibri" w:hAnsi="Calibri"/>
                <w:bCs/>
              </w:rPr>
            </w:pPr>
          </w:p>
          <w:p w14:paraId="021E451A" w14:textId="77777777" w:rsidR="008B06DD" w:rsidRPr="00B378FF" w:rsidRDefault="008B06DD" w:rsidP="00845340">
            <w:pPr>
              <w:pStyle w:val="BodyText2"/>
              <w:rPr>
                <w:rFonts w:ascii="Calibri" w:hAnsi="Calibri"/>
                <w:bCs/>
                <w:u w:val="single"/>
              </w:rPr>
            </w:pPr>
            <w:r w:rsidRPr="00B378FF">
              <w:rPr>
                <w:rFonts w:ascii="Calibri" w:hAnsi="Calibri"/>
                <w:bCs/>
                <w:u w:val="single"/>
              </w:rPr>
              <w:t>CP Outputs</w:t>
            </w:r>
          </w:p>
          <w:p w14:paraId="6680CA90" w14:textId="77777777" w:rsidR="008F52AE" w:rsidRPr="00B378FF" w:rsidRDefault="008F52AE" w:rsidP="00D85F98">
            <w:pPr>
              <w:pStyle w:val="BodyText2"/>
              <w:rPr>
                <w:rFonts w:ascii="Calibri" w:hAnsi="Calibri"/>
                <w:bCs/>
              </w:rPr>
            </w:pPr>
          </w:p>
          <w:p w14:paraId="1CBBF98C" w14:textId="285863E2" w:rsidR="00D85F98" w:rsidRPr="00B378FF" w:rsidRDefault="00D85F98" w:rsidP="00D85F98">
            <w:pPr>
              <w:pStyle w:val="BodyText2"/>
              <w:rPr>
                <w:rFonts w:ascii="Calibri" w:hAnsi="Calibri"/>
                <w:bCs/>
              </w:rPr>
            </w:pPr>
            <w:r w:rsidRPr="00B378FF">
              <w:rPr>
                <w:rFonts w:ascii="Calibri" w:hAnsi="Calibri"/>
                <w:bCs/>
              </w:rPr>
              <w:t xml:space="preserve">Three outputs contribute to this outcome; 1) enhanced negotiation, application and implementation of World Trade Organization (WTO) Doha Development Agenda (DDA) and Trade Policy Review outcomes, 2) Institutionalizing of procedures under World Intellectual Property Organization (WIPO) agreements for Intellectual Property systems of registration are consistent with national objectives and international requirements and 3) Strengthened capacity of Bahrain in the </w:t>
            </w:r>
            <w:r w:rsidR="009B146A" w:rsidRPr="00B378FF">
              <w:rPr>
                <w:rFonts w:ascii="Calibri" w:hAnsi="Calibri"/>
                <w:bCs/>
              </w:rPr>
              <w:t>implementation of the World Trade Organization (WTO) Technical Barriers to Trade (TBT) Agreement.</w:t>
            </w:r>
          </w:p>
          <w:p w14:paraId="5704997A" w14:textId="77777777" w:rsidR="008F52AE" w:rsidRPr="00B378FF" w:rsidRDefault="008F52AE" w:rsidP="00845340">
            <w:pPr>
              <w:pStyle w:val="BodyText2"/>
              <w:rPr>
                <w:rFonts w:ascii="Calibri" w:hAnsi="Calibri"/>
                <w:bCs/>
              </w:rPr>
            </w:pPr>
          </w:p>
          <w:p w14:paraId="18177588" w14:textId="285F30CC" w:rsidR="008F52AE" w:rsidRPr="00B378FF" w:rsidRDefault="008B06DD" w:rsidP="00BF5490">
            <w:pPr>
              <w:pStyle w:val="BodyText2"/>
              <w:rPr>
                <w:rFonts w:ascii="Calibri" w:hAnsi="Calibri"/>
                <w:bCs/>
                <w:u w:val="single"/>
              </w:rPr>
            </w:pPr>
            <w:r w:rsidRPr="00B378FF">
              <w:rPr>
                <w:rFonts w:ascii="Calibri" w:hAnsi="Calibri"/>
                <w:bCs/>
                <w:u w:val="single"/>
              </w:rPr>
              <w:t>Progress and Achievements</w:t>
            </w:r>
          </w:p>
          <w:p w14:paraId="66DFC265" w14:textId="77777777" w:rsidR="00BF5490" w:rsidRPr="00B378FF" w:rsidRDefault="00BF5490" w:rsidP="00BF5490">
            <w:pPr>
              <w:pStyle w:val="BodyText2"/>
              <w:rPr>
                <w:rFonts w:ascii="Calibri" w:hAnsi="Calibri"/>
                <w:bCs/>
              </w:rPr>
            </w:pPr>
          </w:p>
          <w:p w14:paraId="1E3819A4" w14:textId="0725BA94" w:rsidR="00D1688D" w:rsidRPr="00B378FF" w:rsidRDefault="009B146A" w:rsidP="00CC2572">
            <w:pPr>
              <w:pStyle w:val="BodyText2"/>
              <w:rPr>
                <w:rFonts w:ascii="Calibri" w:hAnsi="Calibri"/>
                <w:bCs/>
              </w:rPr>
            </w:pPr>
            <w:r w:rsidRPr="00B378FF">
              <w:rPr>
                <w:rFonts w:ascii="Calibri" w:hAnsi="Calibri"/>
                <w:bCs/>
              </w:rPr>
              <w:t>By the end of the cycle,</w:t>
            </w:r>
            <w:r w:rsidR="008F52AE" w:rsidRPr="00B378FF">
              <w:rPr>
                <w:rFonts w:ascii="Calibri" w:hAnsi="Calibri"/>
                <w:bCs/>
              </w:rPr>
              <w:t xml:space="preserve"> </w:t>
            </w:r>
            <w:r w:rsidR="00BF5490" w:rsidRPr="00B378FF">
              <w:rPr>
                <w:rFonts w:ascii="Calibri" w:hAnsi="Calibri"/>
                <w:bCs/>
              </w:rPr>
              <w:t>national capacities were strengthened on</w:t>
            </w:r>
            <w:r w:rsidR="008F52AE" w:rsidRPr="00B378FF">
              <w:rPr>
                <w:rFonts w:ascii="Calibri" w:hAnsi="Calibri"/>
                <w:bCs/>
              </w:rPr>
              <w:t xml:space="preserve"> specific</w:t>
            </w:r>
            <w:r w:rsidR="00CC2572">
              <w:rPr>
                <w:rFonts w:ascii="Calibri" w:hAnsi="Calibri"/>
                <w:bCs/>
              </w:rPr>
              <w:t xml:space="preserve"> important</w:t>
            </w:r>
            <w:r w:rsidR="008F52AE" w:rsidRPr="00B378FF">
              <w:rPr>
                <w:rFonts w:ascii="Calibri" w:hAnsi="Calibri"/>
                <w:bCs/>
              </w:rPr>
              <w:t xml:space="preserve"> trade issues </w:t>
            </w:r>
            <w:r w:rsidR="00BF5490" w:rsidRPr="00B378FF">
              <w:rPr>
                <w:rFonts w:ascii="Calibri" w:hAnsi="Calibri"/>
                <w:bCs/>
              </w:rPr>
              <w:t xml:space="preserve">such as trade facilitation. Policy options were provided to the government </w:t>
            </w:r>
            <w:r w:rsidR="00E80695" w:rsidRPr="00B378FF">
              <w:rPr>
                <w:rFonts w:ascii="Calibri" w:hAnsi="Calibri"/>
                <w:bCs/>
              </w:rPr>
              <w:t>with regard to Bahrain-US FTA (based on studies on implementation and actualization of the FTA</w:t>
            </w:r>
            <w:r w:rsidR="002B7926" w:rsidRPr="00B378FF">
              <w:rPr>
                <w:rFonts w:ascii="Calibri" w:hAnsi="Calibri"/>
                <w:bCs/>
              </w:rPr>
              <w:t>) and</w:t>
            </w:r>
            <w:r w:rsidR="00E80695" w:rsidRPr="00B378FF">
              <w:rPr>
                <w:rFonts w:ascii="Calibri" w:hAnsi="Calibri"/>
                <w:bCs/>
              </w:rPr>
              <w:t xml:space="preserve"> </w:t>
            </w:r>
            <w:r w:rsidR="002B7926" w:rsidRPr="00B378FF">
              <w:rPr>
                <w:rFonts w:ascii="Calibri" w:hAnsi="Calibri"/>
                <w:bCs/>
              </w:rPr>
              <w:t>export promotion. Processes for</w:t>
            </w:r>
            <w:r w:rsidR="00D1688D" w:rsidRPr="00B378FF">
              <w:rPr>
                <w:rFonts w:ascii="Calibri" w:hAnsi="Calibri"/>
                <w:bCs/>
              </w:rPr>
              <w:t xml:space="preserve"> patent examination were re-engineered and </w:t>
            </w:r>
            <w:r w:rsidR="00C32395" w:rsidRPr="00B378FF">
              <w:rPr>
                <w:rFonts w:ascii="Calibri" w:hAnsi="Calibri"/>
                <w:bCs/>
              </w:rPr>
              <w:t>capacity of IP staff was strengthened through on-the-job training. Legal advice a</w:t>
            </w:r>
            <w:r w:rsidR="00D1688D" w:rsidRPr="00B378FF">
              <w:rPr>
                <w:rFonts w:ascii="Calibri" w:hAnsi="Calibri"/>
                <w:bCs/>
              </w:rPr>
              <w:t>nd support were</w:t>
            </w:r>
            <w:r w:rsidR="00C32395" w:rsidRPr="00B378FF">
              <w:rPr>
                <w:rFonts w:ascii="Calibri" w:hAnsi="Calibri"/>
                <w:bCs/>
              </w:rPr>
              <w:t xml:space="preserve"> also provided to IP and Plants Variety and Patent laws were drafted. Pricing of Patents and Trademarks w</w:t>
            </w:r>
            <w:r w:rsidR="00D1688D" w:rsidRPr="00B378FF">
              <w:rPr>
                <w:rFonts w:ascii="Calibri" w:hAnsi="Calibri"/>
                <w:bCs/>
              </w:rPr>
              <w:t>as also restructured in line with international and regional prices. A web notification system was developed and was operational for the ministry and other relevant users. A Trade Policy Support System was also developed and went live before the end of the cycle to provide analytical reports to better inform policymakers.</w:t>
            </w:r>
          </w:p>
          <w:p w14:paraId="5E4DB54F" w14:textId="693C64BE" w:rsidR="009B146A" w:rsidRPr="00B378FF" w:rsidRDefault="00D1688D" w:rsidP="00D1688D">
            <w:pPr>
              <w:pStyle w:val="BodyText2"/>
              <w:rPr>
                <w:rFonts w:ascii="Calibri" w:hAnsi="Calibri"/>
                <w:bCs/>
              </w:rPr>
            </w:pPr>
            <w:r w:rsidRPr="00B378FF">
              <w:rPr>
                <w:rFonts w:ascii="Calibri" w:hAnsi="Calibri"/>
                <w:bCs/>
              </w:rPr>
              <w:t xml:space="preserve">  </w:t>
            </w:r>
          </w:p>
        </w:tc>
      </w:tr>
      <w:tr w:rsidR="005F2E08" w:rsidRPr="00F01FDE" w14:paraId="70B80453" w14:textId="77777777" w:rsidTr="00704406">
        <w:tc>
          <w:tcPr>
            <w:tcW w:w="14040" w:type="dxa"/>
            <w:gridSpan w:val="4"/>
          </w:tcPr>
          <w:p w14:paraId="1425298F" w14:textId="4D736AC6" w:rsidR="005F2E08" w:rsidRPr="00845340" w:rsidRDefault="005F2E08" w:rsidP="008D4556">
            <w:pPr>
              <w:pStyle w:val="BodyText2"/>
              <w:jc w:val="center"/>
              <w:rPr>
                <w:rFonts w:ascii="Calibri" w:hAnsi="Calibri"/>
                <w:b/>
              </w:rPr>
            </w:pPr>
          </w:p>
        </w:tc>
      </w:tr>
      <w:tr w:rsidR="009E7526" w:rsidRPr="00F01FDE" w14:paraId="7CA1E34D" w14:textId="77777777" w:rsidTr="009E7526">
        <w:tc>
          <w:tcPr>
            <w:tcW w:w="14040" w:type="dxa"/>
            <w:gridSpan w:val="4"/>
          </w:tcPr>
          <w:p w14:paraId="5E8AD8E4" w14:textId="5676D473" w:rsidR="009E7526" w:rsidRPr="00845340" w:rsidRDefault="009E7526" w:rsidP="009E7526">
            <w:pPr>
              <w:rPr>
                <w:rFonts w:ascii="Calibri" w:hAnsi="Calibri"/>
                <w:sz w:val="20"/>
                <w:u w:val="single"/>
              </w:rPr>
            </w:pPr>
            <w:r w:rsidRPr="00845340">
              <w:rPr>
                <w:rFonts w:ascii="Calibri" w:hAnsi="Calibri"/>
                <w:sz w:val="20"/>
                <w:u w:val="single"/>
              </w:rPr>
              <w:t>Summary of evaluation</w:t>
            </w:r>
            <w:r w:rsidR="00674B1A">
              <w:rPr>
                <w:rFonts w:ascii="Calibri" w:hAnsi="Calibri"/>
                <w:sz w:val="20"/>
                <w:u w:val="single"/>
              </w:rPr>
              <w:t xml:space="preserve"> finding</w:t>
            </w:r>
            <w:r w:rsidRPr="00845340">
              <w:rPr>
                <w:rFonts w:ascii="Calibri" w:hAnsi="Calibri"/>
                <w:sz w:val="20"/>
                <w:u w:val="single"/>
              </w:rPr>
              <w:t>s (</w:t>
            </w:r>
            <w:r w:rsidR="008F0A97" w:rsidRPr="00845340">
              <w:rPr>
                <w:rFonts w:ascii="Calibri" w:hAnsi="Calibri"/>
                <w:sz w:val="20"/>
                <w:u w:val="single"/>
              </w:rPr>
              <w:t xml:space="preserve">e.g. from outcome and project evaluations, UNDAF </w:t>
            </w:r>
            <w:r w:rsidRPr="00845340">
              <w:rPr>
                <w:rFonts w:ascii="Calibri" w:hAnsi="Calibri"/>
                <w:sz w:val="20"/>
                <w:u w:val="single"/>
              </w:rPr>
              <w:t xml:space="preserve">reviews, </w:t>
            </w:r>
            <w:r w:rsidR="008F0A97" w:rsidRPr="00845340">
              <w:rPr>
                <w:rFonts w:ascii="Calibri" w:hAnsi="Calibri"/>
                <w:sz w:val="20"/>
                <w:u w:val="single"/>
              </w:rPr>
              <w:t xml:space="preserve">and other </w:t>
            </w:r>
            <w:r w:rsidRPr="00845340">
              <w:rPr>
                <w:rFonts w:ascii="Calibri" w:hAnsi="Calibri"/>
                <w:sz w:val="20"/>
                <w:u w:val="single"/>
              </w:rPr>
              <w:t>assessments)</w:t>
            </w:r>
          </w:p>
          <w:p w14:paraId="0FAF7CAC" w14:textId="77777777" w:rsidR="009E7526" w:rsidRDefault="009E7526" w:rsidP="00674B1A">
            <w:pPr>
              <w:rPr>
                <w:rFonts w:ascii="Calibri" w:hAnsi="Calibri"/>
                <w:i/>
                <w:sz w:val="20"/>
              </w:rPr>
            </w:pPr>
            <w:r w:rsidRPr="00845340">
              <w:rPr>
                <w:rFonts w:ascii="Calibri" w:hAnsi="Calibri"/>
                <w:i/>
                <w:sz w:val="20"/>
              </w:rPr>
              <w:t>Based on the  evaluation s and/or assessments undertaken please provide a brief summary of the overall findings on the CP for the 4 year period in terms of performance effectiveness and efficiency and key ac</w:t>
            </w:r>
            <w:r w:rsidR="00674B1A">
              <w:rPr>
                <w:rFonts w:ascii="Calibri" w:hAnsi="Calibri"/>
                <w:i/>
                <w:sz w:val="20"/>
              </w:rPr>
              <w:t>hievements and lessons learned. Maximum 500 words.</w:t>
            </w:r>
          </w:p>
          <w:p w14:paraId="388C80E1" w14:textId="77777777" w:rsidR="000C4339" w:rsidRDefault="000C4339" w:rsidP="00674B1A">
            <w:pPr>
              <w:rPr>
                <w:rFonts w:ascii="Calibri" w:hAnsi="Calibri"/>
                <w:i/>
                <w:sz w:val="20"/>
              </w:rPr>
            </w:pPr>
          </w:p>
          <w:p w14:paraId="4D89618A" w14:textId="77777777" w:rsidR="000C4339" w:rsidRPr="000C4339" w:rsidRDefault="000C4339" w:rsidP="000C4339">
            <w:pPr>
              <w:rPr>
                <w:rFonts w:ascii="Calibri" w:hAnsi="Calibri"/>
                <w:i/>
                <w:sz w:val="20"/>
                <w:lang w:val="en-CA"/>
              </w:rPr>
            </w:pPr>
            <w:r w:rsidRPr="000C4339">
              <w:rPr>
                <w:rFonts w:ascii="Calibri" w:hAnsi="Calibri"/>
                <w:i/>
                <w:sz w:val="20"/>
                <w:lang w:val="en-CA"/>
              </w:rPr>
              <w:lastRenderedPageBreak/>
              <w:t>The UNDP programme was implemented on the basis of the National Implementation Modality (NIM). Moreover, with Bahrain being a Net Contributing Country, the UNDP programme was fully funded by, and therefore entirely dependent on, the Government of Bahrain. The programme made a considerable contribution to the building of capacity within the Kingdom of Bahrain, despite a number of exogenous factors (including the global drop in oil prices in 2014 and global economic recession) that negatively affected UNDP’s operating environment. Another important factor that is worth noting is the fact that the Country Programme Action Plan (CPAP) was not signed after the endorsement of the CPD.. A lot of effort and energy was expended on reaching bilateral agreements with national partners and securing funding for projects.  All these factors combined presented serious challenges to the implementation and financing of UNDP programmes and initiatives, but which were nevertheless overcome by the country office and its partners.  However, not all activities were implemented, as set out in the CPD’s results and resources framework (RRF), because of the lack of a signed CPAP and or available funding.</w:t>
            </w:r>
          </w:p>
          <w:p w14:paraId="2A6FDB14" w14:textId="77777777" w:rsidR="000C4339" w:rsidRDefault="000C4339" w:rsidP="000C4339">
            <w:pPr>
              <w:rPr>
                <w:rFonts w:ascii="Calibri" w:hAnsi="Calibri"/>
                <w:i/>
                <w:sz w:val="20"/>
                <w:lang w:val="en-CA"/>
              </w:rPr>
            </w:pPr>
            <w:r w:rsidRPr="000C4339">
              <w:rPr>
                <w:rFonts w:ascii="Calibri" w:hAnsi="Calibri"/>
                <w:i/>
                <w:sz w:val="20"/>
                <w:lang w:val="en-CA"/>
              </w:rPr>
              <w:t>UNDP’s programme contributed to the development of institutional capacity of its partners in key areas such as formulating relevant national policies and strategies, establishing necessary institutional infrastructure, building skills and knowledge of partners, and strengthening national coordination in the relevant sectors. Moreover, the approaches adopted in programme activities have effectively integrated crosscutting issues such as gender,. Similarly, real efforts were made in terms of promoting human development and the Millennium Development Goals (MDGs), with systematic identification of these objectives across all proposed activities.</w:t>
            </w:r>
          </w:p>
          <w:p w14:paraId="3B849AA5" w14:textId="77777777" w:rsidR="00B378FF" w:rsidRPr="000C4339" w:rsidRDefault="00B378FF" w:rsidP="000C4339">
            <w:pPr>
              <w:rPr>
                <w:rFonts w:ascii="Calibri" w:hAnsi="Calibri"/>
                <w:i/>
                <w:sz w:val="20"/>
                <w:lang w:val="en-CA"/>
              </w:rPr>
            </w:pPr>
          </w:p>
          <w:p w14:paraId="7EEEB235" w14:textId="77777777" w:rsidR="000C4339" w:rsidRPr="000C4339" w:rsidRDefault="000C4339" w:rsidP="000C4339">
            <w:pPr>
              <w:rPr>
                <w:rFonts w:ascii="Calibri" w:hAnsi="Calibri"/>
                <w:i/>
                <w:sz w:val="20"/>
                <w:lang w:val="en-CA"/>
              </w:rPr>
            </w:pPr>
            <w:r w:rsidRPr="000C4339">
              <w:rPr>
                <w:rFonts w:ascii="Calibri" w:hAnsi="Calibri"/>
                <w:i/>
                <w:sz w:val="20"/>
                <w:lang w:val="en-CA"/>
              </w:rPr>
              <w:t>In the context of Bahrain, the issue of ownership does not seem to be an issue, given that all activities were agreed and implemented by national institutions under the NIM modality and were fully financed by the government. The programme was largely coherent, with certain activities continuing from previous projects. However, there remains a broad spread of areas of activity and there appears to be a need for a strengthened strategic approach to programming.</w:t>
            </w:r>
          </w:p>
          <w:p w14:paraId="0026BD40" w14:textId="41642FA5" w:rsidR="000C4339" w:rsidRDefault="000C4339" w:rsidP="00674B1A">
            <w:pPr>
              <w:rPr>
                <w:rFonts w:ascii="Calibri" w:hAnsi="Calibri"/>
                <w:i/>
                <w:sz w:val="20"/>
              </w:rPr>
            </w:pPr>
            <w:r w:rsidRPr="000C4339">
              <w:rPr>
                <w:rFonts w:ascii="Calibri" w:hAnsi="Calibri"/>
                <w:i/>
                <w:sz w:val="20"/>
                <w:lang w:val="en-CA"/>
              </w:rPr>
              <w:t>In terms of effectiveness, interviews with stakeholders show that UNDP activities provided national institutions with access to international approaches and with new experiences and ideas. However, the effectiveness of some projects was moderate, as their expected results were not achieved in full and they did not generate significant or sustainable impact.</w:t>
            </w:r>
          </w:p>
          <w:p w14:paraId="6936E543" w14:textId="77777777" w:rsidR="000C4339" w:rsidRDefault="000C4339" w:rsidP="00674B1A">
            <w:pPr>
              <w:rPr>
                <w:rFonts w:ascii="Calibri" w:hAnsi="Calibri"/>
                <w:i/>
                <w:sz w:val="20"/>
              </w:rPr>
            </w:pPr>
          </w:p>
          <w:p w14:paraId="73721027" w14:textId="77777777" w:rsidR="000C4339" w:rsidRPr="000C4339" w:rsidRDefault="000C4339" w:rsidP="000C4339">
            <w:pPr>
              <w:spacing w:after="160" w:line="259" w:lineRule="auto"/>
              <w:jc w:val="lowKashida"/>
              <w:rPr>
                <w:rFonts w:ascii="Calibri" w:hAnsi="Calibri"/>
                <w:bCs/>
                <w:sz w:val="20"/>
                <w:lang w:val="en-CA"/>
              </w:rPr>
            </w:pPr>
            <w:r w:rsidRPr="000C4339">
              <w:rPr>
                <w:rFonts w:ascii="Calibri" w:hAnsi="Calibri"/>
                <w:bCs/>
                <w:sz w:val="20"/>
                <w:lang w:val="en-CA"/>
              </w:rPr>
              <w:t>The level of efficiency with which programme activities were managed can be overall qualified as satisfactory. However, one common problem from which most projects suffered was schedule overruns ranging from one to three years as no new projects were signed . The predetermined programme funding</w:t>
            </w:r>
            <w:r w:rsidRPr="000C4339">
              <w:rPr>
                <w:rFonts w:ascii="Calibri" w:hAnsi="Calibri"/>
                <w:bCs/>
                <w:sz w:val="20"/>
              </w:rPr>
              <w:t xml:space="preserve"> </w:t>
            </w:r>
            <w:r w:rsidRPr="000C4339">
              <w:rPr>
                <w:rFonts w:ascii="Calibri" w:hAnsi="Calibri"/>
                <w:bCs/>
                <w:sz w:val="20"/>
                <w:lang w:val="en-CA"/>
              </w:rPr>
              <w:t xml:space="preserve">Sustainability from the government represented a serious limitation on UNDP’s ability to develop a coherent and strategic programme. This was exacerbated by the inadequate approval process of new projects and/or initiatives. </w:t>
            </w:r>
          </w:p>
          <w:p w14:paraId="5A4E7DCB" w14:textId="77777777" w:rsidR="00674B1A" w:rsidRDefault="00674B1A" w:rsidP="009E7526">
            <w:pPr>
              <w:jc w:val="both"/>
              <w:rPr>
                <w:rFonts w:ascii="Calibri" w:hAnsi="Calibri"/>
                <w:sz w:val="20"/>
              </w:rPr>
            </w:pPr>
          </w:p>
          <w:p w14:paraId="103CAE24" w14:textId="77777777" w:rsidR="009E7526" w:rsidRDefault="009E7526" w:rsidP="009E7526">
            <w:pPr>
              <w:jc w:val="both"/>
              <w:rPr>
                <w:rFonts w:ascii="Calibri" w:hAnsi="Calibri"/>
                <w:sz w:val="20"/>
              </w:rPr>
            </w:pPr>
            <w:r w:rsidRPr="00674B1A">
              <w:rPr>
                <w:rFonts w:ascii="Calibri" w:hAnsi="Calibri"/>
                <w:sz w:val="20"/>
                <w:u w:val="single"/>
              </w:rPr>
              <w:t>Key Achievements</w:t>
            </w:r>
            <w:r w:rsidR="005F6261" w:rsidRPr="00845340">
              <w:rPr>
                <w:rFonts w:ascii="Calibri" w:hAnsi="Calibri"/>
                <w:sz w:val="20"/>
              </w:rPr>
              <w:t>:</w:t>
            </w:r>
          </w:p>
          <w:p w14:paraId="210EF918" w14:textId="77777777" w:rsidR="00B378FF" w:rsidRDefault="00191E34" w:rsidP="00191E34">
            <w:pPr>
              <w:jc w:val="both"/>
              <w:rPr>
                <w:rFonts w:ascii="Calibri" w:hAnsi="Calibri"/>
                <w:bCs/>
                <w:sz w:val="20"/>
                <w:lang w:val="en-CA"/>
              </w:rPr>
            </w:pPr>
            <w:r w:rsidRPr="00191E34">
              <w:rPr>
                <w:rFonts w:ascii="Calibri" w:hAnsi="Calibri"/>
                <w:bCs/>
                <w:sz w:val="20"/>
                <w:lang w:val="en-CA"/>
              </w:rPr>
              <w:t xml:space="preserve">During the 2012-2016 cycle, UNDP supported a number of government and other partners initiatives. For example, UNDP working with MOLSD supported the formulation and the first phase of the implementation of the social strategies on the persons with disabilities and children (aged 0-18 years) in close collaboration with UNICEF. Furthermore, UNDP supported the Minister of energy office in establishing and guiding the work of the Sustainable Energy Unit which is driving national efforts to diversify Bahrain’s energy mix by enhancing energy efficiency and increasing the use of renewable energy.  Additionally, supporting the ministry of trade and commerce together with UNCTAD, UNDP played an instrumental role in supporting the adoption and implementation of Bahrain’s Free Trade Agreements. Moreover, the Bahrain Institute for Public Administration (BIPA), which was the result of a UNDP project, was further supported in its role as a provider of training, research, and advice to all of Bahrain’s public administration. UNDP and BIPA drove the launch and operationalization of the Middle-East and North Africa Public Administration Research (MENAPAR) network, a successful regional public administration initiative that spearheads collaboration and networking in public administration-related issues and research in the Arab region. Other areas of support included capacity building for the Parliament and the Special Investigation Unit (SIU) of the Public Prosecutor’s Office, </w:t>
            </w:r>
            <w:r w:rsidRPr="00191E34">
              <w:rPr>
                <w:rFonts w:ascii="Calibri" w:hAnsi="Calibri"/>
                <w:bCs/>
                <w:sz w:val="20"/>
                <w:lang w:val="en-CA"/>
              </w:rPr>
              <w:lastRenderedPageBreak/>
              <w:t>technical support for the Bahrain’s Institute of Political Development and the E-Governance Authority</w:t>
            </w:r>
            <w:r w:rsidR="00B378FF">
              <w:rPr>
                <w:rFonts w:ascii="Calibri" w:hAnsi="Calibri"/>
                <w:bCs/>
                <w:sz w:val="20"/>
                <w:lang w:val="en-CA"/>
              </w:rPr>
              <w:t>,</w:t>
            </w:r>
          </w:p>
          <w:p w14:paraId="663C5651" w14:textId="15BB5C5A" w:rsidR="00191E34" w:rsidRPr="00191E34" w:rsidRDefault="00191E34" w:rsidP="00191E34">
            <w:pPr>
              <w:jc w:val="both"/>
              <w:rPr>
                <w:rFonts w:ascii="Calibri" w:hAnsi="Calibri"/>
                <w:bCs/>
                <w:sz w:val="20"/>
                <w:lang w:val="en-CA"/>
              </w:rPr>
            </w:pPr>
          </w:p>
          <w:p w14:paraId="2062A3B8" w14:textId="77777777" w:rsidR="009E7526" w:rsidRDefault="009E7526" w:rsidP="009E7526">
            <w:pPr>
              <w:pStyle w:val="BodyText2"/>
              <w:rPr>
                <w:rFonts w:ascii="Calibri" w:hAnsi="Calibri"/>
              </w:rPr>
            </w:pPr>
            <w:r w:rsidRPr="00674B1A">
              <w:rPr>
                <w:rFonts w:ascii="Calibri" w:hAnsi="Calibri"/>
                <w:u w:val="single"/>
              </w:rPr>
              <w:t>Major Lessons Learnt</w:t>
            </w:r>
            <w:r w:rsidR="005F6261" w:rsidRPr="00845340">
              <w:rPr>
                <w:rFonts w:ascii="Calibri" w:hAnsi="Calibri"/>
              </w:rPr>
              <w:t>:</w:t>
            </w:r>
          </w:p>
          <w:p w14:paraId="6CCE4131" w14:textId="77777777" w:rsidR="000A1A3C" w:rsidRDefault="00600319" w:rsidP="009E7526">
            <w:pPr>
              <w:pStyle w:val="BodyText2"/>
              <w:rPr>
                <w:rFonts w:ascii="Calibri" w:hAnsi="Calibri"/>
                <w:bCs/>
              </w:rPr>
            </w:pPr>
            <w:r w:rsidRPr="00B378FF">
              <w:rPr>
                <w:rFonts w:ascii="Calibri" w:hAnsi="Calibri"/>
                <w:bCs/>
              </w:rPr>
              <w:t>Key lessons learned from the evaluation:</w:t>
            </w:r>
          </w:p>
          <w:p w14:paraId="79A5AAE7" w14:textId="77777777" w:rsidR="00191E34" w:rsidRDefault="00191E34" w:rsidP="009E7526">
            <w:pPr>
              <w:pStyle w:val="BodyText2"/>
              <w:rPr>
                <w:rFonts w:ascii="Calibri" w:hAnsi="Calibri"/>
                <w:bCs/>
              </w:rPr>
            </w:pPr>
          </w:p>
          <w:p w14:paraId="23418C9A" w14:textId="77777777" w:rsidR="00191E34" w:rsidRPr="00191E34" w:rsidRDefault="00191E34" w:rsidP="00191E34">
            <w:pPr>
              <w:spacing w:after="160" w:line="259" w:lineRule="auto"/>
              <w:jc w:val="lowKashida"/>
              <w:rPr>
                <w:rFonts w:ascii="Calibri" w:hAnsi="Calibri"/>
                <w:bCs/>
                <w:sz w:val="20"/>
                <w:lang w:val="en-CA"/>
              </w:rPr>
            </w:pPr>
            <w:r w:rsidRPr="00191E34">
              <w:rPr>
                <w:rFonts w:ascii="Calibri" w:hAnsi="Calibri"/>
                <w:bCs/>
                <w:sz w:val="20"/>
                <w:lang w:val="en-CA"/>
              </w:rPr>
              <w:t>a)</w:t>
            </w:r>
            <w:r w:rsidRPr="00191E34">
              <w:rPr>
                <w:rFonts w:ascii="Calibri" w:hAnsi="Calibri"/>
                <w:bCs/>
                <w:sz w:val="20"/>
                <w:lang w:val="en-CA"/>
              </w:rPr>
              <w:tab/>
            </w:r>
            <w:r w:rsidRPr="00191E34">
              <w:rPr>
                <w:rFonts w:ascii="Calibri" w:hAnsi="Calibri"/>
                <w:bCs/>
                <w:i/>
                <w:sz w:val="20"/>
                <w:lang w:val="en-CA"/>
              </w:rPr>
              <w:t>Strategic approach to programming and positioning</w:t>
            </w:r>
          </w:p>
          <w:p w14:paraId="24BBA752" w14:textId="77777777" w:rsidR="00191E34" w:rsidRPr="00191E34" w:rsidRDefault="00191E34" w:rsidP="00191E34">
            <w:pPr>
              <w:spacing w:after="160" w:line="259" w:lineRule="auto"/>
              <w:jc w:val="lowKashida"/>
              <w:rPr>
                <w:rFonts w:ascii="Calibri" w:hAnsi="Calibri"/>
                <w:bCs/>
                <w:sz w:val="20"/>
                <w:lang w:val="en-CA"/>
              </w:rPr>
            </w:pPr>
            <w:r w:rsidRPr="00191E34">
              <w:rPr>
                <w:rFonts w:ascii="Calibri" w:hAnsi="Calibri"/>
                <w:bCs/>
                <w:sz w:val="20"/>
                <w:lang w:val="en-CA"/>
              </w:rPr>
              <w:t>Certain activities were too thinly spread across a number of areas and this resulted in limited impact and sustainability. For UNDP to stay relevant in a high-income environment such as Bahrain where high-quality support and cutting-edge advice is essential, more depth and specialization will be necessary. The UNDP should be cognizant of both its own strengths and limitations, and thus be explicit about what it can and cannot deliver. The Bahraini government has outlined the country’s development goals and UNDP should identify those areas in which it can make meaningful contributions. UNDP should take a more purposeful and strategic approach to addressing the country’s development challenges and priorities.</w:t>
            </w:r>
          </w:p>
          <w:p w14:paraId="4E0EB12E" w14:textId="77777777" w:rsidR="00191E34" w:rsidRPr="00191E34" w:rsidRDefault="00191E34" w:rsidP="00191E34">
            <w:pPr>
              <w:spacing w:after="160" w:line="259" w:lineRule="auto"/>
              <w:jc w:val="lowKashida"/>
              <w:rPr>
                <w:rFonts w:ascii="Calibri" w:hAnsi="Calibri"/>
                <w:bCs/>
                <w:sz w:val="20"/>
                <w:lang w:val="en-CA"/>
              </w:rPr>
            </w:pPr>
            <w:r w:rsidRPr="00191E34">
              <w:rPr>
                <w:rFonts w:ascii="Calibri" w:hAnsi="Calibri"/>
                <w:bCs/>
                <w:sz w:val="20"/>
                <w:lang w:val="en-CA"/>
              </w:rPr>
              <w:t>b)</w:t>
            </w:r>
            <w:r w:rsidRPr="00191E34">
              <w:rPr>
                <w:rFonts w:ascii="Calibri" w:hAnsi="Calibri"/>
                <w:bCs/>
                <w:sz w:val="20"/>
                <w:lang w:val="en-CA"/>
              </w:rPr>
              <w:tab/>
            </w:r>
            <w:r w:rsidRPr="00191E34">
              <w:rPr>
                <w:rFonts w:ascii="Calibri" w:hAnsi="Calibri"/>
                <w:bCs/>
                <w:i/>
                <w:sz w:val="20"/>
                <w:lang w:val="en-CA"/>
              </w:rPr>
              <w:t>Sustained and predictable funding</w:t>
            </w:r>
          </w:p>
          <w:p w14:paraId="24B01AFD" w14:textId="77777777" w:rsidR="00191E34" w:rsidRPr="00191E34" w:rsidRDefault="00191E34" w:rsidP="00191E34">
            <w:pPr>
              <w:spacing w:after="160" w:line="259" w:lineRule="auto"/>
              <w:jc w:val="lowKashida"/>
              <w:rPr>
                <w:rFonts w:ascii="Calibri" w:hAnsi="Calibri"/>
                <w:bCs/>
                <w:sz w:val="20"/>
                <w:lang w:val="en-CA"/>
              </w:rPr>
            </w:pPr>
            <w:r w:rsidRPr="00191E34">
              <w:rPr>
                <w:rFonts w:ascii="Calibri" w:hAnsi="Calibri"/>
                <w:bCs/>
                <w:sz w:val="20"/>
                <w:lang w:val="en-CA"/>
              </w:rPr>
              <w:t>The</w:t>
            </w:r>
            <w:r w:rsidRPr="00191E34">
              <w:rPr>
                <w:rFonts w:ascii="Calibri" w:hAnsi="Calibri" w:hint="cs"/>
                <w:bCs/>
                <w:sz w:val="20"/>
                <w:rtl/>
              </w:rPr>
              <w:t xml:space="preserve"> </w:t>
            </w:r>
            <w:r w:rsidRPr="00191E34">
              <w:rPr>
                <w:rFonts w:ascii="Calibri" w:hAnsi="Calibri"/>
                <w:bCs/>
                <w:sz w:val="20"/>
                <w:lang w:val="en-GB"/>
              </w:rPr>
              <w:t xml:space="preserve"> continuation </w:t>
            </w:r>
            <w:r w:rsidRPr="00191E34">
              <w:rPr>
                <w:rFonts w:ascii="Calibri" w:hAnsi="Calibri"/>
                <w:bCs/>
                <w:sz w:val="20"/>
                <w:lang w:val="en-CA"/>
              </w:rPr>
              <w:t xml:space="preserve"> of regular funding presented a serious challenge for UNDP’s effectiveness in its current programme cycle. This constrained its ability to develop a more strategic, structured and cohesive programme. As already described in this document, country office concerns about mobilizing funding for its sustainability detract attention from longer-term engagements which are more strategic and sustainable for UNDP. UNDP needs to find a sustainable solution if it is to develop a long-term relationship in the country and contribute to national development in the areas where support is needed and requested.</w:t>
            </w:r>
          </w:p>
          <w:p w14:paraId="13081742" w14:textId="77777777" w:rsidR="00191E34" w:rsidRPr="00191E34" w:rsidRDefault="00191E34" w:rsidP="00191E34">
            <w:pPr>
              <w:spacing w:after="160" w:line="259" w:lineRule="auto"/>
              <w:jc w:val="lowKashida"/>
              <w:rPr>
                <w:rFonts w:ascii="Calibri" w:hAnsi="Calibri"/>
                <w:bCs/>
                <w:sz w:val="20"/>
                <w:lang w:val="en-CA"/>
              </w:rPr>
            </w:pPr>
            <w:r w:rsidRPr="00191E34">
              <w:rPr>
                <w:rFonts w:ascii="Calibri" w:hAnsi="Calibri"/>
                <w:bCs/>
                <w:sz w:val="20"/>
                <w:lang w:val="en-CA"/>
              </w:rPr>
              <w:t>c)</w:t>
            </w:r>
            <w:r w:rsidRPr="00191E34">
              <w:rPr>
                <w:rFonts w:ascii="Calibri" w:hAnsi="Calibri"/>
                <w:bCs/>
                <w:sz w:val="20"/>
                <w:lang w:val="en-CA"/>
              </w:rPr>
              <w:tab/>
            </w:r>
            <w:r w:rsidRPr="00191E34">
              <w:rPr>
                <w:rFonts w:ascii="Calibri" w:hAnsi="Calibri"/>
                <w:bCs/>
                <w:i/>
                <w:sz w:val="20"/>
                <w:lang w:val="en-CA"/>
              </w:rPr>
              <w:t>Transparency and visibility</w:t>
            </w:r>
          </w:p>
          <w:p w14:paraId="3870ED0F" w14:textId="77777777" w:rsidR="00191E34" w:rsidRPr="00191E34" w:rsidRDefault="00191E34" w:rsidP="00191E34">
            <w:pPr>
              <w:spacing w:after="160" w:line="259" w:lineRule="auto"/>
              <w:jc w:val="lowKashida"/>
              <w:rPr>
                <w:rFonts w:ascii="Calibri" w:hAnsi="Calibri"/>
                <w:bCs/>
                <w:sz w:val="20"/>
                <w:lang w:val="en-CA"/>
              </w:rPr>
            </w:pPr>
            <w:r w:rsidRPr="00191E34">
              <w:rPr>
                <w:rFonts w:ascii="Calibri" w:hAnsi="Calibri"/>
                <w:bCs/>
                <w:sz w:val="20"/>
                <w:lang w:val="en-CA"/>
              </w:rPr>
              <w:t>Although UNDP has overall succeeded in creating a good public image of its contribution and gaining the full trust of a number of government and non-government counterparts as a long-term development partner, communication problems with some of its partners hampered certain aspects of its programme. UNDP should communicate more about its mandate, its programmes and above all the results of its work and should pay particular attention to improvements of transparency and communications with partners and the public by strengthening the country office’s media and communications capacities.</w:t>
            </w:r>
          </w:p>
          <w:p w14:paraId="02F142F2" w14:textId="7E499B20" w:rsidR="00600319" w:rsidRPr="00B378FF" w:rsidRDefault="00600319" w:rsidP="00B378FF">
            <w:pPr>
              <w:spacing w:after="160" w:line="259" w:lineRule="auto"/>
              <w:jc w:val="lowKashida"/>
              <w:rPr>
                <w:rFonts w:eastAsia="Calibri"/>
                <w:szCs w:val="24"/>
                <w:lang w:val="en-CA"/>
              </w:rPr>
            </w:pPr>
          </w:p>
        </w:tc>
      </w:tr>
    </w:tbl>
    <w:p w14:paraId="6999F350" w14:textId="77777777" w:rsidR="004B3911" w:rsidRDefault="004B3911">
      <w:pPr>
        <w:pStyle w:val="BodyText2"/>
        <w:rPr>
          <w:rFonts w:ascii="Times New Roman" w:hAnsi="Times New Roman"/>
          <w:sz w:val="24"/>
        </w:rPr>
      </w:pPr>
    </w:p>
    <w:p w14:paraId="52183C06" w14:textId="77777777" w:rsidR="00E37E7A" w:rsidRPr="005474ED" w:rsidRDefault="00EA7740" w:rsidP="00E37E7A">
      <w:pPr>
        <w:pStyle w:val="BodyText2"/>
        <w:jc w:val="center"/>
        <w:rPr>
          <w:rFonts w:ascii="Calibri" w:hAnsi="Calibri"/>
          <w:sz w:val="24"/>
        </w:rPr>
      </w:pPr>
      <w:r>
        <w:rPr>
          <w:rFonts w:ascii="Calibri" w:hAnsi="Calibri"/>
          <w:sz w:val="24"/>
        </w:rPr>
        <w:t xml:space="preserve">III. </w:t>
      </w:r>
      <w:r w:rsidR="00673710" w:rsidRPr="005474ED">
        <w:rPr>
          <w:rFonts w:ascii="Calibri" w:hAnsi="Calibri"/>
          <w:sz w:val="24"/>
        </w:rPr>
        <w:t xml:space="preserve">Country Programme </w:t>
      </w:r>
      <w:r w:rsidR="00E37E7A" w:rsidRPr="005474ED">
        <w:rPr>
          <w:rFonts w:ascii="Calibri" w:hAnsi="Calibri"/>
          <w:sz w:val="24"/>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890"/>
        <w:gridCol w:w="2070"/>
        <w:gridCol w:w="1980"/>
        <w:gridCol w:w="2008"/>
      </w:tblGrid>
      <w:tr w:rsidR="0015409F" w:rsidRPr="006900FE" w14:paraId="1AFEDBA0" w14:textId="77777777" w:rsidTr="00A16F22">
        <w:tc>
          <w:tcPr>
            <w:tcW w:w="6228" w:type="dxa"/>
            <w:shd w:val="clear" w:color="auto" w:fill="000000"/>
          </w:tcPr>
          <w:p w14:paraId="06C3849B" w14:textId="77777777" w:rsidR="0015409F" w:rsidRPr="00A16F22" w:rsidRDefault="0015409F" w:rsidP="00A16F22">
            <w:pPr>
              <w:pStyle w:val="BodyText2"/>
              <w:jc w:val="center"/>
              <w:rPr>
                <w:rFonts w:ascii="Calibri" w:hAnsi="Calibri"/>
                <w:b/>
                <w:color w:val="FFFFFF"/>
                <w:sz w:val="24"/>
              </w:rPr>
            </w:pPr>
            <w:r w:rsidRPr="00A16F22">
              <w:rPr>
                <w:rFonts w:ascii="Calibri" w:hAnsi="Calibri"/>
                <w:b/>
                <w:color w:val="FFFFFF"/>
                <w:sz w:val="24"/>
              </w:rPr>
              <w:t>Focus Area</w:t>
            </w:r>
          </w:p>
        </w:tc>
        <w:tc>
          <w:tcPr>
            <w:tcW w:w="5940" w:type="dxa"/>
            <w:gridSpan w:val="3"/>
            <w:shd w:val="clear" w:color="auto" w:fill="000000"/>
          </w:tcPr>
          <w:p w14:paraId="15C2DA4B" w14:textId="77777777" w:rsidR="0015409F" w:rsidRPr="00A16F22" w:rsidRDefault="000D6DE5" w:rsidP="00A16F22">
            <w:pPr>
              <w:pStyle w:val="BodyText2"/>
              <w:jc w:val="center"/>
              <w:rPr>
                <w:rFonts w:ascii="Calibri" w:hAnsi="Calibri"/>
                <w:b/>
                <w:color w:val="FFFFFF"/>
                <w:sz w:val="24"/>
              </w:rPr>
            </w:pPr>
            <w:r w:rsidRPr="00A16F22">
              <w:rPr>
                <w:rFonts w:ascii="Calibri" w:hAnsi="Calibri"/>
                <w:b/>
                <w:color w:val="FFFFFF"/>
                <w:sz w:val="24"/>
              </w:rPr>
              <w:t xml:space="preserve">Programme </w:t>
            </w:r>
            <w:r w:rsidR="0015409F" w:rsidRPr="00A16F22">
              <w:rPr>
                <w:rFonts w:ascii="Calibri" w:hAnsi="Calibri"/>
                <w:b/>
                <w:color w:val="FFFFFF"/>
                <w:sz w:val="24"/>
              </w:rPr>
              <w:t>Expenditure ($)</w:t>
            </w:r>
          </w:p>
        </w:tc>
        <w:tc>
          <w:tcPr>
            <w:tcW w:w="2008" w:type="dxa"/>
            <w:shd w:val="clear" w:color="auto" w:fill="000000"/>
          </w:tcPr>
          <w:p w14:paraId="6F3D3A9F" w14:textId="77777777" w:rsidR="0015409F" w:rsidRPr="00A16F22" w:rsidRDefault="0015409F" w:rsidP="00A16F22">
            <w:pPr>
              <w:pStyle w:val="BodyText2"/>
              <w:jc w:val="center"/>
              <w:rPr>
                <w:rFonts w:ascii="Calibri" w:hAnsi="Calibri"/>
                <w:b/>
                <w:color w:val="FFFFFF"/>
                <w:sz w:val="24"/>
              </w:rPr>
            </w:pPr>
            <w:r w:rsidRPr="00A16F22">
              <w:rPr>
                <w:rFonts w:ascii="Calibri" w:hAnsi="Calibri"/>
                <w:b/>
                <w:color w:val="FFFFFF"/>
                <w:sz w:val="24"/>
              </w:rPr>
              <w:t>% of Total</w:t>
            </w:r>
          </w:p>
        </w:tc>
      </w:tr>
      <w:tr w:rsidR="000D6DE5" w:rsidRPr="006900FE" w14:paraId="2619DAF6" w14:textId="77777777" w:rsidTr="00A16F22">
        <w:tc>
          <w:tcPr>
            <w:tcW w:w="6228" w:type="dxa"/>
          </w:tcPr>
          <w:p w14:paraId="3E3C5853" w14:textId="77777777" w:rsidR="000D6DE5" w:rsidRPr="00A16F22" w:rsidRDefault="000D6DE5" w:rsidP="00A0001A">
            <w:pPr>
              <w:pStyle w:val="BodyText2"/>
              <w:rPr>
                <w:rFonts w:ascii="Calibri" w:hAnsi="Calibri"/>
              </w:rPr>
            </w:pPr>
          </w:p>
        </w:tc>
        <w:tc>
          <w:tcPr>
            <w:tcW w:w="1890" w:type="dxa"/>
          </w:tcPr>
          <w:p w14:paraId="2C1541C5" w14:textId="77777777" w:rsidR="000D6DE5" w:rsidRPr="00A16F22" w:rsidRDefault="000D6DE5" w:rsidP="00A16F22">
            <w:pPr>
              <w:pStyle w:val="BodyText2"/>
              <w:jc w:val="center"/>
              <w:rPr>
                <w:rFonts w:ascii="Calibri" w:hAnsi="Calibri"/>
              </w:rPr>
            </w:pPr>
            <w:r w:rsidRPr="00A16F22">
              <w:rPr>
                <w:rFonts w:ascii="Calibri" w:hAnsi="Calibri"/>
              </w:rPr>
              <w:t>Regular (TRAC)</w:t>
            </w:r>
          </w:p>
        </w:tc>
        <w:tc>
          <w:tcPr>
            <w:tcW w:w="2070" w:type="dxa"/>
          </w:tcPr>
          <w:p w14:paraId="4688DF55" w14:textId="77777777" w:rsidR="000D6DE5" w:rsidRPr="00A16F22" w:rsidRDefault="000D6DE5" w:rsidP="00A16F22">
            <w:pPr>
              <w:pStyle w:val="BodyText2"/>
              <w:jc w:val="center"/>
              <w:rPr>
                <w:rFonts w:ascii="Calibri" w:hAnsi="Calibri"/>
              </w:rPr>
            </w:pPr>
            <w:r w:rsidRPr="00A16F22">
              <w:rPr>
                <w:rFonts w:ascii="Calibri" w:hAnsi="Calibri"/>
              </w:rPr>
              <w:t>Other</w:t>
            </w:r>
          </w:p>
        </w:tc>
        <w:tc>
          <w:tcPr>
            <w:tcW w:w="1980" w:type="dxa"/>
          </w:tcPr>
          <w:p w14:paraId="0BECA5A3" w14:textId="77777777" w:rsidR="000D6DE5" w:rsidRPr="00A16F22" w:rsidRDefault="000D6DE5" w:rsidP="00A16F22">
            <w:pPr>
              <w:pStyle w:val="BodyText2"/>
              <w:jc w:val="center"/>
              <w:rPr>
                <w:rFonts w:ascii="Calibri" w:hAnsi="Calibri"/>
              </w:rPr>
            </w:pPr>
            <w:r w:rsidRPr="00A16F22">
              <w:rPr>
                <w:rFonts w:ascii="Calibri" w:hAnsi="Calibri"/>
              </w:rPr>
              <w:t>Total</w:t>
            </w:r>
          </w:p>
        </w:tc>
        <w:tc>
          <w:tcPr>
            <w:tcW w:w="2008" w:type="dxa"/>
          </w:tcPr>
          <w:p w14:paraId="109B04F5" w14:textId="77777777" w:rsidR="000D6DE5" w:rsidRPr="00A16F22" w:rsidRDefault="000D6DE5" w:rsidP="00A16F22">
            <w:pPr>
              <w:pStyle w:val="BodyText2"/>
              <w:jc w:val="center"/>
              <w:rPr>
                <w:rFonts w:ascii="Calibri" w:hAnsi="Calibri"/>
              </w:rPr>
            </w:pPr>
          </w:p>
        </w:tc>
      </w:tr>
      <w:tr w:rsidR="000D6DE5" w:rsidRPr="006900FE" w14:paraId="587BD4E3" w14:textId="77777777" w:rsidTr="00A16F22">
        <w:tc>
          <w:tcPr>
            <w:tcW w:w="6228" w:type="dxa"/>
          </w:tcPr>
          <w:p w14:paraId="48F1CC6F" w14:textId="77777777" w:rsidR="000D6DE5" w:rsidRPr="00A16F22" w:rsidRDefault="000D6DE5" w:rsidP="00A0001A">
            <w:pPr>
              <w:pStyle w:val="BodyText2"/>
              <w:rPr>
                <w:rFonts w:ascii="Calibri" w:hAnsi="Calibri"/>
              </w:rPr>
            </w:pPr>
            <w:r w:rsidRPr="00A16F22">
              <w:rPr>
                <w:rFonts w:ascii="Calibri" w:hAnsi="Calibri"/>
              </w:rPr>
              <w:t>Poverty and MDGs</w:t>
            </w:r>
          </w:p>
        </w:tc>
        <w:tc>
          <w:tcPr>
            <w:tcW w:w="1890" w:type="dxa"/>
          </w:tcPr>
          <w:p w14:paraId="7F3C9995" w14:textId="77777777" w:rsidR="000D6DE5" w:rsidRPr="00A16F22" w:rsidRDefault="000D6DE5" w:rsidP="00A16F22">
            <w:pPr>
              <w:pStyle w:val="BodyText2"/>
              <w:jc w:val="center"/>
              <w:rPr>
                <w:rFonts w:ascii="Calibri" w:hAnsi="Calibri"/>
              </w:rPr>
            </w:pPr>
          </w:p>
        </w:tc>
        <w:tc>
          <w:tcPr>
            <w:tcW w:w="2070" w:type="dxa"/>
          </w:tcPr>
          <w:p w14:paraId="52DCF279" w14:textId="28818C07" w:rsidR="000D6DE5" w:rsidRPr="00A16F22" w:rsidRDefault="00003B3C" w:rsidP="00A16F22">
            <w:pPr>
              <w:pStyle w:val="BodyText2"/>
              <w:jc w:val="center"/>
              <w:rPr>
                <w:rFonts w:ascii="Calibri" w:hAnsi="Calibri"/>
              </w:rPr>
            </w:pPr>
            <w:r>
              <w:rPr>
                <w:rFonts w:ascii="Calibri" w:hAnsi="Calibri"/>
              </w:rPr>
              <w:t>1.47 million</w:t>
            </w:r>
          </w:p>
        </w:tc>
        <w:tc>
          <w:tcPr>
            <w:tcW w:w="1980" w:type="dxa"/>
          </w:tcPr>
          <w:p w14:paraId="014EE3DA" w14:textId="63FA8B4F" w:rsidR="000D6DE5" w:rsidRPr="00A16F22" w:rsidRDefault="00003B3C" w:rsidP="00A16F22">
            <w:pPr>
              <w:pStyle w:val="BodyText2"/>
              <w:jc w:val="center"/>
              <w:rPr>
                <w:rFonts w:ascii="Calibri" w:hAnsi="Calibri"/>
              </w:rPr>
            </w:pPr>
            <w:r>
              <w:rPr>
                <w:rFonts w:ascii="Calibri" w:hAnsi="Calibri"/>
              </w:rPr>
              <w:t>1.47 million</w:t>
            </w:r>
          </w:p>
        </w:tc>
        <w:tc>
          <w:tcPr>
            <w:tcW w:w="2008" w:type="dxa"/>
          </w:tcPr>
          <w:p w14:paraId="4A87D825" w14:textId="1DBF3B61" w:rsidR="000D6DE5" w:rsidRPr="00A16F22" w:rsidRDefault="00003B3C" w:rsidP="00A16F22">
            <w:pPr>
              <w:pStyle w:val="BodyText2"/>
              <w:jc w:val="center"/>
              <w:rPr>
                <w:rFonts w:ascii="Calibri" w:hAnsi="Calibri"/>
              </w:rPr>
            </w:pPr>
            <w:r>
              <w:rPr>
                <w:rFonts w:ascii="Calibri" w:hAnsi="Calibri"/>
              </w:rPr>
              <w:t>26.06%</w:t>
            </w:r>
          </w:p>
        </w:tc>
      </w:tr>
      <w:tr w:rsidR="000D6DE5" w:rsidRPr="006900FE" w14:paraId="36280FAA" w14:textId="77777777" w:rsidTr="00A16F22">
        <w:tc>
          <w:tcPr>
            <w:tcW w:w="6228" w:type="dxa"/>
          </w:tcPr>
          <w:p w14:paraId="21A2FEC7" w14:textId="77777777" w:rsidR="000D6DE5" w:rsidRPr="00A16F22" w:rsidRDefault="000D6DE5" w:rsidP="00A0001A">
            <w:pPr>
              <w:pStyle w:val="BodyText2"/>
              <w:rPr>
                <w:rFonts w:ascii="Calibri" w:hAnsi="Calibri"/>
              </w:rPr>
            </w:pPr>
            <w:r w:rsidRPr="00A16F22">
              <w:rPr>
                <w:rFonts w:ascii="Calibri" w:hAnsi="Calibri"/>
              </w:rPr>
              <w:t>Democratic Governance</w:t>
            </w:r>
          </w:p>
        </w:tc>
        <w:tc>
          <w:tcPr>
            <w:tcW w:w="1890" w:type="dxa"/>
          </w:tcPr>
          <w:p w14:paraId="0514EADE" w14:textId="77777777" w:rsidR="000D6DE5" w:rsidRPr="00A16F22" w:rsidRDefault="000D6DE5" w:rsidP="00A16F22">
            <w:pPr>
              <w:pStyle w:val="BodyText2"/>
              <w:jc w:val="center"/>
              <w:rPr>
                <w:rFonts w:ascii="Calibri" w:hAnsi="Calibri"/>
              </w:rPr>
            </w:pPr>
          </w:p>
        </w:tc>
        <w:tc>
          <w:tcPr>
            <w:tcW w:w="2070" w:type="dxa"/>
          </w:tcPr>
          <w:p w14:paraId="0E830092" w14:textId="4C55BE5F" w:rsidR="000D6DE5" w:rsidRPr="00A16F22" w:rsidRDefault="00003B3C" w:rsidP="00A16F22">
            <w:pPr>
              <w:pStyle w:val="BodyText2"/>
              <w:jc w:val="center"/>
              <w:rPr>
                <w:rFonts w:ascii="Calibri" w:hAnsi="Calibri"/>
              </w:rPr>
            </w:pPr>
            <w:r>
              <w:rPr>
                <w:rFonts w:ascii="Calibri" w:hAnsi="Calibri"/>
              </w:rPr>
              <w:t>2.23 million</w:t>
            </w:r>
          </w:p>
        </w:tc>
        <w:tc>
          <w:tcPr>
            <w:tcW w:w="1980" w:type="dxa"/>
          </w:tcPr>
          <w:p w14:paraId="52B9A42D" w14:textId="130F90AB" w:rsidR="000D6DE5" w:rsidRPr="00A16F22" w:rsidRDefault="00003B3C" w:rsidP="00A16F22">
            <w:pPr>
              <w:pStyle w:val="BodyText2"/>
              <w:jc w:val="center"/>
              <w:rPr>
                <w:rFonts w:ascii="Calibri" w:hAnsi="Calibri"/>
              </w:rPr>
            </w:pPr>
            <w:r>
              <w:rPr>
                <w:rFonts w:ascii="Calibri" w:hAnsi="Calibri"/>
              </w:rPr>
              <w:t>2.23 million</w:t>
            </w:r>
          </w:p>
        </w:tc>
        <w:tc>
          <w:tcPr>
            <w:tcW w:w="2008" w:type="dxa"/>
          </w:tcPr>
          <w:p w14:paraId="36DC2299" w14:textId="572D9B0E" w:rsidR="000D6DE5" w:rsidRPr="00A16F22" w:rsidRDefault="00003B3C" w:rsidP="00A16F22">
            <w:pPr>
              <w:pStyle w:val="BodyText2"/>
              <w:jc w:val="center"/>
              <w:rPr>
                <w:rFonts w:ascii="Calibri" w:hAnsi="Calibri"/>
              </w:rPr>
            </w:pPr>
            <w:r>
              <w:rPr>
                <w:rFonts w:ascii="Calibri" w:hAnsi="Calibri"/>
              </w:rPr>
              <w:t>39.54%</w:t>
            </w:r>
          </w:p>
        </w:tc>
      </w:tr>
      <w:tr w:rsidR="000D6DE5" w:rsidRPr="006900FE" w14:paraId="7A129113" w14:textId="77777777" w:rsidTr="00A16F22">
        <w:tc>
          <w:tcPr>
            <w:tcW w:w="6228" w:type="dxa"/>
          </w:tcPr>
          <w:p w14:paraId="39EDBC8F" w14:textId="77777777" w:rsidR="000D6DE5" w:rsidRPr="00A16F22" w:rsidRDefault="000D6DE5" w:rsidP="00A0001A">
            <w:pPr>
              <w:pStyle w:val="BodyText2"/>
              <w:rPr>
                <w:rFonts w:ascii="Calibri" w:hAnsi="Calibri"/>
              </w:rPr>
            </w:pPr>
            <w:r w:rsidRPr="00A16F22">
              <w:rPr>
                <w:rFonts w:ascii="Calibri" w:hAnsi="Calibri"/>
              </w:rPr>
              <w:t>Crisis Prevention and Recovery</w:t>
            </w:r>
          </w:p>
        </w:tc>
        <w:tc>
          <w:tcPr>
            <w:tcW w:w="1890" w:type="dxa"/>
          </w:tcPr>
          <w:p w14:paraId="70677E95" w14:textId="77777777" w:rsidR="000D6DE5" w:rsidRPr="00A16F22" w:rsidRDefault="000D6DE5" w:rsidP="00A16F22">
            <w:pPr>
              <w:pStyle w:val="BodyText2"/>
              <w:jc w:val="center"/>
              <w:rPr>
                <w:rFonts w:ascii="Calibri" w:hAnsi="Calibri"/>
              </w:rPr>
            </w:pPr>
          </w:p>
        </w:tc>
        <w:tc>
          <w:tcPr>
            <w:tcW w:w="2070" w:type="dxa"/>
          </w:tcPr>
          <w:p w14:paraId="4D7002A7" w14:textId="77777777" w:rsidR="000D6DE5" w:rsidRPr="00A16F22" w:rsidRDefault="000D6DE5" w:rsidP="00A16F22">
            <w:pPr>
              <w:pStyle w:val="BodyText2"/>
              <w:jc w:val="center"/>
              <w:rPr>
                <w:rFonts w:ascii="Calibri" w:hAnsi="Calibri"/>
              </w:rPr>
            </w:pPr>
          </w:p>
        </w:tc>
        <w:tc>
          <w:tcPr>
            <w:tcW w:w="1980" w:type="dxa"/>
          </w:tcPr>
          <w:p w14:paraId="5D22A97E" w14:textId="77777777" w:rsidR="000D6DE5" w:rsidRPr="00A16F22" w:rsidRDefault="000D6DE5" w:rsidP="00A16F22">
            <w:pPr>
              <w:pStyle w:val="BodyText2"/>
              <w:jc w:val="center"/>
              <w:rPr>
                <w:rFonts w:ascii="Calibri" w:hAnsi="Calibri"/>
              </w:rPr>
            </w:pPr>
          </w:p>
        </w:tc>
        <w:tc>
          <w:tcPr>
            <w:tcW w:w="2008" w:type="dxa"/>
          </w:tcPr>
          <w:p w14:paraId="15CD2509" w14:textId="77777777" w:rsidR="000D6DE5" w:rsidRPr="00A16F22" w:rsidRDefault="000D6DE5" w:rsidP="00A16F22">
            <w:pPr>
              <w:pStyle w:val="BodyText2"/>
              <w:jc w:val="center"/>
              <w:rPr>
                <w:rFonts w:ascii="Calibri" w:hAnsi="Calibri"/>
              </w:rPr>
            </w:pPr>
          </w:p>
        </w:tc>
      </w:tr>
      <w:tr w:rsidR="000D6DE5" w:rsidRPr="006900FE" w14:paraId="30F127C0" w14:textId="77777777" w:rsidTr="00A16F22">
        <w:tc>
          <w:tcPr>
            <w:tcW w:w="6228" w:type="dxa"/>
          </w:tcPr>
          <w:p w14:paraId="355478B2" w14:textId="77777777" w:rsidR="000D6DE5" w:rsidRPr="00A16F22" w:rsidRDefault="000D6DE5" w:rsidP="00A0001A">
            <w:pPr>
              <w:pStyle w:val="BodyText2"/>
              <w:rPr>
                <w:rFonts w:ascii="Calibri" w:hAnsi="Calibri"/>
              </w:rPr>
            </w:pPr>
            <w:r w:rsidRPr="00A16F22">
              <w:rPr>
                <w:rFonts w:ascii="Calibri" w:hAnsi="Calibri"/>
              </w:rPr>
              <w:t>Environment and Sustainable Development</w:t>
            </w:r>
          </w:p>
        </w:tc>
        <w:tc>
          <w:tcPr>
            <w:tcW w:w="1890" w:type="dxa"/>
          </w:tcPr>
          <w:p w14:paraId="04A702A2" w14:textId="77777777" w:rsidR="000D6DE5" w:rsidRPr="00A16F22" w:rsidRDefault="000D6DE5" w:rsidP="00A16F22">
            <w:pPr>
              <w:pStyle w:val="BodyText2"/>
              <w:jc w:val="center"/>
              <w:rPr>
                <w:rFonts w:ascii="Calibri" w:hAnsi="Calibri"/>
              </w:rPr>
            </w:pPr>
          </w:p>
        </w:tc>
        <w:tc>
          <w:tcPr>
            <w:tcW w:w="2070" w:type="dxa"/>
          </w:tcPr>
          <w:p w14:paraId="161CBCA6" w14:textId="0BA24500" w:rsidR="000D6DE5" w:rsidRPr="00A16F22" w:rsidRDefault="00003B3C" w:rsidP="00A16F22">
            <w:pPr>
              <w:pStyle w:val="BodyText2"/>
              <w:jc w:val="center"/>
              <w:rPr>
                <w:rFonts w:ascii="Calibri" w:hAnsi="Calibri"/>
              </w:rPr>
            </w:pPr>
            <w:r>
              <w:rPr>
                <w:rFonts w:ascii="Calibri" w:hAnsi="Calibri"/>
              </w:rPr>
              <w:t>1.94 million</w:t>
            </w:r>
          </w:p>
        </w:tc>
        <w:tc>
          <w:tcPr>
            <w:tcW w:w="1980" w:type="dxa"/>
          </w:tcPr>
          <w:p w14:paraId="677DDDD5" w14:textId="4D6985B1" w:rsidR="000D6DE5" w:rsidRPr="00A16F22" w:rsidRDefault="00003B3C" w:rsidP="00A16F22">
            <w:pPr>
              <w:pStyle w:val="BodyText2"/>
              <w:jc w:val="center"/>
              <w:rPr>
                <w:rFonts w:ascii="Calibri" w:hAnsi="Calibri"/>
              </w:rPr>
            </w:pPr>
            <w:r>
              <w:rPr>
                <w:rFonts w:ascii="Calibri" w:hAnsi="Calibri"/>
              </w:rPr>
              <w:t>1.94 million</w:t>
            </w:r>
          </w:p>
        </w:tc>
        <w:tc>
          <w:tcPr>
            <w:tcW w:w="2008" w:type="dxa"/>
          </w:tcPr>
          <w:p w14:paraId="62B410B0" w14:textId="643ABA0E" w:rsidR="000D6DE5" w:rsidRPr="00A16F22" w:rsidRDefault="00003B3C" w:rsidP="00A16F22">
            <w:pPr>
              <w:pStyle w:val="BodyText2"/>
              <w:jc w:val="center"/>
              <w:rPr>
                <w:rFonts w:ascii="Calibri" w:hAnsi="Calibri"/>
              </w:rPr>
            </w:pPr>
            <w:r>
              <w:rPr>
                <w:rFonts w:ascii="Calibri" w:hAnsi="Calibri"/>
              </w:rPr>
              <w:t>34.40%</w:t>
            </w:r>
          </w:p>
        </w:tc>
      </w:tr>
      <w:tr w:rsidR="000D6DE5" w:rsidRPr="006900FE" w14:paraId="441DEA76" w14:textId="77777777" w:rsidTr="00A16F22">
        <w:tc>
          <w:tcPr>
            <w:tcW w:w="6228" w:type="dxa"/>
            <w:shd w:val="clear" w:color="auto" w:fill="00B0F0"/>
          </w:tcPr>
          <w:p w14:paraId="2E8EB53C" w14:textId="77777777" w:rsidR="000D6DE5" w:rsidRPr="00A16F22" w:rsidRDefault="000D6DE5" w:rsidP="00A16F22">
            <w:pPr>
              <w:pStyle w:val="BodyText2"/>
              <w:jc w:val="center"/>
              <w:rPr>
                <w:rFonts w:ascii="Calibri" w:hAnsi="Calibri"/>
              </w:rPr>
            </w:pPr>
            <w:r w:rsidRPr="00A16F22">
              <w:rPr>
                <w:rFonts w:ascii="Calibri" w:hAnsi="Calibri"/>
              </w:rPr>
              <w:lastRenderedPageBreak/>
              <w:t>Total</w:t>
            </w:r>
          </w:p>
        </w:tc>
        <w:tc>
          <w:tcPr>
            <w:tcW w:w="1890" w:type="dxa"/>
            <w:shd w:val="clear" w:color="auto" w:fill="00B0F0"/>
          </w:tcPr>
          <w:p w14:paraId="33CB9963" w14:textId="77777777" w:rsidR="000D6DE5" w:rsidRPr="00A16F22" w:rsidRDefault="000D6DE5" w:rsidP="00A16F22">
            <w:pPr>
              <w:pStyle w:val="BodyText2"/>
              <w:jc w:val="center"/>
              <w:rPr>
                <w:rFonts w:ascii="Calibri" w:hAnsi="Calibri"/>
              </w:rPr>
            </w:pPr>
          </w:p>
        </w:tc>
        <w:tc>
          <w:tcPr>
            <w:tcW w:w="2070" w:type="dxa"/>
            <w:shd w:val="clear" w:color="auto" w:fill="00B0F0"/>
          </w:tcPr>
          <w:p w14:paraId="24C83598" w14:textId="77777777" w:rsidR="000D6DE5" w:rsidRPr="00A16F22" w:rsidRDefault="000D6DE5" w:rsidP="00A16F22">
            <w:pPr>
              <w:pStyle w:val="BodyText2"/>
              <w:jc w:val="center"/>
              <w:rPr>
                <w:rFonts w:ascii="Calibri" w:hAnsi="Calibri"/>
              </w:rPr>
            </w:pPr>
          </w:p>
        </w:tc>
        <w:tc>
          <w:tcPr>
            <w:tcW w:w="1980" w:type="dxa"/>
            <w:shd w:val="clear" w:color="auto" w:fill="00B0F0"/>
          </w:tcPr>
          <w:p w14:paraId="2FBCDEC3" w14:textId="77777777" w:rsidR="000D6DE5" w:rsidRPr="00A16F22" w:rsidRDefault="000D6DE5" w:rsidP="00A16F22">
            <w:pPr>
              <w:pStyle w:val="BodyText2"/>
              <w:jc w:val="center"/>
              <w:rPr>
                <w:rFonts w:ascii="Calibri" w:hAnsi="Calibri"/>
              </w:rPr>
            </w:pPr>
          </w:p>
        </w:tc>
        <w:tc>
          <w:tcPr>
            <w:tcW w:w="2008" w:type="dxa"/>
            <w:shd w:val="clear" w:color="auto" w:fill="00B0F0"/>
          </w:tcPr>
          <w:p w14:paraId="7BBAB0CF" w14:textId="77777777" w:rsidR="000D6DE5" w:rsidRPr="00A16F22" w:rsidRDefault="000D6DE5" w:rsidP="00A16F22">
            <w:pPr>
              <w:pStyle w:val="BodyText2"/>
              <w:jc w:val="center"/>
              <w:rPr>
                <w:rFonts w:ascii="Calibri" w:hAnsi="Calibri"/>
              </w:rPr>
            </w:pPr>
          </w:p>
        </w:tc>
      </w:tr>
    </w:tbl>
    <w:p w14:paraId="4AB8950C" w14:textId="77777777" w:rsidR="00635929" w:rsidRPr="006900FE" w:rsidRDefault="00635929" w:rsidP="002315A5">
      <w:pPr>
        <w:pStyle w:val="BodyText2"/>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2547CF" w:rsidRPr="006900FE" w14:paraId="37212AE6" w14:textId="77777777" w:rsidTr="00A16F22">
        <w:tc>
          <w:tcPr>
            <w:tcW w:w="14176" w:type="dxa"/>
          </w:tcPr>
          <w:p w14:paraId="263AC195" w14:textId="77777777" w:rsidR="002547CF" w:rsidRPr="00A16F22" w:rsidRDefault="002547CF" w:rsidP="005E0C05">
            <w:pPr>
              <w:pStyle w:val="BodyText2"/>
              <w:rPr>
                <w:rFonts w:ascii="Calibri" w:hAnsi="Calibri"/>
                <w:b/>
              </w:rPr>
            </w:pPr>
            <w:r w:rsidRPr="00A16F22">
              <w:rPr>
                <w:rFonts w:ascii="Calibri" w:hAnsi="Calibri"/>
                <w:b/>
              </w:rPr>
              <w:t xml:space="preserve">Data sources:  (please indicate the main sources from which data were obtained for this report.) </w:t>
            </w:r>
          </w:p>
        </w:tc>
      </w:tr>
      <w:tr w:rsidR="00B64ACA" w:rsidRPr="006900FE" w14:paraId="6723985B" w14:textId="77777777" w:rsidTr="00A16F22">
        <w:tc>
          <w:tcPr>
            <w:tcW w:w="14176" w:type="dxa"/>
          </w:tcPr>
          <w:p w14:paraId="0E77951F" w14:textId="4158673A" w:rsidR="00B64ACA" w:rsidRPr="00A16F22" w:rsidRDefault="00B64ACA" w:rsidP="002315A5">
            <w:pPr>
              <w:pStyle w:val="BodyText2"/>
              <w:rPr>
                <w:rFonts w:ascii="Calibri" w:hAnsi="Calibri"/>
                <w:b/>
              </w:rPr>
            </w:pPr>
          </w:p>
          <w:p w14:paraId="4AB07D2D" w14:textId="6F40BE6A" w:rsidR="001A55BF" w:rsidRDefault="001A55BF" w:rsidP="00806281">
            <w:pPr>
              <w:pStyle w:val="BodyText2"/>
              <w:numPr>
                <w:ilvl w:val="0"/>
                <w:numId w:val="18"/>
              </w:numPr>
              <w:rPr>
                <w:rFonts w:ascii="Calibri" w:hAnsi="Calibri"/>
                <w:b/>
              </w:rPr>
            </w:pPr>
            <w:r>
              <w:rPr>
                <w:rFonts w:ascii="Calibri" w:hAnsi="Calibri"/>
                <w:b/>
              </w:rPr>
              <w:t>UNDP Bahrain Final Independent Evaluation of the Country Programme, May 2016</w:t>
            </w:r>
          </w:p>
          <w:p w14:paraId="1CA07864" w14:textId="215468B0" w:rsidR="008D791F" w:rsidRDefault="001A55BF" w:rsidP="00806281">
            <w:pPr>
              <w:pStyle w:val="BodyText2"/>
              <w:numPr>
                <w:ilvl w:val="0"/>
                <w:numId w:val="18"/>
              </w:numPr>
              <w:rPr>
                <w:rFonts w:ascii="Calibri" w:hAnsi="Calibri"/>
                <w:b/>
              </w:rPr>
            </w:pPr>
            <w:r>
              <w:rPr>
                <w:rFonts w:ascii="Calibri" w:hAnsi="Calibri"/>
                <w:b/>
              </w:rPr>
              <w:t>Final Technical Report (written for UNAIDS Programme Accelerating Fund – PAF) , November 2012</w:t>
            </w:r>
          </w:p>
          <w:p w14:paraId="350CA666" w14:textId="6C2D7314" w:rsidR="001A55BF" w:rsidRPr="00A16F22" w:rsidRDefault="001A55BF" w:rsidP="00806281">
            <w:pPr>
              <w:pStyle w:val="BodyText2"/>
              <w:numPr>
                <w:ilvl w:val="0"/>
                <w:numId w:val="18"/>
              </w:numPr>
              <w:rPr>
                <w:rFonts w:ascii="Calibri" w:hAnsi="Calibri"/>
                <w:b/>
              </w:rPr>
            </w:pPr>
            <w:r>
              <w:rPr>
                <w:rFonts w:ascii="Calibri" w:hAnsi="Calibri"/>
                <w:b/>
              </w:rPr>
              <w:t xml:space="preserve">Assessment </w:t>
            </w:r>
            <w:r w:rsidR="002F402A">
              <w:rPr>
                <w:rFonts w:ascii="Calibri" w:hAnsi="Calibri"/>
                <w:b/>
              </w:rPr>
              <w:t>Report</w:t>
            </w:r>
            <w:r>
              <w:rPr>
                <w:rFonts w:ascii="Calibri" w:hAnsi="Calibri"/>
                <w:b/>
              </w:rPr>
              <w:t xml:space="preserve"> on Project Achievements, Gaps and Constraints (of Micro-finance project), April 2013</w:t>
            </w:r>
          </w:p>
          <w:p w14:paraId="53375BA9" w14:textId="77777777" w:rsidR="008D791F" w:rsidRPr="00A16F22" w:rsidRDefault="008D791F" w:rsidP="002315A5">
            <w:pPr>
              <w:pStyle w:val="BodyText2"/>
              <w:rPr>
                <w:rFonts w:ascii="Calibri" w:hAnsi="Calibri"/>
                <w:b/>
              </w:rPr>
            </w:pPr>
          </w:p>
          <w:p w14:paraId="0DC4393D" w14:textId="77777777" w:rsidR="008D791F" w:rsidRPr="00A16F22" w:rsidRDefault="008D791F" w:rsidP="002315A5">
            <w:pPr>
              <w:pStyle w:val="BodyText2"/>
              <w:rPr>
                <w:rFonts w:ascii="Calibri" w:hAnsi="Calibri"/>
                <w:b/>
              </w:rPr>
            </w:pPr>
          </w:p>
          <w:p w14:paraId="3BD4A0A4" w14:textId="77777777" w:rsidR="008D791F" w:rsidRPr="00A16F22" w:rsidRDefault="008D791F" w:rsidP="002315A5">
            <w:pPr>
              <w:pStyle w:val="BodyText2"/>
              <w:rPr>
                <w:rFonts w:ascii="Calibri" w:hAnsi="Calibri"/>
                <w:b/>
              </w:rPr>
            </w:pPr>
          </w:p>
        </w:tc>
      </w:tr>
    </w:tbl>
    <w:p w14:paraId="5B98C0A9"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05A2A" w14:textId="77777777" w:rsidR="0063262E" w:rsidRDefault="0063262E">
      <w:r>
        <w:separator/>
      </w:r>
    </w:p>
  </w:endnote>
  <w:endnote w:type="continuationSeparator" w:id="0">
    <w:p w14:paraId="4D75DB89" w14:textId="77777777" w:rsidR="0063262E" w:rsidRDefault="0063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5CEF" w14:textId="77777777" w:rsidR="00A210CD" w:rsidRDefault="00C576D1">
    <w:pPr>
      <w:pStyle w:val="Footer"/>
      <w:jc w:val="center"/>
    </w:pPr>
    <w:r>
      <w:fldChar w:fldCharType="begin"/>
    </w:r>
    <w:r>
      <w:instrText xml:space="preserve"> PAGE   \* MERGEFORMAT </w:instrText>
    </w:r>
    <w:r>
      <w:fldChar w:fldCharType="separate"/>
    </w:r>
    <w:r w:rsidR="008B4074">
      <w:rPr>
        <w:noProof/>
      </w:rPr>
      <w:t>2</w:t>
    </w:r>
    <w:r>
      <w:fldChar w:fldCharType="end"/>
    </w:r>
  </w:p>
  <w:p w14:paraId="65DC287F"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DE32" w14:textId="77777777" w:rsidR="0063262E" w:rsidRDefault="0063262E">
      <w:r>
        <w:separator/>
      </w:r>
    </w:p>
  </w:footnote>
  <w:footnote w:type="continuationSeparator" w:id="0">
    <w:p w14:paraId="668E86C2" w14:textId="77777777" w:rsidR="0063262E" w:rsidRDefault="0063262E">
      <w:r>
        <w:continuationSeparator/>
      </w:r>
    </w:p>
  </w:footnote>
  <w:footnote w:id="1">
    <w:p w14:paraId="525C0A8D" w14:textId="77777777" w:rsidR="001F3524" w:rsidRPr="0064746F" w:rsidRDefault="001F3524">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w:t>
      </w:r>
      <w:r w:rsidR="0064746F" w:rsidRPr="0064746F">
        <w:rPr>
          <w:rFonts w:ascii="Calibri" w:hAnsi="Calibri"/>
        </w:rPr>
        <w:t xml:space="preserve"> prepared</w:t>
      </w:r>
      <w:r w:rsidRPr="0064746F">
        <w:rPr>
          <w:rFonts w:ascii="Calibri" w:hAnsi="Calibri"/>
        </w:rPr>
        <w:t xml:space="preserve"> only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C38C" w14:textId="77777777" w:rsidR="00157815" w:rsidRPr="00517955" w:rsidRDefault="00157815">
    <w:pPr>
      <w:pStyle w:val="Header"/>
      <w:rPr>
        <w:rFonts w:ascii="Calibri" w:hAnsi="Calibri"/>
      </w:rPr>
    </w:pPr>
    <w:r w:rsidRPr="00517955">
      <w:rPr>
        <w:rFonts w:ascii="Calibri" w:hAnsi="Calibr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D1263B22"/>
    <w:lvl w:ilvl="0" w:tplc="FE547D1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9732E"/>
    <w:multiLevelType w:val="hybridMultilevel"/>
    <w:tmpl w:val="0AAA60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E74F5"/>
    <w:multiLevelType w:val="hybridMultilevel"/>
    <w:tmpl w:val="65409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3227C"/>
    <w:multiLevelType w:val="hybridMultilevel"/>
    <w:tmpl w:val="1A64F4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2"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C0C6D"/>
    <w:multiLevelType w:val="hybridMultilevel"/>
    <w:tmpl w:val="CEAC57BA"/>
    <w:lvl w:ilvl="0" w:tplc="93CA3C4C">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413EA"/>
    <w:multiLevelType w:val="hybridMultilevel"/>
    <w:tmpl w:val="3350E4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2"/>
  </w:num>
  <w:num w:numId="3">
    <w:abstractNumId w:val="7"/>
  </w:num>
  <w:num w:numId="4">
    <w:abstractNumId w:val="5"/>
  </w:num>
  <w:num w:numId="5">
    <w:abstractNumId w:val="16"/>
  </w:num>
  <w:num w:numId="6">
    <w:abstractNumId w:val="18"/>
  </w:num>
  <w:num w:numId="7">
    <w:abstractNumId w:val="3"/>
  </w:num>
  <w:num w:numId="8">
    <w:abstractNumId w:val="17"/>
  </w:num>
  <w:num w:numId="9">
    <w:abstractNumId w:val="6"/>
  </w:num>
  <w:num w:numId="10">
    <w:abstractNumId w:val="10"/>
  </w:num>
  <w:num w:numId="11">
    <w:abstractNumId w:val="21"/>
  </w:num>
  <w:num w:numId="12">
    <w:abstractNumId w:val="12"/>
  </w:num>
  <w:num w:numId="13">
    <w:abstractNumId w:val="15"/>
  </w:num>
  <w:num w:numId="14">
    <w:abstractNumId w:val="8"/>
  </w:num>
  <w:num w:numId="15">
    <w:abstractNumId w:val="0"/>
  </w:num>
  <w:num w:numId="16">
    <w:abstractNumId w:val="20"/>
  </w:num>
  <w:num w:numId="17">
    <w:abstractNumId w:val="19"/>
  </w:num>
  <w:num w:numId="18">
    <w:abstractNumId w:val="4"/>
  </w:num>
  <w:num w:numId="19">
    <w:abstractNumId w:val="9"/>
  </w:num>
  <w:num w:numId="20">
    <w:abstractNumId w:val="14"/>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B3C"/>
    <w:rsid w:val="00007461"/>
    <w:rsid w:val="000079CC"/>
    <w:rsid w:val="00011A63"/>
    <w:rsid w:val="0002200B"/>
    <w:rsid w:val="000502AD"/>
    <w:rsid w:val="000823AC"/>
    <w:rsid w:val="00083BB3"/>
    <w:rsid w:val="00095B65"/>
    <w:rsid w:val="000A049E"/>
    <w:rsid w:val="000A1A3C"/>
    <w:rsid w:val="000A34CF"/>
    <w:rsid w:val="000A5AFE"/>
    <w:rsid w:val="000C09B4"/>
    <w:rsid w:val="000C182C"/>
    <w:rsid w:val="000C4339"/>
    <w:rsid w:val="000C4457"/>
    <w:rsid w:val="000D6DE5"/>
    <w:rsid w:val="000F5700"/>
    <w:rsid w:val="000F77FD"/>
    <w:rsid w:val="00106E4C"/>
    <w:rsid w:val="00132D83"/>
    <w:rsid w:val="0015409F"/>
    <w:rsid w:val="00157815"/>
    <w:rsid w:val="001627E2"/>
    <w:rsid w:val="001663A4"/>
    <w:rsid w:val="00167DA9"/>
    <w:rsid w:val="00167DC5"/>
    <w:rsid w:val="00176076"/>
    <w:rsid w:val="00182610"/>
    <w:rsid w:val="00184C30"/>
    <w:rsid w:val="00185788"/>
    <w:rsid w:val="00191E34"/>
    <w:rsid w:val="001956C7"/>
    <w:rsid w:val="00196E28"/>
    <w:rsid w:val="001A4D75"/>
    <w:rsid w:val="001A55BF"/>
    <w:rsid w:val="001A6780"/>
    <w:rsid w:val="001B721D"/>
    <w:rsid w:val="001F1062"/>
    <w:rsid w:val="001F3524"/>
    <w:rsid w:val="00230A0E"/>
    <w:rsid w:val="002315A5"/>
    <w:rsid w:val="00232597"/>
    <w:rsid w:val="00236672"/>
    <w:rsid w:val="002547CF"/>
    <w:rsid w:val="00254FCB"/>
    <w:rsid w:val="0026321D"/>
    <w:rsid w:val="00280BED"/>
    <w:rsid w:val="002A3C76"/>
    <w:rsid w:val="002B7926"/>
    <w:rsid w:val="002C4B80"/>
    <w:rsid w:val="002E36F1"/>
    <w:rsid w:val="002F402A"/>
    <w:rsid w:val="002F7E65"/>
    <w:rsid w:val="00314FC7"/>
    <w:rsid w:val="003162C1"/>
    <w:rsid w:val="0032175A"/>
    <w:rsid w:val="00322DEA"/>
    <w:rsid w:val="00332B4F"/>
    <w:rsid w:val="00346615"/>
    <w:rsid w:val="00354CB5"/>
    <w:rsid w:val="00357B0E"/>
    <w:rsid w:val="00363EC5"/>
    <w:rsid w:val="00366AD1"/>
    <w:rsid w:val="0037523B"/>
    <w:rsid w:val="003B037A"/>
    <w:rsid w:val="003B422F"/>
    <w:rsid w:val="003D653B"/>
    <w:rsid w:val="004004FC"/>
    <w:rsid w:val="00417008"/>
    <w:rsid w:val="00424E4F"/>
    <w:rsid w:val="00461D62"/>
    <w:rsid w:val="004777E4"/>
    <w:rsid w:val="004A36EA"/>
    <w:rsid w:val="004B3911"/>
    <w:rsid w:val="004C595C"/>
    <w:rsid w:val="004D3DBE"/>
    <w:rsid w:val="004E6DB8"/>
    <w:rsid w:val="00516AC8"/>
    <w:rsid w:val="00517955"/>
    <w:rsid w:val="00530253"/>
    <w:rsid w:val="00530FDE"/>
    <w:rsid w:val="005339C1"/>
    <w:rsid w:val="005474ED"/>
    <w:rsid w:val="005535F8"/>
    <w:rsid w:val="00580ED4"/>
    <w:rsid w:val="0058585C"/>
    <w:rsid w:val="005A2616"/>
    <w:rsid w:val="005A7B65"/>
    <w:rsid w:val="005B5A1D"/>
    <w:rsid w:val="005C3254"/>
    <w:rsid w:val="005C6168"/>
    <w:rsid w:val="005E0C05"/>
    <w:rsid w:val="005E2939"/>
    <w:rsid w:val="005F17DE"/>
    <w:rsid w:val="005F2E08"/>
    <w:rsid w:val="005F6261"/>
    <w:rsid w:val="00600319"/>
    <w:rsid w:val="00612159"/>
    <w:rsid w:val="0061653D"/>
    <w:rsid w:val="00621779"/>
    <w:rsid w:val="0063262E"/>
    <w:rsid w:val="00635929"/>
    <w:rsid w:val="006362C0"/>
    <w:rsid w:val="0064746F"/>
    <w:rsid w:val="006658FB"/>
    <w:rsid w:val="00673710"/>
    <w:rsid w:val="00674B1A"/>
    <w:rsid w:val="006900FE"/>
    <w:rsid w:val="006E38C3"/>
    <w:rsid w:val="00700521"/>
    <w:rsid w:val="00704406"/>
    <w:rsid w:val="007069C7"/>
    <w:rsid w:val="00711A76"/>
    <w:rsid w:val="00736EAC"/>
    <w:rsid w:val="0074489A"/>
    <w:rsid w:val="00760E32"/>
    <w:rsid w:val="00764E41"/>
    <w:rsid w:val="007661E5"/>
    <w:rsid w:val="00771515"/>
    <w:rsid w:val="00772FF8"/>
    <w:rsid w:val="00776056"/>
    <w:rsid w:val="0078090F"/>
    <w:rsid w:val="00787D3F"/>
    <w:rsid w:val="00790C12"/>
    <w:rsid w:val="007A53CE"/>
    <w:rsid w:val="007C1B15"/>
    <w:rsid w:val="007E12CE"/>
    <w:rsid w:val="007E1663"/>
    <w:rsid w:val="008008DB"/>
    <w:rsid w:val="008018C5"/>
    <w:rsid w:val="00806281"/>
    <w:rsid w:val="00813F1E"/>
    <w:rsid w:val="0081403B"/>
    <w:rsid w:val="00837C4B"/>
    <w:rsid w:val="008407B5"/>
    <w:rsid w:val="00842737"/>
    <w:rsid w:val="00843006"/>
    <w:rsid w:val="008440D9"/>
    <w:rsid w:val="00845340"/>
    <w:rsid w:val="008674CC"/>
    <w:rsid w:val="00867AAC"/>
    <w:rsid w:val="00882ECA"/>
    <w:rsid w:val="008B06DD"/>
    <w:rsid w:val="008B4074"/>
    <w:rsid w:val="008C6F7A"/>
    <w:rsid w:val="008D13B3"/>
    <w:rsid w:val="008D4556"/>
    <w:rsid w:val="008D791F"/>
    <w:rsid w:val="008E4407"/>
    <w:rsid w:val="008F0A97"/>
    <w:rsid w:val="008F48FE"/>
    <w:rsid w:val="008F52AE"/>
    <w:rsid w:val="008F76E6"/>
    <w:rsid w:val="00920DBC"/>
    <w:rsid w:val="00931A51"/>
    <w:rsid w:val="009353D7"/>
    <w:rsid w:val="00936E51"/>
    <w:rsid w:val="00942B3B"/>
    <w:rsid w:val="00967681"/>
    <w:rsid w:val="0097197E"/>
    <w:rsid w:val="00973FD4"/>
    <w:rsid w:val="00975566"/>
    <w:rsid w:val="00990CED"/>
    <w:rsid w:val="00993858"/>
    <w:rsid w:val="009A4591"/>
    <w:rsid w:val="009B146A"/>
    <w:rsid w:val="009B76A1"/>
    <w:rsid w:val="009C0090"/>
    <w:rsid w:val="009C5A06"/>
    <w:rsid w:val="009E7526"/>
    <w:rsid w:val="009F21FD"/>
    <w:rsid w:val="00A0001A"/>
    <w:rsid w:val="00A002C6"/>
    <w:rsid w:val="00A11B1F"/>
    <w:rsid w:val="00A16F22"/>
    <w:rsid w:val="00A1786A"/>
    <w:rsid w:val="00A210CD"/>
    <w:rsid w:val="00A25E54"/>
    <w:rsid w:val="00A30EBB"/>
    <w:rsid w:val="00A40130"/>
    <w:rsid w:val="00A44F24"/>
    <w:rsid w:val="00A45528"/>
    <w:rsid w:val="00A57912"/>
    <w:rsid w:val="00A74149"/>
    <w:rsid w:val="00A800FF"/>
    <w:rsid w:val="00A85515"/>
    <w:rsid w:val="00A85E34"/>
    <w:rsid w:val="00A96118"/>
    <w:rsid w:val="00AA0E4C"/>
    <w:rsid w:val="00B00E5C"/>
    <w:rsid w:val="00B053BE"/>
    <w:rsid w:val="00B05B78"/>
    <w:rsid w:val="00B13E2F"/>
    <w:rsid w:val="00B2050D"/>
    <w:rsid w:val="00B25B8C"/>
    <w:rsid w:val="00B32ADA"/>
    <w:rsid w:val="00B378FF"/>
    <w:rsid w:val="00B64ACA"/>
    <w:rsid w:val="00BC38E0"/>
    <w:rsid w:val="00BE0E70"/>
    <w:rsid w:val="00BE2925"/>
    <w:rsid w:val="00BF5490"/>
    <w:rsid w:val="00C32395"/>
    <w:rsid w:val="00C576D1"/>
    <w:rsid w:val="00C66DE1"/>
    <w:rsid w:val="00C735E4"/>
    <w:rsid w:val="00C85AF1"/>
    <w:rsid w:val="00C97E31"/>
    <w:rsid w:val="00CA2F70"/>
    <w:rsid w:val="00CB2279"/>
    <w:rsid w:val="00CB647D"/>
    <w:rsid w:val="00CC2572"/>
    <w:rsid w:val="00CD577E"/>
    <w:rsid w:val="00D00E4E"/>
    <w:rsid w:val="00D15BB1"/>
    <w:rsid w:val="00D1688D"/>
    <w:rsid w:val="00D30BE3"/>
    <w:rsid w:val="00D349FC"/>
    <w:rsid w:val="00D62C0E"/>
    <w:rsid w:val="00D63A40"/>
    <w:rsid w:val="00D80A4F"/>
    <w:rsid w:val="00D85F98"/>
    <w:rsid w:val="00D9192E"/>
    <w:rsid w:val="00DC4D86"/>
    <w:rsid w:val="00DC7354"/>
    <w:rsid w:val="00DD4368"/>
    <w:rsid w:val="00DF0357"/>
    <w:rsid w:val="00E06A4E"/>
    <w:rsid w:val="00E1547F"/>
    <w:rsid w:val="00E159A2"/>
    <w:rsid w:val="00E32ACA"/>
    <w:rsid w:val="00E37E7A"/>
    <w:rsid w:val="00E766FC"/>
    <w:rsid w:val="00E770DC"/>
    <w:rsid w:val="00E80695"/>
    <w:rsid w:val="00EA7740"/>
    <w:rsid w:val="00EB56E8"/>
    <w:rsid w:val="00EC7BBC"/>
    <w:rsid w:val="00EE1D60"/>
    <w:rsid w:val="00F01FDE"/>
    <w:rsid w:val="00F16195"/>
    <w:rsid w:val="00F31949"/>
    <w:rsid w:val="00F37FA7"/>
    <w:rsid w:val="00F471C8"/>
    <w:rsid w:val="00F62557"/>
    <w:rsid w:val="00F826EC"/>
    <w:rsid w:val="00F84FD4"/>
    <w:rsid w:val="00F93467"/>
    <w:rsid w:val="00FA0352"/>
    <w:rsid w:val="00FB2C4C"/>
    <w:rsid w:val="00FB3DB2"/>
    <w:rsid w:val="00FC4249"/>
    <w:rsid w:val="00FD1F84"/>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07914"/>
  <w15:docId w15:val="{5A33E044-C1DC-4DD5-BAD0-67208715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lang w:val="en-US" w:eastAsia="en-US"/>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106E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single space,footnote text,fn,FOOTNOTES,ALTS FOOTNOTE,ft,ADB,Footnote Text Char1,Footnote Text Char Char,Footnote Text Char Char Char Char Char Char Char Char Char Char,ft2,Footnote Text Char Char Char Char Char Char Char Char Char Char2"/>
    <w:basedOn w:val="Normal"/>
    <w:link w:val="FootnoteTextChar"/>
    <w:uiPriority w:val="99"/>
    <w:rsid w:val="001F3524"/>
    <w:rPr>
      <w:sz w:val="20"/>
    </w:rPr>
  </w:style>
  <w:style w:type="character" w:customStyle="1" w:styleId="FootnoteTextChar">
    <w:name w:val="Footnote Text Char"/>
    <w:aliases w:val="single space Char,footnote text Char,fn Char,FOOTNOTES Char,ALTS FOOTNOTE Char,ft Char,ADB Char,Footnote Text Char1 Char,Footnote Text Char Char Char,Footnote Text Char Char Char Char Char Char Char Char Char Char Char,ft2 Char"/>
    <w:basedOn w:val="DefaultParagraphFont"/>
    <w:link w:val="FootnoteText"/>
    <w:uiPriority w:val="99"/>
    <w:rsid w:val="001F3524"/>
  </w:style>
  <w:style w:type="character" w:styleId="FootnoteReference">
    <w:name w:val="footnote reference"/>
    <w:aliases w:val="ftref,Footnotes refss,Footnote Reference1,Error-Fußnotenzeichen5,Error-Fußnotenzeichen6,Error-Fußnotenzeichen3,BVI fnr Char Char Char Char Char Char,BVI fnr Car Car Char Char Char Char Char Cha"/>
    <w:uiPriority w:val="99"/>
    <w:rsid w:val="001F3524"/>
    <w:rPr>
      <w:vertAlign w:val="superscript"/>
    </w:rPr>
  </w:style>
  <w:style w:type="paragraph" w:styleId="BalloonText">
    <w:name w:val="Balloon Text"/>
    <w:basedOn w:val="Normal"/>
    <w:link w:val="BalloonTextChar"/>
    <w:rsid w:val="00772FF8"/>
    <w:rPr>
      <w:rFonts w:ascii="Segoe UI" w:hAnsi="Segoe UI" w:cs="Segoe UI"/>
      <w:sz w:val="18"/>
      <w:szCs w:val="18"/>
    </w:rPr>
  </w:style>
  <w:style w:type="character" w:customStyle="1" w:styleId="BalloonTextChar">
    <w:name w:val="Balloon Text Char"/>
    <w:link w:val="BalloonText"/>
    <w:rsid w:val="00772FF8"/>
    <w:rPr>
      <w:rFonts w:ascii="Segoe UI" w:hAnsi="Segoe UI" w:cs="Segoe UI"/>
      <w:sz w:val="18"/>
      <w:szCs w:val="18"/>
    </w:rPr>
  </w:style>
  <w:style w:type="character" w:styleId="CommentReference">
    <w:name w:val="annotation reference"/>
    <w:uiPriority w:val="99"/>
    <w:unhideWhenUsed/>
    <w:rsid w:val="008008DB"/>
    <w:rPr>
      <w:sz w:val="16"/>
      <w:szCs w:val="16"/>
    </w:rPr>
  </w:style>
  <w:style w:type="paragraph" w:styleId="CommentText">
    <w:name w:val="annotation text"/>
    <w:basedOn w:val="Normal"/>
    <w:link w:val="CommentTextChar"/>
    <w:uiPriority w:val="99"/>
    <w:unhideWhenUsed/>
    <w:rsid w:val="008008DB"/>
    <w:pPr>
      <w:widowControl/>
      <w:spacing w:after="160"/>
    </w:pPr>
    <w:rPr>
      <w:rFonts w:ascii="Calibri" w:eastAsia="Calibri" w:hAnsi="Calibri" w:cs="Arial"/>
      <w:sz w:val="20"/>
      <w:lang w:val="en-CA"/>
    </w:rPr>
  </w:style>
  <w:style w:type="character" w:customStyle="1" w:styleId="CommentTextChar">
    <w:name w:val="Comment Text Char"/>
    <w:link w:val="CommentText"/>
    <w:uiPriority w:val="99"/>
    <w:rsid w:val="008008DB"/>
    <w:rPr>
      <w:rFonts w:ascii="Calibri" w:eastAsia="Calibri" w:hAnsi="Calibri" w:cs="Arial"/>
      <w:lang w:val="en-CA" w:eastAsia="en-US"/>
    </w:rPr>
  </w:style>
  <w:style w:type="paragraph" w:styleId="ListParagraph">
    <w:name w:val="List Paragraph"/>
    <w:basedOn w:val="Normal"/>
    <w:uiPriority w:val="34"/>
    <w:qFormat/>
    <w:rsid w:val="002E36F1"/>
    <w:pPr>
      <w:ind w:left="720"/>
    </w:pPr>
  </w:style>
  <w:style w:type="paragraph" w:styleId="Revision">
    <w:name w:val="Revision"/>
    <w:hidden/>
    <w:uiPriority w:val="99"/>
    <w:semiHidden/>
    <w:rsid w:val="0058585C"/>
    <w:rPr>
      <w:sz w:val="24"/>
      <w:lang w:val="en-US" w:eastAsia="en-US"/>
    </w:rPr>
  </w:style>
  <w:style w:type="character" w:customStyle="1" w:styleId="Heading2Char">
    <w:name w:val="Heading 2 Char"/>
    <w:basedOn w:val="DefaultParagraphFont"/>
    <w:link w:val="Heading2"/>
    <w:uiPriority w:val="99"/>
    <w:semiHidden/>
    <w:rsid w:val="00106E4C"/>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4271">
      <w:bodyDiv w:val="1"/>
      <w:marLeft w:val="0"/>
      <w:marRight w:val="0"/>
      <w:marTop w:val="0"/>
      <w:marBottom w:val="0"/>
      <w:divBdr>
        <w:top w:val="none" w:sz="0" w:space="0" w:color="auto"/>
        <w:left w:val="none" w:sz="0" w:space="0" w:color="auto"/>
        <w:bottom w:val="none" w:sz="0" w:space="0" w:color="auto"/>
        <w:right w:val="none" w:sz="0" w:space="0" w:color="auto"/>
      </w:divBdr>
    </w:div>
    <w:div w:id="15871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A777-7CCB-4C0B-88A8-E3970C1E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21025</Characters>
  <Application>Microsoft Office Word</Application>
  <DocSecurity>0</DocSecurity>
  <Lines>539</Lines>
  <Paragraphs>146</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24253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Svetlana Iazykova</cp:lastModifiedBy>
  <cp:revision>2</cp:revision>
  <cp:lastPrinted>2015-03-25T05:49:00Z</cp:lastPrinted>
  <dcterms:created xsi:type="dcterms:W3CDTF">2016-06-07T20:06:00Z</dcterms:created>
  <dcterms:modified xsi:type="dcterms:W3CDTF">2016-06-07T20:06:00Z</dcterms:modified>
</cp:coreProperties>
</file>