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0D39D" w14:textId="4D03F0E5" w:rsidR="00964A4E" w:rsidRDefault="002E4883" w:rsidP="00EA0169">
      <w:pPr>
        <w:rPr>
          <w:b/>
          <w:color w:val="000000"/>
        </w:rPr>
      </w:pPr>
      <w:bookmarkStart w:id="0" w:name="_Hlk40785898"/>
      <w:bookmarkStart w:id="1" w:name="_Hlk40786020"/>
      <w:r>
        <w:rPr>
          <w:b/>
          <w:color w:val="000000"/>
        </w:rPr>
        <w:t xml:space="preserve">  </w:t>
      </w:r>
    </w:p>
    <w:p w14:paraId="736D1DDE" w14:textId="77777777" w:rsidR="003C1FEF" w:rsidRPr="00915E7E" w:rsidRDefault="003C1FEF" w:rsidP="003C1FEF">
      <w:pPr>
        <w:tabs>
          <w:tab w:val="left" w:pos="8789"/>
        </w:tabs>
        <w:ind w:right="288"/>
        <w:rPr>
          <w:b/>
          <w:color w:val="000000"/>
        </w:rPr>
      </w:pPr>
      <w:r w:rsidRPr="00915E7E">
        <w:rPr>
          <w:b/>
          <w:color w:val="000000"/>
        </w:rPr>
        <w:t>Second regular session 2020</w:t>
      </w:r>
    </w:p>
    <w:p w14:paraId="3C1FB487" w14:textId="40E39C83" w:rsidR="003C1FEF" w:rsidRPr="00915E7E" w:rsidRDefault="003C1FEF" w:rsidP="003C1FE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915E7E">
        <w:rPr>
          <w:color w:val="000000"/>
        </w:rPr>
        <w:t xml:space="preserve">31 </w:t>
      </w:r>
      <w:r w:rsidR="00BF28FC" w:rsidRPr="00915E7E">
        <w:rPr>
          <w:color w:val="000000"/>
        </w:rPr>
        <w:t>August –</w:t>
      </w:r>
      <w:r w:rsidRPr="00915E7E">
        <w:rPr>
          <w:color w:val="000000"/>
        </w:rPr>
        <w:t xml:space="preserve"> 4 September 2020, New York</w:t>
      </w:r>
    </w:p>
    <w:p w14:paraId="275D61A8" w14:textId="77777777" w:rsidR="003C1FEF" w:rsidRPr="00915E7E" w:rsidRDefault="003C1FEF" w:rsidP="003C1FE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915E7E">
        <w:rPr>
          <w:color w:val="000000"/>
        </w:rPr>
        <w:t>Item x of the provisional agenda</w:t>
      </w:r>
    </w:p>
    <w:p w14:paraId="44782FDD" w14:textId="77777777" w:rsidR="003C1FEF" w:rsidRPr="00915E7E" w:rsidRDefault="003C1FEF" w:rsidP="003C1FEF">
      <w:pPr>
        <w:ind w:right="1260"/>
        <w:rPr>
          <w:b/>
          <w:color w:val="000000"/>
        </w:rPr>
      </w:pPr>
      <w:r w:rsidRPr="00915E7E">
        <w:rPr>
          <w:b/>
          <w:color w:val="000000"/>
        </w:rPr>
        <w:t>Country programmes and related matters</w:t>
      </w:r>
    </w:p>
    <w:p w14:paraId="2440D3A9" w14:textId="77777777" w:rsidR="00785474" w:rsidRPr="003C26C1" w:rsidRDefault="00785474" w:rsidP="00D9153B">
      <w:pPr>
        <w:pStyle w:val="SingleTxt"/>
        <w:spacing w:after="0" w:line="120" w:lineRule="exact"/>
        <w:rPr>
          <w:color w:val="000000"/>
          <w:sz w:val="10"/>
        </w:rPr>
      </w:pPr>
    </w:p>
    <w:p w14:paraId="2440D3AA" w14:textId="77777777" w:rsidR="00785474" w:rsidRPr="003C26C1" w:rsidRDefault="00785474" w:rsidP="00D9153B">
      <w:pPr>
        <w:pStyle w:val="SingleTxt"/>
        <w:spacing w:after="0" w:line="120" w:lineRule="exact"/>
        <w:rPr>
          <w:color w:val="000000"/>
          <w:sz w:val="10"/>
        </w:rPr>
      </w:pPr>
    </w:p>
    <w:p w14:paraId="2440D3AB" w14:textId="77777777" w:rsidR="00785474" w:rsidRPr="003C26C1" w:rsidRDefault="00785474" w:rsidP="00D9153B">
      <w:pPr>
        <w:pStyle w:val="SingleTxt"/>
        <w:spacing w:after="0" w:line="120" w:lineRule="exact"/>
        <w:rPr>
          <w:color w:val="000000"/>
          <w:sz w:val="10"/>
        </w:rPr>
      </w:pPr>
    </w:p>
    <w:p w14:paraId="58205284" w14:textId="77777777" w:rsidR="003C1FEF" w:rsidRDefault="00785474" w:rsidP="00A45BD0">
      <w:pPr>
        <w:keepNext/>
        <w:keepLines/>
        <w:tabs>
          <w:tab w:val="right" w:pos="1022"/>
          <w:tab w:val="left" w:pos="1287"/>
          <w:tab w:val="left" w:pos="2693"/>
          <w:tab w:val="left" w:pos="3182"/>
          <w:tab w:val="left" w:pos="3658"/>
          <w:tab w:val="left" w:pos="4133"/>
          <w:tab w:val="left" w:pos="4622"/>
          <w:tab w:val="left" w:pos="5098"/>
          <w:tab w:val="left" w:pos="5573"/>
          <w:tab w:val="left" w:pos="6048"/>
        </w:tabs>
        <w:spacing w:line="300" w:lineRule="exact"/>
        <w:outlineLvl w:val="0"/>
        <w:rPr>
          <w:rFonts w:eastAsiaTheme="minorHAnsi"/>
          <w:b/>
          <w:spacing w:val="-2"/>
          <w:w w:val="103"/>
          <w:kern w:val="14"/>
          <w:sz w:val="32"/>
          <w:lang w:val="en-GB"/>
        </w:rPr>
      </w:pPr>
      <w:r w:rsidRPr="003C26C1">
        <w:rPr>
          <w:rFonts w:asciiTheme="minorHAnsi" w:hAnsiTheme="minorHAnsi"/>
          <w:color w:val="000000"/>
        </w:rPr>
        <w:tab/>
      </w:r>
      <w:r w:rsidR="00A45BD0" w:rsidRPr="00A45BD0">
        <w:rPr>
          <w:rFonts w:eastAsiaTheme="minorHAnsi"/>
          <w:b/>
          <w:spacing w:val="-2"/>
          <w:w w:val="103"/>
          <w:kern w:val="14"/>
          <w:sz w:val="32"/>
          <w:lang w:val="en-GB"/>
        </w:rPr>
        <w:tab/>
      </w:r>
    </w:p>
    <w:p w14:paraId="4D15E1B1" w14:textId="3617AFD6" w:rsidR="00A45BD0" w:rsidRPr="00A45BD0" w:rsidRDefault="003C1FEF" w:rsidP="00A45BD0">
      <w:pPr>
        <w:keepNext/>
        <w:keepLines/>
        <w:tabs>
          <w:tab w:val="right" w:pos="1022"/>
          <w:tab w:val="left" w:pos="1287"/>
          <w:tab w:val="left" w:pos="2693"/>
          <w:tab w:val="left" w:pos="3182"/>
          <w:tab w:val="left" w:pos="3658"/>
          <w:tab w:val="left" w:pos="4133"/>
          <w:tab w:val="left" w:pos="4622"/>
          <w:tab w:val="left" w:pos="5098"/>
          <w:tab w:val="left" w:pos="5573"/>
          <w:tab w:val="left" w:pos="6048"/>
        </w:tabs>
        <w:spacing w:line="300" w:lineRule="exact"/>
        <w:outlineLvl w:val="0"/>
        <w:rPr>
          <w:rFonts w:eastAsiaTheme="minorHAnsi"/>
          <w:b/>
          <w:spacing w:val="-2"/>
          <w:w w:val="103"/>
          <w:kern w:val="14"/>
          <w:sz w:val="32"/>
          <w:lang w:val="en-GB"/>
        </w:rPr>
      </w:pPr>
      <w:r>
        <w:rPr>
          <w:rFonts w:eastAsiaTheme="minorHAnsi"/>
          <w:b/>
          <w:spacing w:val="-2"/>
          <w:w w:val="103"/>
          <w:kern w:val="14"/>
          <w:sz w:val="32"/>
          <w:lang w:val="en-GB"/>
        </w:rPr>
        <w:tab/>
      </w:r>
      <w:r>
        <w:rPr>
          <w:rFonts w:eastAsiaTheme="minorHAnsi"/>
          <w:b/>
          <w:spacing w:val="-2"/>
          <w:w w:val="103"/>
          <w:kern w:val="14"/>
          <w:sz w:val="32"/>
          <w:lang w:val="en-GB"/>
        </w:rPr>
        <w:tab/>
        <w:t>Draft c</w:t>
      </w:r>
      <w:r w:rsidR="00A45BD0" w:rsidRPr="00A45BD0">
        <w:rPr>
          <w:rFonts w:eastAsiaTheme="minorHAnsi"/>
          <w:b/>
          <w:spacing w:val="-2"/>
          <w:w w:val="103"/>
          <w:kern w:val="14"/>
          <w:sz w:val="32"/>
          <w:lang w:val="en-GB"/>
        </w:rPr>
        <w:t>ountry programme document for Serbia (20</w:t>
      </w:r>
      <w:r>
        <w:rPr>
          <w:rFonts w:eastAsiaTheme="minorHAnsi"/>
          <w:b/>
          <w:spacing w:val="-2"/>
          <w:w w:val="103"/>
          <w:kern w:val="14"/>
          <w:sz w:val="32"/>
          <w:lang w:val="en-GB"/>
        </w:rPr>
        <w:t>2</w:t>
      </w:r>
      <w:r w:rsidR="00A45BD0" w:rsidRPr="00A45BD0">
        <w:rPr>
          <w:rFonts w:eastAsiaTheme="minorHAnsi"/>
          <w:b/>
          <w:spacing w:val="-2"/>
          <w:w w:val="103"/>
          <w:kern w:val="14"/>
          <w:sz w:val="32"/>
          <w:lang w:val="en-GB"/>
        </w:rPr>
        <w:t>1-202</w:t>
      </w:r>
      <w:r>
        <w:rPr>
          <w:rFonts w:eastAsiaTheme="minorHAnsi"/>
          <w:b/>
          <w:spacing w:val="-2"/>
          <w:w w:val="103"/>
          <w:kern w:val="14"/>
          <w:sz w:val="32"/>
          <w:lang w:val="en-GB"/>
        </w:rPr>
        <w:t>5</w:t>
      </w:r>
      <w:r w:rsidR="00A45BD0" w:rsidRPr="00A45BD0">
        <w:rPr>
          <w:rFonts w:eastAsiaTheme="minorHAnsi"/>
          <w:b/>
          <w:spacing w:val="-2"/>
          <w:w w:val="103"/>
          <w:kern w:val="14"/>
          <w:sz w:val="32"/>
          <w:lang w:val="en-GB"/>
        </w:rPr>
        <w:t>)</w:t>
      </w:r>
    </w:p>
    <w:p w14:paraId="5B801712" w14:textId="77777777" w:rsidR="00A45BD0" w:rsidRPr="00A45BD0" w:rsidRDefault="00A45BD0" w:rsidP="00A45BD0">
      <w:pPr>
        <w:keepNext/>
        <w:keepLines/>
        <w:tabs>
          <w:tab w:val="left" w:pos="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931"/>
        </w:tabs>
        <w:suppressAutoHyphens/>
        <w:spacing w:line="300" w:lineRule="exact"/>
        <w:ind w:right="778"/>
        <w:outlineLvl w:val="0"/>
        <w:rPr>
          <w:rFonts w:eastAsiaTheme="minorHAnsi"/>
          <w:b/>
          <w:color w:val="000000"/>
          <w:spacing w:val="-2"/>
          <w:w w:val="103"/>
          <w:kern w:val="14"/>
          <w:sz w:val="28"/>
          <w:szCs w:val="28"/>
          <w:lang w:val="en-GB"/>
        </w:rPr>
      </w:pPr>
    </w:p>
    <w:p w14:paraId="5C01EA39" w14:textId="77777777" w:rsidR="00A45BD0" w:rsidRPr="00A45BD0" w:rsidRDefault="00A45BD0" w:rsidP="00A45BD0">
      <w:pPr>
        <w:keepNext/>
        <w:keepLines/>
        <w:tabs>
          <w:tab w:val="left" w:pos="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931"/>
        </w:tabs>
        <w:suppressAutoHyphens/>
        <w:spacing w:line="300" w:lineRule="exact"/>
        <w:ind w:right="778"/>
        <w:outlineLvl w:val="0"/>
        <w:rPr>
          <w:rFonts w:eastAsiaTheme="minorHAnsi"/>
          <w:b/>
          <w:color w:val="000000"/>
          <w:spacing w:val="-2"/>
          <w:w w:val="103"/>
          <w:kern w:val="14"/>
          <w:sz w:val="24"/>
          <w:szCs w:val="28"/>
          <w:lang w:val="en-GB"/>
        </w:rPr>
      </w:pPr>
      <w:r w:rsidRPr="00A45BD0">
        <w:rPr>
          <w:rFonts w:eastAsiaTheme="minorHAnsi"/>
          <w:b/>
          <w:color w:val="000000"/>
          <w:spacing w:val="-2"/>
          <w:w w:val="103"/>
          <w:kern w:val="14"/>
          <w:sz w:val="24"/>
          <w:szCs w:val="28"/>
          <w:lang w:val="en-GB"/>
        </w:rPr>
        <w:tab/>
      </w:r>
      <w:r w:rsidRPr="00A45BD0">
        <w:rPr>
          <w:rFonts w:eastAsiaTheme="minorHAnsi"/>
          <w:b/>
          <w:color w:val="000000"/>
          <w:spacing w:val="-2"/>
          <w:w w:val="103"/>
          <w:kern w:val="14"/>
          <w:sz w:val="24"/>
          <w:szCs w:val="28"/>
          <w:lang w:val="en-GB"/>
        </w:rPr>
        <w:tab/>
      </w:r>
      <w:r w:rsidRPr="00A45BD0">
        <w:rPr>
          <w:rFonts w:eastAsiaTheme="minorHAnsi"/>
          <w:b/>
          <w:color w:val="000000"/>
          <w:spacing w:val="-2"/>
          <w:w w:val="103"/>
          <w:kern w:val="14"/>
          <w:lang w:val="en-GB"/>
        </w:rPr>
        <w:t>Addendum</w:t>
      </w:r>
    </w:p>
    <w:p w14:paraId="508380FF" w14:textId="77777777" w:rsidR="00A45BD0" w:rsidRPr="00A45BD0" w:rsidRDefault="00A45BD0" w:rsidP="00A45BD0">
      <w:pPr>
        <w:keepNext/>
        <w:keepLines/>
        <w:tabs>
          <w:tab w:val="left" w:pos="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931"/>
        </w:tabs>
        <w:suppressAutoHyphens/>
        <w:spacing w:line="300" w:lineRule="exact"/>
        <w:ind w:right="778"/>
        <w:outlineLvl w:val="0"/>
        <w:rPr>
          <w:rFonts w:eastAsiaTheme="minorHAnsi"/>
          <w:b/>
          <w:spacing w:val="-2"/>
          <w:w w:val="103"/>
          <w:kern w:val="14"/>
          <w:sz w:val="24"/>
          <w:lang w:val="en-GB"/>
        </w:rPr>
      </w:pPr>
    </w:p>
    <w:p w14:paraId="5FF88CE1" w14:textId="799E7EA4" w:rsidR="00A45BD0" w:rsidRPr="00A45BD0" w:rsidRDefault="00A45BD0" w:rsidP="00A45BD0">
      <w:pPr>
        <w:keepNext/>
        <w:keepLines/>
        <w:tabs>
          <w:tab w:val="left" w:pos="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931"/>
        </w:tabs>
        <w:suppressAutoHyphens/>
        <w:spacing w:line="300" w:lineRule="exact"/>
        <w:ind w:right="778"/>
        <w:outlineLvl w:val="0"/>
        <w:rPr>
          <w:rFonts w:eastAsiaTheme="minorHAnsi"/>
          <w:b/>
          <w:spacing w:val="-2"/>
          <w:w w:val="103"/>
          <w:kern w:val="14"/>
          <w:sz w:val="24"/>
        </w:rPr>
      </w:pPr>
      <w:r w:rsidRPr="00A45BD0">
        <w:rPr>
          <w:rFonts w:eastAsiaTheme="minorHAnsi"/>
          <w:b/>
          <w:spacing w:val="-2"/>
          <w:w w:val="103"/>
          <w:kern w:val="14"/>
          <w:sz w:val="24"/>
          <w:lang w:val="en-GB"/>
        </w:rPr>
        <w:tab/>
      </w:r>
      <w:r w:rsidRPr="00A45BD0">
        <w:rPr>
          <w:rFonts w:eastAsiaTheme="minorHAnsi"/>
          <w:b/>
          <w:spacing w:val="-2"/>
          <w:w w:val="103"/>
          <w:kern w:val="14"/>
          <w:sz w:val="24"/>
          <w:lang w:val="en-GB"/>
        </w:rPr>
        <w:tab/>
        <w:t>Results and resources framework for Kosovo</w:t>
      </w:r>
      <w:r w:rsidR="00383F5A" w:rsidRPr="00AD04C5">
        <w:rPr>
          <w:rStyle w:val="FootnoteReference"/>
          <w:rFonts w:eastAsiaTheme="minorHAnsi"/>
          <w:b/>
          <w:spacing w:val="-2"/>
          <w:w w:val="103"/>
          <w:kern w:val="14"/>
          <w:sz w:val="18"/>
          <w:szCs w:val="18"/>
          <w:lang w:val="en-GB"/>
        </w:rPr>
        <w:footnoteReference w:id="1"/>
      </w:r>
      <w:r w:rsidR="00AD04C5">
        <w:rPr>
          <w:rFonts w:eastAsiaTheme="minorHAnsi"/>
          <w:b/>
          <w:spacing w:val="-2"/>
          <w:w w:val="103"/>
          <w:kern w:val="14"/>
          <w:sz w:val="24"/>
          <w:lang w:val="en-GB"/>
        </w:rPr>
        <w:t xml:space="preserve"> </w:t>
      </w:r>
      <w:r w:rsidRPr="00A45BD0">
        <w:rPr>
          <w:rFonts w:eastAsiaTheme="minorHAnsi"/>
          <w:b/>
          <w:spacing w:val="-2"/>
          <w:w w:val="103"/>
          <w:kern w:val="14"/>
          <w:sz w:val="24"/>
        </w:rPr>
        <w:t>under United Nations</w:t>
      </w:r>
      <w:r w:rsidRPr="00A45BD0">
        <w:rPr>
          <w:rFonts w:eastAsiaTheme="minorHAnsi"/>
          <w:b/>
          <w:spacing w:val="-2"/>
          <w:w w:val="103"/>
          <w:kern w:val="14"/>
          <w:sz w:val="24"/>
        </w:rPr>
        <w:br/>
      </w:r>
      <w:r w:rsidRPr="00A45BD0">
        <w:rPr>
          <w:rFonts w:eastAsiaTheme="minorHAnsi"/>
          <w:b/>
          <w:spacing w:val="-2"/>
          <w:w w:val="103"/>
          <w:kern w:val="14"/>
          <w:sz w:val="24"/>
        </w:rPr>
        <w:tab/>
      </w:r>
      <w:r w:rsidRPr="00A45BD0">
        <w:rPr>
          <w:rFonts w:eastAsiaTheme="minorHAnsi"/>
          <w:b/>
          <w:spacing w:val="-2"/>
          <w:w w:val="103"/>
          <w:kern w:val="14"/>
          <w:sz w:val="24"/>
        </w:rPr>
        <w:tab/>
        <w:t>Security Council resolution 1244 (1999)</w:t>
      </w:r>
    </w:p>
    <w:p w14:paraId="5D417033" w14:textId="77777777" w:rsidR="00A45BD0" w:rsidRPr="00A45BD0" w:rsidRDefault="00A45BD0" w:rsidP="00A45BD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right="1267"/>
        <w:jc w:val="both"/>
        <w:rPr>
          <w:rFonts w:eastAsiaTheme="minorHAnsi"/>
          <w:color w:val="000000"/>
          <w:spacing w:val="4"/>
          <w:w w:val="103"/>
          <w:kern w:val="14"/>
          <w:lang w:val="en-GB"/>
        </w:rPr>
      </w:pPr>
    </w:p>
    <w:p w14:paraId="2440D3D6" w14:textId="327A33EA" w:rsidR="00785474" w:rsidRPr="003C26C1" w:rsidRDefault="00785474" w:rsidP="00A45BD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89" w:right="1260" w:hanging="1267"/>
      </w:pPr>
    </w:p>
    <w:p w14:paraId="2440D3D7" w14:textId="0D96F727" w:rsidR="00A918A7" w:rsidRDefault="00785474" w:rsidP="00C35A4B">
      <w:pPr>
        <w:pStyle w:val="Heading2"/>
        <w:ind w:left="1530" w:right="1267" w:hanging="263"/>
        <w:jc w:val="both"/>
      </w:pPr>
      <w:r w:rsidRPr="003C26C1">
        <w:br w:type="page"/>
      </w:r>
      <w:bookmarkEnd w:id="0"/>
    </w:p>
    <w:p w14:paraId="3F9A6C0E" w14:textId="77777777" w:rsidR="000D50BE" w:rsidRDefault="000D50BE" w:rsidP="000D50BE">
      <w:pPr>
        <w:ind w:right="1210"/>
        <w:jc w:val="both"/>
        <w:sectPr w:rsidR="000D50BE" w:rsidSect="00677A8F">
          <w:headerReference w:type="even" r:id="rId11"/>
          <w:headerReference w:type="default" r:id="rId12"/>
          <w:footerReference w:type="even" r:id="rId13"/>
          <w:footerReference w:type="default" r:id="rId14"/>
          <w:headerReference w:type="first" r:id="rId15"/>
          <w:footnotePr>
            <w:numRestart w:val="eachSect"/>
          </w:footnotePr>
          <w:endnotePr>
            <w:numFmt w:val="decimal"/>
            <w:numStart w:val="7"/>
          </w:endnotePr>
          <w:type w:val="continuous"/>
          <w:pgSz w:w="12240" w:h="15840" w:code="1"/>
          <w:pgMar w:top="1166" w:right="1195" w:bottom="1440" w:left="1195" w:header="576" w:footer="1037" w:gutter="0"/>
          <w:cols w:space="720"/>
          <w:noEndnote/>
          <w:titlePg/>
          <w:docGrid w:linePitch="272"/>
        </w:sectPr>
      </w:pPr>
    </w:p>
    <w:tbl>
      <w:tblPr>
        <w:tblW w:w="46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699"/>
        <w:gridCol w:w="2680"/>
        <w:gridCol w:w="3351"/>
        <w:gridCol w:w="2210"/>
        <w:gridCol w:w="1308"/>
      </w:tblGrid>
      <w:tr w:rsidR="00FC67C9" w:rsidRPr="00FB566A" w14:paraId="0EB26133" w14:textId="77777777" w:rsidTr="00FB566A">
        <w:tc>
          <w:tcPr>
            <w:tcW w:w="5000" w:type="pct"/>
            <w:gridSpan w:val="5"/>
            <w:shd w:val="clear" w:color="auto" w:fill="auto"/>
            <w:tcMar>
              <w:top w:w="72" w:type="dxa"/>
              <w:left w:w="144" w:type="dxa"/>
              <w:bottom w:w="72" w:type="dxa"/>
              <w:right w:w="144" w:type="dxa"/>
            </w:tcMar>
          </w:tcPr>
          <w:p w14:paraId="6ECB67A5" w14:textId="4D73A879" w:rsidR="00FC67C9" w:rsidRPr="00FB566A" w:rsidRDefault="00FC67C9" w:rsidP="00D516CD">
            <w:pPr>
              <w:rPr>
                <w:b/>
                <w:bCs/>
                <w:sz w:val="16"/>
                <w:szCs w:val="16"/>
                <w:lang w:val="en-GB"/>
              </w:rPr>
            </w:pPr>
            <w:bookmarkStart w:id="3" w:name="_Hlk27570971"/>
            <w:bookmarkEnd w:id="1"/>
            <w:r w:rsidRPr="00FB566A">
              <w:rPr>
                <w:b/>
                <w:bCs/>
                <w:sz w:val="16"/>
                <w:szCs w:val="16"/>
                <w:lang w:val="en-GB"/>
              </w:rPr>
              <w:lastRenderedPageBreak/>
              <w:t xml:space="preserve">PRIORITY OR GOAL: GOOD GOVERNANCE AND THE RULE OF LAW </w:t>
            </w:r>
          </w:p>
          <w:p w14:paraId="0C54078D" w14:textId="6145BF42" w:rsidR="00FC67C9" w:rsidRPr="00FB566A" w:rsidRDefault="004A2D26" w:rsidP="00D516CD">
            <w:pPr>
              <w:rPr>
                <w:b/>
                <w:bCs/>
                <w:sz w:val="16"/>
                <w:szCs w:val="16"/>
              </w:rPr>
            </w:pPr>
            <w:r>
              <w:rPr>
                <w:b/>
                <w:bCs/>
                <w:sz w:val="16"/>
                <w:szCs w:val="16"/>
                <w:lang w:val="en-GB"/>
              </w:rPr>
              <w:t>Sustainable Development Goal</w:t>
            </w:r>
            <w:r w:rsidRPr="00FB566A">
              <w:rPr>
                <w:b/>
                <w:bCs/>
                <w:sz w:val="16"/>
                <w:szCs w:val="16"/>
                <w:lang w:val="en-GB"/>
              </w:rPr>
              <w:t xml:space="preserve"> </w:t>
            </w:r>
            <w:r w:rsidR="00FC67C9" w:rsidRPr="00FB566A">
              <w:rPr>
                <w:b/>
                <w:bCs/>
                <w:sz w:val="16"/>
                <w:szCs w:val="16"/>
                <w:lang w:val="en-GB"/>
              </w:rPr>
              <w:t xml:space="preserve">16:  Promote just, peaceful and inclusive societies; </w:t>
            </w:r>
            <w:r w:rsidR="00B313EB">
              <w:rPr>
                <w:b/>
                <w:bCs/>
                <w:sz w:val="16"/>
                <w:szCs w:val="16"/>
                <w:lang w:val="en-GB"/>
              </w:rPr>
              <w:t>Goal</w:t>
            </w:r>
            <w:r w:rsidR="00FC67C9" w:rsidRPr="00FB566A">
              <w:rPr>
                <w:b/>
                <w:bCs/>
                <w:sz w:val="16"/>
                <w:szCs w:val="16"/>
                <w:lang w:val="en-GB"/>
              </w:rPr>
              <w:t xml:space="preserve"> 5: Achieve gender equality and empower all women and girls</w:t>
            </w:r>
          </w:p>
        </w:tc>
      </w:tr>
      <w:tr w:rsidR="00FC67C9" w:rsidRPr="00FB566A" w14:paraId="13961D3C" w14:textId="77777777" w:rsidTr="00FB566A">
        <w:tc>
          <w:tcPr>
            <w:tcW w:w="5000" w:type="pct"/>
            <w:gridSpan w:val="5"/>
            <w:shd w:val="clear" w:color="auto" w:fill="auto"/>
            <w:tcMar>
              <w:top w:w="72" w:type="dxa"/>
              <w:left w:w="144" w:type="dxa"/>
              <w:bottom w:w="72" w:type="dxa"/>
              <w:right w:w="144" w:type="dxa"/>
            </w:tcMar>
          </w:tcPr>
          <w:p w14:paraId="6C47A51C" w14:textId="77777777" w:rsidR="00FC67C9" w:rsidRPr="00FB566A" w:rsidRDefault="00FC67C9" w:rsidP="00D516CD">
            <w:pPr>
              <w:rPr>
                <w:b/>
                <w:bCs/>
                <w:sz w:val="16"/>
                <w:szCs w:val="16"/>
              </w:rPr>
            </w:pPr>
            <w:r w:rsidRPr="00FB566A">
              <w:rPr>
                <w:b/>
                <w:bCs/>
                <w:sz w:val="16"/>
                <w:szCs w:val="16"/>
                <w:lang w:val="en-GB"/>
              </w:rPr>
              <w:t>COOPERATION FRAMEWORK (OR EQUIVALENT) OUTCOME Involving UNDP # 1: By 2025, all men and women in Kosovo enjoy from more accountable, effective, transparent, and gender responsive institutions at all level ensuring access to justice, equality and participation for all</w:t>
            </w:r>
          </w:p>
        </w:tc>
      </w:tr>
      <w:tr w:rsidR="00FC67C9" w:rsidRPr="00FB566A" w14:paraId="00E92817" w14:textId="77777777" w:rsidTr="00FB566A">
        <w:tc>
          <w:tcPr>
            <w:tcW w:w="5000" w:type="pct"/>
            <w:gridSpan w:val="5"/>
            <w:shd w:val="clear" w:color="auto" w:fill="auto"/>
            <w:tcMar>
              <w:top w:w="72" w:type="dxa"/>
              <w:left w:w="144" w:type="dxa"/>
              <w:bottom w:w="72" w:type="dxa"/>
              <w:right w:w="144" w:type="dxa"/>
            </w:tcMar>
          </w:tcPr>
          <w:p w14:paraId="00EC363B" w14:textId="080B9588" w:rsidR="00FC67C9" w:rsidRPr="00FB566A" w:rsidRDefault="00FC67C9" w:rsidP="00D516CD">
            <w:pPr>
              <w:rPr>
                <w:b/>
                <w:bCs/>
                <w:sz w:val="16"/>
                <w:szCs w:val="16"/>
                <w:lang w:val="en-GB"/>
              </w:rPr>
            </w:pPr>
            <w:r w:rsidRPr="00FB566A">
              <w:rPr>
                <w:b/>
                <w:bCs/>
                <w:sz w:val="16"/>
                <w:szCs w:val="16"/>
                <w:lang w:val="en-GB"/>
              </w:rPr>
              <w:t>RELATED STRATEGIC PLAN OUTCOME</w:t>
            </w:r>
            <w:r w:rsidR="00F87C37" w:rsidRPr="00FB566A">
              <w:rPr>
                <w:b/>
                <w:bCs/>
                <w:sz w:val="16"/>
                <w:szCs w:val="16"/>
                <w:lang w:val="en-GB"/>
              </w:rPr>
              <w:t xml:space="preserve"> 2</w:t>
            </w:r>
            <w:r w:rsidRPr="00FB566A">
              <w:rPr>
                <w:b/>
                <w:bCs/>
                <w:sz w:val="16"/>
                <w:szCs w:val="16"/>
                <w:lang w:val="en-GB"/>
              </w:rPr>
              <w:t>: Accelerate structural transformations for sustainable development</w:t>
            </w:r>
            <w:r w:rsidR="00F87C37" w:rsidRPr="00FB566A">
              <w:rPr>
                <w:b/>
                <w:bCs/>
                <w:sz w:val="16"/>
                <w:szCs w:val="16"/>
                <w:lang w:val="en-GB"/>
              </w:rPr>
              <w:t xml:space="preserve"> </w:t>
            </w:r>
          </w:p>
        </w:tc>
      </w:tr>
      <w:tr w:rsidR="00FC67C9" w:rsidRPr="00FB566A" w14:paraId="43C69829" w14:textId="77777777" w:rsidTr="00FB566A">
        <w:tc>
          <w:tcPr>
            <w:tcW w:w="1102" w:type="pct"/>
            <w:shd w:val="clear" w:color="auto" w:fill="auto"/>
            <w:tcMar>
              <w:top w:w="72" w:type="dxa"/>
              <w:left w:w="144" w:type="dxa"/>
              <w:bottom w:w="72" w:type="dxa"/>
              <w:right w:w="144" w:type="dxa"/>
            </w:tcMar>
            <w:vAlign w:val="center"/>
          </w:tcPr>
          <w:p w14:paraId="0BB3A5BE" w14:textId="77777777" w:rsidR="00FC67C9" w:rsidRPr="00FB566A" w:rsidRDefault="00FC67C9" w:rsidP="00D516CD">
            <w:pPr>
              <w:rPr>
                <w:b/>
                <w:bCs/>
                <w:sz w:val="16"/>
                <w:szCs w:val="16"/>
              </w:rPr>
            </w:pPr>
            <w:r w:rsidRPr="00FB566A">
              <w:rPr>
                <w:b/>
                <w:bCs/>
                <w:sz w:val="16"/>
                <w:szCs w:val="16"/>
                <w:lang w:val="en-GB"/>
              </w:rPr>
              <w:t>COOPERATION FRAMEWORK OUTCOME INDICATOR(S), BASELINES, TARGET(S)</w:t>
            </w:r>
          </w:p>
        </w:tc>
        <w:tc>
          <w:tcPr>
            <w:tcW w:w="1094" w:type="pct"/>
            <w:shd w:val="clear" w:color="auto" w:fill="auto"/>
            <w:vAlign w:val="center"/>
          </w:tcPr>
          <w:p w14:paraId="05EA2F85" w14:textId="6F9360BA" w:rsidR="00FC67C9" w:rsidRPr="00FB566A" w:rsidRDefault="00FC67C9" w:rsidP="00D516CD">
            <w:pPr>
              <w:rPr>
                <w:b/>
                <w:bCs/>
                <w:sz w:val="16"/>
                <w:szCs w:val="16"/>
              </w:rPr>
            </w:pPr>
            <w:r w:rsidRPr="00FB566A">
              <w:rPr>
                <w:b/>
                <w:bCs/>
                <w:sz w:val="16"/>
                <w:szCs w:val="16"/>
              </w:rPr>
              <w:t>DATA SOURCE AND FREQUENCY</w:t>
            </w:r>
            <w:r w:rsidR="005E1732" w:rsidRPr="00FB566A">
              <w:rPr>
                <w:rStyle w:val="FootnoteReference"/>
                <w:b/>
                <w:bCs/>
                <w:sz w:val="16"/>
                <w:szCs w:val="16"/>
              </w:rPr>
              <w:footnoteReference w:id="2"/>
            </w:r>
            <w:r w:rsidRPr="00FB566A">
              <w:rPr>
                <w:b/>
                <w:bCs/>
                <w:sz w:val="16"/>
                <w:szCs w:val="16"/>
              </w:rPr>
              <w:t xml:space="preserve"> OF DATA COLLECTION, AND RESPONSIBILITIES</w:t>
            </w:r>
          </w:p>
        </w:tc>
        <w:tc>
          <w:tcPr>
            <w:tcW w:w="1368" w:type="pct"/>
            <w:shd w:val="clear" w:color="auto" w:fill="auto"/>
            <w:tcMar>
              <w:top w:w="72" w:type="dxa"/>
              <w:left w:w="144" w:type="dxa"/>
              <w:bottom w:w="72" w:type="dxa"/>
              <w:right w:w="144" w:type="dxa"/>
            </w:tcMar>
            <w:vAlign w:val="center"/>
          </w:tcPr>
          <w:p w14:paraId="042DC314" w14:textId="4E1DB06F" w:rsidR="00FC67C9" w:rsidRPr="00FB566A" w:rsidRDefault="00FC67C9" w:rsidP="00D516CD">
            <w:pPr>
              <w:rPr>
                <w:b/>
                <w:bCs/>
                <w:sz w:val="16"/>
                <w:szCs w:val="16"/>
              </w:rPr>
            </w:pPr>
            <w:r w:rsidRPr="00FB566A">
              <w:rPr>
                <w:b/>
                <w:bCs/>
                <w:sz w:val="16"/>
                <w:szCs w:val="16"/>
                <w:lang w:val="en-GB"/>
              </w:rPr>
              <w:t>INDICATIVE PROGRAMME OUTPUTS (including indicators, baselines targets)</w:t>
            </w:r>
          </w:p>
        </w:tc>
        <w:tc>
          <w:tcPr>
            <w:tcW w:w="902" w:type="pct"/>
            <w:shd w:val="clear" w:color="auto" w:fill="auto"/>
            <w:vAlign w:val="center"/>
          </w:tcPr>
          <w:p w14:paraId="6AA194C3" w14:textId="77777777" w:rsidR="00FC67C9" w:rsidRPr="00FB566A" w:rsidRDefault="00FC67C9" w:rsidP="00D516CD">
            <w:pPr>
              <w:rPr>
                <w:b/>
                <w:bCs/>
                <w:sz w:val="16"/>
                <w:szCs w:val="16"/>
                <w:lang w:val="en-GB"/>
              </w:rPr>
            </w:pPr>
            <w:r w:rsidRPr="00FB566A">
              <w:rPr>
                <w:b/>
                <w:bCs/>
                <w:sz w:val="16"/>
                <w:szCs w:val="16"/>
                <w:lang w:val="en-GB"/>
              </w:rPr>
              <w:t>MAJOR PARTNERS / PARTNERSHIPS</w:t>
            </w:r>
          </w:p>
          <w:p w14:paraId="53D4F8AB" w14:textId="77777777" w:rsidR="00FC67C9" w:rsidRPr="00FB566A" w:rsidRDefault="00FC67C9" w:rsidP="00D516CD">
            <w:pPr>
              <w:rPr>
                <w:b/>
                <w:bCs/>
                <w:sz w:val="16"/>
                <w:szCs w:val="16"/>
                <w:lang w:val="en-GB"/>
              </w:rPr>
            </w:pPr>
            <w:r w:rsidRPr="00FB566A">
              <w:rPr>
                <w:b/>
                <w:bCs/>
                <w:sz w:val="16"/>
                <w:szCs w:val="16"/>
                <w:lang w:val="en-GB"/>
              </w:rPr>
              <w:t>FRAMEWORKS</w:t>
            </w:r>
          </w:p>
        </w:tc>
        <w:tc>
          <w:tcPr>
            <w:tcW w:w="534" w:type="pct"/>
            <w:shd w:val="clear" w:color="auto" w:fill="auto"/>
            <w:tcMar>
              <w:top w:w="15" w:type="dxa"/>
              <w:left w:w="108" w:type="dxa"/>
              <w:bottom w:w="0" w:type="dxa"/>
              <w:right w:w="108" w:type="dxa"/>
            </w:tcMar>
            <w:vAlign w:val="center"/>
          </w:tcPr>
          <w:p w14:paraId="2C549436" w14:textId="5AB34B71" w:rsidR="00FC67C9" w:rsidRPr="00FB566A" w:rsidRDefault="00FC67C9" w:rsidP="00D516CD">
            <w:pPr>
              <w:rPr>
                <w:b/>
                <w:bCs/>
                <w:sz w:val="16"/>
                <w:szCs w:val="16"/>
              </w:rPr>
            </w:pPr>
            <w:r w:rsidRPr="00FB566A">
              <w:rPr>
                <w:b/>
                <w:bCs/>
                <w:sz w:val="16"/>
                <w:szCs w:val="16"/>
                <w:lang w:val="en-GB"/>
              </w:rPr>
              <w:t>ESTIMATED COST BY OUTCOME ($)</w:t>
            </w:r>
          </w:p>
        </w:tc>
      </w:tr>
      <w:tr w:rsidR="00FC67C9" w:rsidRPr="00FB566A" w14:paraId="166AAD3D" w14:textId="77777777" w:rsidTr="00FB566A">
        <w:tc>
          <w:tcPr>
            <w:tcW w:w="1102" w:type="pct"/>
            <w:vMerge w:val="restart"/>
            <w:shd w:val="clear" w:color="auto" w:fill="auto"/>
            <w:tcMar>
              <w:top w:w="72" w:type="dxa"/>
              <w:left w:w="144" w:type="dxa"/>
              <w:bottom w:w="72" w:type="dxa"/>
              <w:right w:w="144" w:type="dxa"/>
            </w:tcMar>
          </w:tcPr>
          <w:p w14:paraId="34C82DBE" w14:textId="2134B452" w:rsidR="00FC67C9" w:rsidRPr="00FB566A" w:rsidRDefault="00FC67C9" w:rsidP="00D516CD">
            <w:pPr>
              <w:rPr>
                <w:sz w:val="16"/>
                <w:szCs w:val="16"/>
                <w:lang w:val="en-GB"/>
              </w:rPr>
            </w:pPr>
            <w:r w:rsidRPr="00FB566A">
              <w:rPr>
                <w:sz w:val="16"/>
                <w:szCs w:val="16"/>
                <w:lang w:val="en-GB"/>
              </w:rPr>
              <w:t>Indicator 1: Corruption Perception</w:t>
            </w:r>
            <w:r w:rsidR="00B313EB">
              <w:rPr>
                <w:sz w:val="16"/>
                <w:szCs w:val="16"/>
                <w:lang w:val="en-GB"/>
              </w:rPr>
              <w:t>s</w:t>
            </w:r>
            <w:r w:rsidRPr="00FB566A">
              <w:rPr>
                <w:sz w:val="16"/>
                <w:szCs w:val="16"/>
                <w:lang w:val="en-GB"/>
              </w:rPr>
              <w:t xml:space="preserve"> Index Value </w:t>
            </w:r>
          </w:p>
          <w:p w14:paraId="7E8FAB7C" w14:textId="1473F43B" w:rsidR="00FC67C9" w:rsidRPr="00FB566A" w:rsidRDefault="00FC67C9" w:rsidP="00D516CD">
            <w:pPr>
              <w:rPr>
                <w:sz w:val="16"/>
                <w:szCs w:val="16"/>
                <w:lang w:val="en-GB"/>
              </w:rPr>
            </w:pPr>
            <w:r w:rsidRPr="00FB566A">
              <w:rPr>
                <w:sz w:val="16"/>
                <w:szCs w:val="16"/>
                <w:lang w:val="en-GB"/>
              </w:rPr>
              <w:t>Baseline: 36</w:t>
            </w:r>
            <w:r w:rsidR="00B313EB">
              <w:rPr>
                <w:sz w:val="16"/>
                <w:szCs w:val="16"/>
                <w:lang w:val="en-GB"/>
              </w:rPr>
              <w:t xml:space="preserve"> </w:t>
            </w:r>
            <w:r w:rsidR="00B313EB" w:rsidRPr="00FB566A">
              <w:rPr>
                <w:sz w:val="16"/>
                <w:szCs w:val="16"/>
                <w:lang w:val="en-GB"/>
              </w:rPr>
              <w:t>(2019)</w:t>
            </w:r>
          </w:p>
          <w:p w14:paraId="68B2AF9A" w14:textId="3F6D34E7" w:rsidR="00FC67C9" w:rsidRPr="00FB566A" w:rsidRDefault="00FC67C9" w:rsidP="00D516CD">
            <w:pPr>
              <w:rPr>
                <w:sz w:val="16"/>
                <w:szCs w:val="16"/>
                <w:lang w:val="en-GB"/>
              </w:rPr>
            </w:pPr>
            <w:r w:rsidRPr="00FB566A">
              <w:rPr>
                <w:sz w:val="16"/>
                <w:szCs w:val="16"/>
                <w:lang w:val="en-GB"/>
              </w:rPr>
              <w:t>Target: 45</w:t>
            </w:r>
            <w:r w:rsidR="00B313EB">
              <w:rPr>
                <w:sz w:val="16"/>
                <w:szCs w:val="16"/>
                <w:lang w:val="en-GB"/>
              </w:rPr>
              <w:t xml:space="preserve"> </w:t>
            </w:r>
            <w:r w:rsidR="00B313EB" w:rsidRPr="00FB566A">
              <w:rPr>
                <w:sz w:val="16"/>
                <w:szCs w:val="16"/>
                <w:lang w:val="en-GB"/>
              </w:rPr>
              <w:t>(2025)</w:t>
            </w:r>
            <w:r w:rsidR="00B313EB">
              <w:rPr>
                <w:sz w:val="16"/>
                <w:szCs w:val="16"/>
                <w:lang w:val="en-GB"/>
              </w:rPr>
              <w:t xml:space="preserve"> </w:t>
            </w:r>
          </w:p>
          <w:p w14:paraId="24B5CF00" w14:textId="77777777" w:rsidR="00CA1A83" w:rsidRPr="00FB566A" w:rsidRDefault="00CA1A83" w:rsidP="00D516CD">
            <w:pPr>
              <w:rPr>
                <w:sz w:val="16"/>
                <w:szCs w:val="16"/>
                <w:lang w:val="en-GB"/>
              </w:rPr>
            </w:pPr>
          </w:p>
          <w:p w14:paraId="2A079504" w14:textId="4797C7DC" w:rsidR="00FC67C9" w:rsidRPr="00FB566A" w:rsidRDefault="00FC67C9" w:rsidP="00D516CD">
            <w:pPr>
              <w:rPr>
                <w:sz w:val="16"/>
                <w:szCs w:val="16"/>
                <w:lang w:val="en-GB"/>
              </w:rPr>
            </w:pPr>
            <w:r w:rsidRPr="00FB566A">
              <w:rPr>
                <w:sz w:val="16"/>
                <w:szCs w:val="16"/>
                <w:lang w:val="en-GB"/>
              </w:rPr>
              <w:t>Indicator 2: P</w:t>
            </w:r>
            <w:r w:rsidR="00780F78">
              <w:rPr>
                <w:sz w:val="16"/>
                <w:szCs w:val="16"/>
                <w:lang w:val="en-GB"/>
              </w:rPr>
              <w:t>ercentage</w:t>
            </w:r>
            <w:r w:rsidRPr="00FB566A">
              <w:rPr>
                <w:sz w:val="16"/>
                <w:szCs w:val="16"/>
                <w:lang w:val="en-GB"/>
              </w:rPr>
              <w:t xml:space="preserve"> of people satisfied with the performance of Kosovo institutions</w:t>
            </w:r>
          </w:p>
          <w:p w14:paraId="7FEC8DC5" w14:textId="5B9367F8" w:rsidR="00FC67C9" w:rsidRPr="00FB566A" w:rsidRDefault="00FC67C9" w:rsidP="00D516CD">
            <w:pPr>
              <w:rPr>
                <w:sz w:val="16"/>
                <w:szCs w:val="16"/>
                <w:lang w:val="en-GB"/>
              </w:rPr>
            </w:pPr>
            <w:r w:rsidRPr="00FB566A">
              <w:rPr>
                <w:sz w:val="16"/>
                <w:szCs w:val="16"/>
                <w:lang w:val="en-GB"/>
              </w:rPr>
              <w:t xml:space="preserve">Baseline: 17.6% </w:t>
            </w:r>
            <w:r w:rsidR="00B313EB" w:rsidRPr="00FB566A">
              <w:rPr>
                <w:sz w:val="16"/>
                <w:szCs w:val="16"/>
                <w:lang w:val="en-GB"/>
              </w:rPr>
              <w:t>(2019)</w:t>
            </w:r>
          </w:p>
          <w:p w14:paraId="3107BE2C" w14:textId="41087E12" w:rsidR="00FC67C9" w:rsidRPr="00FB566A" w:rsidRDefault="00FC67C9" w:rsidP="00D516CD">
            <w:pPr>
              <w:rPr>
                <w:sz w:val="16"/>
                <w:szCs w:val="16"/>
                <w:lang w:val="en-GB"/>
              </w:rPr>
            </w:pPr>
            <w:r w:rsidRPr="00FB566A">
              <w:rPr>
                <w:sz w:val="16"/>
                <w:szCs w:val="16"/>
                <w:lang w:val="en-GB"/>
              </w:rPr>
              <w:t>Target: 28%</w:t>
            </w:r>
            <w:r w:rsidR="00B313EB">
              <w:rPr>
                <w:sz w:val="16"/>
                <w:szCs w:val="16"/>
                <w:lang w:val="en-GB"/>
              </w:rPr>
              <w:t xml:space="preserve"> </w:t>
            </w:r>
            <w:r w:rsidR="00B313EB" w:rsidRPr="00FB566A">
              <w:rPr>
                <w:sz w:val="16"/>
                <w:szCs w:val="16"/>
                <w:lang w:val="en-GB"/>
              </w:rPr>
              <w:t>(2025)</w:t>
            </w:r>
            <w:r w:rsidR="00B313EB">
              <w:rPr>
                <w:sz w:val="16"/>
                <w:szCs w:val="16"/>
                <w:lang w:val="en-GB"/>
              </w:rPr>
              <w:t xml:space="preserve"> </w:t>
            </w:r>
          </w:p>
          <w:p w14:paraId="523F0132" w14:textId="77777777" w:rsidR="00CA1A83" w:rsidRPr="00FB566A" w:rsidRDefault="00CA1A83" w:rsidP="00D516CD">
            <w:pPr>
              <w:rPr>
                <w:sz w:val="16"/>
                <w:szCs w:val="16"/>
                <w:lang w:val="en-GB"/>
              </w:rPr>
            </w:pPr>
          </w:p>
          <w:p w14:paraId="11175E5A" w14:textId="77777777" w:rsidR="00FC67C9" w:rsidRPr="00FB566A" w:rsidRDefault="00FC67C9" w:rsidP="00D516CD">
            <w:pPr>
              <w:rPr>
                <w:sz w:val="16"/>
                <w:szCs w:val="16"/>
                <w:lang w:val="en-GB"/>
              </w:rPr>
            </w:pPr>
            <w:r w:rsidRPr="00FB566A">
              <w:rPr>
                <w:sz w:val="16"/>
                <w:szCs w:val="16"/>
                <w:lang w:val="en-GB"/>
              </w:rPr>
              <w:t>Indicator 3: Percentage of people satisfied with the performance of justice system</w:t>
            </w:r>
          </w:p>
          <w:p w14:paraId="488B574B" w14:textId="7DD93E5E" w:rsidR="00FC67C9" w:rsidRPr="00FB566A" w:rsidRDefault="00FC67C9" w:rsidP="00D516CD">
            <w:pPr>
              <w:rPr>
                <w:sz w:val="16"/>
                <w:szCs w:val="16"/>
                <w:lang w:val="en-GB"/>
              </w:rPr>
            </w:pPr>
            <w:r w:rsidRPr="00FB566A">
              <w:rPr>
                <w:sz w:val="16"/>
                <w:szCs w:val="16"/>
                <w:lang w:val="en-GB"/>
              </w:rPr>
              <w:t>Baseline: 13.6%</w:t>
            </w:r>
            <w:r w:rsidR="00B313EB">
              <w:rPr>
                <w:sz w:val="16"/>
                <w:szCs w:val="16"/>
                <w:lang w:val="en-GB"/>
              </w:rPr>
              <w:t xml:space="preserve"> </w:t>
            </w:r>
            <w:r w:rsidR="00B313EB" w:rsidRPr="00FB566A">
              <w:rPr>
                <w:sz w:val="16"/>
                <w:szCs w:val="16"/>
                <w:lang w:val="en-GB"/>
              </w:rPr>
              <w:t>(2019)</w:t>
            </w:r>
            <w:r w:rsidR="00B313EB">
              <w:rPr>
                <w:sz w:val="16"/>
                <w:szCs w:val="16"/>
                <w:lang w:val="en-GB"/>
              </w:rPr>
              <w:t xml:space="preserve"> </w:t>
            </w:r>
          </w:p>
          <w:p w14:paraId="24A0C5B8" w14:textId="123AA771" w:rsidR="00FC67C9" w:rsidRPr="00FB566A" w:rsidRDefault="00FC67C9" w:rsidP="00D516CD">
            <w:pPr>
              <w:rPr>
                <w:sz w:val="16"/>
                <w:szCs w:val="16"/>
                <w:lang w:val="en-GB"/>
              </w:rPr>
            </w:pPr>
            <w:r w:rsidRPr="00FB566A">
              <w:rPr>
                <w:sz w:val="16"/>
                <w:szCs w:val="16"/>
                <w:lang w:val="en-GB"/>
              </w:rPr>
              <w:t>Target: 30%</w:t>
            </w:r>
            <w:r w:rsidR="00B313EB">
              <w:rPr>
                <w:sz w:val="16"/>
                <w:szCs w:val="16"/>
                <w:lang w:val="en-GB"/>
              </w:rPr>
              <w:t xml:space="preserve"> </w:t>
            </w:r>
            <w:r w:rsidR="00B313EB" w:rsidRPr="00FB566A">
              <w:rPr>
                <w:sz w:val="16"/>
                <w:szCs w:val="16"/>
                <w:lang w:val="en-GB"/>
              </w:rPr>
              <w:t>(2025)</w:t>
            </w:r>
          </w:p>
          <w:p w14:paraId="4B5CC88E" w14:textId="77777777" w:rsidR="00CA1A83" w:rsidRPr="00FB566A" w:rsidRDefault="00CA1A83" w:rsidP="00D516CD">
            <w:pPr>
              <w:rPr>
                <w:sz w:val="16"/>
                <w:szCs w:val="16"/>
                <w:lang w:val="en-GB"/>
              </w:rPr>
            </w:pPr>
          </w:p>
          <w:p w14:paraId="46CDE5C8" w14:textId="77777777" w:rsidR="00FC67C9" w:rsidRPr="00FB566A" w:rsidRDefault="00FC67C9" w:rsidP="00D516CD">
            <w:pPr>
              <w:rPr>
                <w:sz w:val="16"/>
                <w:szCs w:val="16"/>
                <w:lang w:val="en-GB"/>
              </w:rPr>
            </w:pPr>
            <w:r w:rsidRPr="00FB566A">
              <w:rPr>
                <w:sz w:val="16"/>
                <w:szCs w:val="16"/>
                <w:lang w:val="en-GB"/>
              </w:rPr>
              <w:t>Indicator 4: Percentage of people who feel safe and secure</w:t>
            </w:r>
          </w:p>
          <w:p w14:paraId="63F4FD80" w14:textId="6F36674D" w:rsidR="00FC67C9" w:rsidRPr="00FB566A" w:rsidRDefault="00FC67C9" w:rsidP="00D516CD">
            <w:pPr>
              <w:rPr>
                <w:sz w:val="16"/>
                <w:szCs w:val="16"/>
                <w:lang w:val="en-GB"/>
              </w:rPr>
            </w:pPr>
            <w:r w:rsidRPr="00FB566A">
              <w:rPr>
                <w:sz w:val="16"/>
                <w:szCs w:val="16"/>
                <w:lang w:val="en-GB"/>
              </w:rPr>
              <w:t>Baseline: 74%</w:t>
            </w:r>
            <w:r w:rsidR="00B313EB">
              <w:rPr>
                <w:sz w:val="16"/>
                <w:szCs w:val="16"/>
                <w:lang w:val="en-GB"/>
              </w:rPr>
              <w:t xml:space="preserve"> </w:t>
            </w:r>
            <w:r w:rsidR="00B313EB" w:rsidRPr="00FB566A">
              <w:rPr>
                <w:sz w:val="16"/>
                <w:szCs w:val="16"/>
                <w:lang w:val="en-GB"/>
              </w:rPr>
              <w:t>(2019)</w:t>
            </w:r>
          </w:p>
          <w:p w14:paraId="48ADFB28" w14:textId="1525D93B" w:rsidR="00FC67C9" w:rsidRPr="00FB566A" w:rsidRDefault="00FC67C9" w:rsidP="00D516CD">
            <w:pPr>
              <w:rPr>
                <w:sz w:val="16"/>
                <w:szCs w:val="16"/>
                <w:lang w:val="en-GB"/>
              </w:rPr>
            </w:pPr>
            <w:r w:rsidRPr="00FB566A">
              <w:rPr>
                <w:sz w:val="16"/>
                <w:szCs w:val="16"/>
                <w:lang w:val="en-GB"/>
              </w:rPr>
              <w:t>Target: 85%</w:t>
            </w:r>
            <w:r w:rsidR="00B313EB">
              <w:rPr>
                <w:sz w:val="16"/>
                <w:szCs w:val="16"/>
                <w:lang w:val="en-GB"/>
              </w:rPr>
              <w:t xml:space="preserve"> </w:t>
            </w:r>
            <w:r w:rsidR="00B313EB" w:rsidRPr="00FB566A">
              <w:rPr>
                <w:sz w:val="16"/>
                <w:szCs w:val="16"/>
                <w:lang w:val="en-GB"/>
              </w:rPr>
              <w:t>(2025)</w:t>
            </w:r>
            <w:r w:rsidR="00B313EB">
              <w:rPr>
                <w:sz w:val="16"/>
                <w:szCs w:val="16"/>
                <w:lang w:val="en-GB"/>
              </w:rPr>
              <w:t xml:space="preserve"> </w:t>
            </w:r>
          </w:p>
          <w:p w14:paraId="5588F756" w14:textId="77777777" w:rsidR="00FC67C9" w:rsidRPr="00FB566A" w:rsidRDefault="00FC67C9" w:rsidP="00D516CD">
            <w:pPr>
              <w:rPr>
                <w:sz w:val="16"/>
                <w:szCs w:val="16"/>
                <w:lang w:val="en-GB"/>
              </w:rPr>
            </w:pPr>
            <w:r w:rsidRPr="00FB566A">
              <w:rPr>
                <w:sz w:val="16"/>
                <w:szCs w:val="16"/>
                <w:lang w:val="en-GB"/>
              </w:rPr>
              <w:t xml:space="preserve"> </w:t>
            </w:r>
          </w:p>
          <w:p w14:paraId="028574DD" w14:textId="77777777" w:rsidR="00FC67C9" w:rsidRPr="00FB566A" w:rsidRDefault="00FC67C9" w:rsidP="00D516CD">
            <w:pPr>
              <w:rPr>
                <w:sz w:val="16"/>
                <w:szCs w:val="16"/>
                <w:lang w:val="en-GB"/>
              </w:rPr>
            </w:pPr>
            <w:r w:rsidRPr="00FB566A">
              <w:rPr>
                <w:sz w:val="16"/>
                <w:szCs w:val="16"/>
                <w:lang w:val="en-GB"/>
              </w:rPr>
              <w:t xml:space="preserve"> </w:t>
            </w:r>
          </w:p>
        </w:tc>
        <w:tc>
          <w:tcPr>
            <w:tcW w:w="1094" w:type="pct"/>
            <w:vMerge w:val="restart"/>
            <w:shd w:val="clear" w:color="auto" w:fill="auto"/>
          </w:tcPr>
          <w:p w14:paraId="54E0F4DC" w14:textId="5E51986D" w:rsidR="00FC67C9" w:rsidRPr="00FB566A" w:rsidRDefault="00FC67C9" w:rsidP="00D516CD">
            <w:pPr>
              <w:rPr>
                <w:sz w:val="16"/>
                <w:szCs w:val="16"/>
                <w:lang w:val="en-GB"/>
              </w:rPr>
            </w:pPr>
            <w:r w:rsidRPr="00FB566A">
              <w:rPr>
                <w:sz w:val="16"/>
                <w:szCs w:val="16"/>
                <w:lang w:val="en-GB"/>
              </w:rPr>
              <w:t>1: Transparency International</w:t>
            </w:r>
          </w:p>
          <w:p w14:paraId="10169A4C" w14:textId="77777777" w:rsidR="00FC67C9" w:rsidRPr="00FB566A" w:rsidRDefault="00FC67C9" w:rsidP="00D516CD">
            <w:pPr>
              <w:rPr>
                <w:sz w:val="16"/>
                <w:szCs w:val="16"/>
                <w:lang w:val="en-GB"/>
              </w:rPr>
            </w:pPr>
          </w:p>
          <w:p w14:paraId="52B149D5" w14:textId="3CAEB2CD" w:rsidR="005E1732" w:rsidRPr="00FB566A" w:rsidRDefault="00FC67C9" w:rsidP="005E1732">
            <w:pPr>
              <w:rPr>
                <w:bCs/>
                <w:sz w:val="16"/>
                <w:szCs w:val="16"/>
                <w:lang w:val="en-GB"/>
              </w:rPr>
            </w:pPr>
            <w:r w:rsidRPr="00FB566A">
              <w:rPr>
                <w:sz w:val="16"/>
                <w:szCs w:val="16"/>
                <w:lang w:val="en-GB"/>
              </w:rPr>
              <w:t xml:space="preserve">2: </w:t>
            </w:r>
            <w:r w:rsidR="005E1732" w:rsidRPr="00FB566A">
              <w:rPr>
                <w:bCs/>
                <w:sz w:val="16"/>
                <w:szCs w:val="16"/>
                <w:lang w:val="en-GB"/>
              </w:rPr>
              <w:t>Report of the Kosovo Anti-Corruption Agency</w:t>
            </w:r>
          </w:p>
          <w:p w14:paraId="67CD8B15" w14:textId="77777777" w:rsidR="005E1732" w:rsidRPr="00FB566A" w:rsidRDefault="005E1732" w:rsidP="00D516CD">
            <w:pPr>
              <w:rPr>
                <w:sz w:val="16"/>
                <w:szCs w:val="16"/>
                <w:lang w:val="en-GB"/>
              </w:rPr>
            </w:pPr>
          </w:p>
          <w:p w14:paraId="70825F02" w14:textId="1D4DB555" w:rsidR="005E1732" w:rsidRPr="00FB566A" w:rsidRDefault="005E1732" w:rsidP="005E1732">
            <w:pPr>
              <w:ind w:left="-100"/>
              <w:rPr>
                <w:bCs/>
                <w:sz w:val="16"/>
                <w:szCs w:val="16"/>
                <w:lang w:val="en-GB"/>
              </w:rPr>
            </w:pPr>
            <w:r w:rsidRPr="00FB566A">
              <w:rPr>
                <w:sz w:val="16"/>
                <w:szCs w:val="16"/>
                <w:lang w:val="en-GB"/>
              </w:rPr>
              <w:t xml:space="preserve">33: </w:t>
            </w:r>
            <w:r w:rsidRPr="00FB566A">
              <w:rPr>
                <w:bCs/>
                <w:sz w:val="16"/>
                <w:szCs w:val="16"/>
                <w:lang w:val="en-GB"/>
              </w:rPr>
              <w:t>Kallxo.com reports</w:t>
            </w:r>
          </w:p>
          <w:p w14:paraId="606AC82B" w14:textId="77777777" w:rsidR="005E1732" w:rsidRPr="00FB566A" w:rsidRDefault="005E1732" w:rsidP="00D516CD">
            <w:pPr>
              <w:rPr>
                <w:sz w:val="16"/>
                <w:szCs w:val="16"/>
                <w:lang w:val="en-GB"/>
              </w:rPr>
            </w:pPr>
          </w:p>
          <w:p w14:paraId="43032889" w14:textId="24DB0E9A" w:rsidR="005E1732" w:rsidRPr="00FB566A" w:rsidRDefault="005E1732" w:rsidP="005E1732">
            <w:pPr>
              <w:rPr>
                <w:bCs/>
                <w:sz w:val="16"/>
                <w:szCs w:val="16"/>
                <w:lang w:val="en-GB"/>
              </w:rPr>
            </w:pPr>
            <w:r w:rsidRPr="00FB566A">
              <w:rPr>
                <w:sz w:val="16"/>
                <w:szCs w:val="16"/>
                <w:lang w:val="en-GB"/>
              </w:rPr>
              <w:t xml:space="preserve">4: </w:t>
            </w:r>
            <w:r w:rsidRPr="00FB566A">
              <w:rPr>
                <w:bCs/>
                <w:sz w:val="16"/>
                <w:szCs w:val="16"/>
                <w:lang w:val="en-GB"/>
              </w:rPr>
              <w:t>Kosovo Police Annual Report, Centre for Integrated Border Management</w:t>
            </w:r>
          </w:p>
          <w:p w14:paraId="36844223" w14:textId="77777777" w:rsidR="005E1732" w:rsidRPr="00FB566A" w:rsidRDefault="005E1732" w:rsidP="00D516CD">
            <w:pPr>
              <w:rPr>
                <w:sz w:val="16"/>
                <w:szCs w:val="16"/>
                <w:lang w:val="en-GB"/>
              </w:rPr>
            </w:pPr>
          </w:p>
          <w:p w14:paraId="3EE4477D" w14:textId="0D1CF108" w:rsidR="005E1732" w:rsidRPr="00FB566A" w:rsidRDefault="005E1732" w:rsidP="005E1732">
            <w:pPr>
              <w:rPr>
                <w:bCs/>
                <w:sz w:val="16"/>
                <w:szCs w:val="16"/>
                <w:lang w:val="en-GB"/>
              </w:rPr>
            </w:pPr>
            <w:r w:rsidRPr="00FB566A">
              <w:rPr>
                <w:bCs/>
                <w:sz w:val="16"/>
                <w:szCs w:val="16"/>
                <w:lang w:val="en-GB"/>
              </w:rPr>
              <w:t>5. Cybersecurity Council/MIA Annual Reports</w:t>
            </w:r>
          </w:p>
          <w:p w14:paraId="085FC869" w14:textId="77777777" w:rsidR="005E1732" w:rsidRPr="00FB566A" w:rsidRDefault="005E1732" w:rsidP="005E1732">
            <w:pPr>
              <w:rPr>
                <w:sz w:val="16"/>
                <w:szCs w:val="16"/>
                <w:lang w:val="en-GB"/>
              </w:rPr>
            </w:pPr>
          </w:p>
          <w:p w14:paraId="2A97EBB0" w14:textId="77777777" w:rsidR="005E1732" w:rsidRPr="00FB566A" w:rsidRDefault="005E1732" w:rsidP="005E1732">
            <w:pPr>
              <w:rPr>
                <w:bCs/>
                <w:sz w:val="16"/>
                <w:szCs w:val="16"/>
                <w:lang w:val="en-GB"/>
              </w:rPr>
            </w:pPr>
            <w:r w:rsidRPr="00FB566A">
              <w:rPr>
                <w:bCs/>
                <w:sz w:val="16"/>
                <w:szCs w:val="16"/>
                <w:lang w:val="en-GB"/>
              </w:rPr>
              <w:t>6: Prosecutor’s Office Annual Reports</w:t>
            </w:r>
          </w:p>
          <w:p w14:paraId="3698FF24" w14:textId="77777777" w:rsidR="005E1732" w:rsidRPr="00FB566A" w:rsidRDefault="005E1732" w:rsidP="005E1732">
            <w:pPr>
              <w:rPr>
                <w:bCs/>
                <w:sz w:val="16"/>
                <w:szCs w:val="16"/>
                <w:lang w:val="en-GB"/>
              </w:rPr>
            </w:pPr>
          </w:p>
          <w:p w14:paraId="2C455DAA" w14:textId="63EB79AA" w:rsidR="005E1732" w:rsidRPr="00FB566A" w:rsidRDefault="005E1732" w:rsidP="005E1732">
            <w:pPr>
              <w:rPr>
                <w:bCs/>
                <w:sz w:val="16"/>
                <w:szCs w:val="16"/>
                <w:lang w:val="en-GB"/>
              </w:rPr>
            </w:pPr>
            <w:r w:rsidRPr="00FB566A">
              <w:rPr>
                <w:bCs/>
                <w:sz w:val="16"/>
                <w:szCs w:val="16"/>
                <w:lang w:val="en-GB"/>
              </w:rPr>
              <w:t>7: Judicial and Prosecutorial Councils’ Annual Reports</w:t>
            </w:r>
          </w:p>
          <w:p w14:paraId="7F481BE0" w14:textId="77777777" w:rsidR="005E1732" w:rsidRPr="00FB566A" w:rsidRDefault="005E1732" w:rsidP="005E1732">
            <w:pPr>
              <w:rPr>
                <w:sz w:val="16"/>
                <w:szCs w:val="16"/>
                <w:lang w:val="en-GB"/>
              </w:rPr>
            </w:pPr>
          </w:p>
          <w:p w14:paraId="79C77BD9" w14:textId="5F7A7513" w:rsidR="005E1732" w:rsidRPr="00FB566A" w:rsidRDefault="005E1732" w:rsidP="00D516CD">
            <w:pPr>
              <w:rPr>
                <w:sz w:val="16"/>
                <w:szCs w:val="16"/>
                <w:lang w:val="en-GB"/>
              </w:rPr>
            </w:pPr>
            <w:r w:rsidRPr="00FB566A">
              <w:rPr>
                <w:bCs/>
                <w:sz w:val="16"/>
                <w:szCs w:val="16"/>
                <w:lang w:val="en-GB"/>
              </w:rPr>
              <w:t>8: MoJ/Mediation Commission Annual Reports</w:t>
            </w:r>
          </w:p>
          <w:p w14:paraId="3A13D1BA" w14:textId="77777777" w:rsidR="005E1732" w:rsidRPr="00FB566A" w:rsidRDefault="005E1732" w:rsidP="005E1732">
            <w:pPr>
              <w:rPr>
                <w:sz w:val="16"/>
                <w:szCs w:val="16"/>
                <w:lang w:val="en-GB"/>
              </w:rPr>
            </w:pPr>
          </w:p>
          <w:p w14:paraId="70CCED80" w14:textId="51531B22" w:rsidR="005E1732" w:rsidRPr="00FB566A" w:rsidRDefault="005E1732" w:rsidP="005E1732">
            <w:pPr>
              <w:rPr>
                <w:bCs/>
                <w:sz w:val="16"/>
                <w:szCs w:val="16"/>
                <w:lang w:val="en-GB"/>
              </w:rPr>
            </w:pPr>
            <w:r w:rsidRPr="00FB566A">
              <w:rPr>
                <w:bCs/>
                <w:sz w:val="16"/>
                <w:szCs w:val="16"/>
                <w:lang w:val="en-GB"/>
              </w:rPr>
              <w:t>9. Office of Strategic Planning Annual Reports</w:t>
            </w:r>
          </w:p>
          <w:p w14:paraId="2EB85621" w14:textId="00C04C94" w:rsidR="005E1732" w:rsidRPr="00FB566A" w:rsidRDefault="005E1732" w:rsidP="005E1732">
            <w:pPr>
              <w:rPr>
                <w:sz w:val="16"/>
                <w:szCs w:val="16"/>
                <w:lang w:val="en-GB"/>
              </w:rPr>
            </w:pPr>
          </w:p>
          <w:p w14:paraId="26A1A49B" w14:textId="53B3489E" w:rsidR="00FC67C9" w:rsidRPr="00FB566A" w:rsidRDefault="005E1732" w:rsidP="00D516CD">
            <w:pPr>
              <w:rPr>
                <w:sz w:val="16"/>
                <w:szCs w:val="16"/>
                <w:lang w:val="en-GB"/>
              </w:rPr>
            </w:pPr>
            <w:r w:rsidRPr="00FB566A">
              <w:rPr>
                <w:sz w:val="16"/>
                <w:szCs w:val="16"/>
                <w:lang w:val="en-GB"/>
              </w:rPr>
              <w:t>10</w:t>
            </w:r>
            <w:r w:rsidR="00FC67C9" w:rsidRPr="00FB566A">
              <w:rPr>
                <w:sz w:val="16"/>
                <w:szCs w:val="16"/>
                <w:lang w:val="en-GB"/>
              </w:rPr>
              <w:t>: Rule of Law Perception Index Kosovo; UNDP Public Pulse</w:t>
            </w:r>
          </w:p>
          <w:p w14:paraId="223485FC" w14:textId="77777777" w:rsidR="00FC67C9" w:rsidRPr="00FB566A" w:rsidRDefault="00FC67C9" w:rsidP="00D516CD">
            <w:pPr>
              <w:rPr>
                <w:sz w:val="16"/>
                <w:szCs w:val="16"/>
                <w:lang w:val="en-GB"/>
              </w:rPr>
            </w:pPr>
          </w:p>
          <w:p w14:paraId="16393F76" w14:textId="77777777" w:rsidR="00FC67C9" w:rsidRPr="00FB566A" w:rsidRDefault="00FC67C9" w:rsidP="005E1732">
            <w:pPr>
              <w:rPr>
                <w:sz w:val="16"/>
                <w:szCs w:val="16"/>
                <w:lang w:val="en-GB"/>
              </w:rPr>
            </w:pPr>
          </w:p>
        </w:tc>
        <w:tc>
          <w:tcPr>
            <w:tcW w:w="1368" w:type="pct"/>
            <w:vMerge w:val="restart"/>
            <w:shd w:val="clear" w:color="auto" w:fill="auto"/>
            <w:tcMar>
              <w:top w:w="72" w:type="dxa"/>
              <w:left w:w="144" w:type="dxa"/>
              <w:bottom w:w="72" w:type="dxa"/>
              <w:right w:w="144" w:type="dxa"/>
            </w:tcMar>
          </w:tcPr>
          <w:p w14:paraId="2D445AD9" w14:textId="7149F7BA" w:rsidR="00FC67C9" w:rsidRPr="00FB566A" w:rsidRDefault="00FC67C9" w:rsidP="00D516CD">
            <w:pPr>
              <w:ind w:left="-100"/>
              <w:rPr>
                <w:b/>
                <w:sz w:val="16"/>
                <w:szCs w:val="16"/>
                <w:lang w:val="en-GB"/>
              </w:rPr>
            </w:pPr>
            <w:r w:rsidRPr="00FB566A">
              <w:rPr>
                <w:b/>
                <w:sz w:val="16"/>
                <w:szCs w:val="16"/>
                <w:lang w:val="en-GB"/>
              </w:rPr>
              <w:t>Output 1.1: Increased accountability, transparency and integrity of institutions</w:t>
            </w:r>
          </w:p>
          <w:p w14:paraId="3DB19BAC" w14:textId="77777777" w:rsidR="00F87C37" w:rsidRPr="00FB566A" w:rsidRDefault="00F87C37" w:rsidP="00D516CD">
            <w:pPr>
              <w:ind w:left="-100"/>
              <w:rPr>
                <w:b/>
                <w:sz w:val="16"/>
                <w:szCs w:val="16"/>
                <w:lang w:val="en-GB"/>
              </w:rPr>
            </w:pPr>
          </w:p>
          <w:p w14:paraId="325E0D86" w14:textId="2B920551" w:rsidR="00FC67C9" w:rsidRPr="00FB566A" w:rsidRDefault="00FC67C9" w:rsidP="00D516CD">
            <w:pPr>
              <w:ind w:left="-100"/>
              <w:rPr>
                <w:bCs/>
                <w:sz w:val="16"/>
                <w:szCs w:val="16"/>
                <w:lang w:val="en-GB"/>
              </w:rPr>
            </w:pPr>
            <w:r w:rsidRPr="00FB566A">
              <w:rPr>
                <w:b/>
                <w:sz w:val="16"/>
                <w:szCs w:val="16"/>
                <w:lang w:val="en-GB"/>
              </w:rPr>
              <w:t>Indicative Indicator</w:t>
            </w:r>
            <w:r w:rsidRPr="00FB566A">
              <w:rPr>
                <w:bCs/>
                <w:sz w:val="16"/>
                <w:szCs w:val="16"/>
                <w:lang w:val="en-GB"/>
              </w:rPr>
              <w:t xml:space="preserve"> </w:t>
            </w:r>
            <w:r w:rsidRPr="00FB566A">
              <w:rPr>
                <w:b/>
                <w:sz w:val="16"/>
                <w:szCs w:val="16"/>
                <w:lang w:val="en-GB"/>
              </w:rPr>
              <w:t>(1.2.3.1 IRRF)</w:t>
            </w:r>
            <w:r w:rsidR="00B313EB">
              <w:rPr>
                <w:rStyle w:val="FootnoteReference"/>
                <w:b/>
                <w:sz w:val="16"/>
                <w:szCs w:val="16"/>
                <w:lang w:val="en-GB"/>
              </w:rPr>
              <w:footnoteReference w:id="3"/>
            </w:r>
            <w:r w:rsidRPr="00FB566A">
              <w:rPr>
                <w:b/>
                <w:sz w:val="16"/>
                <w:szCs w:val="16"/>
                <w:lang w:val="en-GB"/>
              </w:rPr>
              <w:t xml:space="preserve"> 1.1.1:</w:t>
            </w:r>
            <w:r w:rsidRPr="00FB566A">
              <w:rPr>
                <w:bCs/>
                <w:sz w:val="16"/>
                <w:szCs w:val="16"/>
                <w:lang w:val="en-GB"/>
              </w:rPr>
              <w:t xml:space="preserve"> </w:t>
            </w:r>
          </w:p>
          <w:p w14:paraId="5D39AD96" w14:textId="1F0CF12D" w:rsidR="00FC67C9" w:rsidRPr="00FB566A" w:rsidRDefault="005E1732" w:rsidP="00D516CD">
            <w:pPr>
              <w:ind w:left="-100"/>
              <w:rPr>
                <w:bCs/>
                <w:sz w:val="16"/>
                <w:szCs w:val="16"/>
                <w:lang w:val="en-GB"/>
              </w:rPr>
            </w:pPr>
            <w:r w:rsidRPr="00FB566A">
              <w:rPr>
                <w:bCs/>
                <w:sz w:val="16"/>
                <w:szCs w:val="16"/>
                <w:lang w:val="en-GB"/>
              </w:rPr>
              <w:t xml:space="preserve">Share </w:t>
            </w:r>
            <w:r w:rsidR="00FC67C9" w:rsidRPr="00FB566A">
              <w:rPr>
                <w:bCs/>
                <w:sz w:val="16"/>
                <w:szCs w:val="16"/>
                <w:lang w:val="en-GB"/>
              </w:rPr>
              <w:t>of measures of the Action Plan of the Anti-Corruption Strategy 2020-2024 implemented in gender</w:t>
            </w:r>
            <w:r w:rsidR="00B313EB">
              <w:rPr>
                <w:bCs/>
                <w:sz w:val="16"/>
                <w:szCs w:val="16"/>
                <w:lang w:val="en-GB"/>
              </w:rPr>
              <w:t>-</w:t>
            </w:r>
            <w:r w:rsidR="00FC67C9" w:rsidRPr="00FB566A">
              <w:rPr>
                <w:bCs/>
                <w:sz w:val="16"/>
                <w:szCs w:val="16"/>
                <w:lang w:val="en-GB"/>
              </w:rPr>
              <w:t>sensitive manner (Kosovo wide)</w:t>
            </w:r>
          </w:p>
          <w:p w14:paraId="08C54084" w14:textId="4E8D0B7C" w:rsidR="00FC67C9" w:rsidRPr="00FB566A" w:rsidRDefault="00FC67C9" w:rsidP="00D516CD">
            <w:pPr>
              <w:ind w:left="-100"/>
              <w:rPr>
                <w:bCs/>
                <w:sz w:val="16"/>
                <w:szCs w:val="16"/>
                <w:lang w:val="en-GB"/>
              </w:rPr>
            </w:pPr>
            <w:r w:rsidRPr="00FB566A">
              <w:rPr>
                <w:bCs/>
                <w:sz w:val="16"/>
                <w:szCs w:val="16"/>
                <w:lang w:val="en-GB"/>
              </w:rPr>
              <w:t>Baseline: 0</w:t>
            </w:r>
            <w:r w:rsidR="00B313EB">
              <w:rPr>
                <w:bCs/>
                <w:sz w:val="16"/>
                <w:szCs w:val="16"/>
                <w:lang w:val="en-GB"/>
              </w:rPr>
              <w:t xml:space="preserve"> </w:t>
            </w:r>
            <w:r w:rsidR="00B313EB" w:rsidRPr="00FB566A">
              <w:rPr>
                <w:bCs/>
                <w:sz w:val="16"/>
                <w:szCs w:val="16"/>
                <w:lang w:val="en-GB"/>
              </w:rPr>
              <w:t>(2020)</w:t>
            </w:r>
          </w:p>
          <w:p w14:paraId="1248C672" w14:textId="13FE8079" w:rsidR="00FC67C9" w:rsidRPr="00FB566A" w:rsidRDefault="00FC67C9" w:rsidP="00D516CD">
            <w:pPr>
              <w:ind w:left="-100"/>
              <w:rPr>
                <w:bCs/>
                <w:sz w:val="16"/>
                <w:szCs w:val="16"/>
                <w:lang w:val="en-GB"/>
              </w:rPr>
            </w:pPr>
            <w:r w:rsidRPr="00FB566A">
              <w:rPr>
                <w:bCs/>
                <w:sz w:val="16"/>
                <w:szCs w:val="16"/>
                <w:lang w:val="en-GB"/>
              </w:rPr>
              <w:t>Target: 50%</w:t>
            </w:r>
            <w:r w:rsidR="00B313EB">
              <w:rPr>
                <w:bCs/>
                <w:sz w:val="16"/>
                <w:szCs w:val="16"/>
                <w:lang w:val="en-GB"/>
              </w:rPr>
              <w:t xml:space="preserve"> </w:t>
            </w:r>
            <w:r w:rsidR="00B313EB" w:rsidRPr="00FB566A">
              <w:rPr>
                <w:bCs/>
                <w:sz w:val="16"/>
                <w:szCs w:val="16"/>
                <w:lang w:val="en-GB"/>
              </w:rPr>
              <w:t>(2025)</w:t>
            </w:r>
          </w:p>
          <w:p w14:paraId="499CFB79" w14:textId="77777777" w:rsidR="00F87C37" w:rsidRPr="00FB566A" w:rsidRDefault="00F87C37" w:rsidP="00D516CD">
            <w:pPr>
              <w:ind w:left="-100"/>
              <w:rPr>
                <w:bCs/>
                <w:sz w:val="16"/>
                <w:szCs w:val="16"/>
                <w:lang w:val="en-GB"/>
              </w:rPr>
            </w:pPr>
          </w:p>
          <w:p w14:paraId="32D0BA2B" w14:textId="1EE59583" w:rsidR="00FC67C9" w:rsidRPr="00FB566A" w:rsidRDefault="00FC67C9" w:rsidP="00D516CD">
            <w:pPr>
              <w:ind w:left="-100"/>
              <w:rPr>
                <w:bCs/>
                <w:sz w:val="16"/>
                <w:szCs w:val="16"/>
                <w:lang w:val="en-GB"/>
              </w:rPr>
            </w:pPr>
            <w:r w:rsidRPr="00FB566A">
              <w:rPr>
                <w:b/>
                <w:sz w:val="16"/>
                <w:szCs w:val="16"/>
                <w:lang w:val="en-GB"/>
              </w:rPr>
              <w:t>Indicative indicator</w:t>
            </w:r>
            <w:r w:rsidRPr="00FB566A">
              <w:rPr>
                <w:bCs/>
                <w:sz w:val="16"/>
                <w:szCs w:val="16"/>
                <w:lang w:val="en-GB"/>
              </w:rPr>
              <w:t xml:space="preserve"> </w:t>
            </w:r>
            <w:r w:rsidRPr="00FB566A">
              <w:rPr>
                <w:b/>
                <w:sz w:val="16"/>
                <w:szCs w:val="16"/>
                <w:lang w:val="en-GB"/>
              </w:rPr>
              <w:t>(1.2.3.1</w:t>
            </w:r>
            <w:r w:rsidR="00F13B6B" w:rsidRPr="00FB566A">
              <w:rPr>
                <w:b/>
                <w:sz w:val="16"/>
                <w:szCs w:val="16"/>
                <w:lang w:val="en-GB"/>
              </w:rPr>
              <w:t xml:space="preserve"> IRRF</w:t>
            </w:r>
            <w:r w:rsidRPr="00FB566A">
              <w:rPr>
                <w:b/>
                <w:sz w:val="16"/>
                <w:szCs w:val="16"/>
                <w:lang w:val="en-GB"/>
              </w:rPr>
              <w:t>) 1.1.2:</w:t>
            </w:r>
            <w:r w:rsidRPr="00FB566A">
              <w:rPr>
                <w:bCs/>
                <w:sz w:val="16"/>
                <w:szCs w:val="16"/>
                <w:lang w:val="en-GB"/>
              </w:rPr>
              <w:t xml:space="preserve"> </w:t>
            </w:r>
          </w:p>
          <w:p w14:paraId="0C82E28F" w14:textId="25934F11" w:rsidR="00FC67C9" w:rsidRPr="00FB566A" w:rsidRDefault="005E1732" w:rsidP="00D516CD">
            <w:pPr>
              <w:ind w:left="-100"/>
              <w:rPr>
                <w:bCs/>
                <w:sz w:val="16"/>
                <w:szCs w:val="16"/>
                <w:lang w:val="en-GB"/>
              </w:rPr>
            </w:pPr>
            <w:r w:rsidRPr="00FB566A">
              <w:rPr>
                <w:bCs/>
                <w:sz w:val="16"/>
                <w:szCs w:val="16"/>
                <w:lang w:val="en-GB"/>
              </w:rPr>
              <w:t xml:space="preserve">Share </w:t>
            </w:r>
            <w:r w:rsidR="00FC67C9" w:rsidRPr="00FB566A">
              <w:rPr>
                <w:bCs/>
                <w:sz w:val="16"/>
                <w:szCs w:val="16"/>
                <w:lang w:val="en-GB"/>
              </w:rPr>
              <w:t>of new cases issued on corruption charges, incl. environmental crime cases (Kosovo</w:t>
            </w:r>
            <w:r w:rsidR="00B313EB">
              <w:rPr>
                <w:bCs/>
                <w:sz w:val="16"/>
                <w:szCs w:val="16"/>
                <w:lang w:val="en-GB"/>
              </w:rPr>
              <w:t>-</w:t>
            </w:r>
            <w:r w:rsidR="00FC67C9" w:rsidRPr="00FB566A">
              <w:rPr>
                <w:bCs/>
                <w:sz w:val="16"/>
                <w:szCs w:val="16"/>
                <w:lang w:val="en-GB"/>
              </w:rPr>
              <w:t>wide)</w:t>
            </w:r>
          </w:p>
          <w:p w14:paraId="143A40BF" w14:textId="1F4CFFFE" w:rsidR="00FC67C9" w:rsidRPr="00FB566A" w:rsidRDefault="00FC67C9" w:rsidP="00D516CD">
            <w:pPr>
              <w:ind w:left="-100"/>
              <w:rPr>
                <w:bCs/>
                <w:sz w:val="16"/>
                <w:szCs w:val="16"/>
                <w:lang w:val="en-GB"/>
              </w:rPr>
            </w:pPr>
            <w:r w:rsidRPr="00FB566A">
              <w:rPr>
                <w:bCs/>
                <w:sz w:val="16"/>
                <w:szCs w:val="16"/>
                <w:lang w:val="en-GB"/>
              </w:rPr>
              <w:t>Baseline: 1,247 cases, involving 2,319 persons</w:t>
            </w:r>
            <w:r w:rsidR="00B313EB">
              <w:rPr>
                <w:bCs/>
                <w:sz w:val="16"/>
                <w:szCs w:val="16"/>
                <w:lang w:val="en-GB"/>
              </w:rPr>
              <w:t xml:space="preserve"> </w:t>
            </w:r>
            <w:r w:rsidR="00B313EB" w:rsidRPr="00FB566A">
              <w:rPr>
                <w:bCs/>
                <w:sz w:val="16"/>
                <w:szCs w:val="16"/>
                <w:lang w:val="en-GB"/>
              </w:rPr>
              <w:t>(2019)</w:t>
            </w:r>
          </w:p>
          <w:p w14:paraId="19D2AD17" w14:textId="68056B51" w:rsidR="00FC67C9" w:rsidRPr="00FB566A" w:rsidRDefault="00FC67C9" w:rsidP="00D516CD">
            <w:pPr>
              <w:ind w:left="-100"/>
              <w:rPr>
                <w:bCs/>
                <w:sz w:val="16"/>
                <w:szCs w:val="16"/>
                <w:lang w:val="en-GB"/>
              </w:rPr>
            </w:pPr>
            <w:r w:rsidRPr="00FB566A">
              <w:rPr>
                <w:bCs/>
                <w:sz w:val="16"/>
                <w:szCs w:val="16"/>
                <w:lang w:val="en-GB"/>
              </w:rPr>
              <w:t>Target: +50%</w:t>
            </w:r>
            <w:r w:rsidR="00B313EB">
              <w:rPr>
                <w:bCs/>
                <w:sz w:val="16"/>
                <w:szCs w:val="16"/>
                <w:lang w:val="en-GB"/>
              </w:rPr>
              <w:t xml:space="preserve"> </w:t>
            </w:r>
            <w:r w:rsidR="00B313EB" w:rsidRPr="00FB566A">
              <w:rPr>
                <w:bCs/>
                <w:sz w:val="16"/>
                <w:szCs w:val="16"/>
                <w:lang w:val="en-GB"/>
              </w:rPr>
              <w:t>(2025)</w:t>
            </w:r>
          </w:p>
          <w:p w14:paraId="42470CB1" w14:textId="26683F2E" w:rsidR="00FC67C9" w:rsidRPr="00FB566A" w:rsidRDefault="00FC67C9" w:rsidP="00D516CD">
            <w:pPr>
              <w:ind w:left="-100"/>
              <w:rPr>
                <w:bCs/>
                <w:sz w:val="16"/>
                <w:szCs w:val="16"/>
                <w:lang w:val="en-GB"/>
              </w:rPr>
            </w:pPr>
            <w:r w:rsidRPr="00FB566A">
              <w:rPr>
                <w:bCs/>
                <w:sz w:val="16"/>
                <w:szCs w:val="16"/>
                <w:lang w:val="en-GB"/>
              </w:rPr>
              <w:t>Court and prosecution records, Project reports, annually</w:t>
            </w:r>
          </w:p>
          <w:p w14:paraId="084C829C" w14:textId="77777777" w:rsidR="00F87C37" w:rsidRPr="00FB566A" w:rsidRDefault="00F87C37" w:rsidP="00D516CD">
            <w:pPr>
              <w:ind w:left="-100"/>
              <w:rPr>
                <w:bCs/>
                <w:sz w:val="16"/>
                <w:szCs w:val="16"/>
                <w:lang w:val="en-GB"/>
              </w:rPr>
            </w:pPr>
          </w:p>
          <w:p w14:paraId="3ABECB20" w14:textId="48BA1A26" w:rsidR="00FC67C9" w:rsidRPr="00FB566A" w:rsidRDefault="00FC67C9" w:rsidP="00D516CD">
            <w:pPr>
              <w:ind w:left="-100"/>
              <w:rPr>
                <w:b/>
                <w:sz w:val="16"/>
                <w:szCs w:val="16"/>
                <w:lang w:val="en-GB"/>
              </w:rPr>
            </w:pPr>
            <w:r w:rsidRPr="00FB566A">
              <w:rPr>
                <w:b/>
                <w:sz w:val="16"/>
                <w:szCs w:val="16"/>
                <w:lang w:val="en-GB"/>
              </w:rPr>
              <w:t xml:space="preserve">Indicative Indicator (1.2.3.1 </w:t>
            </w:r>
            <w:r w:rsidR="00242D10" w:rsidRPr="00FB566A">
              <w:rPr>
                <w:b/>
                <w:sz w:val="16"/>
                <w:szCs w:val="16"/>
                <w:lang w:val="en-GB"/>
              </w:rPr>
              <w:t xml:space="preserve">IRRF) </w:t>
            </w:r>
            <w:r w:rsidRPr="00FB566A">
              <w:rPr>
                <w:b/>
                <w:sz w:val="16"/>
                <w:szCs w:val="16"/>
                <w:lang w:val="en-GB"/>
              </w:rPr>
              <w:t xml:space="preserve">1.1.3: </w:t>
            </w:r>
          </w:p>
          <w:p w14:paraId="448368E3" w14:textId="6818A188" w:rsidR="00FC67C9" w:rsidRPr="00FB566A" w:rsidRDefault="005E1732" w:rsidP="00D516CD">
            <w:pPr>
              <w:ind w:left="-100"/>
              <w:rPr>
                <w:bCs/>
                <w:sz w:val="16"/>
                <w:szCs w:val="16"/>
                <w:lang w:val="en-GB"/>
              </w:rPr>
            </w:pPr>
            <w:r w:rsidRPr="00FB566A">
              <w:rPr>
                <w:bCs/>
                <w:sz w:val="16"/>
                <w:szCs w:val="16"/>
                <w:lang w:val="en-GB"/>
              </w:rPr>
              <w:t>Share</w:t>
            </w:r>
            <w:r w:rsidR="00FC67C9" w:rsidRPr="00FB566A">
              <w:rPr>
                <w:bCs/>
                <w:sz w:val="16"/>
                <w:szCs w:val="16"/>
                <w:lang w:val="en-GB"/>
              </w:rPr>
              <w:t xml:space="preserve"> of cases processed by Kallxo.com (Kosovo wide)</w:t>
            </w:r>
          </w:p>
          <w:p w14:paraId="005B9347" w14:textId="32F2FD89" w:rsidR="00FC67C9" w:rsidRPr="00FB566A" w:rsidRDefault="00FC67C9" w:rsidP="00D516CD">
            <w:pPr>
              <w:ind w:left="-100"/>
              <w:rPr>
                <w:bCs/>
                <w:sz w:val="16"/>
                <w:szCs w:val="16"/>
                <w:lang w:val="en-GB"/>
              </w:rPr>
            </w:pPr>
            <w:r w:rsidRPr="00FB566A">
              <w:rPr>
                <w:bCs/>
                <w:sz w:val="16"/>
                <w:szCs w:val="16"/>
                <w:lang w:val="en-GB"/>
              </w:rPr>
              <w:t>Baseline: 27.3%</w:t>
            </w:r>
            <w:r w:rsidR="00B313EB">
              <w:rPr>
                <w:bCs/>
                <w:sz w:val="16"/>
                <w:szCs w:val="16"/>
                <w:lang w:val="en-GB"/>
              </w:rPr>
              <w:t xml:space="preserve"> </w:t>
            </w:r>
            <w:r w:rsidR="00B313EB" w:rsidRPr="00FB566A">
              <w:rPr>
                <w:bCs/>
                <w:sz w:val="16"/>
                <w:szCs w:val="16"/>
                <w:lang w:val="en-GB"/>
              </w:rPr>
              <w:t>(2019)</w:t>
            </w:r>
          </w:p>
          <w:p w14:paraId="542DB0DB" w14:textId="2EF534F5" w:rsidR="00FC67C9" w:rsidRPr="00FB566A" w:rsidRDefault="00FC67C9" w:rsidP="00D516CD">
            <w:pPr>
              <w:ind w:left="-100"/>
              <w:rPr>
                <w:bCs/>
                <w:sz w:val="16"/>
                <w:szCs w:val="16"/>
                <w:lang w:val="en-GB"/>
              </w:rPr>
            </w:pPr>
            <w:r w:rsidRPr="00FB566A">
              <w:rPr>
                <w:bCs/>
                <w:sz w:val="16"/>
                <w:szCs w:val="16"/>
                <w:lang w:val="en-GB"/>
              </w:rPr>
              <w:t>Target: 50%</w:t>
            </w:r>
            <w:r w:rsidR="00B313EB">
              <w:rPr>
                <w:bCs/>
                <w:sz w:val="16"/>
                <w:szCs w:val="16"/>
                <w:lang w:val="en-GB"/>
              </w:rPr>
              <w:t xml:space="preserve"> </w:t>
            </w:r>
            <w:r w:rsidR="00B313EB" w:rsidRPr="00FB566A">
              <w:rPr>
                <w:bCs/>
                <w:sz w:val="16"/>
                <w:szCs w:val="16"/>
                <w:lang w:val="en-GB"/>
              </w:rPr>
              <w:t>(2025)</w:t>
            </w:r>
          </w:p>
          <w:p w14:paraId="4EDEA8BD" w14:textId="77777777" w:rsidR="00F87C37" w:rsidRPr="00FB566A" w:rsidRDefault="00F87C37" w:rsidP="00D516CD">
            <w:pPr>
              <w:ind w:left="-100"/>
              <w:rPr>
                <w:bCs/>
                <w:sz w:val="16"/>
                <w:szCs w:val="16"/>
                <w:lang w:val="en-GB"/>
              </w:rPr>
            </w:pPr>
          </w:p>
          <w:p w14:paraId="6676E601" w14:textId="20CD202F" w:rsidR="00FC67C9" w:rsidRPr="00FB566A" w:rsidRDefault="00FC67C9" w:rsidP="00D516CD">
            <w:pPr>
              <w:ind w:left="-100"/>
              <w:rPr>
                <w:b/>
                <w:sz w:val="16"/>
                <w:szCs w:val="16"/>
                <w:lang w:val="en-GB"/>
              </w:rPr>
            </w:pPr>
            <w:r w:rsidRPr="00FB566A">
              <w:rPr>
                <w:b/>
                <w:sz w:val="16"/>
                <w:szCs w:val="16"/>
                <w:lang w:val="en-GB"/>
              </w:rPr>
              <w:t>Output 1.2: Improved public safety and security</w:t>
            </w:r>
          </w:p>
          <w:p w14:paraId="78585F39" w14:textId="77777777" w:rsidR="00F87C37" w:rsidRPr="00FB566A" w:rsidRDefault="00F87C37" w:rsidP="00D516CD">
            <w:pPr>
              <w:ind w:left="-100"/>
              <w:rPr>
                <w:bCs/>
                <w:sz w:val="16"/>
                <w:szCs w:val="16"/>
                <w:lang w:val="en-GB"/>
              </w:rPr>
            </w:pPr>
          </w:p>
          <w:p w14:paraId="7A62ADF8" w14:textId="649AEBA4" w:rsidR="00FC67C9" w:rsidRPr="00FB566A" w:rsidRDefault="00FC67C9" w:rsidP="00D516CD">
            <w:pPr>
              <w:ind w:left="-100"/>
              <w:rPr>
                <w:bCs/>
                <w:sz w:val="16"/>
                <w:szCs w:val="16"/>
                <w:lang w:val="en-GB"/>
              </w:rPr>
            </w:pPr>
            <w:r w:rsidRPr="00FB566A">
              <w:rPr>
                <w:b/>
                <w:sz w:val="16"/>
                <w:szCs w:val="16"/>
                <w:lang w:val="en-GB"/>
              </w:rPr>
              <w:t>Indicative Indicator (</w:t>
            </w:r>
            <w:r w:rsidR="00ED5FDA">
              <w:rPr>
                <w:b/>
                <w:sz w:val="16"/>
                <w:szCs w:val="16"/>
                <w:lang w:val="en-GB"/>
              </w:rPr>
              <w:t>Sustainable Development Goal</w:t>
            </w:r>
            <w:r w:rsidRPr="00FB566A">
              <w:rPr>
                <w:b/>
                <w:sz w:val="16"/>
                <w:szCs w:val="16"/>
                <w:lang w:val="en-GB"/>
              </w:rPr>
              <w:t xml:space="preserve"> indicator 16.4.2)</w:t>
            </w:r>
            <w:r w:rsidRPr="00FB566A">
              <w:rPr>
                <w:bCs/>
                <w:sz w:val="16"/>
                <w:szCs w:val="16"/>
                <w:lang w:val="en-GB"/>
              </w:rPr>
              <w:t xml:space="preserve"> 1.2.1: </w:t>
            </w:r>
            <w:r w:rsidR="00D7256F">
              <w:rPr>
                <w:bCs/>
                <w:sz w:val="16"/>
                <w:szCs w:val="16"/>
                <w:lang w:val="en-GB"/>
              </w:rPr>
              <w:t>Number</w:t>
            </w:r>
            <w:r w:rsidR="00780F78" w:rsidRPr="00FB566A">
              <w:rPr>
                <w:bCs/>
                <w:sz w:val="16"/>
                <w:szCs w:val="16"/>
                <w:lang w:val="en-GB"/>
              </w:rPr>
              <w:t xml:space="preserve"> </w:t>
            </w:r>
            <w:r w:rsidRPr="00FB566A">
              <w:rPr>
                <w:bCs/>
                <w:sz w:val="16"/>
                <w:szCs w:val="16"/>
                <w:lang w:val="en-GB"/>
              </w:rPr>
              <w:t>of seized, found or surrendered illicit arms, ammunition and explosives (Kosovo</w:t>
            </w:r>
            <w:r w:rsidR="00ED5FDA">
              <w:rPr>
                <w:bCs/>
                <w:sz w:val="16"/>
                <w:szCs w:val="16"/>
                <w:lang w:val="en-GB"/>
              </w:rPr>
              <w:t>-</w:t>
            </w:r>
            <w:r w:rsidRPr="00FB566A">
              <w:rPr>
                <w:bCs/>
                <w:sz w:val="16"/>
                <w:szCs w:val="16"/>
                <w:lang w:val="en-GB"/>
              </w:rPr>
              <w:t>wide)</w:t>
            </w:r>
          </w:p>
          <w:p w14:paraId="36B8FBBB" w14:textId="4BC742FC" w:rsidR="00FC67C9" w:rsidRPr="00FB566A" w:rsidRDefault="00FC67C9" w:rsidP="00D516CD">
            <w:pPr>
              <w:ind w:left="-100"/>
              <w:rPr>
                <w:bCs/>
                <w:sz w:val="16"/>
                <w:szCs w:val="16"/>
                <w:lang w:val="en-GB"/>
              </w:rPr>
            </w:pPr>
            <w:r w:rsidRPr="00FB566A">
              <w:rPr>
                <w:bCs/>
                <w:sz w:val="16"/>
                <w:szCs w:val="16"/>
                <w:lang w:val="en-GB"/>
              </w:rPr>
              <w:t>Baseline: 26,400 (combined)</w:t>
            </w:r>
            <w:r w:rsidR="00ED5FDA">
              <w:rPr>
                <w:bCs/>
                <w:sz w:val="16"/>
                <w:szCs w:val="16"/>
                <w:lang w:val="en-GB"/>
              </w:rPr>
              <w:t xml:space="preserve"> </w:t>
            </w:r>
            <w:r w:rsidR="00ED5FDA" w:rsidRPr="00FB566A">
              <w:rPr>
                <w:bCs/>
                <w:sz w:val="16"/>
                <w:szCs w:val="16"/>
                <w:lang w:val="en-GB"/>
              </w:rPr>
              <w:t>(2019)</w:t>
            </w:r>
          </w:p>
          <w:p w14:paraId="719DF97E" w14:textId="366188A0" w:rsidR="00FC67C9" w:rsidRPr="00FB566A" w:rsidRDefault="00FC67C9" w:rsidP="00D516CD">
            <w:pPr>
              <w:ind w:left="-100"/>
              <w:rPr>
                <w:bCs/>
                <w:sz w:val="16"/>
                <w:szCs w:val="16"/>
                <w:lang w:val="en-GB"/>
              </w:rPr>
            </w:pPr>
            <w:r w:rsidRPr="00FB566A">
              <w:rPr>
                <w:bCs/>
                <w:sz w:val="16"/>
                <w:szCs w:val="16"/>
                <w:lang w:val="en-GB"/>
              </w:rPr>
              <w:t>Target: 46,400</w:t>
            </w:r>
            <w:r w:rsidR="00ED5FDA">
              <w:rPr>
                <w:bCs/>
                <w:sz w:val="16"/>
                <w:szCs w:val="16"/>
                <w:lang w:val="en-GB"/>
              </w:rPr>
              <w:t xml:space="preserve"> </w:t>
            </w:r>
            <w:r w:rsidR="00ED5FDA" w:rsidRPr="00FB566A">
              <w:rPr>
                <w:bCs/>
                <w:sz w:val="16"/>
                <w:szCs w:val="16"/>
                <w:lang w:val="en-GB"/>
              </w:rPr>
              <w:t>(2025)</w:t>
            </w:r>
          </w:p>
          <w:p w14:paraId="45172ACE" w14:textId="77777777" w:rsidR="005E1732" w:rsidRPr="00FB566A" w:rsidRDefault="005E1732" w:rsidP="00D516CD">
            <w:pPr>
              <w:ind w:left="-100"/>
              <w:rPr>
                <w:bCs/>
                <w:sz w:val="16"/>
                <w:szCs w:val="16"/>
                <w:lang w:val="en-GB"/>
              </w:rPr>
            </w:pPr>
          </w:p>
          <w:p w14:paraId="565CFB9F" w14:textId="6080B7C7" w:rsidR="00FC67C9" w:rsidRPr="00FB566A" w:rsidRDefault="00FC67C9" w:rsidP="00D516CD">
            <w:pPr>
              <w:ind w:left="-100"/>
              <w:rPr>
                <w:b/>
                <w:sz w:val="16"/>
                <w:szCs w:val="16"/>
                <w:lang w:val="en-GB"/>
              </w:rPr>
            </w:pPr>
            <w:r w:rsidRPr="00FB566A">
              <w:rPr>
                <w:b/>
                <w:sz w:val="16"/>
                <w:szCs w:val="16"/>
                <w:lang w:val="en-GB"/>
              </w:rPr>
              <w:lastRenderedPageBreak/>
              <w:t xml:space="preserve">Indicative Indicator (2.3.1.2 IRRF) 1.2.2: </w:t>
            </w:r>
          </w:p>
          <w:p w14:paraId="482DEF55" w14:textId="357DEF42" w:rsidR="00FC67C9" w:rsidRPr="00FB566A" w:rsidRDefault="00FC67C9" w:rsidP="00D516CD">
            <w:pPr>
              <w:ind w:left="-100"/>
              <w:rPr>
                <w:bCs/>
                <w:sz w:val="16"/>
                <w:szCs w:val="16"/>
                <w:lang w:val="en-GB"/>
              </w:rPr>
            </w:pPr>
            <w:r w:rsidRPr="00FB566A">
              <w:rPr>
                <w:bCs/>
                <w:sz w:val="16"/>
                <w:szCs w:val="16"/>
                <w:lang w:val="en-GB"/>
              </w:rPr>
              <w:t>Implementation of information security audits in selected institutions (Kosovo</w:t>
            </w:r>
            <w:r w:rsidR="00ED5FDA">
              <w:rPr>
                <w:bCs/>
                <w:sz w:val="16"/>
                <w:szCs w:val="16"/>
                <w:lang w:val="en-GB"/>
              </w:rPr>
              <w:t>-</w:t>
            </w:r>
            <w:r w:rsidRPr="00FB566A">
              <w:rPr>
                <w:bCs/>
                <w:sz w:val="16"/>
                <w:szCs w:val="16"/>
                <w:lang w:val="en-GB"/>
              </w:rPr>
              <w:t>wide)</w:t>
            </w:r>
          </w:p>
          <w:p w14:paraId="2543714A" w14:textId="3B508C65" w:rsidR="00FC67C9" w:rsidRPr="00FB566A" w:rsidRDefault="00FC67C9" w:rsidP="00D516CD">
            <w:pPr>
              <w:ind w:left="-100"/>
              <w:rPr>
                <w:bCs/>
                <w:sz w:val="16"/>
                <w:szCs w:val="16"/>
                <w:lang w:val="en-GB"/>
              </w:rPr>
            </w:pPr>
            <w:r w:rsidRPr="00FB566A">
              <w:rPr>
                <w:bCs/>
                <w:sz w:val="16"/>
                <w:szCs w:val="16"/>
                <w:lang w:val="en-GB"/>
              </w:rPr>
              <w:t>Baseline: 0</w:t>
            </w:r>
            <w:r w:rsidR="00ED5FDA">
              <w:rPr>
                <w:bCs/>
                <w:sz w:val="16"/>
                <w:szCs w:val="16"/>
                <w:lang w:val="en-GB"/>
              </w:rPr>
              <w:t xml:space="preserve"> </w:t>
            </w:r>
            <w:r w:rsidR="00ED5FDA" w:rsidRPr="00FB566A">
              <w:rPr>
                <w:bCs/>
                <w:sz w:val="16"/>
                <w:szCs w:val="16"/>
                <w:lang w:val="en-GB"/>
              </w:rPr>
              <w:t>(2019)</w:t>
            </w:r>
            <w:r w:rsidR="00ED5FDA">
              <w:rPr>
                <w:bCs/>
                <w:sz w:val="16"/>
                <w:szCs w:val="16"/>
                <w:lang w:val="en-GB"/>
              </w:rPr>
              <w:t xml:space="preserve"> </w:t>
            </w:r>
          </w:p>
          <w:p w14:paraId="275DDC75" w14:textId="1C26DB3B" w:rsidR="00FC67C9" w:rsidRPr="00FB566A" w:rsidRDefault="00FC67C9" w:rsidP="00D516CD">
            <w:pPr>
              <w:ind w:left="-100"/>
              <w:rPr>
                <w:bCs/>
                <w:sz w:val="16"/>
                <w:szCs w:val="16"/>
                <w:lang w:val="en-GB"/>
              </w:rPr>
            </w:pPr>
            <w:r w:rsidRPr="00FB566A">
              <w:rPr>
                <w:bCs/>
                <w:sz w:val="16"/>
                <w:szCs w:val="16"/>
                <w:lang w:val="en-GB"/>
              </w:rPr>
              <w:t>Target: 5</w:t>
            </w:r>
            <w:r w:rsidR="00ED5FDA">
              <w:rPr>
                <w:bCs/>
                <w:sz w:val="16"/>
                <w:szCs w:val="16"/>
                <w:lang w:val="en-GB"/>
              </w:rPr>
              <w:t xml:space="preserve"> </w:t>
            </w:r>
            <w:r w:rsidR="00ED5FDA" w:rsidRPr="00FB566A">
              <w:rPr>
                <w:bCs/>
                <w:sz w:val="16"/>
                <w:szCs w:val="16"/>
                <w:lang w:val="en-GB"/>
              </w:rPr>
              <w:t>(2025)</w:t>
            </w:r>
          </w:p>
          <w:p w14:paraId="3A887A6B" w14:textId="77777777" w:rsidR="00F87C37" w:rsidRPr="00FB566A" w:rsidRDefault="00F87C37" w:rsidP="00D516CD">
            <w:pPr>
              <w:ind w:left="-100"/>
              <w:rPr>
                <w:bCs/>
                <w:sz w:val="16"/>
                <w:szCs w:val="16"/>
                <w:lang w:val="en-GB"/>
              </w:rPr>
            </w:pPr>
          </w:p>
          <w:p w14:paraId="4AD9B0AC" w14:textId="77777777" w:rsidR="00FC67C9" w:rsidRPr="00FB566A" w:rsidRDefault="00FC67C9" w:rsidP="00D516CD">
            <w:pPr>
              <w:ind w:left="-100"/>
              <w:rPr>
                <w:b/>
                <w:sz w:val="16"/>
                <w:szCs w:val="16"/>
                <w:lang w:val="en-GB"/>
              </w:rPr>
            </w:pPr>
            <w:r w:rsidRPr="00FB566A">
              <w:rPr>
                <w:b/>
                <w:sz w:val="16"/>
                <w:szCs w:val="16"/>
                <w:lang w:val="en-GB"/>
              </w:rPr>
              <w:t xml:space="preserve">Indicative Indicator (2.2.1.1 IRRF) 1.2.3: </w:t>
            </w:r>
          </w:p>
          <w:p w14:paraId="1C5B9E30" w14:textId="0CB4C3C3" w:rsidR="00FC67C9" w:rsidRPr="00FB566A" w:rsidRDefault="005E1732" w:rsidP="00D516CD">
            <w:pPr>
              <w:ind w:left="-100"/>
              <w:rPr>
                <w:bCs/>
                <w:sz w:val="16"/>
                <w:szCs w:val="16"/>
                <w:lang w:val="en-GB"/>
              </w:rPr>
            </w:pPr>
            <w:r w:rsidRPr="00FB566A">
              <w:rPr>
                <w:bCs/>
                <w:sz w:val="16"/>
                <w:szCs w:val="16"/>
                <w:lang w:val="en-GB"/>
              </w:rPr>
              <w:t>Number</w:t>
            </w:r>
            <w:r w:rsidR="00FC67C9" w:rsidRPr="00FB566A">
              <w:rPr>
                <w:bCs/>
                <w:sz w:val="16"/>
                <w:szCs w:val="16"/>
                <w:lang w:val="en-GB"/>
              </w:rPr>
              <w:t xml:space="preserve"> of certified officials on cybersecurity (Pristina)</w:t>
            </w:r>
          </w:p>
          <w:p w14:paraId="01D059E7" w14:textId="19B5266D" w:rsidR="00FC67C9" w:rsidRPr="00FB566A" w:rsidRDefault="00FC67C9" w:rsidP="00D516CD">
            <w:pPr>
              <w:ind w:left="-100"/>
              <w:rPr>
                <w:bCs/>
                <w:sz w:val="16"/>
                <w:szCs w:val="16"/>
                <w:lang w:val="en-GB"/>
              </w:rPr>
            </w:pPr>
            <w:r w:rsidRPr="00FB566A">
              <w:rPr>
                <w:bCs/>
                <w:sz w:val="16"/>
                <w:szCs w:val="16"/>
                <w:lang w:val="en-GB"/>
              </w:rPr>
              <w:t>Baseline: 7</w:t>
            </w:r>
            <w:r w:rsidR="00ED5FDA">
              <w:rPr>
                <w:bCs/>
                <w:sz w:val="16"/>
                <w:szCs w:val="16"/>
                <w:lang w:val="en-GB"/>
              </w:rPr>
              <w:t xml:space="preserve"> </w:t>
            </w:r>
            <w:r w:rsidR="00ED5FDA" w:rsidRPr="00FB566A">
              <w:rPr>
                <w:bCs/>
                <w:sz w:val="16"/>
                <w:szCs w:val="16"/>
                <w:lang w:val="en-GB"/>
              </w:rPr>
              <w:t>(2019)</w:t>
            </w:r>
          </w:p>
          <w:p w14:paraId="3115AAD1" w14:textId="558FDBB8" w:rsidR="00FC67C9" w:rsidRPr="00FB566A" w:rsidRDefault="00FC67C9" w:rsidP="00D516CD">
            <w:pPr>
              <w:ind w:left="-100"/>
              <w:rPr>
                <w:bCs/>
                <w:sz w:val="16"/>
                <w:szCs w:val="16"/>
                <w:lang w:val="en-GB"/>
              </w:rPr>
            </w:pPr>
            <w:r w:rsidRPr="00FB566A">
              <w:rPr>
                <w:bCs/>
                <w:sz w:val="16"/>
                <w:szCs w:val="16"/>
                <w:lang w:val="en-GB"/>
              </w:rPr>
              <w:t>Target: 37</w:t>
            </w:r>
            <w:r w:rsidR="00ED5FDA">
              <w:rPr>
                <w:bCs/>
                <w:sz w:val="16"/>
                <w:szCs w:val="16"/>
                <w:lang w:val="en-GB"/>
              </w:rPr>
              <w:t xml:space="preserve"> </w:t>
            </w:r>
            <w:r w:rsidR="00ED5FDA" w:rsidRPr="00FB566A">
              <w:rPr>
                <w:bCs/>
                <w:sz w:val="16"/>
                <w:szCs w:val="16"/>
                <w:lang w:val="en-GB"/>
              </w:rPr>
              <w:t>(2025)</w:t>
            </w:r>
          </w:p>
          <w:p w14:paraId="64E43886" w14:textId="77777777" w:rsidR="00B00282" w:rsidRPr="00FB566A" w:rsidRDefault="00B00282" w:rsidP="00D516CD">
            <w:pPr>
              <w:ind w:left="-100"/>
              <w:rPr>
                <w:bCs/>
                <w:sz w:val="16"/>
                <w:szCs w:val="16"/>
                <w:lang w:val="en-GB"/>
              </w:rPr>
            </w:pPr>
          </w:p>
          <w:p w14:paraId="644241BA" w14:textId="77777777" w:rsidR="00FC67C9" w:rsidRPr="00FB566A" w:rsidRDefault="00FC67C9" w:rsidP="00D516CD">
            <w:pPr>
              <w:ind w:left="-100"/>
              <w:rPr>
                <w:b/>
                <w:sz w:val="16"/>
                <w:szCs w:val="16"/>
                <w:lang w:val="en-GB"/>
              </w:rPr>
            </w:pPr>
            <w:r w:rsidRPr="00FB566A">
              <w:rPr>
                <w:b/>
                <w:sz w:val="16"/>
                <w:szCs w:val="16"/>
                <w:lang w:val="en-GB"/>
              </w:rPr>
              <w:t xml:space="preserve">Indicative Indicator 1.2.4: </w:t>
            </w:r>
          </w:p>
          <w:p w14:paraId="5CE057D5" w14:textId="0AECFD8F" w:rsidR="00FC67C9" w:rsidRPr="00FB566A" w:rsidRDefault="005E1732" w:rsidP="00D516CD">
            <w:pPr>
              <w:ind w:left="-100"/>
              <w:rPr>
                <w:bCs/>
                <w:sz w:val="16"/>
                <w:szCs w:val="16"/>
                <w:lang w:val="en-GB"/>
              </w:rPr>
            </w:pPr>
            <w:r w:rsidRPr="00FB566A">
              <w:rPr>
                <w:bCs/>
                <w:sz w:val="16"/>
                <w:szCs w:val="16"/>
                <w:lang w:val="en-GB"/>
              </w:rPr>
              <w:t>Number</w:t>
            </w:r>
            <w:r w:rsidR="00FC67C9" w:rsidRPr="00FB566A">
              <w:rPr>
                <w:bCs/>
                <w:sz w:val="16"/>
                <w:szCs w:val="16"/>
                <w:lang w:val="en-GB"/>
              </w:rPr>
              <w:t xml:space="preserve"> of prosecuted cases for cybercrimes (Kosovo</w:t>
            </w:r>
            <w:r w:rsidR="00ED5FDA">
              <w:rPr>
                <w:bCs/>
                <w:sz w:val="16"/>
                <w:szCs w:val="16"/>
                <w:lang w:val="en-GB"/>
              </w:rPr>
              <w:t>-</w:t>
            </w:r>
            <w:r w:rsidR="00FC67C9" w:rsidRPr="00FB566A">
              <w:rPr>
                <w:bCs/>
                <w:sz w:val="16"/>
                <w:szCs w:val="16"/>
                <w:lang w:val="en-GB"/>
              </w:rPr>
              <w:t>wide)</w:t>
            </w:r>
          </w:p>
          <w:p w14:paraId="2596695C" w14:textId="40C81703" w:rsidR="00FC67C9" w:rsidRPr="00FB566A" w:rsidRDefault="00FC67C9" w:rsidP="00D516CD">
            <w:pPr>
              <w:ind w:left="-100"/>
              <w:rPr>
                <w:bCs/>
                <w:sz w:val="16"/>
                <w:szCs w:val="16"/>
                <w:lang w:val="en-GB"/>
              </w:rPr>
            </w:pPr>
            <w:r w:rsidRPr="00FB566A">
              <w:rPr>
                <w:bCs/>
                <w:sz w:val="16"/>
                <w:szCs w:val="16"/>
                <w:lang w:val="en-GB"/>
              </w:rPr>
              <w:t>Baseline: 10</w:t>
            </w:r>
            <w:r w:rsidR="00ED5FDA">
              <w:rPr>
                <w:bCs/>
                <w:sz w:val="16"/>
                <w:szCs w:val="16"/>
                <w:lang w:val="en-GB"/>
              </w:rPr>
              <w:t xml:space="preserve"> </w:t>
            </w:r>
            <w:r w:rsidR="00ED5FDA" w:rsidRPr="00FB566A">
              <w:rPr>
                <w:bCs/>
                <w:sz w:val="16"/>
                <w:szCs w:val="16"/>
                <w:lang w:val="en-GB"/>
              </w:rPr>
              <w:t>(2019)</w:t>
            </w:r>
          </w:p>
          <w:p w14:paraId="1654C63E" w14:textId="5727B38B" w:rsidR="00FC67C9" w:rsidRPr="00FB566A" w:rsidRDefault="00FC67C9" w:rsidP="00D516CD">
            <w:pPr>
              <w:ind w:left="-100"/>
              <w:rPr>
                <w:bCs/>
                <w:sz w:val="16"/>
                <w:szCs w:val="16"/>
                <w:lang w:val="en-GB"/>
              </w:rPr>
            </w:pPr>
            <w:r w:rsidRPr="00FB566A">
              <w:rPr>
                <w:bCs/>
                <w:sz w:val="16"/>
                <w:szCs w:val="16"/>
                <w:lang w:val="en-GB"/>
              </w:rPr>
              <w:t>Target: 40</w:t>
            </w:r>
            <w:r w:rsidR="00ED5FDA">
              <w:rPr>
                <w:bCs/>
                <w:sz w:val="16"/>
                <w:szCs w:val="16"/>
                <w:lang w:val="en-GB"/>
              </w:rPr>
              <w:t xml:space="preserve"> </w:t>
            </w:r>
            <w:r w:rsidR="00ED5FDA" w:rsidRPr="00FB566A">
              <w:rPr>
                <w:bCs/>
                <w:sz w:val="16"/>
                <w:szCs w:val="16"/>
                <w:lang w:val="en-GB"/>
              </w:rPr>
              <w:t>(2025)</w:t>
            </w:r>
          </w:p>
          <w:p w14:paraId="77830C53" w14:textId="77777777" w:rsidR="00F13B6B" w:rsidRPr="00FB566A" w:rsidRDefault="00F13B6B" w:rsidP="00B00282">
            <w:pPr>
              <w:ind w:left="-100"/>
              <w:rPr>
                <w:bCs/>
                <w:sz w:val="16"/>
                <w:szCs w:val="16"/>
                <w:lang w:val="en-GB"/>
              </w:rPr>
            </w:pPr>
          </w:p>
          <w:p w14:paraId="0DCF156F" w14:textId="22CEEDBC" w:rsidR="00FC67C9" w:rsidRPr="00FB566A" w:rsidRDefault="00FC67C9" w:rsidP="00B00282">
            <w:pPr>
              <w:ind w:left="-100"/>
              <w:rPr>
                <w:b/>
                <w:sz w:val="16"/>
                <w:szCs w:val="16"/>
                <w:lang w:val="en-GB"/>
              </w:rPr>
            </w:pPr>
            <w:r w:rsidRPr="00FB566A">
              <w:rPr>
                <w:b/>
                <w:sz w:val="16"/>
                <w:szCs w:val="16"/>
                <w:lang w:val="en-GB"/>
              </w:rPr>
              <w:t>Output 1.3: Access to services, including justice for women and men, increased</w:t>
            </w:r>
          </w:p>
          <w:p w14:paraId="6780331A" w14:textId="77777777" w:rsidR="00B00282" w:rsidRPr="00FB566A" w:rsidRDefault="00B00282" w:rsidP="00B00282">
            <w:pPr>
              <w:ind w:left="-100"/>
              <w:rPr>
                <w:bCs/>
                <w:sz w:val="16"/>
                <w:szCs w:val="16"/>
                <w:lang w:val="en-GB"/>
              </w:rPr>
            </w:pPr>
          </w:p>
          <w:p w14:paraId="5C76076F" w14:textId="3739FD1B" w:rsidR="00FC67C9" w:rsidRPr="00FB566A" w:rsidRDefault="00FC67C9" w:rsidP="00B00282">
            <w:pPr>
              <w:ind w:left="-100"/>
              <w:rPr>
                <w:b/>
                <w:sz w:val="16"/>
                <w:szCs w:val="16"/>
                <w:lang w:val="en-GB"/>
              </w:rPr>
            </w:pPr>
            <w:r w:rsidRPr="00FB566A">
              <w:rPr>
                <w:b/>
                <w:sz w:val="16"/>
                <w:szCs w:val="16"/>
                <w:lang w:val="en-GB"/>
              </w:rPr>
              <w:t>Indicative Indicator (2.2.3.2</w:t>
            </w:r>
            <w:r w:rsidR="0049159C" w:rsidRPr="00FB566A">
              <w:rPr>
                <w:b/>
                <w:sz w:val="16"/>
                <w:szCs w:val="16"/>
                <w:lang w:val="en-GB"/>
              </w:rPr>
              <w:t xml:space="preserve"> </w:t>
            </w:r>
            <w:r w:rsidRPr="00FB566A">
              <w:rPr>
                <w:b/>
                <w:sz w:val="16"/>
                <w:szCs w:val="16"/>
                <w:lang w:val="en-GB"/>
              </w:rPr>
              <w:t xml:space="preserve">IRRF) 1.3.1: </w:t>
            </w:r>
          </w:p>
          <w:p w14:paraId="37080B6F" w14:textId="291FB317" w:rsidR="00FC67C9" w:rsidRPr="00FB566A" w:rsidRDefault="005E1732" w:rsidP="00B00282">
            <w:pPr>
              <w:ind w:left="-100"/>
              <w:rPr>
                <w:bCs/>
                <w:sz w:val="16"/>
                <w:szCs w:val="16"/>
                <w:lang w:val="en-GB"/>
              </w:rPr>
            </w:pPr>
            <w:r w:rsidRPr="00FB566A">
              <w:rPr>
                <w:bCs/>
                <w:sz w:val="16"/>
                <w:szCs w:val="16"/>
                <w:lang w:val="en-GB"/>
              </w:rPr>
              <w:t>Number</w:t>
            </w:r>
            <w:r w:rsidR="00FC67C9" w:rsidRPr="00FB566A">
              <w:rPr>
                <w:bCs/>
                <w:sz w:val="16"/>
                <w:szCs w:val="16"/>
                <w:lang w:val="en-GB"/>
              </w:rPr>
              <w:t xml:space="preserve"> of backlog cases (Kosovo</w:t>
            </w:r>
            <w:r w:rsidR="00ED5FDA">
              <w:rPr>
                <w:bCs/>
                <w:sz w:val="16"/>
                <w:szCs w:val="16"/>
                <w:lang w:val="en-GB"/>
              </w:rPr>
              <w:t>-</w:t>
            </w:r>
            <w:r w:rsidR="00FC67C9" w:rsidRPr="00FB566A">
              <w:rPr>
                <w:bCs/>
                <w:sz w:val="16"/>
                <w:szCs w:val="16"/>
                <w:lang w:val="en-GB"/>
              </w:rPr>
              <w:t>wide)</w:t>
            </w:r>
          </w:p>
          <w:p w14:paraId="4AAB808F" w14:textId="402639CB" w:rsidR="00FC67C9" w:rsidRPr="00FB566A" w:rsidRDefault="00FC67C9" w:rsidP="00B00282">
            <w:pPr>
              <w:ind w:left="-102"/>
              <w:rPr>
                <w:bCs/>
                <w:sz w:val="16"/>
                <w:szCs w:val="16"/>
                <w:lang w:val="en-GB"/>
              </w:rPr>
            </w:pPr>
            <w:r w:rsidRPr="00FB566A">
              <w:rPr>
                <w:bCs/>
                <w:sz w:val="16"/>
                <w:szCs w:val="16"/>
                <w:lang w:val="en-GB"/>
              </w:rPr>
              <w:t>Baseline: 220,000</w:t>
            </w:r>
            <w:r w:rsidR="00ED5FDA">
              <w:rPr>
                <w:bCs/>
                <w:sz w:val="16"/>
                <w:szCs w:val="16"/>
                <w:lang w:val="en-GB"/>
              </w:rPr>
              <w:t xml:space="preserve"> </w:t>
            </w:r>
            <w:r w:rsidR="00ED5FDA" w:rsidRPr="00FB566A">
              <w:rPr>
                <w:bCs/>
                <w:sz w:val="16"/>
                <w:szCs w:val="16"/>
                <w:lang w:val="en-GB"/>
              </w:rPr>
              <w:t>(2019)</w:t>
            </w:r>
          </w:p>
          <w:p w14:paraId="306FC29F" w14:textId="158402AE" w:rsidR="00FC67C9" w:rsidRPr="00FB566A" w:rsidRDefault="00FC67C9" w:rsidP="00B00282">
            <w:pPr>
              <w:ind w:left="-102"/>
              <w:rPr>
                <w:bCs/>
                <w:sz w:val="16"/>
                <w:szCs w:val="16"/>
                <w:lang w:val="en-GB"/>
              </w:rPr>
            </w:pPr>
            <w:r w:rsidRPr="00FB566A">
              <w:rPr>
                <w:bCs/>
                <w:sz w:val="16"/>
                <w:szCs w:val="16"/>
                <w:lang w:val="en-GB"/>
              </w:rPr>
              <w:t>Target: 190,000</w:t>
            </w:r>
            <w:r w:rsidR="00ED5FDA">
              <w:rPr>
                <w:bCs/>
                <w:sz w:val="16"/>
                <w:szCs w:val="16"/>
                <w:lang w:val="en-GB"/>
              </w:rPr>
              <w:t xml:space="preserve"> </w:t>
            </w:r>
            <w:r w:rsidR="00ED5FDA" w:rsidRPr="00FB566A">
              <w:rPr>
                <w:bCs/>
                <w:sz w:val="16"/>
                <w:szCs w:val="16"/>
                <w:lang w:val="en-GB"/>
              </w:rPr>
              <w:t>(2025)</w:t>
            </w:r>
            <w:r w:rsidRPr="00FB566A">
              <w:rPr>
                <w:bCs/>
                <w:sz w:val="16"/>
                <w:szCs w:val="16"/>
                <w:lang w:val="en-GB"/>
              </w:rPr>
              <w:t xml:space="preserve"> </w:t>
            </w:r>
          </w:p>
          <w:p w14:paraId="3753462A" w14:textId="77777777" w:rsidR="005E1732" w:rsidRPr="00FB566A" w:rsidRDefault="005E1732" w:rsidP="00D516CD">
            <w:pPr>
              <w:ind w:left="-100"/>
              <w:rPr>
                <w:bCs/>
                <w:sz w:val="16"/>
                <w:szCs w:val="16"/>
                <w:lang w:val="en-GB"/>
              </w:rPr>
            </w:pPr>
          </w:p>
          <w:p w14:paraId="2CD40205" w14:textId="1887F034" w:rsidR="00FC67C9" w:rsidRPr="00FB566A" w:rsidRDefault="00FC67C9" w:rsidP="00D516CD">
            <w:pPr>
              <w:ind w:left="-100"/>
              <w:rPr>
                <w:bCs/>
                <w:sz w:val="16"/>
                <w:szCs w:val="16"/>
                <w:lang w:val="en-GB"/>
              </w:rPr>
            </w:pPr>
            <w:r w:rsidRPr="00FB566A">
              <w:rPr>
                <w:b/>
                <w:sz w:val="16"/>
                <w:szCs w:val="16"/>
                <w:lang w:val="en-GB"/>
              </w:rPr>
              <w:t>Indicative Indicator (1.1.2.1 S</w:t>
            </w:r>
            <w:r w:rsidR="004D621A">
              <w:rPr>
                <w:b/>
                <w:sz w:val="16"/>
                <w:szCs w:val="16"/>
                <w:lang w:val="en-GB"/>
              </w:rPr>
              <w:t xml:space="preserve">trategic </w:t>
            </w:r>
            <w:r w:rsidRPr="00FB566A">
              <w:rPr>
                <w:b/>
                <w:sz w:val="16"/>
                <w:szCs w:val="16"/>
                <w:lang w:val="en-GB"/>
              </w:rPr>
              <w:t>P</w:t>
            </w:r>
            <w:r w:rsidR="004D621A">
              <w:rPr>
                <w:b/>
                <w:sz w:val="16"/>
                <w:szCs w:val="16"/>
                <w:lang w:val="en-GB"/>
              </w:rPr>
              <w:t>lan</w:t>
            </w:r>
            <w:r w:rsidRPr="00FB566A">
              <w:rPr>
                <w:b/>
                <w:sz w:val="16"/>
                <w:szCs w:val="16"/>
                <w:lang w:val="en-GB"/>
              </w:rPr>
              <w:t xml:space="preserve"> IRRF): 1.3.2</w:t>
            </w:r>
            <w:r w:rsidRPr="00FB566A">
              <w:rPr>
                <w:bCs/>
                <w:sz w:val="16"/>
                <w:szCs w:val="16"/>
                <w:lang w:val="en-GB"/>
              </w:rPr>
              <w:t xml:space="preserve">: </w:t>
            </w:r>
          </w:p>
          <w:p w14:paraId="5C5E548E" w14:textId="55431B4B" w:rsidR="00FC67C9" w:rsidRPr="00FB566A" w:rsidRDefault="005E1732" w:rsidP="00D516CD">
            <w:pPr>
              <w:ind w:left="-100"/>
              <w:rPr>
                <w:bCs/>
                <w:sz w:val="16"/>
                <w:szCs w:val="16"/>
                <w:lang w:val="en-GB"/>
              </w:rPr>
            </w:pPr>
            <w:r w:rsidRPr="00FB566A">
              <w:rPr>
                <w:bCs/>
                <w:sz w:val="16"/>
                <w:szCs w:val="16"/>
                <w:lang w:val="en-GB"/>
              </w:rPr>
              <w:t>Number</w:t>
            </w:r>
            <w:r w:rsidR="00FC67C9" w:rsidRPr="00FB566A">
              <w:rPr>
                <w:bCs/>
                <w:sz w:val="16"/>
                <w:szCs w:val="16"/>
                <w:lang w:val="en-GB"/>
              </w:rPr>
              <w:t xml:space="preserve"> of cases referred to mediation procedures (Kosovo</w:t>
            </w:r>
            <w:r w:rsidR="00ED5FDA">
              <w:rPr>
                <w:bCs/>
                <w:sz w:val="16"/>
                <w:szCs w:val="16"/>
                <w:lang w:val="en-GB"/>
              </w:rPr>
              <w:t>-</w:t>
            </w:r>
            <w:r w:rsidR="00FC67C9" w:rsidRPr="00FB566A">
              <w:rPr>
                <w:bCs/>
                <w:sz w:val="16"/>
                <w:szCs w:val="16"/>
                <w:lang w:val="en-GB"/>
              </w:rPr>
              <w:t>wide)</w:t>
            </w:r>
          </w:p>
          <w:p w14:paraId="29DEA427" w14:textId="0A7AFD77" w:rsidR="00FC67C9" w:rsidRPr="00FB566A" w:rsidRDefault="00FC67C9" w:rsidP="00D516CD">
            <w:pPr>
              <w:ind w:left="-100"/>
              <w:rPr>
                <w:bCs/>
                <w:sz w:val="16"/>
                <w:szCs w:val="16"/>
                <w:lang w:val="en-GB"/>
              </w:rPr>
            </w:pPr>
            <w:r w:rsidRPr="00FB566A">
              <w:rPr>
                <w:bCs/>
                <w:sz w:val="16"/>
                <w:szCs w:val="16"/>
                <w:lang w:val="en-GB"/>
              </w:rPr>
              <w:t>Baseline: 5,000</w:t>
            </w:r>
            <w:r w:rsidR="00ED5FDA">
              <w:rPr>
                <w:bCs/>
                <w:sz w:val="16"/>
                <w:szCs w:val="16"/>
                <w:lang w:val="en-GB"/>
              </w:rPr>
              <w:t xml:space="preserve"> </w:t>
            </w:r>
            <w:r w:rsidR="00ED5FDA" w:rsidRPr="00FB566A">
              <w:rPr>
                <w:bCs/>
                <w:sz w:val="16"/>
                <w:szCs w:val="16"/>
                <w:lang w:val="en-GB"/>
              </w:rPr>
              <w:t>(2019)</w:t>
            </w:r>
          </w:p>
          <w:p w14:paraId="5D4C3A77" w14:textId="2B5A8351" w:rsidR="00FC67C9" w:rsidRPr="00FB566A" w:rsidRDefault="00FC67C9" w:rsidP="00D516CD">
            <w:pPr>
              <w:ind w:left="-100"/>
              <w:rPr>
                <w:bCs/>
                <w:sz w:val="16"/>
                <w:szCs w:val="16"/>
                <w:lang w:val="en-GB"/>
              </w:rPr>
            </w:pPr>
            <w:r w:rsidRPr="00FB566A">
              <w:rPr>
                <w:bCs/>
                <w:sz w:val="16"/>
                <w:szCs w:val="16"/>
                <w:lang w:val="en-GB"/>
              </w:rPr>
              <w:t>Target: + 20,000 (30% women)</w:t>
            </w:r>
            <w:r w:rsidR="00ED5FDA">
              <w:rPr>
                <w:bCs/>
                <w:sz w:val="16"/>
                <w:szCs w:val="16"/>
                <w:lang w:val="en-GB"/>
              </w:rPr>
              <w:t xml:space="preserve"> </w:t>
            </w:r>
            <w:r w:rsidR="00ED5FDA" w:rsidRPr="00FB566A">
              <w:rPr>
                <w:bCs/>
                <w:sz w:val="16"/>
                <w:szCs w:val="16"/>
                <w:lang w:val="en-GB"/>
              </w:rPr>
              <w:t>(2025)</w:t>
            </w:r>
          </w:p>
          <w:p w14:paraId="55894B48" w14:textId="77777777" w:rsidR="00FC67C9" w:rsidRPr="00FB566A" w:rsidRDefault="00FC67C9" w:rsidP="00D516CD">
            <w:pPr>
              <w:ind w:left="-100"/>
              <w:rPr>
                <w:bCs/>
                <w:sz w:val="16"/>
                <w:szCs w:val="16"/>
                <w:lang w:val="en-GB"/>
              </w:rPr>
            </w:pPr>
          </w:p>
          <w:p w14:paraId="0F19EA6B" w14:textId="77777777" w:rsidR="00FC67C9" w:rsidRPr="00FB566A" w:rsidRDefault="00FC67C9" w:rsidP="00D516CD">
            <w:pPr>
              <w:ind w:left="-100"/>
              <w:rPr>
                <w:b/>
                <w:sz w:val="16"/>
                <w:szCs w:val="16"/>
                <w:lang w:val="en-GB"/>
              </w:rPr>
            </w:pPr>
            <w:r w:rsidRPr="00FB566A">
              <w:rPr>
                <w:b/>
                <w:sz w:val="16"/>
                <w:szCs w:val="16"/>
                <w:lang w:val="en-GB"/>
              </w:rPr>
              <w:t xml:space="preserve">Indicative Indicator (2.2.3.1 IRRF) 1.3.3: </w:t>
            </w:r>
          </w:p>
          <w:p w14:paraId="7042B581" w14:textId="60D0DEED" w:rsidR="00FC67C9" w:rsidRPr="00FB566A" w:rsidRDefault="00D142F7" w:rsidP="00D516CD">
            <w:pPr>
              <w:ind w:left="-100"/>
              <w:rPr>
                <w:bCs/>
                <w:sz w:val="16"/>
                <w:szCs w:val="16"/>
                <w:lang w:val="en-GB"/>
              </w:rPr>
            </w:pPr>
            <w:r w:rsidRPr="00FB566A">
              <w:rPr>
                <w:bCs/>
                <w:sz w:val="16"/>
                <w:szCs w:val="16"/>
                <w:lang w:val="en-GB"/>
              </w:rPr>
              <w:t>Number</w:t>
            </w:r>
            <w:r w:rsidR="00FC67C9" w:rsidRPr="00FB566A">
              <w:rPr>
                <w:bCs/>
                <w:sz w:val="16"/>
                <w:szCs w:val="16"/>
                <w:lang w:val="en-GB"/>
              </w:rPr>
              <w:t xml:space="preserve"> of beneficiaries trained (at least 50% women) on the implementation of the anti-discrimination law (Kosovo</w:t>
            </w:r>
            <w:r w:rsidR="00ED5FDA">
              <w:rPr>
                <w:bCs/>
                <w:sz w:val="16"/>
                <w:szCs w:val="16"/>
                <w:lang w:val="en-GB"/>
              </w:rPr>
              <w:t>-</w:t>
            </w:r>
            <w:r w:rsidR="00FC67C9" w:rsidRPr="00FB566A">
              <w:rPr>
                <w:bCs/>
                <w:sz w:val="16"/>
                <w:szCs w:val="16"/>
                <w:lang w:val="en-GB"/>
              </w:rPr>
              <w:t>wide)</w:t>
            </w:r>
          </w:p>
          <w:p w14:paraId="4A39FD44" w14:textId="3CEA5529" w:rsidR="00FC67C9" w:rsidRPr="00FB566A" w:rsidRDefault="00FC67C9" w:rsidP="00D516CD">
            <w:pPr>
              <w:ind w:left="-100"/>
              <w:rPr>
                <w:bCs/>
                <w:sz w:val="16"/>
                <w:szCs w:val="16"/>
                <w:lang w:val="en-GB"/>
              </w:rPr>
            </w:pPr>
            <w:r w:rsidRPr="00FB566A">
              <w:rPr>
                <w:bCs/>
                <w:sz w:val="16"/>
                <w:szCs w:val="16"/>
                <w:lang w:val="en-GB"/>
              </w:rPr>
              <w:t>Baseline: 0</w:t>
            </w:r>
            <w:r w:rsidR="00ED5FDA">
              <w:rPr>
                <w:bCs/>
                <w:sz w:val="16"/>
                <w:szCs w:val="16"/>
                <w:lang w:val="en-GB"/>
              </w:rPr>
              <w:t xml:space="preserve"> </w:t>
            </w:r>
            <w:r w:rsidR="00ED5FDA" w:rsidRPr="00FB566A">
              <w:rPr>
                <w:bCs/>
                <w:sz w:val="16"/>
                <w:szCs w:val="16"/>
                <w:lang w:val="en-GB"/>
              </w:rPr>
              <w:t>(2019)</w:t>
            </w:r>
          </w:p>
          <w:p w14:paraId="2DB5E6A8" w14:textId="035B0107" w:rsidR="00FC67C9" w:rsidRPr="00FB566A" w:rsidRDefault="00FC67C9" w:rsidP="00D516CD">
            <w:pPr>
              <w:ind w:left="-100"/>
              <w:rPr>
                <w:bCs/>
                <w:sz w:val="16"/>
                <w:szCs w:val="16"/>
                <w:lang w:val="en-GB"/>
              </w:rPr>
            </w:pPr>
            <w:r w:rsidRPr="00FB566A">
              <w:rPr>
                <w:bCs/>
                <w:sz w:val="16"/>
                <w:szCs w:val="16"/>
                <w:lang w:val="en-GB"/>
              </w:rPr>
              <w:t>Target: 250</w:t>
            </w:r>
            <w:r w:rsidR="00ED5FDA">
              <w:rPr>
                <w:bCs/>
                <w:sz w:val="16"/>
                <w:szCs w:val="16"/>
                <w:lang w:val="en-GB"/>
              </w:rPr>
              <w:t xml:space="preserve"> </w:t>
            </w:r>
            <w:r w:rsidR="00ED5FDA" w:rsidRPr="00FB566A">
              <w:rPr>
                <w:bCs/>
                <w:sz w:val="16"/>
                <w:szCs w:val="16"/>
                <w:lang w:val="en-GB"/>
              </w:rPr>
              <w:t>(2025)</w:t>
            </w:r>
          </w:p>
          <w:p w14:paraId="71CE58F4" w14:textId="77777777" w:rsidR="00B00282" w:rsidRPr="00FB566A" w:rsidRDefault="00B00282" w:rsidP="00D516CD">
            <w:pPr>
              <w:ind w:left="-100"/>
              <w:rPr>
                <w:bCs/>
                <w:sz w:val="16"/>
                <w:szCs w:val="16"/>
                <w:lang w:val="en-GB"/>
              </w:rPr>
            </w:pPr>
          </w:p>
          <w:p w14:paraId="365E836A" w14:textId="77777777" w:rsidR="00FC67C9" w:rsidRPr="00FB566A" w:rsidRDefault="00FC67C9" w:rsidP="00D516CD">
            <w:pPr>
              <w:ind w:left="-100"/>
              <w:rPr>
                <w:b/>
                <w:sz w:val="16"/>
                <w:szCs w:val="16"/>
                <w:lang w:val="en-GB"/>
              </w:rPr>
            </w:pPr>
            <w:r w:rsidRPr="00FB566A">
              <w:rPr>
                <w:b/>
                <w:sz w:val="16"/>
                <w:szCs w:val="16"/>
                <w:lang w:val="en-GB"/>
              </w:rPr>
              <w:t xml:space="preserve">Indicator 1.3.4: (2.1.2.2. IRRF) </w:t>
            </w:r>
          </w:p>
          <w:p w14:paraId="62E43ED1" w14:textId="04D1DC84" w:rsidR="00FC67C9" w:rsidRPr="00FB566A" w:rsidRDefault="00D142F7" w:rsidP="00D516CD">
            <w:pPr>
              <w:ind w:left="-100"/>
              <w:rPr>
                <w:bCs/>
                <w:sz w:val="16"/>
                <w:szCs w:val="16"/>
                <w:lang w:val="en-GB"/>
              </w:rPr>
            </w:pPr>
            <w:r w:rsidRPr="00FB566A">
              <w:rPr>
                <w:bCs/>
                <w:sz w:val="16"/>
                <w:szCs w:val="16"/>
                <w:lang w:val="en-GB"/>
              </w:rPr>
              <w:t>Number</w:t>
            </w:r>
            <w:r w:rsidR="00FC67C9" w:rsidRPr="00FB566A">
              <w:rPr>
                <w:bCs/>
                <w:sz w:val="16"/>
                <w:szCs w:val="16"/>
                <w:lang w:val="en-GB"/>
              </w:rPr>
              <w:t xml:space="preserve"> of </w:t>
            </w:r>
            <w:r w:rsidR="00780F78">
              <w:rPr>
                <w:bCs/>
                <w:sz w:val="16"/>
                <w:szCs w:val="16"/>
                <w:lang w:val="en-GB"/>
              </w:rPr>
              <w:t xml:space="preserve">staff in </w:t>
            </w:r>
            <w:r w:rsidR="00FC67C9" w:rsidRPr="00FB566A">
              <w:rPr>
                <w:bCs/>
                <w:sz w:val="16"/>
                <w:szCs w:val="16"/>
                <w:lang w:val="en-GB"/>
              </w:rPr>
              <w:t>Centr</w:t>
            </w:r>
            <w:r w:rsidR="00ED5FDA">
              <w:rPr>
                <w:bCs/>
                <w:sz w:val="16"/>
                <w:szCs w:val="16"/>
                <w:lang w:val="en-GB"/>
              </w:rPr>
              <w:t>e</w:t>
            </w:r>
            <w:r w:rsidR="00FC67C9" w:rsidRPr="00FB566A">
              <w:rPr>
                <w:bCs/>
                <w:sz w:val="16"/>
                <w:szCs w:val="16"/>
                <w:lang w:val="en-GB"/>
              </w:rPr>
              <w:t>s for Social Work</w:t>
            </w:r>
            <w:r w:rsidR="005E1732" w:rsidRPr="00FB566A">
              <w:rPr>
                <w:bCs/>
                <w:sz w:val="16"/>
                <w:szCs w:val="16"/>
                <w:lang w:val="en-GB"/>
              </w:rPr>
              <w:t xml:space="preserve"> (CSW)</w:t>
            </w:r>
            <w:r w:rsidR="00FC67C9" w:rsidRPr="00FB566A">
              <w:rPr>
                <w:bCs/>
                <w:sz w:val="16"/>
                <w:szCs w:val="16"/>
                <w:lang w:val="en-GB"/>
              </w:rPr>
              <w:t xml:space="preserve"> skilled to respond to vulnerable individuals in a gender</w:t>
            </w:r>
            <w:r w:rsidR="00ED5FDA">
              <w:rPr>
                <w:bCs/>
                <w:sz w:val="16"/>
                <w:szCs w:val="16"/>
                <w:lang w:val="en-GB"/>
              </w:rPr>
              <w:t>-</w:t>
            </w:r>
            <w:r w:rsidR="00FC67C9" w:rsidRPr="00FB566A">
              <w:rPr>
                <w:bCs/>
                <w:sz w:val="16"/>
                <w:szCs w:val="16"/>
                <w:lang w:val="en-GB"/>
              </w:rPr>
              <w:t xml:space="preserve">equitable manner </w:t>
            </w:r>
            <w:r w:rsidR="00ED5FDA">
              <w:rPr>
                <w:bCs/>
                <w:sz w:val="16"/>
                <w:szCs w:val="16"/>
                <w:lang w:val="en-GB"/>
              </w:rPr>
              <w:t>(</w:t>
            </w:r>
            <w:r w:rsidR="00FC67C9" w:rsidRPr="00FB566A">
              <w:rPr>
                <w:bCs/>
                <w:sz w:val="16"/>
                <w:szCs w:val="16"/>
                <w:lang w:val="en-GB"/>
              </w:rPr>
              <w:t>Kosovo</w:t>
            </w:r>
            <w:r w:rsidR="00ED5FDA">
              <w:rPr>
                <w:bCs/>
                <w:sz w:val="16"/>
                <w:szCs w:val="16"/>
                <w:lang w:val="en-GB"/>
              </w:rPr>
              <w:t>-</w:t>
            </w:r>
            <w:r w:rsidR="00FC67C9" w:rsidRPr="00FB566A">
              <w:rPr>
                <w:bCs/>
                <w:sz w:val="16"/>
                <w:szCs w:val="16"/>
                <w:lang w:val="en-GB"/>
              </w:rPr>
              <w:t>wide)</w:t>
            </w:r>
          </w:p>
          <w:p w14:paraId="694AB270" w14:textId="5A998E83" w:rsidR="00FC67C9" w:rsidRPr="00FB566A" w:rsidRDefault="00FC67C9" w:rsidP="00D516CD">
            <w:pPr>
              <w:ind w:left="-100"/>
              <w:rPr>
                <w:bCs/>
                <w:sz w:val="16"/>
                <w:szCs w:val="16"/>
                <w:lang w:val="en-GB"/>
              </w:rPr>
            </w:pPr>
            <w:r w:rsidRPr="00FB566A">
              <w:rPr>
                <w:bCs/>
                <w:sz w:val="16"/>
                <w:szCs w:val="16"/>
                <w:lang w:val="en-GB"/>
              </w:rPr>
              <w:t>Baseline: 0</w:t>
            </w:r>
            <w:r w:rsidR="00ED5FDA">
              <w:rPr>
                <w:bCs/>
                <w:sz w:val="16"/>
                <w:szCs w:val="16"/>
                <w:lang w:val="en-GB"/>
              </w:rPr>
              <w:t xml:space="preserve"> (2020)</w:t>
            </w:r>
          </w:p>
          <w:p w14:paraId="71AC5CB5" w14:textId="6522D79B" w:rsidR="00FC67C9" w:rsidRPr="00FB566A" w:rsidRDefault="00FC67C9" w:rsidP="00D516CD">
            <w:pPr>
              <w:ind w:left="-100"/>
              <w:rPr>
                <w:bCs/>
                <w:sz w:val="16"/>
                <w:szCs w:val="16"/>
                <w:lang w:val="en-GB"/>
              </w:rPr>
            </w:pPr>
            <w:r w:rsidRPr="00FB566A">
              <w:rPr>
                <w:bCs/>
                <w:sz w:val="16"/>
                <w:szCs w:val="16"/>
                <w:lang w:val="en-GB"/>
              </w:rPr>
              <w:t>Target: 200 CSW staff (35% women)</w:t>
            </w:r>
            <w:r w:rsidR="00ED5FDA">
              <w:rPr>
                <w:bCs/>
                <w:sz w:val="16"/>
                <w:szCs w:val="16"/>
                <w:lang w:val="en-GB"/>
              </w:rPr>
              <w:t xml:space="preserve"> (2025)</w:t>
            </w:r>
          </w:p>
          <w:p w14:paraId="205DEF6B" w14:textId="77777777" w:rsidR="00F13B6B" w:rsidRPr="00FB566A" w:rsidRDefault="00F13B6B" w:rsidP="00D516CD">
            <w:pPr>
              <w:ind w:left="-100"/>
              <w:rPr>
                <w:b/>
                <w:sz w:val="16"/>
                <w:szCs w:val="16"/>
                <w:lang w:val="en-GB"/>
              </w:rPr>
            </w:pPr>
          </w:p>
          <w:p w14:paraId="7C6D8CC7" w14:textId="4A6C8009" w:rsidR="00FC67C9" w:rsidRPr="00FB566A" w:rsidRDefault="00FC67C9" w:rsidP="00D516CD">
            <w:pPr>
              <w:ind w:left="-100"/>
              <w:rPr>
                <w:b/>
                <w:sz w:val="16"/>
                <w:szCs w:val="16"/>
                <w:lang w:val="en-GB"/>
              </w:rPr>
            </w:pPr>
            <w:r w:rsidRPr="00FB566A">
              <w:rPr>
                <w:b/>
                <w:sz w:val="16"/>
                <w:szCs w:val="16"/>
                <w:lang w:val="en-GB"/>
              </w:rPr>
              <w:lastRenderedPageBreak/>
              <w:t xml:space="preserve">Output 1.4: Strengthened alignment of strategies and financing of </w:t>
            </w:r>
            <w:r w:rsidR="00ED5FDA">
              <w:rPr>
                <w:b/>
                <w:sz w:val="16"/>
                <w:szCs w:val="16"/>
                <w:lang w:val="en-GB"/>
              </w:rPr>
              <w:t>the Sustainable Development Goals</w:t>
            </w:r>
          </w:p>
          <w:p w14:paraId="56200455" w14:textId="77777777" w:rsidR="00B00282" w:rsidRPr="00FB566A" w:rsidRDefault="00B00282" w:rsidP="00D516CD">
            <w:pPr>
              <w:ind w:left="-100"/>
              <w:rPr>
                <w:b/>
                <w:sz w:val="16"/>
                <w:szCs w:val="16"/>
                <w:lang w:val="en-GB"/>
              </w:rPr>
            </w:pPr>
          </w:p>
          <w:p w14:paraId="11BEA668" w14:textId="77777777" w:rsidR="00FC67C9" w:rsidRPr="00FB566A" w:rsidRDefault="00FC67C9" w:rsidP="00D516CD">
            <w:pPr>
              <w:ind w:left="-100"/>
              <w:rPr>
                <w:b/>
                <w:sz w:val="16"/>
                <w:szCs w:val="16"/>
                <w:lang w:val="en-GB"/>
              </w:rPr>
            </w:pPr>
            <w:r w:rsidRPr="00FB566A">
              <w:rPr>
                <w:b/>
                <w:sz w:val="16"/>
                <w:szCs w:val="16"/>
                <w:lang w:val="en-GB"/>
              </w:rPr>
              <w:t xml:space="preserve">Indicative Indicator (1.1.1.3 IRRF) 1.4.1:  </w:t>
            </w:r>
          </w:p>
          <w:p w14:paraId="5A029DD9" w14:textId="1C59DA32" w:rsidR="00FC67C9" w:rsidRPr="00FB566A" w:rsidRDefault="00FC67C9" w:rsidP="00D516CD">
            <w:pPr>
              <w:ind w:left="-100"/>
              <w:rPr>
                <w:bCs/>
                <w:sz w:val="16"/>
                <w:szCs w:val="16"/>
                <w:lang w:val="en-GB"/>
              </w:rPr>
            </w:pPr>
            <w:r w:rsidRPr="00FB566A">
              <w:rPr>
                <w:bCs/>
                <w:sz w:val="16"/>
                <w:szCs w:val="16"/>
                <w:lang w:val="en-GB"/>
              </w:rPr>
              <w:t>New Development Strategy (</w:t>
            </w:r>
            <w:r w:rsidR="008000B4">
              <w:rPr>
                <w:bCs/>
                <w:sz w:val="16"/>
                <w:szCs w:val="16"/>
                <w:lang w:val="en-GB"/>
              </w:rPr>
              <w:t xml:space="preserve">NDS </w:t>
            </w:r>
            <w:r w:rsidRPr="00FB566A">
              <w:rPr>
                <w:bCs/>
                <w:sz w:val="16"/>
                <w:szCs w:val="16"/>
                <w:lang w:val="en-GB"/>
              </w:rPr>
              <w:t xml:space="preserve">2021-2015) aligned with </w:t>
            </w:r>
            <w:r w:rsidR="005E1732" w:rsidRPr="00FB566A">
              <w:rPr>
                <w:bCs/>
                <w:sz w:val="16"/>
                <w:szCs w:val="16"/>
                <w:lang w:val="en-GB"/>
              </w:rPr>
              <w:t>the Sustainable Development Goals</w:t>
            </w:r>
            <w:r w:rsidRPr="00FB566A">
              <w:rPr>
                <w:bCs/>
                <w:sz w:val="16"/>
                <w:szCs w:val="16"/>
                <w:lang w:val="en-GB"/>
              </w:rPr>
              <w:t xml:space="preserve"> (Pristina)</w:t>
            </w:r>
          </w:p>
          <w:p w14:paraId="316E8545" w14:textId="2CFB57DE" w:rsidR="00FC67C9" w:rsidRPr="00FB566A" w:rsidRDefault="00FC67C9" w:rsidP="00D516CD">
            <w:pPr>
              <w:ind w:left="-100"/>
              <w:rPr>
                <w:bCs/>
                <w:sz w:val="16"/>
                <w:szCs w:val="16"/>
                <w:lang w:val="en-GB"/>
              </w:rPr>
            </w:pPr>
            <w:r w:rsidRPr="00FB566A">
              <w:rPr>
                <w:bCs/>
                <w:sz w:val="16"/>
                <w:szCs w:val="16"/>
                <w:lang w:val="en-GB"/>
              </w:rPr>
              <w:t>Baseline: 0</w:t>
            </w:r>
            <w:r w:rsidR="00ED5FDA">
              <w:rPr>
                <w:bCs/>
                <w:sz w:val="16"/>
                <w:szCs w:val="16"/>
                <w:lang w:val="en-GB"/>
              </w:rPr>
              <w:t xml:space="preserve"> </w:t>
            </w:r>
            <w:r w:rsidR="00ED5FDA" w:rsidRPr="00FB566A">
              <w:rPr>
                <w:bCs/>
                <w:sz w:val="16"/>
                <w:szCs w:val="16"/>
                <w:lang w:val="en-GB"/>
              </w:rPr>
              <w:t>(2020)</w:t>
            </w:r>
          </w:p>
          <w:p w14:paraId="77FB7012" w14:textId="243B3A30" w:rsidR="00FC67C9" w:rsidRPr="00FB566A" w:rsidRDefault="00FC67C9" w:rsidP="00D516CD">
            <w:pPr>
              <w:ind w:left="-100"/>
              <w:rPr>
                <w:bCs/>
                <w:sz w:val="16"/>
                <w:szCs w:val="16"/>
                <w:lang w:val="en-GB"/>
              </w:rPr>
            </w:pPr>
            <w:r w:rsidRPr="00FB566A">
              <w:rPr>
                <w:bCs/>
                <w:sz w:val="16"/>
                <w:szCs w:val="16"/>
                <w:lang w:val="en-GB"/>
              </w:rPr>
              <w:t xml:space="preserve">Target: 50% </w:t>
            </w:r>
            <w:r w:rsidR="00780F78">
              <w:rPr>
                <w:bCs/>
                <w:sz w:val="16"/>
                <w:szCs w:val="16"/>
                <w:lang w:val="en-GB"/>
              </w:rPr>
              <w:t xml:space="preserve">of </w:t>
            </w:r>
            <w:r w:rsidR="008000B4">
              <w:rPr>
                <w:bCs/>
                <w:sz w:val="16"/>
                <w:szCs w:val="16"/>
                <w:lang w:val="en-GB"/>
              </w:rPr>
              <w:t xml:space="preserve">NDS </w:t>
            </w:r>
            <w:r w:rsidR="00780F78">
              <w:rPr>
                <w:bCs/>
                <w:sz w:val="16"/>
                <w:szCs w:val="16"/>
                <w:lang w:val="en-GB"/>
              </w:rPr>
              <w:t xml:space="preserve">indicators aligned with </w:t>
            </w:r>
            <w:r w:rsidR="005157AB">
              <w:rPr>
                <w:bCs/>
                <w:sz w:val="16"/>
                <w:szCs w:val="16"/>
                <w:lang w:val="en-GB"/>
              </w:rPr>
              <w:t>Sustainable Development Goals</w:t>
            </w:r>
            <w:r w:rsidR="00780F78">
              <w:rPr>
                <w:bCs/>
                <w:sz w:val="16"/>
                <w:szCs w:val="16"/>
                <w:lang w:val="en-GB"/>
              </w:rPr>
              <w:t xml:space="preserve"> </w:t>
            </w:r>
            <w:r w:rsidR="004D621A" w:rsidRPr="00FB566A">
              <w:rPr>
                <w:bCs/>
                <w:sz w:val="16"/>
                <w:szCs w:val="16"/>
                <w:lang w:val="en-GB"/>
              </w:rPr>
              <w:t>(2025)</w:t>
            </w:r>
          </w:p>
          <w:p w14:paraId="00E582F5" w14:textId="77777777" w:rsidR="00B00282" w:rsidRPr="00FB566A" w:rsidRDefault="00B00282" w:rsidP="00D516CD">
            <w:pPr>
              <w:ind w:left="-100"/>
              <w:rPr>
                <w:bCs/>
                <w:sz w:val="16"/>
                <w:szCs w:val="16"/>
                <w:lang w:val="en-GB"/>
              </w:rPr>
            </w:pPr>
          </w:p>
          <w:p w14:paraId="27D7620E" w14:textId="77777777" w:rsidR="00FC67C9" w:rsidRPr="00FB566A" w:rsidRDefault="00FC67C9" w:rsidP="00D516CD">
            <w:pPr>
              <w:ind w:left="-100"/>
              <w:rPr>
                <w:b/>
                <w:sz w:val="16"/>
                <w:szCs w:val="16"/>
                <w:lang w:val="en-GB"/>
              </w:rPr>
            </w:pPr>
            <w:r w:rsidRPr="00FB566A">
              <w:rPr>
                <w:b/>
                <w:sz w:val="16"/>
                <w:szCs w:val="16"/>
                <w:lang w:val="en-GB"/>
              </w:rPr>
              <w:t xml:space="preserve">Indicative Indicator (1.1.1.3. IRRF) 1.4.2: </w:t>
            </w:r>
          </w:p>
          <w:p w14:paraId="0CD974E0" w14:textId="3067DB4B" w:rsidR="00FC67C9" w:rsidRPr="00FB566A" w:rsidRDefault="00D142F7" w:rsidP="00D516CD">
            <w:pPr>
              <w:ind w:left="-100"/>
              <w:rPr>
                <w:bCs/>
                <w:sz w:val="16"/>
                <w:szCs w:val="16"/>
                <w:lang w:val="en-GB"/>
              </w:rPr>
            </w:pPr>
            <w:r w:rsidRPr="00FB566A">
              <w:rPr>
                <w:bCs/>
                <w:sz w:val="16"/>
                <w:szCs w:val="16"/>
                <w:lang w:val="en-GB"/>
              </w:rPr>
              <w:t>Number</w:t>
            </w:r>
            <w:r w:rsidR="00FC67C9" w:rsidRPr="00FB566A">
              <w:rPr>
                <w:bCs/>
                <w:sz w:val="16"/>
                <w:szCs w:val="16"/>
                <w:lang w:val="en-GB"/>
              </w:rPr>
              <w:t xml:space="preserve"> of initiatives for advancement of </w:t>
            </w:r>
            <w:r w:rsidRPr="00FB566A">
              <w:rPr>
                <w:bCs/>
                <w:sz w:val="16"/>
                <w:szCs w:val="16"/>
                <w:lang w:val="en-GB"/>
              </w:rPr>
              <w:t>Sustainable Development Goals</w:t>
            </w:r>
            <w:r w:rsidR="00FC67C9" w:rsidRPr="00FB566A">
              <w:rPr>
                <w:bCs/>
                <w:sz w:val="16"/>
                <w:szCs w:val="16"/>
                <w:lang w:val="en-GB"/>
              </w:rPr>
              <w:t xml:space="preserve"> by Council for Sustainable Development (Pristina)</w:t>
            </w:r>
          </w:p>
          <w:p w14:paraId="0D657B49" w14:textId="4020C712" w:rsidR="00FC67C9" w:rsidRPr="00FB566A" w:rsidRDefault="00FC67C9" w:rsidP="00D516CD">
            <w:pPr>
              <w:ind w:left="-100"/>
              <w:rPr>
                <w:bCs/>
                <w:sz w:val="16"/>
                <w:szCs w:val="16"/>
                <w:lang w:val="en-GB"/>
              </w:rPr>
            </w:pPr>
            <w:r w:rsidRPr="00FB566A">
              <w:rPr>
                <w:bCs/>
                <w:sz w:val="16"/>
                <w:szCs w:val="16"/>
                <w:lang w:val="en-GB"/>
              </w:rPr>
              <w:t>Baseline:</w:t>
            </w:r>
            <w:r w:rsidR="004D621A">
              <w:rPr>
                <w:bCs/>
                <w:sz w:val="16"/>
                <w:szCs w:val="16"/>
                <w:lang w:val="en-GB"/>
              </w:rPr>
              <w:t xml:space="preserve"> </w:t>
            </w:r>
            <w:r w:rsidRPr="00FB566A">
              <w:rPr>
                <w:bCs/>
                <w:sz w:val="16"/>
                <w:szCs w:val="16"/>
                <w:lang w:val="en-GB"/>
              </w:rPr>
              <w:t>0</w:t>
            </w:r>
            <w:r w:rsidR="004D621A">
              <w:rPr>
                <w:bCs/>
                <w:sz w:val="16"/>
                <w:szCs w:val="16"/>
                <w:lang w:val="en-GB"/>
              </w:rPr>
              <w:t xml:space="preserve"> </w:t>
            </w:r>
            <w:r w:rsidR="004D621A" w:rsidRPr="00FB566A">
              <w:rPr>
                <w:bCs/>
                <w:sz w:val="16"/>
                <w:szCs w:val="16"/>
                <w:lang w:val="en-GB"/>
              </w:rPr>
              <w:t>(2020)</w:t>
            </w:r>
          </w:p>
          <w:p w14:paraId="0937650F" w14:textId="4481C984" w:rsidR="00FC67C9" w:rsidRPr="00FB566A" w:rsidRDefault="00FC67C9" w:rsidP="00D516CD">
            <w:pPr>
              <w:ind w:left="-100"/>
              <w:rPr>
                <w:bCs/>
                <w:sz w:val="16"/>
                <w:szCs w:val="16"/>
                <w:lang w:val="en-GB"/>
              </w:rPr>
            </w:pPr>
            <w:r w:rsidRPr="00FB566A">
              <w:rPr>
                <w:bCs/>
                <w:sz w:val="16"/>
                <w:szCs w:val="16"/>
                <w:lang w:val="en-GB"/>
              </w:rPr>
              <w:t>Target: 10</w:t>
            </w:r>
            <w:r w:rsidR="004D621A">
              <w:rPr>
                <w:bCs/>
                <w:sz w:val="16"/>
                <w:szCs w:val="16"/>
                <w:lang w:val="en-GB"/>
              </w:rPr>
              <w:t xml:space="preserve"> </w:t>
            </w:r>
            <w:r w:rsidR="004D621A" w:rsidRPr="00FB566A">
              <w:rPr>
                <w:bCs/>
                <w:sz w:val="16"/>
                <w:szCs w:val="16"/>
                <w:lang w:val="en-GB"/>
              </w:rPr>
              <w:t>(2025)</w:t>
            </w:r>
          </w:p>
          <w:p w14:paraId="2D2C9324" w14:textId="71AFAAD5" w:rsidR="00FC67C9" w:rsidRPr="00FB566A" w:rsidRDefault="00FC67C9" w:rsidP="00D516CD">
            <w:pPr>
              <w:ind w:left="-100"/>
              <w:rPr>
                <w:bCs/>
                <w:sz w:val="16"/>
                <w:szCs w:val="16"/>
                <w:lang w:val="en-GB"/>
              </w:rPr>
            </w:pPr>
          </w:p>
        </w:tc>
        <w:tc>
          <w:tcPr>
            <w:tcW w:w="902" w:type="pct"/>
            <w:vMerge w:val="restart"/>
            <w:shd w:val="clear" w:color="auto" w:fill="auto"/>
          </w:tcPr>
          <w:p w14:paraId="3D497CFD" w14:textId="77777777" w:rsidR="00483530" w:rsidRPr="00FB566A" w:rsidRDefault="00483530" w:rsidP="00483530">
            <w:pPr>
              <w:rPr>
                <w:sz w:val="16"/>
                <w:szCs w:val="16"/>
                <w:lang w:val="en-GB"/>
              </w:rPr>
            </w:pPr>
            <w:r w:rsidRPr="00FB566A">
              <w:rPr>
                <w:sz w:val="16"/>
                <w:szCs w:val="16"/>
                <w:lang w:val="en-GB"/>
              </w:rPr>
              <w:lastRenderedPageBreak/>
              <w:t>Kosovo Assembly</w:t>
            </w:r>
          </w:p>
          <w:p w14:paraId="474CD944" w14:textId="77777777" w:rsidR="00483530" w:rsidRPr="00FB566A" w:rsidRDefault="00483530" w:rsidP="00483530">
            <w:pPr>
              <w:rPr>
                <w:sz w:val="16"/>
                <w:szCs w:val="16"/>
                <w:lang w:val="en-GB"/>
              </w:rPr>
            </w:pPr>
            <w:r w:rsidRPr="00FB566A">
              <w:rPr>
                <w:sz w:val="16"/>
                <w:szCs w:val="16"/>
                <w:lang w:val="en-GB"/>
              </w:rPr>
              <w:t>Office of the Prime Minister</w:t>
            </w:r>
          </w:p>
          <w:p w14:paraId="6A37D9FF" w14:textId="609EB93C" w:rsidR="00483530" w:rsidRPr="00FB566A" w:rsidRDefault="00483530" w:rsidP="00483530">
            <w:pPr>
              <w:rPr>
                <w:sz w:val="16"/>
                <w:szCs w:val="16"/>
                <w:lang w:val="en-GB"/>
              </w:rPr>
            </w:pPr>
            <w:r w:rsidRPr="00FB566A">
              <w:rPr>
                <w:sz w:val="16"/>
                <w:szCs w:val="16"/>
                <w:lang w:val="en-GB"/>
              </w:rPr>
              <w:t>Ministry of Justice</w:t>
            </w:r>
            <w:r w:rsidR="005E1732" w:rsidRPr="00FB566A">
              <w:rPr>
                <w:sz w:val="16"/>
                <w:szCs w:val="16"/>
                <w:lang w:val="en-GB"/>
              </w:rPr>
              <w:t xml:space="preserve"> (MoJ)</w:t>
            </w:r>
          </w:p>
          <w:p w14:paraId="7BB2F2BC" w14:textId="056DBBB1" w:rsidR="00483530" w:rsidRPr="00FB566A" w:rsidRDefault="00483530" w:rsidP="00483530">
            <w:pPr>
              <w:rPr>
                <w:sz w:val="16"/>
                <w:szCs w:val="16"/>
                <w:lang w:val="en-GB"/>
              </w:rPr>
            </w:pPr>
            <w:r w:rsidRPr="00FB566A">
              <w:rPr>
                <w:sz w:val="16"/>
                <w:szCs w:val="16"/>
                <w:lang w:val="en-GB"/>
              </w:rPr>
              <w:t xml:space="preserve">Ministry of Internal Affairs </w:t>
            </w:r>
            <w:r w:rsidR="005E1732" w:rsidRPr="00FB566A">
              <w:rPr>
                <w:sz w:val="16"/>
                <w:szCs w:val="16"/>
                <w:lang w:val="en-GB"/>
              </w:rPr>
              <w:t>(MIA)</w:t>
            </w:r>
          </w:p>
          <w:p w14:paraId="1B17141B" w14:textId="77777777" w:rsidR="00483530" w:rsidRPr="00FB566A" w:rsidRDefault="00483530" w:rsidP="00483530">
            <w:pPr>
              <w:rPr>
                <w:sz w:val="16"/>
                <w:szCs w:val="16"/>
                <w:lang w:val="en-GB"/>
              </w:rPr>
            </w:pPr>
            <w:r w:rsidRPr="00FB566A">
              <w:rPr>
                <w:sz w:val="16"/>
                <w:szCs w:val="16"/>
                <w:lang w:val="en-GB"/>
              </w:rPr>
              <w:t>Agency for Free Legal Aid</w:t>
            </w:r>
          </w:p>
          <w:p w14:paraId="5F6B0262" w14:textId="77777777" w:rsidR="00483530" w:rsidRPr="00FB566A" w:rsidRDefault="00483530" w:rsidP="00483530">
            <w:pPr>
              <w:rPr>
                <w:sz w:val="16"/>
                <w:szCs w:val="16"/>
                <w:lang w:val="en-GB"/>
              </w:rPr>
            </w:pPr>
            <w:r w:rsidRPr="00FB566A">
              <w:rPr>
                <w:sz w:val="16"/>
                <w:szCs w:val="16"/>
                <w:lang w:val="en-GB"/>
              </w:rPr>
              <w:t>Mediation Commission</w:t>
            </w:r>
          </w:p>
          <w:p w14:paraId="27475ABF" w14:textId="77777777" w:rsidR="00483530" w:rsidRPr="00FB566A" w:rsidRDefault="00483530" w:rsidP="00483530">
            <w:pPr>
              <w:rPr>
                <w:sz w:val="16"/>
                <w:szCs w:val="16"/>
                <w:lang w:val="en-GB"/>
              </w:rPr>
            </w:pPr>
            <w:r w:rsidRPr="00FB566A">
              <w:rPr>
                <w:sz w:val="16"/>
                <w:szCs w:val="16"/>
                <w:lang w:val="en-GB"/>
              </w:rPr>
              <w:t>Kosovo Judicial Council</w:t>
            </w:r>
          </w:p>
          <w:p w14:paraId="77710F80" w14:textId="77777777" w:rsidR="00483530" w:rsidRPr="00FB566A" w:rsidRDefault="00483530" w:rsidP="00483530">
            <w:pPr>
              <w:rPr>
                <w:sz w:val="16"/>
                <w:szCs w:val="16"/>
                <w:lang w:val="en-GB"/>
              </w:rPr>
            </w:pPr>
            <w:r w:rsidRPr="00FB566A">
              <w:rPr>
                <w:sz w:val="16"/>
                <w:szCs w:val="16"/>
                <w:lang w:val="en-GB"/>
              </w:rPr>
              <w:t>Kosovo Prosecutorial Council</w:t>
            </w:r>
          </w:p>
          <w:p w14:paraId="476C9198" w14:textId="77777777" w:rsidR="00483530" w:rsidRPr="00FB566A" w:rsidRDefault="00483530" w:rsidP="00483530">
            <w:pPr>
              <w:rPr>
                <w:sz w:val="16"/>
                <w:szCs w:val="16"/>
                <w:lang w:val="en-GB"/>
              </w:rPr>
            </w:pPr>
            <w:r w:rsidRPr="00FB566A">
              <w:rPr>
                <w:sz w:val="16"/>
                <w:szCs w:val="16"/>
                <w:lang w:val="en-GB"/>
              </w:rPr>
              <w:t xml:space="preserve">Agency for Anti-corruption </w:t>
            </w:r>
          </w:p>
          <w:p w14:paraId="2B1A43DE" w14:textId="77777777" w:rsidR="00483530" w:rsidRPr="00FB566A" w:rsidRDefault="00483530" w:rsidP="00483530">
            <w:pPr>
              <w:rPr>
                <w:sz w:val="16"/>
                <w:szCs w:val="16"/>
                <w:lang w:val="en-GB"/>
              </w:rPr>
            </w:pPr>
            <w:r w:rsidRPr="00FB566A">
              <w:rPr>
                <w:sz w:val="16"/>
                <w:szCs w:val="16"/>
                <w:lang w:val="en-GB"/>
              </w:rPr>
              <w:t>Ministry of Local Government Administration</w:t>
            </w:r>
          </w:p>
          <w:p w14:paraId="29AA78B6" w14:textId="77777777" w:rsidR="00483530" w:rsidRPr="00FB566A" w:rsidRDefault="00483530" w:rsidP="00483530">
            <w:pPr>
              <w:rPr>
                <w:sz w:val="16"/>
                <w:szCs w:val="16"/>
                <w:lang w:val="en-GB"/>
              </w:rPr>
            </w:pPr>
            <w:r w:rsidRPr="00FB566A">
              <w:rPr>
                <w:sz w:val="16"/>
                <w:szCs w:val="16"/>
                <w:lang w:val="en-GB"/>
              </w:rPr>
              <w:t xml:space="preserve">Municipalities </w:t>
            </w:r>
          </w:p>
          <w:p w14:paraId="0BE5A886" w14:textId="77777777" w:rsidR="00483530" w:rsidRPr="00FB566A" w:rsidRDefault="00483530" w:rsidP="00483530">
            <w:pPr>
              <w:rPr>
                <w:sz w:val="16"/>
                <w:szCs w:val="16"/>
                <w:lang w:val="en-GB"/>
              </w:rPr>
            </w:pPr>
            <w:r w:rsidRPr="00FB566A">
              <w:rPr>
                <w:sz w:val="16"/>
                <w:szCs w:val="16"/>
                <w:lang w:val="en-GB"/>
              </w:rPr>
              <w:t>Kosovo Police</w:t>
            </w:r>
          </w:p>
          <w:p w14:paraId="047EDE52" w14:textId="0A57570D" w:rsidR="00483530" w:rsidRPr="00FB566A" w:rsidRDefault="005E1732" w:rsidP="00483530">
            <w:pPr>
              <w:rPr>
                <w:sz w:val="16"/>
                <w:szCs w:val="16"/>
                <w:lang w:val="en-GB"/>
              </w:rPr>
            </w:pPr>
            <w:r w:rsidRPr="00FB566A">
              <w:rPr>
                <w:sz w:val="16"/>
                <w:szCs w:val="16"/>
                <w:lang w:val="en-GB"/>
              </w:rPr>
              <w:t>Civil society organi</w:t>
            </w:r>
            <w:r w:rsidR="00375951">
              <w:rPr>
                <w:sz w:val="16"/>
                <w:szCs w:val="16"/>
                <w:lang w:val="en-GB"/>
              </w:rPr>
              <w:t>z</w:t>
            </w:r>
            <w:r w:rsidRPr="00FB566A">
              <w:rPr>
                <w:sz w:val="16"/>
                <w:szCs w:val="16"/>
                <w:lang w:val="en-GB"/>
              </w:rPr>
              <w:t xml:space="preserve">ations </w:t>
            </w:r>
          </w:p>
          <w:p w14:paraId="1223A7C3" w14:textId="77777777" w:rsidR="00483530" w:rsidRPr="00FB566A" w:rsidRDefault="00483530" w:rsidP="00483530">
            <w:pPr>
              <w:rPr>
                <w:sz w:val="16"/>
                <w:szCs w:val="16"/>
                <w:lang w:val="en-GB"/>
              </w:rPr>
            </w:pPr>
            <w:r w:rsidRPr="00FB566A">
              <w:rPr>
                <w:sz w:val="16"/>
                <w:szCs w:val="16"/>
                <w:lang w:val="en-GB"/>
              </w:rPr>
              <w:t>Academia</w:t>
            </w:r>
          </w:p>
          <w:p w14:paraId="7CE7B19D" w14:textId="621160FE" w:rsidR="00483530" w:rsidRPr="00FB566A" w:rsidRDefault="00595132" w:rsidP="00483530">
            <w:pPr>
              <w:rPr>
                <w:sz w:val="16"/>
                <w:szCs w:val="16"/>
                <w:lang w:val="en-GB"/>
              </w:rPr>
            </w:pPr>
            <w:r w:rsidRPr="00FB566A">
              <w:rPr>
                <w:sz w:val="16"/>
                <w:szCs w:val="16"/>
                <w:lang w:val="en-GB"/>
              </w:rPr>
              <w:t>United Nations Office on Drugs and Crime</w:t>
            </w:r>
          </w:p>
          <w:p w14:paraId="072187DE" w14:textId="40FF95A1" w:rsidR="00FC67C9" w:rsidRPr="00FB566A" w:rsidRDefault="00595132" w:rsidP="00483530">
            <w:pPr>
              <w:rPr>
                <w:sz w:val="16"/>
                <w:szCs w:val="16"/>
                <w:lang w:val="en-GB"/>
              </w:rPr>
            </w:pPr>
            <w:r w:rsidRPr="00FB566A">
              <w:rPr>
                <w:sz w:val="16"/>
                <w:szCs w:val="16"/>
                <w:lang w:val="en-GB"/>
              </w:rPr>
              <w:t>United Nations Children's Fund (UNICEF)</w:t>
            </w:r>
          </w:p>
        </w:tc>
        <w:tc>
          <w:tcPr>
            <w:tcW w:w="534" w:type="pct"/>
            <w:shd w:val="clear" w:color="auto" w:fill="auto"/>
            <w:tcMar>
              <w:top w:w="15" w:type="dxa"/>
              <w:left w:w="108" w:type="dxa"/>
              <w:bottom w:w="0" w:type="dxa"/>
              <w:right w:w="108" w:type="dxa"/>
            </w:tcMar>
          </w:tcPr>
          <w:p w14:paraId="2F0AE4A9" w14:textId="41013653" w:rsidR="000939E6" w:rsidRDefault="00FC67C9" w:rsidP="00D516CD">
            <w:pPr>
              <w:rPr>
                <w:b/>
                <w:sz w:val="16"/>
                <w:szCs w:val="16"/>
              </w:rPr>
            </w:pPr>
            <w:r w:rsidRPr="00FB566A">
              <w:rPr>
                <w:b/>
                <w:sz w:val="16"/>
                <w:szCs w:val="16"/>
              </w:rPr>
              <w:t>Regula</w:t>
            </w:r>
            <w:r w:rsidR="001323D2">
              <w:rPr>
                <w:b/>
                <w:sz w:val="16"/>
                <w:szCs w:val="16"/>
              </w:rPr>
              <w:t>r</w:t>
            </w:r>
          </w:p>
          <w:p w14:paraId="5FCC5D38" w14:textId="668DE52D" w:rsidR="00FC67C9" w:rsidRPr="000939E6" w:rsidRDefault="001323D2" w:rsidP="00D516CD">
            <w:pPr>
              <w:rPr>
                <w:b/>
                <w:sz w:val="16"/>
                <w:szCs w:val="16"/>
              </w:rPr>
            </w:pPr>
            <w:r>
              <w:rPr>
                <w:b/>
                <w:bCs/>
                <w:sz w:val="16"/>
                <w:szCs w:val="16"/>
              </w:rPr>
              <w:t>4</w:t>
            </w:r>
            <w:r w:rsidR="00FC67C9" w:rsidRPr="00FB566A">
              <w:rPr>
                <w:b/>
                <w:bCs/>
                <w:sz w:val="16"/>
                <w:szCs w:val="16"/>
              </w:rPr>
              <w:t>194,000</w:t>
            </w:r>
          </w:p>
          <w:p w14:paraId="3E21168B" w14:textId="77777777" w:rsidR="00FC67C9" w:rsidRPr="00FB566A" w:rsidRDefault="00FC67C9" w:rsidP="00D516CD">
            <w:pPr>
              <w:rPr>
                <w:b/>
                <w:sz w:val="16"/>
                <w:szCs w:val="16"/>
              </w:rPr>
            </w:pPr>
          </w:p>
        </w:tc>
      </w:tr>
      <w:tr w:rsidR="00FC67C9" w:rsidRPr="00FB566A" w14:paraId="11A0B548" w14:textId="77777777" w:rsidTr="00FB566A">
        <w:tc>
          <w:tcPr>
            <w:tcW w:w="1102" w:type="pct"/>
            <w:vMerge/>
            <w:shd w:val="clear" w:color="auto" w:fill="auto"/>
            <w:tcMar>
              <w:top w:w="72" w:type="dxa"/>
              <w:left w:w="144" w:type="dxa"/>
              <w:bottom w:w="72" w:type="dxa"/>
              <w:right w:w="144" w:type="dxa"/>
            </w:tcMar>
          </w:tcPr>
          <w:p w14:paraId="1584AF5D" w14:textId="77777777" w:rsidR="00FC67C9" w:rsidRPr="00FB566A" w:rsidRDefault="00FC67C9" w:rsidP="00D516CD">
            <w:pPr>
              <w:rPr>
                <w:sz w:val="16"/>
                <w:szCs w:val="16"/>
                <w:lang w:val="en-GB"/>
              </w:rPr>
            </w:pPr>
          </w:p>
        </w:tc>
        <w:tc>
          <w:tcPr>
            <w:tcW w:w="1094" w:type="pct"/>
            <w:vMerge/>
            <w:shd w:val="clear" w:color="auto" w:fill="auto"/>
          </w:tcPr>
          <w:p w14:paraId="1E485116" w14:textId="77777777" w:rsidR="00FC67C9" w:rsidRPr="00FB566A" w:rsidRDefault="00FC67C9" w:rsidP="00D516CD">
            <w:pPr>
              <w:rPr>
                <w:sz w:val="16"/>
                <w:szCs w:val="16"/>
                <w:lang w:val="en-GB"/>
              </w:rPr>
            </w:pPr>
          </w:p>
        </w:tc>
        <w:tc>
          <w:tcPr>
            <w:tcW w:w="1368" w:type="pct"/>
            <w:vMerge/>
            <w:shd w:val="clear" w:color="auto" w:fill="auto"/>
            <w:tcMar>
              <w:top w:w="72" w:type="dxa"/>
              <w:left w:w="144" w:type="dxa"/>
              <w:bottom w:w="72" w:type="dxa"/>
              <w:right w:w="144" w:type="dxa"/>
            </w:tcMar>
          </w:tcPr>
          <w:p w14:paraId="575B8BB6" w14:textId="77777777" w:rsidR="00FC67C9" w:rsidRPr="00FB566A" w:rsidRDefault="00FC67C9" w:rsidP="00D516CD">
            <w:pPr>
              <w:rPr>
                <w:sz w:val="16"/>
                <w:szCs w:val="16"/>
                <w:lang w:val="en-GB"/>
              </w:rPr>
            </w:pPr>
          </w:p>
        </w:tc>
        <w:tc>
          <w:tcPr>
            <w:tcW w:w="902" w:type="pct"/>
            <w:vMerge/>
            <w:shd w:val="clear" w:color="auto" w:fill="auto"/>
          </w:tcPr>
          <w:p w14:paraId="6E0BB356" w14:textId="77777777" w:rsidR="00FC67C9" w:rsidRPr="00FB566A" w:rsidRDefault="00FC67C9" w:rsidP="00D516CD">
            <w:pPr>
              <w:rPr>
                <w:sz w:val="16"/>
                <w:szCs w:val="16"/>
                <w:lang w:val="en-GB"/>
              </w:rPr>
            </w:pPr>
          </w:p>
        </w:tc>
        <w:tc>
          <w:tcPr>
            <w:tcW w:w="534" w:type="pct"/>
            <w:shd w:val="clear" w:color="auto" w:fill="auto"/>
            <w:tcMar>
              <w:top w:w="15" w:type="dxa"/>
              <w:left w:w="108" w:type="dxa"/>
              <w:bottom w:w="0" w:type="dxa"/>
              <w:right w:w="108" w:type="dxa"/>
            </w:tcMar>
          </w:tcPr>
          <w:p w14:paraId="51EBCB80" w14:textId="77777777" w:rsidR="00FC67C9" w:rsidRPr="00FB566A" w:rsidRDefault="00FC67C9" w:rsidP="00D516CD">
            <w:pPr>
              <w:rPr>
                <w:b/>
                <w:sz w:val="16"/>
                <w:szCs w:val="16"/>
              </w:rPr>
            </w:pPr>
            <w:r w:rsidRPr="00FB566A">
              <w:rPr>
                <w:b/>
                <w:sz w:val="16"/>
                <w:szCs w:val="16"/>
              </w:rPr>
              <w:t>Other</w:t>
            </w:r>
          </w:p>
          <w:p w14:paraId="5DEABEA5" w14:textId="6C9DEDAD" w:rsidR="00FC67C9" w:rsidRPr="00FB566A" w:rsidRDefault="001323D2" w:rsidP="00D516CD">
            <w:pPr>
              <w:rPr>
                <w:b/>
                <w:sz w:val="16"/>
                <w:szCs w:val="16"/>
              </w:rPr>
            </w:pPr>
            <w:r>
              <w:rPr>
                <w:b/>
                <w:bCs/>
                <w:sz w:val="16"/>
                <w:szCs w:val="16"/>
              </w:rPr>
              <w:t>$</w:t>
            </w:r>
            <w:r w:rsidR="00FC67C9" w:rsidRPr="00FB566A">
              <w:rPr>
                <w:b/>
                <w:bCs/>
                <w:sz w:val="16"/>
                <w:szCs w:val="16"/>
              </w:rPr>
              <w:t>18,892,000</w:t>
            </w:r>
          </w:p>
        </w:tc>
      </w:tr>
      <w:bookmarkEnd w:id="3"/>
      <w:tr w:rsidR="00FC67C9" w:rsidRPr="00FB566A" w14:paraId="7FE61379" w14:textId="77777777" w:rsidTr="00FB566A">
        <w:tc>
          <w:tcPr>
            <w:tcW w:w="5000" w:type="pct"/>
            <w:gridSpan w:val="5"/>
            <w:shd w:val="clear" w:color="auto" w:fill="auto"/>
            <w:tcMar>
              <w:top w:w="72" w:type="dxa"/>
              <w:left w:w="144" w:type="dxa"/>
              <w:bottom w:w="72" w:type="dxa"/>
              <w:right w:w="144" w:type="dxa"/>
            </w:tcMar>
          </w:tcPr>
          <w:p w14:paraId="5D574FDD" w14:textId="5F4C98C9" w:rsidR="00FC67C9" w:rsidRPr="00FB566A" w:rsidRDefault="00FC67C9" w:rsidP="00D516CD">
            <w:pPr>
              <w:rPr>
                <w:b/>
                <w:bCs/>
                <w:sz w:val="16"/>
                <w:szCs w:val="16"/>
                <w:lang w:val="en-GB"/>
              </w:rPr>
            </w:pPr>
            <w:r w:rsidRPr="00FB566A">
              <w:rPr>
                <w:b/>
                <w:bCs/>
                <w:sz w:val="16"/>
                <w:szCs w:val="16"/>
                <w:lang w:val="en-GB"/>
              </w:rPr>
              <w:lastRenderedPageBreak/>
              <w:t>PRIORITY OR GOAL: Transition towards low-emission and sustainable development (Climate change strategy 2019- 2028)</w:t>
            </w:r>
          </w:p>
          <w:p w14:paraId="3BB75051" w14:textId="0290FAC3" w:rsidR="003D6D30" w:rsidRPr="00FB566A" w:rsidRDefault="00FC67C9" w:rsidP="00D516CD">
            <w:pPr>
              <w:rPr>
                <w:b/>
                <w:bCs/>
                <w:sz w:val="16"/>
                <w:szCs w:val="16"/>
                <w:lang w:val="en-GB"/>
              </w:rPr>
            </w:pPr>
            <w:r w:rsidRPr="00FB566A">
              <w:rPr>
                <w:b/>
                <w:bCs/>
                <w:sz w:val="16"/>
                <w:szCs w:val="16"/>
                <w:lang w:val="en-GB"/>
              </w:rPr>
              <w:t>Increased employment and improved employability for young people (Sector Strategy and the Action Plan Youth Employment 2018-2022); Creation of safe and resilient communities from disasters (Disaster Risk Reduction strategy 2016- 2020)</w:t>
            </w:r>
          </w:p>
          <w:p w14:paraId="00B376ED" w14:textId="327A5317" w:rsidR="00FC67C9" w:rsidRPr="00FB566A" w:rsidRDefault="004D621A" w:rsidP="00D516CD">
            <w:pPr>
              <w:rPr>
                <w:b/>
                <w:bCs/>
                <w:sz w:val="16"/>
                <w:szCs w:val="16"/>
                <w:lang w:val="en-GB"/>
              </w:rPr>
            </w:pPr>
            <w:r>
              <w:rPr>
                <w:b/>
                <w:bCs/>
                <w:sz w:val="16"/>
                <w:szCs w:val="16"/>
                <w:lang w:val="en-GB"/>
              </w:rPr>
              <w:t>Sustainable Development Goal</w:t>
            </w:r>
            <w:r w:rsidR="00FC67C9" w:rsidRPr="00FB566A">
              <w:rPr>
                <w:b/>
                <w:bCs/>
                <w:sz w:val="16"/>
                <w:szCs w:val="16"/>
                <w:lang w:val="en-GB"/>
              </w:rPr>
              <w:t xml:space="preserve"> 1:  End poverty in all its forms everywhere; </w:t>
            </w:r>
            <w:r>
              <w:rPr>
                <w:b/>
                <w:bCs/>
                <w:sz w:val="16"/>
                <w:szCs w:val="16"/>
                <w:lang w:val="en-GB"/>
              </w:rPr>
              <w:t>Goal</w:t>
            </w:r>
            <w:r w:rsidR="00FC67C9" w:rsidRPr="00FB566A">
              <w:rPr>
                <w:b/>
                <w:bCs/>
                <w:sz w:val="16"/>
                <w:szCs w:val="16"/>
                <w:lang w:val="en-GB"/>
              </w:rPr>
              <w:t xml:space="preserve"> 5: Achieve gender equality and empower all women and girls; </w:t>
            </w:r>
            <w:r>
              <w:rPr>
                <w:b/>
                <w:bCs/>
                <w:sz w:val="16"/>
                <w:szCs w:val="16"/>
                <w:lang w:val="en-GB"/>
              </w:rPr>
              <w:t>Goal</w:t>
            </w:r>
            <w:r w:rsidRPr="00FB566A">
              <w:rPr>
                <w:b/>
                <w:bCs/>
                <w:sz w:val="16"/>
                <w:szCs w:val="16"/>
                <w:lang w:val="en-GB"/>
              </w:rPr>
              <w:t xml:space="preserve"> </w:t>
            </w:r>
            <w:r w:rsidR="00FC67C9" w:rsidRPr="00FB566A">
              <w:rPr>
                <w:b/>
                <w:bCs/>
                <w:sz w:val="16"/>
                <w:szCs w:val="16"/>
                <w:lang w:val="en-GB"/>
              </w:rPr>
              <w:t xml:space="preserve">8: Decent work and economic growth; </w:t>
            </w:r>
            <w:r>
              <w:rPr>
                <w:b/>
                <w:bCs/>
                <w:sz w:val="16"/>
                <w:szCs w:val="16"/>
                <w:lang w:val="en-GB"/>
              </w:rPr>
              <w:t>Goal</w:t>
            </w:r>
            <w:r w:rsidRPr="00FB566A">
              <w:rPr>
                <w:b/>
                <w:bCs/>
                <w:sz w:val="16"/>
                <w:szCs w:val="16"/>
                <w:lang w:val="en-GB"/>
              </w:rPr>
              <w:t xml:space="preserve"> </w:t>
            </w:r>
            <w:r w:rsidR="00FC67C9" w:rsidRPr="00FB566A">
              <w:rPr>
                <w:b/>
                <w:bCs/>
                <w:sz w:val="16"/>
                <w:szCs w:val="16"/>
                <w:lang w:val="en-GB"/>
              </w:rPr>
              <w:t xml:space="preserve">11:  Sustainable cities and communities; </w:t>
            </w:r>
            <w:r>
              <w:rPr>
                <w:b/>
                <w:bCs/>
                <w:sz w:val="16"/>
                <w:szCs w:val="16"/>
                <w:lang w:val="en-GB"/>
              </w:rPr>
              <w:t>Goal</w:t>
            </w:r>
            <w:r w:rsidRPr="00FB566A">
              <w:rPr>
                <w:b/>
                <w:bCs/>
                <w:sz w:val="16"/>
                <w:szCs w:val="16"/>
                <w:lang w:val="en-GB"/>
              </w:rPr>
              <w:t xml:space="preserve"> </w:t>
            </w:r>
            <w:r w:rsidR="00FC67C9" w:rsidRPr="00FB566A">
              <w:rPr>
                <w:b/>
                <w:bCs/>
                <w:sz w:val="16"/>
                <w:szCs w:val="16"/>
                <w:lang w:val="en-GB"/>
              </w:rPr>
              <w:t>13: Climate action; Goal 16: Peace, justice and strong institutions</w:t>
            </w:r>
          </w:p>
        </w:tc>
      </w:tr>
      <w:tr w:rsidR="00FC67C9" w:rsidRPr="00FB566A" w14:paraId="07627AE5" w14:textId="77777777" w:rsidTr="00FB566A">
        <w:tc>
          <w:tcPr>
            <w:tcW w:w="5000" w:type="pct"/>
            <w:gridSpan w:val="5"/>
            <w:shd w:val="clear" w:color="auto" w:fill="auto"/>
            <w:tcMar>
              <w:top w:w="72" w:type="dxa"/>
              <w:left w:w="144" w:type="dxa"/>
              <w:bottom w:w="72" w:type="dxa"/>
              <w:right w:w="144" w:type="dxa"/>
            </w:tcMar>
          </w:tcPr>
          <w:p w14:paraId="3885FDB2" w14:textId="77777777" w:rsidR="00FC67C9" w:rsidRPr="00FB566A" w:rsidRDefault="00FC67C9" w:rsidP="00D516CD">
            <w:pPr>
              <w:rPr>
                <w:b/>
                <w:bCs/>
                <w:sz w:val="16"/>
                <w:szCs w:val="16"/>
              </w:rPr>
            </w:pPr>
            <w:r w:rsidRPr="00FB566A">
              <w:rPr>
                <w:b/>
                <w:bCs/>
                <w:sz w:val="16"/>
                <w:szCs w:val="16"/>
                <w:lang w:val="en-GB"/>
              </w:rPr>
              <w:t xml:space="preserve">COOPERATION FRAMEWORK (OR EQUIVALENT) OUTCOME INVOLVING UNDP # 3: </w:t>
            </w:r>
            <w:r w:rsidRPr="00FB566A">
              <w:rPr>
                <w:b/>
                <w:bCs/>
                <w:sz w:val="16"/>
                <w:szCs w:val="16"/>
              </w:rPr>
              <w:t>By 2025, women and men in Kosovo, particularly youth and vulnerable groups, have increased access to decent work and benefit from sustainable and inclusive economic development that is more resilient to impacts of climate change, disasters and emergencies.  </w:t>
            </w:r>
          </w:p>
        </w:tc>
      </w:tr>
      <w:tr w:rsidR="00FC67C9" w:rsidRPr="00FB566A" w14:paraId="7E7E3589" w14:textId="77777777" w:rsidTr="00FB566A">
        <w:tc>
          <w:tcPr>
            <w:tcW w:w="5000" w:type="pct"/>
            <w:gridSpan w:val="5"/>
            <w:shd w:val="clear" w:color="auto" w:fill="auto"/>
            <w:tcMar>
              <w:top w:w="72" w:type="dxa"/>
              <w:left w:w="144" w:type="dxa"/>
              <w:bottom w:w="72" w:type="dxa"/>
              <w:right w:w="144" w:type="dxa"/>
            </w:tcMar>
          </w:tcPr>
          <w:p w14:paraId="681165E0" w14:textId="3DC1A982" w:rsidR="00FC67C9" w:rsidRPr="00FB566A" w:rsidRDefault="00FC67C9" w:rsidP="00D516CD">
            <w:pPr>
              <w:rPr>
                <w:b/>
                <w:bCs/>
                <w:sz w:val="16"/>
                <w:szCs w:val="16"/>
                <w:lang w:val="en-GB"/>
              </w:rPr>
            </w:pPr>
            <w:r w:rsidRPr="00FB566A">
              <w:rPr>
                <w:b/>
                <w:bCs/>
                <w:sz w:val="16"/>
                <w:szCs w:val="16"/>
                <w:lang w:val="en-GB"/>
              </w:rPr>
              <w:t>RELATED STRATEGIC PLAN OUTCOME</w:t>
            </w:r>
            <w:r w:rsidR="00E63AD1" w:rsidRPr="00FB566A">
              <w:rPr>
                <w:b/>
                <w:bCs/>
                <w:sz w:val="16"/>
                <w:szCs w:val="16"/>
                <w:lang w:val="en-GB"/>
              </w:rPr>
              <w:t xml:space="preserve"> </w:t>
            </w:r>
            <w:r w:rsidR="000F23C3" w:rsidRPr="00FB566A">
              <w:rPr>
                <w:b/>
                <w:bCs/>
                <w:sz w:val="16"/>
                <w:szCs w:val="16"/>
                <w:lang w:val="en-GB"/>
              </w:rPr>
              <w:t>3: Build resilience to shocks and crises</w:t>
            </w:r>
          </w:p>
        </w:tc>
      </w:tr>
      <w:tr w:rsidR="00FC67C9" w:rsidRPr="00FB566A" w14:paraId="5A0B46EC" w14:textId="77777777" w:rsidTr="00FB566A">
        <w:tc>
          <w:tcPr>
            <w:tcW w:w="1102" w:type="pct"/>
            <w:shd w:val="clear" w:color="auto" w:fill="auto"/>
            <w:tcMar>
              <w:top w:w="72" w:type="dxa"/>
              <w:left w:w="144" w:type="dxa"/>
              <w:bottom w:w="72" w:type="dxa"/>
              <w:right w:w="144" w:type="dxa"/>
            </w:tcMar>
            <w:vAlign w:val="center"/>
          </w:tcPr>
          <w:p w14:paraId="1331016C" w14:textId="77777777" w:rsidR="00FC67C9" w:rsidRPr="00FB566A" w:rsidRDefault="00FC67C9" w:rsidP="00D516CD">
            <w:pPr>
              <w:rPr>
                <w:sz w:val="16"/>
                <w:szCs w:val="16"/>
                <w:lang w:val="en-GB"/>
              </w:rPr>
            </w:pPr>
            <w:r w:rsidRPr="00FB566A">
              <w:rPr>
                <w:sz w:val="16"/>
                <w:szCs w:val="16"/>
                <w:lang w:val="en-GB"/>
              </w:rPr>
              <w:t>Indicator 1: Proportion of youth (aged 15–24 years) not in education, employment or training</w:t>
            </w:r>
          </w:p>
          <w:p w14:paraId="15B9DC8F" w14:textId="371913AD" w:rsidR="004D621A" w:rsidRDefault="00FC67C9" w:rsidP="00D516CD">
            <w:pPr>
              <w:rPr>
                <w:sz w:val="16"/>
                <w:szCs w:val="16"/>
                <w:lang w:val="en-GB"/>
              </w:rPr>
            </w:pPr>
            <w:r w:rsidRPr="00FB566A">
              <w:rPr>
                <w:sz w:val="16"/>
                <w:szCs w:val="16"/>
                <w:lang w:val="en-GB"/>
              </w:rPr>
              <w:t xml:space="preserve"> Baseline: 31.7 % </w:t>
            </w:r>
          </w:p>
          <w:p w14:paraId="5A104208" w14:textId="4AA1DD3B" w:rsidR="00FC67C9" w:rsidRPr="00FB566A" w:rsidRDefault="00FC67C9" w:rsidP="00D516CD">
            <w:pPr>
              <w:rPr>
                <w:sz w:val="16"/>
                <w:szCs w:val="16"/>
                <w:lang w:val="en-GB"/>
              </w:rPr>
            </w:pPr>
            <w:r w:rsidRPr="00FB566A">
              <w:rPr>
                <w:sz w:val="16"/>
                <w:szCs w:val="16"/>
                <w:lang w:val="en-GB"/>
              </w:rPr>
              <w:t>(</w:t>
            </w:r>
            <w:r w:rsidR="004D621A">
              <w:rPr>
                <w:sz w:val="16"/>
                <w:szCs w:val="16"/>
                <w:lang w:val="en-GB"/>
              </w:rPr>
              <w:t xml:space="preserve">Females: </w:t>
            </w:r>
            <w:r w:rsidRPr="00FB566A">
              <w:rPr>
                <w:sz w:val="16"/>
                <w:szCs w:val="16"/>
                <w:lang w:val="en-GB"/>
              </w:rPr>
              <w:t>33.8 %</w:t>
            </w:r>
            <w:r w:rsidR="004D621A">
              <w:rPr>
                <w:sz w:val="16"/>
                <w:szCs w:val="16"/>
                <w:lang w:val="en-GB"/>
              </w:rPr>
              <w:t>; Males:</w:t>
            </w:r>
            <w:r w:rsidRPr="00FB566A">
              <w:rPr>
                <w:sz w:val="16"/>
                <w:szCs w:val="16"/>
                <w:lang w:val="en-GB"/>
              </w:rPr>
              <w:t xml:space="preserve"> 29.7 %</w:t>
            </w:r>
            <w:r w:rsidR="004D621A">
              <w:rPr>
                <w:sz w:val="16"/>
                <w:szCs w:val="16"/>
                <w:lang w:val="en-GB"/>
              </w:rPr>
              <w:t>)</w:t>
            </w:r>
            <w:r w:rsidRPr="00FB566A">
              <w:rPr>
                <w:sz w:val="16"/>
                <w:szCs w:val="16"/>
                <w:lang w:val="en-GB"/>
              </w:rPr>
              <w:t xml:space="preserve"> </w:t>
            </w:r>
            <w:r w:rsidR="004D621A" w:rsidRPr="00FB566A">
              <w:rPr>
                <w:sz w:val="16"/>
                <w:szCs w:val="16"/>
                <w:lang w:val="en-GB"/>
              </w:rPr>
              <w:t>(2019)</w:t>
            </w:r>
          </w:p>
          <w:p w14:paraId="7A223A28" w14:textId="77777777" w:rsidR="004D621A" w:rsidRDefault="004D621A" w:rsidP="00D516CD">
            <w:pPr>
              <w:rPr>
                <w:sz w:val="16"/>
                <w:szCs w:val="16"/>
                <w:lang w:val="en-GB"/>
              </w:rPr>
            </w:pPr>
          </w:p>
          <w:p w14:paraId="3CC216C8" w14:textId="21590AC8" w:rsidR="00FC67C9" w:rsidRPr="00FB566A" w:rsidRDefault="00FC67C9" w:rsidP="00D516CD">
            <w:pPr>
              <w:rPr>
                <w:sz w:val="16"/>
                <w:szCs w:val="16"/>
                <w:lang w:val="en-GB"/>
              </w:rPr>
            </w:pPr>
            <w:r w:rsidRPr="00FB566A">
              <w:rPr>
                <w:sz w:val="16"/>
                <w:szCs w:val="16"/>
                <w:lang w:val="en-GB"/>
              </w:rPr>
              <w:t>Target: 20%</w:t>
            </w:r>
            <w:r w:rsidR="004D621A">
              <w:rPr>
                <w:sz w:val="16"/>
                <w:szCs w:val="16"/>
                <w:lang w:val="en-GB"/>
              </w:rPr>
              <w:t xml:space="preserve"> </w:t>
            </w:r>
            <w:r w:rsidR="004D621A" w:rsidRPr="00FB566A">
              <w:rPr>
                <w:sz w:val="16"/>
                <w:szCs w:val="16"/>
                <w:lang w:val="en-GB"/>
              </w:rPr>
              <w:t>(2025)</w:t>
            </w:r>
            <w:r w:rsidRPr="00FB566A">
              <w:rPr>
                <w:sz w:val="16"/>
                <w:szCs w:val="16"/>
                <w:lang w:val="en-GB"/>
              </w:rPr>
              <w:t xml:space="preserve"> </w:t>
            </w:r>
          </w:p>
          <w:p w14:paraId="6A37F449" w14:textId="77777777" w:rsidR="00CA1A83" w:rsidRPr="00FB566A" w:rsidRDefault="00CA1A83" w:rsidP="00D516CD">
            <w:pPr>
              <w:rPr>
                <w:sz w:val="16"/>
                <w:szCs w:val="16"/>
                <w:lang w:val="en-GB"/>
              </w:rPr>
            </w:pPr>
          </w:p>
          <w:p w14:paraId="7CF0C361" w14:textId="31B590E5" w:rsidR="00FC67C9" w:rsidRPr="00FB566A" w:rsidRDefault="00FC67C9" w:rsidP="00D516CD">
            <w:pPr>
              <w:rPr>
                <w:sz w:val="16"/>
                <w:szCs w:val="16"/>
                <w:lang w:val="en-GB"/>
              </w:rPr>
            </w:pPr>
            <w:r w:rsidRPr="00FB566A">
              <w:rPr>
                <w:sz w:val="16"/>
                <w:szCs w:val="16"/>
                <w:lang w:val="en-GB"/>
              </w:rPr>
              <w:t>Indicator 2: Amount</w:t>
            </w:r>
            <w:r w:rsidR="000939E6">
              <w:rPr>
                <w:sz w:val="16"/>
                <w:szCs w:val="16"/>
                <w:lang w:val="en-GB"/>
              </w:rPr>
              <w:t>s</w:t>
            </w:r>
            <w:r w:rsidRPr="00FB566A">
              <w:rPr>
                <w:sz w:val="16"/>
                <w:szCs w:val="16"/>
                <w:lang w:val="en-GB"/>
              </w:rPr>
              <w:t xml:space="preserve"> of Municipal budgets for service delivery channelled through CSOs (23%</w:t>
            </w:r>
            <w:r w:rsidR="000939E6">
              <w:rPr>
                <w:sz w:val="16"/>
                <w:szCs w:val="16"/>
                <w:lang w:val="en-GB"/>
              </w:rPr>
              <w:t>Women</w:t>
            </w:r>
            <w:r w:rsidRPr="00FB566A">
              <w:rPr>
                <w:sz w:val="16"/>
                <w:szCs w:val="16"/>
                <w:lang w:val="en-GB"/>
              </w:rPr>
              <w:t xml:space="preserve">; 19% </w:t>
            </w:r>
            <w:r w:rsidR="000939E6">
              <w:rPr>
                <w:sz w:val="16"/>
                <w:szCs w:val="16"/>
                <w:lang w:val="en-GB"/>
              </w:rPr>
              <w:t>Men</w:t>
            </w:r>
            <w:r w:rsidRPr="00FB566A">
              <w:rPr>
                <w:sz w:val="16"/>
                <w:szCs w:val="16"/>
                <w:lang w:val="en-GB"/>
              </w:rPr>
              <w:t>)</w:t>
            </w:r>
          </w:p>
          <w:p w14:paraId="3B846071" w14:textId="2D07DDCD" w:rsidR="00FC67C9" w:rsidRPr="00FB566A" w:rsidRDefault="00FC67C9" w:rsidP="00D516CD">
            <w:pPr>
              <w:rPr>
                <w:sz w:val="16"/>
                <w:szCs w:val="16"/>
                <w:lang w:val="en-GB"/>
              </w:rPr>
            </w:pPr>
            <w:r w:rsidRPr="00FB566A">
              <w:rPr>
                <w:sz w:val="16"/>
                <w:szCs w:val="16"/>
                <w:lang w:val="en-GB"/>
              </w:rPr>
              <w:t xml:space="preserve">Baseline: 22.7 </w:t>
            </w:r>
            <w:r w:rsidR="00595132" w:rsidRPr="00FB566A">
              <w:rPr>
                <w:sz w:val="16"/>
                <w:szCs w:val="16"/>
                <w:lang w:val="en-GB"/>
              </w:rPr>
              <w:t>million euro</w:t>
            </w:r>
            <w:r w:rsidRPr="00FB566A">
              <w:rPr>
                <w:sz w:val="16"/>
                <w:szCs w:val="16"/>
                <w:lang w:val="en-GB"/>
              </w:rPr>
              <w:t xml:space="preserve"> </w:t>
            </w:r>
            <w:r w:rsidR="00D516CD" w:rsidRPr="00FB566A">
              <w:rPr>
                <w:sz w:val="16"/>
                <w:szCs w:val="16"/>
                <w:lang w:val="en-GB"/>
              </w:rPr>
              <w:t>(2018)</w:t>
            </w:r>
          </w:p>
          <w:p w14:paraId="6074A0CC" w14:textId="1410F4FC" w:rsidR="00FC67C9" w:rsidRPr="00FB566A" w:rsidRDefault="00FC67C9" w:rsidP="00D516CD">
            <w:pPr>
              <w:rPr>
                <w:sz w:val="16"/>
                <w:szCs w:val="16"/>
                <w:lang w:val="en-GB"/>
              </w:rPr>
            </w:pPr>
            <w:r w:rsidRPr="00FB566A">
              <w:rPr>
                <w:sz w:val="16"/>
                <w:szCs w:val="16"/>
                <w:lang w:val="en-GB"/>
              </w:rPr>
              <w:t>Target</w:t>
            </w:r>
            <w:r w:rsidR="00BF28FC">
              <w:rPr>
                <w:sz w:val="16"/>
                <w:szCs w:val="16"/>
                <w:lang w:val="en-GB"/>
              </w:rPr>
              <w:t>:</w:t>
            </w:r>
            <w:r w:rsidRPr="00FB566A">
              <w:rPr>
                <w:sz w:val="16"/>
                <w:szCs w:val="16"/>
                <w:lang w:val="en-GB"/>
              </w:rPr>
              <w:t xml:space="preserve"> 32 </w:t>
            </w:r>
            <w:r w:rsidR="00595132" w:rsidRPr="00FB566A">
              <w:rPr>
                <w:sz w:val="16"/>
                <w:szCs w:val="16"/>
                <w:lang w:val="en-GB"/>
              </w:rPr>
              <w:t>million euro</w:t>
            </w:r>
            <w:r w:rsidR="00D516CD">
              <w:rPr>
                <w:sz w:val="16"/>
                <w:szCs w:val="16"/>
                <w:lang w:val="en-GB"/>
              </w:rPr>
              <w:t xml:space="preserve"> </w:t>
            </w:r>
            <w:r w:rsidR="00BF28FC">
              <w:rPr>
                <w:sz w:val="16"/>
                <w:szCs w:val="16"/>
                <w:lang w:val="en-GB"/>
              </w:rPr>
              <w:t>(</w:t>
            </w:r>
            <w:r w:rsidR="00D516CD" w:rsidRPr="00FB566A">
              <w:rPr>
                <w:sz w:val="16"/>
                <w:szCs w:val="16"/>
                <w:lang w:val="en-GB"/>
              </w:rPr>
              <w:t>2025)</w:t>
            </w:r>
          </w:p>
          <w:p w14:paraId="3F87E628" w14:textId="77777777" w:rsidR="00CA1A83" w:rsidRPr="00FB566A" w:rsidRDefault="00CA1A83" w:rsidP="00D516CD">
            <w:pPr>
              <w:rPr>
                <w:sz w:val="16"/>
                <w:szCs w:val="16"/>
                <w:lang w:val="en-GB"/>
              </w:rPr>
            </w:pPr>
          </w:p>
          <w:p w14:paraId="75499277" w14:textId="711103C5" w:rsidR="00FC67C9" w:rsidRPr="00FB566A" w:rsidRDefault="00FC67C9" w:rsidP="00D516CD">
            <w:pPr>
              <w:rPr>
                <w:sz w:val="16"/>
                <w:szCs w:val="16"/>
                <w:lang w:val="en-GB"/>
              </w:rPr>
            </w:pPr>
            <w:r w:rsidRPr="00FB566A">
              <w:rPr>
                <w:sz w:val="16"/>
                <w:szCs w:val="16"/>
                <w:lang w:val="en-GB"/>
              </w:rPr>
              <w:t>Indicator 3: Level of air pollution</w:t>
            </w:r>
          </w:p>
          <w:p w14:paraId="2284CFB3" w14:textId="58E51651" w:rsidR="00FC67C9" w:rsidRPr="00FB566A" w:rsidRDefault="00FC67C9" w:rsidP="00D516CD">
            <w:pPr>
              <w:rPr>
                <w:sz w:val="16"/>
                <w:szCs w:val="16"/>
                <w:lang w:val="en-GB"/>
              </w:rPr>
            </w:pPr>
            <w:r w:rsidRPr="00FB566A">
              <w:rPr>
                <w:sz w:val="16"/>
                <w:szCs w:val="16"/>
                <w:lang w:val="en-GB"/>
              </w:rPr>
              <w:t>Baseline: Pristina region during Oct-Dec: PM10</w:t>
            </w:r>
            <w:r w:rsidR="00BF28FC">
              <w:rPr>
                <w:sz w:val="16"/>
                <w:szCs w:val="16"/>
                <w:lang w:val="en-GB"/>
              </w:rPr>
              <w:t xml:space="preserve"> </w:t>
            </w:r>
            <w:r w:rsidR="00BF28FC" w:rsidRPr="00BF28FC">
              <w:rPr>
                <w:sz w:val="16"/>
                <w:szCs w:val="16"/>
                <w:lang w:val="en-GB"/>
              </w:rPr>
              <w:t>(</w:t>
            </w:r>
            <w:r w:rsidR="00FC0474" w:rsidRPr="00BF28FC">
              <w:rPr>
                <w:sz w:val="16"/>
                <w:szCs w:val="16"/>
              </w:rPr>
              <w:t>particulate matter 10 micromet</w:t>
            </w:r>
            <w:r w:rsidR="00BF28FC">
              <w:rPr>
                <w:sz w:val="16"/>
                <w:szCs w:val="16"/>
              </w:rPr>
              <w:t>r</w:t>
            </w:r>
            <w:r w:rsidR="00FC0474" w:rsidRPr="00BF28FC">
              <w:rPr>
                <w:sz w:val="16"/>
                <w:szCs w:val="16"/>
              </w:rPr>
              <w:t>es or less in diameter</w:t>
            </w:r>
            <w:r w:rsidR="00BF28FC">
              <w:rPr>
                <w:sz w:val="16"/>
                <w:szCs w:val="16"/>
              </w:rPr>
              <w:t>)</w:t>
            </w:r>
            <w:r w:rsidRPr="00BF28FC">
              <w:rPr>
                <w:sz w:val="16"/>
                <w:szCs w:val="16"/>
                <w:lang w:val="en-GB"/>
              </w:rPr>
              <w:t xml:space="preserve">: </w:t>
            </w:r>
            <w:r w:rsidRPr="00FC0474">
              <w:rPr>
                <w:sz w:val="16"/>
                <w:szCs w:val="16"/>
                <w:lang w:val="en-GB"/>
              </w:rPr>
              <w:t xml:space="preserve">56 </w:t>
            </w:r>
            <w:r w:rsidR="00595132" w:rsidRPr="00FC0474">
              <w:rPr>
                <w:sz w:val="16"/>
                <w:szCs w:val="16"/>
                <w:lang w:val="en-GB"/>
              </w:rPr>
              <w:t>micrograms per cubic metr</w:t>
            </w:r>
            <w:r w:rsidR="00BF28FC">
              <w:rPr>
                <w:sz w:val="16"/>
                <w:szCs w:val="16"/>
                <w:lang w:val="en-GB"/>
              </w:rPr>
              <w:t>e</w:t>
            </w:r>
            <w:r w:rsidR="00595132" w:rsidRPr="00FC0474">
              <w:rPr>
                <w:sz w:val="16"/>
                <w:szCs w:val="16"/>
                <w:lang w:val="en-GB"/>
              </w:rPr>
              <w:t xml:space="preserve"> of air</w:t>
            </w:r>
            <w:r w:rsidRPr="00FC0474">
              <w:rPr>
                <w:sz w:val="16"/>
                <w:szCs w:val="16"/>
                <w:lang w:val="en-GB"/>
              </w:rPr>
              <w:t xml:space="preserve">; </w:t>
            </w:r>
            <w:r w:rsidRPr="00FC0474">
              <w:rPr>
                <w:sz w:val="16"/>
                <w:szCs w:val="16"/>
                <w:lang w:val="en-GB"/>
              </w:rPr>
              <w:lastRenderedPageBreak/>
              <w:t>PM2.5</w:t>
            </w:r>
            <w:r w:rsidR="00BF28FC">
              <w:rPr>
                <w:sz w:val="16"/>
                <w:szCs w:val="16"/>
                <w:lang w:val="en-GB"/>
              </w:rPr>
              <w:t xml:space="preserve"> (</w:t>
            </w:r>
            <w:r w:rsidR="00BF28FC" w:rsidRPr="00BF28FC">
              <w:rPr>
                <w:sz w:val="16"/>
                <w:szCs w:val="16"/>
                <w:lang w:val="en-GB"/>
              </w:rPr>
              <w:t>particulate matter 2,5</w:t>
            </w:r>
            <w:r w:rsidR="00BF28FC">
              <w:rPr>
                <w:sz w:val="16"/>
                <w:szCs w:val="16"/>
                <w:lang w:val="en-GB"/>
              </w:rPr>
              <w:t xml:space="preserve"> </w:t>
            </w:r>
            <w:r w:rsidR="00BF28FC" w:rsidRPr="00BF28FC">
              <w:rPr>
                <w:sz w:val="16"/>
                <w:szCs w:val="16"/>
                <w:lang w:val="en-GB"/>
              </w:rPr>
              <w:t>micrometres or less in diameter</w:t>
            </w:r>
            <w:r w:rsidR="00BF28FC">
              <w:rPr>
                <w:sz w:val="16"/>
                <w:szCs w:val="16"/>
                <w:lang w:val="en-GB"/>
              </w:rPr>
              <w:t>)</w:t>
            </w:r>
            <w:r w:rsidRPr="00FC0474">
              <w:rPr>
                <w:sz w:val="16"/>
                <w:szCs w:val="16"/>
                <w:lang w:val="en-GB"/>
              </w:rPr>
              <w:t>:</w:t>
            </w:r>
            <w:r w:rsidR="00BF28FC">
              <w:rPr>
                <w:sz w:val="16"/>
                <w:szCs w:val="16"/>
                <w:lang w:val="en-GB"/>
              </w:rPr>
              <w:t xml:space="preserve"> </w:t>
            </w:r>
            <w:r w:rsidRPr="00FC0474">
              <w:rPr>
                <w:sz w:val="16"/>
                <w:szCs w:val="16"/>
                <w:lang w:val="en-GB"/>
              </w:rPr>
              <w:t xml:space="preserve"> 42 </w:t>
            </w:r>
            <w:r w:rsidR="00595132" w:rsidRPr="00FC0474">
              <w:rPr>
                <w:sz w:val="16"/>
                <w:szCs w:val="16"/>
                <w:lang w:val="en-GB"/>
              </w:rPr>
              <w:t>mic</w:t>
            </w:r>
            <w:r w:rsidR="00595132" w:rsidRPr="00FB566A">
              <w:rPr>
                <w:sz w:val="16"/>
                <w:szCs w:val="16"/>
                <w:lang w:val="en-GB"/>
              </w:rPr>
              <w:t>rograms per cubic metr</w:t>
            </w:r>
            <w:r w:rsidR="00BF28FC">
              <w:rPr>
                <w:sz w:val="16"/>
                <w:szCs w:val="16"/>
                <w:lang w:val="en-GB"/>
              </w:rPr>
              <w:t>e</w:t>
            </w:r>
            <w:r w:rsidR="00595132" w:rsidRPr="00FB566A">
              <w:rPr>
                <w:sz w:val="16"/>
                <w:szCs w:val="16"/>
                <w:lang w:val="en-GB"/>
              </w:rPr>
              <w:t xml:space="preserve"> of air</w:t>
            </w:r>
            <w:r w:rsidR="00D516CD">
              <w:rPr>
                <w:sz w:val="16"/>
                <w:szCs w:val="16"/>
                <w:lang w:val="en-GB"/>
              </w:rPr>
              <w:t xml:space="preserve"> </w:t>
            </w:r>
            <w:r w:rsidR="00D516CD" w:rsidRPr="00FB566A">
              <w:rPr>
                <w:sz w:val="16"/>
                <w:szCs w:val="16"/>
                <w:lang w:val="en-GB"/>
              </w:rPr>
              <w:t>(2018)</w:t>
            </w:r>
          </w:p>
          <w:p w14:paraId="1B195429" w14:textId="77777777" w:rsidR="00D516CD" w:rsidRDefault="00D516CD" w:rsidP="00D516CD">
            <w:pPr>
              <w:rPr>
                <w:sz w:val="16"/>
                <w:szCs w:val="16"/>
                <w:lang w:val="en-GB"/>
              </w:rPr>
            </w:pPr>
          </w:p>
          <w:p w14:paraId="5C20D23A" w14:textId="038CB209" w:rsidR="00FC67C9" w:rsidRPr="00FB566A" w:rsidRDefault="00FC67C9" w:rsidP="00D516CD">
            <w:pPr>
              <w:rPr>
                <w:sz w:val="16"/>
                <w:szCs w:val="16"/>
                <w:lang w:val="en-GB"/>
              </w:rPr>
            </w:pPr>
            <w:r w:rsidRPr="00FB566A">
              <w:rPr>
                <w:sz w:val="16"/>
                <w:szCs w:val="16"/>
                <w:lang w:val="en-GB"/>
              </w:rPr>
              <w:t xml:space="preserve">Target: Pristina region during Oct-Dec PM10: 30 </w:t>
            </w:r>
            <w:r w:rsidR="00595132" w:rsidRPr="00FB566A">
              <w:rPr>
                <w:sz w:val="16"/>
                <w:szCs w:val="16"/>
                <w:lang w:val="en-GB"/>
              </w:rPr>
              <w:t>micrograms per cubic metr</w:t>
            </w:r>
            <w:r w:rsidR="00BF28FC">
              <w:rPr>
                <w:sz w:val="16"/>
                <w:szCs w:val="16"/>
                <w:lang w:val="en-GB"/>
              </w:rPr>
              <w:t>e</w:t>
            </w:r>
            <w:r w:rsidR="00595132" w:rsidRPr="00FB566A">
              <w:rPr>
                <w:sz w:val="16"/>
                <w:szCs w:val="16"/>
                <w:lang w:val="en-GB"/>
              </w:rPr>
              <w:t xml:space="preserve"> of air</w:t>
            </w:r>
            <w:r w:rsidRPr="00FB566A">
              <w:rPr>
                <w:sz w:val="16"/>
                <w:szCs w:val="16"/>
                <w:lang w:val="en-GB"/>
              </w:rPr>
              <w:t xml:space="preserve">; PM2.5: 20 </w:t>
            </w:r>
            <w:r w:rsidR="00595132" w:rsidRPr="00FB566A">
              <w:rPr>
                <w:sz w:val="16"/>
                <w:szCs w:val="16"/>
                <w:lang w:val="en-GB"/>
              </w:rPr>
              <w:t>micrograms per cubic metr</w:t>
            </w:r>
            <w:r w:rsidR="00BF28FC">
              <w:rPr>
                <w:sz w:val="16"/>
                <w:szCs w:val="16"/>
                <w:lang w:val="en-GB"/>
              </w:rPr>
              <w:t>e</w:t>
            </w:r>
            <w:r w:rsidR="00595132" w:rsidRPr="00FB566A">
              <w:rPr>
                <w:sz w:val="16"/>
                <w:szCs w:val="16"/>
                <w:lang w:val="en-GB"/>
              </w:rPr>
              <w:t xml:space="preserve"> of air</w:t>
            </w:r>
          </w:p>
          <w:p w14:paraId="0F680676" w14:textId="242D590C" w:rsidR="00CA1A83" w:rsidRPr="00FB566A" w:rsidRDefault="00D516CD" w:rsidP="00D516CD">
            <w:pPr>
              <w:rPr>
                <w:sz w:val="16"/>
                <w:szCs w:val="16"/>
                <w:lang w:val="en-GB"/>
              </w:rPr>
            </w:pPr>
            <w:r w:rsidRPr="00FB566A">
              <w:rPr>
                <w:sz w:val="16"/>
                <w:szCs w:val="16"/>
                <w:lang w:val="en-GB"/>
              </w:rPr>
              <w:t>(2025)</w:t>
            </w:r>
          </w:p>
          <w:p w14:paraId="70731EAE" w14:textId="77777777" w:rsidR="00BF28FC" w:rsidRDefault="00BF28FC" w:rsidP="00D516CD">
            <w:pPr>
              <w:rPr>
                <w:sz w:val="16"/>
                <w:szCs w:val="16"/>
                <w:lang w:val="en-GB"/>
              </w:rPr>
            </w:pPr>
          </w:p>
          <w:p w14:paraId="722DF0DB" w14:textId="79453E47" w:rsidR="00FC67C9" w:rsidRPr="00FB566A" w:rsidRDefault="00FC67C9" w:rsidP="00D516CD">
            <w:pPr>
              <w:rPr>
                <w:sz w:val="16"/>
                <w:szCs w:val="16"/>
                <w:lang w:val="en-GB"/>
              </w:rPr>
            </w:pPr>
            <w:r w:rsidRPr="00FB566A">
              <w:rPr>
                <w:sz w:val="16"/>
                <w:szCs w:val="16"/>
                <w:lang w:val="en-GB"/>
              </w:rPr>
              <w:t xml:space="preserve">Indicator 4: Local coordination mechanisms for climate change mitigation and adaptation </w:t>
            </w:r>
          </w:p>
          <w:p w14:paraId="677DF013" w14:textId="78A0D64B" w:rsidR="00FC67C9" w:rsidRPr="00FB566A" w:rsidRDefault="00FC67C9" w:rsidP="00D516CD">
            <w:pPr>
              <w:rPr>
                <w:sz w:val="16"/>
                <w:szCs w:val="16"/>
                <w:lang w:val="en-GB"/>
              </w:rPr>
            </w:pPr>
            <w:r w:rsidRPr="00FB566A">
              <w:rPr>
                <w:sz w:val="16"/>
                <w:szCs w:val="16"/>
                <w:lang w:val="en-GB"/>
              </w:rPr>
              <w:t xml:space="preserve">Baseline: </w:t>
            </w:r>
            <w:r w:rsidR="00595132" w:rsidRPr="00FB566A">
              <w:rPr>
                <w:sz w:val="16"/>
                <w:szCs w:val="16"/>
                <w:lang w:val="en-GB"/>
              </w:rPr>
              <w:t>one</w:t>
            </w:r>
            <w:r w:rsidRPr="00FB566A">
              <w:rPr>
                <w:sz w:val="16"/>
                <w:szCs w:val="16"/>
                <w:lang w:val="en-GB"/>
              </w:rPr>
              <w:t xml:space="preserve"> Green Growth Centre</w:t>
            </w:r>
            <w:r w:rsidR="00D516CD">
              <w:rPr>
                <w:sz w:val="16"/>
                <w:szCs w:val="16"/>
                <w:lang w:val="en-GB"/>
              </w:rPr>
              <w:t xml:space="preserve"> </w:t>
            </w:r>
            <w:r w:rsidR="00D516CD" w:rsidRPr="00FB566A">
              <w:rPr>
                <w:sz w:val="16"/>
                <w:szCs w:val="16"/>
                <w:lang w:val="en-GB"/>
              </w:rPr>
              <w:t>(2020)</w:t>
            </w:r>
          </w:p>
          <w:p w14:paraId="6570061B" w14:textId="0B6CEF3A" w:rsidR="00FC67C9" w:rsidRPr="00FB566A" w:rsidRDefault="00BF28FC" w:rsidP="00D516CD">
            <w:pPr>
              <w:rPr>
                <w:sz w:val="16"/>
                <w:szCs w:val="16"/>
                <w:lang w:val="en-GB"/>
              </w:rPr>
            </w:pPr>
            <w:r w:rsidRPr="00FB566A">
              <w:rPr>
                <w:sz w:val="16"/>
                <w:szCs w:val="16"/>
                <w:lang w:val="en-GB"/>
              </w:rPr>
              <w:t>Target</w:t>
            </w:r>
            <w:r>
              <w:rPr>
                <w:sz w:val="16"/>
                <w:szCs w:val="16"/>
                <w:lang w:val="en-GB"/>
              </w:rPr>
              <w:t>:</w:t>
            </w:r>
            <w:r w:rsidRPr="00FB566A">
              <w:rPr>
                <w:sz w:val="16"/>
                <w:szCs w:val="16"/>
                <w:lang w:val="en-GB"/>
              </w:rPr>
              <w:t xml:space="preserve"> four</w:t>
            </w:r>
            <w:r w:rsidR="00FC67C9" w:rsidRPr="00FB566A">
              <w:rPr>
                <w:sz w:val="16"/>
                <w:szCs w:val="16"/>
                <w:lang w:val="en-GB"/>
              </w:rPr>
              <w:t xml:space="preserve"> Green Growth Centres</w:t>
            </w:r>
            <w:r w:rsidR="00D516CD">
              <w:rPr>
                <w:sz w:val="16"/>
                <w:szCs w:val="16"/>
                <w:lang w:val="en-GB"/>
              </w:rPr>
              <w:t xml:space="preserve"> </w:t>
            </w:r>
            <w:r w:rsidR="00D516CD" w:rsidRPr="00FB566A">
              <w:rPr>
                <w:sz w:val="16"/>
                <w:szCs w:val="16"/>
                <w:lang w:val="en-GB"/>
              </w:rPr>
              <w:t>(2025)</w:t>
            </w:r>
          </w:p>
          <w:p w14:paraId="56741585" w14:textId="77777777" w:rsidR="00CA1A83" w:rsidRPr="00FB566A" w:rsidRDefault="00CA1A83" w:rsidP="00D516CD">
            <w:pPr>
              <w:rPr>
                <w:sz w:val="16"/>
                <w:szCs w:val="16"/>
                <w:lang w:val="en-GB"/>
              </w:rPr>
            </w:pPr>
          </w:p>
          <w:p w14:paraId="15A727A8" w14:textId="77777777" w:rsidR="00FC67C9" w:rsidRPr="00FB566A" w:rsidRDefault="00FC67C9" w:rsidP="00D516CD">
            <w:pPr>
              <w:rPr>
                <w:sz w:val="16"/>
                <w:szCs w:val="16"/>
                <w:lang w:val="en-GB"/>
              </w:rPr>
            </w:pPr>
            <w:r w:rsidRPr="00FB566A">
              <w:rPr>
                <w:sz w:val="16"/>
                <w:szCs w:val="16"/>
                <w:lang w:val="en-GB"/>
              </w:rPr>
              <w:t>Indicator 5: Share of electricity produced from renewable energy sources</w:t>
            </w:r>
          </w:p>
          <w:p w14:paraId="48A91672" w14:textId="281B3527" w:rsidR="00FC67C9" w:rsidRPr="00FB566A" w:rsidRDefault="00FC67C9" w:rsidP="00D516CD">
            <w:pPr>
              <w:rPr>
                <w:sz w:val="16"/>
                <w:szCs w:val="16"/>
                <w:lang w:val="en-GB"/>
              </w:rPr>
            </w:pPr>
            <w:r w:rsidRPr="00FB566A">
              <w:rPr>
                <w:sz w:val="16"/>
                <w:szCs w:val="16"/>
                <w:lang w:val="en-GB"/>
              </w:rPr>
              <w:t>Baseline: 25%</w:t>
            </w:r>
            <w:r w:rsidR="00D516CD">
              <w:rPr>
                <w:sz w:val="16"/>
                <w:szCs w:val="16"/>
                <w:lang w:val="en-GB"/>
              </w:rPr>
              <w:t xml:space="preserve"> </w:t>
            </w:r>
            <w:r w:rsidR="00D516CD" w:rsidRPr="00FB566A">
              <w:rPr>
                <w:sz w:val="16"/>
                <w:szCs w:val="16"/>
                <w:lang w:val="en-GB"/>
              </w:rPr>
              <w:t>(2020)</w:t>
            </w:r>
          </w:p>
          <w:p w14:paraId="19CEF905" w14:textId="36D2E00D" w:rsidR="00FC67C9" w:rsidRPr="00FB566A" w:rsidRDefault="00FC67C9" w:rsidP="00D516CD">
            <w:pPr>
              <w:rPr>
                <w:sz w:val="16"/>
                <w:szCs w:val="16"/>
                <w:lang w:val="en-GB"/>
              </w:rPr>
            </w:pPr>
            <w:r w:rsidRPr="00FB566A">
              <w:rPr>
                <w:sz w:val="16"/>
                <w:szCs w:val="16"/>
                <w:lang w:val="en-GB"/>
              </w:rPr>
              <w:t>Target: TBC</w:t>
            </w:r>
            <w:r w:rsidR="00D516CD">
              <w:rPr>
                <w:sz w:val="16"/>
                <w:szCs w:val="16"/>
                <w:lang w:val="en-GB"/>
              </w:rPr>
              <w:t xml:space="preserve"> </w:t>
            </w:r>
            <w:r w:rsidR="00D516CD" w:rsidRPr="00FB566A">
              <w:rPr>
                <w:sz w:val="16"/>
                <w:szCs w:val="16"/>
                <w:lang w:val="en-GB"/>
              </w:rPr>
              <w:t>(2025)</w:t>
            </w:r>
          </w:p>
          <w:p w14:paraId="5BAFBBE6" w14:textId="77777777" w:rsidR="00595132" w:rsidRPr="00FB566A" w:rsidRDefault="00595132" w:rsidP="00D516CD">
            <w:pPr>
              <w:rPr>
                <w:sz w:val="16"/>
                <w:szCs w:val="16"/>
                <w:lang w:val="en-GB"/>
              </w:rPr>
            </w:pPr>
          </w:p>
          <w:p w14:paraId="3433F3FB" w14:textId="52EA261E" w:rsidR="00FC67C9" w:rsidRPr="00FB566A" w:rsidRDefault="00FC67C9" w:rsidP="00D516CD">
            <w:pPr>
              <w:rPr>
                <w:sz w:val="16"/>
                <w:szCs w:val="16"/>
                <w:lang w:val="en-GB"/>
              </w:rPr>
            </w:pPr>
            <w:r w:rsidRPr="00FB566A">
              <w:rPr>
                <w:sz w:val="16"/>
                <w:szCs w:val="16"/>
                <w:lang w:val="en-GB"/>
              </w:rPr>
              <w:t>Indicator 6: Socio</w:t>
            </w:r>
            <w:r w:rsidR="00D516CD">
              <w:rPr>
                <w:sz w:val="16"/>
                <w:szCs w:val="16"/>
                <w:lang w:val="en-GB"/>
              </w:rPr>
              <w:t>e</w:t>
            </w:r>
            <w:r w:rsidRPr="00FB566A">
              <w:rPr>
                <w:sz w:val="16"/>
                <w:szCs w:val="16"/>
                <w:lang w:val="en-GB"/>
              </w:rPr>
              <w:t xml:space="preserve">conomic recovery measures </w:t>
            </w:r>
          </w:p>
          <w:p w14:paraId="4823C2BE" w14:textId="7BC52D1A" w:rsidR="00FC67C9" w:rsidRPr="00FB566A" w:rsidRDefault="00FC67C9" w:rsidP="00D516CD">
            <w:pPr>
              <w:rPr>
                <w:sz w:val="16"/>
                <w:szCs w:val="16"/>
                <w:lang w:val="en-GB"/>
              </w:rPr>
            </w:pPr>
            <w:r w:rsidRPr="00FB566A">
              <w:rPr>
                <w:sz w:val="16"/>
                <w:szCs w:val="16"/>
                <w:lang w:val="en-GB"/>
              </w:rPr>
              <w:t>Baseline: 0</w:t>
            </w:r>
            <w:r w:rsidR="00D516CD">
              <w:rPr>
                <w:sz w:val="16"/>
                <w:szCs w:val="16"/>
                <w:lang w:val="en-GB"/>
              </w:rPr>
              <w:t xml:space="preserve"> (</w:t>
            </w:r>
            <w:r w:rsidR="00D516CD" w:rsidRPr="00FB566A">
              <w:rPr>
                <w:sz w:val="16"/>
                <w:szCs w:val="16"/>
                <w:lang w:val="en-GB"/>
              </w:rPr>
              <w:t>2020</w:t>
            </w:r>
            <w:r w:rsidR="00D516CD">
              <w:rPr>
                <w:sz w:val="16"/>
                <w:szCs w:val="16"/>
                <w:lang w:val="en-GB"/>
              </w:rPr>
              <w:t>)</w:t>
            </w:r>
          </w:p>
          <w:p w14:paraId="1EF2D5B5" w14:textId="56604757" w:rsidR="00FC67C9" w:rsidRPr="00FB566A" w:rsidRDefault="00FC67C9" w:rsidP="00D516CD">
            <w:pPr>
              <w:rPr>
                <w:sz w:val="16"/>
                <w:szCs w:val="16"/>
                <w:lang w:val="en-GB"/>
              </w:rPr>
            </w:pPr>
            <w:r w:rsidRPr="00FB566A">
              <w:rPr>
                <w:sz w:val="16"/>
                <w:szCs w:val="16"/>
                <w:lang w:val="en-GB"/>
              </w:rPr>
              <w:t>Target: TBC</w:t>
            </w:r>
            <w:r w:rsidR="00D516CD">
              <w:rPr>
                <w:sz w:val="16"/>
                <w:szCs w:val="16"/>
                <w:lang w:val="en-GB"/>
              </w:rPr>
              <w:t xml:space="preserve"> </w:t>
            </w:r>
            <w:r w:rsidR="00D516CD" w:rsidRPr="00FB566A">
              <w:rPr>
                <w:sz w:val="16"/>
                <w:szCs w:val="16"/>
                <w:lang w:val="en-GB"/>
              </w:rPr>
              <w:t>(2023)</w:t>
            </w:r>
            <w:r w:rsidR="00D516CD">
              <w:rPr>
                <w:sz w:val="16"/>
                <w:szCs w:val="16"/>
                <w:lang w:val="en-GB"/>
              </w:rPr>
              <w:t xml:space="preserve"> </w:t>
            </w:r>
          </w:p>
          <w:p w14:paraId="64FD3CB2" w14:textId="77777777" w:rsidR="00FC67C9" w:rsidRPr="00FB566A" w:rsidRDefault="00FC67C9" w:rsidP="00D516CD">
            <w:pPr>
              <w:rPr>
                <w:sz w:val="16"/>
                <w:szCs w:val="16"/>
                <w:lang w:val="en-GB"/>
              </w:rPr>
            </w:pPr>
          </w:p>
          <w:p w14:paraId="620E5E7D" w14:textId="77777777" w:rsidR="00FC67C9" w:rsidRPr="00FB566A" w:rsidRDefault="00FC67C9" w:rsidP="00D516CD">
            <w:pPr>
              <w:rPr>
                <w:sz w:val="16"/>
                <w:szCs w:val="16"/>
                <w:lang w:val="en-GB"/>
              </w:rPr>
            </w:pPr>
          </w:p>
          <w:p w14:paraId="5C4BDBD7" w14:textId="77777777" w:rsidR="00FC67C9" w:rsidRPr="00FB566A" w:rsidRDefault="00FC67C9" w:rsidP="00D516CD">
            <w:pPr>
              <w:rPr>
                <w:sz w:val="16"/>
                <w:szCs w:val="16"/>
                <w:lang w:val="en-GB"/>
              </w:rPr>
            </w:pPr>
          </w:p>
          <w:p w14:paraId="653DBFAA" w14:textId="77777777" w:rsidR="00FC67C9" w:rsidRPr="00FB566A" w:rsidRDefault="00FC67C9" w:rsidP="00D516CD">
            <w:pPr>
              <w:rPr>
                <w:sz w:val="16"/>
                <w:szCs w:val="16"/>
                <w:lang w:val="en-GB"/>
              </w:rPr>
            </w:pPr>
          </w:p>
        </w:tc>
        <w:tc>
          <w:tcPr>
            <w:tcW w:w="1094" w:type="pct"/>
            <w:shd w:val="clear" w:color="auto" w:fill="auto"/>
          </w:tcPr>
          <w:p w14:paraId="0CEEC091" w14:textId="743CD69E" w:rsidR="00FC67C9" w:rsidRPr="00FB566A" w:rsidRDefault="00FC67C9" w:rsidP="00D516CD">
            <w:pPr>
              <w:rPr>
                <w:sz w:val="16"/>
                <w:szCs w:val="16"/>
                <w:lang w:val="en-GB"/>
              </w:rPr>
            </w:pPr>
            <w:r w:rsidRPr="00FB566A">
              <w:rPr>
                <w:sz w:val="16"/>
                <w:szCs w:val="16"/>
                <w:lang w:val="en-GB"/>
              </w:rPr>
              <w:lastRenderedPageBreak/>
              <w:t>1: Labour Force Survey</w:t>
            </w:r>
          </w:p>
          <w:p w14:paraId="3E5E2C0E" w14:textId="77777777" w:rsidR="00FC67C9" w:rsidRPr="00FB566A" w:rsidRDefault="00FC67C9" w:rsidP="00D516CD">
            <w:pPr>
              <w:rPr>
                <w:sz w:val="16"/>
                <w:szCs w:val="16"/>
                <w:lang w:val="en-GB"/>
              </w:rPr>
            </w:pPr>
          </w:p>
          <w:p w14:paraId="23DED4B0" w14:textId="7FCF2EFE" w:rsidR="00FC67C9" w:rsidRPr="00FB566A" w:rsidRDefault="00FC67C9" w:rsidP="00D516CD">
            <w:pPr>
              <w:rPr>
                <w:sz w:val="16"/>
                <w:szCs w:val="16"/>
                <w:lang w:val="en-GB"/>
              </w:rPr>
            </w:pPr>
            <w:r w:rsidRPr="00FB566A">
              <w:rPr>
                <w:sz w:val="16"/>
                <w:szCs w:val="16"/>
                <w:lang w:val="en-GB"/>
              </w:rPr>
              <w:t>2: Audit Reports; Report of the Ministry of Finance</w:t>
            </w:r>
          </w:p>
          <w:p w14:paraId="608335BA" w14:textId="77777777" w:rsidR="00FC67C9" w:rsidRPr="00FB566A" w:rsidRDefault="00FC67C9" w:rsidP="00D516CD">
            <w:pPr>
              <w:rPr>
                <w:sz w:val="16"/>
                <w:szCs w:val="16"/>
                <w:lang w:val="en-GB"/>
              </w:rPr>
            </w:pPr>
          </w:p>
          <w:p w14:paraId="17BCA3FD" w14:textId="5A3C5589" w:rsidR="00595132" w:rsidRPr="00FB566A" w:rsidRDefault="00D142F7" w:rsidP="00595132">
            <w:pPr>
              <w:rPr>
                <w:sz w:val="16"/>
                <w:szCs w:val="16"/>
                <w:lang w:val="en-GB"/>
              </w:rPr>
            </w:pPr>
            <w:r w:rsidRPr="00FB566A">
              <w:rPr>
                <w:sz w:val="16"/>
                <w:szCs w:val="16"/>
                <w:lang w:val="en-GB"/>
              </w:rPr>
              <w:t>3</w:t>
            </w:r>
            <w:r w:rsidR="00595132" w:rsidRPr="00FB566A">
              <w:rPr>
                <w:sz w:val="16"/>
                <w:szCs w:val="16"/>
                <w:lang w:val="en-GB"/>
              </w:rPr>
              <w:t xml:space="preserve">: Ministry of Environment and Spatial Planning reports </w:t>
            </w:r>
          </w:p>
          <w:p w14:paraId="0FC8BB08" w14:textId="77777777" w:rsidR="00595132" w:rsidRPr="00FB566A" w:rsidRDefault="00595132" w:rsidP="00595132">
            <w:pPr>
              <w:rPr>
                <w:sz w:val="16"/>
                <w:szCs w:val="16"/>
                <w:lang w:val="en-GB"/>
              </w:rPr>
            </w:pPr>
          </w:p>
          <w:p w14:paraId="16840F1B" w14:textId="3B6AF998" w:rsidR="00595132" w:rsidRPr="00FB566A" w:rsidRDefault="00D142F7" w:rsidP="00595132">
            <w:pPr>
              <w:rPr>
                <w:sz w:val="16"/>
                <w:szCs w:val="16"/>
                <w:lang w:val="en-GB"/>
              </w:rPr>
            </w:pPr>
            <w:r w:rsidRPr="00FB566A">
              <w:rPr>
                <w:sz w:val="16"/>
                <w:szCs w:val="16"/>
                <w:lang w:val="en-GB"/>
              </w:rPr>
              <w:t>4</w:t>
            </w:r>
            <w:r w:rsidR="00595132" w:rsidRPr="00FB566A">
              <w:rPr>
                <w:sz w:val="16"/>
                <w:szCs w:val="16"/>
                <w:lang w:val="en-GB"/>
              </w:rPr>
              <w:t xml:space="preserve">: </w:t>
            </w:r>
            <w:r w:rsidR="00FC67C9" w:rsidRPr="00FB566A">
              <w:rPr>
                <w:sz w:val="16"/>
                <w:szCs w:val="16"/>
                <w:lang w:val="en-GB"/>
              </w:rPr>
              <w:t>Municipality Reports</w:t>
            </w:r>
          </w:p>
          <w:p w14:paraId="63444910" w14:textId="621EC1C4" w:rsidR="00FC67C9" w:rsidRPr="00FB566A" w:rsidRDefault="00FC67C9" w:rsidP="00D516CD">
            <w:pPr>
              <w:rPr>
                <w:sz w:val="16"/>
                <w:szCs w:val="16"/>
                <w:lang w:val="en-GB"/>
              </w:rPr>
            </w:pPr>
          </w:p>
          <w:p w14:paraId="3FDC7B78" w14:textId="2557D60D" w:rsidR="00FC67C9" w:rsidRPr="00FB566A" w:rsidRDefault="00D142F7" w:rsidP="00D516CD">
            <w:pPr>
              <w:rPr>
                <w:sz w:val="16"/>
                <w:szCs w:val="16"/>
                <w:lang w:val="en-GB"/>
              </w:rPr>
            </w:pPr>
            <w:r w:rsidRPr="00FB566A">
              <w:rPr>
                <w:sz w:val="16"/>
                <w:szCs w:val="16"/>
                <w:lang w:val="en-GB"/>
              </w:rPr>
              <w:t>5</w:t>
            </w:r>
            <w:r w:rsidR="00FC67C9" w:rsidRPr="00FB566A">
              <w:rPr>
                <w:sz w:val="16"/>
                <w:szCs w:val="16"/>
                <w:lang w:val="en-GB"/>
              </w:rPr>
              <w:t xml:space="preserve">: Reports of the Kosovo </w:t>
            </w:r>
            <w:r w:rsidR="00595132" w:rsidRPr="00FB566A">
              <w:rPr>
                <w:sz w:val="16"/>
                <w:szCs w:val="16"/>
                <w:lang w:val="en-GB"/>
              </w:rPr>
              <w:t xml:space="preserve">Agency for </w:t>
            </w:r>
            <w:r w:rsidR="00FC67C9" w:rsidRPr="00FB566A">
              <w:rPr>
                <w:sz w:val="16"/>
                <w:szCs w:val="16"/>
                <w:lang w:val="en-GB"/>
              </w:rPr>
              <w:t xml:space="preserve">Energy Efficiency </w:t>
            </w:r>
          </w:p>
          <w:p w14:paraId="08799226" w14:textId="77777777" w:rsidR="00FC67C9" w:rsidRPr="00FB566A" w:rsidRDefault="00FC67C9" w:rsidP="00D516CD">
            <w:pPr>
              <w:rPr>
                <w:sz w:val="16"/>
                <w:szCs w:val="16"/>
                <w:lang w:val="en-GB"/>
              </w:rPr>
            </w:pPr>
          </w:p>
          <w:p w14:paraId="3AE87054" w14:textId="77777777" w:rsidR="00FC67C9" w:rsidRPr="00FB566A" w:rsidRDefault="00FC67C9" w:rsidP="00D516CD">
            <w:pPr>
              <w:rPr>
                <w:sz w:val="16"/>
                <w:szCs w:val="16"/>
                <w:lang w:val="en-GB"/>
              </w:rPr>
            </w:pPr>
          </w:p>
          <w:p w14:paraId="022A2D06" w14:textId="77777777" w:rsidR="00FC67C9" w:rsidRPr="00FB566A" w:rsidRDefault="00FC67C9" w:rsidP="00D516CD">
            <w:pPr>
              <w:rPr>
                <w:sz w:val="16"/>
                <w:szCs w:val="16"/>
                <w:lang w:val="en-GB"/>
              </w:rPr>
            </w:pPr>
          </w:p>
          <w:p w14:paraId="270DDEE0" w14:textId="77777777" w:rsidR="00FC67C9" w:rsidRPr="00FB566A" w:rsidRDefault="00FC67C9" w:rsidP="00D516CD">
            <w:pPr>
              <w:rPr>
                <w:sz w:val="16"/>
                <w:szCs w:val="16"/>
                <w:lang w:val="en-GB"/>
              </w:rPr>
            </w:pPr>
          </w:p>
        </w:tc>
        <w:tc>
          <w:tcPr>
            <w:tcW w:w="1368" w:type="pct"/>
            <w:shd w:val="clear" w:color="auto" w:fill="auto"/>
            <w:tcMar>
              <w:top w:w="72" w:type="dxa"/>
              <w:left w:w="144" w:type="dxa"/>
              <w:bottom w:w="72" w:type="dxa"/>
              <w:right w:w="144" w:type="dxa"/>
            </w:tcMar>
          </w:tcPr>
          <w:p w14:paraId="5A2C0AD9" w14:textId="5E66731D" w:rsidR="00FC67C9" w:rsidRPr="00FB566A" w:rsidRDefault="00FC67C9" w:rsidP="00D516CD">
            <w:pPr>
              <w:rPr>
                <w:b/>
                <w:sz w:val="16"/>
                <w:szCs w:val="16"/>
                <w:lang w:val="en-GB"/>
              </w:rPr>
            </w:pPr>
            <w:r w:rsidRPr="00FB566A">
              <w:rPr>
                <w:b/>
                <w:sz w:val="16"/>
                <w:szCs w:val="16"/>
                <w:lang w:val="en-GB"/>
              </w:rPr>
              <w:t xml:space="preserve">Output </w:t>
            </w:r>
            <w:r w:rsidR="003F6568" w:rsidRPr="00FB566A">
              <w:rPr>
                <w:b/>
                <w:sz w:val="16"/>
                <w:szCs w:val="16"/>
                <w:lang w:val="en-GB"/>
              </w:rPr>
              <w:t>2</w:t>
            </w:r>
            <w:r w:rsidRPr="00FB566A">
              <w:rPr>
                <w:b/>
                <w:sz w:val="16"/>
                <w:szCs w:val="16"/>
                <w:lang w:val="en-GB"/>
              </w:rPr>
              <w:t>.1: Skills, decent jobs and livelihoods for youth and women increased</w:t>
            </w:r>
          </w:p>
          <w:p w14:paraId="0336FC30" w14:textId="77777777" w:rsidR="00800BF1" w:rsidRPr="00FB566A" w:rsidRDefault="00800BF1" w:rsidP="00D516CD">
            <w:pPr>
              <w:rPr>
                <w:b/>
                <w:sz w:val="16"/>
                <w:szCs w:val="16"/>
                <w:lang w:val="en-GB"/>
              </w:rPr>
            </w:pPr>
          </w:p>
          <w:p w14:paraId="179329AC" w14:textId="77777777" w:rsidR="00800BF1" w:rsidRPr="00FB566A" w:rsidRDefault="00FC67C9" w:rsidP="00D516CD">
            <w:pPr>
              <w:rPr>
                <w:bCs/>
                <w:sz w:val="16"/>
                <w:szCs w:val="16"/>
                <w:lang w:val="en-GB"/>
              </w:rPr>
            </w:pPr>
            <w:r w:rsidRPr="00FB566A">
              <w:rPr>
                <w:b/>
                <w:sz w:val="16"/>
                <w:szCs w:val="16"/>
                <w:lang w:val="en-GB"/>
              </w:rPr>
              <w:t>Indicative Indicator (1.1.2.3 IRRF) 3.1.1:</w:t>
            </w:r>
            <w:r w:rsidRPr="00FB566A">
              <w:rPr>
                <w:bCs/>
                <w:sz w:val="16"/>
                <w:szCs w:val="16"/>
                <w:lang w:val="en-GB"/>
              </w:rPr>
              <w:t xml:space="preserve">  </w:t>
            </w:r>
          </w:p>
          <w:p w14:paraId="66A8FEA5" w14:textId="19D8E543" w:rsidR="00FC67C9" w:rsidRPr="00FB566A" w:rsidRDefault="00595132" w:rsidP="00D516CD">
            <w:pPr>
              <w:rPr>
                <w:bCs/>
                <w:sz w:val="16"/>
                <w:szCs w:val="16"/>
                <w:lang w:val="en-GB"/>
              </w:rPr>
            </w:pPr>
            <w:r w:rsidRPr="00FB566A">
              <w:rPr>
                <w:bCs/>
                <w:sz w:val="16"/>
                <w:szCs w:val="16"/>
                <w:lang w:val="en-GB"/>
              </w:rPr>
              <w:t>Number</w:t>
            </w:r>
            <w:r w:rsidR="00FC67C9" w:rsidRPr="00FB566A">
              <w:rPr>
                <w:bCs/>
                <w:sz w:val="16"/>
                <w:szCs w:val="16"/>
                <w:lang w:val="en-GB"/>
              </w:rPr>
              <w:t xml:space="preserve"> of jobseekers (women and men) benefiting from the active labour market measures and decent jobs (Kosovo</w:t>
            </w:r>
            <w:r w:rsidR="00707983">
              <w:rPr>
                <w:bCs/>
                <w:sz w:val="16"/>
                <w:szCs w:val="16"/>
                <w:lang w:val="en-GB"/>
              </w:rPr>
              <w:t>-</w:t>
            </w:r>
            <w:r w:rsidR="00FC67C9" w:rsidRPr="00FB566A">
              <w:rPr>
                <w:bCs/>
                <w:sz w:val="16"/>
                <w:szCs w:val="16"/>
                <w:lang w:val="en-GB"/>
              </w:rPr>
              <w:t xml:space="preserve">wide) </w:t>
            </w:r>
          </w:p>
          <w:p w14:paraId="7C3DFBA5" w14:textId="30DFF6C2" w:rsidR="00FC67C9" w:rsidRPr="00FB566A" w:rsidRDefault="00FC67C9" w:rsidP="00D516CD">
            <w:pPr>
              <w:rPr>
                <w:bCs/>
                <w:sz w:val="16"/>
                <w:szCs w:val="16"/>
                <w:lang w:val="en-GB"/>
              </w:rPr>
            </w:pPr>
            <w:r w:rsidRPr="00FB566A">
              <w:rPr>
                <w:bCs/>
                <w:sz w:val="16"/>
                <w:szCs w:val="16"/>
                <w:lang w:val="en-GB"/>
              </w:rPr>
              <w:t xml:space="preserve">Baseline: 850 (40% women) </w:t>
            </w:r>
            <w:r w:rsidR="00707983" w:rsidRPr="00FB566A">
              <w:rPr>
                <w:bCs/>
                <w:sz w:val="16"/>
                <w:szCs w:val="16"/>
                <w:lang w:val="en-GB"/>
              </w:rPr>
              <w:t>(2019)</w:t>
            </w:r>
          </w:p>
          <w:p w14:paraId="70EBE4DF" w14:textId="2AE20D89" w:rsidR="00FC67C9" w:rsidRPr="00FB566A" w:rsidRDefault="00FC67C9" w:rsidP="00D516CD">
            <w:pPr>
              <w:rPr>
                <w:bCs/>
                <w:sz w:val="16"/>
                <w:szCs w:val="16"/>
                <w:lang w:val="en-GB"/>
              </w:rPr>
            </w:pPr>
            <w:r w:rsidRPr="00FB566A">
              <w:rPr>
                <w:bCs/>
                <w:sz w:val="16"/>
                <w:szCs w:val="16"/>
                <w:lang w:val="en-GB"/>
              </w:rPr>
              <w:t xml:space="preserve">Target 3,300 jobseekers </w:t>
            </w:r>
            <w:r w:rsidR="00707983" w:rsidRPr="00FB566A">
              <w:rPr>
                <w:bCs/>
                <w:sz w:val="16"/>
                <w:szCs w:val="16"/>
                <w:lang w:val="en-GB"/>
              </w:rPr>
              <w:t>(40% women)</w:t>
            </w:r>
            <w:r w:rsidR="00707983">
              <w:rPr>
                <w:bCs/>
                <w:sz w:val="16"/>
                <w:szCs w:val="16"/>
                <w:lang w:val="en-GB"/>
              </w:rPr>
              <w:t xml:space="preserve"> </w:t>
            </w:r>
            <w:r w:rsidRPr="00FB566A">
              <w:rPr>
                <w:bCs/>
                <w:sz w:val="16"/>
                <w:szCs w:val="16"/>
                <w:lang w:val="en-GB"/>
              </w:rPr>
              <w:t>have benefited from the measures.</w:t>
            </w:r>
            <w:r w:rsidR="00707983" w:rsidRPr="00FB566A">
              <w:rPr>
                <w:bCs/>
                <w:sz w:val="16"/>
                <w:szCs w:val="16"/>
                <w:lang w:val="en-GB"/>
              </w:rPr>
              <w:t xml:space="preserve"> (2025):</w:t>
            </w:r>
          </w:p>
          <w:p w14:paraId="57D8F822" w14:textId="77777777" w:rsidR="00B00282" w:rsidRPr="00FB566A" w:rsidRDefault="00B00282" w:rsidP="00D516CD">
            <w:pPr>
              <w:rPr>
                <w:bCs/>
                <w:sz w:val="16"/>
                <w:szCs w:val="16"/>
                <w:lang w:val="en-GB"/>
              </w:rPr>
            </w:pPr>
          </w:p>
          <w:p w14:paraId="482217F9" w14:textId="1B5AF781" w:rsidR="00FC67C9" w:rsidRPr="00FB566A" w:rsidRDefault="00FC67C9" w:rsidP="00D516CD">
            <w:pPr>
              <w:rPr>
                <w:b/>
                <w:sz w:val="16"/>
                <w:szCs w:val="16"/>
                <w:lang w:val="en-GB"/>
              </w:rPr>
            </w:pPr>
            <w:r w:rsidRPr="00FB566A">
              <w:rPr>
                <w:b/>
                <w:sz w:val="16"/>
                <w:szCs w:val="16"/>
                <w:lang w:val="en-GB"/>
              </w:rPr>
              <w:t xml:space="preserve">Output </w:t>
            </w:r>
            <w:r w:rsidR="003F6568" w:rsidRPr="00FB566A">
              <w:rPr>
                <w:b/>
                <w:sz w:val="16"/>
                <w:szCs w:val="16"/>
                <w:lang w:val="en-GB"/>
              </w:rPr>
              <w:t>2</w:t>
            </w:r>
            <w:r w:rsidRPr="00FB566A">
              <w:rPr>
                <w:b/>
                <w:sz w:val="16"/>
                <w:szCs w:val="16"/>
                <w:lang w:val="en-GB"/>
              </w:rPr>
              <w:t xml:space="preserve">.2: Planning and mechanisms for inclusive service delivery strengthened </w:t>
            </w:r>
          </w:p>
          <w:p w14:paraId="6DC3AB99" w14:textId="77777777" w:rsidR="00800BF1" w:rsidRPr="00FB566A" w:rsidRDefault="00800BF1" w:rsidP="00D516CD">
            <w:pPr>
              <w:rPr>
                <w:b/>
                <w:sz w:val="16"/>
                <w:szCs w:val="16"/>
                <w:lang w:val="en-GB"/>
              </w:rPr>
            </w:pPr>
          </w:p>
          <w:p w14:paraId="5EFE896A" w14:textId="77777777" w:rsidR="00FC67C9" w:rsidRPr="00FB566A" w:rsidRDefault="00FC67C9" w:rsidP="00D516CD">
            <w:pPr>
              <w:rPr>
                <w:bCs/>
                <w:sz w:val="16"/>
                <w:szCs w:val="16"/>
                <w:lang w:val="en-GB"/>
              </w:rPr>
            </w:pPr>
            <w:r w:rsidRPr="00FB566A">
              <w:rPr>
                <w:b/>
                <w:sz w:val="16"/>
                <w:szCs w:val="16"/>
                <w:lang w:val="en-GB"/>
              </w:rPr>
              <w:t>Indicative Indicator (1.2.1.1 IRRF) 3.2.1</w:t>
            </w:r>
            <w:r w:rsidRPr="00FB566A">
              <w:rPr>
                <w:bCs/>
                <w:sz w:val="16"/>
                <w:szCs w:val="16"/>
                <w:lang w:val="en-GB"/>
              </w:rPr>
              <w:t xml:space="preserve">:  </w:t>
            </w:r>
          </w:p>
          <w:p w14:paraId="65EA9F2B" w14:textId="21D4C609" w:rsidR="00FC67C9" w:rsidRPr="00FB566A" w:rsidRDefault="00FC67C9" w:rsidP="00D516CD">
            <w:pPr>
              <w:rPr>
                <w:bCs/>
                <w:sz w:val="16"/>
                <w:szCs w:val="16"/>
                <w:lang w:val="en-GB"/>
              </w:rPr>
            </w:pPr>
            <w:r w:rsidRPr="00FB566A">
              <w:rPr>
                <w:bCs/>
                <w:sz w:val="16"/>
                <w:szCs w:val="16"/>
                <w:lang w:val="en-GB"/>
              </w:rPr>
              <w:t xml:space="preserve"> </w:t>
            </w:r>
            <w:r w:rsidR="00595132" w:rsidRPr="00FB566A">
              <w:rPr>
                <w:bCs/>
                <w:sz w:val="16"/>
                <w:szCs w:val="16"/>
                <w:lang w:val="en-GB"/>
              </w:rPr>
              <w:t xml:space="preserve">Number </w:t>
            </w:r>
            <w:r w:rsidRPr="00FB566A">
              <w:rPr>
                <w:bCs/>
                <w:sz w:val="16"/>
                <w:szCs w:val="16"/>
                <w:lang w:val="en-GB"/>
              </w:rPr>
              <w:t xml:space="preserve">of municipalities with institutionalized model of transparent and gender sensitive project-based funding of </w:t>
            </w:r>
            <w:r w:rsidR="00595132" w:rsidRPr="00FB566A">
              <w:rPr>
                <w:bCs/>
                <w:sz w:val="16"/>
                <w:szCs w:val="16"/>
                <w:lang w:val="en-GB"/>
              </w:rPr>
              <w:t>civil society organi</w:t>
            </w:r>
            <w:r w:rsidR="00707983">
              <w:rPr>
                <w:bCs/>
                <w:sz w:val="16"/>
                <w:szCs w:val="16"/>
                <w:lang w:val="en-GB"/>
              </w:rPr>
              <w:t>z</w:t>
            </w:r>
            <w:r w:rsidR="00595132" w:rsidRPr="00FB566A">
              <w:rPr>
                <w:bCs/>
                <w:sz w:val="16"/>
                <w:szCs w:val="16"/>
                <w:lang w:val="en-GB"/>
              </w:rPr>
              <w:t>ations</w:t>
            </w:r>
            <w:r w:rsidRPr="00FB566A">
              <w:rPr>
                <w:bCs/>
                <w:sz w:val="16"/>
                <w:szCs w:val="16"/>
                <w:lang w:val="en-GB"/>
              </w:rPr>
              <w:t xml:space="preserve">. </w:t>
            </w:r>
          </w:p>
          <w:p w14:paraId="74E91187" w14:textId="3821C797" w:rsidR="00FC67C9" w:rsidRPr="00FB566A" w:rsidRDefault="00FC67C9" w:rsidP="00D516CD">
            <w:pPr>
              <w:rPr>
                <w:bCs/>
                <w:sz w:val="16"/>
                <w:szCs w:val="16"/>
                <w:lang w:val="en-GB"/>
              </w:rPr>
            </w:pPr>
            <w:r w:rsidRPr="00FB566A">
              <w:rPr>
                <w:bCs/>
                <w:sz w:val="16"/>
                <w:szCs w:val="16"/>
                <w:lang w:val="en-GB"/>
              </w:rPr>
              <w:t>Baseline: 5</w:t>
            </w:r>
            <w:r w:rsidR="00707983">
              <w:rPr>
                <w:bCs/>
                <w:sz w:val="16"/>
                <w:szCs w:val="16"/>
                <w:lang w:val="en-GB"/>
              </w:rPr>
              <w:t xml:space="preserve"> </w:t>
            </w:r>
            <w:r w:rsidR="00707983" w:rsidRPr="00FB566A">
              <w:rPr>
                <w:bCs/>
                <w:sz w:val="16"/>
                <w:szCs w:val="16"/>
                <w:lang w:val="en-GB"/>
              </w:rPr>
              <w:t>(2020)</w:t>
            </w:r>
            <w:r w:rsidRPr="00FB566A">
              <w:rPr>
                <w:bCs/>
                <w:sz w:val="16"/>
                <w:szCs w:val="16"/>
                <w:lang w:val="en-GB"/>
              </w:rPr>
              <w:t xml:space="preserve"> </w:t>
            </w:r>
          </w:p>
          <w:p w14:paraId="2C52713D" w14:textId="02F2AE8C" w:rsidR="00FC67C9" w:rsidRPr="00FB566A" w:rsidRDefault="00FC67C9" w:rsidP="00D516CD">
            <w:pPr>
              <w:rPr>
                <w:bCs/>
                <w:sz w:val="16"/>
                <w:szCs w:val="16"/>
                <w:lang w:val="en-GB"/>
              </w:rPr>
            </w:pPr>
            <w:r w:rsidRPr="00FB566A">
              <w:rPr>
                <w:bCs/>
                <w:sz w:val="16"/>
                <w:szCs w:val="16"/>
                <w:lang w:val="en-GB"/>
              </w:rPr>
              <w:t>Target: 13</w:t>
            </w:r>
            <w:r w:rsidR="00707983">
              <w:rPr>
                <w:bCs/>
                <w:sz w:val="16"/>
                <w:szCs w:val="16"/>
                <w:lang w:val="en-GB"/>
              </w:rPr>
              <w:t xml:space="preserve"> </w:t>
            </w:r>
            <w:r w:rsidR="00707983" w:rsidRPr="00FB566A">
              <w:rPr>
                <w:bCs/>
                <w:sz w:val="16"/>
                <w:szCs w:val="16"/>
                <w:lang w:val="en-GB"/>
              </w:rPr>
              <w:t>(2025)</w:t>
            </w:r>
          </w:p>
          <w:p w14:paraId="2066BE11" w14:textId="77777777" w:rsidR="00D57135" w:rsidRPr="00FB566A" w:rsidRDefault="00D57135" w:rsidP="00D516CD">
            <w:pPr>
              <w:rPr>
                <w:bCs/>
                <w:sz w:val="16"/>
                <w:szCs w:val="16"/>
                <w:lang w:val="en-GB"/>
              </w:rPr>
            </w:pPr>
          </w:p>
          <w:p w14:paraId="2C846C17" w14:textId="0BD5CCC9" w:rsidR="00FC67C9" w:rsidRPr="00FB566A" w:rsidRDefault="00FC67C9" w:rsidP="00D516CD">
            <w:pPr>
              <w:rPr>
                <w:b/>
                <w:sz w:val="16"/>
                <w:szCs w:val="16"/>
                <w:lang w:val="en-GB"/>
              </w:rPr>
            </w:pPr>
            <w:r w:rsidRPr="00FB566A">
              <w:rPr>
                <w:b/>
                <w:sz w:val="16"/>
                <w:szCs w:val="16"/>
                <w:lang w:val="en-GB"/>
              </w:rPr>
              <w:t xml:space="preserve">Output </w:t>
            </w:r>
            <w:r w:rsidR="003F6568" w:rsidRPr="00FB566A">
              <w:rPr>
                <w:b/>
                <w:sz w:val="16"/>
                <w:szCs w:val="16"/>
                <w:lang w:val="en-GB"/>
              </w:rPr>
              <w:t>2</w:t>
            </w:r>
            <w:r w:rsidRPr="00FB566A">
              <w:rPr>
                <w:b/>
                <w:sz w:val="16"/>
                <w:szCs w:val="16"/>
                <w:lang w:val="en-GB"/>
              </w:rPr>
              <w:t xml:space="preserve">.3: Enhanced climate change and green investment strategies </w:t>
            </w:r>
          </w:p>
          <w:p w14:paraId="005E255C" w14:textId="77777777" w:rsidR="00800BF1" w:rsidRPr="00FB566A" w:rsidRDefault="00800BF1" w:rsidP="00D516CD">
            <w:pPr>
              <w:rPr>
                <w:b/>
                <w:sz w:val="16"/>
                <w:szCs w:val="16"/>
                <w:lang w:val="en-GB"/>
              </w:rPr>
            </w:pPr>
          </w:p>
          <w:p w14:paraId="6F337F33" w14:textId="77777777" w:rsidR="00FC67C9" w:rsidRPr="00FB566A" w:rsidRDefault="00FC67C9" w:rsidP="00D516CD">
            <w:pPr>
              <w:rPr>
                <w:b/>
                <w:sz w:val="16"/>
                <w:szCs w:val="16"/>
                <w:lang w:val="en-GB"/>
              </w:rPr>
            </w:pPr>
            <w:r w:rsidRPr="00FB566A">
              <w:rPr>
                <w:b/>
                <w:sz w:val="16"/>
                <w:szCs w:val="16"/>
                <w:lang w:val="en-GB"/>
              </w:rPr>
              <w:t>Indicative Indicator (2.3.1.1 IRRF) 3.3.1:</w:t>
            </w:r>
          </w:p>
          <w:p w14:paraId="25A3C75B" w14:textId="750E3461" w:rsidR="00FC67C9" w:rsidRPr="00FB566A" w:rsidRDefault="00D142F7" w:rsidP="00D516CD">
            <w:pPr>
              <w:rPr>
                <w:bCs/>
                <w:sz w:val="16"/>
                <w:szCs w:val="16"/>
                <w:lang w:val="en-GB"/>
              </w:rPr>
            </w:pPr>
            <w:r w:rsidRPr="00FB566A">
              <w:rPr>
                <w:bCs/>
                <w:sz w:val="16"/>
                <w:szCs w:val="16"/>
                <w:lang w:val="en-GB"/>
              </w:rPr>
              <w:t xml:space="preserve">Number </w:t>
            </w:r>
            <w:r w:rsidR="00FC67C9" w:rsidRPr="00FB566A">
              <w:rPr>
                <w:bCs/>
                <w:sz w:val="16"/>
                <w:szCs w:val="16"/>
                <w:lang w:val="en-GB"/>
              </w:rPr>
              <w:t>of strategies reflecting long-term resilience</w:t>
            </w:r>
            <w:r w:rsidR="00707983">
              <w:rPr>
                <w:bCs/>
                <w:sz w:val="16"/>
                <w:szCs w:val="16"/>
                <w:lang w:val="en-GB"/>
              </w:rPr>
              <w:t>-</w:t>
            </w:r>
            <w:r w:rsidR="00FC67C9" w:rsidRPr="00FB566A">
              <w:rPr>
                <w:bCs/>
                <w:sz w:val="16"/>
                <w:szCs w:val="16"/>
                <w:lang w:val="en-GB"/>
              </w:rPr>
              <w:t xml:space="preserve">building to address co-vulnerabilities of the climate and health crises approved (Pristina) </w:t>
            </w:r>
          </w:p>
          <w:p w14:paraId="1723C368" w14:textId="469DA90D" w:rsidR="00FC67C9" w:rsidRPr="00FB566A" w:rsidRDefault="00FC67C9" w:rsidP="00D516CD">
            <w:pPr>
              <w:rPr>
                <w:bCs/>
                <w:sz w:val="16"/>
                <w:szCs w:val="16"/>
                <w:lang w:val="en-GB"/>
              </w:rPr>
            </w:pPr>
            <w:r w:rsidRPr="00FB566A">
              <w:rPr>
                <w:bCs/>
                <w:sz w:val="16"/>
                <w:szCs w:val="16"/>
                <w:lang w:val="en-GB"/>
              </w:rPr>
              <w:t xml:space="preserve">Baseline: </w:t>
            </w:r>
            <w:r w:rsidR="00B97755" w:rsidRPr="00FB566A">
              <w:rPr>
                <w:bCs/>
                <w:sz w:val="16"/>
                <w:szCs w:val="16"/>
                <w:lang w:val="en-GB"/>
              </w:rPr>
              <w:t>1</w:t>
            </w:r>
            <w:r w:rsidR="00707983">
              <w:rPr>
                <w:bCs/>
                <w:sz w:val="16"/>
                <w:szCs w:val="16"/>
                <w:lang w:val="en-GB"/>
              </w:rPr>
              <w:t xml:space="preserve"> </w:t>
            </w:r>
            <w:r w:rsidR="00707983" w:rsidRPr="00FB566A">
              <w:rPr>
                <w:bCs/>
                <w:sz w:val="16"/>
                <w:szCs w:val="16"/>
                <w:lang w:val="en-GB"/>
              </w:rPr>
              <w:t>(2019)</w:t>
            </w:r>
          </w:p>
          <w:p w14:paraId="520C1BFC" w14:textId="296B2666" w:rsidR="00FC67C9" w:rsidRPr="00FB566A" w:rsidRDefault="00FC67C9" w:rsidP="00D516CD">
            <w:pPr>
              <w:rPr>
                <w:bCs/>
                <w:sz w:val="16"/>
                <w:szCs w:val="16"/>
                <w:lang w:val="en-GB"/>
              </w:rPr>
            </w:pPr>
            <w:r w:rsidRPr="00FB566A">
              <w:rPr>
                <w:bCs/>
                <w:sz w:val="16"/>
                <w:szCs w:val="16"/>
                <w:lang w:val="en-GB"/>
              </w:rPr>
              <w:t>Target: 5</w:t>
            </w:r>
            <w:r w:rsidR="00707983">
              <w:rPr>
                <w:bCs/>
                <w:sz w:val="16"/>
                <w:szCs w:val="16"/>
                <w:lang w:val="en-GB"/>
              </w:rPr>
              <w:t xml:space="preserve"> </w:t>
            </w:r>
            <w:r w:rsidR="00707983" w:rsidRPr="00FB566A">
              <w:rPr>
                <w:bCs/>
                <w:sz w:val="16"/>
                <w:szCs w:val="16"/>
                <w:lang w:val="en-GB"/>
              </w:rPr>
              <w:t>(2025)</w:t>
            </w:r>
          </w:p>
          <w:p w14:paraId="38890467" w14:textId="77777777" w:rsidR="00D57135" w:rsidRPr="00FB566A" w:rsidRDefault="00D57135" w:rsidP="00D516CD">
            <w:pPr>
              <w:rPr>
                <w:bCs/>
                <w:sz w:val="16"/>
                <w:szCs w:val="16"/>
                <w:lang w:val="en-GB"/>
              </w:rPr>
            </w:pPr>
          </w:p>
          <w:p w14:paraId="359A7D05" w14:textId="29734568" w:rsidR="00FC67C9" w:rsidRPr="00FB566A" w:rsidRDefault="00FC67C9" w:rsidP="00D516CD">
            <w:pPr>
              <w:rPr>
                <w:b/>
                <w:sz w:val="16"/>
                <w:szCs w:val="16"/>
                <w:lang w:val="en-GB"/>
              </w:rPr>
            </w:pPr>
            <w:r w:rsidRPr="00FB566A">
              <w:rPr>
                <w:b/>
                <w:sz w:val="16"/>
                <w:szCs w:val="16"/>
                <w:lang w:val="en-GB"/>
              </w:rPr>
              <w:t xml:space="preserve">Output </w:t>
            </w:r>
            <w:r w:rsidR="003F6568" w:rsidRPr="00FB566A">
              <w:rPr>
                <w:b/>
                <w:sz w:val="16"/>
                <w:szCs w:val="16"/>
                <w:lang w:val="en-GB"/>
              </w:rPr>
              <w:t>2</w:t>
            </w:r>
            <w:r w:rsidRPr="00FB566A">
              <w:rPr>
                <w:b/>
                <w:sz w:val="16"/>
                <w:szCs w:val="16"/>
                <w:lang w:val="en-GB"/>
              </w:rPr>
              <w:t xml:space="preserve">.4: Enhanced capacities in monitoring, forecasting and early warning for climate risks and disasters </w:t>
            </w:r>
          </w:p>
          <w:p w14:paraId="2D682DE9" w14:textId="77777777" w:rsidR="00D57135" w:rsidRPr="00FB566A" w:rsidRDefault="00D57135" w:rsidP="00D516CD">
            <w:pPr>
              <w:rPr>
                <w:b/>
                <w:sz w:val="16"/>
                <w:szCs w:val="16"/>
                <w:lang w:val="en-GB"/>
              </w:rPr>
            </w:pPr>
          </w:p>
          <w:p w14:paraId="02BB06EE" w14:textId="77777777" w:rsidR="00FC67C9" w:rsidRPr="00FB566A" w:rsidRDefault="00FC67C9" w:rsidP="00D516CD">
            <w:pPr>
              <w:rPr>
                <w:b/>
                <w:sz w:val="16"/>
                <w:szCs w:val="16"/>
                <w:lang w:val="en-GB"/>
              </w:rPr>
            </w:pPr>
            <w:r w:rsidRPr="00FB566A">
              <w:rPr>
                <w:b/>
                <w:sz w:val="16"/>
                <w:szCs w:val="16"/>
                <w:lang w:val="en-GB"/>
              </w:rPr>
              <w:t xml:space="preserve">Indicative Indicator (2.3.1.1 IRRF) 3.4.1:  </w:t>
            </w:r>
          </w:p>
          <w:p w14:paraId="5CA53E8C" w14:textId="12430534" w:rsidR="00FC67C9" w:rsidRPr="00FB566A" w:rsidRDefault="00D142F7" w:rsidP="00D516CD">
            <w:pPr>
              <w:rPr>
                <w:bCs/>
                <w:sz w:val="16"/>
                <w:szCs w:val="16"/>
                <w:lang w:val="en-GB"/>
              </w:rPr>
            </w:pPr>
            <w:r w:rsidRPr="00FB566A">
              <w:rPr>
                <w:bCs/>
                <w:sz w:val="16"/>
                <w:szCs w:val="16"/>
                <w:lang w:val="en-GB"/>
              </w:rPr>
              <w:t>Number</w:t>
            </w:r>
            <w:r w:rsidR="00FC67C9" w:rsidRPr="00FB566A">
              <w:rPr>
                <w:bCs/>
                <w:sz w:val="16"/>
                <w:szCs w:val="16"/>
                <w:lang w:val="en-GB"/>
              </w:rPr>
              <w:t xml:space="preserve"> of action plans from </w:t>
            </w:r>
            <w:r w:rsidR="00707983">
              <w:rPr>
                <w:bCs/>
                <w:sz w:val="16"/>
                <w:szCs w:val="16"/>
                <w:lang w:val="en-GB"/>
              </w:rPr>
              <w:t xml:space="preserve">disaster risk reduction </w:t>
            </w:r>
            <w:r w:rsidR="00FC67C9" w:rsidRPr="00FB566A">
              <w:rPr>
                <w:bCs/>
                <w:sz w:val="16"/>
                <w:szCs w:val="16"/>
                <w:lang w:val="en-GB"/>
              </w:rPr>
              <w:t>strategy implemented by Emergency Management Agency and municipalities (Kosovo</w:t>
            </w:r>
            <w:r w:rsidR="00707983">
              <w:rPr>
                <w:bCs/>
                <w:sz w:val="16"/>
                <w:szCs w:val="16"/>
                <w:lang w:val="en-GB"/>
              </w:rPr>
              <w:t>-</w:t>
            </w:r>
            <w:r w:rsidR="00FC67C9" w:rsidRPr="00FB566A">
              <w:rPr>
                <w:bCs/>
                <w:sz w:val="16"/>
                <w:szCs w:val="16"/>
                <w:lang w:val="en-GB"/>
              </w:rPr>
              <w:t xml:space="preserve">wide) </w:t>
            </w:r>
          </w:p>
          <w:p w14:paraId="4A5D7B71" w14:textId="7BE708AC" w:rsidR="00FC67C9" w:rsidRPr="00FB566A" w:rsidRDefault="00FC67C9" w:rsidP="00D516CD">
            <w:pPr>
              <w:rPr>
                <w:bCs/>
                <w:sz w:val="16"/>
                <w:szCs w:val="16"/>
                <w:lang w:val="en-GB"/>
              </w:rPr>
            </w:pPr>
            <w:r w:rsidRPr="00FB566A">
              <w:rPr>
                <w:bCs/>
                <w:sz w:val="16"/>
                <w:szCs w:val="16"/>
                <w:lang w:val="en-GB"/>
              </w:rPr>
              <w:t xml:space="preserve">Baseline:  5 </w:t>
            </w:r>
            <w:r w:rsidR="00780F78">
              <w:rPr>
                <w:bCs/>
                <w:sz w:val="16"/>
                <w:szCs w:val="16"/>
                <w:lang w:val="en-GB"/>
              </w:rPr>
              <w:t xml:space="preserve">actions </w:t>
            </w:r>
            <w:r w:rsidR="00707983" w:rsidRPr="00FB566A">
              <w:rPr>
                <w:bCs/>
                <w:sz w:val="16"/>
                <w:szCs w:val="16"/>
                <w:lang w:val="en-GB"/>
              </w:rPr>
              <w:t>(2020)</w:t>
            </w:r>
          </w:p>
          <w:p w14:paraId="7F557E2E" w14:textId="6944B01C" w:rsidR="00FC67C9" w:rsidRPr="00FB566A" w:rsidRDefault="00FC67C9" w:rsidP="00D516CD">
            <w:pPr>
              <w:rPr>
                <w:bCs/>
                <w:sz w:val="16"/>
                <w:szCs w:val="16"/>
                <w:lang w:val="en-GB"/>
              </w:rPr>
            </w:pPr>
            <w:r w:rsidRPr="00FB566A">
              <w:rPr>
                <w:bCs/>
                <w:sz w:val="16"/>
                <w:szCs w:val="16"/>
                <w:lang w:val="en-GB"/>
              </w:rPr>
              <w:t>Target: 15</w:t>
            </w:r>
            <w:r w:rsidR="00707983">
              <w:rPr>
                <w:bCs/>
                <w:sz w:val="16"/>
                <w:szCs w:val="16"/>
                <w:lang w:val="en-GB"/>
              </w:rPr>
              <w:t xml:space="preserve"> </w:t>
            </w:r>
            <w:r w:rsidR="00707983" w:rsidRPr="00FB566A">
              <w:rPr>
                <w:bCs/>
                <w:sz w:val="16"/>
                <w:szCs w:val="16"/>
                <w:lang w:val="en-GB"/>
              </w:rPr>
              <w:t>(2025)</w:t>
            </w:r>
          </w:p>
          <w:p w14:paraId="33A785F7" w14:textId="77777777" w:rsidR="00D57135" w:rsidRPr="00FB566A" w:rsidRDefault="00D57135" w:rsidP="00D516CD">
            <w:pPr>
              <w:rPr>
                <w:bCs/>
                <w:sz w:val="16"/>
                <w:szCs w:val="16"/>
                <w:lang w:val="en-GB"/>
              </w:rPr>
            </w:pPr>
          </w:p>
          <w:p w14:paraId="502B6AC4" w14:textId="129B1E65" w:rsidR="00FC67C9" w:rsidRPr="00FB566A" w:rsidRDefault="00FC67C9" w:rsidP="00D516CD">
            <w:pPr>
              <w:rPr>
                <w:bCs/>
                <w:sz w:val="16"/>
                <w:szCs w:val="16"/>
                <w:lang w:val="en-GB"/>
              </w:rPr>
            </w:pPr>
            <w:r w:rsidRPr="00FB566A">
              <w:rPr>
                <w:b/>
                <w:sz w:val="16"/>
                <w:szCs w:val="16"/>
                <w:lang w:val="en-GB"/>
              </w:rPr>
              <w:t>Indicative Indicator: (2.4.1.1 IRRF)</w:t>
            </w:r>
            <w:r w:rsidR="00800BF1" w:rsidRPr="00FB566A">
              <w:rPr>
                <w:b/>
                <w:sz w:val="16"/>
                <w:szCs w:val="16"/>
                <w:lang w:val="en-GB"/>
              </w:rPr>
              <w:t xml:space="preserve"> </w:t>
            </w:r>
            <w:r w:rsidRPr="00FB566A">
              <w:rPr>
                <w:b/>
                <w:sz w:val="16"/>
                <w:szCs w:val="16"/>
                <w:lang w:val="en-GB"/>
              </w:rPr>
              <w:t>3.4.2</w:t>
            </w:r>
            <w:r w:rsidRPr="00FB566A">
              <w:rPr>
                <w:bCs/>
                <w:sz w:val="16"/>
                <w:szCs w:val="16"/>
                <w:lang w:val="en-GB"/>
              </w:rPr>
              <w:t xml:space="preserve">: </w:t>
            </w:r>
            <w:r w:rsidR="00D142F7" w:rsidRPr="00FB566A">
              <w:rPr>
                <w:bCs/>
                <w:sz w:val="16"/>
                <w:szCs w:val="16"/>
                <w:lang w:val="en-GB"/>
              </w:rPr>
              <w:t>Number</w:t>
            </w:r>
            <w:r w:rsidRPr="00FB566A">
              <w:rPr>
                <w:bCs/>
                <w:sz w:val="16"/>
                <w:szCs w:val="16"/>
                <w:lang w:val="en-GB"/>
              </w:rPr>
              <w:t xml:space="preserve"> of monitoring programmes operational for integrated transboundary river basin management of the Drin (water quality, hydrological/hydrogeological, sediment transport, biodiversity) for coordinated actions for the transboundary integrated management of the Drin Basin (Kosovo</w:t>
            </w:r>
            <w:r w:rsidR="00AF33DD">
              <w:rPr>
                <w:rStyle w:val="FootnoteReference"/>
                <w:bCs/>
                <w:sz w:val="16"/>
                <w:szCs w:val="16"/>
                <w:lang w:val="en-GB"/>
              </w:rPr>
              <w:footnoteReference w:id="4"/>
            </w:r>
            <w:r w:rsidRPr="00FB566A">
              <w:rPr>
                <w:bCs/>
                <w:sz w:val="16"/>
                <w:szCs w:val="16"/>
                <w:lang w:val="en-GB"/>
              </w:rPr>
              <w:t xml:space="preserve">, North Macedonia, Montenegro, Albania and Greece) </w:t>
            </w:r>
          </w:p>
          <w:p w14:paraId="2CABB75F" w14:textId="0B25054E" w:rsidR="00FC67C9" w:rsidRPr="00FB566A" w:rsidRDefault="00FC67C9" w:rsidP="00D516CD">
            <w:pPr>
              <w:rPr>
                <w:bCs/>
                <w:sz w:val="16"/>
                <w:szCs w:val="16"/>
                <w:lang w:val="en-GB"/>
              </w:rPr>
            </w:pPr>
            <w:r w:rsidRPr="00FB566A">
              <w:rPr>
                <w:bCs/>
                <w:sz w:val="16"/>
                <w:szCs w:val="16"/>
                <w:lang w:val="en-GB"/>
              </w:rPr>
              <w:t>Baseline: 0</w:t>
            </w:r>
            <w:r w:rsidR="00707983">
              <w:rPr>
                <w:bCs/>
                <w:sz w:val="16"/>
                <w:szCs w:val="16"/>
                <w:lang w:val="en-GB"/>
              </w:rPr>
              <w:t xml:space="preserve"> </w:t>
            </w:r>
            <w:r w:rsidR="00707983" w:rsidRPr="00FB566A">
              <w:rPr>
                <w:bCs/>
                <w:sz w:val="16"/>
                <w:szCs w:val="16"/>
                <w:lang w:val="en-GB"/>
              </w:rPr>
              <w:t>(2020)</w:t>
            </w:r>
          </w:p>
          <w:p w14:paraId="52A68D01" w14:textId="264940BA" w:rsidR="00FC67C9" w:rsidRPr="00FB566A" w:rsidRDefault="00FC67C9" w:rsidP="00D516CD">
            <w:pPr>
              <w:rPr>
                <w:bCs/>
                <w:sz w:val="16"/>
                <w:szCs w:val="16"/>
                <w:lang w:val="en-GB"/>
              </w:rPr>
            </w:pPr>
            <w:r w:rsidRPr="00FB566A">
              <w:rPr>
                <w:bCs/>
                <w:sz w:val="16"/>
                <w:szCs w:val="16"/>
                <w:lang w:val="en-GB"/>
              </w:rPr>
              <w:t>Target: 4</w:t>
            </w:r>
            <w:r w:rsidR="00707983">
              <w:rPr>
                <w:bCs/>
                <w:sz w:val="16"/>
                <w:szCs w:val="16"/>
                <w:lang w:val="en-GB"/>
              </w:rPr>
              <w:t xml:space="preserve"> </w:t>
            </w:r>
            <w:r w:rsidR="00707983" w:rsidRPr="00FB566A">
              <w:rPr>
                <w:bCs/>
                <w:sz w:val="16"/>
                <w:szCs w:val="16"/>
                <w:lang w:val="en-GB"/>
              </w:rPr>
              <w:t>(2025)</w:t>
            </w:r>
          </w:p>
          <w:p w14:paraId="5EDD6383" w14:textId="77777777" w:rsidR="008E0C8A" w:rsidRPr="00FB566A" w:rsidRDefault="008E0C8A" w:rsidP="00D516CD">
            <w:pPr>
              <w:rPr>
                <w:bCs/>
                <w:sz w:val="16"/>
                <w:szCs w:val="16"/>
                <w:lang w:val="en-GB"/>
              </w:rPr>
            </w:pPr>
          </w:p>
          <w:p w14:paraId="6C1E20E1" w14:textId="463A7DD9" w:rsidR="00FC67C9" w:rsidRPr="00FB566A" w:rsidRDefault="00FC67C9" w:rsidP="00D516CD">
            <w:pPr>
              <w:rPr>
                <w:b/>
                <w:sz w:val="16"/>
                <w:szCs w:val="16"/>
                <w:lang w:val="en-GB"/>
              </w:rPr>
            </w:pPr>
            <w:r w:rsidRPr="00FB566A">
              <w:rPr>
                <w:b/>
                <w:sz w:val="16"/>
                <w:szCs w:val="16"/>
                <w:lang w:val="en-GB"/>
              </w:rPr>
              <w:t xml:space="preserve">Output </w:t>
            </w:r>
            <w:r w:rsidR="003F6568" w:rsidRPr="00FB566A">
              <w:rPr>
                <w:b/>
                <w:sz w:val="16"/>
                <w:szCs w:val="16"/>
                <w:lang w:val="en-GB"/>
              </w:rPr>
              <w:t>2</w:t>
            </w:r>
            <w:r w:rsidRPr="00FB566A">
              <w:rPr>
                <w:b/>
                <w:sz w:val="16"/>
                <w:szCs w:val="16"/>
                <w:lang w:val="en-GB"/>
              </w:rPr>
              <w:t xml:space="preserve">.5 Livelihoods recovered post COVID-19 </w:t>
            </w:r>
          </w:p>
          <w:p w14:paraId="72B7A855" w14:textId="77777777" w:rsidR="00800BF1" w:rsidRPr="00FB566A" w:rsidRDefault="00800BF1" w:rsidP="00D516CD">
            <w:pPr>
              <w:rPr>
                <w:b/>
                <w:sz w:val="16"/>
                <w:szCs w:val="16"/>
                <w:lang w:val="en-GB"/>
              </w:rPr>
            </w:pPr>
          </w:p>
          <w:p w14:paraId="5AE03699" w14:textId="77777777" w:rsidR="00FC67C9" w:rsidRPr="00FB566A" w:rsidRDefault="00FC67C9" w:rsidP="00D516CD">
            <w:pPr>
              <w:rPr>
                <w:b/>
                <w:sz w:val="16"/>
                <w:szCs w:val="16"/>
                <w:lang w:val="en-GB"/>
              </w:rPr>
            </w:pPr>
            <w:r w:rsidRPr="00FB566A">
              <w:rPr>
                <w:b/>
                <w:sz w:val="16"/>
                <w:szCs w:val="16"/>
                <w:lang w:val="en-GB"/>
              </w:rPr>
              <w:t xml:space="preserve">Indicative Indicator (3.1.1.3 IRRF) 3.5.1 </w:t>
            </w:r>
          </w:p>
          <w:p w14:paraId="669B63EC" w14:textId="73977DE1" w:rsidR="00FC67C9" w:rsidRPr="00FB566A" w:rsidRDefault="00D142F7" w:rsidP="00D516CD">
            <w:pPr>
              <w:rPr>
                <w:bCs/>
                <w:sz w:val="16"/>
                <w:szCs w:val="16"/>
                <w:lang w:val="en-GB"/>
              </w:rPr>
            </w:pPr>
            <w:r w:rsidRPr="00FB566A">
              <w:rPr>
                <w:bCs/>
                <w:sz w:val="16"/>
                <w:szCs w:val="16"/>
                <w:lang w:val="en-GB"/>
              </w:rPr>
              <w:t>Number</w:t>
            </w:r>
            <w:r w:rsidR="00FC67C9" w:rsidRPr="00FB566A">
              <w:rPr>
                <w:bCs/>
                <w:sz w:val="16"/>
                <w:szCs w:val="16"/>
                <w:lang w:val="en-GB"/>
              </w:rPr>
              <w:t xml:space="preserve"> micro enterprises benefit from green recovery, including circular economy (Kosovo</w:t>
            </w:r>
            <w:r w:rsidR="00707983">
              <w:rPr>
                <w:bCs/>
                <w:sz w:val="16"/>
                <w:szCs w:val="16"/>
                <w:lang w:val="en-GB"/>
              </w:rPr>
              <w:t>-</w:t>
            </w:r>
            <w:r w:rsidR="00FC67C9" w:rsidRPr="00FB566A">
              <w:rPr>
                <w:bCs/>
                <w:sz w:val="16"/>
                <w:szCs w:val="16"/>
                <w:lang w:val="en-GB"/>
              </w:rPr>
              <w:t>wide)</w:t>
            </w:r>
          </w:p>
          <w:p w14:paraId="7255347D" w14:textId="571DBF5D" w:rsidR="00FC67C9" w:rsidRPr="00FB566A" w:rsidRDefault="00FC67C9" w:rsidP="00D516CD">
            <w:pPr>
              <w:rPr>
                <w:bCs/>
                <w:sz w:val="16"/>
                <w:szCs w:val="16"/>
                <w:lang w:val="en-GB"/>
              </w:rPr>
            </w:pPr>
            <w:r w:rsidRPr="00FB566A">
              <w:rPr>
                <w:bCs/>
                <w:sz w:val="16"/>
                <w:szCs w:val="16"/>
                <w:lang w:val="en-GB"/>
              </w:rPr>
              <w:t>Baseline</w:t>
            </w:r>
            <w:r w:rsidR="00707983">
              <w:rPr>
                <w:bCs/>
                <w:sz w:val="16"/>
                <w:szCs w:val="16"/>
                <w:lang w:val="en-GB"/>
              </w:rPr>
              <w:t>:</w:t>
            </w:r>
            <w:r w:rsidRPr="00FB566A">
              <w:rPr>
                <w:bCs/>
                <w:sz w:val="16"/>
                <w:szCs w:val="16"/>
                <w:lang w:val="en-GB"/>
              </w:rPr>
              <w:t xml:space="preserve"> 0</w:t>
            </w:r>
            <w:r w:rsidR="00707983">
              <w:rPr>
                <w:bCs/>
                <w:sz w:val="16"/>
                <w:szCs w:val="16"/>
                <w:lang w:val="en-GB"/>
              </w:rPr>
              <w:t xml:space="preserve"> (2020)</w:t>
            </w:r>
          </w:p>
          <w:p w14:paraId="49CBA4DB" w14:textId="11C73FF4" w:rsidR="00FC67C9" w:rsidRPr="00FB566A" w:rsidRDefault="00FC67C9" w:rsidP="00D516CD">
            <w:pPr>
              <w:rPr>
                <w:bCs/>
                <w:sz w:val="16"/>
                <w:szCs w:val="16"/>
                <w:lang w:val="en-GB"/>
              </w:rPr>
            </w:pPr>
            <w:r w:rsidRPr="00FB566A">
              <w:rPr>
                <w:bCs/>
                <w:sz w:val="16"/>
                <w:szCs w:val="16"/>
                <w:lang w:val="en-GB"/>
              </w:rPr>
              <w:t>Target</w:t>
            </w:r>
            <w:r w:rsidR="00707983">
              <w:rPr>
                <w:bCs/>
                <w:sz w:val="16"/>
                <w:szCs w:val="16"/>
                <w:lang w:val="en-GB"/>
              </w:rPr>
              <w:t>:</w:t>
            </w:r>
            <w:r w:rsidRPr="00FB566A">
              <w:rPr>
                <w:bCs/>
                <w:sz w:val="16"/>
                <w:szCs w:val="16"/>
                <w:lang w:val="en-GB"/>
              </w:rPr>
              <w:t xml:space="preserve"> 200</w:t>
            </w:r>
            <w:r w:rsidR="00707983">
              <w:rPr>
                <w:bCs/>
                <w:sz w:val="16"/>
                <w:szCs w:val="16"/>
                <w:lang w:val="en-GB"/>
              </w:rPr>
              <w:t xml:space="preserve"> (2025)</w:t>
            </w:r>
          </w:p>
          <w:p w14:paraId="46F78546" w14:textId="77777777" w:rsidR="00800BF1" w:rsidRPr="00FB566A" w:rsidRDefault="00800BF1" w:rsidP="00D516CD">
            <w:pPr>
              <w:rPr>
                <w:bCs/>
                <w:sz w:val="16"/>
                <w:szCs w:val="16"/>
                <w:lang w:val="en-GB"/>
              </w:rPr>
            </w:pPr>
          </w:p>
          <w:p w14:paraId="248052BB" w14:textId="77777777" w:rsidR="00FC67C9" w:rsidRPr="00FB566A" w:rsidRDefault="00FC67C9" w:rsidP="00D516CD">
            <w:pPr>
              <w:rPr>
                <w:b/>
                <w:sz w:val="16"/>
                <w:szCs w:val="16"/>
                <w:lang w:val="en-GB"/>
              </w:rPr>
            </w:pPr>
            <w:r w:rsidRPr="00FB566A">
              <w:rPr>
                <w:b/>
                <w:sz w:val="16"/>
                <w:szCs w:val="16"/>
                <w:lang w:val="en-GB"/>
              </w:rPr>
              <w:lastRenderedPageBreak/>
              <w:t xml:space="preserve">Indicative Indicator (3.1.1.3 IRRF) 3.5.2 </w:t>
            </w:r>
          </w:p>
          <w:p w14:paraId="69F29C5C" w14:textId="23ED210D" w:rsidR="00FC67C9" w:rsidRPr="00FB566A" w:rsidRDefault="00D142F7" w:rsidP="00D516CD">
            <w:pPr>
              <w:rPr>
                <w:bCs/>
                <w:sz w:val="16"/>
                <w:szCs w:val="16"/>
                <w:lang w:val="en-GB"/>
              </w:rPr>
            </w:pPr>
            <w:r w:rsidRPr="00FB566A">
              <w:rPr>
                <w:bCs/>
                <w:sz w:val="16"/>
                <w:szCs w:val="16"/>
                <w:lang w:val="en-GB"/>
              </w:rPr>
              <w:t>Number</w:t>
            </w:r>
            <w:r w:rsidR="00FC67C9" w:rsidRPr="00FB566A">
              <w:rPr>
                <w:bCs/>
                <w:sz w:val="16"/>
                <w:szCs w:val="16"/>
                <w:lang w:val="en-GB"/>
              </w:rPr>
              <w:t xml:space="preserve"> of livelihoods improved (Kosovo </w:t>
            </w:r>
            <w:r w:rsidR="00707983">
              <w:rPr>
                <w:bCs/>
                <w:sz w:val="16"/>
                <w:szCs w:val="16"/>
                <w:lang w:val="en-GB"/>
              </w:rPr>
              <w:t>-</w:t>
            </w:r>
            <w:r w:rsidR="00FC67C9" w:rsidRPr="00FB566A">
              <w:rPr>
                <w:bCs/>
                <w:sz w:val="16"/>
                <w:szCs w:val="16"/>
                <w:lang w:val="en-GB"/>
              </w:rPr>
              <w:t>wide)</w:t>
            </w:r>
          </w:p>
          <w:p w14:paraId="1B6559C1" w14:textId="77777777" w:rsidR="00FC67C9" w:rsidRPr="00FB566A" w:rsidRDefault="00FC67C9" w:rsidP="00D516CD">
            <w:pPr>
              <w:rPr>
                <w:bCs/>
                <w:sz w:val="16"/>
                <w:szCs w:val="16"/>
                <w:lang w:val="en-GB"/>
              </w:rPr>
            </w:pPr>
            <w:r w:rsidRPr="00FB566A">
              <w:rPr>
                <w:bCs/>
                <w:sz w:val="16"/>
                <w:szCs w:val="16"/>
                <w:lang w:val="en-GB"/>
              </w:rPr>
              <w:t>Baseline 24,500 (2018)</w:t>
            </w:r>
          </w:p>
          <w:p w14:paraId="1A30FCE9" w14:textId="275FA4D6" w:rsidR="00FC67C9" w:rsidRPr="00FB566A" w:rsidRDefault="00FC67C9" w:rsidP="00D516CD">
            <w:pPr>
              <w:rPr>
                <w:bCs/>
                <w:sz w:val="16"/>
                <w:szCs w:val="16"/>
                <w:lang w:val="en-GB"/>
              </w:rPr>
            </w:pPr>
            <w:r w:rsidRPr="00FB566A">
              <w:rPr>
                <w:bCs/>
                <w:sz w:val="16"/>
                <w:szCs w:val="16"/>
                <w:lang w:val="en-GB"/>
              </w:rPr>
              <w:t>Target: 32,500 individuals</w:t>
            </w:r>
            <w:r w:rsidR="00707983">
              <w:rPr>
                <w:bCs/>
                <w:sz w:val="16"/>
                <w:szCs w:val="16"/>
                <w:lang w:val="en-GB"/>
              </w:rPr>
              <w:t xml:space="preserve"> (</w:t>
            </w:r>
            <w:r w:rsidRPr="00FB566A">
              <w:rPr>
                <w:bCs/>
                <w:sz w:val="16"/>
                <w:szCs w:val="16"/>
                <w:lang w:val="en-GB"/>
              </w:rPr>
              <w:t>30% women</w:t>
            </w:r>
            <w:r w:rsidR="00707983">
              <w:rPr>
                <w:bCs/>
                <w:sz w:val="16"/>
                <w:szCs w:val="16"/>
                <w:lang w:val="en-GB"/>
              </w:rPr>
              <w:t xml:space="preserve">) </w:t>
            </w:r>
            <w:r w:rsidRPr="00FB566A">
              <w:rPr>
                <w:bCs/>
                <w:sz w:val="16"/>
                <w:szCs w:val="16"/>
                <w:lang w:val="en-GB"/>
              </w:rPr>
              <w:t>(2022)</w:t>
            </w:r>
          </w:p>
          <w:p w14:paraId="56B2CC25" w14:textId="77777777" w:rsidR="00D57135" w:rsidRPr="00FB566A" w:rsidRDefault="00D57135" w:rsidP="00D516CD">
            <w:pPr>
              <w:rPr>
                <w:bCs/>
                <w:sz w:val="16"/>
                <w:szCs w:val="16"/>
                <w:lang w:val="en-GB"/>
              </w:rPr>
            </w:pPr>
          </w:p>
          <w:p w14:paraId="6463282C" w14:textId="77777777" w:rsidR="00FC67C9" w:rsidRPr="00FB566A" w:rsidRDefault="00FC67C9" w:rsidP="00D516CD">
            <w:pPr>
              <w:rPr>
                <w:b/>
                <w:sz w:val="16"/>
                <w:szCs w:val="16"/>
                <w:lang w:val="en-GB"/>
              </w:rPr>
            </w:pPr>
            <w:r w:rsidRPr="00FB566A">
              <w:rPr>
                <w:b/>
                <w:sz w:val="16"/>
                <w:szCs w:val="16"/>
                <w:lang w:val="en-GB"/>
              </w:rPr>
              <w:t>Indicative Indicator (3.1.1.1 IRRF) 3.5.3</w:t>
            </w:r>
          </w:p>
          <w:p w14:paraId="4B08FC4C" w14:textId="5FFD4CB8" w:rsidR="00FC67C9" w:rsidRPr="00FB566A" w:rsidRDefault="00D142F7" w:rsidP="00D516CD">
            <w:pPr>
              <w:rPr>
                <w:bCs/>
                <w:sz w:val="16"/>
                <w:szCs w:val="16"/>
                <w:lang w:val="en-GB"/>
              </w:rPr>
            </w:pPr>
            <w:r w:rsidRPr="00FB566A">
              <w:rPr>
                <w:bCs/>
                <w:sz w:val="16"/>
                <w:szCs w:val="16"/>
                <w:lang w:val="en-GB"/>
              </w:rPr>
              <w:t>Number</w:t>
            </w:r>
            <w:r w:rsidR="00FC67C9" w:rsidRPr="00FB566A">
              <w:rPr>
                <w:bCs/>
                <w:sz w:val="16"/>
                <w:szCs w:val="16"/>
                <w:lang w:val="en-GB"/>
              </w:rPr>
              <w:t xml:space="preserve"> of vulnerable individuals benefiting from facilitated social, legal and health service delivery (Kosovo</w:t>
            </w:r>
            <w:r w:rsidR="00707983">
              <w:rPr>
                <w:bCs/>
                <w:sz w:val="16"/>
                <w:szCs w:val="16"/>
                <w:lang w:val="en-GB"/>
              </w:rPr>
              <w:t>-</w:t>
            </w:r>
            <w:r w:rsidR="00FC67C9" w:rsidRPr="00FB566A">
              <w:rPr>
                <w:bCs/>
                <w:sz w:val="16"/>
                <w:szCs w:val="16"/>
                <w:lang w:val="en-GB"/>
              </w:rPr>
              <w:t xml:space="preserve">wide) </w:t>
            </w:r>
          </w:p>
          <w:p w14:paraId="32C3C10F" w14:textId="26159B98" w:rsidR="00FC67C9" w:rsidRPr="00FB566A" w:rsidRDefault="00FC67C9" w:rsidP="00D516CD">
            <w:pPr>
              <w:rPr>
                <w:bCs/>
                <w:sz w:val="16"/>
                <w:szCs w:val="16"/>
                <w:lang w:val="en-GB"/>
              </w:rPr>
            </w:pPr>
            <w:r w:rsidRPr="00FB566A">
              <w:rPr>
                <w:bCs/>
                <w:sz w:val="16"/>
                <w:szCs w:val="16"/>
                <w:lang w:val="en-GB"/>
              </w:rPr>
              <w:t>Baseline: 0</w:t>
            </w:r>
            <w:r w:rsidR="00707983">
              <w:rPr>
                <w:bCs/>
                <w:sz w:val="16"/>
                <w:szCs w:val="16"/>
                <w:lang w:val="en-GB"/>
              </w:rPr>
              <w:t xml:space="preserve"> (2020)</w:t>
            </w:r>
          </w:p>
          <w:p w14:paraId="1AD220F0" w14:textId="54F5B217" w:rsidR="00FC67C9" w:rsidRPr="00FB566A" w:rsidRDefault="00FC67C9" w:rsidP="00D516CD">
            <w:pPr>
              <w:rPr>
                <w:sz w:val="16"/>
                <w:szCs w:val="16"/>
                <w:lang w:val="en-GB"/>
              </w:rPr>
            </w:pPr>
            <w:r w:rsidRPr="00FB566A">
              <w:rPr>
                <w:bCs/>
                <w:sz w:val="16"/>
                <w:szCs w:val="16"/>
                <w:lang w:val="en-GB"/>
              </w:rPr>
              <w:t>Target: minimum 5</w:t>
            </w:r>
            <w:r w:rsidR="00707983">
              <w:rPr>
                <w:bCs/>
                <w:sz w:val="16"/>
                <w:szCs w:val="16"/>
                <w:lang w:val="en-GB"/>
              </w:rPr>
              <w:t>,</w:t>
            </w:r>
            <w:r w:rsidRPr="00FB566A">
              <w:rPr>
                <w:bCs/>
                <w:sz w:val="16"/>
                <w:szCs w:val="16"/>
                <w:lang w:val="en-GB"/>
              </w:rPr>
              <w:t>000 individuals benefit from social, legal and health services delivered through mobile clinics (50% women beneficiaries)</w:t>
            </w:r>
            <w:r w:rsidR="00707983">
              <w:rPr>
                <w:bCs/>
                <w:sz w:val="16"/>
                <w:szCs w:val="16"/>
                <w:lang w:val="en-GB"/>
              </w:rPr>
              <w:t xml:space="preserve"> (2025)</w:t>
            </w:r>
          </w:p>
        </w:tc>
        <w:tc>
          <w:tcPr>
            <w:tcW w:w="902" w:type="pct"/>
            <w:shd w:val="clear" w:color="auto" w:fill="auto"/>
            <w:vAlign w:val="center"/>
          </w:tcPr>
          <w:p w14:paraId="413BD818" w14:textId="77777777" w:rsidR="00483530" w:rsidRPr="00FB566A" w:rsidRDefault="00483530" w:rsidP="00483530">
            <w:pPr>
              <w:rPr>
                <w:sz w:val="16"/>
                <w:szCs w:val="16"/>
                <w:lang w:val="en-GB"/>
              </w:rPr>
            </w:pPr>
            <w:r w:rsidRPr="00FB566A">
              <w:rPr>
                <w:sz w:val="16"/>
                <w:szCs w:val="16"/>
                <w:lang w:val="en-GB"/>
              </w:rPr>
              <w:lastRenderedPageBreak/>
              <w:t>Ministry of Trade and Industry Ministry of Labor and Social Welfare</w:t>
            </w:r>
          </w:p>
          <w:p w14:paraId="2FDDED1B" w14:textId="77777777" w:rsidR="00483530" w:rsidRPr="00FB566A" w:rsidRDefault="00483530" w:rsidP="00483530">
            <w:pPr>
              <w:rPr>
                <w:sz w:val="16"/>
                <w:szCs w:val="16"/>
                <w:lang w:val="en-GB"/>
              </w:rPr>
            </w:pPr>
            <w:r w:rsidRPr="00FB566A">
              <w:rPr>
                <w:sz w:val="16"/>
                <w:szCs w:val="16"/>
                <w:lang w:val="en-GB"/>
              </w:rPr>
              <w:t>Ministry of Internal Affairs</w:t>
            </w:r>
          </w:p>
          <w:p w14:paraId="6FDDFD39" w14:textId="16DD6A70" w:rsidR="00483530" w:rsidRPr="00FB566A" w:rsidRDefault="00483530" w:rsidP="00483530">
            <w:pPr>
              <w:rPr>
                <w:sz w:val="16"/>
                <w:szCs w:val="16"/>
                <w:lang w:val="en-GB"/>
              </w:rPr>
            </w:pPr>
            <w:r w:rsidRPr="00FB566A">
              <w:rPr>
                <w:sz w:val="16"/>
                <w:szCs w:val="16"/>
                <w:lang w:val="en-GB"/>
              </w:rPr>
              <w:t xml:space="preserve">Ministry of Agriculture, Forestry and Rural </w:t>
            </w:r>
            <w:r w:rsidR="00D142F7" w:rsidRPr="00FB566A">
              <w:rPr>
                <w:sz w:val="16"/>
                <w:szCs w:val="16"/>
                <w:lang w:val="en-GB"/>
              </w:rPr>
              <w:t>D</w:t>
            </w:r>
            <w:r w:rsidRPr="00FB566A">
              <w:rPr>
                <w:sz w:val="16"/>
                <w:szCs w:val="16"/>
                <w:lang w:val="en-GB"/>
              </w:rPr>
              <w:t xml:space="preserve">evelopment  </w:t>
            </w:r>
          </w:p>
          <w:p w14:paraId="32485A6F" w14:textId="77777777" w:rsidR="00483530" w:rsidRPr="00FB566A" w:rsidRDefault="00483530" w:rsidP="00483530">
            <w:pPr>
              <w:rPr>
                <w:sz w:val="16"/>
                <w:szCs w:val="16"/>
                <w:lang w:val="en-GB"/>
              </w:rPr>
            </w:pPr>
            <w:r w:rsidRPr="00FB566A">
              <w:rPr>
                <w:sz w:val="16"/>
                <w:szCs w:val="16"/>
                <w:lang w:val="en-GB"/>
              </w:rPr>
              <w:t xml:space="preserve">Ministry of Local Government Administration </w:t>
            </w:r>
          </w:p>
          <w:p w14:paraId="1CC22F5D" w14:textId="77777777" w:rsidR="00483530" w:rsidRPr="00FB566A" w:rsidRDefault="00483530" w:rsidP="00483530">
            <w:pPr>
              <w:rPr>
                <w:sz w:val="16"/>
                <w:szCs w:val="16"/>
                <w:lang w:val="en-GB"/>
              </w:rPr>
            </w:pPr>
            <w:r w:rsidRPr="00FB566A">
              <w:rPr>
                <w:sz w:val="16"/>
                <w:szCs w:val="16"/>
                <w:lang w:val="en-GB"/>
              </w:rPr>
              <w:t xml:space="preserve">Chamber of Commerce </w:t>
            </w:r>
          </w:p>
          <w:p w14:paraId="609FD0DC" w14:textId="77777777" w:rsidR="00483530" w:rsidRPr="00FB566A" w:rsidRDefault="00483530" w:rsidP="00483530">
            <w:pPr>
              <w:rPr>
                <w:sz w:val="16"/>
                <w:szCs w:val="16"/>
                <w:lang w:val="en-GB"/>
              </w:rPr>
            </w:pPr>
            <w:r w:rsidRPr="00FB566A">
              <w:rPr>
                <w:sz w:val="16"/>
                <w:szCs w:val="16"/>
                <w:lang w:val="en-GB"/>
              </w:rPr>
              <w:t>Ministry of Environment and Spatial Planning</w:t>
            </w:r>
          </w:p>
          <w:p w14:paraId="6E1C6C19" w14:textId="77777777" w:rsidR="00483530" w:rsidRPr="00FB566A" w:rsidRDefault="00483530" w:rsidP="00483530">
            <w:pPr>
              <w:rPr>
                <w:sz w:val="16"/>
                <w:szCs w:val="16"/>
                <w:lang w:val="en-GB"/>
              </w:rPr>
            </w:pPr>
            <w:r w:rsidRPr="00FB566A">
              <w:rPr>
                <w:sz w:val="16"/>
                <w:szCs w:val="16"/>
                <w:lang w:val="en-GB"/>
              </w:rPr>
              <w:t>Private sector companies</w:t>
            </w:r>
          </w:p>
          <w:p w14:paraId="536BF5AA" w14:textId="77777777" w:rsidR="00483530" w:rsidRPr="00FB566A" w:rsidRDefault="00483530" w:rsidP="00483530">
            <w:pPr>
              <w:rPr>
                <w:sz w:val="16"/>
                <w:szCs w:val="16"/>
                <w:lang w:val="en-GB"/>
              </w:rPr>
            </w:pPr>
            <w:r w:rsidRPr="00FB566A">
              <w:rPr>
                <w:sz w:val="16"/>
                <w:szCs w:val="16"/>
                <w:lang w:val="en-GB"/>
              </w:rPr>
              <w:t>Municipalities</w:t>
            </w:r>
          </w:p>
          <w:p w14:paraId="6FBC5AE3" w14:textId="77777777" w:rsidR="00483530" w:rsidRPr="00FB566A" w:rsidRDefault="00483530" w:rsidP="00483530">
            <w:pPr>
              <w:rPr>
                <w:sz w:val="16"/>
                <w:szCs w:val="16"/>
                <w:lang w:val="en-GB"/>
              </w:rPr>
            </w:pPr>
            <w:r w:rsidRPr="00FB566A">
              <w:rPr>
                <w:sz w:val="16"/>
                <w:szCs w:val="16"/>
                <w:lang w:val="en-GB"/>
              </w:rPr>
              <w:t>Kosovo Statistics Agency</w:t>
            </w:r>
          </w:p>
          <w:p w14:paraId="27F7B864" w14:textId="77777777" w:rsidR="00483530" w:rsidRPr="00FB566A" w:rsidRDefault="00483530" w:rsidP="00483530">
            <w:pPr>
              <w:rPr>
                <w:sz w:val="16"/>
                <w:szCs w:val="16"/>
                <w:lang w:val="en-GB"/>
              </w:rPr>
            </w:pPr>
            <w:r w:rsidRPr="00FB566A">
              <w:rPr>
                <w:sz w:val="16"/>
                <w:szCs w:val="16"/>
                <w:lang w:val="en-GB"/>
              </w:rPr>
              <w:t>Employment Agency</w:t>
            </w:r>
          </w:p>
          <w:p w14:paraId="6569ACF7" w14:textId="77777777" w:rsidR="00483530" w:rsidRPr="00FB566A" w:rsidRDefault="00483530" w:rsidP="00483530">
            <w:pPr>
              <w:rPr>
                <w:bCs/>
                <w:sz w:val="16"/>
                <w:szCs w:val="16"/>
                <w:lang w:val="en-GB"/>
              </w:rPr>
            </w:pPr>
            <w:r w:rsidRPr="00FB566A">
              <w:rPr>
                <w:bCs/>
                <w:sz w:val="16"/>
                <w:szCs w:val="16"/>
                <w:lang w:val="en-GB"/>
              </w:rPr>
              <w:t xml:space="preserve">Chambers of Trade and Commerce </w:t>
            </w:r>
          </w:p>
          <w:p w14:paraId="221D7B5D" w14:textId="77777777" w:rsidR="00483530" w:rsidRPr="00FB566A" w:rsidRDefault="00483530" w:rsidP="00483530">
            <w:pPr>
              <w:rPr>
                <w:bCs/>
                <w:sz w:val="16"/>
                <w:szCs w:val="16"/>
                <w:lang w:val="en-GB"/>
              </w:rPr>
            </w:pPr>
            <w:r w:rsidRPr="00FB566A">
              <w:rPr>
                <w:bCs/>
                <w:sz w:val="16"/>
                <w:szCs w:val="16"/>
                <w:lang w:val="en-GB"/>
              </w:rPr>
              <w:t xml:space="preserve">Kosovo Agency for Energy Efficiency  </w:t>
            </w:r>
          </w:p>
          <w:p w14:paraId="60126D62" w14:textId="1B0A4BE4" w:rsidR="00483530" w:rsidRPr="00FB566A" w:rsidRDefault="00483530" w:rsidP="00483530">
            <w:pPr>
              <w:rPr>
                <w:sz w:val="16"/>
                <w:szCs w:val="16"/>
                <w:lang w:val="en-GB"/>
              </w:rPr>
            </w:pPr>
            <w:r w:rsidRPr="00FB566A">
              <w:rPr>
                <w:sz w:val="16"/>
                <w:szCs w:val="16"/>
                <w:lang w:val="en-GB"/>
              </w:rPr>
              <w:t>Civil Society Organi</w:t>
            </w:r>
            <w:r w:rsidR="00375951">
              <w:rPr>
                <w:sz w:val="16"/>
                <w:szCs w:val="16"/>
                <w:lang w:val="en-GB"/>
              </w:rPr>
              <w:t>z</w:t>
            </w:r>
            <w:r w:rsidRPr="00FB566A">
              <w:rPr>
                <w:sz w:val="16"/>
                <w:szCs w:val="16"/>
                <w:lang w:val="en-GB"/>
              </w:rPr>
              <w:t>ations</w:t>
            </w:r>
          </w:p>
          <w:p w14:paraId="3DFB3732" w14:textId="35AF04BF" w:rsidR="00483530" w:rsidRPr="00FB566A" w:rsidRDefault="00595132" w:rsidP="00483530">
            <w:pPr>
              <w:rPr>
                <w:sz w:val="16"/>
                <w:szCs w:val="16"/>
                <w:lang w:val="en-GB"/>
              </w:rPr>
            </w:pPr>
            <w:r w:rsidRPr="00FB566A">
              <w:rPr>
                <w:sz w:val="16"/>
                <w:szCs w:val="16"/>
                <w:lang w:val="en-GB"/>
              </w:rPr>
              <w:t>Austrian Development Agency</w:t>
            </w:r>
          </w:p>
          <w:p w14:paraId="5D86F24F" w14:textId="72B039C2" w:rsidR="00595132" w:rsidRPr="00FB566A" w:rsidRDefault="00595132" w:rsidP="00483530">
            <w:pPr>
              <w:rPr>
                <w:bCs/>
                <w:sz w:val="16"/>
                <w:szCs w:val="16"/>
                <w:lang w:val="en-GB"/>
              </w:rPr>
            </w:pPr>
            <w:r w:rsidRPr="00FB566A">
              <w:rPr>
                <w:bCs/>
                <w:sz w:val="16"/>
                <w:szCs w:val="16"/>
                <w:lang w:val="en-GB"/>
              </w:rPr>
              <w:lastRenderedPageBreak/>
              <w:t xml:space="preserve">German </w:t>
            </w:r>
            <w:r w:rsidR="00E94AFD">
              <w:rPr>
                <w:bCs/>
                <w:sz w:val="16"/>
                <w:szCs w:val="16"/>
                <w:lang w:val="en-GB"/>
              </w:rPr>
              <w:t>Agency</w:t>
            </w:r>
            <w:r w:rsidRPr="00FB566A">
              <w:rPr>
                <w:bCs/>
                <w:sz w:val="16"/>
                <w:szCs w:val="16"/>
                <w:lang w:val="en-GB"/>
              </w:rPr>
              <w:t xml:space="preserve"> for International Cooperation (GIZ)</w:t>
            </w:r>
          </w:p>
          <w:p w14:paraId="21EF9850" w14:textId="02C5641C" w:rsidR="00483530" w:rsidRPr="00FB566A" w:rsidRDefault="00595132" w:rsidP="00483530">
            <w:pPr>
              <w:rPr>
                <w:bCs/>
                <w:sz w:val="16"/>
                <w:szCs w:val="16"/>
                <w:lang w:val="en-GB"/>
              </w:rPr>
            </w:pPr>
            <w:r w:rsidRPr="00FB566A">
              <w:rPr>
                <w:bCs/>
                <w:sz w:val="16"/>
                <w:szCs w:val="16"/>
                <w:lang w:val="en-GB"/>
              </w:rPr>
              <w:t xml:space="preserve">Swedish International Development Cooperation Agency  </w:t>
            </w:r>
          </w:p>
          <w:p w14:paraId="7FB2F7F8" w14:textId="317D011F" w:rsidR="00483530" w:rsidRPr="00FB566A" w:rsidRDefault="00483530" w:rsidP="00483530">
            <w:pPr>
              <w:rPr>
                <w:sz w:val="16"/>
                <w:szCs w:val="16"/>
                <w:lang w:val="en-GB"/>
              </w:rPr>
            </w:pPr>
            <w:r w:rsidRPr="00FB566A">
              <w:rPr>
                <w:sz w:val="16"/>
                <w:szCs w:val="16"/>
                <w:lang w:val="en-GB"/>
              </w:rPr>
              <w:t>E</w:t>
            </w:r>
            <w:r w:rsidR="00595132" w:rsidRPr="00FB566A">
              <w:rPr>
                <w:sz w:val="16"/>
                <w:szCs w:val="16"/>
                <w:lang w:val="en-GB"/>
              </w:rPr>
              <w:t xml:space="preserve">uropean Union </w:t>
            </w:r>
          </w:p>
          <w:p w14:paraId="0FDFED2B" w14:textId="77777777" w:rsidR="00483530" w:rsidRPr="00FB566A" w:rsidRDefault="00483530" w:rsidP="00483530">
            <w:pPr>
              <w:rPr>
                <w:sz w:val="16"/>
                <w:szCs w:val="16"/>
                <w:lang w:val="en-GB"/>
              </w:rPr>
            </w:pPr>
            <w:r w:rsidRPr="00FB566A">
              <w:rPr>
                <w:sz w:val="16"/>
                <w:szCs w:val="16"/>
                <w:lang w:val="en-GB"/>
              </w:rPr>
              <w:t>Academia</w:t>
            </w:r>
          </w:p>
          <w:p w14:paraId="637E2010" w14:textId="3CFC632D" w:rsidR="00483530" w:rsidRPr="00DD4955" w:rsidRDefault="000939E6" w:rsidP="00483530">
            <w:pPr>
              <w:rPr>
                <w:sz w:val="16"/>
                <w:szCs w:val="16"/>
              </w:rPr>
            </w:pPr>
            <w:r w:rsidRPr="00DD4955">
              <w:rPr>
                <w:sz w:val="16"/>
                <w:szCs w:val="16"/>
              </w:rPr>
              <w:t>International</w:t>
            </w:r>
            <w:r w:rsidR="00595132" w:rsidRPr="00DD4955">
              <w:rPr>
                <w:sz w:val="16"/>
                <w:szCs w:val="16"/>
              </w:rPr>
              <w:t xml:space="preserve"> Organi</w:t>
            </w:r>
            <w:r w:rsidR="00375951" w:rsidRPr="00DD4955">
              <w:rPr>
                <w:sz w:val="16"/>
                <w:szCs w:val="16"/>
              </w:rPr>
              <w:t>z</w:t>
            </w:r>
            <w:r w:rsidR="00595132" w:rsidRPr="00DD4955">
              <w:rPr>
                <w:sz w:val="16"/>
                <w:szCs w:val="16"/>
              </w:rPr>
              <w:t>ation for Migration</w:t>
            </w:r>
            <w:r w:rsidR="00D142F7" w:rsidRPr="00DD4955">
              <w:rPr>
                <w:sz w:val="16"/>
                <w:szCs w:val="16"/>
              </w:rPr>
              <w:t xml:space="preserve"> (IOM)</w:t>
            </w:r>
          </w:p>
          <w:p w14:paraId="78A0FB5F" w14:textId="39758B97" w:rsidR="00483530" w:rsidRPr="00DD4955" w:rsidRDefault="000939E6" w:rsidP="00483530">
            <w:pPr>
              <w:rPr>
                <w:sz w:val="16"/>
                <w:szCs w:val="16"/>
              </w:rPr>
            </w:pPr>
            <w:r w:rsidRPr="00DD4955">
              <w:rPr>
                <w:sz w:val="16"/>
                <w:szCs w:val="16"/>
              </w:rPr>
              <w:t>International</w:t>
            </w:r>
            <w:r w:rsidR="00595132" w:rsidRPr="00DD4955">
              <w:rPr>
                <w:sz w:val="16"/>
                <w:szCs w:val="16"/>
              </w:rPr>
              <w:t xml:space="preserve"> </w:t>
            </w:r>
            <w:r w:rsidRPr="00DD4955">
              <w:rPr>
                <w:sz w:val="16"/>
                <w:szCs w:val="16"/>
              </w:rPr>
              <w:t>Labor</w:t>
            </w:r>
            <w:r w:rsidR="00595132" w:rsidRPr="00DD4955">
              <w:rPr>
                <w:sz w:val="16"/>
                <w:szCs w:val="16"/>
              </w:rPr>
              <w:t xml:space="preserve"> Organi</w:t>
            </w:r>
            <w:r w:rsidR="00375951" w:rsidRPr="00DD4955">
              <w:rPr>
                <w:sz w:val="16"/>
                <w:szCs w:val="16"/>
              </w:rPr>
              <w:t>z</w:t>
            </w:r>
            <w:r w:rsidR="00595132" w:rsidRPr="00DD4955">
              <w:rPr>
                <w:sz w:val="16"/>
                <w:szCs w:val="16"/>
              </w:rPr>
              <w:t xml:space="preserve">ation </w:t>
            </w:r>
          </w:p>
          <w:p w14:paraId="52D86B7D" w14:textId="77777777" w:rsidR="00483530" w:rsidRPr="00DD4955" w:rsidRDefault="00483530" w:rsidP="00483530">
            <w:pPr>
              <w:rPr>
                <w:sz w:val="16"/>
                <w:szCs w:val="16"/>
              </w:rPr>
            </w:pPr>
            <w:r w:rsidRPr="00DD4955">
              <w:rPr>
                <w:sz w:val="16"/>
                <w:szCs w:val="16"/>
              </w:rPr>
              <w:t>UN-Habitat</w:t>
            </w:r>
          </w:p>
          <w:p w14:paraId="53A07D8A" w14:textId="486D1BD9" w:rsidR="00483530" w:rsidRPr="00DD4955" w:rsidRDefault="00483530" w:rsidP="00483530">
            <w:pPr>
              <w:rPr>
                <w:sz w:val="16"/>
                <w:szCs w:val="16"/>
              </w:rPr>
            </w:pPr>
            <w:r w:rsidRPr="00DD4955">
              <w:rPr>
                <w:sz w:val="16"/>
                <w:szCs w:val="16"/>
              </w:rPr>
              <w:t>W</w:t>
            </w:r>
            <w:r w:rsidR="00595132" w:rsidRPr="00DD4955">
              <w:rPr>
                <w:sz w:val="16"/>
                <w:szCs w:val="16"/>
              </w:rPr>
              <w:t>orld Bank</w:t>
            </w:r>
          </w:p>
          <w:p w14:paraId="4EFCFCE3" w14:textId="6D78FC51" w:rsidR="00483530" w:rsidRPr="00DD4955" w:rsidRDefault="00483530" w:rsidP="00483530">
            <w:pPr>
              <w:rPr>
                <w:sz w:val="16"/>
                <w:szCs w:val="16"/>
              </w:rPr>
            </w:pPr>
            <w:r w:rsidRPr="00DD4955">
              <w:rPr>
                <w:sz w:val="16"/>
                <w:szCs w:val="16"/>
              </w:rPr>
              <w:t>F</w:t>
            </w:r>
            <w:r w:rsidR="00595132" w:rsidRPr="00DD4955">
              <w:rPr>
                <w:sz w:val="16"/>
                <w:szCs w:val="16"/>
              </w:rPr>
              <w:t>ood and Agriculture Organi</w:t>
            </w:r>
            <w:r w:rsidR="00375951" w:rsidRPr="00DD4955">
              <w:rPr>
                <w:sz w:val="16"/>
                <w:szCs w:val="16"/>
              </w:rPr>
              <w:t>z</w:t>
            </w:r>
            <w:r w:rsidR="00595132" w:rsidRPr="00DD4955">
              <w:rPr>
                <w:sz w:val="16"/>
                <w:szCs w:val="16"/>
              </w:rPr>
              <w:t xml:space="preserve">ation </w:t>
            </w:r>
          </w:p>
          <w:p w14:paraId="5A7E5D91" w14:textId="400DD8B9" w:rsidR="00483530" w:rsidRPr="00FB566A" w:rsidRDefault="00595132" w:rsidP="00483530">
            <w:pPr>
              <w:rPr>
                <w:sz w:val="16"/>
                <w:szCs w:val="16"/>
                <w:lang w:val="en-GB"/>
              </w:rPr>
            </w:pPr>
            <w:r w:rsidRPr="00FB566A">
              <w:rPr>
                <w:sz w:val="16"/>
                <w:szCs w:val="16"/>
                <w:lang w:val="en-GB"/>
              </w:rPr>
              <w:t>United Nations Population Fund</w:t>
            </w:r>
          </w:p>
          <w:p w14:paraId="4CE97D1F" w14:textId="77777777" w:rsidR="00D57135" w:rsidRPr="00FB566A" w:rsidRDefault="00483530" w:rsidP="00483530">
            <w:pPr>
              <w:rPr>
                <w:sz w:val="16"/>
                <w:szCs w:val="16"/>
                <w:lang w:val="en-GB"/>
              </w:rPr>
            </w:pPr>
            <w:r w:rsidRPr="00FB566A">
              <w:rPr>
                <w:sz w:val="16"/>
                <w:szCs w:val="16"/>
                <w:lang w:val="en-GB"/>
              </w:rPr>
              <w:t>UNICEF</w:t>
            </w:r>
          </w:p>
          <w:p w14:paraId="5CF47A7B" w14:textId="55748ECF" w:rsidR="00D57135" w:rsidRPr="00FB566A" w:rsidRDefault="00D57135" w:rsidP="00D57135">
            <w:pPr>
              <w:rPr>
                <w:sz w:val="16"/>
                <w:szCs w:val="16"/>
                <w:lang w:val="en-GB"/>
              </w:rPr>
            </w:pPr>
            <w:r w:rsidRPr="00FB566A">
              <w:rPr>
                <w:sz w:val="16"/>
                <w:szCs w:val="16"/>
                <w:lang w:val="en-GB"/>
              </w:rPr>
              <w:t>UN</w:t>
            </w:r>
            <w:r w:rsidR="00707983">
              <w:rPr>
                <w:sz w:val="16"/>
                <w:szCs w:val="16"/>
                <w:lang w:val="en-GB"/>
              </w:rPr>
              <w:t>-</w:t>
            </w:r>
            <w:r w:rsidRPr="00FB566A">
              <w:rPr>
                <w:sz w:val="16"/>
                <w:szCs w:val="16"/>
                <w:lang w:val="en-GB"/>
              </w:rPr>
              <w:t>Women</w:t>
            </w:r>
          </w:p>
          <w:p w14:paraId="14CA1405" w14:textId="77777777" w:rsidR="00FC67C9" w:rsidRPr="00FB566A" w:rsidRDefault="00FC67C9" w:rsidP="00D516CD">
            <w:pPr>
              <w:rPr>
                <w:sz w:val="16"/>
                <w:szCs w:val="16"/>
                <w:lang w:val="en-GB"/>
              </w:rPr>
            </w:pPr>
          </w:p>
        </w:tc>
        <w:tc>
          <w:tcPr>
            <w:tcW w:w="534" w:type="pct"/>
            <w:shd w:val="clear" w:color="auto" w:fill="auto"/>
            <w:tcMar>
              <w:top w:w="15" w:type="dxa"/>
              <w:left w:w="108" w:type="dxa"/>
              <w:bottom w:w="0" w:type="dxa"/>
              <w:right w:w="108" w:type="dxa"/>
            </w:tcMar>
          </w:tcPr>
          <w:p w14:paraId="276EBFFC" w14:textId="77777777" w:rsidR="00FC67C9" w:rsidRPr="00FB566A" w:rsidRDefault="00FC67C9" w:rsidP="00D516CD">
            <w:pPr>
              <w:rPr>
                <w:b/>
                <w:sz w:val="16"/>
                <w:szCs w:val="16"/>
                <w:lang w:val="en-GB"/>
              </w:rPr>
            </w:pPr>
            <w:r w:rsidRPr="00FB566A">
              <w:rPr>
                <w:b/>
                <w:sz w:val="16"/>
                <w:szCs w:val="16"/>
                <w:lang w:val="en-GB"/>
              </w:rPr>
              <w:lastRenderedPageBreak/>
              <w:t>Regular</w:t>
            </w:r>
          </w:p>
          <w:p w14:paraId="5EC7FAEA" w14:textId="01B3E922" w:rsidR="00FC67C9" w:rsidRPr="00FB566A" w:rsidRDefault="001323D2" w:rsidP="00D516CD">
            <w:pPr>
              <w:rPr>
                <w:b/>
                <w:sz w:val="16"/>
                <w:szCs w:val="16"/>
                <w:lang w:val="en-GB"/>
              </w:rPr>
            </w:pPr>
            <w:r>
              <w:rPr>
                <w:sz w:val="16"/>
                <w:szCs w:val="16"/>
              </w:rPr>
              <w:t>$</w:t>
            </w:r>
            <w:r w:rsidR="00FC67C9" w:rsidRPr="00FB566A">
              <w:rPr>
                <w:sz w:val="16"/>
                <w:szCs w:val="16"/>
              </w:rPr>
              <w:t>194,000</w:t>
            </w:r>
          </w:p>
          <w:p w14:paraId="38F1D114" w14:textId="77777777" w:rsidR="00FC67C9" w:rsidRPr="00FB566A" w:rsidRDefault="00FC67C9" w:rsidP="00D516CD">
            <w:pPr>
              <w:rPr>
                <w:b/>
                <w:sz w:val="16"/>
                <w:szCs w:val="16"/>
                <w:lang w:val="en-GB"/>
              </w:rPr>
            </w:pPr>
          </w:p>
          <w:p w14:paraId="2FEEBF96" w14:textId="77777777" w:rsidR="00FC67C9" w:rsidRPr="00FB566A" w:rsidRDefault="00FC67C9" w:rsidP="00D516CD">
            <w:pPr>
              <w:rPr>
                <w:b/>
                <w:sz w:val="16"/>
                <w:szCs w:val="16"/>
                <w:lang w:val="en-GB"/>
              </w:rPr>
            </w:pPr>
            <w:r w:rsidRPr="00FB566A">
              <w:rPr>
                <w:b/>
                <w:sz w:val="16"/>
                <w:szCs w:val="16"/>
                <w:lang w:val="en-GB"/>
              </w:rPr>
              <w:t>Other</w:t>
            </w:r>
          </w:p>
          <w:p w14:paraId="7538B6BB" w14:textId="6E036463" w:rsidR="00FC67C9" w:rsidRPr="00FB566A" w:rsidRDefault="001323D2" w:rsidP="00D516CD">
            <w:pPr>
              <w:rPr>
                <w:sz w:val="16"/>
                <w:szCs w:val="16"/>
                <w:lang w:val="en-GB"/>
              </w:rPr>
            </w:pPr>
            <w:r>
              <w:rPr>
                <w:bCs/>
                <w:sz w:val="16"/>
                <w:szCs w:val="16"/>
              </w:rPr>
              <w:t>$</w:t>
            </w:r>
            <w:r w:rsidR="00FC67C9" w:rsidRPr="00FB566A">
              <w:rPr>
                <w:bCs/>
                <w:sz w:val="16"/>
                <w:szCs w:val="16"/>
              </w:rPr>
              <w:t>18,497,000</w:t>
            </w:r>
          </w:p>
          <w:p w14:paraId="1BC70A97" w14:textId="77777777" w:rsidR="00FC67C9" w:rsidRPr="00FB566A" w:rsidRDefault="00FC67C9" w:rsidP="00D516CD">
            <w:pPr>
              <w:rPr>
                <w:sz w:val="16"/>
                <w:szCs w:val="16"/>
                <w:lang w:val="en-GB"/>
              </w:rPr>
            </w:pPr>
          </w:p>
          <w:p w14:paraId="3DEDF0A3" w14:textId="77777777" w:rsidR="00FC67C9" w:rsidRPr="00FB566A" w:rsidRDefault="00FC67C9" w:rsidP="00D516CD">
            <w:pPr>
              <w:rPr>
                <w:sz w:val="16"/>
                <w:szCs w:val="16"/>
                <w:lang w:val="en-GB"/>
              </w:rPr>
            </w:pPr>
          </w:p>
          <w:p w14:paraId="6C357661" w14:textId="77777777" w:rsidR="00FC67C9" w:rsidRPr="00FB566A" w:rsidRDefault="00FC67C9" w:rsidP="00D516CD">
            <w:pPr>
              <w:rPr>
                <w:b/>
                <w:sz w:val="16"/>
                <w:szCs w:val="16"/>
                <w:lang w:val="en-GB"/>
              </w:rPr>
            </w:pPr>
          </w:p>
        </w:tc>
      </w:tr>
      <w:tr w:rsidR="00FC67C9" w:rsidRPr="00FB566A" w14:paraId="663FFAB2" w14:textId="77777777" w:rsidTr="00FB566A">
        <w:tc>
          <w:tcPr>
            <w:tcW w:w="5000" w:type="pct"/>
            <w:gridSpan w:val="5"/>
            <w:shd w:val="clear" w:color="auto" w:fill="auto"/>
            <w:tcMar>
              <w:top w:w="72" w:type="dxa"/>
              <w:left w:w="144" w:type="dxa"/>
              <w:bottom w:w="72" w:type="dxa"/>
              <w:right w:w="144" w:type="dxa"/>
            </w:tcMar>
          </w:tcPr>
          <w:p w14:paraId="7DACA3EC" w14:textId="0CF1A0EA" w:rsidR="00FC67C9" w:rsidRPr="00FB566A" w:rsidRDefault="00FC67C9" w:rsidP="00D516CD">
            <w:pPr>
              <w:rPr>
                <w:b/>
                <w:bCs/>
                <w:sz w:val="16"/>
                <w:szCs w:val="16"/>
                <w:lang w:val="en-GB"/>
              </w:rPr>
            </w:pPr>
            <w:r w:rsidRPr="00FB566A">
              <w:rPr>
                <w:b/>
                <w:bCs/>
                <w:sz w:val="16"/>
                <w:szCs w:val="16"/>
                <w:lang w:val="en-GB"/>
              </w:rPr>
              <w:lastRenderedPageBreak/>
              <w:t>PRIORITY OR GOAL: Social cohesion and inclusion parallel with economic growth ensured. (Second guiding principle of the Development Strategy)</w:t>
            </w:r>
          </w:p>
          <w:p w14:paraId="63198CEB" w14:textId="663858CD" w:rsidR="00FC67C9" w:rsidRPr="00FB566A" w:rsidRDefault="004D621A" w:rsidP="00D516CD">
            <w:pPr>
              <w:rPr>
                <w:b/>
                <w:bCs/>
                <w:sz w:val="16"/>
                <w:szCs w:val="16"/>
                <w:lang w:val="en-GB"/>
              </w:rPr>
            </w:pPr>
            <w:r>
              <w:rPr>
                <w:b/>
                <w:bCs/>
                <w:sz w:val="16"/>
                <w:szCs w:val="16"/>
                <w:lang w:val="en-GB"/>
              </w:rPr>
              <w:t>Sustainable Development Goal</w:t>
            </w:r>
            <w:r w:rsidR="00FC67C9" w:rsidRPr="00FB566A">
              <w:rPr>
                <w:b/>
                <w:bCs/>
                <w:sz w:val="16"/>
                <w:szCs w:val="16"/>
                <w:lang w:val="en-GB"/>
              </w:rPr>
              <w:t xml:space="preserve"> 5: Achieve gender equality and empower all women and girls; </w:t>
            </w:r>
            <w:r w:rsidR="00707983">
              <w:rPr>
                <w:b/>
                <w:bCs/>
                <w:sz w:val="16"/>
                <w:szCs w:val="16"/>
                <w:lang w:val="en-GB"/>
              </w:rPr>
              <w:t xml:space="preserve">Goal </w:t>
            </w:r>
            <w:r w:rsidR="00FC67C9" w:rsidRPr="00FB566A">
              <w:rPr>
                <w:b/>
                <w:bCs/>
                <w:sz w:val="16"/>
                <w:szCs w:val="16"/>
                <w:lang w:val="en-GB"/>
              </w:rPr>
              <w:t>11:  Sustainable cities and communities; Goal 16: Peace, justice and strong institutions</w:t>
            </w:r>
          </w:p>
        </w:tc>
      </w:tr>
      <w:tr w:rsidR="00FC67C9" w:rsidRPr="00FB566A" w14:paraId="62F31E97" w14:textId="77777777" w:rsidTr="00FB566A">
        <w:tc>
          <w:tcPr>
            <w:tcW w:w="5000" w:type="pct"/>
            <w:gridSpan w:val="5"/>
            <w:shd w:val="clear" w:color="auto" w:fill="auto"/>
            <w:tcMar>
              <w:top w:w="72" w:type="dxa"/>
              <w:left w:w="144" w:type="dxa"/>
              <w:bottom w:w="72" w:type="dxa"/>
              <w:right w:w="144" w:type="dxa"/>
            </w:tcMar>
          </w:tcPr>
          <w:p w14:paraId="3F816B03" w14:textId="77777777" w:rsidR="00FC67C9" w:rsidRPr="00FB566A" w:rsidRDefault="00FC67C9" w:rsidP="00D516CD">
            <w:pPr>
              <w:rPr>
                <w:b/>
                <w:bCs/>
                <w:sz w:val="16"/>
                <w:szCs w:val="16"/>
              </w:rPr>
            </w:pPr>
            <w:r w:rsidRPr="00FB566A">
              <w:rPr>
                <w:b/>
                <w:bCs/>
                <w:sz w:val="16"/>
                <w:szCs w:val="16"/>
                <w:lang w:val="en-GB"/>
              </w:rPr>
              <w:t>COOPERATION FRAMEWORK (OR EQUIVALENT) OUTCOME INVOLVING UNDP # 4: By 2025, all communities in Kosovo, equitably benefit from inclusive engagement and greater social cohesion</w:t>
            </w:r>
          </w:p>
        </w:tc>
      </w:tr>
      <w:tr w:rsidR="00FC67C9" w:rsidRPr="00FB566A" w14:paraId="4DCD2034" w14:textId="77777777" w:rsidTr="00FB566A">
        <w:tc>
          <w:tcPr>
            <w:tcW w:w="5000" w:type="pct"/>
            <w:gridSpan w:val="5"/>
            <w:shd w:val="clear" w:color="auto" w:fill="auto"/>
            <w:tcMar>
              <w:top w:w="72" w:type="dxa"/>
              <w:left w:w="144" w:type="dxa"/>
              <w:bottom w:w="72" w:type="dxa"/>
              <w:right w:w="144" w:type="dxa"/>
            </w:tcMar>
          </w:tcPr>
          <w:p w14:paraId="23E97228" w14:textId="7E2909AF" w:rsidR="00FC67C9" w:rsidRPr="00FB566A" w:rsidRDefault="00FC67C9" w:rsidP="00D516CD">
            <w:pPr>
              <w:rPr>
                <w:b/>
                <w:bCs/>
                <w:sz w:val="16"/>
                <w:szCs w:val="16"/>
                <w:lang w:val="en-GB"/>
              </w:rPr>
            </w:pPr>
            <w:r w:rsidRPr="00FB566A">
              <w:rPr>
                <w:b/>
                <w:bCs/>
                <w:sz w:val="16"/>
                <w:szCs w:val="16"/>
                <w:lang w:val="en-GB"/>
              </w:rPr>
              <w:t>RELATED STRATEGIC PLAN OUTCOME</w:t>
            </w:r>
            <w:r w:rsidR="00E63AD1" w:rsidRPr="00FB566A">
              <w:rPr>
                <w:b/>
                <w:bCs/>
                <w:sz w:val="16"/>
                <w:szCs w:val="16"/>
                <w:lang w:val="en-GB"/>
              </w:rPr>
              <w:t xml:space="preserve"> </w:t>
            </w:r>
            <w:r w:rsidR="000F23C3" w:rsidRPr="00FB566A">
              <w:rPr>
                <w:b/>
                <w:bCs/>
                <w:sz w:val="16"/>
                <w:szCs w:val="16"/>
                <w:lang w:val="en-GB"/>
              </w:rPr>
              <w:t>2: Accelerate structural transformations for sustainable development</w:t>
            </w:r>
          </w:p>
        </w:tc>
      </w:tr>
      <w:tr w:rsidR="00FC67C9" w:rsidRPr="00FB566A" w14:paraId="646A54F9" w14:textId="77777777" w:rsidTr="00FB566A">
        <w:trPr>
          <w:trHeight w:val="18"/>
        </w:trPr>
        <w:tc>
          <w:tcPr>
            <w:tcW w:w="1102" w:type="pct"/>
            <w:shd w:val="clear" w:color="auto" w:fill="auto"/>
            <w:tcMar>
              <w:top w:w="72" w:type="dxa"/>
              <w:left w:w="144" w:type="dxa"/>
              <w:bottom w:w="72" w:type="dxa"/>
              <w:right w:w="144" w:type="dxa"/>
            </w:tcMar>
          </w:tcPr>
          <w:p w14:paraId="3DFBA6A3" w14:textId="66818876" w:rsidR="00FC67C9" w:rsidRPr="00FB566A" w:rsidRDefault="00FC67C9" w:rsidP="00D516CD">
            <w:pPr>
              <w:rPr>
                <w:sz w:val="16"/>
                <w:szCs w:val="16"/>
                <w:lang w:val="en-GB"/>
              </w:rPr>
            </w:pPr>
            <w:r w:rsidRPr="00FB566A">
              <w:rPr>
                <w:sz w:val="16"/>
                <w:szCs w:val="16"/>
                <w:lang w:val="en-GB"/>
              </w:rPr>
              <w:t xml:space="preserve">Indicator1: </w:t>
            </w:r>
            <w:r w:rsidR="00D142F7" w:rsidRPr="00FB566A">
              <w:rPr>
                <w:sz w:val="16"/>
                <w:szCs w:val="16"/>
                <w:lang w:val="en-GB"/>
              </w:rPr>
              <w:t>Share</w:t>
            </w:r>
            <w:r w:rsidRPr="00FB566A">
              <w:rPr>
                <w:sz w:val="16"/>
                <w:szCs w:val="16"/>
                <w:lang w:val="en-GB"/>
              </w:rPr>
              <w:t xml:space="preserve"> of people who have trust in public institutions </w:t>
            </w:r>
          </w:p>
          <w:p w14:paraId="7A34A383" w14:textId="06782874" w:rsidR="00FC67C9" w:rsidRPr="00FB566A" w:rsidRDefault="00FC67C9" w:rsidP="00D516CD">
            <w:pPr>
              <w:rPr>
                <w:sz w:val="16"/>
                <w:szCs w:val="16"/>
                <w:lang w:val="en-GB"/>
              </w:rPr>
            </w:pPr>
            <w:r w:rsidRPr="00FB566A">
              <w:rPr>
                <w:sz w:val="16"/>
                <w:szCs w:val="16"/>
                <w:lang w:val="en-GB"/>
              </w:rPr>
              <w:t>Baseline: 27%</w:t>
            </w:r>
            <w:r w:rsidR="00707983">
              <w:rPr>
                <w:sz w:val="16"/>
                <w:szCs w:val="16"/>
                <w:lang w:val="en-GB"/>
              </w:rPr>
              <w:t xml:space="preserve"> </w:t>
            </w:r>
            <w:r w:rsidR="00707983" w:rsidRPr="00FB566A">
              <w:rPr>
                <w:sz w:val="16"/>
                <w:szCs w:val="16"/>
                <w:lang w:val="en-GB"/>
              </w:rPr>
              <w:t>(2019)</w:t>
            </w:r>
          </w:p>
          <w:p w14:paraId="5071D2CC" w14:textId="763DE02D" w:rsidR="00FC67C9" w:rsidRPr="00FB566A" w:rsidRDefault="00FC67C9" w:rsidP="00D516CD">
            <w:pPr>
              <w:rPr>
                <w:sz w:val="16"/>
                <w:szCs w:val="16"/>
                <w:lang w:val="en-GB"/>
              </w:rPr>
            </w:pPr>
            <w:r w:rsidRPr="00FB566A">
              <w:rPr>
                <w:sz w:val="16"/>
                <w:szCs w:val="16"/>
                <w:lang w:val="en-GB"/>
              </w:rPr>
              <w:t>Target: 35%</w:t>
            </w:r>
            <w:r w:rsidR="00707983">
              <w:rPr>
                <w:sz w:val="16"/>
                <w:szCs w:val="16"/>
                <w:lang w:val="en-GB"/>
              </w:rPr>
              <w:t xml:space="preserve"> </w:t>
            </w:r>
            <w:r w:rsidR="00707983" w:rsidRPr="00FB566A">
              <w:rPr>
                <w:sz w:val="16"/>
                <w:szCs w:val="16"/>
                <w:lang w:val="en-GB"/>
              </w:rPr>
              <w:t>(2025)</w:t>
            </w:r>
          </w:p>
          <w:p w14:paraId="39B0BFD7" w14:textId="77777777" w:rsidR="00FC67C9" w:rsidRPr="00FB566A" w:rsidRDefault="00FC67C9" w:rsidP="00D516CD">
            <w:pPr>
              <w:rPr>
                <w:sz w:val="16"/>
                <w:szCs w:val="16"/>
                <w:lang w:val="en-GB"/>
              </w:rPr>
            </w:pPr>
            <w:r w:rsidRPr="00FB566A">
              <w:rPr>
                <w:sz w:val="16"/>
                <w:szCs w:val="16"/>
                <w:lang w:val="en-GB"/>
              </w:rPr>
              <w:t xml:space="preserve"> </w:t>
            </w:r>
          </w:p>
          <w:p w14:paraId="4CBC6BE1" w14:textId="77777777" w:rsidR="00FC67C9" w:rsidRPr="00FB566A" w:rsidRDefault="00FC67C9" w:rsidP="00D516CD">
            <w:pPr>
              <w:rPr>
                <w:sz w:val="16"/>
                <w:szCs w:val="16"/>
                <w:lang w:val="en-GB"/>
              </w:rPr>
            </w:pPr>
            <w:r w:rsidRPr="00FB566A">
              <w:rPr>
                <w:sz w:val="16"/>
                <w:szCs w:val="16"/>
                <w:lang w:val="en-GB"/>
              </w:rPr>
              <w:t>Indicator 2: Public satisfaction with protection of cultural heritage</w:t>
            </w:r>
          </w:p>
          <w:p w14:paraId="7383693B" w14:textId="1CCEAAA9" w:rsidR="00FC67C9" w:rsidRPr="00FB566A" w:rsidRDefault="00FC67C9" w:rsidP="00D516CD">
            <w:pPr>
              <w:rPr>
                <w:sz w:val="16"/>
                <w:szCs w:val="16"/>
                <w:lang w:val="en-GB"/>
              </w:rPr>
            </w:pPr>
            <w:r w:rsidRPr="00FB566A">
              <w:rPr>
                <w:sz w:val="16"/>
                <w:szCs w:val="16"/>
                <w:lang w:val="en-GB"/>
              </w:rPr>
              <w:t>Baseline: 0</w:t>
            </w:r>
            <w:r w:rsidR="00707983">
              <w:rPr>
                <w:sz w:val="16"/>
                <w:szCs w:val="16"/>
                <w:lang w:val="en-GB"/>
              </w:rPr>
              <w:t xml:space="preserve"> </w:t>
            </w:r>
            <w:r w:rsidR="00707983" w:rsidRPr="00FB566A">
              <w:rPr>
                <w:sz w:val="16"/>
                <w:szCs w:val="16"/>
                <w:lang w:val="en-GB"/>
              </w:rPr>
              <w:t>(2019)</w:t>
            </w:r>
          </w:p>
          <w:p w14:paraId="1368FC1D" w14:textId="05D58932" w:rsidR="00FC67C9" w:rsidRPr="00FB566A" w:rsidRDefault="00FC67C9" w:rsidP="00D516CD">
            <w:pPr>
              <w:rPr>
                <w:sz w:val="16"/>
                <w:szCs w:val="16"/>
                <w:lang w:val="en-GB"/>
              </w:rPr>
            </w:pPr>
            <w:r w:rsidRPr="00FB566A">
              <w:rPr>
                <w:sz w:val="16"/>
                <w:szCs w:val="16"/>
                <w:lang w:val="en-GB"/>
              </w:rPr>
              <w:t xml:space="preserve">Target: 25% </w:t>
            </w:r>
            <w:r w:rsidR="008000B4">
              <w:rPr>
                <w:sz w:val="16"/>
                <w:szCs w:val="16"/>
                <w:lang w:val="en-GB"/>
              </w:rPr>
              <w:t xml:space="preserve">of people </w:t>
            </w:r>
            <w:r w:rsidRPr="00FB566A">
              <w:rPr>
                <w:sz w:val="16"/>
                <w:szCs w:val="16"/>
                <w:lang w:val="en-GB"/>
              </w:rPr>
              <w:t>satisfied</w:t>
            </w:r>
            <w:r w:rsidR="00707983">
              <w:rPr>
                <w:sz w:val="16"/>
                <w:szCs w:val="16"/>
                <w:lang w:val="en-GB"/>
              </w:rPr>
              <w:t xml:space="preserve"> </w:t>
            </w:r>
            <w:r w:rsidR="00707983" w:rsidRPr="00FB566A">
              <w:rPr>
                <w:sz w:val="16"/>
                <w:szCs w:val="16"/>
                <w:lang w:val="en-GB"/>
              </w:rPr>
              <w:t>(2025)</w:t>
            </w:r>
          </w:p>
          <w:p w14:paraId="3D9CABCB" w14:textId="77777777" w:rsidR="00FC67C9" w:rsidRPr="00FB566A" w:rsidRDefault="00FC67C9" w:rsidP="00D516CD">
            <w:pPr>
              <w:rPr>
                <w:sz w:val="16"/>
                <w:szCs w:val="16"/>
                <w:lang w:val="en-GB"/>
              </w:rPr>
            </w:pPr>
          </w:p>
          <w:p w14:paraId="3E775A9F" w14:textId="77777777" w:rsidR="00FC67C9" w:rsidRPr="00FB566A" w:rsidRDefault="00FC67C9" w:rsidP="00D516CD">
            <w:pPr>
              <w:rPr>
                <w:sz w:val="16"/>
                <w:szCs w:val="16"/>
                <w:lang w:val="en-GB"/>
              </w:rPr>
            </w:pPr>
          </w:p>
          <w:p w14:paraId="03DC515E" w14:textId="77777777" w:rsidR="00FC67C9" w:rsidRPr="00FB566A" w:rsidRDefault="00FC67C9" w:rsidP="00D516CD">
            <w:pPr>
              <w:rPr>
                <w:sz w:val="16"/>
                <w:szCs w:val="16"/>
                <w:lang w:val="en-GB"/>
              </w:rPr>
            </w:pPr>
          </w:p>
          <w:p w14:paraId="362A4131" w14:textId="77777777" w:rsidR="00FC67C9" w:rsidRPr="00FB566A" w:rsidRDefault="00FC67C9" w:rsidP="00D516CD">
            <w:pPr>
              <w:rPr>
                <w:sz w:val="16"/>
                <w:szCs w:val="16"/>
                <w:lang w:val="en-GB"/>
              </w:rPr>
            </w:pPr>
          </w:p>
          <w:p w14:paraId="0E13B791" w14:textId="77777777" w:rsidR="00FC67C9" w:rsidRPr="00FB566A" w:rsidRDefault="00FC67C9" w:rsidP="00D516CD">
            <w:pPr>
              <w:rPr>
                <w:sz w:val="16"/>
                <w:szCs w:val="16"/>
                <w:lang w:val="en-GB"/>
              </w:rPr>
            </w:pPr>
          </w:p>
          <w:p w14:paraId="2575E316" w14:textId="77777777" w:rsidR="00FC67C9" w:rsidRPr="00FB566A" w:rsidRDefault="00FC67C9" w:rsidP="00D516CD">
            <w:pPr>
              <w:rPr>
                <w:sz w:val="16"/>
                <w:szCs w:val="16"/>
                <w:lang w:val="en-GB"/>
              </w:rPr>
            </w:pPr>
          </w:p>
          <w:p w14:paraId="36957951" w14:textId="77777777" w:rsidR="00FC67C9" w:rsidRPr="00FB566A" w:rsidRDefault="00FC67C9" w:rsidP="00D516CD">
            <w:pPr>
              <w:rPr>
                <w:sz w:val="16"/>
                <w:szCs w:val="16"/>
                <w:lang w:val="en-GB"/>
              </w:rPr>
            </w:pPr>
          </w:p>
        </w:tc>
        <w:tc>
          <w:tcPr>
            <w:tcW w:w="1094" w:type="pct"/>
            <w:shd w:val="clear" w:color="auto" w:fill="auto"/>
          </w:tcPr>
          <w:p w14:paraId="7FD0DC6A" w14:textId="10757E3A" w:rsidR="00D142F7" w:rsidRPr="00FB566A" w:rsidRDefault="00FC67C9" w:rsidP="00D516CD">
            <w:pPr>
              <w:rPr>
                <w:sz w:val="16"/>
                <w:szCs w:val="16"/>
                <w:lang w:val="en-GB"/>
              </w:rPr>
            </w:pPr>
            <w:r w:rsidRPr="00FB566A">
              <w:rPr>
                <w:sz w:val="16"/>
                <w:szCs w:val="16"/>
                <w:lang w:val="en-GB"/>
              </w:rPr>
              <w:t xml:space="preserve">1: </w:t>
            </w:r>
            <w:r w:rsidR="00D142F7" w:rsidRPr="00FB566A">
              <w:rPr>
                <w:sz w:val="16"/>
                <w:szCs w:val="16"/>
                <w:lang w:val="en-GB"/>
              </w:rPr>
              <w:t xml:space="preserve">UNDP </w:t>
            </w:r>
            <w:r w:rsidRPr="00FB566A">
              <w:rPr>
                <w:sz w:val="16"/>
                <w:szCs w:val="16"/>
                <w:lang w:val="en-GB"/>
              </w:rPr>
              <w:t>Public Pulse</w:t>
            </w:r>
          </w:p>
          <w:p w14:paraId="19E446B1" w14:textId="1DD7EDF7" w:rsidR="00FC67C9" w:rsidRPr="00FB566A" w:rsidRDefault="00FC67C9" w:rsidP="00D516CD">
            <w:pPr>
              <w:rPr>
                <w:sz w:val="16"/>
                <w:szCs w:val="16"/>
                <w:lang w:val="en-GB"/>
              </w:rPr>
            </w:pPr>
            <w:r w:rsidRPr="00FB566A">
              <w:rPr>
                <w:sz w:val="16"/>
                <w:szCs w:val="16"/>
                <w:lang w:val="en-GB"/>
              </w:rPr>
              <w:t xml:space="preserve"> </w:t>
            </w:r>
          </w:p>
          <w:p w14:paraId="7A5C0237" w14:textId="105B8FD6" w:rsidR="00FC67C9" w:rsidRPr="00FB566A" w:rsidRDefault="00FC67C9" w:rsidP="00D142F7">
            <w:pPr>
              <w:rPr>
                <w:sz w:val="16"/>
                <w:szCs w:val="16"/>
                <w:lang w:val="en-GB"/>
              </w:rPr>
            </w:pPr>
            <w:r w:rsidRPr="00FB566A">
              <w:rPr>
                <w:sz w:val="16"/>
                <w:szCs w:val="16"/>
                <w:lang w:val="en-GB"/>
              </w:rPr>
              <w:t xml:space="preserve">2: </w:t>
            </w:r>
            <w:r w:rsidR="00D142F7" w:rsidRPr="00FB566A">
              <w:rPr>
                <w:sz w:val="16"/>
                <w:szCs w:val="16"/>
                <w:lang w:val="en-GB"/>
              </w:rPr>
              <w:t>UNDP proje</w:t>
            </w:r>
            <w:r w:rsidRPr="00FB566A">
              <w:rPr>
                <w:sz w:val="16"/>
                <w:szCs w:val="16"/>
                <w:lang w:val="en-GB"/>
              </w:rPr>
              <w:t>ct</w:t>
            </w:r>
            <w:r w:rsidR="00D142F7" w:rsidRPr="00FB566A">
              <w:rPr>
                <w:sz w:val="16"/>
                <w:szCs w:val="16"/>
                <w:lang w:val="en-GB"/>
              </w:rPr>
              <w:t xml:space="preserve"> reports</w:t>
            </w:r>
            <w:r w:rsidRPr="00FB566A">
              <w:rPr>
                <w:sz w:val="16"/>
                <w:szCs w:val="16"/>
                <w:lang w:val="en-GB"/>
              </w:rPr>
              <w:t>, targeted survey</w:t>
            </w:r>
            <w:r w:rsidR="00D142F7" w:rsidRPr="00FB566A">
              <w:rPr>
                <w:sz w:val="16"/>
                <w:szCs w:val="16"/>
                <w:lang w:val="en-GB"/>
              </w:rPr>
              <w:t>s</w:t>
            </w:r>
          </w:p>
        </w:tc>
        <w:tc>
          <w:tcPr>
            <w:tcW w:w="1368" w:type="pct"/>
            <w:shd w:val="clear" w:color="auto" w:fill="auto"/>
            <w:tcMar>
              <w:top w:w="72" w:type="dxa"/>
              <w:left w:w="144" w:type="dxa"/>
              <w:bottom w:w="72" w:type="dxa"/>
              <w:right w:w="144" w:type="dxa"/>
            </w:tcMar>
          </w:tcPr>
          <w:p w14:paraId="36CDF26A" w14:textId="4CFACA38" w:rsidR="00FC67C9" w:rsidRPr="00FB566A" w:rsidRDefault="00FC67C9" w:rsidP="00D516CD">
            <w:pPr>
              <w:rPr>
                <w:b/>
                <w:bCs/>
                <w:sz w:val="16"/>
                <w:szCs w:val="16"/>
                <w:lang w:val="en-GB"/>
              </w:rPr>
            </w:pPr>
            <w:r w:rsidRPr="00FB566A">
              <w:rPr>
                <w:b/>
                <w:bCs/>
                <w:sz w:val="16"/>
                <w:szCs w:val="16"/>
                <w:lang w:val="en-GB"/>
              </w:rPr>
              <w:t xml:space="preserve">Output </w:t>
            </w:r>
            <w:r w:rsidR="003F6568" w:rsidRPr="00FB566A">
              <w:rPr>
                <w:b/>
                <w:bCs/>
                <w:sz w:val="16"/>
                <w:szCs w:val="16"/>
                <w:lang w:val="en-GB"/>
              </w:rPr>
              <w:t>3</w:t>
            </w:r>
            <w:r w:rsidRPr="00FB566A">
              <w:rPr>
                <w:b/>
                <w:bCs/>
                <w:sz w:val="16"/>
                <w:szCs w:val="16"/>
                <w:lang w:val="en-GB"/>
              </w:rPr>
              <w:t xml:space="preserve">.1: Engagement and trust between ethnic communities, strengthened </w:t>
            </w:r>
          </w:p>
          <w:p w14:paraId="1771ADE2" w14:textId="77777777" w:rsidR="00D57135" w:rsidRPr="00FB566A" w:rsidRDefault="00D57135" w:rsidP="00D516CD">
            <w:pPr>
              <w:rPr>
                <w:b/>
                <w:bCs/>
                <w:sz w:val="16"/>
                <w:szCs w:val="16"/>
                <w:lang w:val="en-GB"/>
              </w:rPr>
            </w:pPr>
          </w:p>
          <w:p w14:paraId="17AB6BC5" w14:textId="77777777" w:rsidR="00800BF1" w:rsidRPr="00FB566A" w:rsidRDefault="00FC67C9" w:rsidP="00D516CD">
            <w:pPr>
              <w:rPr>
                <w:b/>
                <w:bCs/>
                <w:sz w:val="16"/>
                <w:szCs w:val="16"/>
                <w:lang w:val="en-GB"/>
              </w:rPr>
            </w:pPr>
            <w:r w:rsidRPr="00FB566A">
              <w:rPr>
                <w:b/>
                <w:bCs/>
                <w:sz w:val="16"/>
                <w:szCs w:val="16"/>
                <w:lang w:val="en-GB"/>
              </w:rPr>
              <w:t xml:space="preserve">Indicative Indicator (2.3.1.2. IRRF) 4.1.1: </w:t>
            </w:r>
          </w:p>
          <w:p w14:paraId="15D99EDB" w14:textId="0C57BBDC" w:rsidR="00FC67C9" w:rsidRPr="00FB566A" w:rsidRDefault="00D142F7" w:rsidP="00D516CD">
            <w:pPr>
              <w:rPr>
                <w:sz w:val="16"/>
                <w:szCs w:val="16"/>
                <w:lang w:val="en-GB"/>
              </w:rPr>
            </w:pPr>
            <w:r w:rsidRPr="00FB566A">
              <w:rPr>
                <w:sz w:val="16"/>
                <w:szCs w:val="16"/>
                <w:lang w:val="en-GB"/>
              </w:rPr>
              <w:t>Number</w:t>
            </w:r>
            <w:r w:rsidR="00FC67C9" w:rsidRPr="00FB566A">
              <w:rPr>
                <w:sz w:val="16"/>
                <w:szCs w:val="16"/>
                <w:lang w:val="en-GB"/>
              </w:rPr>
              <w:t xml:space="preserve"> of young women and men benefiting from youth-led trust</w:t>
            </w:r>
            <w:r w:rsidR="00707983">
              <w:rPr>
                <w:sz w:val="16"/>
                <w:szCs w:val="16"/>
                <w:lang w:val="en-GB"/>
              </w:rPr>
              <w:t>-</w:t>
            </w:r>
            <w:r w:rsidR="00FC67C9" w:rsidRPr="00FB566A">
              <w:rPr>
                <w:sz w:val="16"/>
                <w:szCs w:val="16"/>
                <w:lang w:val="en-GB"/>
              </w:rPr>
              <w:t>building initiatives (Kosovo</w:t>
            </w:r>
            <w:r w:rsidR="00707983">
              <w:rPr>
                <w:sz w:val="16"/>
                <w:szCs w:val="16"/>
                <w:lang w:val="en-GB"/>
              </w:rPr>
              <w:t>-</w:t>
            </w:r>
            <w:r w:rsidR="00FC67C9" w:rsidRPr="00FB566A">
              <w:rPr>
                <w:sz w:val="16"/>
                <w:szCs w:val="16"/>
                <w:lang w:val="en-GB"/>
              </w:rPr>
              <w:t>wide)</w:t>
            </w:r>
          </w:p>
          <w:p w14:paraId="58B002EF" w14:textId="50F8EE1B" w:rsidR="00FC67C9" w:rsidRPr="00FB566A" w:rsidRDefault="00FC67C9" w:rsidP="00D516CD">
            <w:pPr>
              <w:rPr>
                <w:sz w:val="16"/>
                <w:szCs w:val="16"/>
                <w:lang w:val="en-GB"/>
              </w:rPr>
            </w:pPr>
            <w:r w:rsidRPr="00FB566A">
              <w:rPr>
                <w:sz w:val="16"/>
                <w:szCs w:val="16"/>
                <w:lang w:val="en-GB"/>
              </w:rPr>
              <w:t>Baseline: 2,000 (30% from non-majority communities, 50% Women)</w:t>
            </w:r>
            <w:r w:rsidR="00375951">
              <w:rPr>
                <w:sz w:val="16"/>
                <w:szCs w:val="16"/>
                <w:lang w:val="en-GB"/>
              </w:rPr>
              <w:t xml:space="preserve"> </w:t>
            </w:r>
            <w:r w:rsidR="00375951" w:rsidRPr="00FB566A">
              <w:rPr>
                <w:sz w:val="16"/>
                <w:szCs w:val="16"/>
                <w:lang w:val="en-GB"/>
              </w:rPr>
              <w:t>(2020)</w:t>
            </w:r>
          </w:p>
          <w:p w14:paraId="736D80AF" w14:textId="78D3635D" w:rsidR="00FC67C9" w:rsidRPr="00FB566A" w:rsidRDefault="00FC67C9" w:rsidP="00D516CD">
            <w:pPr>
              <w:rPr>
                <w:sz w:val="16"/>
                <w:szCs w:val="16"/>
                <w:lang w:val="en-GB"/>
              </w:rPr>
            </w:pPr>
            <w:r w:rsidRPr="00FB566A">
              <w:rPr>
                <w:sz w:val="16"/>
                <w:szCs w:val="16"/>
                <w:lang w:val="en-GB"/>
              </w:rPr>
              <w:t>Target: 6,000 (30% from non-majority communities, 50% women)</w:t>
            </w:r>
            <w:r w:rsidR="00375951">
              <w:rPr>
                <w:sz w:val="16"/>
                <w:szCs w:val="16"/>
                <w:lang w:val="en-GB"/>
              </w:rPr>
              <w:t xml:space="preserve"> </w:t>
            </w:r>
            <w:r w:rsidR="00375951" w:rsidRPr="00FB566A">
              <w:rPr>
                <w:sz w:val="16"/>
                <w:szCs w:val="16"/>
                <w:lang w:val="en-GB"/>
              </w:rPr>
              <w:t>(2025)</w:t>
            </w:r>
          </w:p>
          <w:p w14:paraId="752F5CE4" w14:textId="77777777" w:rsidR="00D57135" w:rsidRPr="00FB566A" w:rsidRDefault="00D57135" w:rsidP="00D516CD">
            <w:pPr>
              <w:rPr>
                <w:sz w:val="16"/>
                <w:szCs w:val="16"/>
                <w:lang w:val="en-GB"/>
              </w:rPr>
            </w:pPr>
          </w:p>
          <w:p w14:paraId="41BECB75" w14:textId="4C2C9EC2" w:rsidR="00FC67C9" w:rsidRPr="00FB566A" w:rsidRDefault="00FC67C9" w:rsidP="00D516CD">
            <w:pPr>
              <w:rPr>
                <w:b/>
                <w:bCs/>
                <w:sz w:val="16"/>
                <w:szCs w:val="16"/>
                <w:lang w:val="en-GB"/>
              </w:rPr>
            </w:pPr>
            <w:r w:rsidRPr="00FB566A">
              <w:rPr>
                <w:b/>
                <w:bCs/>
                <w:sz w:val="16"/>
                <w:szCs w:val="16"/>
                <w:lang w:val="en-GB"/>
              </w:rPr>
              <w:t xml:space="preserve">Output </w:t>
            </w:r>
            <w:r w:rsidR="003F6568" w:rsidRPr="00FB566A">
              <w:rPr>
                <w:b/>
                <w:bCs/>
                <w:sz w:val="16"/>
                <w:szCs w:val="16"/>
                <w:lang w:val="en-GB"/>
              </w:rPr>
              <w:t>3</w:t>
            </w:r>
            <w:r w:rsidRPr="00FB566A">
              <w:rPr>
                <w:b/>
                <w:bCs/>
                <w:sz w:val="16"/>
                <w:szCs w:val="16"/>
                <w:lang w:val="en-GB"/>
              </w:rPr>
              <w:t>.2: Mutual respect for cultural heritage strengthened municipality level</w:t>
            </w:r>
          </w:p>
          <w:p w14:paraId="4C796258" w14:textId="77777777" w:rsidR="00D57135" w:rsidRPr="00FB566A" w:rsidRDefault="00D57135" w:rsidP="00D516CD">
            <w:pPr>
              <w:rPr>
                <w:b/>
                <w:bCs/>
                <w:sz w:val="16"/>
                <w:szCs w:val="16"/>
                <w:lang w:val="en-GB"/>
              </w:rPr>
            </w:pPr>
          </w:p>
          <w:p w14:paraId="4F902EC1" w14:textId="77777777" w:rsidR="00FC67C9" w:rsidRPr="00FB566A" w:rsidRDefault="00FC67C9" w:rsidP="00D516CD">
            <w:pPr>
              <w:rPr>
                <w:b/>
                <w:bCs/>
                <w:sz w:val="16"/>
                <w:szCs w:val="16"/>
                <w:lang w:val="en-GB"/>
              </w:rPr>
            </w:pPr>
            <w:r w:rsidRPr="00FB566A">
              <w:rPr>
                <w:b/>
                <w:bCs/>
                <w:sz w:val="16"/>
                <w:szCs w:val="16"/>
                <w:lang w:val="en-GB"/>
              </w:rPr>
              <w:t>Indicative Indicator (3.3.2.2 IRRF) 4.1.2:</w:t>
            </w:r>
          </w:p>
          <w:p w14:paraId="695E877D" w14:textId="18DF2EE8" w:rsidR="00FC67C9" w:rsidRPr="00FB566A" w:rsidRDefault="00D142F7" w:rsidP="00D516CD">
            <w:pPr>
              <w:rPr>
                <w:sz w:val="16"/>
                <w:szCs w:val="16"/>
                <w:lang w:val="en-GB"/>
              </w:rPr>
            </w:pPr>
            <w:r w:rsidRPr="00FB566A">
              <w:rPr>
                <w:sz w:val="16"/>
                <w:szCs w:val="16"/>
                <w:lang w:val="en-GB"/>
              </w:rPr>
              <w:t>Number</w:t>
            </w:r>
            <w:r w:rsidR="00FC67C9" w:rsidRPr="00FB566A">
              <w:rPr>
                <w:sz w:val="16"/>
                <w:szCs w:val="16"/>
                <w:lang w:val="en-GB"/>
              </w:rPr>
              <w:t xml:space="preserve"> of municipalities with gender</w:t>
            </w:r>
            <w:r w:rsidR="00375951">
              <w:rPr>
                <w:sz w:val="16"/>
                <w:szCs w:val="16"/>
                <w:lang w:val="en-GB"/>
              </w:rPr>
              <w:t>-</w:t>
            </w:r>
            <w:r w:rsidR="00FC67C9" w:rsidRPr="00FB566A">
              <w:rPr>
                <w:sz w:val="16"/>
                <w:szCs w:val="16"/>
                <w:lang w:val="en-GB"/>
              </w:rPr>
              <w:t>sensitive initiatives for trust</w:t>
            </w:r>
            <w:r w:rsidR="00375951">
              <w:rPr>
                <w:sz w:val="16"/>
                <w:szCs w:val="16"/>
                <w:lang w:val="en-GB"/>
              </w:rPr>
              <w:t>-</w:t>
            </w:r>
            <w:r w:rsidR="00FC67C9" w:rsidRPr="00FB566A">
              <w:rPr>
                <w:sz w:val="16"/>
                <w:szCs w:val="16"/>
                <w:lang w:val="en-GB"/>
              </w:rPr>
              <w:t>building through cultural heritage preservation</w:t>
            </w:r>
          </w:p>
          <w:p w14:paraId="6A80BD65" w14:textId="6097D3A8" w:rsidR="00FC67C9" w:rsidRPr="00FB566A" w:rsidRDefault="00FC67C9" w:rsidP="00D516CD">
            <w:pPr>
              <w:rPr>
                <w:sz w:val="16"/>
                <w:szCs w:val="16"/>
                <w:lang w:val="en-GB"/>
              </w:rPr>
            </w:pPr>
            <w:r w:rsidRPr="00FB566A">
              <w:rPr>
                <w:sz w:val="16"/>
                <w:szCs w:val="16"/>
                <w:lang w:val="en-GB"/>
              </w:rPr>
              <w:t>Baseline: 13 municipalities</w:t>
            </w:r>
            <w:r w:rsidR="00375951">
              <w:rPr>
                <w:sz w:val="16"/>
                <w:szCs w:val="16"/>
                <w:lang w:val="en-GB"/>
              </w:rPr>
              <w:t xml:space="preserve"> </w:t>
            </w:r>
            <w:r w:rsidR="00375951" w:rsidRPr="00FB566A">
              <w:rPr>
                <w:sz w:val="16"/>
                <w:szCs w:val="16"/>
                <w:lang w:val="en-GB"/>
              </w:rPr>
              <w:t>(2020)</w:t>
            </w:r>
          </w:p>
          <w:p w14:paraId="67EEB69D" w14:textId="7BB6D322" w:rsidR="00FC67C9" w:rsidRPr="00FB566A" w:rsidRDefault="00FC67C9" w:rsidP="00D516CD">
            <w:pPr>
              <w:rPr>
                <w:sz w:val="16"/>
                <w:szCs w:val="16"/>
                <w:lang w:val="en-GB"/>
              </w:rPr>
            </w:pPr>
            <w:r w:rsidRPr="00FB566A">
              <w:rPr>
                <w:sz w:val="16"/>
                <w:szCs w:val="16"/>
                <w:lang w:val="en-GB"/>
              </w:rPr>
              <w:t xml:space="preserve">Target: </w:t>
            </w:r>
            <w:r w:rsidR="00B0169B">
              <w:rPr>
                <w:sz w:val="16"/>
                <w:szCs w:val="16"/>
                <w:lang w:val="en-GB"/>
              </w:rPr>
              <w:t>19</w:t>
            </w:r>
            <w:r w:rsidRPr="00FB566A">
              <w:rPr>
                <w:sz w:val="16"/>
                <w:szCs w:val="16"/>
                <w:lang w:val="en-GB"/>
              </w:rPr>
              <w:t xml:space="preserve"> municipalities</w:t>
            </w:r>
            <w:r w:rsidR="00375951">
              <w:rPr>
                <w:sz w:val="16"/>
                <w:szCs w:val="16"/>
                <w:lang w:val="en-GB"/>
              </w:rPr>
              <w:t xml:space="preserve"> </w:t>
            </w:r>
            <w:r w:rsidR="00375951" w:rsidRPr="00FB566A">
              <w:rPr>
                <w:sz w:val="16"/>
                <w:szCs w:val="16"/>
                <w:lang w:val="en-GB"/>
              </w:rPr>
              <w:t>(2025)</w:t>
            </w:r>
            <w:r w:rsidRPr="00FB566A">
              <w:rPr>
                <w:sz w:val="16"/>
                <w:szCs w:val="16"/>
                <w:lang w:val="en-GB"/>
              </w:rPr>
              <w:t xml:space="preserve"> </w:t>
            </w:r>
          </w:p>
          <w:p w14:paraId="16239EF2" w14:textId="77777777" w:rsidR="00D57135" w:rsidRPr="00FB566A" w:rsidRDefault="00D57135" w:rsidP="00D516CD">
            <w:pPr>
              <w:rPr>
                <w:sz w:val="16"/>
                <w:szCs w:val="16"/>
                <w:lang w:val="en-GB"/>
              </w:rPr>
            </w:pPr>
          </w:p>
          <w:p w14:paraId="7F983BB9" w14:textId="66D35F34" w:rsidR="00FC67C9" w:rsidRPr="00FB566A" w:rsidRDefault="00FC67C9" w:rsidP="00D516CD">
            <w:pPr>
              <w:rPr>
                <w:b/>
                <w:bCs/>
                <w:sz w:val="16"/>
                <w:szCs w:val="16"/>
                <w:lang w:val="en-GB"/>
              </w:rPr>
            </w:pPr>
            <w:r w:rsidRPr="00FB566A">
              <w:rPr>
                <w:b/>
                <w:bCs/>
                <w:sz w:val="16"/>
                <w:szCs w:val="16"/>
                <w:lang w:val="en-GB"/>
              </w:rPr>
              <w:t xml:space="preserve">Output </w:t>
            </w:r>
            <w:r w:rsidR="003F6568" w:rsidRPr="00FB566A">
              <w:rPr>
                <w:b/>
                <w:bCs/>
                <w:sz w:val="16"/>
                <w:szCs w:val="16"/>
                <w:lang w:val="en-GB"/>
              </w:rPr>
              <w:t>3</w:t>
            </w:r>
            <w:r w:rsidRPr="00FB566A">
              <w:rPr>
                <w:b/>
                <w:bCs/>
                <w:sz w:val="16"/>
                <w:szCs w:val="16"/>
                <w:lang w:val="en-GB"/>
              </w:rPr>
              <w:t>.3: Enhanced civic engagement, voice mechanisms and reconciliation</w:t>
            </w:r>
          </w:p>
          <w:p w14:paraId="38F7F292" w14:textId="77777777" w:rsidR="00800BF1" w:rsidRPr="00FB566A" w:rsidRDefault="00800BF1" w:rsidP="00D516CD">
            <w:pPr>
              <w:rPr>
                <w:b/>
                <w:bCs/>
                <w:sz w:val="16"/>
                <w:szCs w:val="16"/>
                <w:lang w:val="en-GB"/>
              </w:rPr>
            </w:pPr>
          </w:p>
          <w:p w14:paraId="0E38257E" w14:textId="77777777" w:rsidR="00FC67C9" w:rsidRPr="00FB566A" w:rsidRDefault="00FC67C9" w:rsidP="00D516CD">
            <w:pPr>
              <w:rPr>
                <w:sz w:val="16"/>
                <w:szCs w:val="16"/>
                <w:lang w:val="en-GB"/>
              </w:rPr>
            </w:pPr>
            <w:r w:rsidRPr="00FB566A">
              <w:rPr>
                <w:b/>
                <w:bCs/>
                <w:sz w:val="16"/>
                <w:szCs w:val="16"/>
                <w:lang w:val="en-GB"/>
              </w:rPr>
              <w:t>Indicative Indicator (3.3.2.2 IRRF) 4.1.3</w:t>
            </w:r>
            <w:r w:rsidRPr="00FB566A">
              <w:rPr>
                <w:sz w:val="16"/>
                <w:szCs w:val="16"/>
                <w:lang w:val="en-GB"/>
              </w:rPr>
              <w:t>:</w:t>
            </w:r>
          </w:p>
          <w:p w14:paraId="1B02FADD" w14:textId="78068421" w:rsidR="00FC67C9" w:rsidRPr="00FB566A" w:rsidRDefault="00D142F7" w:rsidP="00D516CD">
            <w:pPr>
              <w:rPr>
                <w:sz w:val="16"/>
                <w:szCs w:val="16"/>
                <w:lang w:val="en-GB"/>
              </w:rPr>
            </w:pPr>
            <w:r w:rsidRPr="00FB566A">
              <w:rPr>
                <w:sz w:val="16"/>
                <w:szCs w:val="16"/>
                <w:lang w:val="en-GB"/>
              </w:rPr>
              <w:lastRenderedPageBreak/>
              <w:t>Number</w:t>
            </w:r>
            <w:r w:rsidR="00FC67C9" w:rsidRPr="00FB566A">
              <w:rPr>
                <w:sz w:val="16"/>
                <w:szCs w:val="16"/>
                <w:lang w:val="en-GB"/>
              </w:rPr>
              <w:t xml:space="preserve"> of activities supporting inter-ethnic dialogue on missing persons (50% women) (Kosovo</w:t>
            </w:r>
            <w:r w:rsidR="00375951">
              <w:rPr>
                <w:sz w:val="16"/>
                <w:szCs w:val="16"/>
                <w:lang w:val="en-GB"/>
              </w:rPr>
              <w:t>-</w:t>
            </w:r>
            <w:r w:rsidR="00FC67C9" w:rsidRPr="00FB566A">
              <w:rPr>
                <w:sz w:val="16"/>
                <w:szCs w:val="16"/>
                <w:lang w:val="en-GB"/>
              </w:rPr>
              <w:t>wide)</w:t>
            </w:r>
          </w:p>
          <w:p w14:paraId="5C5EAA94" w14:textId="7770DA98" w:rsidR="00FC67C9" w:rsidRPr="00FB566A" w:rsidRDefault="00FC67C9" w:rsidP="00D516CD">
            <w:pPr>
              <w:rPr>
                <w:sz w:val="16"/>
                <w:szCs w:val="16"/>
                <w:lang w:val="en-GB"/>
              </w:rPr>
            </w:pPr>
            <w:r w:rsidRPr="00FB566A">
              <w:rPr>
                <w:sz w:val="16"/>
                <w:szCs w:val="16"/>
                <w:lang w:val="en-GB"/>
              </w:rPr>
              <w:t>Baseline: 10</w:t>
            </w:r>
            <w:r w:rsidR="00375951">
              <w:rPr>
                <w:sz w:val="16"/>
                <w:szCs w:val="16"/>
                <w:lang w:val="en-GB"/>
              </w:rPr>
              <w:t xml:space="preserve"> </w:t>
            </w:r>
            <w:r w:rsidR="00375951" w:rsidRPr="00FB566A">
              <w:rPr>
                <w:sz w:val="16"/>
                <w:szCs w:val="16"/>
                <w:lang w:val="en-GB"/>
              </w:rPr>
              <w:t>(2019)</w:t>
            </w:r>
          </w:p>
          <w:p w14:paraId="6B8EBC07" w14:textId="585C8306" w:rsidR="00FC67C9" w:rsidRPr="00FB566A" w:rsidRDefault="00FC67C9" w:rsidP="00D516CD">
            <w:pPr>
              <w:rPr>
                <w:sz w:val="16"/>
                <w:szCs w:val="16"/>
                <w:lang w:val="en-GB"/>
              </w:rPr>
            </w:pPr>
            <w:r w:rsidRPr="00FB566A">
              <w:rPr>
                <w:sz w:val="16"/>
                <w:szCs w:val="16"/>
                <w:lang w:val="en-GB"/>
              </w:rPr>
              <w:t>Target: 40</w:t>
            </w:r>
            <w:r w:rsidR="00375951">
              <w:rPr>
                <w:sz w:val="16"/>
                <w:szCs w:val="16"/>
                <w:lang w:val="en-GB"/>
              </w:rPr>
              <w:t xml:space="preserve"> </w:t>
            </w:r>
            <w:r w:rsidR="00375951" w:rsidRPr="00FB566A">
              <w:rPr>
                <w:sz w:val="16"/>
                <w:szCs w:val="16"/>
                <w:lang w:val="en-GB"/>
              </w:rPr>
              <w:t>(2025)</w:t>
            </w:r>
          </w:p>
        </w:tc>
        <w:tc>
          <w:tcPr>
            <w:tcW w:w="902" w:type="pct"/>
            <w:shd w:val="clear" w:color="auto" w:fill="auto"/>
            <w:vAlign w:val="center"/>
          </w:tcPr>
          <w:p w14:paraId="74F3DEF9" w14:textId="77777777" w:rsidR="00483530" w:rsidRPr="00FB566A" w:rsidRDefault="00483530" w:rsidP="00483530">
            <w:pPr>
              <w:rPr>
                <w:sz w:val="16"/>
                <w:szCs w:val="16"/>
                <w:lang w:val="en-GB"/>
              </w:rPr>
            </w:pPr>
            <w:r w:rsidRPr="00FB566A">
              <w:rPr>
                <w:sz w:val="16"/>
                <w:szCs w:val="16"/>
                <w:lang w:val="en-GB"/>
              </w:rPr>
              <w:lastRenderedPageBreak/>
              <w:t xml:space="preserve">Ministry of Culture, Youth and Sports </w:t>
            </w:r>
          </w:p>
          <w:p w14:paraId="4ABDEDD1" w14:textId="77777777" w:rsidR="00483530" w:rsidRPr="00FB566A" w:rsidRDefault="00483530" w:rsidP="00483530">
            <w:pPr>
              <w:rPr>
                <w:sz w:val="16"/>
                <w:szCs w:val="16"/>
                <w:lang w:val="en-GB"/>
              </w:rPr>
            </w:pPr>
            <w:r w:rsidRPr="00FB566A">
              <w:rPr>
                <w:sz w:val="16"/>
                <w:szCs w:val="16"/>
                <w:lang w:val="en-GB"/>
              </w:rPr>
              <w:t>Ministry of Environment and Spatial Planning</w:t>
            </w:r>
          </w:p>
          <w:p w14:paraId="73595266" w14:textId="77777777" w:rsidR="00483530" w:rsidRPr="00FB566A" w:rsidRDefault="00483530" w:rsidP="00483530">
            <w:pPr>
              <w:rPr>
                <w:sz w:val="16"/>
                <w:szCs w:val="16"/>
                <w:lang w:val="en-GB"/>
              </w:rPr>
            </w:pPr>
            <w:r w:rsidRPr="00FB566A">
              <w:rPr>
                <w:sz w:val="16"/>
                <w:szCs w:val="16"/>
                <w:lang w:val="en-GB"/>
              </w:rPr>
              <w:t>Private sector companies</w:t>
            </w:r>
          </w:p>
          <w:p w14:paraId="44BB0D56" w14:textId="77777777" w:rsidR="00483530" w:rsidRPr="00FB566A" w:rsidRDefault="00483530" w:rsidP="00483530">
            <w:pPr>
              <w:rPr>
                <w:sz w:val="16"/>
                <w:szCs w:val="16"/>
                <w:lang w:val="en-GB"/>
              </w:rPr>
            </w:pPr>
            <w:r w:rsidRPr="00FB566A">
              <w:rPr>
                <w:sz w:val="16"/>
                <w:szCs w:val="16"/>
                <w:lang w:val="en-GB"/>
              </w:rPr>
              <w:t>Municipalities</w:t>
            </w:r>
          </w:p>
          <w:p w14:paraId="56FB86DD" w14:textId="77777777" w:rsidR="00483530" w:rsidRPr="00FB566A" w:rsidRDefault="00483530" w:rsidP="00483530">
            <w:pPr>
              <w:rPr>
                <w:sz w:val="16"/>
                <w:szCs w:val="16"/>
                <w:lang w:val="en-GB"/>
              </w:rPr>
            </w:pPr>
            <w:r w:rsidRPr="00FB566A">
              <w:rPr>
                <w:sz w:val="16"/>
                <w:szCs w:val="16"/>
                <w:lang w:val="en-GB"/>
              </w:rPr>
              <w:t>Employment Agency</w:t>
            </w:r>
          </w:p>
          <w:p w14:paraId="0A71B856" w14:textId="69795836" w:rsidR="00483530" w:rsidRPr="00FB566A" w:rsidRDefault="00483530" w:rsidP="00483530">
            <w:pPr>
              <w:rPr>
                <w:sz w:val="16"/>
                <w:szCs w:val="16"/>
                <w:lang w:val="en-GB"/>
              </w:rPr>
            </w:pPr>
            <w:r w:rsidRPr="00FB566A">
              <w:rPr>
                <w:sz w:val="16"/>
                <w:szCs w:val="16"/>
                <w:lang w:val="en-GB"/>
              </w:rPr>
              <w:t>E</w:t>
            </w:r>
            <w:r w:rsidR="00D142F7" w:rsidRPr="00FB566A">
              <w:rPr>
                <w:sz w:val="16"/>
                <w:szCs w:val="16"/>
                <w:lang w:val="en-GB"/>
              </w:rPr>
              <w:t xml:space="preserve">uropean </w:t>
            </w:r>
            <w:r w:rsidRPr="00FB566A">
              <w:rPr>
                <w:sz w:val="16"/>
                <w:szCs w:val="16"/>
                <w:lang w:val="en-GB"/>
              </w:rPr>
              <w:t>U</w:t>
            </w:r>
            <w:r w:rsidR="00D142F7" w:rsidRPr="00FB566A">
              <w:rPr>
                <w:sz w:val="16"/>
                <w:szCs w:val="16"/>
                <w:lang w:val="en-GB"/>
              </w:rPr>
              <w:t>nion</w:t>
            </w:r>
          </w:p>
          <w:p w14:paraId="47B96BDF" w14:textId="536F2D96" w:rsidR="00483530" w:rsidRPr="00FB566A" w:rsidRDefault="00D142F7" w:rsidP="00483530">
            <w:pPr>
              <w:rPr>
                <w:sz w:val="16"/>
                <w:szCs w:val="16"/>
                <w:lang w:val="en-GB"/>
              </w:rPr>
            </w:pPr>
            <w:r w:rsidRPr="00FB566A">
              <w:rPr>
                <w:sz w:val="16"/>
                <w:szCs w:val="16"/>
                <w:lang w:val="en-GB"/>
              </w:rPr>
              <w:t xml:space="preserve">United Nations Peacebuilding Fund </w:t>
            </w:r>
          </w:p>
          <w:p w14:paraId="2F6C1F6E" w14:textId="3F75D0AA" w:rsidR="00483530" w:rsidRPr="00FB566A" w:rsidRDefault="00D142F7" w:rsidP="00483530">
            <w:pPr>
              <w:rPr>
                <w:sz w:val="16"/>
                <w:szCs w:val="16"/>
                <w:lang w:val="en-GB"/>
              </w:rPr>
            </w:pPr>
            <w:r w:rsidRPr="00FB566A">
              <w:rPr>
                <w:sz w:val="16"/>
                <w:szCs w:val="16"/>
                <w:lang w:val="en-GB"/>
              </w:rPr>
              <w:t>Civil Society Organi</w:t>
            </w:r>
            <w:r w:rsidR="00375951">
              <w:rPr>
                <w:sz w:val="16"/>
                <w:szCs w:val="16"/>
                <w:lang w:val="en-GB"/>
              </w:rPr>
              <w:t>s</w:t>
            </w:r>
            <w:r w:rsidRPr="00FB566A">
              <w:rPr>
                <w:sz w:val="16"/>
                <w:szCs w:val="16"/>
                <w:lang w:val="en-GB"/>
              </w:rPr>
              <w:t>ations</w:t>
            </w:r>
          </w:p>
          <w:p w14:paraId="61FE9B7F" w14:textId="77777777" w:rsidR="00483530" w:rsidRPr="00FB566A" w:rsidRDefault="00483530" w:rsidP="00483530">
            <w:pPr>
              <w:rPr>
                <w:sz w:val="16"/>
                <w:szCs w:val="16"/>
                <w:lang w:val="en-GB"/>
              </w:rPr>
            </w:pPr>
            <w:r w:rsidRPr="00FB566A">
              <w:rPr>
                <w:sz w:val="16"/>
                <w:szCs w:val="16"/>
                <w:lang w:val="en-GB"/>
              </w:rPr>
              <w:t>Academia</w:t>
            </w:r>
          </w:p>
          <w:p w14:paraId="7FA03D7C" w14:textId="6F9563D5" w:rsidR="00483530" w:rsidRPr="00FB566A" w:rsidRDefault="00483530" w:rsidP="00483530">
            <w:pPr>
              <w:rPr>
                <w:sz w:val="16"/>
                <w:szCs w:val="16"/>
                <w:lang w:val="en-GB"/>
              </w:rPr>
            </w:pPr>
            <w:r w:rsidRPr="00FB566A">
              <w:rPr>
                <w:sz w:val="16"/>
                <w:szCs w:val="16"/>
                <w:lang w:val="en-GB"/>
              </w:rPr>
              <w:t>IOM</w:t>
            </w:r>
          </w:p>
          <w:p w14:paraId="4163C2E5" w14:textId="5123CBE1" w:rsidR="00483530" w:rsidRPr="00FB566A" w:rsidRDefault="00483530" w:rsidP="00483530">
            <w:pPr>
              <w:rPr>
                <w:sz w:val="16"/>
                <w:szCs w:val="16"/>
                <w:lang w:val="en-GB"/>
              </w:rPr>
            </w:pPr>
            <w:r w:rsidRPr="00FB566A">
              <w:rPr>
                <w:sz w:val="16"/>
                <w:szCs w:val="16"/>
                <w:lang w:val="en-GB"/>
              </w:rPr>
              <w:t>UNICEF</w:t>
            </w:r>
          </w:p>
          <w:p w14:paraId="2B38A6FB" w14:textId="74EE62F8" w:rsidR="00483530" w:rsidRPr="00FB566A" w:rsidRDefault="00375951" w:rsidP="00483530">
            <w:pPr>
              <w:rPr>
                <w:sz w:val="16"/>
                <w:szCs w:val="16"/>
                <w:lang w:val="en-GB"/>
              </w:rPr>
            </w:pPr>
            <w:r>
              <w:rPr>
                <w:sz w:val="16"/>
                <w:szCs w:val="16"/>
                <w:lang w:val="en-GB"/>
              </w:rPr>
              <w:t xml:space="preserve">Office of the </w:t>
            </w:r>
            <w:r w:rsidR="00483530" w:rsidRPr="00FB566A">
              <w:rPr>
                <w:sz w:val="16"/>
                <w:szCs w:val="16"/>
                <w:lang w:val="en-GB"/>
              </w:rPr>
              <w:t>U</w:t>
            </w:r>
            <w:r w:rsidR="00D142F7" w:rsidRPr="00FB566A">
              <w:rPr>
                <w:sz w:val="16"/>
                <w:szCs w:val="16"/>
                <w:lang w:val="en-GB"/>
              </w:rPr>
              <w:t xml:space="preserve">nited </w:t>
            </w:r>
            <w:r w:rsidR="00483530" w:rsidRPr="00FB566A">
              <w:rPr>
                <w:sz w:val="16"/>
                <w:szCs w:val="16"/>
                <w:lang w:val="en-GB"/>
              </w:rPr>
              <w:t>N</w:t>
            </w:r>
            <w:r w:rsidR="00D142F7" w:rsidRPr="00FB566A">
              <w:rPr>
                <w:sz w:val="16"/>
                <w:szCs w:val="16"/>
                <w:lang w:val="en-GB"/>
              </w:rPr>
              <w:t xml:space="preserve">ations </w:t>
            </w:r>
            <w:r w:rsidR="00483530" w:rsidRPr="00FB566A">
              <w:rPr>
                <w:sz w:val="16"/>
                <w:szCs w:val="16"/>
                <w:lang w:val="en-GB"/>
              </w:rPr>
              <w:t>H</w:t>
            </w:r>
            <w:r w:rsidR="00D142F7" w:rsidRPr="00FB566A">
              <w:rPr>
                <w:sz w:val="16"/>
                <w:szCs w:val="16"/>
                <w:lang w:val="en-GB"/>
              </w:rPr>
              <w:t xml:space="preserve">igh </w:t>
            </w:r>
            <w:r w:rsidR="00483530" w:rsidRPr="00FB566A">
              <w:rPr>
                <w:sz w:val="16"/>
                <w:szCs w:val="16"/>
                <w:lang w:val="en-GB"/>
              </w:rPr>
              <w:t>C</w:t>
            </w:r>
            <w:r w:rsidR="00D142F7" w:rsidRPr="00FB566A">
              <w:rPr>
                <w:sz w:val="16"/>
                <w:szCs w:val="16"/>
                <w:lang w:val="en-GB"/>
              </w:rPr>
              <w:t xml:space="preserve">ommissioner for </w:t>
            </w:r>
            <w:r w:rsidR="00483530" w:rsidRPr="00FB566A">
              <w:rPr>
                <w:sz w:val="16"/>
                <w:szCs w:val="16"/>
                <w:lang w:val="en-GB"/>
              </w:rPr>
              <w:t>R</w:t>
            </w:r>
            <w:r w:rsidR="00D142F7" w:rsidRPr="00FB566A">
              <w:rPr>
                <w:sz w:val="16"/>
                <w:szCs w:val="16"/>
                <w:lang w:val="en-GB"/>
              </w:rPr>
              <w:t>efugees</w:t>
            </w:r>
          </w:p>
          <w:p w14:paraId="376AB237" w14:textId="7335F50A" w:rsidR="00483530" w:rsidRPr="00FB566A" w:rsidRDefault="00483530" w:rsidP="00483530">
            <w:pPr>
              <w:rPr>
                <w:sz w:val="16"/>
                <w:szCs w:val="16"/>
                <w:lang w:val="en-GB"/>
              </w:rPr>
            </w:pPr>
            <w:r w:rsidRPr="00FB566A">
              <w:rPr>
                <w:sz w:val="16"/>
                <w:szCs w:val="16"/>
                <w:lang w:val="en-GB"/>
              </w:rPr>
              <w:t>UN</w:t>
            </w:r>
            <w:r w:rsidR="00375951">
              <w:rPr>
                <w:sz w:val="16"/>
                <w:szCs w:val="16"/>
                <w:lang w:val="en-GB"/>
              </w:rPr>
              <w:t>-</w:t>
            </w:r>
            <w:r w:rsidRPr="00FB566A">
              <w:rPr>
                <w:sz w:val="16"/>
                <w:szCs w:val="16"/>
                <w:lang w:val="en-GB"/>
              </w:rPr>
              <w:t>Women</w:t>
            </w:r>
          </w:p>
          <w:p w14:paraId="1343C951" w14:textId="77777777" w:rsidR="00483530" w:rsidRPr="00FB566A" w:rsidRDefault="00483530" w:rsidP="00483530">
            <w:pPr>
              <w:rPr>
                <w:sz w:val="16"/>
                <w:szCs w:val="16"/>
                <w:lang w:val="en-GB"/>
              </w:rPr>
            </w:pPr>
            <w:r w:rsidRPr="00FB566A">
              <w:rPr>
                <w:sz w:val="16"/>
                <w:szCs w:val="16"/>
                <w:lang w:val="en-GB"/>
              </w:rPr>
              <w:t>UN-Habitat</w:t>
            </w:r>
          </w:p>
          <w:p w14:paraId="2E94257C" w14:textId="77777777" w:rsidR="00FC67C9" w:rsidRPr="00FB566A" w:rsidRDefault="00FC67C9" w:rsidP="00D516CD">
            <w:pPr>
              <w:rPr>
                <w:sz w:val="16"/>
                <w:szCs w:val="16"/>
                <w:lang w:val="en-GB"/>
              </w:rPr>
            </w:pPr>
          </w:p>
          <w:p w14:paraId="046EE044" w14:textId="77777777" w:rsidR="00FC67C9" w:rsidRPr="00FB566A" w:rsidRDefault="00FC67C9" w:rsidP="00D516CD">
            <w:pPr>
              <w:rPr>
                <w:sz w:val="16"/>
                <w:szCs w:val="16"/>
                <w:lang w:val="en-GB"/>
              </w:rPr>
            </w:pPr>
          </w:p>
          <w:p w14:paraId="2C9E387E" w14:textId="77777777" w:rsidR="00FC67C9" w:rsidRPr="00FB566A" w:rsidRDefault="00FC67C9" w:rsidP="00D516CD">
            <w:pPr>
              <w:rPr>
                <w:sz w:val="16"/>
                <w:szCs w:val="16"/>
                <w:lang w:val="en-GB"/>
              </w:rPr>
            </w:pPr>
          </w:p>
        </w:tc>
        <w:tc>
          <w:tcPr>
            <w:tcW w:w="534" w:type="pct"/>
            <w:shd w:val="clear" w:color="auto" w:fill="auto"/>
            <w:tcMar>
              <w:top w:w="15" w:type="dxa"/>
              <w:left w:w="108" w:type="dxa"/>
              <w:bottom w:w="0" w:type="dxa"/>
              <w:right w:w="108" w:type="dxa"/>
            </w:tcMar>
          </w:tcPr>
          <w:p w14:paraId="4CE9FE8F" w14:textId="07F741DE" w:rsidR="00FC67C9" w:rsidRPr="00FB566A" w:rsidRDefault="00FC67C9" w:rsidP="00D516CD">
            <w:pPr>
              <w:rPr>
                <w:b/>
                <w:sz w:val="16"/>
                <w:szCs w:val="16"/>
                <w:lang w:val="en-GB"/>
              </w:rPr>
            </w:pPr>
            <w:r w:rsidRPr="00FB566A">
              <w:rPr>
                <w:b/>
                <w:sz w:val="16"/>
                <w:szCs w:val="16"/>
                <w:lang w:val="en-GB"/>
              </w:rPr>
              <w:t>Regular</w:t>
            </w:r>
          </w:p>
          <w:p w14:paraId="47D7840C" w14:textId="7B19663F" w:rsidR="00FC67C9" w:rsidRPr="00FB566A" w:rsidRDefault="001323D2" w:rsidP="00D516CD">
            <w:pPr>
              <w:rPr>
                <w:b/>
                <w:sz w:val="16"/>
                <w:szCs w:val="16"/>
                <w:lang w:val="en-GB"/>
              </w:rPr>
            </w:pPr>
            <w:r>
              <w:rPr>
                <w:sz w:val="16"/>
                <w:szCs w:val="16"/>
              </w:rPr>
              <w:t>$</w:t>
            </w:r>
            <w:r w:rsidR="00FC67C9" w:rsidRPr="00FB566A">
              <w:rPr>
                <w:sz w:val="16"/>
                <w:szCs w:val="16"/>
              </w:rPr>
              <w:t>194,666</w:t>
            </w:r>
          </w:p>
          <w:p w14:paraId="31F1A0DE" w14:textId="77777777" w:rsidR="00FC67C9" w:rsidRPr="00FB566A" w:rsidRDefault="00FC67C9" w:rsidP="00D516CD">
            <w:pPr>
              <w:rPr>
                <w:b/>
                <w:sz w:val="16"/>
                <w:szCs w:val="16"/>
                <w:lang w:val="en-GB"/>
              </w:rPr>
            </w:pPr>
          </w:p>
          <w:p w14:paraId="1DB53CB1" w14:textId="77777777" w:rsidR="00FC67C9" w:rsidRPr="00FB566A" w:rsidRDefault="00FC67C9" w:rsidP="00D516CD">
            <w:pPr>
              <w:rPr>
                <w:b/>
                <w:sz w:val="16"/>
                <w:szCs w:val="16"/>
                <w:lang w:val="en-GB"/>
              </w:rPr>
            </w:pPr>
            <w:r w:rsidRPr="00FB566A">
              <w:rPr>
                <w:b/>
                <w:sz w:val="16"/>
                <w:szCs w:val="16"/>
                <w:lang w:val="en-GB"/>
              </w:rPr>
              <w:t>Other</w:t>
            </w:r>
          </w:p>
          <w:p w14:paraId="4CE6162F" w14:textId="187476DA" w:rsidR="00FC67C9" w:rsidRPr="00FB566A" w:rsidRDefault="001323D2" w:rsidP="00D516CD">
            <w:pPr>
              <w:rPr>
                <w:sz w:val="16"/>
                <w:szCs w:val="16"/>
              </w:rPr>
            </w:pPr>
            <w:r>
              <w:rPr>
                <w:sz w:val="16"/>
                <w:szCs w:val="16"/>
              </w:rPr>
              <w:t>$</w:t>
            </w:r>
            <w:r w:rsidR="00FC67C9" w:rsidRPr="00FB566A">
              <w:rPr>
                <w:sz w:val="16"/>
                <w:szCs w:val="16"/>
              </w:rPr>
              <w:t>10,591,000</w:t>
            </w:r>
          </w:p>
          <w:p w14:paraId="31EDF8A5" w14:textId="77777777" w:rsidR="00FC67C9" w:rsidRPr="00FB566A" w:rsidRDefault="00FC67C9" w:rsidP="00D516CD">
            <w:pPr>
              <w:rPr>
                <w:sz w:val="16"/>
                <w:szCs w:val="16"/>
                <w:lang w:val="en-GB"/>
              </w:rPr>
            </w:pPr>
          </w:p>
          <w:p w14:paraId="1168972E" w14:textId="77777777" w:rsidR="00FC67C9" w:rsidRPr="00FB566A" w:rsidRDefault="00FC67C9" w:rsidP="00D516CD">
            <w:pPr>
              <w:rPr>
                <w:sz w:val="16"/>
                <w:szCs w:val="16"/>
                <w:lang w:val="en-GB"/>
              </w:rPr>
            </w:pPr>
          </w:p>
          <w:p w14:paraId="747C6CE4" w14:textId="77777777" w:rsidR="00FC67C9" w:rsidRPr="00FB566A" w:rsidRDefault="00FC67C9" w:rsidP="00D516CD">
            <w:pPr>
              <w:rPr>
                <w:b/>
                <w:sz w:val="16"/>
                <w:szCs w:val="16"/>
                <w:lang w:val="en-GB"/>
              </w:rPr>
            </w:pPr>
          </w:p>
        </w:tc>
      </w:tr>
    </w:tbl>
    <w:p w14:paraId="551B3307" w14:textId="08B558FC" w:rsidR="00B8310D" w:rsidRDefault="00B8310D" w:rsidP="00FC67C9">
      <w:pPr>
        <w:pStyle w:val="Heading4"/>
        <w:spacing w:after="120"/>
        <w:rPr>
          <w:sz w:val="16"/>
          <w:szCs w:val="16"/>
        </w:rPr>
      </w:pPr>
    </w:p>
    <w:p w14:paraId="30236462" w14:textId="470D08EB" w:rsidR="004C34F4" w:rsidRPr="004C34F4" w:rsidRDefault="004C34F4" w:rsidP="004C34F4">
      <w:r w:rsidRPr="00915E7E">
        <w:rPr>
          <w:rFonts w:eastAsia="MS Mincho"/>
          <w:noProof/>
          <w:sz w:val="22"/>
          <w:szCs w:val="22"/>
          <w:lang w:eastAsia="ko-KR"/>
        </w:rPr>
        <mc:AlternateContent>
          <mc:Choice Requires="wps">
            <w:drawing>
              <wp:anchor distT="0" distB="0" distL="114300" distR="114300" simplePos="0" relativeHeight="251659264" behindDoc="0" locked="0" layoutInCell="1" allowOverlap="1" wp14:anchorId="5A1C09D8" wp14:editId="6193A7DC">
                <wp:simplePos x="0" y="0"/>
                <wp:positionH relativeFrom="column">
                  <wp:posOffset>3581400</wp:posOffset>
                </wp:positionH>
                <wp:positionV relativeFrom="paragraph">
                  <wp:posOffset>152400</wp:posOffset>
                </wp:positionV>
                <wp:extent cx="9144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2DFEB"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2pt" to="35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" strokeweight=".25pt"/>
            </w:pict>
          </mc:Fallback>
        </mc:AlternateContent>
      </w:r>
    </w:p>
    <w:sectPr w:rsidR="004C34F4" w:rsidRPr="004C34F4" w:rsidSect="000D50BE">
      <w:headerReference w:type="even" r:id="rId16"/>
      <w:footerReference w:type="default" r:id="rId17"/>
      <w:pgSz w:w="15840" w:h="12240" w:orient="landscape" w:code="1"/>
      <w:pgMar w:top="1195" w:right="1166" w:bottom="1195"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547ED" w14:textId="77777777" w:rsidR="0029542C" w:rsidRDefault="0029542C" w:rsidP="00441061">
      <w:r>
        <w:separator/>
      </w:r>
    </w:p>
  </w:endnote>
  <w:endnote w:type="continuationSeparator" w:id="0">
    <w:p w14:paraId="24BC275D" w14:textId="77777777" w:rsidR="0029542C" w:rsidRDefault="0029542C"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54" w14:textId="77777777" w:rsidR="000939E6" w:rsidRPr="005841A3" w:rsidRDefault="000939E6">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55" w14:textId="77777777" w:rsidR="000939E6" w:rsidRPr="005841A3" w:rsidRDefault="000939E6">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3</w:t>
    </w:r>
    <w:r w:rsidRPr="005841A3">
      <w:rPr>
        <w:b/>
        <w:sz w:val="17"/>
        <w:szCs w:val="17"/>
      </w:rPr>
      <w:fldChar w:fldCharType="end"/>
    </w:r>
  </w:p>
  <w:p w14:paraId="2440D556" w14:textId="77777777" w:rsidR="000939E6" w:rsidRDefault="000939E6" w:rsidP="005841A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37225" w14:textId="77777777" w:rsidR="00865277" w:rsidRPr="005841A3" w:rsidRDefault="00865277" w:rsidP="00865277">
    <w:pPr>
      <w:pStyle w:val="Footer"/>
      <w:ind w:right="994"/>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3</w:t>
    </w:r>
    <w:r w:rsidRPr="005841A3">
      <w:rPr>
        <w:b/>
        <w:sz w:val="17"/>
        <w:szCs w:val="17"/>
      </w:rPr>
      <w:fldChar w:fldCharType="end"/>
    </w:r>
  </w:p>
  <w:p w14:paraId="6EAEB700" w14:textId="77777777" w:rsidR="00865277" w:rsidRDefault="00865277" w:rsidP="005841A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A3CD1" w14:textId="77777777" w:rsidR="0029542C" w:rsidRDefault="0029542C" w:rsidP="00441061">
      <w:r>
        <w:separator/>
      </w:r>
    </w:p>
  </w:footnote>
  <w:footnote w:type="continuationSeparator" w:id="0">
    <w:p w14:paraId="359357E8" w14:textId="77777777" w:rsidR="0029542C" w:rsidRDefault="0029542C" w:rsidP="00441061">
      <w:r>
        <w:continuationSeparator/>
      </w:r>
    </w:p>
  </w:footnote>
  <w:footnote w:id="1">
    <w:p w14:paraId="7F827750" w14:textId="353EA1EB" w:rsidR="00383F5A" w:rsidRDefault="00383F5A">
      <w:pPr>
        <w:pStyle w:val="FootnoteText"/>
      </w:pPr>
      <w:r>
        <w:rPr>
          <w:rStyle w:val="FootnoteReference"/>
        </w:rPr>
        <w:footnoteRef/>
      </w:r>
      <w:r>
        <w:t xml:space="preserve"> </w:t>
      </w:r>
      <w:r w:rsidRPr="003C1FEF">
        <w:rPr>
          <w:rFonts w:ascii="Times New Roman" w:hAnsi="Times New Roman"/>
          <w:bCs/>
          <w:sz w:val="18"/>
          <w:szCs w:val="18"/>
        </w:rPr>
        <w:t>References to Kosovo shall be understood to be in the context of Security Council resolution 1244 (1999).</w:t>
      </w:r>
    </w:p>
  </w:footnote>
  <w:footnote w:id="2">
    <w:p w14:paraId="03F2B536" w14:textId="23829917" w:rsidR="000939E6" w:rsidRDefault="000939E6">
      <w:pPr>
        <w:pStyle w:val="FootnoteText"/>
      </w:pPr>
      <w:r>
        <w:rPr>
          <w:rStyle w:val="FootnoteReference"/>
        </w:rPr>
        <w:footnoteRef/>
      </w:r>
      <w:r>
        <w:t xml:space="preserve"> </w:t>
      </w:r>
      <w:r w:rsidRPr="005E1732">
        <w:rPr>
          <w:rFonts w:ascii="Times New Roman" w:hAnsi="Times New Roman"/>
          <w:sz w:val="16"/>
          <w:szCs w:val="16"/>
        </w:rPr>
        <w:t>The frequency is annual if not stated otherwise</w:t>
      </w:r>
      <w:r>
        <w:rPr>
          <w:rFonts w:ascii="Times New Roman" w:hAnsi="Times New Roman"/>
          <w:sz w:val="16"/>
          <w:szCs w:val="16"/>
        </w:rPr>
        <w:t>.</w:t>
      </w:r>
      <w:r>
        <w:t xml:space="preserve"> </w:t>
      </w:r>
    </w:p>
  </w:footnote>
  <w:footnote w:id="3">
    <w:p w14:paraId="1BE2BF22" w14:textId="79DA6E00" w:rsidR="000939E6" w:rsidRPr="00B313EB" w:rsidRDefault="000939E6">
      <w:pPr>
        <w:pStyle w:val="FootnoteText"/>
        <w:rPr>
          <w:rFonts w:ascii="Times New Roman" w:hAnsi="Times New Roman"/>
          <w:sz w:val="16"/>
          <w:szCs w:val="16"/>
        </w:rPr>
      </w:pPr>
      <w:r w:rsidRPr="00B313EB">
        <w:rPr>
          <w:rStyle w:val="FootnoteReference"/>
          <w:rFonts w:ascii="Times New Roman" w:hAnsi="Times New Roman"/>
          <w:sz w:val="16"/>
          <w:szCs w:val="16"/>
        </w:rPr>
        <w:footnoteRef/>
      </w:r>
      <w:r w:rsidRPr="00B313EB">
        <w:rPr>
          <w:rFonts w:ascii="Times New Roman" w:hAnsi="Times New Roman"/>
          <w:sz w:val="16"/>
          <w:szCs w:val="16"/>
        </w:rPr>
        <w:t xml:space="preserve"> IRRF</w:t>
      </w:r>
      <w:r>
        <w:rPr>
          <w:rFonts w:ascii="Times New Roman" w:hAnsi="Times New Roman"/>
          <w:sz w:val="16"/>
          <w:szCs w:val="16"/>
        </w:rPr>
        <w:t>=UNDP integrated results and resources framework.</w:t>
      </w:r>
    </w:p>
  </w:footnote>
  <w:footnote w:id="4">
    <w:p w14:paraId="63E9D2CB" w14:textId="3BCBAA8F" w:rsidR="00AF33DD" w:rsidRDefault="00AF33DD">
      <w:pPr>
        <w:pStyle w:val="FootnoteText"/>
      </w:pPr>
      <w:r w:rsidRPr="00BF28FC">
        <w:rPr>
          <w:rStyle w:val="FootnoteReference"/>
          <w:rFonts w:ascii="Times New Roman" w:hAnsi="Times New Roman"/>
        </w:rPr>
        <w:footnoteRef/>
      </w:r>
      <w:r w:rsidRPr="00BF28FC">
        <w:rPr>
          <w:rFonts w:ascii="Times New Roman" w:hAnsi="Times New Roman"/>
        </w:rPr>
        <w:t xml:space="preserve"> </w:t>
      </w:r>
      <w:r w:rsidRPr="003C1FEF">
        <w:rPr>
          <w:rFonts w:ascii="Times New Roman" w:hAnsi="Times New Roman"/>
          <w:bCs/>
          <w:sz w:val="18"/>
          <w:szCs w:val="18"/>
        </w:rPr>
        <w:t>References to Kosovo shall be understood to be in the context of Security Council resolution 1244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4D" w14:textId="2B8887FF" w:rsidR="000939E6" w:rsidRPr="003C26C1" w:rsidRDefault="000939E6" w:rsidP="00A24133">
    <w:pPr>
      <w:pStyle w:val="Header"/>
      <w:jc w:val="center"/>
      <w:rPr>
        <w:rFonts w:ascii="Times New Roman" w:hAnsi="Times New Roman"/>
        <w:sz w:val="18"/>
        <w:lang w:val="en-US"/>
      </w:rPr>
    </w:pPr>
    <w:r w:rsidRPr="003C26C1">
      <w:rPr>
        <w:rFonts w:ascii="Times New Roman" w:hAnsi="Times New Roman"/>
        <w:b/>
        <w:sz w:val="18"/>
        <w:lang w:val="en-US"/>
      </w:rPr>
      <w:t>Dat</w:t>
    </w:r>
    <w:r w:rsidRPr="003C26C1">
      <w:rPr>
        <w:rFonts w:ascii="Times New Roman" w:hAnsi="Times New Roman"/>
        <w:b/>
        <w:sz w:val="18"/>
      </w:rPr>
      <w:t>e:</w:t>
    </w:r>
    <w:r w:rsidRPr="003C26C1">
      <w:rPr>
        <w:rFonts w:ascii="Times New Roman" w:hAnsi="Times New Roman"/>
        <w:sz w:val="18"/>
        <w:lang w:val="en-US"/>
      </w:rPr>
      <w:t xml:space="preserve"> </w:t>
    </w:r>
    <w:r>
      <w:rPr>
        <w:rFonts w:ascii="Times New Roman" w:hAnsi="Times New Roman"/>
        <w:sz w:val="18"/>
        <w:lang w:val="en-US"/>
      </w:rPr>
      <w:t>2020</w:t>
    </w:r>
  </w:p>
  <w:p w14:paraId="2440D54E" w14:textId="41437EF0" w:rsidR="000939E6" w:rsidRPr="00FB6D3A" w:rsidRDefault="000939E6" w:rsidP="00A24133">
    <w:pPr>
      <w:pStyle w:val="Header"/>
      <w:jc w:val="center"/>
      <w:rPr>
        <w:rFonts w:ascii="Times New Roman" w:hAnsi="Times New Roman"/>
        <w:sz w:val="18"/>
        <w:lang w:val="en-US"/>
      </w:rPr>
    </w:pPr>
    <w:r w:rsidRPr="003C26C1">
      <w:rPr>
        <w:rFonts w:ascii="Times New Roman" w:hAnsi="Times New Roman"/>
        <w:b/>
        <w:sz w:val="18"/>
        <w:lang w:val="en-US"/>
      </w:rPr>
      <w:t>Version:</w:t>
    </w:r>
    <w:r w:rsidRPr="003C26C1">
      <w:rPr>
        <w:rFonts w:ascii="Times New Roman" w:hAnsi="Times New Roman"/>
        <w:sz w:val="18"/>
        <w:lang w:val="en-US"/>
      </w:rPr>
      <w:t xml:space="preserve"> </w:t>
    </w:r>
    <w:r>
      <w:rPr>
        <w:rFonts w:ascii="Times New Roman" w:hAnsi="Times New Roman"/>
        <w:sz w:val="18"/>
        <w:lang w:val="en-US"/>
      </w:rPr>
      <w:t>F</w:t>
    </w:r>
    <w:r w:rsidRPr="003C26C1">
      <w:rPr>
        <w:rFonts w:ascii="Times New Roman" w:hAnsi="Times New Roman"/>
        <w:sz w:val="18"/>
        <w:lang w:val="en-US"/>
      </w:rPr>
      <w:t xml:space="preserve">or adoption for submissions to the </w:t>
    </w:r>
    <w:r>
      <w:rPr>
        <w:rFonts w:ascii="Times New Roman" w:hAnsi="Times New Roman"/>
        <w:sz w:val="18"/>
        <w:lang w:val="en-US"/>
      </w:rPr>
      <w:t>September 2020</w:t>
    </w:r>
    <w:r w:rsidRPr="003C26C1">
      <w:rPr>
        <w:rFonts w:ascii="Times New Roman" w:hAnsi="Times New Roman"/>
        <w:sz w:val="18"/>
        <w:lang w:val="en-US"/>
      </w:rPr>
      <w:t xml:space="preserve"> session of the Executive Board onwards</w:t>
    </w:r>
  </w:p>
  <w:p w14:paraId="2440D54F" w14:textId="77777777" w:rsidR="000939E6" w:rsidRDefault="000939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24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7402"/>
    </w:tblGrid>
    <w:tr w:rsidR="000939E6" w:rsidRPr="005841A3" w14:paraId="02860724" w14:textId="77777777" w:rsidTr="004C34F4">
      <w:trPr>
        <w:trHeight w:hRule="exact" w:val="864"/>
      </w:trPr>
      <w:tc>
        <w:tcPr>
          <w:tcW w:w="4838" w:type="dxa"/>
          <w:tcBorders>
            <w:bottom w:val="single" w:sz="4" w:space="0" w:color="auto"/>
          </w:tcBorders>
          <w:vAlign w:val="bottom"/>
        </w:tcPr>
        <w:p w14:paraId="199091D1" w14:textId="486347FC" w:rsidR="000939E6" w:rsidRPr="007C6F85" w:rsidRDefault="000939E6" w:rsidP="004C34F4">
          <w:pPr>
            <w:pStyle w:val="Header"/>
            <w:spacing w:after="80"/>
            <w:rPr>
              <w:rFonts w:ascii="Times New Roman" w:hAnsi="Times New Roman"/>
              <w:b/>
              <w:sz w:val="17"/>
              <w:szCs w:val="17"/>
              <w:lang w:val="en-US" w:eastAsia="en-US"/>
            </w:rPr>
          </w:pPr>
        </w:p>
      </w:tc>
      <w:tc>
        <w:tcPr>
          <w:tcW w:w="7402" w:type="dxa"/>
          <w:tcBorders>
            <w:bottom w:val="single" w:sz="4" w:space="0" w:color="auto"/>
          </w:tcBorders>
          <w:vAlign w:val="bottom"/>
        </w:tcPr>
        <w:p w14:paraId="5A36C73B" w14:textId="04E13592" w:rsidR="000939E6" w:rsidRPr="007C6F85" w:rsidRDefault="000939E6" w:rsidP="003D3037">
          <w:pPr>
            <w:pStyle w:val="Header"/>
            <w:spacing w:after="60"/>
            <w:jc w:val="right"/>
            <w:rPr>
              <w:rFonts w:ascii="Times New Roman" w:hAnsi="Times New Roman"/>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SRB/3/Add.1</w:t>
          </w:r>
        </w:p>
      </w:tc>
    </w:tr>
  </w:tbl>
  <w:p w14:paraId="2440D553" w14:textId="77999C71" w:rsidR="000939E6" w:rsidRPr="00916E69" w:rsidRDefault="000939E6">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8"/>
      <w:gridCol w:w="1888"/>
      <w:gridCol w:w="247"/>
      <w:gridCol w:w="3137"/>
      <w:gridCol w:w="290"/>
      <w:gridCol w:w="3509"/>
    </w:tblGrid>
    <w:tr w:rsidR="000939E6" w14:paraId="2440D55B" w14:textId="77777777" w:rsidTr="009C7DCB">
      <w:trPr>
        <w:trHeight w:hRule="exact" w:val="879"/>
      </w:trPr>
      <w:tc>
        <w:tcPr>
          <w:tcW w:w="1278" w:type="dxa"/>
          <w:tcBorders>
            <w:top w:val="nil"/>
            <w:left w:val="nil"/>
            <w:bottom w:val="nil"/>
            <w:right w:val="nil"/>
          </w:tcBorders>
          <w:vAlign w:val="bottom"/>
        </w:tcPr>
        <w:p w14:paraId="2440D557" w14:textId="77777777" w:rsidR="000939E6" w:rsidRPr="007C6F85" w:rsidRDefault="000939E6">
          <w:pPr>
            <w:pStyle w:val="Header"/>
            <w:spacing w:after="120"/>
            <w:rPr>
              <w:lang w:val="en-US" w:eastAsia="en-US"/>
            </w:rPr>
          </w:pPr>
          <w:bookmarkStart w:id="2" w:name="_Hlk40785967"/>
        </w:p>
      </w:tc>
      <w:tc>
        <w:tcPr>
          <w:tcW w:w="1888" w:type="dxa"/>
          <w:tcBorders>
            <w:top w:val="nil"/>
            <w:left w:val="nil"/>
            <w:bottom w:val="nil"/>
            <w:right w:val="nil"/>
          </w:tcBorders>
          <w:vAlign w:val="bottom"/>
        </w:tcPr>
        <w:p w14:paraId="2440D558" w14:textId="77777777" w:rsidR="000939E6" w:rsidRDefault="000939E6">
          <w:pPr>
            <w:pStyle w:val="HCh"/>
            <w:spacing w:after="80"/>
            <w:rPr>
              <w:b w:val="0"/>
              <w:spacing w:val="2"/>
              <w:w w:val="96"/>
            </w:rPr>
          </w:pPr>
          <w:r>
            <w:rPr>
              <w:b w:val="0"/>
              <w:spacing w:val="2"/>
              <w:w w:val="96"/>
            </w:rPr>
            <w:t>United Nations</w:t>
          </w:r>
        </w:p>
      </w:tc>
      <w:tc>
        <w:tcPr>
          <w:tcW w:w="247" w:type="dxa"/>
          <w:tcBorders>
            <w:top w:val="nil"/>
            <w:left w:val="nil"/>
            <w:bottom w:val="nil"/>
            <w:right w:val="nil"/>
          </w:tcBorders>
          <w:vAlign w:val="bottom"/>
        </w:tcPr>
        <w:p w14:paraId="2440D559" w14:textId="77777777" w:rsidR="000939E6" w:rsidRPr="007C6F85" w:rsidRDefault="000939E6">
          <w:pPr>
            <w:pStyle w:val="Header"/>
            <w:spacing w:after="120"/>
            <w:rPr>
              <w:lang w:val="en-US" w:eastAsia="en-US"/>
            </w:rPr>
          </w:pPr>
        </w:p>
      </w:tc>
      <w:tc>
        <w:tcPr>
          <w:tcW w:w="6936" w:type="dxa"/>
          <w:gridSpan w:val="3"/>
          <w:tcBorders>
            <w:top w:val="nil"/>
            <w:left w:val="nil"/>
            <w:bottom w:val="nil"/>
            <w:right w:val="nil"/>
          </w:tcBorders>
          <w:vAlign w:val="bottom"/>
        </w:tcPr>
        <w:p w14:paraId="2440D55A" w14:textId="5B86904B" w:rsidR="000939E6" w:rsidRDefault="000939E6" w:rsidP="00441061">
          <w:pPr>
            <w:spacing w:after="80"/>
            <w:jc w:val="center"/>
            <w:rPr>
              <w:position w:val="-4"/>
            </w:rPr>
          </w:pPr>
          <w:r>
            <w:rPr>
              <w:position w:val="-4"/>
              <w:sz w:val="40"/>
            </w:rPr>
            <w:t xml:space="preserve">                         DP</w:t>
          </w:r>
          <w:r>
            <w:rPr>
              <w:position w:val="-4"/>
            </w:rPr>
            <w:t>/DCP/SRB/3/Add.1</w:t>
          </w:r>
        </w:p>
      </w:tc>
    </w:tr>
    <w:tr w:rsidR="000939E6" w14:paraId="2440D564" w14:textId="77777777" w:rsidTr="00FB566A">
      <w:trPr>
        <w:trHeight w:hRule="exact" w:val="1970"/>
      </w:trPr>
      <w:tc>
        <w:tcPr>
          <w:tcW w:w="1278" w:type="dxa"/>
          <w:tcBorders>
            <w:top w:val="single" w:sz="4" w:space="0" w:color="auto"/>
            <w:left w:val="nil"/>
            <w:bottom w:val="single" w:sz="12" w:space="0" w:color="auto"/>
            <w:right w:val="nil"/>
          </w:tcBorders>
        </w:tcPr>
        <w:p w14:paraId="2440D55C" w14:textId="77777777" w:rsidR="000939E6" w:rsidRPr="007C6F85" w:rsidRDefault="000939E6">
          <w:pPr>
            <w:pStyle w:val="Header"/>
            <w:spacing w:before="109"/>
            <w:rPr>
              <w:lang w:val="en-US" w:eastAsia="en-US"/>
            </w:rPr>
          </w:pPr>
          <w:r w:rsidRPr="007C6F85">
            <w:rPr>
              <w:lang w:val="en-US" w:eastAsia="en-US"/>
            </w:rPr>
            <w:t xml:space="preserve"> </w:t>
          </w:r>
          <w:r>
            <w:rPr>
              <w:noProof/>
              <w:lang w:val="en-US" w:eastAsia="en-US"/>
            </w:rPr>
            <w:drawing>
              <wp:inline distT="0" distB="0" distL="0" distR="0" wp14:anchorId="2440D56B" wp14:editId="2440D56C">
                <wp:extent cx="716280" cy="586740"/>
                <wp:effectExtent l="0" t="0" r="7620" b="3810"/>
                <wp:docPr id="4" name="Picture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2440D55D" w14:textId="77777777" w:rsidR="000939E6" w:rsidRPr="007C6F85" w:rsidRDefault="000939E6">
          <w:pPr>
            <w:pStyle w:val="Header"/>
            <w:spacing w:before="109"/>
            <w:rPr>
              <w:lang w:val="en-US" w:eastAsia="en-US"/>
            </w:rPr>
          </w:pPr>
        </w:p>
      </w:tc>
      <w:tc>
        <w:tcPr>
          <w:tcW w:w="5272" w:type="dxa"/>
          <w:gridSpan w:val="3"/>
          <w:tcBorders>
            <w:top w:val="single" w:sz="4" w:space="0" w:color="auto"/>
            <w:left w:val="nil"/>
            <w:bottom w:val="single" w:sz="12" w:space="0" w:color="auto"/>
            <w:right w:val="nil"/>
          </w:tcBorders>
        </w:tcPr>
        <w:p w14:paraId="2440D55E" w14:textId="62399656" w:rsidR="000939E6" w:rsidRDefault="000939E6">
          <w:pPr>
            <w:pStyle w:val="XLarge"/>
            <w:spacing w:before="109" w:line="330" w:lineRule="exact"/>
            <w:rPr>
              <w:sz w:val="34"/>
            </w:rPr>
          </w:pPr>
          <w:r>
            <w:rPr>
              <w:sz w:val="34"/>
            </w:rPr>
            <w:t>Executive Board of the</w:t>
          </w:r>
          <w:r>
            <w:rPr>
              <w:sz w:val="34"/>
            </w:rPr>
            <w:br/>
            <w:t>United Nations Development</w:t>
          </w:r>
          <w:r>
            <w:rPr>
              <w:sz w:val="34"/>
            </w:rPr>
            <w:br/>
            <w:t>Programme, the United Nations Population Fund and the United Nations Office for Project Services</w:t>
          </w:r>
        </w:p>
      </w:tc>
      <w:tc>
        <w:tcPr>
          <w:tcW w:w="290" w:type="dxa"/>
          <w:tcBorders>
            <w:top w:val="single" w:sz="4" w:space="0" w:color="auto"/>
            <w:left w:val="nil"/>
            <w:bottom w:val="single" w:sz="12" w:space="0" w:color="auto"/>
            <w:right w:val="nil"/>
          </w:tcBorders>
        </w:tcPr>
        <w:p w14:paraId="2440D55F" w14:textId="77777777" w:rsidR="000939E6" w:rsidRPr="007C6F85" w:rsidRDefault="000939E6">
          <w:pPr>
            <w:pStyle w:val="Header"/>
            <w:spacing w:before="109"/>
            <w:rPr>
              <w:lang w:val="en-US" w:eastAsia="en-US"/>
            </w:rPr>
          </w:pPr>
        </w:p>
      </w:tc>
      <w:tc>
        <w:tcPr>
          <w:tcW w:w="3509" w:type="dxa"/>
          <w:tcBorders>
            <w:top w:val="single" w:sz="4" w:space="0" w:color="auto"/>
            <w:left w:val="nil"/>
            <w:bottom w:val="single" w:sz="12" w:space="0" w:color="auto"/>
            <w:right w:val="nil"/>
          </w:tcBorders>
        </w:tcPr>
        <w:p w14:paraId="2440D560" w14:textId="77777777" w:rsidR="000939E6" w:rsidRDefault="000939E6">
          <w:pPr>
            <w:spacing w:before="240"/>
          </w:pPr>
          <w:r>
            <w:t>Distr.: General</w:t>
          </w:r>
        </w:p>
        <w:p w14:paraId="2440D561" w14:textId="5886F8CF" w:rsidR="000939E6" w:rsidRDefault="00A1004B" w:rsidP="00441061">
          <w:r>
            <w:t>9 June</w:t>
          </w:r>
          <w:r w:rsidR="000939E6">
            <w:t xml:space="preserve"> 2020</w:t>
          </w:r>
        </w:p>
        <w:p w14:paraId="2440D562" w14:textId="77777777" w:rsidR="000939E6" w:rsidRDefault="000939E6"/>
        <w:p w14:paraId="2440D563" w14:textId="1F3013E0" w:rsidR="000939E6" w:rsidRDefault="000939E6">
          <w:r>
            <w:t>Original: Language</w:t>
          </w:r>
        </w:p>
      </w:tc>
    </w:tr>
    <w:bookmarkEnd w:id="2"/>
  </w:tbl>
  <w:p w14:paraId="2440D565" w14:textId="77777777" w:rsidR="000939E6" w:rsidRDefault="000939E6">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6A" w14:textId="77777777" w:rsidR="000939E6" w:rsidRDefault="000939E6">
    <w:pPr>
      <w:pStyle w:val="Header"/>
    </w:pPr>
    <w:r>
      <w:rPr>
        <w:noProof/>
        <w:lang w:val="en-US" w:eastAsia="en-US"/>
      </w:rPr>
      <mc:AlternateContent>
        <mc:Choice Requires="wps">
          <w:drawing>
            <wp:anchor distT="0" distB="0" distL="114300" distR="114300" simplePos="0" relativeHeight="251657216" behindDoc="0" locked="0" layoutInCell="0" allowOverlap="1" wp14:anchorId="2440D56D" wp14:editId="127AA1A8">
              <wp:simplePos x="0" y="0"/>
              <wp:positionH relativeFrom="column">
                <wp:posOffset>-28575</wp:posOffset>
              </wp:positionH>
              <wp:positionV relativeFrom="paragraph">
                <wp:posOffset>-304800</wp:posOffset>
              </wp:positionV>
              <wp:extent cx="779780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0939E6" w:rsidRPr="005841A3" w14:paraId="2440D571" w14:textId="77777777">
                            <w:trPr>
                              <w:trHeight w:hRule="exact" w:val="864"/>
                            </w:trPr>
                            <w:tc>
                              <w:tcPr>
                                <w:tcW w:w="4838" w:type="dxa"/>
                                <w:tcBorders>
                                  <w:bottom w:val="single" w:sz="4" w:space="0" w:color="auto"/>
                                </w:tcBorders>
                                <w:vAlign w:val="bottom"/>
                              </w:tcPr>
                              <w:p w14:paraId="2440D56F" w14:textId="1A40E032" w:rsidR="000939E6" w:rsidRPr="007C6F85" w:rsidRDefault="000939E6" w:rsidP="005841A3">
                                <w:pPr>
                                  <w:pStyle w:val="Header"/>
                                  <w:spacing w:after="80"/>
                                  <w:rPr>
                                    <w:rFonts w:ascii="Times New Roman" w:hAnsi="Times New Roman"/>
                                    <w:b/>
                                    <w:sz w:val="17"/>
                                    <w:szCs w:val="17"/>
                                    <w:lang w:val="en-US" w:eastAsia="en-US"/>
                                  </w:rPr>
                                </w:pPr>
                                <w:bookmarkStart w:id="4" w:name="_Hlk41503612"/>
                                <w:r w:rsidRPr="007C6F85">
                                  <w:rPr>
                                    <w:rFonts w:ascii="Times New Roman" w:hAnsi="Times New Roman"/>
                                    <w:b/>
                                    <w:sz w:val="17"/>
                                    <w:szCs w:val="17"/>
                                    <w:lang w:val="en-US" w:eastAsia="en-US"/>
                                  </w:rPr>
                                  <w:t>DP/DCP/</w:t>
                                </w:r>
                                <w:r>
                                  <w:rPr>
                                    <w:rFonts w:ascii="Times New Roman" w:hAnsi="Times New Roman"/>
                                    <w:b/>
                                    <w:sz w:val="17"/>
                                    <w:szCs w:val="17"/>
                                    <w:lang w:val="en-US" w:eastAsia="en-US"/>
                                  </w:rPr>
                                  <w:t>SRB/3/Add.1</w:t>
                                </w:r>
                              </w:p>
                            </w:tc>
                            <w:tc>
                              <w:tcPr>
                                <w:tcW w:w="8276" w:type="dxa"/>
                                <w:tcBorders>
                                  <w:bottom w:val="single" w:sz="4" w:space="0" w:color="auto"/>
                                </w:tcBorders>
                                <w:vAlign w:val="bottom"/>
                              </w:tcPr>
                              <w:p w14:paraId="2440D570" w14:textId="77777777" w:rsidR="000939E6" w:rsidRPr="007C6F85" w:rsidRDefault="000939E6">
                                <w:pPr>
                                  <w:pStyle w:val="Header"/>
                                  <w:rPr>
                                    <w:rFonts w:ascii="Times New Roman" w:hAnsi="Times New Roman"/>
                                    <w:sz w:val="17"/>
                                    <w:szCs w:val="17"/>
                                    <w:lang w:val="en-US" w:eastAsia="en-US"/>
                                  </w:rPr>
                                </w:pPr>
                              </w:p>
                            </w:tc>
                          </w:tr>
                          <w:bookmarkEnd w:id="4"/>
                        </w:tbl>
                        <w:p w14:paraId="2440D572" w14:textId="77777777" w:rsidR="000939E6" w:rsidRDefault="000939E6"/>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440D56D" id="_x0000_t202" coordsize="21600,21600" o:spt="202" path="m,l,21600r21600,l21600,xe">
              <v:stroke joinstyle="miter"/>
              <v:path gradientshapeok="t" o:connecttype="rect"/>
            </v:shapetype>
            <v:shape id="Text Box 2" o:spid="_x0000_s1026" type="#_x0000_t202" style="position:absolute;margin-left:-2.25pt;margin-top:-24pt;width:614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0939E6" w:rsidRPr="005841A3" w14:paraId="2440D571" w14:textId="77777777">
                      <w:trPr>
                        <w:trHeight w:hRule="exact" w:val="864"/>
                      </w:trPr>
                      <w:tc>
                        <w:tcPr>
                          <w:tcW w:w="4838" w:type="dxa"/>
                          <w:tcBorders>
                            <w:bottom w:val="single" w:sz="4" w:space="0" w:color="auto"/>
                          </w:tcBorders>
                          <w:vAlign w:val="bottom"/>
                        </w:tcPr>
                        <w:p w14:paraId="2440D56F" w14:textId="1A40E032" w:rsidR="000939E6" w:rsidRPr="007C6F85" w:rsidRDefault="000939E6" w:rsidP="005841A3">
                          <w:pPr>
                            <w:pStyle w:val="Header"/>
                            <w:spacing w:after="80"/>
                            <w:rPr>
                              <w:rFonts w:ascii="Times New Roman" w:hAnsi="Times New Roman"/>
                              <w:b/>
                              <w:sz w:val="17"/>
                              <w:szCs w:val="17"/>
                              <w:lang w:val="en-US" w:eastAsia="en-US"/>
                            </w:rPr>
                          </w:pPr>
                          <w:bookmarkStart w:id="5" w:name="_Hlk41503612"/>
                          <w:r w:rsidRPr="007C6F85">
                            <w:rPr>
                              <w:rFonts w:ascii="Times New Roman" w:hAnsi="Times New Roman"/>
                              <w:b/>
                              <w:sz w:val="17"/>
                              <w:szCs w:val="17"/>
                              <w:lang w:val="en-US" w:eastAsia="en-US"/>
                            </w:rPr>
                            <w:t>DP/DCP/</w:t>
                          </w:r>
                          <w:r>
                            <w:rPr>
                              <w:rFonts w:ascii="Times New Roman" w:hAnsi="Times New Roman"/>
                              <w:b/>
                              <w:sz w:val="17"/>
                              <w:szCs w:val="17"/>
                              <w:lang w:val="en-US" w:eastAsia="en-US"/>
                            </w:rPr>
                            <w:t>SRB/3/Add.1</w:t>
                          </w:r>
                        </w:p>
                      </w:tc>
                      <w:tc>
                        <w:tcPr>
                          <w:tcW w:w="8276" w:type="dxa"/>
                          <w:tcBorders>
                            <w:bottom w:val="single" w:sz="4" w:space="0" w:color="auto"/>
                          </w:tcBorders>
                          <w:vAlign w:val="bottom"/>
                        </w:tcPr>
                        <w:p w14:paraId="2440D570" w14:textId="77777777" w:rsidR="000939E6" w:rsidRPr="007C6F85" w:rsidRDefault="000939E6">
                          <w:pPr>
                            <w:pStyle w:val="Header"/>
                            <w:rPr>
                              <w:rFonts w:ascii="Times New Roman" w:hAnsi="Times New Roman"/>
                              <w:sz w:val="17"/>
                              <w:szCs w:val="17"/>
                              <w:lang w:val="en-US" w:eastAsia="en-US"/>
                            </w:rPr>
                          </w:pPr>
                        </w:p>
                      </w:tc>
                    </w:tr>
                    <w:bookmarkEnd w:id="5"/>
                  </w:tbl>
                  <w:p w14:paraId="2440D572" w14:textId="77777777" w:rsidR="000939E6" w:rsidRDefault="000939E6"/>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50BC7"/>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F012BC"/>
    <w:multiLevelType w:val="hybridMultilevel"/>
    <w:tmpl w:val="AEBAA3C0"/>
    <w:lvl w:ilvl="0" w:tplc="4418B0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C5E98"/>
    <w:multiLevelType w:val="hybridMultilevel"/>
    <w:tmpl w:val="4E7A24A8"/>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AC72F0"/>
    <w:multiLevelType w:val="hybridMultilevel"/>
    <w:tmpl w:val="4B4ACAF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188C67E7"/>
    <w:multiLevelType w:val="hybridMultilevel"/>
    <w:tmpl w:val="C86A47E0"/>
    <w:lvl w:ilvl="0" w:tplc="0C8EE990">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8"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303115FF"/>
    <w:multiLevelType w:val="hybridMultilevel"/>
    <w:tmpl w:val="03FE75F0"/>
    <w:lvl w:ilvl="0" w:tplc="AB4E437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725E5"/>
    <w:multiLevelType w:val="hybridMultilevel"/>
    <w:tmpl w:val="FCA86D60"/>
    <w:lvl w:ilvl="0" w:tplc="04090001">
      <w:start w:val="1"/>
      <w:numFmt w:val="bullet"/>
      <w:lvlText w:val=""/>
      <w:lvlJc w:val="left"/>
      <w:pPr>
        <w:ind w:left="1620" w:hanging="360"/>
      </w:pPr>
      <w:rPr>
        <w:rFonts w:ascii="Symbol" w:hAnsi="Symbo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3"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CF0082"/>
    <w:multiLevelType w:val="hybridMultilevel"/>
    <w:tmpl w:val="58C0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9"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0" w15:restartNumberingAfterBreak="0">
    <w:nsid w:val="4321077D"/>
    <w:multiLevelType w:val="hybridMultilevel"/>
    <w:tmpl w:val="FE36E9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461C75DB"/>
    <w:multiLevelType w:val="hybridMultilevel"/>
    <w:tmpl w:val="CCDED580"/>
    <w:lvl w:ilvl="0" w:tplc="C4127B66">
      <w:start w:val="1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65865D2"/>
    <w:multiLevelType w:val="hybridMultilevel"/>
    <w:tmpl w:val="E4C02DEE"/>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525E90"/>
    <w:multiLevelType w:val="hybridMultilevel"/>
    <w:tmpl w:val="010A180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15:restartNumberingAfterBreak="0">
    <w:nsid w:val="4EA02372"/>
    <w:multiLevelType w:val="hybridMultilevel"/>
    <w:tmpl w:val="B6349452"/>
    <w:lvl w:ilvl="0" w:tplc="9EA0D570">
      <w:start w:val="1"/>
      <w:numFmt w:val="lowerLetter"/>
      <w:lvlText w:val="(%1)"/>
      <w:lvlJc w:val="left"/>
      <w:pPr>
        <w:ind w:left="162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8F73E7"/>
    <w:multiLevelType w:val="hybridMultilevel"/>
    <w:tmpl w:val="4B94007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9"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806982"/>
    <w:multiLevelType w:val="multilevel"/>
    <w:tmpl w:val="05ACE57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2"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34" w15:restartNumberingAfterBreak="0">
    <w:nsid w:val="64B66A6F"/>
    <w:multiLevelType w:val="hybridMultilevel"/>
    <w:tmpl w:val="0220F42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5" w15:restartNumberingAfterBreak="0">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36" w15:restartNumberingAfterBreak="0">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38"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9" w15:restartNumberingAfterBreak="0">
    <w:nsid w:val="6AD2356B"/>
    <w:multiLevelType w:val="hybridMultilevel"/>
    <w:tmpl w:val="0DACEC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0" w15:restartNumberingAfterBreak="0">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41"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FB06B2"/>
    <w:multiLevelType w:val="hybridMultilevel"/>
    <w:tmpl w:val="115C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9"/>
  </w:num>
  <w:num w:numId="2">
    <w:abstractNumId w:val="32"/>
  </w:num>
  <w:num w:numId="3">
    <w:abstractNumId w:val="26"/>
  </w:num>
  <w:num w:numId="4">
    <w:abstractNumId w:val="37"/>
  </w:num>
  <w:num w:numId="5">
    <w:abstractNumId w:val="27"/>
  </w:num>
  <w:num w:numId="6">
    <w:abstractNumId w:val="0"/>
  </w:num>
  <w:num w:numId="7">
    <w:abstractNumId w:val="16"/>
  </w:num>
  <w:num w:numId="8">
    <w:abstractNumId w:val="33"/>
  </w:num>
  <w:num w:numId="9">
    <w:abstractNumId w:val="45"/>
  </w:num>
  <w:num w:numId="10">
    <w:abstractNumId w:val="36"/>
  </w:num>
  <w:num w:numId="11">
    <w:abstractNumId w:val="44"/>
  </w:num>
  <w:num w:numId="12">
    <w:abstractNumId w:val="23"/>
  </w:num>
  <w:num w:numId="13">
    <w:abstractNumId w:val="7"/>
  </w:num>
  <w:num w:numId="14">
    <w:abstractNumId w:val="15"/>
  </w:num>
  <w:num w:numId="15">
    <w:abstractNumId w:val="40"/>
  </w:num>
  <w:num w:numId="16">
    <w:abstractNumId w:val="10"/>
  </w:num>
  <w:num w:numId="17">
    <w:abstractNumId w:val="13"/>
  </w:num>
  <w:num w:numId="18">
    <w:abstractNumId w:val="18"/>
  </w:num>
  <w:num w:numId="19">
    <w:abstractNumId w:val="43"/>
  </w:num>
  <w:num w:numId="20">
    <w:abstractNumId w:val="9"/>
  </w:num>
  <w:num w:numId="21">
    <w:abstractNumId w:val="8"/>
  </w:num>
  <w:num w:numId="22">
    <w:abstractNumId w:val="41"/>
  </w:num>
  <w:num w:numId="23">
    <w:abstractNumId w:val="14"/>
  </w:num>
  <w:num w:numId="24">
    <w:abstractNumId w:val="3"/>
  </w:num>
  <w:num w:numId="25">
    <w:abstractNumId w:val="38"/>
  </w:num>
  <w:num w:numId="26">
    <w:abstractNumId w:val="35"/>
  </w:num>
  <w:num w:numId="27">
    <w:abstractNumId w:val="30"/>
  </w:num>
  <w:num w:numId="28">
    <w:abstractNumId w:val="1"/>
  </w:num>
  <w:num w:numId="29">
    <w:abstractNumId w:val="24"/>
  </w:num>
  <w:num w:numId="30">
    <w:abstractNumId w:val="29"/>
  </w:num>
  <w:num w:numId="31">
    <w:abstractNumId w:val="12"/>
  </w:num>
  <w:num w:numId="32">
    <w:abstractNumId w:val="4"/>
  </w:num>
  <w:num w:numId="33">
    <w:abstractNumId w:val="22"/>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6"/>
  </w:num>
  <w:num w:numId="37">
    <w:abstractNumId w:val="28"/>
  </w:num>
  <w:num w:numId="38">
    <w:abstractNumId w:val="11"/>
  </w:num>
  <w:num w:numId="39">
    <w:abstractNumId w:val="2"/>
  </w:num>
  <w:num w:numId="40">
    <w:abstractNumId w:val="20"/>
  </w:num>
  <w:num w:numId="41">
    <w:abstractNumId w:val="5"/>
  </w:num>
  <w:num w:numId="42">
    <w:abstractNumId w:val="17"/>
  </w:num>
  <w:num w:numId="43">
    <w:abstractNumId w:val="39"/>
  </w:num>
  <w:num w:numId="44">
    <w:abstractNumId w:val="34"/>
  </w:num>
  <w:num w:numId="45">
    <w:abstractNumId w:val="25"/>
  </w:num>
  <w:num w:numId="46">
    <w:abstractNumId w:val="4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4097"/>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10B5"/>
    <w:rsid w:val="000027D2"/>
    <w:rsid w:val="0000312F"/>
    <w:rsid w:val="00003E8B"/>
    <w:rsid w:val="00005E26"/>
    <w:rsid w:val="00006E59"/>
    <w:rsid w:val="00012FE9"/>
    <w:rsid w:val="0001309E"/>
    <w:rsid w:val="000153EB"/>
    <w:rsid w:val="00015FDE"/>
    <w:rsid w:val="00016217"/>
    <w:rsid w:val="00016861"/>
    <w:rsid w:val="00017D05"/>
    <w:rsid w:val="000200CF"/>
    <w:rsid w:val="000205F1"/>
    <w:rsid w:val="00022047"/>
    <w:rsid w:val="00023AEE"/>
    <w:rsid w:val="000274B9"/>
    <w:rsid w:val="0002758B"/>
    <w:rsid w:val="000276A0"/>
    <w:rsid w:val="0003257C"/>
    <w:rsid w:val="000330DB"/>
    <w:rsid w:val="0003429F"/>
    <w:rsid w:val="0003562A"/>
    <w:rsid w:val="00036095"/>
    <w:rsid w:val="000367E0"/>
    <w:rsid w:val="00036AF4"/>
    <w:rsid w:val="00041C10"/>
    <w:rsid w:val="000434D3"/>
    <w:rsid w:val="00043804"/>
    <w:rsid w:val="000441A1"/>
    <w:rsid w:val="00050869"/>
    <w:rsid w:val="00051E3C"/>
    <w:rsid w:val="00055596"/>
    <w:rsid w:val="00056014"/>
    <w:rsid w:val="000561C1"/>
    <w:rsid w:val="00056204"/>
    <w:rsid w:val="000570D1"/>
    <w:rsid w:val="000571A9"/>
    <w:rsid w:val="00060290"/>
    <w:rsid w:val="000611AB"/>
    <w:rsid w:val="00063E24"/>
    <w:rsid w:val="00072229"/>
    <w:rsid w:val="00072701"/>
    <w:rsid w:val="000728F8"/>
    <w:rsid w:val="00073CF1"/>
    <w:rsid w:val="00074BD0"/>
    <w:rsid w:val="00074D9A"/>
    <w:rsid w:val="00074DB9"/>
    <w:rsid w:val="000753C4"/>
    <w:rsid w:val="00075DF0"/>
    <w:rsid w:val="000762CA"/>
    <w:rsid w:val="000803A4"/>
    <w:rsid w:val="000806E3"/>
    <w:rsid w:val="0008339E"/>
    <w:rsid w:val="00090AD1"/>
    <w:rsid w:val="00090F4F"/>
    <w:rsid w:val="00091476"/>
    <w:rsid w:val="00091984"/>
    <w:rsid w:val="00092879"/>
    <w:rsid w:val="000939E6"/>
    <w:rsid w:val="00094E87"/>
    <w:rsid w:val="00097FB2"/>
    <w:rsid w:val="000A151D"/>
    <w:rsid w:val="000A24C5"/>
    <w:rsid w:val="000A30A1"/>
    <w:rsid w:val="000A3A38"/>
    <w:rsid w:val="000A3F7F"/>
    <w:rsid w:val="000A47FD"/>
    <w:rsid w:val="000A7192"/>
    <w:rsid w:val="000B0228"/>
    <w:rsid w:val="000B2E16"/>
    <w:rsid w:val="000B3A13"/>
    <w:rsid w:val="000B4BB2"/>
    <w:rsid w:val="000B6379"/>
    <w:rsid w:val="000C4E54"/>
    <w:rsid w:val="000C76B0"/>
    <w:rsid w:val="000C7BBE"/>
    <w:rsid w:val="000D2475"/>
    <w:rsid w:val="000D442C"/>
    <w:rsid w:val="000D4DC4"/>
    <w:rsid w:val="000D50BE"/>
    <w:rsid w:val="000E55D6"/>
    <w:rsid w:val="000E612D"/>
    <w:rsid w:val="000E6AB1"/>
    <w:rsid w:val="000E745A"/>
    <w:rsid w:val="000E7E9E"/>
    <w:rsid w:val="000F0044"/>
    <w:rsid w:val="000F0EFD"/>
    <w:rsid w:val="000F23C3"/>
    <w:rsid w:val="000F5541"/>
    <w:rsid w:val="000F703B"/>
    <w:rsid w:val="000F72ED"/>
    <w:rsid w:val="000F7A4C"/>
    <w:rsid w:val="00103698"/>
    <w:rsid w:val="00106EF8"/>
    <w:rsid w:val="001079CD"/>
    <w:rsid w:val="001101A2"/>
    <w:rsid w:val="00111489"/>
    <w:rsid w:val="00111792"/>
    <w:rsid w:val="00111797"/>
    <w:rsid w:val="00111B19"/>
    <w:rsid w:val="00114A64"/>
    <w:rsid w:val="00115F59"/>
    <w:rsid w:val="00116C1A"/>
    <w:rsid w:val="00117903"/>
    <w:rsid w:val="00121554"/>
    <w:rsid w:val="00121F3E"/>
    <w:rsid w:val="0012229E"/>
    <w:rsid w:val="00123849"/>
    <w:rsid w:val="00123A5E"/>
    <w:rsid w:val="00125010"/>
    <w:rsid w:val="001251C8"/>
    <w:rsid w:val="00125266"/>
    <w:rsid w:val="00125B82"/>
    <w:rsid w:val="001305E6"/>
    <w:rsid w:val="001315CD"/>
    <w:rsid w:val="0013239A"/>
    <w:rsid w:val="001323D2"/>
    <w:rsid w:val="00132D93"/>
    <w:rsid w:val="001334D3"/>
    <w:rsid w:val="0013761A"/>
    <w:rsid w:val="0014423A"/>
    <w:rsid w:val="00147042"/>
    <w:rsid w:val="001471A7"/>
    <w:rsid w:val="001506F6"/>
    <w:rsid w:val="001508E6"/>
    <w:rsid w:val="00154032"/>
    <w:rsid w:val="001547D3"/>
    <w:rsid w:val="001559BD"/>
    <w:rsid w:val="00157F09"/>
    <w:rsid w:val="00157F79"/>
    <w:rsid w:val="00163E84"/>
    <w:rsid w:val="00165A12"/>
    <w:rsid w:val="001668AA"/>
    <w:rsid w:val="001675B1"/>
    <w:rsid w:val="0016789D"/>
    <w:rsid w:val="00167C87"/>
    <w:rsid w:val="00171F01"/>
    <w:rsid w:val="00172EE3"/>
    <w:rsid w:val="00174F19"/>
    <w:rsid w:val="00177E7E"/>
    <w:rsid w:val="00180BB5"/>
    <w:rsid w:val="0018356F"/>
    <w:rsid w:val="001874A7"/>
    <w:rsid w:val="001876C5"/>
    <w:rsid w:val="00187D68"/>
    <w:rsid w:val="00190155"/>
    <w:rsid w:val="001906B5"/>
    <w:rsid w:val="001913A7"/>
    <w:rsid w:val="00192198"/>
    <w:rsid w:val="00194163"/>
    <w:rsid w:val="00194359"/>
    <w:rsid w:val="00194FEB"/>
    <w:rsid w:val="001970A4"/>
    <w:rsid w:val="00197AD1"/>
    <w:rsid w:val="001A17DA"/>
    <w:rsid w:val="001B0020"/>
    <w:rsid w:val="001B3F87"/>
    <w:rsid w:val="001B4026"/>
    <w:rsid w:val="001B598C"/>
    <w:rsid w:val="001B6419"/>
    <w:rsid w:val="001B76A6"/>
    <w:rsid w:val="001C07F8"/>
    <w:rsid w:val="001C1147"/>
    <w:rsid w:val="001C2D7D"/>
    <w:rsid w:val="001C2F59"/>
    <w:rsid w:val="001C6C08"/>
    <w:rsid w:val="001C72F5"/>
    <w:rsid w:val="001D0646"/>
    <w:rsid w:val="001D1B55"/>
    <w:rsid w:val="001D2056"/>
    <w:rsid w:val="001D220F"/>
    <w:rsid w:val="001D42D1"/>
    <w:rsid w:val="001D547F"/>
    <w:rsid w:val="001D5F99"/>
    <w:rsid w:val="001D64E5"/>
    <w:rsid w:val="001D6EB8"/>
    <w:rsid w:val="001E05EC"/>
    <w:rsid w:val="001E2165"/>
    <w:rsid w:val="001E4809"/>
    <w:rsid w:val="001E4F4F"/>
    <w:rsid w:val="001F27F4"/>
    <w:rsid w:val="001F3DC0"/>
    <w:rsid w:val="001F4C5A"/>
    <w:rsid w:val="001F4EA9"/>
    <w:rsid w:val="001F4F73"/>
    <w:rsid w:val="001F6425"/>
    <w:rsid w:val="001F6772"/>
    <w:rsid w:val="001F7421"/>
    <w:rsid w:val="00200195"/>
    <w:rsid w:val="00200B5F"/>
    <w:rsid w:val="00201EEF"/>
    <w:rsid w:val="00202476"/>
    <w:rsid w:val="00202B58"/>
    <w:rsid w:val="002047C8"/>
    <w:rsid w:val="002052B3"/>
    <w:rsid w:val="00205453"/>
    <w:rsid w:val="002058F9"/>
    <w:rsid w:val="0020650A"/>
    <w:rsid w:val="00207F32"/>
    <w:rsid w:val="00212B1F"/>
    <w:rsid w:val="00213340"/>
    <w:rsid w:val="00213D7C"/>
    <w:rsid w:val="00214513"/>
    <w:rsid w:val="002155B7"/>
    <w:rsid w:val="0021766A"/>
    <w:rsid w:val="00220C88"/>
    <w:rsid w:val="002225D3"/>
    <w:rsid w:val="00222A35"/>
    <w:rsid w:val="0022301D"/>
    <w:rsid w:val="002236F0"/>
    <w:rsid w:val="00224B2C"/>
    <w:rsid w:val="00226F3A"/>
    <w:rsid w:val="002272E2"/>
    <w:rsid w:val="00227E55"/>
    <w:rsid w:val="00232AA0"/>
    <w:rsid w:val="00234CDF"/>
    <w:rsid w:val="00236B91"/>
    <w:rsid w:val="00236BF6"/>
    <w:rsid w:val="002424C0"/>
    <w:rsid w:val="00242617"/>
    <w:rsid w:val="00242CAA"/>
    <w:rsid w:val="00242D10"/>
    <w:rsid w:val="0024503B"/>
    <w:rsid w:val="0024573D"/>
    <w:rsid w:val="00245D74"/>
    <w:rsid w:val="00246D03"/>
    <w:rsid w:val="00246DDF"/>
    <w:rsid w:val="002573CC"/>
    <w:rsid w:val="00260FAA"/>
    <w:rsid w:val="00262338"/>
    <w:rsid w:val="00263694"/>
    <w:rsid w:val="00263938"/>
    <w:rsid w:val="002646D7"/>
    <w:rsid w:val="00264990"/>
    <w:rsid w:val="002671D7"/>
    <w:rsid w:val="0027259C"/>
    <w:rsid w:val="00273543"/>
    <w:rsid w:val="00274C82"/>
    <w:rsid w:val="0027654D"/>
    <w:rsid w:val="002810DF"/>
    <w:rsid w:val="002812AB"/>
    <w:rsid w:val="002816D8"/>
    <w:rsid w:val="00281F8F"/>
    <w:rsid w:val="00282A8C"/>
    <w:rsid w:val="002854EE"/>
    <w:rsid w:val="0028565C"/>
    <w:rsid w:val="002875DE"/>
    <w:rsid w:val="00287E07"/>
    <w:rsid w:val="00290EB3"/>
    <w:rsid w:val="00292846"/>
    <w:rsid w:val="00292A90"/>
    <w:rsid w:val="0029542C"/>
    <w:rsid w:val="002971D6"/>
    <w:rsid w:val="002A2F08"/>
    <w:rsid w:val="002A3641"/>
    <w:rsid w:val="002A495F"/>
    <w:rsid w:val="002A4CE1"/>
    <w:rsid w:val="002A706F"/>
    <w:rsid w:val="002A70EA"/>
    <w:rsid w:val="002A7363"/>
    <w:rsid w:val="002A7F43"/>
    <w:rsid w:val="002B365E"/>
    <w:rsid w:val="002B3E6C"/>
    <w:rsid w:val="002B489A"/>
    <w:rsid w:val="002B6341"/>
    <w:rsid w:val="002B7B40"/>
    <w:rsid w:val="002C031A"/>
    <w:rsid w:val="002C0526"/>
    <w:rsid w:val="002C27A8"/>
    <w:rsid w:val="002C333E"/>
    <w:rsid w:val="002C36C8"/>
    <w:rsid w:val="002C51A0"/>
    <w:rsid w:val="002C57E0"/>
    <w:rsid w:val="002C7971"/>
    <w:rsid w:val="002D0584"/>
    <w:rsid w:val="002D2E2A"/>
    <w:rsid w:val="002D4274"/>
    <w:rsid w:val="002D4F19"/>
    <w:rsid w:val="002D5295"/>
    <w:rsid w:val="002D52BF"/>
    <w:rsid w:val="002D630A"/>
    <w:rsid w:val="002D6630"/>
    <w:rsid w:val="002D68FA"/>
    <w:rsid w:val="002D7ECA"/>
    <w:rsid w:val="002E0141"/>
    <w:rsid w:val="002E0B5D"/>
    <w:rsid w:val="002E0B76"/>
    <w:rsid w:val="002E1495"/>
    <w:rsid w:val="002E2466"/>
    <w:rsid w:val="002E2900"/>
    <w:rsid w:val="002E3C0D"/>
    <w:rsid w:val="002E43EC"/>
    <w:rsid w:val="002E4883"/>
    <w:rsid w:val="002E5B3C"/>
    <w:rsid w:val="002E7A79"/>
    <w:rsid w:val="002F1D9E"/>
    <w:rsid w:val="002F2C6E"/>
    <w:rsid w:val="002F3C88"/>
    <w:rsid w:val="002F4067"/>
    <w:rsid w:val="002F47EB"/>
    <w:rsid w:val="002F7339"/>
    <w:rsid w:val="002F7461"/>
    <w:rsid w:val="003025E2"/>
    <w:rsid w:val="00303CB0"/>
    <w:rsid w:val="00306D24"/>
    <w:rsid w:val="00307712"/>
    <w:rsid w:val="0031404A"/>
    <w:rsid w:val="00314B7C"/>
    <w:rsid w:val="00314E49"/>
    <w:rsid w:val="00315445"/>
    <w:rsid w:val="00317183"/>
    <w:rsid w:val="003204AE"/>
    <w:rsid w:val="003208EF"/>
    <w:rsid w:val="00322C88"/>
    <w:rsid w:val="00323D35"/>
    <w:rsid w:val="00324846"/>
    <w:rsid w:val="00324ABD"/>
    <w:rsid w:val="00324D9B"/>
    <w:rsid w:val="003272A6"/>
    <w:rsid w:val="003273CB"/>
    <w:rsid w:val="0033125E"/>
    <w:rsid w:val="00332ED2"/>
    <w:rsid w:val="0033325E"/>
    <w:rsid w:val="00335C99"/>
    <w:rsid w:val="00336913"/>
    <w:rsid w:val="0033718C"/>
    <w:rsid w:val="00337407"/>
    <w:rsid w:val="00337BB8"/>
    <w:rsid w:val="00340E02"/>
    <w:rsid w:val="00341F33"/>
    <w:rsid w:val="00342E94"/>
    <w:rsid w:val="00343E6E"/>
    <w:rsid w:val="00343E9A"/>
    <w:rsid w:val="003450C8"/>
    <w:rsid w:val="00345BA7"/>
    <w:rsid w:val="0034782B"/>
    <w:rsid w:val="00351E5C"/>
    <w:rsid w:val="00351F5A"/>
    <w:rsid w:val="003538F7"/>
    <w:rsid w:val="0035580F"/>
    <w:rsid w:val="00357CB4"/>
    <w:rsid w:val="003604EE"/>
    <w:rsid w:val="0036286B"/>
    <w:rsid w:val="00363371"/>
    <w:rsid w:val="00363EED"/>
    <w:rsid w:val="00364989"/>
    <w:rsid w:val="003664C0"/>
    <w:rsid w:val="00366769"/>
    <w:rsid w:val="00367A28"/>
    <w:rsid w:val="00367E04"/>
    <w:rsid w:val="00375951"/>
    <w:rsid w:val="003761F2"/>
    <w:rsid w:val="00376A05"/>
    <w:rsid w:val="003774FE"/>
    <w:rsid w:val="00383F5A"/>
    <w:rsid w:val="00390E30"/>
    <w:rsid w:val="00392823"/>
    <w:rsid w:val="003938AC"/>
    <w:rsid w:val="00393ABE"/>
    <w:rsid w:val="0039458D"/>
    <w:rsid w:val="00394D61"/>
    <w:rsid w:val="00395201"/>
    <w:rsid w:val="003A05FC"/>
    <w:rsid w:val="003A1F5A"/>
    <w:rsid w:val="003A20C4"/>
    <w:rsid w:val="003A2ECE"/>
    <w:rsid w:val="003A4252"/>
    <w:rsid w:val="003A539A"/>
    <w:rsid w:val="003A62A4"/>
    <w:rsid w:val="003A7476"/>
    <w:rsid w:val="003A7D86"/>
    <w:rsid w:val="003B0AA1"/>
    <w:rsid w:val="003B243D"/>
    <w:rsid w:val="003B304F"/>
    <w:rsid w:val="003B5D18"/>
    <w:rsid w:val="003B795D"/>
    <w:rsid w:val="003C1FEF"/>
    <w:rsid w:val="003C26A6"/>
    <w:rsid w:val="003C26C1"/>
    <w:rsid w:val="003C5C11"/>
    <w:rsid w:val="003C6A5A"/>
    <w:rsid w:val="003C6AAD"/>
    <w:rsid w:val="003C76E4"/>
    <w:rsid w:val="003C775E"/>
    <w:rsid w:val="003D1D4D"/>
    <w:rsid w:val="003D2D68"/>
    <w:rsid w:val="003D3037"/>
    <w:rsid w:val="003D3682"/>
    <w:rsid w:val="003D37DD"/>
    <w:rsid w:val="003D45DF"/>
    <w:rsid w:val="003D47C6"/>
    <w:rsid w:val="003D6D30"/>
    <w:rsid w:val="003D7E38"/>
    <w:rsid w:val="003D7EAC"/>
    <w:rsid w:val="003E1AFA"/>
    <w:rsid w:val="003E375F"/>
    <w:rsid w:val="003E379A"/>
    <w:rsid w:val="003E52B0"/>
    <w:rsid w:val="003E64DC"/>
    <w:rsid w:val="003E7A43"/>
    <w:rsid w:val="003F0B58"/>
    <w:rsid w:val="003F0D40"/>
    <w:rsid w:val="003F2236"/>
    <w:rsid w:val="003F27B7"/>
    <w:rsid w:val="003F4051"/>
    <w:rsid w:val="003F5812"/>
    <w:rsid w:val="003F5878"/>
    <w:rsid w:val="003F625A"/>
    <w:rsid w:val="003F6568"/>
    <w:rsid w:val="003F6AA4"/>
    <w:rsid w:val="003F6EA1"/>
    <w:rsid w:val="00400E4A"/>
    <w:rsid w:val="004028E7"/>
    <w:rsid w:val="00402E9A"/>
    <w:rsid w:val="004030B8"/>
    <w:rsid w:val="00403FA8"/>
    <w:rsid w:val="00404040"/>
    <w:rsid w:val="00404213"/>
    <w:rsid w:val="004048AC"/>
    <w:rsid w:val="00404B8E"/>
    <w:rsid w:val="004068C2"/>
    <w:rsid w:val="00406E61"/>
    <w:rsid w:val="00407DD6"/>
    <w:rsid w:val="00412559"/>
    <w:rsid w:val="004145F0"/>
    <w:rsid w:val="00415E7F"/>
    <w:rsid w:val="00420288"/>
    <w:rsid w:val="00421C78"/>
    <w:rsid w:val="004224CE"/>
    <w:rsid w:val="00423D5E"/>
    <w:rsid w:val="00424A78"/>
    <w:rsid w:val="004254DB"/>
    <w:rsid w:val="00427EEA"/>
    <w:rsid w:val="00431836"/>
    <w:rsid w:val="004321E6"/>
    <w:rsid w:val="0043278E"/>
    <w:rsid w:val="004332A4"/>
    <w:rsid w:val="004360AC"/>
    <w:rsid w:val="00436B83"/>
    <w:rsid w:val="00437941"/>
    <w:rsid w:val="00441061"/>
    <w:rsid w:val="0044560C"/>
    <w:rsid w:val="004501C9"/>
    <w:rsid w:val="00450C70"/>
    <w:rsid w:val="00453344"/>
    <w:rsid w:val="00454E76"/>
    <w:rsid w:val="00457080"/>
    <w:rsid w:val="00460891"/>
    <w:rsid w:val="00464FB2"/>
    <w:rsid w:val="004662A8"/>
    <w:rsid w:val="00466CDC"/>
    <w:rsid w:val="0046745E"/>
    <w:rsid w:val="004725ED"/>
    <w:rsid w:val="004736BE"/>
    <w:rsid w:val="0047556D"/>
    <w:rsid w:val="00475789"/>
    <w:rsid w:val="00476170"/>
    <w:rsid w:val="004801D4"/>
    <w:rsid w:val="00480284"/>
    <w:rsid w:val="004820B0"/>
    <w:rsid w:val="00482117"/>
    <w:rsid w:val="00482E2F"/>
    <w:rsid w:val="00483530"/>
    <w:rsid w:val="00484BE0"/>
    <w:rsid w:val="004859B4"/>
    <w:rsid w:val="00486ACD"/>
    <w:rsid w:val="00490B8D"/>
    <w:rsid w:val="0049159C"/>
    <w:rsid w:val="0049255A"/>
    <w:rsid w:val="00492C65"/>
    <w:rsid w:val="0049403F"/>
    <w:rsid w:val="00494323"/>
    <w:rsid w:val="00494349"/>
    <w:rsid w:val="00494485"/>
    <w:rsid w:val="0049682B"/>
    <w:rsid w:val="0049762B"/>
    <w:rsid w:val="004A0F27"/>
    <w:rsid w:val="004A0F37"/>
    <w:rsid w:val="004A0F68"/>
    <w:rsid w:val="004A2D26"/>
    <w:rsid w:val="004A3608"/>
    <w:rsid w:val="004A4418"/>
    <w:rsid w:val="004A4FBD"/>
    <w:rsid w:val="004A76FF"/>
    <w:rsid w:val="004A7810"/>
    <w:rsid w:val="004A7E93"/>
    <w:rsid w:val="004B021E"/>
    <w:rsid w:val="004B3CFB"/>
    <w:rsid w:val="004B5D6B"/>
    <w:rsid w:val="004B76F8"/>
    <w:rsid w:val="004C1FA6"/>
    <w:rsid w:val="004C2869"/>
    <w:rsid w:val="004C34F4"/>
    <w:rsid w:val="004C5CFD"/>
    <w:rsid w:val="004D12C0"/>
    <w:rsid w:val="004D18EA"/>
    <w:rsid w:val="004D2B29"/>
    <w:rsid w:val="004D3713"/>
    <w:rsid w:val="004D621A"/>
    <w:rsid w:val="004D6254"/>
    <w:rsid w:val="004D70FD"/>
    <w:rsid w:val="004D7E99"/>
    <w:rsid w:val="004E00CE"/>
    <w:rsid w:val="004E2BDB"/>
    <w:rsid w:val="004E307B"/>
    <w:rsid w:val="004F0966"/>
    <w:rsid w:val="004F50AF"/>
    <w:rsid w:val="004F681D"/>
    <w:rsid w:val="004F6E14"/>
    <w:rsid w:val="0050228C"/>
    <w:rsid w:val="00502857"/>
    <w:rsid w:val="005044A9"/>
    <w:rsid w:val="00504F68"/>
    <w:rsid w:val="005054DC"/>
    <w:rsid w:val="00505994"/>
    <w:rsid w:val="00505FD4"/>
    <w:rsid w:val="005062F0"/>
    <w:rsid w:val="00506E25"/>
    <w:rsid w:val="00507A41"/>
    <w:rsid w:val="0051132C"/>
    <w:rsid w:val="005119D0"/>
    <w:rsid w:val="00513483"/>
    <w:rsid w:val="00514A55"/>
    <w:rsid w:val="00514EF5"/>
    <w:rsid w:val="005157AB"/>
    <w:rsid w:val="0051782D"/>
    <w:rsid w:val="0052087E"/>
    <w:rsid w:val="0052315E"/>
    <w:rsid w:val="00523B73"/>
    <w:rsid w:val="00530ED3"/>
    <w:rsid w:val="00533D2D"/>
    <w:rsid w:val="0053438E"/>
    <w:rsid w:val="005343E5"/>
    <w:rsid w:val="005346B7"/>
    <w:rsid w:val="005355EE"/>
    <w:rsid w:val="00535B16"/>
    <w:rsid w:val="005366D0"/>
    <w:rsid w:val="00537E27"/>
    <w:rsid w:val="00540B4D"/>
    <w:rsid w:val="00540FFA"/>
    <w:rsid w:val="00542930"/>
    <w:rsid w:val="005435B3"/>
    <w:rsid w:val="00545568"/>
    <w:rsid w:val="00550849"/>
    <w:rsid w:val="00550866"/>
    <w:rsid w:val="00554BF3"/>
    <w:rsid w:val="0055655F"/>
    <w:rsid w:val="0055657D"/>
    <w:rsid w:val="005579B9"/>
    <w:rsid w:val="00560D0D"/>
    <w:rsid w:val="005632F1"/>
    <w:rsid w:val="005644AD"/>
    <w:rsid w:val="00565FB1"/>
    <w:rsid w:val="005662FB"/>
    <w:rsid w:val="00567781"/>
    <w:rsid w:val="00567ECC"/>
    <w:rsid w:val="0057019C"/>
    <w:rsid w:val="005713B1"/>
    <w:rsid w:val="0057363E"/>
    <w:rsid w:val="005741D9"/>
    <w:rsid w:val="0057624B"/>
    <w:rsid w:val="0057644D"/>
    <w:rsid w:val="0057649A"/>
    <w:rsid w:val="00583090"/>
    <w:rsid w:val="005835F4"/>
    <w:rsid w:val="00583EFE"/>
    <w:rsid w:val="00584076"/>
    <w:rsid w:val="005841A3"/>
    <w:rsid w:val="00586D9A"/>
    <w:rsid w:val="00590EAE"/>
    <w:rsid w:val="0059112A"/>
    <w:rsid w:val="0059116B"/>
    <w:rsid w:val="00591B65"/>
    <w:rsid w:val="00592A14"/>
    <w:rsid w:val="00593216"/>
    <w:rsid w:val="00594BC3"/>
    <w:rsid w:val="00595132"/>
    <w:rsid w:val="00596CA7"/>
    <w:rsid w:val="00596DC8"/>
    <w:rsid w:val="00596E16"/>
    <w:rsid w:val="00597A78"/>
    <w:rsid w:val="00597DC7"/>
    <w:rsid w:val="005A16A3"/>
    <w:rsid w:val="005A1C48"/>
    <w:rsid w:val="005A253A"/>
    <w:rsid w:val="005A2AD8"/>
    <w:rsid w:val="005A3152"/>
    <w:rsid w:val="005A40AF"/>
    <w:rsid w:val="005A64BF"/>
    <w:rsid w:val="005B0565"/>
    <w:rsid w:val="005B1F45"/>
    <w:rsid w:val="005B4421"/>
    <w:rsid w:val="005B513F"/>
    <w:rsid w:val="005B7483"/>
    <w:rsid w:val="005B7929"/>
    <w:rsid w:val="005C0643"/>
    <w:rsid w:val="005C23AF"/>
    <w:rsid w:val="005C25D1"/>
    <w:rsid w:val="005C35A9"/>
    <w:rsid w:val="005C464B"/>
    <w:rsid w:val="005C4E5F"/>
    <w:rsid w:val="005C74A0"/>
    <w:rsid w:val="005D052C"/>
    <w:rsid w:val="005D16FE"/>
    <w:rsid w:val="005D4084"/>
    <w:rsid w:val="005D4777"/>
    <w:rsid w:val="005D4C2B"/>
    <w:rsid w:val="005D5784"/>
    <w:rsid w:val="005E1732"/>
    <w:rsid w:val="005E22CD"/>
    <w:rsid w:val="005E6B93"/>
    <w:rsid w:val="005E7953"/>
    <w:rsid w:val="005E7E82"/>
    <w:rsid w:val="005F2C42"/>
    <w:rsid w:val="005F6BAB"/>
    <w:rsid w:val="005F6C28"/>
    <w:rsid w:val="005F7AB6"/>
    <w:rsid w:val="005F7E3C"/>
    <w:rsid w:val="00600E97"/>
    <w:rsid w:val="00600FA8"/>
    <w:rsid w:val="006063DA"/>
    <w:rsid w:val="00606CD0"/>
    <w:rsid w:val="00606CE3"/>
    <w:rsid w:val="00611DD3"/>
    <w:rsid w:val="00611EF0"/>
    <w:rsid w:val="00612219"/>
    <w:rsid w:val="00612E04"/>
    <w:rsid w:val="006173A4"/>
    <w:rsid w:val="00617C44"/>
    <w:rsid w:val="00620086"/>
    <w:rsid w:val="00622074"/>
    <w:rsid w:val="00622CE4"/>
    <w:rsid w:val="006234A7"/>
    <w:rsid w:val="00623F8E"/>
    <w:rsid w:val="00625917"/>
    <w:rsid w:val="0062789F"/>
    <w:rsid w:val="006301BE"/>
    <w:rsid w:val="0063096E"/>
    <w:rsid w:val="00632DB2"/>
    <w:rsid w:val="00633349"/>
    <w:rsid w:val="00633D61"/>
    <w:rsid w:val="0063402B"/>
    <w:rsid w:val="00636570"/>
    <w:rsid w:val="00637859"/>
    <w:rsid w:val="00637901"/>
    <w:rsid w:val="00637E1B"/>
    <w:rsid w:val="006402DF"/>
    <w:rsid w:val="0064164B"/>
    <w:rsid w:val="0064416A"/>
    <w:rsid w:val="00644468"/>
    <w:rsid w:val="00645F5E"/>
    <w:rsid w:val="00647B1E"/>
    <w:rsid w:val="00647C55"/>
    <w:rsid w:val="0065008B"/>
    <w:rsid w:val="00653721"/>
    <w:rsid w:val="00653A3B"/>
    <w:rsid w:val="00653FD9"/>
    <w:rsid w:val="006543A2"/>
    <w:rsid w:val="00654D42"/>
    <w:rsid w:val="00656328"/>
    <w:rsid w:val="00660279"/>
    <w:rsid w:val="00660A94"/>
    <w:rsid w:val="006622B9"/>
    <w:rsid w:val="00662E1E"/>
    <w:rsid w:val="0066371E"/>
    <w:rsid w:val="0066455B"/>
    <w:rsid w:val="00670BC4"/>
    <w:rsid w:val="006718ED"/>
    <w:rsid w:val="006724AD"/>
    <w:rsid w:val="00672BAB"/>
    <w:rsid w:val="0067314A"/>
    <w:rsid w:val="00673D1E"/>
    <w:rsid w:val="0067557E"/>
    <w:rsid w:val="00675E9D"/>
    <w:rsid w:val="006779CF"/>
    <w:rsid w:val="00677A8F"/>
    <w:rsid w:val="00677D63"/>
    <w:rsid w:val="00677F8A"/>
    <w:rsid w:val="006821E3"/>
    <w:rsid w:val="0068261F"/>
    <w:rsid w:val="00683AD6"/>
    <w:rsid w:val="006842AE"/>
    <w:rsid w:val="006875BA"/>
    <w:rsid w:val="0069097D"/>
    <w:rsid w:val="00693FEA"/>
    <w:rsid w:val="00694C68"/>
    <w:rsid w:val="006A5773"/>
    <w:rsid w:val="006A5804"/>
    <w:rsid w:val="006A58F0"/>
    <w:rsid w:val="006A6262"/>
    <w:rsid w:val="006B0372"/>
    <w:rsid w:val="006B0764"/>
    <w:rsid w:val="006B081C"/>
    <w:rsid w:val="006B4467"/>
    <w:rsid w:val="006B6C46"/>
    <w:rsid w:val="006B6E78"/>
    <w:rsid w:val="006B7970"/>
    <w:rsid w:val="006C0039"/>
    <w:rsid w:val="006C1927"/>
    <w:rsid w:val="006C2585"/>
    <w:rsid w:val="006C4008"/>
    <w:rsid w:val="006C4E2C"/>
    <w:rsid w:val="006C5931"/>
    <w:rsid w:val="006C73EF"/>
    <w:rsid w:val="006D1723"/>
    <w:rsid w:val="006D5D3F"/>
    <w:rsid w:val="006D60ED"/>
    <w:rsid w:val="006E1166"/>
    <w:rsid w:val="006E24D9"/>
    <w:rsid w:val="006E25BA"/>
    <w:rsid w:val="006E596E"/>
    <w:rsid w:val="006E65E0"/>
    <w:rsid w:val="006F033F"/>
    <w:rsid w:val="006F21F6"/>
    <w:rsid w:val="006F24D8"/>
    <w:rsid w:val="006F33B8"/>
    <w:rsid w:val="006F4C9C"/>
    <w:rsid w:val="006F5643"/>
    <w:rsid w:val="006F640F"/>
    <w:rsid w:val="006F762A"/>
    <w:rsid w:val="00701B6B"/>
    <w:rsid w:val="007026CB"/>
    <w:rsid w:val="00702D07"/>
    <w:rsid w:val="0070384F"/>
    <w:rsid w:val="00703A9E"/>
    <w:rsid w:val="00703D6D"/>
    <w:rsid w:val="00704095"/>
    <w:rsid w:val="00704152"/>
    <w:rsid w:val="00704FB5"/>
    <w:rsid w:val="00706B71"/>
    <w:rsid w:val="00707983"/>
    <w:rsid w:val="0071022A"/>
    <w:rsid w:val="0071277A"/>
    <w:rsid w:val="00712EE5"/>
    <w:rsid w:val="00713493"/>
    <w:rsid w:val="00713494"/>
    <w:rsid w:val="00713EA7"/>
    <w:rsid w:val="00714031"/>
    <w:rsid w:val="0071466E"/>
    <w:rsid w:val="00714A6C"/>
    <w:rsid w:val="00714CD3"/>
    <w:rsid w:val="0071582C"/>
    <w:rsid w:val="00716174"/>
    <w:rsid w:val="007203D8"/>
    <w:rsid w:val="007206A8"/>
    <w:rsid w:val="0072116D"/>
    <w:rsid w:val="0072226F"/>
    <w:rsid w:val="00725B78"/>
    <w:rsid w:val="00727082"/>
    <w:rsid w:val="0073233C"/>
    <w:rsid w:val="00732D0C"/>
    <w:rsid w:val="00733EAD"/>
    <w:rsid w:val="00734B7B"/>
    <w:rsid w:val="00734F54"/>
    <w:rsid w:val="00736D93"/>
    <w:rsid w:val="00737C04"/>
    <w:rsid w:val="00737F64"/>
    <w:rsid w:val="007422C9"/>
    <w:rsid w:val="00744110"/>
    <w:rsid w:val="00744595"/>
    <w:rsid w:val="0074695A"/>
    <w:rsid w:val="00747A52"/>
    <w:rsid w:val="00750F1E"/>
    <w:rsid w:val="00751C12"/>
    <w:rsid w:val="00752691"/>
    <w:rsid w:val="007528F2"/>
    <w:rsid w:val="007575C4"/>
    <w:rsid w:val="00757D63"/>
    <w:rsid w:val="0076176A"/>
    <w:rsid w:val="00762A1B"/>
    <w:rsid w:val="00762D6D"/>
    <w:rsid w:val="00763700"/>
    <w:rsid w:val="0076427C"/>
    <w:rsid w:val="00765217"/>
    <w:rsid w:val="007659AA"/>
    <w:rsid w:val="00766334"/>
    <w:rsid w:val="00767EC5"/>
    <w:rsid w:val="0077266C"/>
    <w:rsid w:val="00772802"/>
    <w:rsid w:val="00775066"/>
    <w:rsid w:val="00776406"/>
    <w:rsid w:val="0078005A"/>
    <w:rsid w:val="00780A00"/>
    <w:rsid w:val="00780F78"/>
    <w:rsid w:val="00781B6F"/>
    <w:rsid w:val="00781F9C"/>
    <w:rsid w:val="007820ED"/>
    <w:rsid w:val="00782DFD"/>
    <w:rsid w:val="00784424"/>
    <w:rsid w:val="00785474"/>
    <w:rsid w:val="0078772C"/>
    <w:rsid w:val="00787B99"/>
    <w:rsid w:val="007907C8"/>
    <w:rsid w:val="007925B6"/>
    <w:rsid w:val="007934F5"/>
    <w:rsid w:val="0079421C"/>
    <w:rsid w:val="0079526D"/>
    <w:rsid w:val="00795A2C"/>
    <w:rsid w:val="00797309"/>
    <w:rsid w:val="00797390"/>
    <w:rsid w:val="007A05B6"/>
    <w:rsid w:val="007A1C0A"/>
    <w:rsid w:val="007A1C59"/>
    <w:rsid w:val="007A4397"/>
    <w:rsid w:val="007A5B41"/>
    <w:rsid w:val="007B002C"/>
    <w:rsid w:val="007B3A76"/>
    <w:rsid w:val="007B5792"/>
    <w:rsid w:val="007C2934"/>
    <w:rsid w:val="007C31E2"/>
    <w:rsid w:val="007C5799"/>
    <w:rsid w:val="007C5CE1"/>
    <w:rsid w:val="007C6F85"/>
    <w:rsid w:val="007D0569"/>
    <w:rsid w:val="007D16B1"/>
    <w:rsid w:val="007D19E4"/>
    <w:rsid w:val="007D2001"/>
    <w:rsid w:val="007D7400"/>
    <w:rsid w:val="007D7761"/>
    <w:rsid w:val="007D79FF"/>
    <w:rsid w:val="007E02A7"/>
    <w:rsid w:val="007E0C0A"/>
    <w:rsid w:val="007E468A"/>
    <w:rsid w:val="007E51A5"/>
    <w:rsid w:val="007E5629"/>
    <w:rsid w:val="007E7F4C"/>
    <w:rsid w:val="007F2EC6"/>
    <w:rsid w:val="007F3018"/>
    <w:rsid w:val="007F6862"/>
    <w:rsid w:val="008000B4"/>
    <w:rsid w:val="00800BF1"/>
    <w:rsid w:val="008013FC"/>
    <w:rsid w:val="008060C3"/>
    <w:rsid w:val="008063A1"/>
    <w:rsid w:val="00807F00"/>
    <w:rsid w:val="00812095"/>
    <w:rsid w:val="008134BD"/>
    <w:rsid w:val="008139A5"/>
    <w:rsid w:val="00814656"/>
    <w:rsid w:val="00820026"/>
    <w:rsid w:val="00820E45"/>
    <w:rsid w:val="00821E2C"/>
    <w:rsid w:val="00822835"/>
    <w:rsid w:val="0082459B"/>
    <w:rsid w:val="00826758"/>
    <w:rsid w:val="008313D1"/>
    <w:rsid w:val="00833261"/>
    <w:rsid w:val="008353E0"/>
    <w:rsid w:val="008365F0"/>
    <w:rsid w:val="00841534"/>
    <w:rsid w:val="008462F1"/>
    <w:rsid w:val="00846930"/>
    <w:rsid w:val="00850FDE"/>
    <w:rsid w:val="00852876"/>
    <w:rsid w:val="008543F5"/>
    <w:rsid w:val="00855004"/>
    <w:rsid w:val="008572C4"/>
    <w:rsid w:val="0085733E"/>
    <w:rsid w:val="0085765A"/>
    <w:rsid w:val="008604A8"/>
    <w:rsid w:val="00860E64"/>
    <w:rsid w:val="008616F7"/>
    <w:rsid w:val="00861AFA"/>
    <w:rsid w:val="00863C61"/>
    <w:rsid w:val="00865277"/>
    <w:rsid w:val="00865522"/>
    <w:rsid w:val="00865ADF"/>
    <w:rsid w:val="0086644C"/>
    <w:rsid w:val="008666B5"/>
    <w:rsid w:val="008703B3"/>
    <w:rsid w:val="00871F13"/>
    <w:rsid w:val="00876985"/>
    <w:rsid w:val="008771AF"/>
    <w:rsid w:val="008808E6"/>
    <w:rsid w:val="00883780"/>
    <w:rsid w:val="00883B99"/>
    <w:rsid w:val="00885066"/>
    <w:rsid w:val="00885F85"/>
    <w:rsid w:val="0088665E"/>
    <w:rsid w:val="00887F48"/>
    <w:rsid w:val="008923C8"/>
    <w:rsid w:val="008924B5"/>
    <w:rsid w:val="00893260"/>
    <w:rsid w:val="008932A8"/>
    <w:rsid w:val="00893756"/>
    <w:rsid w:val="00894A9E"/>
    <w:rsid w:val="008950F6"/>
    <w:rsid w:val="00896815"/>
    <w:rsid w:val="008A0744"/>
    <w:rsid w:val="008A0A6E"/>
    <w:rsid w:val="008A0D0F"/>
    <w:rsid w:val="008A2FB3"/>
    <w:rsid w:val="008A398B"/>
    <w:rsid w:val="008A5601"/>
    <w:rsid w:val="008A59AD"/>
    <w:rsid w:val="008B0EEB"/>
    <w:rsid w:val="008B431D"/>
    <w:rsid w:val="008B51FD"/>
    <w:rsid w:val="008B6269"/>
    <w:rsid w:val="008B6766"/>
    <w:rsid w:val="008B70F5"/>
    <w:rsid w:val="008B7186"/>
    <w:rsid w:val="008B7192"/>
    <w:rsid w:val="008C1939"/>
    <w:rsid w:val="008C3396"/>
    <w:rsid w:val="008C4848"/>
    <w:rsid w:val="008C621C"/>
    <w:rsid w:val="008C697C"/>
    <w:rsid w:val="008C7448"/>
    <w:rsid w:val="008C75ED"/>
    <w:rsid w:val="008C7649"/>
    <w:rsid w:val="008E03B0"/>
    <w:rsid w:val="008E0991"/>
    <w:rsid w:val="008E0C8A"/>
    <w:rsid w:val="008E338E"/>
    <w:rsid w:val="008E57FE"/>
    <w:rsid w:val="008F1818"/>
    <w:rsid w:val="008F2665"/>
    <w:rsid w:val="008F507E"/>
    <w:rsid w:val="008F5251"/>
    <w:rsid w:val="008F6376"/>
    <w:rsid w:val="00900CC2"/>
    <w:rsid w:val="00901770"/>
    <w:rsid w:val="009019FB"/>
    <w:rsid w:val="00902AA5"/>
    <w:rsid w:val="009052B7"/>
    <w:rsid w:val="00905B05"/>
    <w:rsid w:val="00906FE2"/>
    <w:rsid w:val="0090753C"/>
    <w:rsid w:val="0090759D"/>
    <w:rsid w:val="0091156F"/>
    <w:rsid w:val="00911B66"/>
    <w:rsid w:val="00912A7E"/>
    <w:rsid w:val="00915330"/>
    <w:rsid w:val="00916E69"/>
    <w:rsid w:val="00917525"/>
    <w:rsid w:val="0091777D"/>
    <w:rsid w:val="00917C39"/>
    <w:rsid w:val="0092057D"/>
    <w:rsid w:val="0092113B"/>
    <w:rsid w:val="009218DE"/>
    <w:rsid w:val="00922D00"/>
    <w:rsid w:val="009233CC"/>
    <w:rsid w:val="00923F17"/>
    <w:rsid w:val="009266DA"/>
    <w:rsid w:val="00927F35"/>
    <w:rsid w:val="00930DE8"/>
    <w:rsid w:val="009318DD"/>
    <w:rsid w:val="009352C3"/>
    <w:rsid w:val="00935413"/>
    <w:rsid w:val="00935F5D"/>
    <w:rsid w:val="0093669F"/>
    <w:rsid w:val="009368E0"/>
    <w:rsid w:val="00937729"/>
    <w:rsid w:val="009378F1"/>
    <w:rsid w:val="00940EEE"/>
    <w:rsid w:val="0094260B"/>
    <w:rsid w:val="00942661"/>
    <w:rsid w:val="0094320D"/>
    <w:rsid w:val="00945307"/>
    <w:rsid w:val="0094558D"/>
    <w:rsid w:val="0094697C"/>
    <w:rsid w:val="00946FCE"/>
    <w:rsid w:val="009515BC"/>
    <w:rsid w:val="0095349A"/>
    <w:rsid w:val="00953B5B"/>
    <w:rsid w:val="00953ED0"/>
    <w:rsid w:val="0095492E"/>
    <w:rsid w:val="00955F7D"/>
    <w:rsid w:val="0096242F"/>
    <w:rsid w:val="00962E3B"/>
    <w:rsid w:val="00962FF5"/>
    <w:rsid w:val="00964A4E"/>
    <w:rsid w:val="00965B02"/>
    <w:rsid w:val="00965C07"/>
    <w:rsid w:val="00965D2D"/>
    <w:rsid w:val="00970A16"/>
    <w:rsid w:val="00971847"/>
    <w:rsid w:val="00972964"/>
    <w:rsid w:val="0097762F"/>
    <w:rsid w:val="00977C0A"/>
    <w:rsid w:val="009816B8"/>
    <w:rsid w:val="00983B45"/>
    <w:rsid w:val="00983B5C"/>
    <w:rsid w:val="0098766F"/>
    <w:rsid w:val="00993912"/>
    <w:rsid w:val="00994050"/>
    <w:rsid w:val="009962CF"/>
    <w:rsid w:val="009969D6"/>
    <w:rsid w:val="009A4543"/>
    <w:rsid w:val="009A5DB1"/>
    <w:rsid w:val="009A7C5A"/>
    <w:rsid w:val="009A7E51"/>
    <w:rsid w:val="009B21B9"/>
    <w:rsid w:val="009B2FAD"/>
    <w:rsid w:val="009B4CD0"/>
    <w:rsid w:val="009B4DA7"/>
    <w:rsid w:val="009C21C6"/>
    <w:rsid w:val="009C383B"/>
    <w:rsid w:val="009C3A80"/>
    <w:rsid w:val="009C41EC"/>
    <w:rsid w:val="009C5238"/>
    <w:rsid w:val="009C7DCB"/>
    <w:rsid w:val="009D12B4"/>
    <w:rsid w:val="009D1E70"/>
    <w:rsid w:val="009D2135"/>
    <w:rsid w:val="009D2FA7"/>
    <w:rsid w:val="009D3673"/>
    <w:rsid w:val="009D4166"/>
    <w:rsid w:val="009D4CAE"/>
    <w:rsid w:val="009D55F9"/>
    <w:rsid w:val="009D5837"/>
    <w:rsid w:val="009D5A11"/>
    <w:rsid w:val="009D765F"/>
    <w:rsid w:val="009D7760"/>
    <w:rsid w:val="009E16E6"/>
    <w:rsid w:val="009E1C0D"/>
    <w:rsid w:val="009E1E62"/>
    <w:rsid w:val="009E2953"/>
    <w:rsid w:val="009E30CE"/>
    <w:rsid w:val="009E4BA2"/>
    <w:rsid w:val="009E4CDF"/>
    <w:rsid w:val="009F04C3"/>
    <w:rsid w:val="009F0760"/>
    <w:rsid w:val="009F3B29"/>
    <w:rsid w:val="009F4860"/>
    <w:rsid w:val="00A00057"/>
    <w:rsid w:val="00A00485"/>
    <w:rsid w:val="00A01A5F"/>
    <w:rsid w:val="00A025AC"/>
    <w:rsid w:val="00A02C96"/>
    <w:rsid w:val="00A02E65"/>
    <w:rsid w:val="00A0340A"/>
    <w:rsid w:val="00A0440C"/>
    <w:rsid w:val="00A047AE"/>
    <w:rsid w:val="00A04C82"/>
    <w:rsid w:val="00A0585F"/>
    <w:rsid w:val="00A0694A"/>
    <w:rsid w:val="00A077AC"/>
    <w:rsid w:val="00A07A33"/>
    <w:rsid w:val="00A1004B"/>
    <w:rsid w:val="00A10A30"/>
    <w:rsid w:val="00A1137C"/>
    <w:rsid w:val="00A113D7"/>
    <w:rsid w:val="00A11F0F"/>
    <w:rsid w:val="00A16126"/>
    <w:rsid w:val="00A165DB"/>
    <w:rsid w:val="00A20043"/>
    <w:rsid w:val="00A2083D"/>
    <w:rsid w:val="00A21C6C"/>
    <w:rsid w:val="00A2365A"/>
    <w:rsid w:val="00A24133"/>
    <w:rsid w:val="00A24B81"/>
    <w:rsid w:val="00A262BF"/>
    <w:rsid w:val="00A27809"/>
    <w:rsid w:val="00A30533"/>
    <w:rsid w:val="00A317B0"/>
    <w:rsid w:val="00A31BF6"/>
    <w:rsid w:val="00A34591"/>
    <w:rsid w:val="00A34E44"/>
    <w:rsid w:val="00A35B8F"/>
    <w:rsid w:val="00A3640F"/>
    <w:rsid w:val="00A37ECF"/>
    <w:rsid w:val="00A40CE2"/>
    <w:rsid w:val="00A4115A"/>
    <w:rsid w:val="00A42FAE"/>
    <w:rsid w:val="00A43553"/>
    <w:rsid w:val="00A45BD0"/>
    <w:rsid w:val="00A47176"/>
    <w:rsid w:val="00A475C5"/>
    <w:rsid w:val="00A4768C"/>
    <w:rsid w:val="00A50A68"/>
    <w:rsid w:val="00A50D3B"/>
    <w:rsid w:val="00A50E38"/>
    <w:rsid w:val="00A510C6"/>
    <w:rsid w:val="00A518AA"/>
    <w:rsid w:val="00A51920"/>
    <w:rsid w:val="00A525E7"/>
    <w:rsid w:val="00A52F9E"/>
    <w:rsid w:val="00A539ED"/>
    <w:rsid w:val="00A56348"/>
    <w:rsid w:val="00A5703F"/>
    <w:rsid w:val="00A57D39"/>
    <w:rsid w:val="00A61825"/>
    <w:rsid w:val="00A6316B"/>
    <w:rsid w:val="00A65316"/>
    <w:rsid w:val="00A674FF"/>
    <w:rsid w:val="00A70F69"/>
    <w:rsid w:val="00A72611"/>
    <w:rsid w:val="00A73ABB"/>
    <w:rsid w:val="00A751A1"/>
    <w:rsid w:val="00A76D2C"/>
    <w:rsid w:val="00A77746"/>
    <w:rsid w:val="00A806AA"/>
    <w:rsid w:val="00A83BF6"/>
    <w:rsid w:val="00A84BAC"/>
    <w:rsid w:val="00A87B4F"/>
    <w:rsid w:val="00A87F31"/>
    <w:rsid w:val="00A90D27"/>
    <w:rsid w:val="00A90E43"/>
    <w:rsid w:val="00A9103B"/>
    <w:rsid w:val="00A91284"/>
    <w:rsid w:val="00A915B8"/>
    <w:rsid w:val="00A918A7"/>
    <w:rsid w:val="00A92871"/>
    <w:rsid w:val="00A955EB"/>
    <w:rsid w:val="00A9591E"/>
    <w:rsid w:val="00A95C68"/>
    <w:rsid w:val="00AA1F49"/>
    <w:rsid w:val="00AA3A2E"/>
    <w:rsid w:val="00AA4099"/>
    <w:rsid w:val="00AA4D5A"/>
    <w:rsid w:val="00AA6913"/>
    <w:rsid w:val="00AB2190"/>
    <w:rsid w:val="00AB39EB"/>
    <w:rsid w:val="00AB3F27"/>
    <w:rsid w:val="00AB3FD9"/>
    <w:rsid w:val="00AB7DE7"/>
    <w:rsid w:val="00AC01D4"/>
    <w:rsid w:val="00AC03AB"/>
    <w:rsid w:val="00AC0650"/>
    <w:rsid w:val="00AC1BE7"/>
    <w:rsid w:val="00AC275F"/>
    <w:rsid w:val="00AC3EE4"/>
    <w:rsid w:val="00AC50A4"/>
    <w:rsid w:val="00AC5A95"/>
    <w:rsid w:val="00AC6074"/>
    <w:rsid w:val="00AC6471"/>
    <w:rsid w:val="00AD04C5"/>
    <w:rsid w:val="00AD1751"/>
    <w:rsid w:val="00AD2B6E"/>
    <w:rsid w:val="00AD340D"/>
    <w:rsid w:val="00AD3443"/>
    <w:rsid w:val="00AD3E9B"/>
    <w:rsid w:val="00AD4B3C"/>
    <w:rsid w:val="00AD5A8D"/>
    <w:rsid w:val="00AD66C0"/>
    <w:rsid w:val="00AD68A5"/>
    <w:rsid w:val="00AE185D"/>
    <w:rsid w:val="00AE1BFE"/>
    <w:rsid w:val="00AE22F5"/>
    <w:rsid w:val="00AE3842"/>
    <w:rsid w:val="00AE3D83"/>
    <w:rsid w:val="00AE4374"/>
    <w:rsid w:val="00AE466A"/>
    <w:rsid w:val="00AE47E9"/>
    <w:rsid w:val="00AE485C"/>
    <w:rsid w:val="00AE7D4F"/>
    <w:rsid w:val="00AE7FE4"/>
    <w:rsid w:val="00AF0117"/>
    <w:rsid w:val="00AF17D3"/>
    <w:rsid w:val="00AF1D77"/>
    <w:rsid w:val="00AF1E50"/>
    <w:rsid w:val="00AF33DD"/>
    <w:rsid w:val="00AF38BA"/>
    <w:rsid w:val="00AF4F67"/>
    <w:rsid w:val="00AF5811"/>
    <w:rsid w:val="00AF6509"/>
    <w:rsid w:val="00B00282"/>
    <w:rsid w:val="00B00BBE"/>
    <w:rsid w:val="00B00E6C"/>
    <w:rsid w:val="00B0169B"/>
    <w:rsid w:val="00B0456E"/>
    <w:rsid w:val="00B06A05"/>
    <w:rsid w:val="00B06BF6"/>
    <w:rsid w:val="00B06F7F"/>
    <w:rsid w:val="00B100F0"/>
    <w:rsid w:val="00B1402E"/>
    <w:rsid w:val="00B142FD"/>
    <w:rsid w:val="00B14865"/>
    <w:rsid w:val="00B21D50"/>
    <w:rsid w:val="00B229BE"/>
    <w:rsid w:val="00B22F9B"/>
    <w:rsid w:val="00B23747"/>
    <w:rsid w:val="00B23E0A"/>
    <w:rsid w:val="00B24090"/>
    <w:rsid w:val="00B257E3"/>
    <w:rsid w:val="00B260C7"/>
    <w:rsid w:val="00B27494"/>
    <w:rsid w:val="00B279B9"/>
    <w:rsid w:val="00B27BFD"/>
    <w:rsid w:val="00B307CA"/>
    <w:rsid w:val="00B30FD0"/>
    <w:rsid w:val="00B313EB"/>
    <w:rsid w:val="00B34F48"/>
    <w:rsid w:val="00B45DF2"/>
    <w:rsid w:val="00B51BA0"/>
    <w:rsid w:val="00B535BD"/>
    <w:rsid w:val="00B53701"/>
    <w:rsid w:val="00B5509D"/>
    <w:rsid w:val="00B56A26"/>
    <w:rsid w:val="00B573E6"/>
    <w:rsid w:val="00B6110A"/>
    <w:rsid w:val="00B6176A"/>
    <w:rsid w:val="00B6301A"/>
    <w:rsid w:val="00B64799"/>
    <w:rsid w:val="00B64CAD"/>
    <w:rsid w:val="00B651FA"/>
    <w:rsid w:val="00B66751"/>
    <w:rsid w:val="00B66B7C"/>
    <w:rsid w:val="00B66CD7"/>
    <w:rsid w:val="00B67AA6"/>
    <w:rsid w:val="00B7066C"/>
    <w:rsid w:val="00B717D8"/>
    <w:rsid w:val="00B718E0"/>
    <w:rsid w:val="00B721D1"/>
    <w:rsid w:val="00B72DF3"/>
    <w:rsid w:val="00B74146"/>
    <w:rsid w:val="00B747A3"/>
    <w:rsid w:val="00B75A27"/>
    <w:rsid w:val="00B75E52"/>
    <w:rsid w:val="00B76F6C"/>
    <w:rsid w:val="00B8080B"/>
    <w:rsid w:val="00B811EF"/>
    <w:rsid w:val="00B81568"/>
    <w:rsid w:val="00B8310D"/>
    <w:rsid w:val="00B831B9"/>
    <w:rsid w:val="00B86EF1"/>
    <w:rsid w:val="00B90674"/>
    <w:rsid w:val="00B91FFF"/>
    <w:rsid w:val="00B934E3"/>
    <w:rsid w:val="00B94323"/>
    <w:rsid w:val="00B94444"/>
    <w:rsid w:val="00B9566B"/>
    <w:rsid w:val="00B95F92"/>
    <w:rsid w:val="00B961B7"/>
    <w:rsid w:val="00B963D4"/>
    <w:rsid w:val="00B9772B"/>
    <w:rsid w:val="00B97755"/>
    <w:rsid w:val="00BA2DEF"/>
    <w:rsid w:val="00BA35F2"/>
    <w:rsid w:val="00BA42FB"/>
    <w:rsid w:val="00BA4768"/>
    <w:rsid w:val="00BA4861"/>
    <w:rsid w:val="00BA4A92"/>
    <w:rsid w:val="00BA516F"/>
    <w:rsid w:val="00BA628C"/>
    <w:rsid w:val="00BA7059"/>
    <w:rsid w:val="00BB0051"/>
    <w:rsid w:val="00BB02C6"/>
    <w:rsid w:val="00BB1082"/>
    <w:rsid w:val="00BB2127"/>
    <w:rsid w:val="00BB3805"/>
    <w:rsid w:val="00BB4589"/>
    <w:rsid w:val="00BB52A5"/>
    <w:rsid w:val="00BB5893"/>
    <w:rsid w:val="00BB6740"/>
    <w:rsid w:val="00BB7EA1"/>
    <w:rsid w:val="00BB7F81"/>
    <w:rsid w:val="00BC269B"/>
    <w:rsid w:val="00BC27D2"/>
    <w:rsid w:val="00BC299D"/>
    <w:rsid w:val="00BC6D0F"/>
    <w:rsid w:val="00BD35E1"/>
    <w:rsid w:val="00BD3A56"/>
    <w:rsid w:val="00BD54FC"/>
    <w:rsid w:val="00BD63C3"/>
    <w:rsid w:val="00BD67CE"/>
    <w:rsid w:val="00BD76A4"/>
    <w:rsid w:val="00BE0186"/>
    <w:rsid w:val="00BE1264"/>
    <w:rsid w:val="00BE1C8A"/>
    <w:rsid w:val="00BE4857"/>
    <w:rsid w:val="00BE5847"/>
    <w:rsid w:val="00BE5BE0"/>
    <w:rsid w:val="00BE5D1D"/>
    <w:rsid w:val="00BE62B1"/>
    <w:rsid w:val="00BE697B"/>
    <w:rsid w:val="00BE70E8"/>
    <w:rsid w:val="00BF0E76"/>
    <w:rsid w:val="00BF19DC"/>
    <w:rsid w:val="00BF28FC"/>
    <w:rsid w:val="00BF2B3E"/>
    <w:rsid w:val="00BF2DAF"/>
    <w:rsid w:val="00BF4E1B"/>
    <w:rsid w:val="00BF5AB9"/>
    <w:rsid w:val="00C01083"/>
    <w:rsid w:val="00C0480F"/>
    <w:rsid w:val="00C04C9A"/>
    <w:rsid w:val="00C1043C"/>
    <w:rsid w:val="00C10D90"/>
    <w:rsid w:val="00C12A51"/>
    <w:rsid w:val="00C12C65"/>
    <w:rsid w:val="00C12CD1"/>
    <w:rsid w:val="00C15494"/>
    <w:rsid w:val="00C1591E"/>
    <w:rsid w:val="00C173EE"/>
    <w:rsid w:val="00C20D36"/>
    <w:rsid w:val="00C21038"/>
    <w:rsid w:val="00C2286B"/>
    <w:rsid w:val="00C2396B"/>
    <w:rsid w:val="00C26865"/>
    <w:rsid w:val="00C2785F"/>
    <w:rsid w:val="00C30BA6"/>
    <w:rsid w:val="00C31467"/>
    <w:rsid w:val="00C33F0C"/>
    <w:rsid w:val="00C34CCB"/>
    <w:rsid w:val="00C34D57"/>
    <w:rsid w:val="00C35515"/>
    <w:rsid w:val="00C35807"/>
    <w:rsid w:val="00C35A4B"/>
    <w:rsid w:val="00C36696"/>
    <w:rsid w:val="00C36720"/>
    <w:rsid w:val="00C36777"/>
    <w:rsid w:val="00C37518"/>
    <w:rsid w:val="00C37F00"/>
    <w:rsid w:val="00C421C9"/>
    <w:rsid w:val="00C42A3A"/>
    <w:rsid w:val="00C437C6"/>
    <w:rsid w:val="00C45083"/>
    <w:rsid w:val="00C4517F"/>
    <w:rsid w:val="00C45232"/>
    <w:rsid w:val="00C46E94"/>
    <w:rsid w:val="00C4713F"/>
    <w:rsid w:val="00C51509"/>
    <w:rsid w:val="00C52097"/>
    <w:rsid w:val="00C52BA5"/>
    <w:rsid w:val="00C52F47"/>
    <w:rsid w:val="00C53323"/>
    <w:rsid w:val="00C54D8C"/>
    <w:rsid w:val="00C57493"/>
    <w:rsid w:val="00C605E6"/>
    <w:rsid w:val="00C62B9F"/>
    <w:rsid w:val="00C64D07"/>
    <w:rsid w:val="00C66CEF"/>
    <w:rsid w:val="00C670FE"/>
    <w:rsid w:val="00C71087"/>
    <w:rsid w:val="00C71E3C"/>
    <w:rsid w:val="00C73C17"/>
    <w:rsid w:val="00C75492"/>
    <w:rsid w:val="00C77C78"/>
    <w:rsid w:val="00C8146C"/>
    <w:rsid w:val="00C8231E"/>
    <w:rsid w:val="00C846DD"/>
    <w:rsid w:val="00C85CA6"/>
    <w:rsid w:val="00C873DA"/>
    <w:rsid w:val="00C90A7F"/>
    <w:rsid w:val="00C9147E"/>
    <w:rsid w:val="00C925ED"/>
    <w:rsid w:val="00C9339F"/>
    <w:rsid w:val="00C93AD3"/>
    <w:rsid w:val="00C96618"/>
    <w:rsid w:val="00C96A10"/>
    <w:rsid w:val="00C9753B"/>
    <w:rsid w:val="00CA0C87"/>
    <w:rsid w:val="00CA19CD"/>
    <w:rsid w:val="00CA1A83"/>
    <w:rsid w:val="00CA1F28"/>
    <w:rsid w:val="00CA20F3"/>
    <w:rsid w:val="00CA2747"/>
    <w:rsid w:val="00CA4A62"/>
    <w:rsid w:val="00CA561E"/>
    <w:rsid w:val="00CA5B58"/>
    <w:rsid w:val="00CA659E"/>
    <w:rsid w:val="00CA6A39"/>
    <w:rsid w:val="00CA7DAD"/>
    <w:rsid w:val="00CB23DD"/>
    <w:rsid w:val="00CB2757"/>
    <w:rsid w:val="00CB2FE7"/>
    <w:rsid w:val="00CB3B57"/>
    <w:rsid w:val="00CB42AE"/>
    <w:rsid w:val="00CB5100"/>
    <w:rsid w:val="00CB6768"/>
    <w:rsid w:val="00CB768F"/>
    <w:rsid w:val="00CC0848"/>
    <w:rsid w:val="00CC17DB"/>
    <w:rsid w:val="00CC2F01"/>
    <w:rsid w:val="00CC586C"/>
    <w:rsid w:val="00CC5BB7"/>
    <w:rsid w:val="00CC6453"/>
    <w:rsid w:val="00CD2D8A"/>
    <w:rsid w:val="00CD31EA"/>
    <w:rsid w:val="00CD4B6F"/>
    <w:rsid w:val="00CD692F"/>
    <w:rsid w:val="00CE0392"/>
    <w:rsid w:val="00CE2303"/>
    <w:rsid w:val="00CE5481"/>
    <w:rsid w:val="00CE5866"/>
    <w:rsid w:val="00CF003F"/>
    <w:rsid w:val="00CF0045"/>
    <w:rsid w:val="00CF7194"/>
    <w:rsid w:val="00CF74AE"/>
    <w:rsid w:val="00CF7C90"/>
    <w:rsid w:val="00CF7EA0"/>
    <w:rsid w:val="00D00097"/>
    <w:rsid w:val="00D00600"/>
    <w:rsid w:val="00D00A29"/>
    <w:rsid w:val="00D02612"/>
    <w:rsid w:val="00D0329F"/>
    <w:rsid w:val="00D04372"/>
    <w:rsid w:val="00D047FA"/>
    <w:rsid w:val="00D04F9C"/>
    <w:rsid w:val="00D05DB1"/>
    <w:rsid w:val="00D06299"/>
    <w:rsid w:val="00D1045D"/>
    <w:rsid w:val="00D133AA"/>
    <w:rsid w:val="00D13B0B"/>
    <w:rsid w:val="00D13CCF"/>
    <w:rsid w:val="00D142F7"/>
    <w:rsid w:val="00D14CF7"/>
    <w:rsid w:val="00D1576E"/>
    <w:rsid w:val="00D15BBC"/>
    <w:rsid w:val="00D15E67"/>
    <w:rsid w:val="00D20ABB"/>
    <w:rsid w:val="00D24AEE"/>
    <w:rsid w:val="00D25315"/>
    <w:rsid w:val="00D26A33"/>
    <w:rsid w:val="00D3073E"/>
    <w:rsid w:val="00D31676"/>
    <w:rsid w:val="00D316C8"/>
    <w:rsid w:val="00D320A3"/>
    <w:rsid w:val="00D337D5"/>
    <w:rsid w:val="00D33FB9"/>
    <w:rsid w:val="00D34817"/>
    <w:rsid w:val="00D365BB"/>
    <w:rsid w:val="00D3795A"/>
    <w:rsid w:val="00D37AB5"/>
    <w:rsid w:val="00D40C74"/>
    <w:rsid w:val="00D43282"/>
    <w:rsid w:val="00D43EA4"/>
    <w:rsid w:val="00D44508"/>
    <w:rsid w:val="00D47810"/>
    <w:rsid w:val="00D5128E"/>
    <w:rsid w:val="00D516CD"/>
    <w:rsid w:val="00D52FD0"/>
    <w:rsid w:val="00D54385"/>
    <w:rsid w:val="00D57135"/>
    <w:rsid w:val="00D606D9"/>
    <w:rsid w:val="00D6259C"/>
    <w:rsid w:val="00D63B91"/>
    <w:rsid w:val="00D64A4A"/>
    <w:rsid w:val="00D6679C"/>
    <w:rsid w:val="00D7256F"/>
    <w:rsid w:val="00D72F5D"/>
    <w:rsid w:val="00D7370C"/>
    <w:rsid w:val="00D73EE6"/>
    <w:rsid w:val="00D742D2"/>
    <w:rsid w:val="00D744DC"/>
    <w:rsid w:val="00D74556"/>
    <w:rsid w:val="00D75CF7"/>
    <w:rsid w:val="00D75F59"/>
    <w:rsid w:val="00D776C3"/>
    <w:rsid w:val="00D80153"/>
    <w:rsid w:val="00D814BC"/>
    <w:rsid w:val="00D81AC7"/>
    <w:rsid w:val="00D83E45"/>
    <w:rsid w:val="00D842CD"/>
    <w:rsid w:val="00D8495C"/>
    <w:rsid w:val="00D86737"/>
    <w:rsid w:val="00D8696A"/>
    <w:rsid w:val="00D90419"/>
    <w:rsid w:val="00D90551"/>
    <w:rsid w:val="00D90F5A"/>
    <w:rsid w:val="00D9153B"/>
    <w:rsid w:val="00D9160A"/>
    <w:rsid w:val="00D95903"/>
    <w:rsid w:val="00D95D78"/>
    <w:rsid w:val="00DA0810"/>
    <w:rsid w:val="00DA3FCE"/>
    <w:rsid w:val="00DA4B42"/>
    <w:rsid w:val="00DB2BE7"/>
    <w:rsid w:val="00DB4203"/>
    <w:rsid w:val="00DB6B88"/>
    <w:rsid w:val="00DB7CA1"/>
    <w:rsid w:val="00DC094F"/>
    <w:rsid w:val="00DC24B5"/>
    <w:rsid w:val="00DC25DA"/>
    <w:rsid w:val="00DC4325"/>
    <w:rsid w:val="00DC4915"/>
    <w:rsid w:val="00DC4C59"/>
    <w:rsid w:val="00DC5149"/>
    <w:rsid w:val="00DC5B77"/>
    <w:rsid w:val="00DC68E1"/>
    <w:rsid w:val="00DC7FCE"/>
    <w:rsid w:val="00DD0452"/>
    <w:rsid w:val="00DD1B88"/>
    <w:rsid w:val="00DD334C"/>
    <w:rsid w:val="00DD3C08"/>
    <w:rsid w:val="00DD4955"/>
    <w:rsid w:val="00DE0476"/>
    <w:rsid w:val="00DE1B2F"/>
    <w:rsid w:val="00DE1C5A"/>
    <w:rsid w:val="00DE2AAC"/>
    <w:rsid w:val="00DE5E04"/>
    <w:rsid w:val="00DE6634"/>
    <w:rsid w:val="00DF1125"/>
    <w:rsid w:val="00DF22E5"/>
    <w:rsid w:val="00DF27AC"/>
    <w:rsid w:val="00DF28E7"/>
    <w:rsid w:val="00DF2FD1"/>
    <w:rsid w:val="00DF399A"/>
    <w:rsid w:val="00DF447B"/>
    <w:rsid w:val="00DF4DCA"/>
    <w:rsid w:val="00DF6280"/>
    <w:rsid w:val="00DF7B14"/>
    <w:rsid w:val="00DF7B16"/>
    <w:rsid w:val="00E00009"/>
    <w:rsid w:val="00E01EF4"/>
    <w:rsid w:val="00E02CF2"/>
    <w:rsid w:val="00E04947"/>
    <w:rsid w:val="00E069F7"/>
    <w:rsid w:val="00E06C35"/>
    <w:rsid w:val="00E0710D"/>
    <w:rsid w:val="00E07F71"/>
    <w:rsid w:val="00E101C6"/>
    <w:rsid w:val="00E114D8"/>
    <w:rsid w:val="00E1256E"/>
    <w:rsid w:val="00E1347F"/>
    <w:rsid w:val="00E14B41"/>
    <w:rsid w:val="00E1621B"/>
    <w:rsid w:val="00E21114"/>
    <w:rsid w:val="00E22B84"/>
    <w:rsid w:val="00E25E8A"/>
    <w:rsid w:val="00E26045"/>
    <w:rsid w:val="00E26BDB"/>
    <w:rsid w:val="00E27304"/>
    <w:rsid w:val="00E304D5"/>
    <w:rsid w:val="00E33084"/>
    <w:rsid w:val="00E337F5"/>
    <w:rsid w:val="00E339E4"/>
    <w:rsid w:val="00E34EBC"/>
    <w:rsid w:val="00E3529F"/>
    <w:rsid w:val="00E352D0"/>
    <w:rsid w:val="00E37211"/>
    <w:rsid w:val="00E37848"/>
    <w:rsid w:val="00E4034D"/>
    <w:rsid w:val="00E404B3"/>
    <w:rsid w:val="00E41EE7"/>
    <w:rsid w:val="00E42084"/>
    <w:rsid w:val="00E44854"/>
    <w:rsid w:val="00E4540D"/>
    <w:rsid w:val="00E50B82"/>
    <w:rsid w:val="00E51630"/>
    <w:rsid w:val="00E552CC"/>
    <w:rsid w:val="00E55808"/>
    <w:rsid w:val="00E559EA"/>
    <w:rsid w:val="00E5696D"/>
    <w:rsid w:val="00E56E45"/>
    <w:rsid w:val="00E6161C"/>
    <w:rsid w:val="00E62DEC"/>
    <w:rsid w:val="00E63233"/>
    <w:rsid w:val="00E63AD1"/>
    <w:rsid w:val="00E63FE6"/>
    <w:rsid w:val="00E65960"/>
    <w:rsid w:val="00E65F8A"/>
    <w:rsid w:val="00E66ECB"/>
    <w:rsid w:val="00E67486"/>
    <w:rsid w:val="00E727CE"/>
    <w:rsid w:val="00E73D84"/>
    <w:rsid w:val="00E749E1"/>
    <w:rsid w:val="00E8007A"/>
    <w:rsid w:val="00E80578"/>
    <w:rsid w:val="00E80B43"/>
    <w:rsid w:val="00E833CB"/>
    <w:rsid w:val="00E83995"/>
    <w:rsid w:val="00E83CBA"/>
    <w:rsid w:val="00E83D2E"/>
    <w:rsid w:val="00E83FB2"/>
    <w:rsid w:val="00E844D4"/>
    <w:rsid w:val="00E90615"/>
    <w:rsid w:val="00E917DE"/>
    <w:rsid w:val="00E91FE0"/>
    <w:rsid w:val="00E92CD1"/>
    <w:rsid w:val="00E94AFD"/>
    <w:rsid w:val="00E95AC2"/>
    <w:rsid w:val="00E97167"/>
    <w:rsid w:val="00E97787"/>
    <w:rsid w:val="00E97DBB"/>
    <w:rsid w:val="00EA0169"/>
    <w:rsid w:val="00EA093A"/>
    <w:rsid w:val="00EA3781"/>
    <w:rsid w:val="00EA5023"/>
    <w:rsid w:val="00EA7061"/>
    <w:rsid w:val="00EA7C5B"/>
    <w:rsid w:val="00EB13FE"/>
    <w:rsid w:val="00EB254B"/>
    <w:rsid w:val="00EB39F1"/>
    <w:rsid w:val="00EB460F"/>
    <w:rsid w:val="00EB472E"/>
    <w:rsid w:val="00EB5434"/>
    <w:rsid w:val="00EB5D6C"/>
    <w:rsid w:val="00EB6A9B"/>
    <w:rsid w:val="00EB76D6"/>
    <w:rsid w:val="00EC0178"/>
    <w:rsid w:val="00EC049F"/>
    <w:rsid w:val="00EC11E3"/>
    <w:rsid w:val="00ED024E"/>
    <w:rsid w:val="00ED194C"/>
    <w:rsid w:val="00ED2C26"/>
    <w:rsid w:val="00ED3898"/>
    <w:rsid w:val="00ED38BF"/>
    <w:rsid w:val="00ED5DB2"/>
    <w:rsid w:val="00ED5EC2"/>
    <w:rsid w:val="00ED5FDA"/>
    <w:rsid w:val="00EE0151"/>
    <w:rsid w:val="00EE0DF2"/>
    <w:rsid w:val="00EE1124"/>
    <w:rsid w:val="00EE21DD"/>
    <w:rsid w:val="00EE56DF"/>
    <w:rsid w:val="00EE587F"/>
    <w:rsid w:val="00EE5ED7"/>
    <w:rsid w:val="00EE64CC"/>
    <w:rsid w:val="00EE6D6B"/>
    <w:rsid w:val="00EF1A24"/>
    <w:rsid w:val="00EF1BF1"/>
    <w:rsid w:val="00EF5716"/>
    <w:rsid w:val="00EF71E1"/>
    <w:rsid w:val="00F003B9"/>
    <w:rsid w:val="00F01BD5"/>
    <w:rsid w:val="00F024E3"/>
    <w:rsid w:val="00F0264E"/>
    <w:rsid w:val="00F02815"/>
    <w:rsid w:val="00F041B2"/>
    <w:rsid w:val="00F0505F"/>
    <w:rsid w:val="00F05EAF"/>
    <w:rsid w:val="00F06D7C"/>
    <w:rsid w:val="00F1049D"/>
    <w:rsid w:val="00F119F0"/>
    <w:rsid w:val="00F13B6B"/>
    <w:rsid w:val="00F147FD"/>
    <w:rsid w:val="00F15FC1"/>
    <w:rsid w:val="00F166CE"/>
    <w:rsid w:val="00F17762"/>
    <w:rsid w:val="00F23C5A"/>
    <w:rsid w:val="00F23E91"/>
    <w:rsid w:val="00F261BC"/>
    <w:rsid w:val="00F277D4"/>
    <w:rsid w:val="00F30A70"/>
    <w:rsid w:val="00F31104"/>
    <w:rsid w:val="00F33E65"/>
    <w:rsid w:val="00F34E93"/>
    <w:rsid w:val="00F40EBE"/>
    <w:rsid w:val="00F43F5A"/>
    <w:rsid w:val="00F44511"/>
    <w:rsid w:val="00F4474B"/>
    <w:rsid w:val="00F5097D"/>
    <w:rsid w:val="00F513E5"/>
    <w:rsid w:val="00F5219B"/>
    <w:rsid w:val="00F527A6"/>
    <w:rsid w:val="00F53138"/>
    <w:rsid w:val="00F534C0"/>
    <w:rsid w:val="00F54930"/>
    <w:rsid w:val="00F5523B"/>
    <w:rsid w:val="00F623B6"/>
    <w:rsid w:val="00F6280F"/>
    <w:rsid w:val="00F62819"/>
    <w:rsid w:val="00F6394B"/>
    <w:rsid w:val="00F6653B"/>
    <w:rsid w:val="00F708D9"/>
    <w:rsid w:val="00F720FB"/>
    <w:rsid w:val="00F721C2"/>
    <w:rsid w:val="00F80602"/>
    <w:rsid w:val="00F81376"/>
    <w:rsid w:val="00F814DF"/>
    <w:rsid w:val="00F81E48"/>
    <w:rsid w:val="00F84C20"/>
    <w:rsid w:val="00F85CB4"/>
    <w:rsid w:val="00F87614"/>
    <w:rsid w:val="00F87C37"/>
    <w:rsid w:val="00F92112"/>
    <w:rsid w:val="00F9230A"/>
    <w:rsid w:val="00F92366"/>
    <w:rsid w:val="00F92753"/>
    <w:rsid w:val="00F9598E"/>
    <w:rsid w:val="00F96B32"/>
    <w:rsid w:val="00F9735A"/>
    <w:rsid w:val="00FA42F4"/>
    <w:rsid w:val="00FA6502"/>
    <w:rsid w:val="00FA7B72"/>
    <w:rsid w:val="00FB0730"/>
    <w:rsid w:val="00FB0BC1"/>
    <w:rsid w:val="00FB14A0"/>
    <w:rsid w:val="00FB34A3"/>
    <w:rsid w:val="00FB4E4A"/>
    <w:rsid w:val="00FB566A"/>
    <w:rsid w:val="00FB59BF"/>
    <w:rsid w:val="00FB6D3A"/>
    <w:rsid w:val="00FB760E"/>
    <w:rsid w:val="00FB7924"/>
    <w:rsid w:val="00FB7F35"/>
    <w:rsid w:val="00FC0474"/>
    <w:rsid w:val="00FC11D6"/>
    <w:rsid w:val="00FC48DD"/>
    <w:rsid w:val="00FC569E"/>
    <w:rsid w:val="00FC67C9"/>
    <w:rsid w:val="00FC67E5"/>
    <w:rsid w:val="00FC6BFF"/>
    <w:rsid w:val="00FC7B5F"/>
    <w:rsid w:val="00FD04EB"/>
    <w:rsid w:val="00FD1036"/>
    <w:rsid w:val="00FD1062"/>
    <w:rsid w:val="00FD131D"/>
    <w:rsid w:val="00FD3049"/>
    <w:rsid w:val="00FD5177"/>
    <w:rsid w:val="00FD5398"/>
    <w:rsid w:val="00FD79EB"/>
    <w:rsid w:val="00FE35E1"/>
    <w:rsid w:val="00FE37F3"/>
    <w:rsid w:val="00FE3AFC"/>
    <w:rsid w:val="00FE6D86"/>
    <w:rsid w:val="00FE7FB0"/>
    <w:rsid w:val="00FF0DA7"/>
    <w:rsid w:val="00FF3276"/>
    <w:rsid w:val="00FF4397"/>
    <w:rsid w:val="00FF5B26"/>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440D39D"/>
  <w15:docId w15:val="{556CB5F8-0802-465B-8588-544A685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semiHidden/>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semiHidden/>
    <w:rsid w:val="00D6679C"/>
    <w:rPr>
      <w:rFonts w:ascii="Courier" w:hAnsi="Courier"/>
      <w:lang w:val="en-US" w:eastAsia="en-US"/>
    </w:rPr>
  </w:style>
  <w:style w:type="character" w:customStyle="1" w:styleId="ListParagraphChar">
    <w:name w:val="List Paragraph Char"/>
    <w:aliases w:val="List Paragraph (numbered (a)) Char"/>
    <w:link w:val="ListParagraph"/>
    <w:uiPriority w:val="34"/>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styleId="UnresolvedMention">
    <w:name w:val="Unresolved Mention"/>
    <w:basedOn w:val="DefaultParagraphFont"/>
    <w:uiPriority w:val="99"/>
    <w:semiHidden/>
    <w:unhideWhenUsed/>
    <w:rsid w:val="00523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2.xml><?xml version="1.0" encoding="utf-8"?>
<ds:datastoreItem xmlns:ds="http://schemas.openxmlformats.org/officeDocument/2006/customXml" ds:itemID="{A163C48D-7F62-4D2D-8219-0D81AFFED2D0}">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33856b32-dbbd-4996-9e5d-776de7c2e4f8"/>
    <ds:schemaRef ds:uri="a8946dc4-2e98-472c-b2e6-ca9019b8dfda"/>
    <ds:schemaRef ds:uri="http://www.w3.org/XML/1998/namespace"/>
    <ds:schemaRef ds:uri="http://purl.org/dc/dcmitype/"/>
  </ds:schemaRefs>
</ds:datastoreItem>
</file>

<file path=customXml/itemProps3.xml><?xml version="1.0" encoding="utf-8"?>
<ds:datastoreItem xmlns:ds="http://schemas.openxmlformats.org/officeDocument/2006/customXml" ds:itemID="{8768BB2B-9894-471F-B4FA-398C7D7B4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519576-D81B-46BD-9EBB-9ABA15004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1746</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13217</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3</cp:revision>
  <cp:lastPrinted>2014-09-16T19:01:00Z</cp:lastPrinted>
  <dcterms:created xsi:type="dcterms:W3CDTF">2020-06-09T18:17:00Z</dcterms:created>
  <dcterms:modified xsi:type="dcterms:W3CDTF">2020-06-09T18:21:00Z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_dlc_DocIdItemGuid">
    <vt:lpwstr>c0ba78cd-e6a3-437b-b178-78f88c960d33</vt:lpwstr>
  </property>
  <property fmtid="{D5CDD505-2E9C-101B-9397-08002B2CF9AE}" pid="4" name="_NewReviewCycle">
    <vt:lpwstr/>
  </property>
  <property fmtid="{D5CDD505-2E9C-101B-9397-08002B2CF9AE}" pid="5" name="_AdHocReviewCycleID">
    <vt:i4>1562539857</vt:i4>
  </property>
  <property fmtid="{D5CDD505-2E9C-101B-9397-08002B2CF9AE}" pid="6" name="_EmailSubject">
    <vt:lpwstr>CPD Serbia and Kosovo* RRF - MFA request </vt:lpwstr>
  </property>
  <property fmtid="{D5CDD505-2E9C-101B-9397-08002B2CF9AE}" pid="7" name="_AuthorEmail">
    <vt:lpwstr>ekaterina.paniklova@undp.org</vt:lpwstr>
  </property>
  <property fmtid="{D5CDD505-2E9C-101B-9397-08002B2CF9AE}" pid="8" name="_AuthorEmailDisplayName">
    <vt:lpwstr>Ekaterina Paniklova</vt:lpwstr>
  </property>
  <property fmtid="{D5CDD505-2E9C-101B-9397-08002B2CF9AE}" pid="9" name="_ReviewingToolsShownOnce">
    <vt:lpwstr/>
  </property>
</Properties>
</file>