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517955" w:rsidRDefault="005C6168" w:rsidP="0095613F">
      <w:pPr>
        <w:pStyle w:val="Heading3"/>
        <w:shd w:val="clear" w:color="auto" w:fill="C6D9F1"/>
        <w:jc w:val="left"/>
        <w:rPr>
          <w:rFonts w:ascii="Calibri" w:hAnsi="Calibri"/>
        </w:rPr>
      </w:pPr>
      <w:r w:rsidRPr="00517955">
        <w:rPr>
          <w:rFonts w:ascii="Calibri" w:hAnsi="Calibri"/>
        </w:rPr>
        <w:t>Country:</w:t>
      </w:r>
      <w:r w:rsidR="00363725">
        <w:rPr>
          <w:rFonts w:ascii="Calibri" w:hAnsi="Calibri"/>
        </w:rPr>
        <w:t xml:space="preserve"> </w:t>
      </w:r>
      <w:r w:rsidR="00276AAA" w:rsidRPr="00276AAA">
        <w:rPr>
          <w:rFonts w:ascii="Calibri" w:hAnsi="Calibri"/>
          <w:b/>
        </w:rPr>
        <w:t>SWAZILAND</w:t>
      </w:r>
    </w:p>
    <w:p w:rsidR="005C6168" w:rsidRPr="00517955" w:rsidRDefault="005C6168" w:rsidP="0095613F">
      <w:pPr>
        <w:pStyle w:val="Heading3"/>
        <w:shd w:val="clear" w:color="auto" w:fill="C6D9F1"/>
        <w:rPr>
          <w:rFonts w:ascii="Calibri" w:hAnsi="Calibri"/>
        </w:rPr>
      </w:pPr>
    </w:p>
    <w:p w:rsidR="005C6168" w:rsidRPr="00517955" w:rsidRDefault="00BC38E0" w:rsidP="0095613F">
      <w:pPr>
        <w:pStyle w:val="Heading3"/>
        <w:shd w:val="clear" w:color="auto" w:fill="C6D9F1"/>
        <w:rPr>
          <w:rFonts w:ascii="Calibri" w:hAnsi="Calibri"/>
          <w:b/>
          <w:bCs w:val="0"/>
        </w:rPr>
      </w:pPr>
      <w:r w:rsidRPr="00517955">
        <w:rPr>
          <w:rFonts w:ascii="Calibri" w:hAnsi="Calibri"/>
          <w:b/>
          <w:bCs w:val="0"/>
        </w:rPr>
        <w:t>COUNTRY PROGRAMME</w:t>
      </w:r>
      <w:r w:rsidR="00B32ADA">
        <w:rPr>
          <w:rFonts w:ascii="Calibri" w:hAnsi="Calibri"/>
          <w:b/>
          <w:bCs w:val="0"/>
        </w:rPr>
        <w:t xml:space="preserve"> PERFORMANCE SUMMARY</w:t>
      </w:r>
    </w:p>
    <w:p w:rsidR="005C6168" w:rsidRPr="00517955" w:rsidRDefault="005C6168" w:rsidP="0095613F">
      <w:pPr>
        <w:pStyle w:val="Heading3"/>
        <w:shd w:val="clear" w:color="auto" w:fill="C6D9F1"/>
        <w:rPr>
          <w:rFonts w:ascii="Calibri" w:hAnsi="Calibri"/>
          <w:b/>
        </w:rPr>
      </w:pPr>
    </w:p>
    <w:p w:rsidR="005C6168" w:rsidRPr="00517955" w:rsidRDefault="00363725" w:rsidP="0095613F">
      <w:pPr>
        <w:pStyle w:val="Heading3"/>
        <w:shd w:val="clear" w:color="auto" w:fill="C6D9F1"/>
        <w:jc w:val="left"/>
        <w:rPr>
          <w:rFonts w:ascii="Calibri" w:hAnsi="Calibri"/>
        </w:rPr>
      </w:pPr>
      <w:r>
        <w:rPr>
          <w:rFonts w:ascii="Calibri" w:hAnsi="Calibri"/>
        </w:rPr>
        <w:t>Reporting period: 2011-2015</w:t>
      </w:r>
    </w:p>
    <w:p w:rsidR="005C6168" w:rsidRPr="00517955" w:rsidRDefault="005C6168" w:rsidP="0095613F">
      <w:pPr>
        <w:pStyle w:val="Heading3"/>
        <w:shd w:val="clear" w:color="auto" w:fill="C6D9F1"/>
        <w:rPr>
          <w:rFonts w:ascii="Calibri" w:hAnsi="Calibri"/>
        </w:rPr>
      </w:pPr>
    </w:p>
    <w:p w:rsidR="005C6168" w:rsidRPr="00517955" w:rsidRDefault="005C6168">
      <w:pPr>
        <w:rPr>
          <w:rFonts w:ascii="Calibri" w:hAnsi="Calibri"/>
        </w:rPr>
      </w:pPr>
    </w:p>
    <w:p w:rsidR="005C6168" w:rsidRPr="00517955" w:rsidRDefault="005C6168" w:rsidP="0095613F">
      <w:pPr>
        <w:pStyle w:val="Heading3"/>
        <w:shd w:val="clear" w:color="auto" w:fill="FDE9D9"/>
        <w:rPr>
          <w:rFonts w:ascii="Calibri" w:hAnsi="Calibri"/>
          <w:b/>
          <w:bCs w:val="0"/>
        </w:rPr>
      </w:pPr>
      <w:r w:rsidRPr="00517955">
        <w:rPr>
          <w:rFonts w:ascii="Calibri" w:hAnsi="Calibri"/>
          <w:b/>
          <w:bCs w:val="0"/>
        </w:rPr>
        <w:t xml:space="preserve">I.  </w:t>
      </w:r>
      <w:r w:rsidR="0064746F">
        <w:rPr>
          <w:rFonts w:ascii="Calibri" w:hAnsi="Calibri"/>
          <w:b/>
          <w:bCs w:val="0"/>
        </w:rPr>
        <w:t>EXECUTIVE SUMMARY</w:t>
      </w:r>
      <w:r w:rsidR="00760E32" w:rsidRPr="00517955">
        <w:rPr>
          <w:rFonts w:ascii="Calibri" w:hAnsi="Calibri"/>
          <w:b/>
          <w:bCs w:val="0"/>
        </w:rPr>
        <w:t xml:space="preserve"> </w:t>
      </w:r>
    </w:p>
    <w:p w:rsidR="00037608" w:rsidRDefault="00037608" w:rsidP="00037608">
      <w:pPr>
        <w:pStyle w:val="BodyText2"/>
        <w:ind w:left="360"/>
        <w:jc w:val="both"/>
        <w:rPr>
          <w:rFonts w:ascii="Calibri" w:hAnsi="Calibri"/>
        </w:rPr>
      </w:pPr>
    </w:p>
    <w:p w:rsidR="006848D9" w:rsidRDefault="000E2147" w:rsidP="006848D9">
      <w:pPr>
        <w:pStyle w:val="BodyText2"/>
        <w:numPr>
          <w:ilvl w:val="0"/>
          <w:numId w:val="33"/>
        </w:numPr>
        <w:jc w:val="both"/>
        <w:rPr>
          <w:rFonts w:ascii="Calibri" w:hAnsi="Calibri"/>
        </w:rPr>
      </w:pPr>
      <w:r>
        <w:rPr>
          <w:rFonts w:ascii="Calibri" w:hAnsi="Calibri"/>
        </w:rPr>
        <w:t>Independent assessments</w:t>
      </w:r>
      <w:r>
        <w:rPr>
          <w:rStyle w:val="FootnoteReference"/>
          <w:rFonts w:ascii="Calibri" w:hAnsi="Calibri"/>
        </w:rPr>
        <w:footnoteReference w:id="1"/>
      </w:r>
      <w:r>
        <w:rPr>
          <w:rFonts w:ascii="Calibri" w:hAnsi="Calibri"/>
        </w:rPr>
        <w:t xml:space="preserve"> of UNDP’s support to development results in Swaziland </w:t>
      </w:r>
      <w:r w:rsidR="00FD1069">
        <w:rPr>
          <w:rFonts w:ascii="Calibri" w:hAnsi="Calibri"/>
        </w:rPr>
        <w:t>(</w:t>
      </w:r>
      <w:r>
        <w:rPr>
          <w:rFonts w:ascii="Calibri" w:hAnsi="Calibri"/>
        </w:rPr>
        <w:t>2011-2015</w:t>
      </w:r>
      <w:r w:rsidR="00FD1069">
        <w:rPr>
          <w:rFonts w:ascii="Calibri" w:hAnsi="Calibri"/>
        </w:rPr>
        <w:t>)</w:t>
      </w:r>
      <w:r>
        <w:rPr>
          <w:rFonts w:ascii="Calibri" w:hAnsi="Calibri"/>
        </w:rPr>
        <w:t xml:space="preserve"> attest to </w:t>
      </w:r>
      <w:proofErr w:type="gramStart"/>
      <w:r>
        <w:rPr>
          <w:rFonts w:ascii="Calibri" w:hAnsi="Calibri"/>
        </w:rPr>
        <w:t>significant</w:t>
      </w:r>
      <w:proofErr w:type="gramEnd"/>
      <w:r>
        <w:rPr>
          <w:rFonts w:ascii="Calibri" w:hAnsi="Calibri"/>
        </w:rPr>
        <w:t xml:space="preserve"> progress </w:t>
      </w:r>
      <w:r w:rsidR="00A52DD7">
        <w:rPr>
          <w:rFonts w:ascii="Calibri" w:hAnsi="Calibri"/>
        </w:rPr>
        <w:t>but</w:t>
      </w:r>
      <w:r>
        <w:rPr>
          <w:rFonts w:ascii="Calibri" w:hAnsi="Calibri"/>
        </w:rPr>
        <w:t xml:space="preserve"> also </w:t>
      </w:r>
      <w:r w:rsidR="00A52DD7">
        <w:rPr>
          <w:rFonts w:ascii="Calibri" w:hAnsi="Calibri"/>
        </w:rPr>
        <w:t>captivate</w:t>
      </w:r>
      <w:r>
        <w:rPr>
          <w:rFonts w:ascii="Calibri" w:hAnsi="Calibri"/>
        </w:rPr>
        <w:t xml:space="preserve"> critical lessons moving forward in all the f</w:t>
      </w:r>
      <w:r w:rsidR="00FD1069">
        <w:rPr>
          <w:rFonts w:ascii="Calibri" w:hAnsi="Calibri"/>
        </w:rPr>
        <w:t>ive</w:t>
      </w:r>
      <w:r>
        <w:rPr>
          <w:rFonts w:ascii="Calibri" w:hAnsi="Calibri"/>
        </w:rPr>
        <w:t xml:space="preserve"> outcome areas</w:t>
      </w:r>
      <w:r w:rsidR="00A52DD7">
        <w:rPr>
          <w:rStyle w:val="FootnoteReference"/>
          <w:rFonts w:ascii="Calibri" w:hAnsi="Calibri"/>
        </w:rPr>
        <w:footnoteReference w:id="2"/>
      </w:r>
      <w:r w:rsidR="00A52DD7">
        <w:rPr>
          <w:rFonts w:ascii="Calibri" w:hAnsi="Calibri"/>
          <w:i/>
        </w:rPr>
        <w:t>.</w:t>
      </w:r>
      <w:r>
        <w:rPr>
          <w:rFonts w:ascii="Calibri" w:hAnsi="Calibri"/>
        </w:rPr>
        <w:t xml:space="preserve"> </w:t>
      </w:r>
      <w:r w:rsidR="006848D9">
        <w:rPr>
          <w:rStyle w:val="FootnoteReference"/>
          <w:rFonts w:ascii="Calibri" w:hAnsi="Calibri"/>
        </w:rPr>
        <w:footnoteReference w:id="3"/>
      </w:r>
      <w:r w:rsidR="006848D9">
        <w:rPr>
          <w:rFonts w:ascii="Calibri" w:hAnsi="Calibri"/>
          <w:i/>
        </w:rPr>
        <w:t>.</w:t>
      </w:r>
      <w:r w:rsidR="006848D9">
        <w:rPr>
          <w:rFonts w:ascii="Calibri" w:hAnsi="Calibri"/>
        </w:rPr>
        <w:t xml:space="preserve">   The nature of support given to the Government of Swaziland was a mix of upstream and downstream interventions for the duration of the CPAP period.  On upstream a number of policy documents and development frameworks were developed to enhance attainment of the country’s vision and UNDAF outcomes.   These are not limited to </w:t>
      </w:r>
      <w:r w:rsidR="006848D9">
        <w:t xml:space="preserve">NHDI; MAF; Revised NDS; M&amp;E Framework; T21 and 2012 MDG report.    </w:t>
      </w:r>
    </w:p>
    <w:p w:rsidR="006848D9" w:rsidRDefault="006848D9" w:rsidP="00621050">
      <w:pPr>
        <w:pStyle w:val="BodyText2"/>
        <w:ind w:left="360"/>
        <w:jc w:val="both"/>
        <w:rPr>
          <w:rFonts w:ascii="Calibri" w:hAnsi="Calibri"/>
        </w:rPr>
      </w:pPr>
    </w:p>
    <w:p w:rsidR="003F2312" w:rsidRPr="00C10319" w:rsidRDefault="000E2147" w:rsidP="003D6B85">
      <w:pPr>
        <w:pStyle w:val="BodyText2"/>
        <w:numPr>
          <w:ilvl w:val="0"/>
          <w:numId w:val="33"/>
        </w:numPr>
        <w:jc w:val="both"/>
        <w:rPr>
          <w:rFonts w:ascii="Calibri" w:hAnsi="Calibri"/>
        </w:rPr>
      </w:pPr>
      <w:r>
        <w:rPr>
          <w:rFonts w:ascii="Calibri" w:hAnsi="Calibri"/>
        </w:rPr>
        <w:t xml:space="preserve"> </w:t>
      </w:r>
      <w:r w:rsidR="00D005EA" w:rsidRPr="00C10319">
        <w:rPr>
          <w:rFonts w:ascii="Calibri" w:hAnsi="Calibri"/>
        </w:rPr>
        <w:t xml:space="preserve">In increasing access to investment capital, UNDP has supported Swaziland Economic Empowerment Trust (SWEET) towards the establishment of a Micro-Credit facility which fosters saving culture with special emphasis on rural and women in informal sector. UNDP supported a feasibility study to access the potential of establishing a women bank and registration of SWEET </w:t>
      </w:r>
      <w:r w:rsidR="0013400B" w:rsidRPr="00C10319">
        <w:rPr>
          <w:rFonts w:ascii="Calibri" w:hAnsi="Calibri"/>
        </w:rPr>
        <w:t>as a legal entity</w:t>
      </w:r>
      <w:r w:rsidR="0013400B">
        <w:rPr>
          <w:rFonts w:ascii="Calibri" w:hAnsi="Calibri"/>
        </w:rPr>
        <w:t xml:space="preserve">, its membership and facilitated its capital </w:t>
      </w:r>
      <w:r w:rsidR="000C4977">
        <w:rPr>
          <w:rFonts w:ascii="Calibri" w:hAnsi="Calibri"/>
        </w:rPr>
        <w:t>accumulation</w:t>
      </w:r>
      <w:r w:rsidR="000C4977" w:rsidRPr="00C10319">
        <w:rPr>
          <w:rFonts w:ascii="Calibri" w:hAnsi="Calibri"/>
        </w:rPr>
        <w:t xml:space="preserve">. </w:t>
      </w:r>
      <w:r w:rsidR="004519B5">
        <w:rPr>
          <w:rFonts w:ascii="Calibri" w:hAnsi="Calibri"/>
        </w:rPr>
        <w:t xml:space="preserve">By </w:t>
      </w:r>
      <w:r w:rsidR="00D005EA" w:rsidRPr="00C10319">
        <w:rPr>
          <w:rFonts w:ascii="Calibri" w:hAnsi="Calibri"/>
        </w:rPr>
        <w:t xml:space="preserve">2014 SWEET records showed an increase of membership from 1,254 in 2012 to 15,000 and </w:t>
      </w:r>
      <w:r w:rsidR="004519B5" w:rsidRPr="00C10319">
        <w:rPr>
          <w:rFonts w:ascii="Calibri" w:hAnsi="Calibri"/>
        </w:rPr>
        <w:t>expand</w:t>
      </w:r>
      <w:r w:rsidR="004519B5">
        <w:rPr>
          <w:rFonts w:ascii="Calibri" w:hAnsi="Calibri"/>
        </w:rPr>
        <w:t xml:space="preserve">ed </w:t>
      </w:r>
      <w:r w:rsidR="004519B5" w:rsidRPr="00C10319">
        <w:rPr>
          <w:rFonts w:ascii="Calibri" w:hAnsi="Calibri"/>
        </w:rPr>
        <w:t>its</w:t>
      </w:r>
      <w:r w:rsidR="00D005EA" w:rsidRPr="00C10319">
        <w:rPr>
          <w:rFonts w:ascii="Calibri" w:hAnsi="Calibri"/>
        </w:rPr>
        <w:t xml:space="preserve"> capital base from US$28,000 in 2012 to US$395,000</w:t>
      </w:r>
      <w:r w:rsidR="004519B5">
        <w:rPr>
          <w:rStyle w:val="FootnoteReference"/>
          <w:rFonts w:ascii="Calibri" w:hAnsi="Calibri"/>
        </w:rPr>
        <w:footnoteReference w:id="4"/>
      </w:r>
      <w:r w:rsidR="004519B5">
        <w:rPr>
          <w:rFonts w:ascii="Calibri" w:hAnsi="Calibri"/>
        </w:rPr>
        <w:t>. The</w:t>
      </w:r>
      <w:r w:rsidR="00D005EA" w:rsidRPr="00C10319">
        <w:rPr>
          <w:rFonts w:ascii="Calibri" w:hAnsi="Calibri"/>
        </w:rPr>
        <w:t xml:space="preserve"> </w:t>
      </w:r>
      <w:r w:rsidR="004519B5">
        <w:rPr>
          <w:rFonts w:ascii="Calibri" w:hAnsi="Calibri"/>
        </w:rPr>
        <w:t>O</w:t>
      </w:r>
      <w:r w:rsidR="00D005EA" w:rsidRPr="00C10319">
        <w:rPr>
          <w:rFonts w:ascii="Calibri" w:hAnsi="Calibri"/>
        </w:rPr>
        <w:t>utcome evaluation</w:t>
      </w:r>
      <w:r w:rsidR="004519B5">
        <w:rPr>
          <w:rFonts w:ascii="Calibri" w:hAnsi="Calibri"/>
        </w:rPr>
        <w:t xml:space="preserve"> recorded that </w:t>
      </w:r>
      <w:r w:rsidR="00D005EA" w:rsidRPr="00C10319">
        <w:rPr>
          <w:rFonts w:ascii="Calibri" w:hAnsi="Calibri"/>
        </w:rPr>
        <w:t xml:space="preserve">UNDP Women’s Empowerment initiatives were producing tangible results that </w:t>
      </w:r>
      <w:r w:rsidR="00906A04">
        <w:rPr>
          <w:rFonts w:ascii="Calibri" w:hAnsi="Calibri"/>
        </w:rPr>
        <w:t>we</w:t>
      </w:r>
      <w:r w:rsidR="00D005EA" w:rsidRPr="00C10319">
        <w:rPr>
          <w:rFonts w:ascii="Calibri" w:hAnsi="Calibri"/>
        </w:rPr>
        <w:t xml:space="preserve">re </w:t>
      </w:r>
      <w:r w:rsidR="00906A04">
        <w:rPr>
          <w:rFonts w:ascii="Calibri" w:hAnsi="Calibri"/>
        </w:rPr>
        <w:t xml:space="preserve">also </w:t>
      </w:r>
      <w:r w:rsidR="00D005EA" w:rsidRPr="00C10319">
        <w:rPr>
          <w:rFonts w:ascii="Calibri" w:hAnsi="Calibri"/>
        </w:rPr>
        <w:t>reducing poverty</w:t>
      </w:r>
      <w:r w:rsidR="008F4EDA">
        <w:rPr>
          <w:rFonts w:ascii="Calibri" w:hAnsi="Calibri"/>
        </w:rPr>
        <w:t xml:space="preserve">. </w:t>
      </w:r>
      <w:r w:rsidR="00906A04">
        <w:rPr>
          <w:rFonts w:ascii="Calibri" w:hAnsi="Calibri"/>
        </w:rPr>
        <w:t xml:space="preserve">Furthermore, </w:t>
      </w:r>
      <w:r w:rsidR="003F2312" w:rsidRPr="008F4EDA">
        <w:rPr>
          <w:rFonts w:ascii="Calibri" w:hAnsi="Calibri"/>
        </w:rPr>
        <w:t>UNDP supported</w:t>
      </w:r>
      <w:r w:rsidR="003F2312" w:rsidRPr="00C10319">
        <w:rPr>
          <w:rFonts w:ascii="Calibri" w:hAnsi="Calibri"/>
        </w:rPr>
        <w:t xml:space="preserve"> </w:t>
      </w:r>
      <w:r w:rsidR="00906A04">
        <w:rPr>
          <w:rFonts w:ascii="Calibri" w:hAnsi="Calibri"/>
        </w:rPr>
        <w:t xml:space="preserve">the </w:t>
      </w:r>
      <w:r w:rsidR="003F2312" w:rsidRPr="00C10319">
        <w:rPr>
          <w:rFonts w:ascii="Calibri" w:hAnsi="Calibri"/>
        </w:rPr>
        <w:t>Household Livelihood Survey which identified the 100 poorest household by region and gender</w:t>
      </w:r>
      <w:r w:rsidR="008F4EDA">
        <w:rPr>
          <w:rFonts w:ascii="Calibri" w:hAnsi="Calibri"/>
        </w:rPr>
        <w:t>; the survey also</w:t>
      </w:r>
      <w:r w:rsidR="003F2312" w:rsidRPr="00C10319">
        <w:rPr>
          <w:rFonts w:ascii="Calibri" w:hAnsi="Calibri"/>
        </w:rPr>
        <w:t xml:space="preserve"> </w:t>
      </w:r>
      <w:r w:rsidR="008F4EDA">
        <w:rPr>
          <w:rFonts w:ascii="Calibri" w:hAnsi="Calibri"/>
        </w:rPr>
        <w:t>identified</w:t>
      </w:r>
      <w:r w:rsidR="003F2312" w:rsidRPr="00C10319">
        <w:rPr>
          <w:rFonts w:ascii="Calibri" w:hAnsi="Calibri"/>
        </w:rPr>
        <w:t xml:space="preserve"> income generating activities and opportunities </w:t>
      </w:r>
      <w:r w:rsidR="008F4EDA">
        <w:rPr>
          <w:rFonts w:ascii="Calibri" w:hAnsi="Calibri"/>
        </w:rPr>
        <w:t>for</w:t>
      </w:r>
      <w:r w:rsidR="003F2312" w:rsidRPr="00C10319">
        <w:rPr>
          <w:rFonts w:ascii="Calibri" w:hAnsi="Calibri"/>
        </w:rPr>
        <w:t xml:space="preserve"> better targeting </w:t>
      </w:r>
      <w:r w:rsidR="003F2312">
        <w:rPr>
          <w:rFonts w:ascii="Calibri" w:hAnsi="Calibri"/>
        </w:rPr>
        <w:t xml:space="preserve">of </w:t>
      </w:r>
      <w:r w:rsidR="003F2312" w:rsidRPr="00C10319">
        <w:rPr>
          <w:rFonts w:ascii="Calibri" w:hAnsi="Calibri"/>
        </w:rPr>
        <w:t xml:space="preserve">interventions. </w:t>
      </w:r>
    </w:p>
    <w:p w:rsidR="003F2312" w:rsidRDefault="003F2312" w:rsidP="00C10319">
      <w:pPr>
        <w:pStyle w:val="BodyText2"/>
        <w:jc w:val="both"/>
        <w:rPr>
          <w:rFonts w:ascii="Calibri" w:hAnsi="Calibri"/>
        </w:rPr>
      </w:pPr>
    </w:p>
    <w:p w:rsidR="003F2312" w:rsidRPr="00C10319" w:rsidRDefault="008F4EDA" w:rsidP="003D6B85">
      <w:pPr>
        <w:pStyle w:val="BodyText2"/>
        <w:numPr>
          <w:ilvl w:val="0"/>
          <w:numId w:val="33"/>
        </w:numPr>
        <w:jc w:val="both"/>
        <w:rPr>
          <w:rFonts w:ascii="Calibri" w:hAnsi="Calibri"/>
        </w:rPr>
      </w:pPr>
      <w:r>
        <w:rPr>
          <w:rFonts w:ascii="Calibri" w:hAnsi="Calibri"/>
        </w:rPr>
        <w:t xml:space="preserve">With regards HIV response, </w:t>
      </w:r>
      <w:r w:rsidR="003F2312" w:rsidRPr="00C10319">
        <w:rPr>
          <w:rFonts w:ascii="Calibri" w:hAnsi="Calibri"/>
        </w:rPr>
        <w:t>institutional systems</w:t>
      </w:r>
      <w:r w:rsidR="00FB1B7B">
        <w:rPr>
          <w:rFonts w:ascii="Calibri" w:hAnsi="Calibri"/>
        </w:rPr>
        <w:t xml:space="preserve"> were strengthened</w:t>
      </w:r>
      <w:r w:rsidR="007357A5">
        <w:rPr>
          <w:rFonts w:ascii="Calibri" w:hAnsi="Calibri"/>
        </w:rPr>
        <w:t>. Wi</w:t>
      </w:r>
      <w:r w:rsidR="007357A5" w:rsidRPr="00C10319">
        <w:rPr>
          <w:rFonts w:ascii="Calibri" w:hAnsi="Calibri"/>
        </w:rPr>
        <w:t>th</w:t>
      </w:r>
      <w:r w:rsidR="003F2312" w:rsidRPr="00C10319">
        <w:rPr>
          <w:rFonts w:ascii="Calibri" w:hAnsi="Calibri"/>
        </w:rPr>
        <w:t xml:space="preserve"> UNDP support</w:t>
      </w:r>
      <w:r w:rsidR="007357A5">
        <w:rPr>
          <w:rFonts w:ascii="Calibri" w:hAnsi="Calibri"/>
        </w:rPr>
        <w:t>,</w:t>
      </w:r>
      <w:r w:rsidR="003F2312" w:rsidRPr="00C10319">
        <w:rPr>
          <w:rFonts w:ascii="Calibri" w:hAnsi="Calibri"/>
        </w:rPr>
        <w:t xml:space="preserve"> mainstream</w:t>
      </w:r>
      <w:r w:rsidR="007357A5">
        <w:rPr>
          <w:rFonts w:ascii="Calibri" w:hAnsi="Calibri"/>
        </w:rPr>
        <w:t>ing of</w:t>
      </w:r>
      <w:r w:rsidR="003F2312" w:rsidRPr="00C10319">
        <w:rPr>
          <w:rFonts w:ascii="Calibri" w:hAnsi="Calibri"/>
        </w:rPr>
        <w:t xml:space="preserve"> HIV at various levels including in workplaces</w:t>
      </w:r>
      <w:r w:rsidR="007357A5">
        <w:rPr>
          <w:rFonts w:ascii="Calibri" w:hAnsi="Calibri"/>
        </w:rPr>
        <w:t xml:space="preserve"> was enhanced;</w:t>
      </w:r>
      <w:r w:rsidR="003F2312" w:rsidRPr="00C10319">
        <w:rPr>
          <w:rFonts w:ascii="Calibri" w:hAnsi="Calibri"/>
        </w:rPr>
        <w:t xml:space="preserve"> national wellness standards </w:t>
      </w:r>
      <w:r w:rsidR="007357A5">
        <w:rPr>
          <w:rFonts w:ascii="Calibri" w:hAnsi="Calibri"/>
        </w:rPr>
        <w:t xml:space="preserve">were rollout out to representatives of </w:t>
      </w:r>
      <w:r w:rsidR="007357A5" w:rsidRPr="00C10319">
        <w:rPr>
          <w:rFonts w:ascii="Calibri" w:hAnsi="Calibri"/>
        </w:rPr>
        <w:t>59 Swaziland Business Coalition</w:t>
      </w:r>
      <w:r w:rsidR="007357A5">
        <w:rPr>
          <w:rFonts w:ascii="Calibri" w:hAnsi="Calibri"/>
        </w:rPr>
        <w:t xml:space="preserve"> members on</w:t>
      </w:r>
      <w:r w:rsidR="007357A5" w:rsidRPr="00C10319">
        <w:rPr>
          <w:rFonts w:ascii="Calibri" w:hAnsi="Calibri"/>
        </w:rPr>
        <w:t xml:space="preserve"> HIV</w:t>
      </w:r>
      <w:r w:rsidR="007357A5">
        <w:rPr>
          <w:rFonts w:ascii="Calibri" w:hAnsi="Calibri"/>
        </w:rPr>
        <w:t>&amp;</w:t>
      </w:r>
      <w:r w:rsidR="007357A5" w:rsidRPr="00C10319">
        <w:rPr>
          <w:rFonts w:ascii="Calibri" w:hAnsi="Calibri"/>
        </w:rPr>
        <w:t>AIDS</w:t>
      </w:r>
      <w:r w:rsidR="007357A5">
        <w:rPr>
          <w:rFonts w:ascii="Calibri" w:hAnsi="Calibri"/>
        </w:rPr>
        <w:t>. The capacity building</w:t>
      </w:r>
      <w:r w:rsidR="007357A5" w:rsidRPr="00C10319">
        <w:rPr>
          <w:rFonts w:ascii="Calibri" w:hAnsi="Calibri"/>
        </w:rPr>
        <w:t xml:space="preserve"> </w:t>
      </w:r>
      <w:r w:rsidR="003F2312" w:rsidRPr="00C10319">
        <w:rPr>
          <w:rFonts w:ascii="Calibri" w:hAnsi="Calibri"/>
        </w:rPr>
        <w:t xml:space="preserve">facilitated </w:t>
      </w:r>
      <w:r w:rsidR="007357A5">
        <w:rPr>
          <w:rFonts w:ascii="Calibri" w:hAnsi="Calibri"/>
        </w:rPr>
        <w:t>effective management of the HIV&amp;</w:t>
      </w:r>
      <w:r w:rsidR="003F2312" w:rsidRPr="00C10319">
        <w:rPr>
          <w:rFonts w:ascii="Calibri" w:hAnsi="Calibri"/>
        </w:rPr>
        <w:t>AIDS and TB national response</w:t>
      </w:r>
      <w:r w:rsidR="00906A04">
        <w:rPr>
          <w:rFonts w:ascii="Calibri" w:hAnsi="Calibri"/>
        </w:rPr>
        <w:t>s</w:t>
      </w:r>
      <w:r w:rsidR="003F2312" w:rsidRPr="00C10319">
        <w:rPr>
          <w:rFonts w:ascii="Calibri" w:hAnsi="Calibri"/>
        </w:rPr>
        <w:t xml:space="preserve"> within the work place</w:t>
      </w:r>
      <w:r w:rsidR="007357A5">
        <w:rPr>
          <w:rFonts w:ascii="Calibri" w:hAnsi="Calibri"/>
        </w:rPr>
        <w:t xml:space="preserve">. </w:t>
      </w:r>
      <w:r w:rsidR="003F2312" w:rsidRPr="00C10319">
        <w:rPr>
          <w:rFonts w:ascii="Calibri" w:hAnsi="Calibri"/>
        </w:rPr>
        <w:t>UNDP also actively supporte</w:t>
      </w:r>
      <w:r w:rsidR="00535D7B">
        <w:rPr>
          <w:rFonts w:ascii="Calibri" w:hAnsi="Calibri"/>
        </w:rPr>
        <w:t xml:space="preserve">d engagement of civil society </w:t>
      </w:r>
      <w:r w:rsidR="003F2312" w:rsidRPr="00C10319">
        <w:rPr>
          <w:rFonts w:ascii="Calibri" w:hAnsi="Calibri"/>
        </w:rPr>
        <w:t xml:space="preserve">to </w:t>
      </w:r>
      <w:r w:rsidR="00A0728B">
        <w:rPr>
          <w:rFonts w:ascii="Calibri" w:hAnsi="Calibri"/>
        </w:rPr>
        <w:t xml:space="preserve">enhance their </w:t>
      </w:r>
      <w:r w:rsidR="003F2312" w:rsidRPr="00C10319">
        <w:rPr>
          <w:rFonts w:ascii="Calibri" w:hAnsi="Calibri"/>
        </w:rPr>
        <w:t>response systems. Since the inception the National Volunteer programme</w:t>
      </w:r>
      <w:r w:rsidR="00861B1D">
        <w:rPr>
          <w:rFonts w:ascii="Calibri" w:hAnsi="Calibri"/>
        </w:rPr>
        <w:t>,</w:t>
      </w:r>
      <w:r w:rsidR="003F2312" w:rsidRPr="00C10319">
        <w:rPr>
          <w:rFonts w:ascii="Calibri" w:hAnsi="Calibri"/>
        </w:rPr>
        <w:t xml:space="preserve"> UNDP has supported 48 Volunteers placed with Civil Society </w:t>
      </w:r>
      <w:r w:rsidR="00861B1D" w:rsidRPr="00C10319">
        <w:rPr>
          <w:rFonts w:ascii="Calibri" w:hAnsi="Calibri"/>
        </w:rPr>
        <w:t>Organizations</w:t>
      </w:r>
      <w:r w:rsidR="003F2312" w:rsidRPr="00C10319">
        <w:rPr>
          <w:rFonts w:ascii="Calibri" w:hAnsi="Calibri"/>
        </w:rPr>
        <w:t xml:space="preserve"> to strengthen M&amp;E, financial management and resource mobilization.</w:t>
      </w:r>
    </w:p>
    <w:p w:rsidR="003F2312" w:rsidRPr="00C10319" w:rsidRDefault="003F2312" w:rsidP="00C10319">
      <w:pPr>
        <w:pStyle w:val="BodyText2"/>
        <w:jc w:val="both"/>
        <w:rPr>
          <w:rFonts w:ascii="Calibri" w:hAnsi="Calibri"/>
        </w:rPr>
      </w:pPr>
    </w:p>
    <w:p w:rsidR="0013400B" w:rsidRDefault="00D005EA" w:rsidP="0013400B">
      <w:pPr>
        <w:pStyle w:val="BodyText2"/>
        <w:numPr>
          <w:ilvl w:val="0"/>
          <w:numId w:val="33"/>
        </w:numPr>
        <w:jc w:val="both"/>
        <w:rPr>
          <w:rFonts w:ascii="Calibri" w:hAnsi="Calibri"/>
        </w:rPr>
      </w:pPr>
      <w:r w:rsidRPr="00C10319">
        <w:rPr>
          <w:rFonts w:ascii="Calibri" w:hAnsi="Calibri"/>
        </w:rPr>
        <w:t>UNDP</w:t>
      </w:r>
      <w:r w:rsidR="004519B5">
        <w:rPr>
          <w:rFonts w:ascii="Calibri" w:hAnsi="Calibri"/>
        </w:rPr>
        <w:t>’s sustained</w:t>
      </w:r>
      <w:r w:rsidRPr="00C10319">
        <w:rPr>
          <w:rFonts w:ascii="Calibri" w:hAnsi="Calibri"/>
        </w:rPr>
        <w:t xml:space="preserve"> advocacy for integration of </w:t>
      </w:r>
      <w:r w:rsidR="004519B5">
        <w:rPr>
          <w:rFonts w:ascii="Calibri" w:hAnsi="Calibri"/>
        </w:rPr>
        <w:t>climate change</w:t>
      </w:r>
      <w:r w:rsidRPr="00C10319">
        <w:rPr>
          <w:rFonts w:ascii="Calibri" w:hAnsi="Calibri"/>
        </w:rPr>
        <w:t xml:space="preserve"> into national development plans </w:t>
      </w:r>
      <w:r w:rsidR="004519B5">
        <w:rPr>
          <w:rFonts w:ascii="Calibri" w:hAnsi="Calibri"/>
        </w:rPr>
        <w:t>resulted in the preparation of the Rio</w:t>
      </w:r>
      <w:r w:rsidR="00906A04">
        <w:rPr>
          <w:rFonts w:ascii="Calibri" w:hAnsi="Calibri"/>
        </w:rPr>
        <w:t>+</w:t>
      </w:r>
      <w:r w:rsidRPr="00C10319">
        <w:rPr>
          <w:rFonts w:ascii="Calibri" w:hAnsi="Calibri"/>
        </w:rPr>
        <w:t>20</w:t>
      </w:r>
      <w:r w:rsidR="004519B5">
        <w:rPr>
          <w:rFonts w:ascii="Calibri" w:hAnsi="Calibri"/>
        </w:rPr>
        <w:t xml:space="preserve"> Sustainable Development Report. The Post-</w:t>
      </w:r>
      <w:r w:rsidRPr="00C10319">
        <w:rPr>
          <w:rFonts w:ascii="Calibri" w:hAnsi="Calibri"/>
        </w:rPr>
        <w:t>2015 consultations</w:t>
      </w:r>
      <w:r w:rsidR="004519B5">
        <w:rPr>
          <w:rFonts w:ascii="Calibri" w:hAnsi="Calibri"/>
        </w:rPr>
        <w:t xml:space="preserve"> </w:t>
      </w:r>
      <w:r w:rsidRPr="00C10319">
        <w:rPr>
          <w:rFonts w:ascii="Calibri" w:hAnsi="Calibri"/>
        </w:rPr>
        <w:t>raised awareness and provided impetus for the development of the SE4ALL Gap Analys</w:t>
      </w:r>
      <w:r w:rsidR="004519B5">
        <w:rPr>
          <w:rFonts w:ascii="Calibri" w:hAnsi="Calibri"/>
        </w:rPr>
        <w:t>is Report and action plan 2014-2030. Through</w:t>
      </w:r>
      <w:r w:rsidRPr="00C10319">
        <w:rPr>
          <w:rFonts w:ascii="Calibri" w:hAnsi="Calibri"/>
        </w:rPr>
        <w:t xml:space="preserve"> technical support, there has been increase</w:t>
      </w:r>
      <w:r w:rsidR="00906A04">
        <w:rPr>
          <w:rFonts w:ascii="Calibri" w:hAnsi="Calibri"/>
        </w:rPr>
        <w:t>d</w:t>
      </w:r>
      <w:r w:rsidRPr="00C10319">
        <w:rPr>
          <w:rFonts w:ascii="Calibri" w:hAnsi="Calibri"/>
        </w:rPr>
        <w:t xml:space="preserve"> integration of</w:t>
      </w:r>
      <w:r w:rsidR="004519B5">
        <w:rPr>
          <w:rFonts w:ascii="Calibri" w:hAnsi="Calibri"/>
        </w:rPr>
        <w:t xml:space="preserve"> climate chan</w:t>
      </w:r>
      <w:r w:rsidR="00536F82">
        <w:rPr>
          <w:rFonts w:ascii="Calibri" w:hAnsi="Calibri"/>
        </w:rPr>
        <w:t>ge</w:t>
      </w:r>
      <w:r w:rsidRPr="00C10319">
        <w:rPr>
          <w:rFonts w:ascii="Calibri" w:hAnsi="Calibri"/>
        </w:rPr>
        <w:t xml:space="preserve"> in key investments in the country</w:t>
      </w:r>
      <w:r w:rsidR="00536F82">
        <w:rPr>
          <w:rFonts w:ascii="Calibri" w:hAnsi="Calibri"/>
        </w:rPr>
        <w:t>,</w:t>
      </w:r>
      <w:r w:rsidRPr="00C10319">
        <w:rPr>
          <w:rFonts w:ascii="Calibri" w:hAnsi="Calibri"/>
        </w:rPr>
        <w:t xml:space="preserve"> especially the sugar industry which is the main cash crop</w:t>
      </w:r>
      <w:r w:rsidR="00536F82">
        <w:rPr>
          <w:rFonts w:ascii="Calibri" w:hAnsi="Calibri"/>
        </w:rPr>
        <w:t>. Support in such areas has culminated into the</w:t>
      </w:r>
      <w:r w:rsidR="004519B5" w:rsidRPr="00C10319">
        <w:rPr>
          <w:rFonts w:ascii="Calibri" w:hAnsi="Calibri"/>
        </w:rPr>
        <w:t xml:space="preserve"> developed </w:t>
      </w:r>
      <w:r w:rsidR="00536F82">
        <w:rPr>
          <w:rFonts w:ascii="Calibri" w:hAnsi="Calibri"/>
        </w:rPr>
        <w:t xml:space="preserve">by the Government of </w:t>
      </w:r>
      <w:r w:rsidR="004519B5" w:rsidRPr="00C10319">
        <w:rPr>
          <w:rFonts w:ascii="Calibri" w:hAnsi="Calibri"/>
        </w:rPr>
        <w:t xml:space="preserve">its first ever Climate Change Policy and Strategy in 2014.  </w:t>
      </w:r>
      <w:r w:rsidR="00E10113">
        <w:rPr>
          <w:rFonts w:ascii="Calibri" w:hAnsi="Calibri"/>
        </w:rPr>
        <w:t>Besides</w:t>
      </w:r>
      <w:r w:rsidR="00536F82">
        <w:rPr>
          <w:rFonts w:ascii="Calibri" w:hAnsi="Calibri"/>
        </w:rPr>
        <w:t xml:space="preserve">, the </w:t>
      </w:r>
      <w:r w:rsidR="00E10113">
        <w:rPr>
          <w:rFonts w:ascii="Calibri" w:hAnsi="Calibri"/>
        </w:rPr>
        <w:t>National Disaster management Agency (</w:t>
      </w:r>
      <w:r w:rsidRPr="00C10319">
        <w:rPr>
          <w:rFonts w:ascii="Calibri" w:hAnsi="Calibri"/>
        </w:rPr>
        <w:t>NDMA</w:t>
      </w:r>
      <w:r w:rsidR="00E10113">
        <w:rPr>
          <w:rFonts w:ascii="Calibri" w:hAnsi="Calibri"/>
        </w:rPr>
        <w:t>)</w:t>
      </w:r>
      <w:r w:rsidRPr="00C10319">
        <w:rPr>
          <w:rFonts w:ascii="Calibri" w:hAnsi="Calibri"/>
        </w:rPr>
        <w:t xml:space="preserve"> </w:t>
      </w:r>
      <w:r w:rsidR="00536F82">
        <w:rPr>
          <w:rFonts w:ascii="Calibri" w:hAnsi="Calibri"/>
        </w:rPr>
        <w:t>was gazette and mandated as the</w:t>
      </w:r>
      <w:r w:rsidRPr="00C10319">
        <w:rPr>
          <w:rFonts w:ascii="Calibri" w:hAnsi="Calibri"/>
        </w:rPr>
        <w:t xml:space="preserve"> </w:t>
      </w:r>
      <w:r w:rsidR="00536F82">
        <w:rPr>
          <w:rFonts w:ascii="Calibri" w:hAnsi="Calibri"/>
        </w:rPr>
        <w:t xml:space="preserve">responsible institution </w:t>
      </w:r>
      <w:r w:rsidRPr="00C10319">
        <w:rPr>
          <w:rFonts w:ascii="Calibri" w:hAnsi="Calibri"/>
        </w:rPr>
        <w:t>for emergency and recovery response</w:t>
      </w:r>
      <w:r w:rsidR="00536F82">
        <w:rPr>
          <w:rFonts w:ascii="Calibri" w:hAnsi="Calibri"/>
        </w:rPr>
        <w:t>; a critical</w:t>
      </w:r>
      <w:r w:rsidRPr="00C10319">
        <w:rPr>
          <w:rFonts w:ascii="Calibri" w:hAnsi="Calibri"/>
        </w:rPr>
        <w:t xml:space="preserve"> follow up to the National Disaster Policy supported by UNDP in 2011. </w:t>
      </w:r>
      <w:r w:rsidR="00536F82">
        <w:rPr>
          <w:rFonts w:ascii="Calibri" w:hAnsi="Calibri"/>
        </w:rPr>
        <w:t>Additionally, a</w:t>
      </w:r>
      <w:r w:rsidRPr="00C10319">
        <w:rPr>
          <w:rFonts w:ascii="Calibri" w:hAnsi="Calibri"/>
        </w:rPr>
        <w:t xml:space="preserve">n assessment undertaken by NDMA </w:t>
      </w:r>
      <w:r w:rsidR="00536F82">
        <w:rPr>
          <w:rFonts w:ascii="Calibri" w:hAnsi="Calibri"/>
        </w:rPr>
        <w:t xml:space="preserve">- </w:t>
      </w:r>
      <w:r w:rsidRPr="00C10319">
        <w:rPr>
          <w:rFonts w:ascii="Calibri" w:hAnsi="Calibri"/>
        </w:rPr>
        <w:t xml:space="preserve">with support from the UNDP </w:t>
      </w:r>
      <w:r w:rsidR="00536F82">
        <w:rPr>
          <w:rFonts w:ascii="Calibri" w:hAnsi="Calibri"/>
        </w:rPr>
        <w:t xml:space="preserve">- </w:t>
      </w:r>
      <w:r w:rsidRPr="00C10319">
        <w:rPr>
          <w:rFonts w:ascii="Calibri" w:hAnsi="Calibri"/>
        </w:rPr>
        <w:t xml:space="preserve">informed the capacity development needs leading to the review of early warning systems and decentralization of disaster risk management.  The National partners including NGOs are now using the smart tools promoted by UNDP to administer the standardized multi sectoral assessment, which has </w:t>
      </w:r>
      <w:r w:rsidRPr="00C10319">
        <w:rPr>
          <w:rFonts w:ascii="Calibri" w:hAnsi="Calibri"/>
        </w:rPr>
        <w:lastRenderedPageBreak/>
        <w:t>reduced the response time from 2 weeks to 3 days</w:t>
      </w:r>
      <w:r w:rsidR="00536F82">
        <w:rPr>
          <w:rStyle w:val="FootnoteReference"/>
          <w:rFonts w:ascii="Calibri" w:hAnsi="Calibri"/>
        </w:rPr>
        <w:footnoteReference w:id="5"/>
      </w:r>
      <w:r w:rsidR="00536F82">
        <w:rPr>
          <w:rFonts w:ascii="Calibri" w:hAnsi="Calibri"/>
        </w:rPr>
        <w:t>.</w:t>
      </w:r>
      <w:r w:rsidRPr="00C10319">
        <w:rPr>
          <w:rFonts w:ascii="Calibri" w:hAnsi="Calibri"/>
        </w:rPr>
        <w:t xml:space="preserve"> </w:t>
      </w:r>
      <w:r w:rsidR="0013400B">
        <w:rPr>
          <w:rFonts w:ascii="Calibri" w:hAnsi="Calibri"/>
        </w:rPr>
        <w:t>Important to note that t</w:t>
      </w:r>
      <w:r w:rsidR="0013400B" w:rsidRPr="003D6B85">
        <w:rPr>
          <w:rFonts w:ascii="Calibri" w:hAnsi="Calibri"/>
        </w:rPr>
        <w:t xml:space="preserve">he Economic Recovery Strategy (2012) embraced the Protected Areas expansion as a window for economic growth through community eco-tourism, learning from the UNDP supported KaShewula Trust, </w:t>
      </w:r>
      <w:r w:rsidR="0013400B">
        <w:rPr>
          <w:rFonts w:ascii="Calibri" w:hAnsi="Calibri"/>
        </w:rPr>
        <w:t xml:space="preserve">the </w:t>
      </w:r>
      <w:r w:rsidR="0013400B" w:rsidRPr="003D6B85">
        <w:rPr>
          <w:rFonts w:ascii="Calibri" w:hAnsi="Calibri"/>
        </w:rPr>
        <w:t>2014 Equator Prize Winner</w:t>
      </w:r>
      <w:r w:rsidR="0013400B">
        <w:rPr>
          <w:rFonts w:ascii="Calibri" w:hAnsi="Calibri"/>
        </w:rPr>
        <w:t>.</w:t>
      </w:r>
    </w:p>
    <w:p w:rsidR="003F2312" w:rsidRDefault="003F2312" w:rsidP="00C10319">
      <w:pPr>
        <w:pStyle w:val="BodyText2"/>
        <w:jc w:val="both"/>
        <w:rPr>
          <w:rFonts w:ascii="Calibri" w:hAnsi="Calibri"/>
        </w:rPr>
      </w:pPr>
      <w:bookmarkStart w:id="0" w:name="_GoBack"/>
      <w:bookmarkEnd w:id="0"/>
    </w:p>
    <w:p w:rsidR="003F2312" w:rsidRPr="003D6B85" w:rsidRDefault="003F2312" w:rsidP="003F2312">
      <w:pPr>
        <w:pStyle w:val="BodyText2"/>
        <w:numPr>
          <w:ilvl w:val="0"/>
          <w:numId w:val="33"/>
        </w:numPr>
        <w:jc w:val="both"/>
        <w:rPr>
          <w:rFonts w:ascii="Calibri" w:hAnsi="Calibri"/>
        </w:rPr>
      </w:pPr>
      <w:r w:rsidRPr="003D6B85">
        <w:rPr>
          <w:rFonts w:ascii="Calibri" w:hAnsi="Calibri"/>
        </w:rPr>
        <w:t xml:space="preserve">The Economic Recovery Strategy (2012) embraced the Protected Areas (PA) expansion as a window for economic growth through community eco-tourism, learning from the UNDP supported KaShewula Trust, </w:t>
      </w:r>
      <w:r w:rsidR="00906A04">
        <w:rPr>
          <w:rFonts w:ascii="Calibri" w:hAnsi="Calibri"/>
        </w:rPr>
        <w:t xml:space="preserve">the </w:t>
      </w:r>
      <w:r w:rsidRPr="003D6B85">
        <w:rPr>
          <w:rFonts w:ascii="Calibri" w:hAnsi="Calibri"/>
        </w:rPr>
        <w:t>2014 Equator Prize Winner. Swaziland leads Africa in the HCFC Conversion technology, demonstrating capacity to meet the Montreal Protocol targets of eliminating the consumption of the HCFC-141b</w:t>
      </w:r>
      <w:r w:rsidR="00906A04">
        <w:rPr>
          <w:rFonts w:ascii="Calibri" w:hAnsi="Calibri"/>
        </w:rPr>
        <w:t>.</w:t>
      </w:r>
      <w:r w:rsidRPr="003D6B85">
        <w:rPr>
          <w:rFonts w:ascii="Calibri" w:hAnsi="Calibri"/>
        </w:rPr>
        <w:t xml:space="preserve">  UNDP </w:t>
      </w:r>
      <w:r w:rsidR="00861B1D" w:rsidRPr="003D6B85">
        <w:rPr>
          <w:rFonts w:ascii="Calibri" w:hAnsi="Calibri"/>
        </w:rPr>
        <w:t>wa</w:t>
      </w:r>
      <w:r w:rsidRPr="003D6B85">
        <w:rPr>
          <w:rFonts w:ascii="Calibri" w:hAnsi="Calibri"/>
        </w:rPr>
        <w:t>s central in supporting the investments in technology transfer assisting in institutional capacity to sustain a</w:t>
      </w:r>
      <w:r w:rsidR="00621228">
        <w:rPr>
          <w:rFonts w:ascii="Calibri" w:hAnsi="Calibri"/>
        </w:rPr>
        <w:t>n</w:t>
      </w:r>
      <w:r w:rsidRPr="003D6B85">
        <w:rPr>
          <w:rFonts w:ascii="Calibri" w:hAnsi="Calibri"/>
        </w:rPr>
        <w:t xml:space="preserve"> ODS-free country. Following the installation of the equipment, the country </w:t>
      </w:r>
      <w:r w:rsidR="00861B1D" w:rsidRPr="003D6B85">
        <w:rPr>
          <w:rFonts w:ascii="Calibri" w:hAnsi="Calibri"/>
        </w:rPr>
        <w:t>is poised to</w:t>
      </w:r>
      <w:r w:rsidRPr="003D6B85">
        <w:rPr>
          <w:rFonts w:ascii="Calibri" w:hAnsi="Calibri"/>
        </w:rPr>
        <w:t xml:space="preserve"> develop</w:t>
      </w:r>
      <w:r w:rsidR="00861B1D" w:rsidRPr="003D6B85">
        <w:rPr>
          <w:rFonts w:ascii="Calibri" w:hAnsi="Calibri"/>
        </w:rPr>
        <w:t xml:space="preserve"> </w:t>
      </w:r>
      <w:r w:rsidRPr="003D6B85">
        <w:rPr>
          <w:rFonts w:ascii="Calibri" w:hAnsi="Calibri"/>
        </w:rPr>
        <w:t>the regulatory framework to ef</w:t>
      </w:r>
      <w:r w:rsidR="00861B1D" w:rsidRPr="003D6B85">
        <w:rPr>
          <w:rFonts w:ascii="Calibri" w:hAnsi="Calibri"/>
        </w:rPr>
        <w:t>fect compliance to the outcomes</w:t>
      </w:r>
      <w:r w:rsidR="00861B1D">
        <w:rPr>
          <w:rStyle w:val="FootnoteReference"/>
          <w:rFonts w:ascii="Calibri" w:hAnsi="Calibri"/>
        </w:rPr>
        <w:footnoteReference w:id="6"/>
      </w:r>
      <w:r w:rsidR="00861B1D" w:rsidRPr="003D6B85">
        <w:rPr>
          <w:rFonts w:ascii="Calibri" w:hAnsi="Calibri"/>
        </w:rPr>
        <w:t>.</w:t>
      </w:r>
      <w:r w:rsidR="003D6B85" w:rsidRPr="003D6B85">
        <w:rPr>
          <w:rFonts w:ascii="Calibri" w:hAnsi="Calibri"/>
        </w:rPr>
        <w:t xml:space="preserve"> </w:t>
      </w:r>
      <w:r w:rsidR="00861B1D" w:rsidRPr="003D6B85">
        <w:rPr>
          <w:rFonts w:ascii="Calibri" w:hAnsi="Calibri"/>
        </w:rPr>
        <w:t>The d</w:t>
      </w:r>
      <w:r w:rsidRPr="003D6B85">
        <w:rPr>
          <w:rFonts w:ascii="Calibri" w:hAnsi="Calibri"/>
        </w:rPr>
        <w:t xml:space="preserve">evelopment of the Emergency Preparedness Plans for the 3 major dams and production of the Training Modules on sectoral </w:t>
      </w:r>
      <w:r w:rsidR="00861B1D" w:rsidRPr="003D6B85">
        <w:rPr>
          <w:rFonts w:ascii="Calibri" w:hAnsi="Calibri"/>
        </w:rPr>
        <w:t>climate change</w:t>
      </w:r>
      <w:r w:rsidRPr="003D6B85">
        <w:rPr>
          <w:rFonts w:ascii="Calibri" w:hAnsi="Calibri"/>
        </w:rPr>
        <w:t xml:space="preserve"> integration strengthened the infrastructure resilience and institutional capacities for disasters preparedness. UNDP support enhanced better coordination and improved turnaround time (3 days from 2 weeks) for relief support, as well as employment of standardized post-hazard rapid assessment tools.</w:t>
      </w:r>
    </w:p>
    <w:p w:rsidR="003F2312" w:rsidRPr="00C10319" w:rsidRDefault="003F2312" w:rsidP="00C10319">
      <w:pPr>
        <w:pStyle w:val="BodyText2"/>
        <w:jc w:val="both"/>
        <w:rPr>
          <w:rFonts w:ascii="Calibri" w:hAnsi="Calibri"/>
        </w:rPr>
      </w:pPr>
    </w:p>
    <w:p w:rsidR="0037523B" w:rsidRDefault="0085774D" w:rsidP="003D6B85">
      <w:pPr>
        <w:pStyle w:val="BodyText2"/>
        <w:numPr>
          <w:ilvl w:val="0"/>
          <w:numId w:val="33"/>
        </w:numPr>
        <w:jc w:val="both"/>
        <w:rPr>
          <w:rFonts w:ascii="Calibri" w:hAnsi="Calibri"/>
        </w:rPr>
      </w:pPr>
      <w:r>
        <w:rPr>
          <w:rFonts w:ascii="Calibri" w:hAnsi="Calibri"/>
        </w:rPr>
        <w:t xml:space="preserve">Arising </w:t>
      </w:r>
      <w:r w:rsidR="00D005EA" w:rsidRPr="00C10319">
        <w:rPr>
          <w:rFonts w:ascii="Calibri" w:hAnsi="Calibri"/>
        </w:rPr>
        <w:t>from the Post 2015 dialogues, the G</w:t>
      </w:r>
      <w:r w:rsidR="00A2408F">
        <w:rPr>
          <w:rFonts w:ascii="Calibri" w:hAnsi="Calibri"/>
        </w:rPr>
        <w:t>overnment</w:t>
      </w:r>
      <w:r w:rsidR="00D005EA" w:rsidRPr="00C10319">
        <w:rPr>
          <w:rFonts w:ascii="Calibri" w:hAnsi="Calibri"/>
        </w:rPr>
        <w:t xml:space="preserve"> for the first time adopted the Mo Ibrahim Index as a benchmark for measuring governance performance. This resulted in the index being integrated into the </w:t>
      </w:r>
      <w:r>
        <w:rPr>
          <w:rFonts w:ascii="Calibri" w:hAnsi="Calibri"/>
        </w:rPr>
        <w:t>National Development Strategy (</w:t>
      </w:r>
      <w:r w:rsidR="00D005EA" w:rsidRPr="00C10319">
        <w:rPr>
          <w:rFonts w:ascii="Calibri" w:hAnsi="Calibri"/>
        </w:rPr>
        <w:t>NDS</w:t>
      </w:r>
      <w:r>
        <w:rPr>
          <w:rFonts w:ascii="Calibri" w:hAnsi="Calibri"/>
        </w:rPr>
        <w:t>)</w:t>
      </w:r>
      <w:r w:rsidR="00D005EA" w:rsidRPr="00C10319">
        <w:rPr>
          <w:rFonts w:ascii="Calibri" w:hAnsi="Calibri"/>
        </w:rPr>
        <w:t xml:space="preserve"> 2022 and </w:t>
      </w:r>
      <w:r w:rsidRPr="00C10319">
        <w:rPr>
          <w:rFonts w:ascii="Calibri" w:hAnsi="Calibri"/>
        </w:rPr>
        <w:t>beyond</w:t>
      </w:r>
      <w:r w:rsidR="00D005EA" w:rsidRPr="00C10319">
        <w:rPr>
          <w:rFonts w:ascii="Calibri" w:hAnsi="Calibri"/>
        </w:rPr>
        <w:t xml:space="preserve">, </w:t>
      </w:r>
      <w:r w:rsidRPr="00C10319">
        <w:rPr>
          <w:rFonts w:ascii="Calibri" w:hAnsi="Calibri"/>
        </w:rPr>
        <w:t xml:space="preserve">the </w:t>
      </w:r>
      <w:r w:rsidR="00D005EA" w:rsidRPr="00C10319">
        <w:rPr>
          <w:rFonts w:ascii="Calibri" w:hAnsi="Calibri"/>
        </w:rPr>
        <w:t>Swaziland Development Index and National Plan of Action 2014- 2018.  UNDP provided advocacy support for increased citizen participation</w:t>
      </w:r>
      <w:r w:rsidR="00D154DD">
        <w:rPr>
          <w:rFonts w:ascii="Calibri" w:hAnsi="Calibri"/>
        </w:rPr>
        <w:t>,</w:t>
      </w:r>
      <w:r w:rsidR="00D005EA" w:rsidRPr="00C10319">
        <w:rPr>
          <w:rFonts w:ascii="Calibri" w:hAnsi="Calibri"/>
        </w:rPr>
        <w:t xml:space="preserve"> especially among women in the elections and decision making; strengthened institutional capacity for human rights institutions and access to justice which are key indicators in the Mo Ibrahim Index. </w:t>
      </w:r>
      <w:r w:rsidR="00D154DD">
        <w:rPr>
          <w:rFonts w:ascii="Calibri" w:hAnsi="Calibri"/>
        </w:rPr>
        <w:t>As a result, the Government</w:t>
      </w:r>
      <w:r w:rsidR="00D005EA" w:rsidRPr="00C10319">
        <w:rPr>
          <w:rFonts w:ascii="Calibri" w:hAnsi="Calibri"/>
        </w:rPr>
        <w:t xml:space="preserve"> established a national committee </w:t>
      </w:r>
      <w:r w:rsidR="00D154DD" w:rsidRPr="00C10319">
        <w:rPr>
          <w:rFonts w:ascii="Calibri" w:hAnsi="Calibri"/>
        </w:rPr>
        <w:t>that monitors</w:t>
      </w:r>
      <w:r w:rsidR="00D005EA" w:rsidRPr="00C10319">
        <w:rPr>
          <w:rFonts w:ascii="Calibri" w:hAnsi="Calibri"/>
        </w:rPr>
        <w:t xml:space="preserve"> the country</w:t>
      </w:r>
      <w:r w:rsidR="00D154DD">
        <w:rPr>
          <w:rFonts w:ascii="Calibri" w:hAnsi="Calibri"/>
        </w:rPr>
        <w:t>’s</w:t>
      </w:r>
      <w:r w:rsidR="00D005EA" w:rsidRPr="00C10319">
        <w:rPr>
          <w:rFonts w:ascii="Calibri" w:hAnsi="Calibri"/>
        </w:rPr>
        <w:t xml:space="preserve"> progress towards the improvement of its international ranking. Th</w:t>
      </w:r>
      <w:r w:rsidR="00D154DD">
        <w:rPr>
          <w:rFonts w:ascii="Calibri" w:hAnsi="Calibri"/>
        </w:rPr>
        <w:t>at mechanism</w:t>
      </w:r>
      <w:r w:rsidR="003F2312">
        <w:rPr>
          <w:rFonts w:ascii="Calibri" w:hAnsi="Calibri"/>
        </w:rPr>
        <w:t xml:space="preserve"> has potential to strengthen G</w:t>
      </w:r>
      <w:r w:rsidR="00D005EA" w:rsidRPr="00C10319">
        <w:rPr>
          <w:rFonts w:ascii="Calibri" w:hAnsi="Calibri"/>
        </w:rPr>
        <w:t>overnment</w:t>
      </w:r>
      <w:r w:rsidR="003F2312">
        <w:rPr>
          <w:rFonts w:ascii="Calibri" w:hAnsi="Calibri"/>
        </w:rPr>
        <w:t>’</w:t>
      </w:r>
      <w:r w:rsidR="00D005EA" w:rsidRPr="00C10319">
        <w:rPr>
          <w:rFonts w:ascii="Calibri" w:hAnsi="Calibri"/>
        </w:rPr>
        <w:t>s commitment to adhering to international obligations.</w:t>
      </w:r>
    </w:p>
    <w:p w:rsidR="008F4EDA" w:rsidRDefault="008F4EDA" w:rsidP="00C10319">
      <w:pPr>
        <w:pStyle w:val="BodyText2"/>
        <w:jc w:val="both"/>
        <w:rPr>
          <w:rFonts w:ascii="Calibri" w:hAnsi="Calibri"/>
        </w:rPr>
      </w:pPr>
    </w:p>
    <w:p w:rsidR="008F4EDA" w:rsidRPr="00C10319" w:rsidRDefault="00F653A5" w:rsidP="003D6B85">
      <w:pPr>
        <w:pStyle w:val="BodyText2"/>
        <w:numPr>
          <w:ilvl w:val="0"/>
          <w:numId w:val="33"/>
        </w:numPr>
        <w:jc w:val="both"/>
        <w:rPr>
          <w:rFonts w:ascii="Calibri" w:hAnsi="Calibri"/>
        </w:rPr>
      </w:pPr>
      <w:r>
        <w:rPr>
          <w:rFonts w:ascii="Calibri" w:hAnsi="Calibri"/>
        </w:rPr>
        <w:t>A fully fledged E-</w:t>
      </w:r>
      <w:r w:rsidR="008F4EDA" w:rsidRPr="00C10319">
        <w:rPr>
          <w:rFonts w:ascii="Calibri" w:hAnsi="Calibri"/>
        </w:rPr>
        <w:t>Govern</w:t>
      </w:r>
      <w:r w:rsidR="00DA524F">
        <w:rPr>
          <w:rFonts w:ascii="Calibri" w:hAnsi="Calibri"/>
        </w:rPr>
        <w:t>ance</w:t>
      </w:r>
      <w:r w:rsidR="008F4EDA" w:rsidRPr="00C10319">
        <w:rPr>
          <w:rFonts w:ascii="Calibri" w:hAnsi="Calibri"/>
        </w:rPr>
        <w:t xml:space="preserve"> Unit </w:t>
      </w:r>
      <w:r>
        <w:rPr>
          <w:rFonts w:ascii="Calibri" w:hAnsi="Calibri"/>
        </w:rPr>
        <w:t>was</w:t>
      </w:r>
      <w:r w:rsidR="008F4EDA" w:rsidRPr="00C10319">
        <w:rPr>
          <w:rFonts w:ascii="Calibri" w:hAnsi="Calibri"/>
        </w:rPr>
        <w:t xml:space="preserve"> established at the P</w:t>
      </w:r>
      <w:r>
        <w:rPr>
          <w:rFonts w:ascii="Calibri" w:hAnsi="Calibri"/>
        </w:rPr>
        <w:t xml:space="preserve">rime </w:t>
      </w:r>
      <w:r w:rsidR="008F4EDA" w:rsidRPr="00C10319">
        <w:rPr>
          <w:rFonts w:ascii="Calibri" w:hAnsi="Calibri"/>
        </w:rPr>
        <w:t>M</w:t>
      </w:r>
      <w:r>
        <w:rPr>
          <w:rFonts w:ascii="Calibri" w:hAnsi="Calibri"/>
        </w:rPr>
        <w:t>inister’s</w:t>
      </w:r>
      <w:r w:rsidR="008F4EDA" w:rsidRPr="00C10319">
        <w:rPr>
          <w:rFonts w:ascii="Calibri" w:hAnsi="Calibri"/>
        </w:rPr>
        <w:t xml:space="preserve"> Office with the mandate of coordination and ensuri</w:t>
      </w:r>
      <w:r>
        <w:rPr>
          <w:rFonts w:ascii="Calibri" w:hAnsi="Calibri"/>
        </w:rPr>
        <w:t>ng the implementation of the e-</w:t>
      </w:r>
      <w:r w:rsidR="008F4EDA" w:rsidRPr="00C10319">
        <w:rPr>
          <w:rFonts w:ascii="Calibri" w:hAnsi="Calibri"/>
        </w:rPr>
        <w:t>government operational framework developed through UNDP support. In the area of access to justice, UNDP support</w:t>
      </w:r>
      <w:r w:rsidR="00106D1C">
        <w:rPr>
          <w:rFonts w:ascii="Calibri" w:hAnsi="Calibri"/>
        </w:rPr>
        <w:t xml:space="preserve">ed </w:t>
      </w:r>
      <w:r w:rsidR="00983D30">
        <w:rPr>
          <w:rFonts w:ascii="Calibri" w:hAnsi="Calibri"/>
        </w:rPr>
        <w:t>streamlining of</w:t>
      </w:r>
      <w:r w:rsidR="008F4EDA" w:rsidRPr="00C10319">
        <w:rPr>
          <w:rFonts w:ascii="Calibri" w:hAnsi="Calibri"/>
        </w:rPr>
        <w:t xml:space="preserve"> case management as well as the drafting of the Legal Aid Policy Bill</w:t>
      </w:r>
      <w:r w:rsidR="00983D30">
        <w:rPr>
          <w:rStyle w:val="FootnoteReference"/>
          <w:rFonts w:ascii="Calibri" w:hAnsi="Calibri"/>
        </w:rPr>
        <w:footnoteReference w:id="7"/>
      </w:r>
      <w:r w:rsidR="005A45C7">
        <w:rPr>
          <w:rFonts w:ascii="Calibri" w:hAnsi="Calibri"/>
        </w:rPr>
        <w:t>.</w:t>
      </w:r>
      <w:r w:rsidR="008F4EDA" w:rsidRPr="00C10319">
        <w:rPr>
          <w:rFonts w:ascii="Calibri" w:hAnsi="Calibri"/>
        </w:rPr>
        <w:t xml:space="preserve"> The most notable example being the issue of</w:t>
      </w:r>
      <w:r w:rsidR="005A45C7">
        <w:rPr>
          <w:rFonts w:ascii="Calibri" w:hAnsi="Calibri"/>
        </w:rPr>
        <w:t xml:space="preserve"> the Small Claims C</w:t>
      </w:r>
      <w:r w:rsidR="008F4EDA" w:rsidRPr="00C10319">
        <w:rPr>
          <w:rFonts w:ascii="Calibri" w:hAnsi="Calibri"/>
        </w:rPr>
        <w:t xml:space="preserve">ourt, which is very critical institution for accessing justice by the poor and vulnerable groups. </w:t>
      </w:r>
      <w:r w:rsidR="00EC7518">
        <w:rPr>
          <w:rFonts w:ascii="Calibri" w:hAnsi="Calibri"/>
        </w:rPr>
        <w:t>Nonetheless</w:t>
      </w:r>
      <w:r w:rsidR="008F4EDA" w:rsidRPr="00C10319">
        <w:rPr>
          <w:rFonts w:ascii="Calibri" w:hAnsi="Calibri"/>
        </w:rPr>
        <w:t xml:space="preserve">, the mainstreaming of the rights based approach in the public service faced various challenges due to sensitivities around embracing issues of human rights. </w:t>
      </w:r>
      <w:r w:rsidR="00E738C6">
        <w:rPr>
          <w:rFonts w:ascii="Calibri" w:hAnsi="Calibri"/>
        </w:rPr>
        <w:t>Sustained</w:t>
      </w:r>
      <w:r w:rsidR="008F4EDA" w:rsidRPr="00C10319">
        <w:rPr>
          <w:rFonts w:ascii="Calibri" w:hAnsi="Calibri"/>
        </w:rPr>
        <w:t xml:space="preserve"> advocacy</w:t>
      </w:r>
      <w:r w:rsidR="00E738C6">
        <w:rPr>
          <w:rFonts w:ascii="Calibri" w:hAnsi="Calibri"/>
        </w:rPr>
        <w:t xml:space="preserve"> and additional partnerships are</w:t>
      </w:r>
      <w:r w:rsidR="008F4EDA" w:rsidRPr="00C10319">
        <w:rPr>
          <w:rFonts w:ascii="Calibri" w:hAnsi="Calibri"/>
        </w:rPr>
        <w:t xml:space="preserve"> required to introduce the rights based approach as a tool for planning</w:t>
      </w:r>
      <w:r w:rsidR="00E738C6">
        <w:rPr>
          <w:rFonts w:ascii="Calibri" w:hAnsi="Calibri"/>
        </w:rPr>
        <w:t xml:space="preserve">. </w:t>
      </w:r>
    </w:p>
    <w:p w:rsidR="008F4EDA" w:rsidRDefault="008F4EDA" w:rsidP="00C10319">
      <w:pPr>
        <w:pStyle w:val="BodyText2"/>
        <w:jc w:val="both"/>
        <w:rPr>
          <w:rFonts w:ascii="Calibri" w:hAnsi="Calibri"/>
        </w:rPr>
      </w:pPr>
    </w:p>
    <w:p w:rsidR="00712F99" w:rsidRPr="00C10319" w:rsidRDefault="002C2590" w:rsidP="003D6B85">
      <w:pPr>
        <w:pStyle w:val="BodyText2"/>
        <w:numPr>
          <w:ilvl w:val="0"/>
          <w:numId w:val="33"/>
        </w:numPr>
        <w:jc w:val="both"/>
        <w:rPr>
          <w:rFonts w:ascii="Calibri" w:hAnsi="Calibri"/>
        </w:rPr>
      </w:pPr>
      <w:r w:rsidRPr="004F5DE3">
        <w:rPr>
          <w:rFonts w:ascii="Calibri" w:hAnsi="Calibri"/>
        </w:rPr>
        <w:t>Gender equality and women empowerment was integral to UNDP’s support package. The investment over the 5-ye</w:t>
      </w:r>
      <w:r w:rsidR="00493345" w:rsidRPr="004F5DE3">
        <w:rPr>
          <w:rFonts w:ascii="Calibri" w:hAnsi="Calibri"/>
        </w:rPr>
        <w:t>a</w:t>
      </w:r>
      <w:r w:rsidRPr="004F5DE3">
        <w:rPr>
          <w:rFonts w:ascii="Calibri" w:hAnsi="Calibri"/>
        </w:rPr>
        <w:t>r period</w:t>
      </w:r>
      <w:r w:rsidR="006848D9" w:rsidRPr="004F5DE3">
        <w:rPr>
          <w:rFonts w:ascii="Calibri" w:hAnsi="Calibri"/>
        </w:rPr>
        <w:t xml:space="preserve"> focused on pilot projects for income generation tailored for women entrepreneurs</w:t>
      </w:r>
      <w:r w:rsidR="000C4977" w:rsidRPr="004F5DE3">
        <w:rPr>
          <w:rFonts w:ascii="Calibri" w:hAnsi="Calibri"/>
        </w:rPr>
        <w:t>.</w:t>
      </w:r>
      <w:r w:rsidR="006848D9" w:rsidRPr="004F5DE3">
        <w:rPr>
          <w:rFonts w:ascii="Calibri" w:hAnsi="Calibri"/>
        </w:rPr>
        <w:t xml:space="preserve"> In 2014, UNDP supported the GOS to produce </w:t>
      </w:r>
      <w:r w:rsidR="006848D9" w:rsidRPr="004F5DE3">
        <w:rPr>
          <w:rFonts w:ascii="Calibri" w:eastAsia="Calibri" w:hAnsi="Calibri"/>
          <w:szCs w:val="24"/>
          <w:lang w:val="en-ZA"/>
        </w:rPr>
        <w:t>a comprehensive and integrated analysis reflecting long-term trends; opportunities; results achieved and challenges since 1995 and further to take stock on progress made on twelve critical areas of concern of the platform for action with an emphasis on progress since 2009.</w:t>
      </w:r>
      <w:r w:rsidRPr="004F5DE3">
        <w:rPr>
          <w:rFonts w:ascii="Calibri" w:hAnsi="Calibri"/>
        </w:rPr>
        <w:t xml:space="preserve"> </w:t>
      </w:r>
      <w:r w:rsidR="000C4977" w:rsidRPr="004F5DE3">
        <w:rPr>
          <w:rFonts w:ascii="Calibri" w:hAnsi="Calibri"/>
        </w:rPr>
        <w:t>T</w:t>
      </w:r>
      <w:r w:rsidR="003F2643" w:rsidRPr="004F5DE3">
        <w:rPr>
          <w:rFonts w:ascii="Calibri" w:hAnsi="Calibri"/>
        </w:rPr>
        <w:t xml:space="preserve">he </w:t>
      </w:r>
      <w:r w:rsidR="008F4EDA" w:rsidRPr="004F5DE3">
        <w:rPr>
          <w:rFonts w:ascii="Calibri" w:hAnsi="Calibri"/>
        </w:rPr>
        <w:t>twelve critical areas affecting women</w:t>
      </w:r>
      <w:r w:rsidR="003F2643" w:rsidRPr="004F5DE3">
        <w:rPr>
          <w:rFonts w:ascii="Calibri" w:hAnsi="Calibri"/>
        </w:rPr>
        <w:t xml:space="preserve"> </w:t>
      </w:r>
      <w:r w:rsidR="008F4EDA" w:rsidRPr="004F5DE3">
        <w:rPr>
          <w:rFonts w:ascii="Calibri" w:hAnsi="Calibri"/>
        </w:rPr>
        <w:t xml:space="preserve">were integrated in the reviewed National Development Strategy. </w:t>
      </w:r>
      <w:r w:rsidR="00B40D7A" w:rsidRPr="004F5DE3">
        <w:rPr>
          <w:rFonts w:ascii="Calibri" w:hAnsi="Calibri"/>
        </w:rPr>
        <w:t>UNDP supported the development</w:t>
      </w:r>
      <w:r w:rsidR="00B40D7A" w:rsidRPr="003D6B85">
        <w:rPr>
          <w:rFonts w:ascii="Calibri" w:hAnsi="Calibri"/>
        </w:rPr>
        <w:t xml:space="preserve"> of a gender checklist for mainstreaming gender in HIV</w:t>
      </w:r>
      <w:r w:rsidR="00177933" w:rsidRPr="003D6B85">
        <w:rPr>
          <w:rFonts w:ascii="Calibri" w:hAnsi="Calibri"/>
        </w:rPr>
        <w:t>&amp;</w:t>
      </w:r>
      <w:r w:rsidR="00B40D7A" w:rsidRPr="003D6B85">
        <w:rPr>
          <w:rFonts w:ascii="Calibri" w:hAnsi="Calibri"/>
        </w:rPr>
        <w:t xml:space="preserve">AIDS programming.  The gender checklist was also used to inform the development of the </w:t>
      </w:r>
      <w:r w:rsidR="003D6B85" w:rsidRPr="003D6B85">
        <w:rPr>
          <w:rFonts w:ascii="Calibri" w:hAnsi="Calibri"/>
        </w:rPr>
        <w:t>e</w:t>
      </w:r>
      <w:r w:rsidR="003F75B6">
        <w:rPr>
          <w:rFonts w:ascii="Calibri" w:hAnsi="Calibri"/>
        </w:rPr>
        <w:t>xtended</w:t>
      </w:r>
      <w:r w:rsidR="003D6B85" w:rsidRPr="003D6B85">
        <w:rPr>
          <w:rFonts w:ascii="Calibri" w:hAnsi="Calibri"/>
        </w:rPr>
        <w:t xml:space="preserve"> </w:t>
      </w:r>
      <w:r w:rsidR="00B40D7A" w:rsidRPr="003D6B85">
        <w:rPr>
          <w:rFonts w:ascii="Calibri" w:hAnsi="Calibri"/>
        </w:rPr>
        <w:t>N</w:t>
      </w:r>
      <w:r w:rsidR="003D6B85" w:rsidRPr="003D6B85">
        <w:rPr>
          <w:rFonts w:ascii="Calibri" w:hAnsi="Calibri"/>
        </w:rPr>
        <w:t xml:space="preserve">ational </w:t>
      </w:r>
      <w:r w:rsidR="00B40D7A" w:rsidRPr="003D6B85">
        <w:rPr>
          <w:rFonts w:ascii="Calibri" w:hAnsi="Calibri"/>
        </w:rPr>
        <w:t>S</w:t>
      </w:r>
      <w:r w:rsidR="003D6B85" w:rsidRPr="003D6B85">
        <w:rPr>
          <w:rFonts w:ascii="Calibri" w:hAnsi="Calibri"/>
        </w:rPr>
        <w:t xml:space="preserve">trategic </w:t>
      </w:r>
      <w:r w:rsidR="00B40D7A" w:rsidRPr="003D6B85">
        <w:rPr>
          <w:rFonts w:ascii="Calibri" w:hAnsi="Calibri"/>
        </w:rPr>
        <w:t>F</w:t>
      </w:r>
      <w:r w:rsidR="003D6B85" w:rsidRPr="003D6B85">
        <w:rPr>
          <w:rFonts w:ascii="Calibri" w:hAnsi="Calibri"/>
        </w:rPr>
        <w:t>ramework</w:t>
      </w:r>
      <w:r w:rsidR="00B40D7A" w:rsidRPr="00C10319">
        <w:rPr>
          <w:rFonts w:ascii="Calibri" w:hAnsi="Calibri"/>
        </w:rPr>
        <w:t>. Gender considerations in the recruitment of national volunteers result in 50% of the Volunteers being women.</w:t>
      </w:r>
      <w:r w:rsidR="00F20572">
        <w:rPr>
          <w:rFonts w:ascii="Calibri" w:hAnsi="Calibri"/>
        </w:rPr>
        <w:t xml:space="preserve"> </w:t>
      </w:r>
      <w:r w:rsidR="00182FAA" w:rsidRPr="00C10319">
        <w:rPr>
          <w:rFonts w:ascii="Calibri" w:hAnsi="Calibri"/>
        </w:rPr>
        <w:t xml:space="preserve">UNDP supported engagement of women in disaster risk management. Out of 5,501 direct beneficiaries who received critical information on emergency institutions and risks, hazards mitigation measures, 70% were women. </w:t>
      </w:r>
      <w:r w:rsidR="007A492D">
        <w:rPr>
          <w:rFonts w:ascii="Calibri" w:hAnsi="Calibri"/>
        </w:rPr>
        <w:t>In addition,</w:t>
      </w:r>
      <w:r w:rsidR="00182FAA" w:rsidRPr="00C10319">
        <w:rPr>
          <w:rFonts w:ascii="Calibri" w:hAnsi="Calibri"/>
        </w:rPr>
        <w:t xml:space="preserve"> 40% of the members of the development schemes were women contributing to decision making in ecosystem restoration interventions</w:t>
      </w:r>
      <w:r w:rsidR="00F20572">
        <w:rPr>
          <w:rStyle w:val="FootnoteReference"/>
          <w:rFonts w:ascii="Calibri" w:hAnsi="Calibri"/>
        </w:rPr>
        <w:footnoteReference w:id="8"/>
      </w:r>
      <w:r w:rsidR="00182FAA" w:rsidRPr="00C10319">
        <w:rPr>
          <w:rFonts w:ascii="Calibri" w:hAnsi="Calibri"/>
        </w:rPr>
        <w:t>.</w:t>
      </w:r>
    </w:p>
    <w:p w:rsidR="00182FAA" w:rsidRPr="00C10319" w:rsidRDefault="00182FAA" w:rsidP="00C10319">
      <w:pPr>
        <w:pStyle w:val="BodyText2"/>
        <w:jc w:val="both"/>
        <w:rPr>
          <w:rFonts w:ascii="Calibri" w:hAnsi="Calibri"/>
        </w:rPr>
      </w:pPr>
    </w:p>
    <w:p w:rsidR="008F4EDA" w:rsidRPr="003D6B85" w:rsidRDefault="00471EE1" w:rsidP="003D6B85">
      <w:pPr>
        <w:pStyle w:val="BodyText2"/>
        <w:numPr>
          <w:ilvl w:val="0"/>
          <w:numId w:val="33"/>
        </w:numPr>
        <w:jc w:val="both"/>
        <w:rPr>
          <w:rFonts w:ascii="Times New Roman" w:hAnsi="Times New Roman"/>
          <w:b/>
          <w:sz w:val="24"/>
        </w:rPr>
      </w:pPr>
      <w:r w:rsidRPr="00C10319">
        <w:rPr>
          <w:rFonts w:ascii="Calibri" w:hAnsi="Calibri"/>
        </w:rPr>
        <w:t xml:space="preserve">UNDP </w:t>
      </w:r>
      <w:r w:rsidR="008B130C">
        <w:rPr>
          <w:rFonts w:ascii="Calibri" w:hAnsi="Calibri"/>
        </w:rPr>
        <w:t>also</w:t>
      </w:r>
      <w:r w:rsidRPr="00C10319">
        <w:rPr>
          <w:rFonts w:ascii="Calibri" w:hAnsi="Calibri"/>
        </w:rPr>
        <w:t xml:space="preserve"> integrat</w:t>
      </w:r>
      <w:r w:rsidR="008B130C">
        <w:rPr>
          <w:rFonts w:ascii="Calibri" w:hAnsi="Calibri"/>
        </w:rPr>
        <w:t>ed</w:t>
      </w:r>
      <w:r w:rsidRPr="00C10319">
        <w:rPr>
          <w:rFonts w:ascii="Calibri" w:hAnsi="Calibri"/>
        </w:rPr>
        <w:t xml:space="preserve"> gender in its work on </w:t>
      </w:r>
      <w:r w:rsidR="008B130C">
        <w:rPr>
          <w:rFonts w:ascii="Calibri" w:hAnsi="Calibri"/>
        </w:rPr>
        <w:t>a</w:t>
      </w:r>
      <w:r w:rsidRPr="00C10319">
        <w:rPr>
          <w:rFonts w:ascii="Calibri" w:hAnsi="Calibri"/>
        </w:rPr>
        <w:t xml:space="preserve">ccess to justice by poor and vulnerable groups. UNDP supported skills training of 29 Magistrates and members of the Judiciary on the provisions of CEDAW and </w:t>
      </w:r>
      <w:r w:rsidRPr="00C10319">
        <w:rPr>
          <w:rFonts w:ascii="Calibri" w:hAnsi="Calibri"/>
        </w:rPr>
        <w:lastRenderedPageBreak/>
        <w:t xml:space="preserve">its implementation to promote and protect women rights in the adjudication of cases. </w:t>
      </w:r>
      <w:r w:rsidR="008B130C">
        <w:rPr>
          <w:rFonts w:ascii="Calibri" w:hAnsi="Calibri"/>
        </w:rPr>
        <w:t>Besides</w:t>
      </w:r>
      <w:r w:rsidRPr="00C10319">
        <w:rPr>
          <w:rFonts w:ascii="Calibri" w:hAnsi="Calibri"/>
        </w:rPr>
        <w:t xml:space="preserve">, the first Male Engaged Strategy and Action Plan on gender equality </w:t>
      </w:r>
      <w:r w:rsidR="00B73CE6" w:rsidRPr="00C10319">
        <w:rPr>
          <w:rFonts w:ascii="Calibri" w:hAnsi="Calibri"/>
        </w:rPr>
        <w:t>were</w:t>
      </w:r>
      <w:r w:rsidRPr="00C10319">
        <w:rPr>
          <w:rFonts w:ascii="Calibri" w:hAnsi="Calibri"/>
        </w:rPr>
        <w:t xml:space="preserve"> developed with UNDP technical support, to challenge the mindset of </w:t>
      </w:r>
      <w:r w:rsidR="008B130C" w:rsidRPr="00C10319">
        <w:rPr>
          <w:rFonts w:ascii="Calibri" w:hAnsi="Calibri"/>
        </w:rPr>
        <w:t xml:space="preserve">males </w:t>
      </w:r>
      <w:r w:rsidR="008B130C">
        <w:rPr>
          <w:rFonts w:ascii="Calibri" w:hAnsi="Calibri"/>
        </w:rPr>
        <w:t>for</w:t>
      </w:r>
      <w:r w:rsidRPr="00C10319">
        <w:rPr>
          <w:rFonts w:ascii="Calibri" w:hAnsi="Calibri"/>
        </w:rPr>
        <w:t xml:space="preserve"> gender </w:t>
      </w:r>
      <w:r w:rsidR="008B130C">
        <w:rPr>
          <w:rFonts w:ascii="Calibri" w:hAnsi="Calibri"/>
        </w:rPr>
        <w:t xml:space="preserve">equality </w:t>
      </w:r>
      <w:r w:rsidRPr="00C10319">
        <w:rPr>
          <w:rFonts w:ascii="Calibri" w:hAnsi="Calibri"/>
        </w:rPr>
        <w:t xml:space="preserve">transformation. UNDP </w:t>
      </w:r>
      <w:r w:rsidR="008B130C">
        <w:rPr>
          <w:rFonts w:ascii="Calibri" w:hAnsi="Calibri"/>
        </w:rPr>
        <w:t>was engaged in advocacy work o</w:t>
      </w:r>
      <w:r w:rsidRPr="00C10319">
        <w:rPr>
          <w:rFonts w:ascii="Calibri" w:hAnsi="Calibri"/>
        </w:rPr>
        <w:t xml:space="preserve">n GBV, resulting in </w:t>
      </w:r>
      <w:r w:rsidR="008B130C">
        <w:rPr>
          <w:rFonts w:ascii="Calibri" w:hAnsi="Calibri"/>
        </w:rPr>
        <w:t>enhanced coalitions advocating for the</w:t>
      </w:r>
      <w:r w:rsidRPr="00C10319">
        <w:rPr>
          <w:rFonts w:ascii="Calibri" w:hAnsi="Calibri"/>
        </w:rPr>
        <w:t xml:space="preserve"> enactment of the </w:t>
      </w:r>
      <w:r w:rsidR="0013400B">
        <w:rPr>
          <w:rFonts w:ascii="Calibri" w:hAnsi="Calibri"/>
        </w:rPr>
        <w:t>S</w:t>
      </w:r>
      <w:r w:rsidR="008B130C">
        <w:rPr>
          <w:rFonts w:ascii="Calibri" w:hAnsi="Calibri"/>
        </w:rPr>
        <w:t xml:space="preserve">exual </w:t>
      </w:r>
      <w:r w:rsidR="0013400B">
        <w:rPr>
          <w:rFonts w:ascii="Calibri" w:hAnsi="Calibri"/>
        </w:rPr>
        <w:t>O</w:t>
      </w:r>
      <w:r w:rsidR="008B130C">
        <w:rPr>
          <w:rFonts w:ascii="Calibri" w:hAnsi="Calibri"/>
        </w:rPr>
        <w:t xml:space="preserve">ffenses and </w:t>
      </w:r>
      <w:r w:rsidR="0013400B">
        <w:rPr>
          <w:rFonts w:ascii="Calibri" w:hAnsi="Calibri"/>
        </w:rPr>
        <w:t xml:space="preserve">Domestic </w:t>
      </w:r>
      <w:r w:rsidR="000C4977">
        <w:rPr>
          <w:rFonts w:ascii="Calibri" w:hAnsi="Calibri"/>
        </w:rPr>
        <w:t>Violence Act</w:t>
      </w:r>
      <w:r w:rsidRPr="00C10319">
        <w:rPr>
          <w:rFonts w:ascii="Calibri" w:hAnsi="Calibri"/>
        </w:rPr>
        <w:t xml:space="preserve"> to address increasing violence against women and girls</w:t>
      </w:r>
      <w:r w:rsidR="008B130C">
        <w:rPr>
          <w:rFonts w:ascii="Calibri" w:hAnsi="Calibri"/>
        </w:rPr>
        <w:t>. A</w:t>
      </w:r>
      <w:r w:rsidR="00082E0C" w:rsidRPr="00C10319">
        <w:rPr>
          <w:rFonts w:ascii="Calibri" w:hAnsi="Calibri"/>
        </w:rPr>
        <w:t xml:space="preserve"> roadmap for </w:t>
      </w:r>
      <w:r w:rsidR="008B130C">
        <w:rPr>
          <w:rFonts w:ascii="Calibri" w:hAnsi="Calibri"/>
        </w:rPr>
        <w:t xml:space="preserve">increasing </w:t>
      </w:r>
      <w:r w:rsidR="00082E0C" w:rsidRPr="00C10319">
        <w:rPr>
          <w:rFonts w:ascii="Calibri" w:hAnsi="Calibri"/>
        </w:rPr>
        <w:t>women in decision making positions</w:t>
      </w:r>
      <w:r w:rsidR="008B130C">
        <w:rPr>
          <w:rFonts w:ascii="Calibri" w:hAnsi="Calibri"/>
        </w:rPr>
        <w:t xml:space="preserve"> was </w:t>
      </w:r>
      <w:r w:rsidR="0013400B">
        <w:rPr>
          <w:rFonts w:ascii="Calibri" w:hAnsi="Calibri"/>
        </w:rPr>
        <w:t>initiated</w:t>
      </w:r>
      <w:r w:rsidR="00082E0C" w:rsidRPr="00C10319">
        <w:rPr>
          <w:rFonts w:ascii="Calibri" w:hAnsi="Calibri"/>
        </w:rPr>
        <w:t xml:space="preserve">. </w:t>
      </w:r>
      <w:r w:rsidR="008B130C">
        <w:rPr>
          <w:rFonts w:ascii="Calibri" w:hAnsi="Calibri"/>
        </w:rPr>
        <w:t>Consequently,</w:t>
      </w:r>
      <w:r w:rsidR="00800BDF">
        <w:rPr>
          <w:rFonts w:ascii="Calibri" w:hAnsi="Calibri"/>
        </w:rPr>
        <w:t xml:space="preserve"> Women Parliamentary Cauc</w:t>
      </w:r>
      <w:r w:rsidR="00082E0C" w:rsidRPr="00C10319">
        <w:rPr>
          <w:rFonts w:ascii="Calibri" w:hAnsi="Calibri"/>
        </w:rPr>
        <w:t xml:space="preserve">us committed themselves to fully support women empowerment initiatives as coordinated by the Deputy Prime Minister’s Office.    </w:t>
      </w:r>
    </w:p>
    <w:p w:rsidR="003D6B85" w:rsidRDefault="003D6B85" w:rsidP="003D6B85">
      <w:pPr>
        <w:pStyle w:val="BodyText2"/>
        <w:numPr>
          <w:ilvl w:val="0"/>
          <w:numId w:val="33"/>
        </w:numPr>
        <w:jc w:val="both"/>
        <w:rPr>
          <w:rFonts w:ascii="Times New Roman" w:hAnsi="Times New Roman"/>
          <w:b/>
          <w:sz w:val="24"/>
        </w:rPr>
        <w:sectPr w:rsidR="003D6B85">
          <w:headerReference w:type="default" r:id="rId8"/>
          <w:footerReference w:type="default" r:id="rId9"/>
          <w:endnotePr>
            <w:numFmt w:val="decimal"/>
          </w:endnotePr>
          <w:pgSz w:w="11907" w:h="16840" w:code="9"/>
          <w:pgMar w:top="1440" w:right="1440" w:bottom="1440" w:left="1440" w:header="720" w:footer="720" w:gutter="0"/>
          <w:cols w:space="720"/>
        </w:sectPr>
      </w:pPr>
    </w:p>
    <w:p w:rsidR="00975566" w:rsidRPr="00517955" w:rsidRDefault="006900FE" w:rsidP="008440D9">
      <w:pPr>
        <w:pStyle w:val="Heading3"/>
        <w:jc w:val="left"/>
        <w:rPr>
          <w:rFonts w:ascii="Calibri" w:hAnsi="Calibri"/>
          <w:b/>
        </w:rPr>
      </w:pPr>
      <w:r>
        <w:rPr>
          <w:rFonts w:ascii="Calibri" w:hAnsi="Calibri"/>
          <w:b/>
        </w:rPr>
        <w:lastRenderedPageBreak/>
        <w:t>II</w:t>
      </w:r>
      <w:r w:rsidR="0081403B" w:rsidRPr="00517955">
        <w:rPr>
          <w:rFonts w:ascii="Calibri" w:hAnsi="Calibri"/>
          <w:b/>
        </w:rPr>
        <w:t xml:space="preserve">: </w:t>
      </w:r>
      <w:r w:rsidR="000C09B4" w:rsidRPr="00517955">
        <w:rPr>
          <w:rFonts w:ascii="Calibri" w:hAnsi="Calibri"/>
          <w:b/>
        </w:rPr>
        <w:t xml:space="preserve">Country Programme Performance </w:t>
      </w:r>
      <w:r w:rsidR="00975566" w:rsidRPr="00517955">
        <w:rPr>
          <w:rFonts w:ascii="Calibri" w:hAnsi="Calibri"/>
          <w:b/>
        </w:rPr>
        <w:t>Summary</w:t>
      </w:r>
    </w:p>
    <w:p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3060"/>
        <w:gridCol w:w="90"/>
        <w:gridCol w:w="1440"/>
        <w:gridCol w:w="3960"/>
        <w:gridCol w:w="5490"/>
      </w:tblGrid>
      <w:tr w:rsidR="00CB647D" w:rsidRPr="00DC7354" w:rsidTr="00AF25E2">
        <w:tc>
          <w:tcPr>
            <w:tcW w:w="3150" w:type="dxa"/>
            <w:gridSpan w:val="2"/>
            <w:shd w:val="clear" w:color="auto" w:fill="FFC000"/>
          </w:tcPr>
          <w:p w:rsidR="00CB647D" w:rsidRPr="00A85E34" w:rsidRDefault="00CB647D">
            <w:pPr>
              <w:pStyle w:val="BodyText2"/>
              <w:rPr>
                <w:rFonts w:ascii="Calibri" w:hAnsi="Calibri"/>
                <w:b/>
                <w:sz w:val="24"/>
              </w:rPr>
            </w:pPr>
            <w:r w:rsidRPr="00A85E34">
              <w:rPr>
                <w:rFonts w:ascii="Calibri" w:hAnsi="Calibri"/>
                <w:b/>
              </w:rPr>
              <w:t>Country information</w:t>
            </w:r>
          </w:p>
        </w:tc>
        <w:tc>
          <w:tcPr>
            <w:tcW w:w="10890" w:type="dxa"/>
            <w:gridSpan w:val="3"/>
            <w:shd w:val="clear" w:color="auto" w:fill="FFC000"/>
          </w:tcPr>
          <w:p w:rsidR="00CB647D" w:rsidRPr="00A85E34" w:rsidRDefault="00CB647D">
            <w:pPr>
              <w:pStyle w:val="BodyText2"/>
              <w:rPr>
                <w:rFonts w:ascii="Calibri" w:hAnsi="Calibri"/>
                <w:b/>
                <w:sz w:val="24"/>
              </w:rPr>
            </w:pPr>
          </w:p>
        </w:tc>
      </w:tr>
      <w:tr w:rsidR="009B76A1" w:rsidRPr="00DC7354" w:rsidTr="00AF25E2">
        <w:tc>
          <w:tcPr>
            <w:tcW w:w="14040" w:type="dxa"/>
            <w:gridSpan w:val="5"/>
          </w:tcPr>
          <w:p w:rsidR="009B76A1" w:rsidRPr="00DC7354" w:rsidRDefault="009B76A1">
            <w:pPr>
              <w:pStyle w:val="BodyText2"/>
              <w:rPr>
                <w:rFonts w:ascii="Calibri" w:hAnsi="Calibri"/>
                <w:b/>
                <w:sz w:val="24"/>
              </w:rPr>
            </w:pPr>
            <w:r w:rsidRPr="00230A0E">
              <w:rPr>
                <w:rFonts w:ascii="Calibri" w:hAnsi="Calibri"/>
                <w:b/>
              </w:rPr>
              <w:t>Country name:</w:t>
            </w:r>
            <w:r w:rsidR="00BE744C">
              <w:rPr>
                <w:rFonts w:ascii="Calibri" w:hAnsi="Calibri"/>
                <w:b/>
              </w:rPr>
              <w:t xml:space="preserve"> Swaziland</w:t>
            </w:r>
          </w:p>
        </w:tc>
      </w:tr>
      <w:tr w:rsidR="009B76A1" w:rsidRPr="00843006" w:rsidTr="00AF25E2">
        <w:tc>
          <w:tcPr>
            <w:tcW w:w="14040" w:type="dxa"/>
            <w:gridSpan w:val="5"/>
          </w:tcPr>
          <w:p w:rsidR="009B76A1" w:rsidRPr="00843006" w:rsidRDefault="009B76A1" w:rsidP="00BE744C">
            <w:pPr>
              <w:pStyle w:val="BodyText2"/>
              <w:rPr>
                <w:rFonts w:ascii="Calibri" w:hAnsi="Calibri"/>
                <w:b/>
              </w:rPr>
            </w:pPr>
            <w:r w:rsidRPr="00843006">
              <w:rPr>
                <w:rFonts w:ascii="Calibri" w:hAnsi="Calibri"/>
                <w:b/>
              </w:rPr>
              <w:t xml:space="preserve">Current </w:t>
            </w:r>
            <w:r w:rsidR="00BE744C">
              <w:rPr>
                <w:rFonts w:ascii="Calibri" w:hAnsi="Calibri"/>
                <w:b/>
              </w:rPr>
              <w:t>Country P</w:t>
            </w:r>
            <w:r w:rsidRPr="00843006">
              <w:rPr>
                <w:rFonts w:ascii="Calibri" w:hAnsi="Calibri"/>
                <w:b/>
              </w:rPr>
              <w:t>rogram</w:t>
            </w:r>
            <w:r>
              <w:rPr>
                <w:rFonts w:ascii="Calibri" w:hAnsi="Calibri"/>
                <w:b/>
              </w:rPr>
              <w:t>me</w:t>
            </w:r>
            <w:r w:rsidR="00BE744C">
              <w:rPr>
                <w:rFonts w:ascii="Calibri" w:hAnsi="Calibri"/>
                <w:b/>
              </w:rPr>
              <w:t xml:space="preserve"> P</w:t>
            </w:r>
            <w:r w:rsidRPr="00843006">
              <w:rPr>
                <w:rFonts w:ascii="Calibri" w:hAnsi="Calibri"/>
                <w:b/>
              </w:rPr>
              <w:t>eriod:</w:t>
            </w:r>
            <w:r w:rsidR="00BE744C">
              <w:rPr>
                <w:rFonts w:ascii="Calibri" w:hAnsi="Calibri"/>
                <w:b/>
              </w:rPr>
              <w:t xml:space="preserve"> 2011-2015</w:t>
            </w:r>
          </w:p>
        </w:tc>
      </w:tr>
      <w:tr w:rsidR="003B037A" w:rsidRPr="00DC7354" w:rsidTr="00AF25E2">
        <w:tc>
          <w:tcPr>
            <w:tcW w:w="3150" w:type="dxa"/>
            <w:gridSpan w:val="2"/>
            <w:vAlign w:val="center"/>
          </w:tcPr>
          <w:p w:rsidR="003B037A" w:rsidRPr="00DC7354" w:rsidRDefault="003B037A" w:rsidP="00BE744C">
            <w:pPr>
              <w:pStyle w:val="BodyText2"/>
              <w:jc w:val="center"/>
              <w:rPr>
                <w:rFonts w:ascii="Calibri" w:hAnsi="Calibri"/>
                <w:b/>
                <w:sz w:val="24"/>
              </w:rPr>
            </w:pPr>
            <w:r w:rsidRPr="00DC7354">
              <w:rPr>
                <w:rFonts w:ascii="Calibri" w:hAnsi="Calibri"/>
                <w:b/>
                <w:sz w:val="24"/>
              </w:rPr>
              <w:t>Outcome</w:t>
            </w:r>
            <w:r w:rsidR="00700521">
              <w:rPr>
                <w:rFonts w:ascii="Calibri" w:hAnsi="Calibri"/>
                <w:b/>
                <w:sz w:val="24"/>
              </w:rPr>
              <w:t>s</w:t>
            </w:r>
          </w:p>
        </w:tc>
        <w:tc>
          <w:tcPr>
            <w:tcW w:w="1440" w:type="dxa"/>
            <w:shd w:val="clear" w:color="auto" w:fill="auto"/>
            <w:vAlign w:val="center"/>
          </w:tcPr>
          <w:p w:rsidR="003B037A" w:rsidRPr="005F6261" w:rsidRDefault="003B037A" w:rsidP="00BE744C">
            <w:pPr>
              <w:pStyle w:val="BodyText2"/>
              <w:jc w:val="center"/>
              <w:rPr>
                <w:rFonts w:ascii="Calibri" w:hAnsi="Calibri"/>
                <w:b/>
                <w:sz w:val="22"/>
              </w:rPr>
            </w:pPr>
            <w:r w:rsidRPr="005F6261">
              <w:rPr>
                <w:rFonts w:ascii="Calibri" w:hAnsi="Calibri"/>
                <w:b/>
                <w:sz w:val="22"/>
              </w:rPr>
              <w:t>Total Expenditure</w:t>
            </w:r>
          </w:p>
        </w:tc>
        <w:tc>
          <w:tcPr>
            <w:tcW w:w="3960" w:type="dxa"/>
            <w:vAlign w:val="center"/>
          </w:tcPr>
          <w:p w:rsidR="003B037A" w:rsidRPr="005F6261" w:rsidRDefault="003B037A" w:rsidP="007C5B0F">
            <w:pPr>
              <w:pStyle w:val="BodyText2"/>
              <w:jc w:val="center"/>
              <w:rPr>
                <w:rFonts w:ascii="Calibri" w:hAnsi="Calibri"/>
                <w:b/>
                <w:sz w:val="22"/>
              </w:rPr>
            </w:pPr>
            <w:r w:rsidRPr="005F6261">
              <w:rPr>
                <w:rFonts w:ascii="Calibri" w:hAnsi="Calibri"/>
                <w:b/>
                <w:sz w:val="22"/>
              </w:rPr>
              <w:t xml:space="preserve">Key Indicators of outcome </w:t>
            </w:r>
            <w:r w:rsidR="007C5B0F">
              <w:rPr>
                <w:rFonts w:ascii="Calibri" w:hAnsi="Calibri"/>
                <w:b/>
                <w:sz w:val="22"/>
              </w:rPr>
              <w:t xml:space="preserve">                      </w:t>
            </w:r>
            <w:r w:rsidRPr="005F6261">
              <w:rPr>
                <w:rFonts w:ascii="Calibri" w:hAnsi="Calibri"/>
                <w:b/>
                <w:sz w:val="22"/>
              </w:rPr>
              <w:t xml:space="preserve">(1-4 per </w:t>
            </w:r>
            <w:r w:rsidR="007C5B0F">
              <w:rPr>
                <w:rFonts w:ascii="Calibri" w:hAnsi="Calibri"/>
                <w:b/>
                <w:sz w:val="22"/>
              </w:rPr>
              <w:t>O</w:t>
            </w:r>
            <w:r w:rsidRPr="005F6261">
              <w:rPr>
                <w:rFonts w:ascii="Calibri" w:hAnsi="Calibri"/>
                <w:b/>
                <w:sz w:val="22"/>
              </w:rPr>
              <w:t>utcome)</w:t>
            </w:r>
          </w:p>
        </w:tc>
        <w:tc>
          <w:tcPr>
            <w:tcW w:w="5490" w:type="dxa"/>
            <w:vAlign w:val="center"/>
          </w:tcPr>
          <w:p w:rsidR="003B037A" w:rsidRPr="005F6261" w:rsidRDefault="003B037A" w:rsidP="00BE744C">
            <w:pPr>
              <w:pStyle w:val="BodyText2"/>
              <w:jc w:val="center"/>
              <w:rPr>
                <w:rFonts w:ascii="Calibri" w:hAnsi="Calibri"/>
                <w:b/>
                <w:sz w:val="22"/>
              </w:rPr>
            </w:pPr>
            <w:r w:rsidRPr="005F6261">
              <w:rPr>
                <w:rFonts w:ascii="Calibri" w:hAnsi="Calibri"/>
                <w:b/>
                <w:sz w:val="22"/>
              </w:rPr>
              <w:t>P</w:t>
            </w:r>
            <w:r w:rsidR="007C5B0F">
              <w:rPr>
                <w:rFonts w:ascii="Calibri" w:hAnsi="Calibri"/>
                <w:b/>
                <w:sz w:val="22"/>
              </w:rPr>
              <w:t>rogress made against Key I</w:t>
            </w:r>
            <w:r w:rsidRPr="005F6261">
              <w:rPr>
                <w:rFonts w:ascii="Calibri" w:hAnsi="Calibri"/>
                <w:b/>
                <w:sz w:val="22"/>
              </w:rPr>
              <w:t>ndicators</w:t>
            </w:r>
          </w:p>
        </w:tc>
      </w:tr>
      <w:tr w:rsidR="000823AC" w:rsidRPr="00DC7354" w:rsidTr="00AF25E2">
        <w:tc>
          <w:tcPr>
            <w:tcW w:w="3150" w:type="dxa"/>
            <w:gridSpan w:val="2"/>
            <w:shd w:val="clear" w:color="auto" w:fill="95B3D7"/>
            <w:vAlign w:val="center"/>
          </w:tcPr>
          <w:p w:rsidR="003B037A" w:rsidRPr="000823AC" w:rsidRDefault="00A62BAC" w:rsidP="00422E4E">
            <w:pPr>
              <w:pStyle w:val="BodyText2"/>
              <w:numPr>
                <w:ilvl w:val="0"/>
                <w:numId w:val="20"/>
              </w:numPr>
              <w:jc w:val="both"/>
              <w:rPr>
                <w:rFonts w:ascii="Calibri" w:hAnsi="Calibri"/>
                <w:b/>
              </w:rPr>
            </w:pPr>
            <w:r w:rsidRPr="00A62BAC">
              <w:rPr>
                <w:rFonts w:ascii="Calibri" w:hAnsi="Calibri"/>
                <w:b/>
              </w:rPr>
              <w:t>The poor’s access to productive resources increased.</w:t>
            </w:r>
          </w:p>
        </w:tc>
        <w:tc>
          <w:tcPr>
            <w:tcW w:w="1440" w:type="dxa"/>
            <w:shd w:val="clear" w:color="auto" w:fill="auto"/>
            <w:vAlign w:val="center"/>
          </w:tcPr>
          <w:p w:rsidR="003B037A" w:rsidRPr="008459BD" w:rsidRDefault="008459BD" w:rsidP="002C58F7">
            <w:pPr>
              <w:pStyle w:val="BodyText2"/>
              <w:jc w:val="center"/>
              <w:rPr>
                <w:rFonts w:ascii="Calibri" w:hAnsi="Calibri"/>
              </w:rPr>
            </w:pPr>
            <w:r w:rsidRPr="008459BD">
              <w:rPr>
                <w:rFonts w:ascii="Calibri" w:hAnsi="Calibri"/>
              </w:rPr>
              <w:t>$2,995,956</w:t>
            </w:r>
          </w:p>
        </w:tc>
        <w:tc>
          <w:tcPr>
            <w:tcW w:w="3960" w:type="dxa"/>
            <w:vAlign w:val="center"/>
          </w:tcPr>
          <w:p w:rsidR="002D7717" w:rsidRPr="002D7717" w:rsidRDefault="002D7717" w:rsidP="00422E4E">
            <w:pPr>
              <w:pStyle w:val="BodyText2"/>
              <w:numPr>
                <w:ilvl w:val="0"/>
                <w:numId w:val="13"/>
              </w:numPr>
              <w:jc w:val="both"/>
              <w:rPr>
                <w:rFonts w:ascii="Calibri" w:hAnsi="Calibri"/>
              </w:rPr>
            </w:pPr>
            <w:r w:rsidRPr="002D7717">
              <w:rPr>
                <w:rFonts w:ascii="Calibri" w:hAnsi="Calibri"/>
              </w:rPr>
              <w:t xml:space="preserve">Percentage of people living below poverty line </w:t>
            </w:r>
          </w:p>
          <w:p w:rsidR="004C595C" w:rsidRPr="002D7717" w:rsidRDefault="00380C55" w:rsidP="00422E4E">
            <w:pPr>
              <w:pStyle w:val="BodyText2"/>
              <w:numPr>
                <w:ilvl w:val="0"/>
                <w:numId w:val="13"/>
              </w:numPr>
              <w:jc w:val="both"/>
              <w:rPr>
                <w:rFonts w:ascii="Calibri" w:hAnsi="Calibri"/>
              </w:rPr>
            </w:pPr>
            <w:r w:rsidRPr="002D7717">
              <w:rPr>
                <w:rFonts w:ascii="Calibri" w:hAnsi="Calibri"/>
              </w:rPr>
              <w:t>% increase and equitable access of the poor to assets and other resources for sustainable livelihoods</w:t>
            </w:r>
          </w:p>
          <w:p w:rsidR="00E16344" w:rsidRPr="002D7717" w:rsidRDefault="00752615" w:rsidP="002D7717">
            <w:pPr>
              <w:pStyle w:val="BodyText2"/>
              <w:numPr>
                <w:ilvl w:val="0"/>
                <w:numId w:val="13"/>
              </w:numPr>
              <w:jc w:val="both"/>
              <w:rPr>
                <w:rFonts w:ascii="Calibri" w:hAnsi="Calibri"/>
              </w:rPr>
            </w:pPr>
            <w:r w:rsidRPr="00D02B57">
              <w:rPr>
                <w:rFonts w:ascii="Calibri" w:hAnsi="Calibri"/>
              </w:rPr>
              <w:t xml:space="preserve"># of </w:t>
            </w:r>
            <w:r w:rsidR="005F06A5" w:rsidRPr="00D02B57">
              <w:rPr>
                <w:rFonts w:ascii="Calibri" w:hAnsi="Calibri"/>
              </w:rPr>
              <w:t>pro-</w:t>
            </w:r>
            <w:r w:rsidR="000D286C" w:rsidRPr="00D02B57">
              <w:rPr>
                <w:rFonts w:ascii="Calibri" w:hAnsi="Calibri"/>
              </w:rPr>
              <w:t>poor</w:t>
            </w:r>
            <w:r w:rsidR="000D286C" w:rsidRPr="002D7717">
              <w:rPr>
                <w:rFonts w:ascii="Calibri" w:hAnsi="Calibri"/>
              </w:rPr>
              <w:t xml:space="preserve"> </w:t>
            </w:r>
            <w:r w:rsidRPr="002D7717">
              <w:rPr>
                <w:rFonts w:ascii="Calibri" w:hAnsi="Calibri"/>
              </w:rPr>
              <w:t xml:space="preserve">policies </w:t>
            </w:r>
            <w:r w:rsidR="005F06A5" w:rsidRPr="002D7717">
              <w:rPr>
                <w:rFonts w:ascii="Calibri" w:hAnsi="Calibri"/>
              </w:rPr>
              <w:t>and evidence-based policies designed and implemented in an inclusive manner</w:t>
            </w:r>
            <w:r w:rsidR="002D7717" w:rsidRPr="002D7717">
              <w:rPr>
                <w:rFonts w:ascii="Calibri" w:hAnsi="Calibri"/>
              </w:rPr>
              <w:t>.</w:t>
            </w:r>
          </w:p>
        </w:tc>
        <w:tc>
          <w:tcPr>
            <w:tcW w:w="5490" w:type="dxa"/>
            <w:shd w:val="clear" w:color="auto" w:fill="auto"/>
            <w:vAlign w:val="center"/>
          </w:tcPr>
          <w:p w:rsidR="006848D9" w:rsidRPr="002D7717" w:rsidRDefault="002D7717" w:rsidP="006848D9">
            <w:pPr>
              <w:pStyle w:val="BodyText2"/>
              <w:numPr>
                <w:ilvl w:val="0"/>
                <w:numId w:val="14"/>
              </w:numPr>
              <w:jc w:val="both"/>
              <w:rPr>
                <w:rFonts w:ascii="Calibri" w:hAnsi="Calibri"/>
              </w:rPr>
            </w:pPr>
            <w:r w:rsidRPr="006848D9">
              <w:rPr>
                <w:rFonts w:ascii="Calibri" w:hAnsi="Calibri"/>
              </w:rPr>
              <w:t xml:space="preserve">Available </w:t>
            </w:r>
            <w:r w:rsidR="006848D9" w:rsidRPr="006848D9">
              <w:rPr>
                <w:rFonts w:ascii="Calibri" w:hAnsi="Calibri"/>
              </w:rPr>
              <w:t>data based on the SHIE</w:t>
            </w:r>
            <w:r w:rsidR="006848D9" w:rsidRPr="007B7DBE">
              <w:rPr>
                <w:rFonts w:ascii="Calibri" w:hAnsi="Calibri"/>
              </w:rPr>
              <w:t xml:space="preserve"> 2010 indicates</w:t>
            </w:r>
            <w:r w:rsidR="006848D9">
              <w:rPr>
                <w:rFonts w:ascii="Calibri" w:hAnsi="Calibri"/>
              </w:rPr>
              <w:t xml:space="preserve"> the </w:t>
            </w:r>
            <w:hyperlink r:id="rId10" w:history="1">
              <w:r w:rsidR="006848D9" w:rsidRPr="002D7717">
                <w:rPr>
                  <w:rFonts w:ascii="Calibri" w:hAnsi="Calibri"/>
                </w:rPr>
                <w:t>poverty headcount ratio at national poverty lines (% of population</w:t>
              </w:r>
            </w:hyperlink>
            <w:r w:rsidR="006848D9" w:rsidRPr="002D7717">
              <w:rPr>
                <w:rFonts w:ascii="Calibri" w:hAnsi="Calibri"/>
              </w:rPr>
              <w:t>) at 63%</w:t>
            </w:r>
            <w:r w:rsidR="006848D9">
              <w:rPr>
                <w:rFonts w:ascii="Calibri" w:hAnsi="Calibri"/>
              </w:rPr>
              <w:t>.  The SHIE will be updated in 2015/16 and is likely to show different results.</w:t>
            </w:r>
          </w:p>
          <w:p w:rsidR="002D7717" w:rsidRPr="007B7DBE" w:rsidRDefault="002D7717" w:rsidP="006848D9">
            <w:pPr>
              <w:pStyle w:val="BodyText2"/>
              <w:numPr>
                <w:ilvl w:val="0"/>
                <w:numId w:val="14"/>
              </w:numPr>
              <w:jc w:val="both"/>
              <w:rPr>
                <w:rFonts w:ascii="Calibri" w:hAnsi="Calibri"/>
              </w:rPr>
            </w:pPr>
            <w:r w:rsidRPr="006848D9">
              <w:rPr>
                <w:rFonts w:ascii="Calibri" w:hAnsi="Calibri"/>
              </w:rPr>
              <w:t xml:space="preserve">Access to productive resourced improved. By 2014 micro-credit scheme </w:t>
            </w:r>
            <w:r w:rsidRPr="007B7DBE">
              <w:rPr>
                <w:rFonts w:ascii="Calibri" w:hAnsi="Calibri"/>
              </w:rPr>
              <w:t>records showed an increase of membership from 1,254 in 2012 to 15,000 and expanded its capital base from US$28,000 in 2012 to US$395,000</w:t>
            </w:r>
          </w:p>
          <w:p w:rsidR="00A32747" w:rsidRPr="002D7717" w:rsidRDefault="00A32747" w:rsidP="00CB3D47">
            <w:pPr>
              <w:pStyle w:val="BodyText2"/>
              <w:numPr>
                <w:ilvl w:val="0"/>
                <w:numId w:val="14"/>
              </w:numPr>
              <w:jc w:val="both"/>
              <w:rPr>
                <w:rFonts w:ascii="Calibri" w:hAnsi="Calibri"/>
              </w:rPr>
            </w:pPr>
            <w:r w:rsidRPr="00A32747">
              <w:rPr>
                <w:rFonts w:ascii="Calibri" w:hAnsi="Calibri"/>
              </w:rPr>
              <w:t xml:space="preserve">UNDP supported use of evidence-based planning and decision-making within national systems, most notably the installation and capacity building on the use of the </w:t>
            </w:r>
            <w:r w:rsidR="009E0A8D" w:rsidRPr="009E0A8D">
              <w:rPr>
                <w:rFonts w:ascii="Calibri" w:hAnsi="Calibri"/>
              </w:rPr>
              <w:t xml:space="preserve">Threshold (T) </w:t>
            </w:r>
            <w:r w:rsidRPr="009E0A8D">
              <w:rPr>
                <w:rFonts w:ascii="Calibri" w:hAnsi="Calibri"/>
              </w:rPr>
              <w:t>21 planning</w:t>
            </w:r>
            <w:r w:rsidRPr="00A32747">
              <w:rPr>
                <w:rFonts w:ascii="Calibri" w:hAnsi="Calibri"/>
              </w:rPr>
              <w:t xml:space="preserve"> and decision-making tool to strengthen national </w:t>
            </w:r>
            <w:r w:rsidR="00CB3D47">
              <w:rPr>
                <w:rFonts w:ascii="Calibri" w:hAnsi="Calibri"/>
              </w:rPr>
              <w:t>policy making</w:t>
            </w:r>
            <w:r w:rsidRPr="00A32747">
              <w:rPr>
                <w:rFonts w:ascii="Calibri" w:hAnsi="Calibri"/>
              </w:rPr>
              <w:t>.</w:t>
            </w:r>
          </w:p>
        </w:tc>
      </w:tr>
      <w:tr w:rsidR="00530FDE" w:rsidRPr="00DC7354" w:rsidTr="00AF25E2">
        <w:tc>
          <w:tcPr>
            <w:tcW w:w="14040" w:type="dxa"/>
            <w:gridSpan w:val="5"/>
          </w:tcPr>
          <w:p w:rsidR="00843006" w:rsidRPr="00837C4B" w:rsidRDefault="00837C4B" w:rsidP="00EE1D60">
            <w:pPr>
              <w:pStyle w:val="BodyText2"/>
              <w:rPr>
                <w:rFonts w:ascii="Calibri" w:hAnsi="Calibri"/>
                <w:b/>
              </w:rPr>
            </w:pPr>
            <w:r w:rsidRPr="00837C4B">
              <w:rPr>
                <w:rFonts w:ascii="Calibri" w:hAnsi="Calibri"/>
                <w:b/>
              </w:rPr>
              <w:t>UNDP Contribution:</w:t>
            </w:r>
          </w:p>
          <w:p w:rsidR="00B00E5C" w:rsidRPr="00924881" w:rsidRDefault="00B00E5C" w:rsidP="00EE1D60">
            <w:pPr>
              <w:pStyle w:val="BodyText2"/>
              <w:rPr>
                <w:rFonts w:ascii="Calibri" w:hAnsi="Calibri"/>
                <w:b/>
              </w:rPr>
            </w:pPr>
            <w:r w:rsidRPr="00924881">
              <w:rPr>
                <w:rFonts w:ascii="Calibri" w:hAnsi="Calibri"/>
                <w:b/>
                <w:u w:val="single"/>
              </w:rPr>
              <w:t>CP Outputs</w:t>
            </w:r>
            <w:r w:rsidR="00845340" w:rsidRPr="00924881">
              <w:rPr>
                <w:rFonts w:ascii="Calibri" w:hAnsi="Calibri"/>
                <w:b/>
              </w:rPr>
              <w:t>:</w:t>
            </w:r>
          </w:p>
          <w:p w:rsidR="00B00E5C" w:rsidRPr="009B76A1" w:rsidRDefault="00842737" w:rsidP="003B72E4">
            <w:pPr>
              <w:pStyle w:val="BodyText2"/>
              <w:jc w:val="both"/>
              <w:rPr>
                <w:rFonts w:ascii="Calibri" w:hAnsi="Calibri"/>
                <w:i/>
              </w:rPr>
            </w:pPr>
            <w:r w:rsidRPr="00A32747">
              <w:rPr>
                <w:rFonts w:ascii="Calibri" w:hAnsi="Calibri"/>
              </w:rPr>
              <w:t>The CP identified three major outputs to support the Government in achieving this outcome:</w:t>
            </w:r>
            <w:r w:rsidRPr="009B76A1">
              <w:rPr>
                <w:rFonts w:ascii="Calibri" w:hAnsi="Calibri"/>
                <w:i/>
              </w:rPr>
              <w:t xml:space="preserve"> (a) </w:t>
            </w:r>
            <w:r w:rsidR="00752615">
              <w:rPr>
                <w:rFonts w:ascii="Calibri" w:hAnsi="Calibri"/>
                <w:i/>
              </w:rPr>
              <w:t xml:space="preserve">improved social </w:t>
            </w:r>
            <w:r w:rsidR="00422E4E">
              <w:rPr>
                <w:rFonts w:ascii="Calibri" w:hAnsi="Calibri"/>
                <w:i/>
              </w:rPr>
              <w:t xml:space="preserve">and economic welfare of the poor; (b) </w:t>
            </w:r>
            <w:r w:rsidR="00B61F05">
              <w:rPr>
                <w:rFonts w:ascii="Calibri" w:hAnsi="Calibri"/>
                <w:i/>
              </w:rPr>
              <w:t>ensure access by the poor to productive resources through evidence-based policy formulation and implementation</w:t>
            </w:r>
            <w:r w:rsidR="00752615">
              <w:rPr>
                <w:rFonts w:ascii="Calibri" w:hAnsi="Calibri"/>
                <w:i/>
              </w:rPr>
              <w:t>.</w:t>
            </w:r>
          </w:p>
          <w:p w:rsidR="00B00E5C" w:rsidRDefault="00B00E5C" w:rsidP="00EE1D60">
            <w:pPr>
              <w:pStyle w:val="BodyText2"/>
              <w:rPr>
                <w:rFonts w:ascii="Calibri" w:hAnsi="Calibri"/>
              </w:rPr>
            </w:pPr>
          </w:p>
          <w:p w:rsidR="00B00E5C" w:rsidRPr="00924881" w:rsidRDefault="00B00E5C" w:rsidP="00EE1D60">
            <w:pPr>
              <w:pStyle w:val="BodyText2"/>
              <w:rPr>
                <w:rFonts w:ascii="Calibri" w:hAnsi="Calibri"/>
                <w:b/>
              </w:rPr>
            </w:pPr>
            <w:r w:rsidRPr="00924881">
              <w:rPr>
                <w:rFonts w:ascii="Calibri" w:hAnsi="Calibri"/>
                <w:b/>
                <w:u w:val="single"/>
              </w:rPr>
              <w:t>Progress and Achievements</w:t>
            </w:r>
            <w:r w:rsidR="00845340" w:rsidRPr="00924881">
              <w:rPr>
                <w:rFonts w:ascii="Calibri" w:hAnsi="Calibri"/>
                <w:b/>
              </w:rPr>
              <w:t>:</w:t>
            </w:r>
          </w:p>
          <w:p w:rsidR="005303E9" w:rsidRPr="00DC7354" w:rsidRDefault="00A32747" w:rsidP="00474586">
            <w:pPr>
              <w:pStyle w:val="BodyText2"/>
              <w:jc w:val="both"/>
              <w:rPr>
                <w:rFonts w:ascii="Calibri" w:hAnsi="Calibri"/>
              </w:rPr>
            </w:pPr>
            <w:r w:rsidRPr="00A32747">
              <w:rPr>
                <w:rFonts w:ascii="Calibri" w:hAnsi="Calibri"/>
              </w:rPr>
              <w:t>Progress towards th</w:t>
            </w:r>
            <w:r>
              <w:rPr>
                <w:rFonts w:ascii="Calibri" w:hAnsi="Calibri"/>
              </w:rPr>
              <w:t>is</w:t>
            </w:r>
            <w:r w:rsidRPr="00A32747">
              <w:rPr>
                <w:rFonts w:ascii="Calibri" w:hAnsi="Calibri"/>
              </w:rPr>
              <w:t xml:space="preserve"> outcome </w:t>
            </w:r>
            <w:r>
              <w:rPr>
                <w:rFonts w:ascii="Calibri" w:hAnsi="Calibri"/>
              </w:rPr>
              <w:t xml:space="preserve">was uneven and </w:t>
            </w:r>
            <w:r w:rsidRPr="00A32747">
              <w:rPr>
                <w:rFonts w:ascii="Calibri" w:hAnsi="Calibri"/>
              </w:rPr>
              <w:t>lagg</w:t>
            </w:r>
            <w:r>
              <w:rPr>
                <w:rFonts w:ascii="Calibri" w:hAnsi="Calibri"/>
              </w:rPr>
              <w:t>ed</w:t>
            </w:r>
            <w:r w:rsidRPr="00A32747">
              <w:rPr>
                <w:rFonts w:ascii="Calibri" w:hAnsi="Calibri"/>
              </w:rPr>
              <w:t xml:space="preserve"> considerably in some areas. Progress </w:t>
            </w:r>
            <w:r w:rsidR="00474586">
              <w:rPr>
                <w:rFonts w:ascii="Calibri" w:hAnsi="Calibri"/>
              </w:rPr>
              <w:t>was</w:t>
            </w:r>
            <w:r w:rsidRPr="00A32747">
              <w:rPr>
                <w:rFonts w:ascii="Calibri" w:hAnsi="Calibri"/>
              </w:rPr>
              <w:t xml:space="preserve"> largely hampered by resource constraints</w:t>
            </w:r>
            <w:r>
              <w:rPr>
                <w:rFonts w:ascii="Calibri" w:hAnsi="Calibri"/>
              </w:rPr>
              <w:t xml:space="preserve"> within the UNDP</w:t>
            </w:r>
            <w:r w:rsidRPr="00A32747">
              <w:rPr>
                <w:rFonts w:ascii="Calibri" w:hAnsi="Calibri"/>
              </w:rPr>
              <w:t xml:space="preserve"> and the </w:t>
            </w:r>
            <w:r>
              <w:rPr>
                <w:rFonts w:ascii="Calibri" w:hAnsi="Calibri"/>
              </w:rPr>
              <w:t>G</w:t>
            </w:r>
            <w:r w:rsidRPr="00A32747">
              <w:rPr>
                <w:rFonts w:ascii="Calibri" w:hAnsi="Calibri"/>
              </w:rPr>
              <w:t>overnment.</w:t>
            </w:r>
            <w:r w:rsidRPr="00671E33">
              <w:rPr>
                <w:rFonts w:ascii="Calibri" w:hAnsi="Calibri"/>
              </w:rPr>
              <w:t xml:space="preserve"> The latest MD</w:t>
            </w:r>
            <w:r>
              <w:rPr>
                <w:rFonts w:ascii="Calibri" w:hAnsi="Calibri"/>
              </w:rPr>
              <w:t>G progress report also indicates</w:t>
            </w:r>
            <w:r w:rsidRPr="00671E33">
              <w:rPr>
                <w:rFonts w:ascii="Calibri" w:hAnsi="Calibri"/>
              </w:rPr>
              <w:t xml:space="preserve"> that acceleration was required for MDG targets 1A and 1B, although target 1C was reported to be on track</w:t>
            </w:r>
            <w:r>
              <w:rPr>
                <w:rFonts w:ascii="Calibri" w:hAnsi="Calibri"/>
              </w:rPr>
              <w:t xml:space="preserve">. </w:t>
            </w:r>
            <w:r w:rsidR="00B853E3" w:rsidRPr="00A32747">
              <w:rPr>
                <w:rFonts w:ascii="Calibri" w:hAnsi="Calibri"/>
              </w:rPr>
              <w:t xml:space="preserve">At upstream policy level, UNDP </w:t>
            </w:r>
            <w:r w:rsidR="00B853E3" w:rsidRPr="00513934">
              <w:rPr>
                <w:rFonts w:ascii="Calibri" w:hAnsi="Calibri"/>
              </w:rPr>
              <w:t>supported development and use of evidence-based planning and decision-making within national systems, most notably the installation and capacity building on the use of the T21 planning</w:t>
            </w:r>
            <w:r w:rsidR="00B853E3" w:rsidRPr="00A32747">
              <w:rPr>
                <w:rFonts w:ascii="Calibri" w:hAnsi="Calibri"/>
              </w:rPr>
              <w:t xml:space="preserve"> and decision-making tool to strengthen national </w:t>
            </w:r>
            <w:r w:rsidR="00CB3D47">
              <w:rPr>
                <w:rFonts w:ascii="Calibri" w:hAnsi="Calibri"/>
              </w:rPr>
              <w:t>policy making</w:t>
            </w:r>
            <w:r w:rsidR="00B853E3" w:rsidRPr="00A32747">
              <w:rPr>
                <w:rFonts w:ascii="Calibri" w:hAnsi="Calibri"/>
              </w:rPr>
              <w:t xml:space="preserve">. Through support for the development of the Swaziland Development Indicators (SDI), national M&amp;E Framework, UNDP contributed to strengthen national planning, budgeting and decision-making systems towards reduction of poverty. However, there was no reported change in the outcome indicator to reduce the proportion of people living below poverty line, which is partly due to lack of data. </w:t>
            </w:r>
            <w:r w:rsidR="005303E9" w:rsidRPr="005303E9">
              <w:rPr>
                <w:rFonts w:ascii="Calibri" w:hAnsi="Calibri"/>
              </w:rPr>
              <w:t>UNDP</w:t>
            </w:r>
            <w:r w:rsidR="00CB3D47">
              <w:rPr>
                <w:rFonts w:ascii="Calibri" w:hAnsi="Calibri"/>
              </w:rPr>
              <w:t>’s</w:t>
            </w:r>
            <w:r w:rsidR="005303E9" w:rsidRPr="005303E9">
              <w:rPr>
                <w:rFonts w:ascii="Calibri" w:hAnsi="Calibri"/>
              </w:rPr>
              <w:t xml:space="preserve"> advocacy contributed to funding of small an</w:t>
            </w:r>
            <w:r w:rsidR="009021F6">
              <w:rPr>
                <w:rFonts w:ascii="Calibri" w:hAnsi="Calibri"/>
              </w:rPr>
              <w:t>d medium enterprises (SMEs) by C</w:t>
            </w:r>
            <w:r w:rsidR="005303E9" w:rsidRPr="005303E9">
              <w:rPr>
                <w:rFonts w:ascii="Calibri" w:hAnsi="Calibri"/>
              </w:rPr>
              <w:t xml:space="preserve">ommercial </w:t>
            </w:r>
            <w:r w:rsidR="009021F6">
              <w:rPr>
                <w:rFonts w:ascii="Calibri" w:hAnsi="Calibri"/>
              </w:rPr>
              <w:t>B</w:t>
            </w:r>
            <w:r w:rsidR="005303E9" w:rsidRPr="005303E9">
              <w:rPr>
                <w:rFonts w:ascii="Calibri" w:hAnsi="Calibri"/>
              </w:rPr>
              <w:t xml:space="preserve">anks, including establishment by of Poverty Funds </w:t>
            </w:r>
            <w:r w:rsidR="000A09D2">
              <w:rPr>
                <w:rFonts w:ascii="Calibri" w:hAnsi="Calibri"/>
              </w:rPr>
              <w:t xml:space="preserve">by </w:t>
            </w:r>
            <w:r w:rsidR="000A09D2" w:rsidRPr="005303E9">
              <w:rPr>
                <w:rFonts w:ascii="Calibri" w:hAnsi="Calibri"/>
              </w:rPr>
              <w:t xml:space="preserve">the Government </w:t>
            </w:r>
            <w:r w:rsidR="005303E9" w:rsidRPr="005303E9">
              <w:rPr>
                <w:rFonts w:ascii="Calibri" w:hAnsi="Calibri"/>
              </w:rPr>
              <w:t>to be accessed by the poor. In the area of advisory services, UNDP also successfully supported development of the National Human Development Report (NHDR), as well as review of the N</w:t>
            </w:r>
            <w:r w:rsidR="000A09D2">
              <w:rPr>
                <w:rFonts w:ascii="Calibri" w:hAnsi="Calibri"/>
              </w:rPr>
              <w:t xml:space="preserve">ational </w:t>
            </w:r>
            <w:r w:rsidR="005303E9" w:rsidRPr="005303E9">
              <w:rPr>
                <w:rFonts w:ascii="Calibri" w:hAnsi="Calibri"/>
              </w:rPr>
              <w:t>D</w:t>
            </w:r>
            <w:r w:rsidR="000A09D2">
              <w:rPr>
                <w:rFonts w:ascii="Calibri" w:hAnsi="Calibri"/>
              </w:rPr>
              <w:t xml:space="preserve">evelopment </w:t>
            </w:r>
            <w:r w:rsidR="005303E9" w:rsidRPr="005303E9">
              <w:rPr>
                <w:rFonts w:ascii="Calibri" w:hAnsi="Calibri"/>
              </w:rPr>
              <w:t>S</w:t>
            </w:r>
            <w:r w:rsidR="000A09D2">
              <w:rPr>
                <w:rFonts w:ascii="Calibri" w:hAnsi="Calibri"/>
              </w:rPr>
              <w:t>trategy</w:t>
            </w:r>
            <w:r w:rsidR="005303E9" w:rsidRPr="005303E9">
              <w:rPr>
                <w:rFonts w:ascii="Calibri" w:hAnsi="Calibri"/>
              </w:rPr>
              <w:t xml:space="preserve"> and road map of the </w:t>
            </w:r>
            <w:r w:rsidR="00513934">
              <w:rPr>
                <w:rFonts w:ascii="Calibri" w:hAnsi="Calibri"/>
              </w:rPr>
              <w:t xml:space="preserve">Poverty Reduction Strategy </w:t>
            </w:r>
            <w:r w:rsidR="00513934" w:rsidRPr="00513934">
              <w:rPr>
                <w:rFonts w:ascii="Calibri" w:hAnsi="Calibri"/>
              </w:rPr>
              <w:t>Action Plan (</w:t>
            </w:r>
            <w:r w:rsidR="005303E9" w:rsidRPr="00513934">
              <w:rPr>
                <w:rFonts w:ascii="Calibri" w:hAnsi="Calibri"/>
              </w:rPr>
              <w:t>PRSAP</w:t>
            </w:r>
            <w:r w:rsidR="00513934" w:rsidRPr="00513934">
              <w:rPr>
                <w:rFonts w:ascii="Calibri" w:hAnsi="Calibri"/>
              </w:rPr>
              <w:t>)</w:t>
            </w:r>
            <w:r w:rsidR="005303E9" w:rsidRPr="00513934">
              <w:rPr>
                <w:rFonts w:ascii="Calibri" w:hAnsi="Calibri"/>
              </w:rPr>
              <w:t>. With</w:t>
            </w:r>
            <w:r w:rsidR="005303E9" w:rsidRPr="005303E9">
              <w:rPr>
                <w:rFonts w:ascii="Calibri" w:hAnsi="Calibri"/>
              </w:rPr>
              <w:t xml:space="preserve"> UNDP support, the Central Statistics Office </w:t>
            </w:r>
            <w:r w:rsidR="005303E9" w:rsidRPr="005303E9">
              <w:rPr>
                <w:rFonts w:ascii="Calibri" w:hAnsi="Calibri"/>
              </w:rPr>
              <w:lastRenderedPageBreak/>
              <w:t>successfully undertook the Swaziland Household Livelihood and Activity Survey 2013, which had national coverage and targeted particularly income generation of women and youth. Government’s accountability and reporting towards Vision 2022, was also enhanced by supporting capacity development for Statistics and Planning personnel in data collection, monitoring and analysis; resulting in the development for the first time in Swaziland, of localized human development index at national and regional level.</w:t>
            </w:r>
          </w:p>
        </w:tc>
      </w:tr>
      <w:tr w:rsidR="003B037A" w:rsidRPr="00DC7354" w:rsidTr="001720F0">
        <w:tc>
          <w:tcPr>
            <w:tcW w:w="3060" w:type="dxa"/>
            <w:shd w:val="clear" w:color="auto" w:fill="95B3D7"/>
            <w:vAlign w:val="center"/>
          </w:tcPr>
          <w:p w:rsidR="00A62BAC" w:rsidRPr="007C5B0F" w:rsidRDefault="00A62BAC" w:rsidP="00A62BAC">
            <w:pPr>
              <w:pStyle w:val="Default"/>
              <w:numPr>
                <w:ilvl w:val="0"/>
                <w:numId w:val="20"/>
              </w:numPr>
              <w:jc w:val="both"/>
              <w:rPr>
                <w:rFonts w:ascii="Calibri" w:hAnsi="Calibri"/>
                <w:b/>
                <w:color w:val="auto"/>
                <w:sz w:val="20"/>
                <w:szCs w:val="20"/>
                <w:lang w:val="en-US" w:eastAsia="en-US"/>
              </w:rPr>
            </w:pPr>
            <w:r w:rsidRPr="00A62BAC">
              <w:rPr>
                <w:rFonts w:ascii="Calibri" w:hAnsi="Calibri"/>
                <w:b/>
                <w:color w:val="auto"/>
                <w:sz w:val="20"/>
                <w:szCs w:val="20"/>
                <w:lang w:val="en-US" w:eastAsia="en-US"/>
              </w:rPr>
              <w:lastRenderedPageBreak/>
              <w:t>A human rights-based and gender sensitive HIV and AIDS response strategy effectively supported.</w:t>
            </w:r>
          </w:p>
        </w:tc>
        <w:tc>
          <w:tcPr>
            <w:tcW w:w="1530" w:type="dxa"/>
            <w:gridSpan w:val="2"/>
            <w:shd w:val="clear" w:color="auto" w:fill="FFFFFF"/>
            <w:vAlign w:val="center"/>
          </w:tcPr>
          <w:p w:rsidR="003B037A" w:rsidRPr="00C454F0" w:rsidRDefault="00EA5948" w:rsidP="00C454F0">
            <w:pPr>
              <w:pStyle w:val="BodyText2"/>
              <w:jc w:val="center"/>
              <w:rPr>
                <w:rFonts w:ascii="Calibri" w:hAnsi="Calibri"/>
                <w:highlight w:val="yellow"/>
              </w:rPr>
            </w:pPr>
            <w:r w:rsidRPr="00EA5948">
              <w:rPr>
                <w:rFonts w:ascii="Calibri" w:hAnsi="Calibri"/>
              </w:rPr>
              <w:t>$624,922</w:t>
            </w:r>
          </w:p>
        </w:tc>
        <w:tc>
          <w:tcPr>
            <w:tcW w:w="3960" w:type="dxa"/>
            <w:vAlign w:val="center"/>
          </w:tcPr>
          <w:p w:rsidR="003B037A" w:rsidRPr="00C454F0" w:rsidRDefault="003B037A" w:rsidP="00C454F0">
            <w:pPr>
              <w:pStyle w:val="BodyText2"/>
              <w:numPr>
                <w:ilvl w:val="0"/>
                <w:numId w:val="15"/>
              </w:numPr>
              <w:jc w:val="both"/>
              <w:rPr>
                <w:rFonts w:ascii="Calibri" w:hAnsi="Calibri"/>
              </w:rPr>
            </w:pPr>
            <w:r w:rsidRPr="00C454F0">
              <w:rPr>
                <w:rFonts w:ascii="Calibri" w:hAnsi="Calibri"/>
              </w:rPr>
              <w:t xml:space="preserve">% </w:t>
            </w:r>
            <w:r w:rsidR="00380C55" w:rsidRPr="00C454F0">
              <w:rPr>
                <w:rFonts w:ascii="Calibri" w:hAnsi="Calibri"/>
              </w:rPr>
              <w:t>reduction in new HIV cases (</w:t>
            </w:r>
            <w:r w:rsidR="00380C55" w:rsidRPr="008B2109">
              <w:rPr>
                <w:rFonts w:ascii="Calibri" w:hAnsi="Calibri"/>
                <w:i/>
              </w:rPr>
              <w:t>HIV incidence rate</w:t>
            </w:r>
            <w:r w:rsidR="00380C55" w:rsidRPr="00C454F0">
              <w:rPr>
                <w:rFonts w:ascii="Calibri" w:hAnsi="Calibri"/>
              </w:rPr>
              <w:t>)</w:t>
            </w:r>
          </w:p>
          <w:p w:rsidR="003B037A" w:rsidRPr="00C454F0" w:rsidRDefault="005F06A5" w:rsidP="00C454F0">
            <w:pPr>
              <w:pStyle w:val="BodyText2"/>
              <w:numPr>
                <w:ilvl w:val="0"/>
                <w:numId w:val="15"/>
              </w:numPr>
              <w:jc w:val="both"/>
              <w:rPr>
                <w:rFonts w:ascii="Calibri" w:hAnsi="Calibri"/>
              </w:rPr>
            </w:pPr>
            <w:r w:rsidRPr="00C454F0">
              <w:rPr>
                <w:rFonts w:ascii="Calibri" w:hAnsi="Calibri"/>
              </w:rPr>
              <w:t># of CSOs and Government plans aligned to the national strategic framework and inform M&amp;E database</w:t>
            </w:r>
          </w:p>
        </w:tc>
        <w:tc>
          <w:tcPr>
            <w:tcW w:w="5490" w:type="dxa"/>
            <w:shd w:val="clear" w:color="auto" w:fill="auto"/>
            <w:vAlign w:val="center"/>
          </w:tcPr>
          <w:p w:rsidR="00E40905" w:rsidRDefault="00A01ACF" w:rsidP="00087233">
            <w:pPr>
              <w:pStyle w:val="BodyText2"/>
              <w:numPr>
                <w:ilvl w:val="0"/>
                <w:numId w:val="16"/>
              </w:numPr>
              <w:jc w:val="both"/>
              <w:rPr>
                <w:rFonts w:ascii="Calibri" w:hAnsi="Calibri"/>
              </w:rPr>
            </w:pPr>
            <w:r w:rsidRPr="00C454F0">
              <w:rPr>
                <w:rFonts w:ascii="Calibri" w:hAnsi="Calibri"/>
              </w:rPr>
              <w:t xml:space="preserve">The evidence suggests that progress was </w:t>
            </w:r>
            <w:r w:rsidR="00087233">
              <w:rPr>
                <w:rFonts w:ascii="Calibri" w:hAnsi="Calibri"/>
              </w:rPr>
              <w:t>made</w:t>
            </w:r>
            <w:r w:rsidRPr="00C454F0">
              <w:rPr>
                <w:rFonts w:ascii="Calibri" w:hAnsi="Calibri"/>
              </w:rPr>
              <w:t xml:space="preserve"> towards reduction of HIV incidence rate, while HIV prevalence had stabilized. Overall</w:t>
            </w:r>
            <w:r w:rsidR="008B2109">
              <w:rPr>
                <w:rFonts w:ascii="Calibri" w:hAnsi="Calibri"/>
              </w:rPr>
              <w:t>,</w:t>
            </w:r>
            <w:r w:rsidRPr="00C454F0">
              <w:rPr>
                <w:rFonts w:ascii="Calibri" w:hAnsi="Calibri"/>
              </w:rPr>
              <w:t xml:space="preserve"> adult HIV inciden</w:t>
            </w:r>
            <w:r w:rsidR="00087233">
              <w:rPr>
                <w:rFonts w:ascii="Calibri" w:hAnsi="Calibri"/>
              </w:rPr>
              <w:t>ce in Swaziland was 2.4%</w:t>
            </w:r>
            <w:r w:rsidRPr="00C454F0">
              <w:rPr>
                <w:rFonts w:ascii="Calibri" w:hAnsi="Calibri"/>
              </w:rPr>
              <w:t>, with lower rate among men (1.7%) compared to women (3.1%).</w:t>
            </w:r>
            <w:r w:rsidR="00087233">
              <w:rPr>
                <w:rFonts w:ascii="Calibri" w:hAnsi="Calibri"/>
              </w:rPr>
              <w:t xml:space="preserve"> N</w:t>
            </w:r>
            <w:r w:rsidR="00107918" w:rsidRPr="00C454F0">
              <w:rPr>
                <w:rFonts w:ascii="Calibri" w:hAnsi="Calibri"/>
              </w:rPr>
              <w:t>ational HIV prevalence of 31% among adults 18-49 years</w:t>
            </w:r>
            <w:r w:rsidR="00087233">
              <w:rPr>
                <w:rFonts w:ascii="Calibri" w:hAnsi="Calibri"/>
              </w:rPr>
              <w:t xml:space="preserve">, </w:t>
            </w:r>
            <w:r w:rsidR="00082448" w:rsidRPr="00C454F0">
              <w:rPr>
                <w:rFonts w:ascii="Calibri" w:hAnsi="Calibri"/>
              </w:rPr>
              <w:t>indicating that the overall HIV prevalence in Swaziland had</w:t>
            </w:r>
            <w:r w:rsidR="00087233">
              <w:rPr>
                <w:rFonts w:ascii="Calibri" w:hAnsi="Calibri"/>
              </w:rPr>
              <w:t xml:space="preserve"> remained the same or stabilizing</w:t>
            </w:r>
            <w:r w:rsidR="00E40905">
              <w:rPr>
                <w:rFonts w:ascii="Calibri" w:hAnsi="Calibri"/>
              </w:rPr>
              <w:t>.</w:t>
            </w:r>
          </w:p>
          <w:p w:rsidR="002D6843" w:rsidRPr="00C454F0" w:rsidRDefault="00E40905" w:rsidP="002D6843">
            <w:pPr>
              <w:pStyle w:val="BodyText2"/>
              <w:numPr>
                <w:ilvl w:val="0"/>
                <w:numId w:val="16"/>
              </w:numPr>
              <w:jc w:val="both"/>
              <w:rPr>
                <w:rFonts w:ascii="Calibri" w:hAnsi="Calibri"/>
              </w:rPr>
            </w:pPr>
            <w:r>
              <w:rPr>
                <w:rFonts w:ascii="Calibri" w:hAnsi="Calibri"/>
              </w:rPr>
              <w:t xml:space="preserve">Support to civil society enhanced their </w:t>
            </w:r>
            <w:r w:rsidRPr="00C10319">
              <w:rPr>
                <w:rFonts w:ascii="Calibri" w:hAnsi="Calibri"/>
              </w:rPr>
              <w:t>response systems. Since the inception the National Volunteer programme</w:t>
            </w:r>
            <w:r>
              <w:rPr>
                <w:rFonts w:ascii="Calibri" w:hAnsi="Calibri"/>
              </w:rPr>
              <w:t>,</w:t>
            </w:r>
            <w:r w:rsidRPr="00C10319">
              <w:rPr>
                <w:rFonts w:ascii="Calibri" w:hAnsi="Calibri"/>
              </w:rPr>
              <w:t xml:space="preserve"> UNDP has supported 48 Volunteers placed with Civil Society Organizations to strengthen M&amp;E, financial management and resource mobilization</w:t>
            </w:r>
            <w:r w:rsidR="002D6843">
              <w:rPr>
                <w:rFonts w:ascii="Calibri" w:hAnsi="Calibri"/>
              </w:rPr>
              <w:t xml:space="preserve">. Besides, the </w:t>
            </w:r>
            <w:r w:rsidR="002D6843" w:rsidRPr="0012317A">
              <w:rPr>
                <w:rFonts w:ascii="Calibri" w:hAnsi="Calibri"/>
              </w:rPr>
              <w:t xml:space="preserve">Coordination Assembly for Non-Governmental Organizations (CANGO) </w:t>
            </w:r>
            <w:r w:rsidR="002D6843">
              <w:rPr>
                <w:rFonts w:ascii="Calibri" w:hAnsi="Calibri"/>
              </w:rPr>
              <w:t>was</w:t>
            </w:r>
            <w:r w:rsidR="002D6843" w:rsidRPr="0012317A">
              <w:rPr>
                <w:rFonts w:ascii="Calibri" w:hAnsi="Calibri"/>
              </w:rPr>
              <w:t xml:space="preserve"> assessed to become principal recipient for Global Fund </w:t>
            </w:r>
            <w:r w:rsidR="002D6843">
              <w:rPr>
                <w:rFonts w:ascii="Calibri" w:hAnsi="Calibri"/>
              </w:rPr>
              <w:t xml:space="preserve">response to </w:t>
            </w:r>
            <w:r w:rsidR="002D6843" w:rsidRPr="0012317A">
              <w:rPr>
                <w:rFonts w:ascii="Calibri" w:hAnsi="Calibri"/>
              </w:rPr>
              <w:t xml:space="preserve">AIDS, Tuberculosis and Malaria (GFATM).  </w:t>
            </w:r>
          </w:p>
        </w:tc>
      </w:tr>
      <w:tr w:rsidR="00700521" w:rsidRPr="00DC7354" w:rsidTr="00AF25E2">
        <w:tc>
          <w:tcPr>
            <w:tcW w:w="14040" w:type="dxa"/>
            <w:gridSpan w:val="5"/>
          </w:tcPr>
          <w:p w:rsidR="00700521" w:rsidRPr="00837C4B" w:rsidRDefault="00700521" w:rsidP="00366AD1">
            <w:pPr>
              <w:pStyle w:val="BodyText2"/>
              <w:rPr>
                <w:rFonts w:ascii="Calibri" w:hAnsi="Calibri"/>
                <w:b/>
              </w:rPr>
            </w:pPr>
            <w:r w:rsidRPr="00837C4B">
              <w:rPr>
                <w:rFonts w:ascii="Calibri" w:hAnsi="Calibri"/>
                <w:b/>
              </w:rPr>
              <w:t>UNDP Contribution:</w:t>
            </w:r>
          </w:p>
          <w:p w:rsidR="008B06DD" w:rsidRDefault="008B06DD" w:rsidP="00612159">
            <w:pPr>
              <w:pStyle w:val="BodyText2"/>
              <w:rPr>
                <w:rFonts w:ascii="Calibri" w:hAnsi="Calibri"/>
              </w:rPr>
            </w:pPr>
            <w:r w:rsidRPr="00924881">
              <w:rPr>
                <w:rFonts w:ascii="Calibri" w:hAnsi="Calibri"/>
                <w:b/>
                <w:u w:val="single"/>
              </w:rPr>
              <w:t>CP Outputs</w:t>
            </w:r>
            <w:r w:rsidR="00845340">
              <w:rPr>
                <w:rFonts w:ascii="Calibri" w:hAnsi="Calibri"/>
              </w:rPr>
              <w:t>:</w:t>
            </w:r>
            <w:r w:rsidR="006A6510">
              <w:rPr>
                <w:rFonts w:ascii="Calibri" w:hAnsi="Calibri"/>
              </w:rPr>
              <w:t xml:space="preserve"> </w:t>
            </w:r>
            <w:r w:rsidR="00B61F05">
              <w:rPr>
                <w:rFonts w:ascii="Calibri" w:hAnsi="Calibri"/>
              </w:rPr>
              <w:t>Two associated outputs include</w:t>
            </w:r>
            <w:r w:rsidR="0012317A">
              <w:rPr>
                <w:rFonts w:ascii="Calibri" w:hAnsi="Calibri"/>
              </w:rPr>
              <w:t>d</w:t>
            </w:r>
            <w:r w:rsidR="00B61F05">
              <w:rPr>
                <w:rFonts w:ascii="Calibri" w:hAnsi="Calibri"/>
              </w:rPr>
              <w:t xml:space="preserve">: </w:t>
            </w:r>
            <w:r w:rsidR="00B61F05" w:rsidRPr="0012317A">
              <w:rPr>
                <w:rFonts w:ascii="Calibri" w:hAnsi="Calibri"/>
                <w:i/>
              </w:rPr>
              <w:t xml:space="preserve">(a) </w:t>
            </w:r>
            <w:r w:rsidR="006A6510" w:rsidRPr="0012317A">
              <w:rPr>
                <w:rFonts w:ascii="Calibri" w:hAnsi="Calibri"/>
                <w:i/>
              </w:rPr>
              <w:t>significantly reduced new cases of HIV</w:t>
            </w:r>
            <w:r w:rsidR="00B61F05" w:rsidRPr="0012317A">
              <w:rPr>
                <w:rFonts w:ascii="Calibri" w:hAnsi="Calibri"/>
                <w:i/>
              </w:rPr>
              <w:t xml:space="preserve">; and (b) planning, </w:t>
            </w:r>
            <w:r w:rsidR="0012317A" w:rsidRPr="0012317A">
              <w:rPr>
                <w:rFonts w:ascii="Calibri" w:hAnsi="Calibri"/>
                <w:i/>
              </w:rPr>
              <w:t>coordination</w:t>
            </w:r>
            <w:r w:rsidR="00B61F05" w:rsidRPr="0012317A">
              <w:rPr>
                <w:rFonts w:ascii="Calibri" w:hAnsi="Calibri"/>
                <w:i/>
              </w:rPr>
              <w:t>, M&amp;E of the response improved.</w:t>
            </w:r>
          </w:p>
          <w:p w:rsidR="0012317A" w:rsidRPr="00845340" w:rsidRDefault="0012317A" w:rsidP="00612159">
            <w:pPr>
              <w:pStyle w:val="BodyText2"/>
              <w:rPr>
                <w:rFonts w:ascii="Calibri" w:hAnsi="Calibri"/>
              </w:rPr>
            </w:pPr>
          </w:p>
          <w:p w:rsidR="00700521" w:rsidRPr="00924881" w:rsidRDefault="008B06DD" w:rsidP="00D9192E">
            <w:pPr>
              <w:pStyle w:val="BodyText2"/>
              <w:rPr>
                <w:rFonts w:ascii="Calibri" w:hAnsi="Calibri"/>
                <w:b/>
              </w:rPr>
            </w:pPr>
            <w:r w:rsidRPr="00924881">
              <w:rPr>
                <w:rFonts w:ascii="Calibri" w:hAnsi="Calibri"/>
                <w:b/>
                <w:u w:val="single"/>
              </w:rPr>
              <w:t>Progress and Achievements</w:t>
            </w:r>
            <w:r w:rsidR="00845340" w:rsidRPr="00924881">
              <w:rPr>
                <w:rFonts w:ascii="Calibri" w:hAnsi="Calibri"/>
                <w:b/>
              </w:rPr>
              <w:t>:</w:t>
            </w:r>
          </w:p>
          <w:p w:rsidR="00B853E3" w:rsidRPr="00CB50DC" w:rsidRDefault="00B853E3" w:rsidP="00CB645A">
            <w:pPr>
              <w:pStyle w:val="BodyText2"/>
              <w:jc w:val="both"/>
            </w:pPr>
            <w:r w:rsidRPr="0012317A">
              <w:rPr>
                <w:rFonts w:ascii="Calibri" w:hAnsi="Calibri"/>
              </w:rPr>
              <w:t>UNDP contributed effectively to t</w:t>
            </w:r>
            <w:r w:rsidR="00B6521F">
              <w:rPr>
                <w:rFonts w:ascii="Calibri" w:hAnsi="Calibri"/>
              </w:rPr>
              <w:t>he national response on HIV&amp;</w:t>
            </w:r>
            <w:r w:rsidRPr="0012317A">
              <w:rPr>
                <w:rFonts w:ascii="Calibri" w:hAnsi="Calibri"/>
              </w:rPr>
              <w:t>AIDS.</w:t>
            </w:r>
            <w:r w:rsidR="0062311F" w:rsidRPr="0012317A">
              <w:rPr>
                <w:sz w:val="24"/>
                <w:szCs w:val="24"/>
              </w:rPr>
              <w:t xml:space="preserve"> </w:t>
            </w:r>
            <w:r w:rsidR="0062311F" w:rsidRPr="0012317A">
              <w:rPr>
                <w:rFonts w:ascii="Calibri" w:hAnsi="Calibri"/>
              </w:rPr>
              <w:t>Government partners acknowledged</w:t>
            </w:r>
            <w:r w:rsidR="00B6521F">
              <w:rPr>
                <w:rFonts w:ascii="Calibri" w:hAnsi="Calibri"/>
              </w:rPr>
              <w:t xml:space="preserve"> its</w:t>
            </w:r>
            <w:r w:rsidR="0062311F" w:rsidRPr="0012317A">
              <w:rPr>
                <w:rFonts w:ascii="Calibri" w:hAnsi="Calibri"/>
              </w:rPr>
              <w:t xml:space="preserve"> positive contribution to Swaziland’s response.</w:t>
            </w:r>
            <w:r w:rsidR="0012317A">
              <w:rPr>
                <w:rFonts w:ascii="Calibri" w:hAnsi="Calibri"/>
              </w:rPr>
              <w:t xml:space="preserve"> </w:t>
            </w:r>
            <w:r w:rsidR="00DB7777" w:rsidRPr="0012317A">
              <w:rPr>
                <w:rFonts w:ascii="Calibri" w:hAnsi="Calibri"/>
              </w:rPr>
              <w:t xml:space="preserve">This was largely attributed to the expansion of HIV prevention, care and treatment services, all of which were the areas targeted for UNDP support.  </w:t>
            </w:r>
            <w:r w:rsidR="00533798">
              <w:rPr>
                <w:rFonts w:ascii="Calibri" w:hAnsi="Calibri"/>
              </w:rPr>
              <w:t>The UNDP 2014 Annual R</w:t>
            </w:r>
            <w:r w:rsidR="00DB7777" w:rsidRPr="0012317A">
              <w:rPr>
                <w:rFonts w:ascii="Calibri" w:hAnsi="Calibri"/>
              </w:rPr>
              <w:t>eport indicates that HIV incidence among adults aged 15-49 years declined from 2.45% in 2011 to 1.79% in 2013</w:t>
            </w:r>
            <w:r w:rsidR="00533798" w:rsidRPr="00533798">
              <w:rPr>
                <w:rStyle w:val="FootnoteReference"/>
                <w:rFonts w:ascii="Calibri" w:hAnsi="Calibri"/>
              </w:rPr>
              <w:footnoteReference w:id="9"/>
            </w:r>
            <w:r w:rsidR="00DB7777" w:rsidRPr="00533798">
              <w:rPr>
                <w:rStyle w:val="FootnoteReference"/>
              </w:rPr>
              <w:t>.</w:t>
            </w:r>
            <w:r w:rsidR="00DB7777" w:rsidRPr="0012317A">
              <w:rPr>
                <w:rFonts w:ascii="Calibri" w:hAnsi="Calibri"/>
              </w:rPr>
              <w:t xml:space="preserve"> </w:t>
            </w:r>
            <w:r w:rsidR="005B1985">
              <w:rPr>
                <w:rFonts w:ascii="Calibri" w:hAnsi="Calibri"/>
              </w:rPr>
              <w:t>P</w:t>
            </w:r>
            <w:r w:rsidR="00DB7777" w:rsidRPr="0012317A">
              <w:rPr>
                <w:rFonts w:ascii="Calibri" w:hAnsi="Calibri"/>
              </w:rPr>
              <w:t>revention of mother-to-child (PMTC) coverage increased from 82.6% in 2010 to 92.7% in 2014, while the number of people receiving anti-retroviral therapy (ART) increased from 65% in 2010 to 95% in 2013. One of the UNDP objectives was to mainstream gender and human rights into HIV programming. A Gender and Human Rights checklist was developed and mainstreamed into the extended National Strategic Framework (eNSF).</w:t>
            </w:r>
            <w:r w:rsidR="0012317A">
              <w:rPr>
                <w:rFonts w:ascii="Calibri" w:hAnsi="Calibri"/>
              </w:rPr>
              <w:t xml:space="preserve"> </w:t>
            </w:r>
            <w:r w:rsidRPr="0012317A">
              <w:rPr>
                <w:rFonts w:ascii="Calibri" w:hAnsi="Calibri"/>
              </w:rPr>
              <w:t>Through collaboration with public and private sector institutions, HIV has been mainstreamed in the workplace, with five private sector companies already repo</w:t>
            </w:r>
            <w:r w:rsidR="00B746BB">
              <w:rPr>
                <w:rFonts w:ascii="Calibri" w:hAnsi="Calibri"/>
              </w:rPr>
              <w:t>rting into the national HIV&amp;</w:t>
            </w:r>
            <w:r w:rsidRPr="0012317A">
              <w:rPr>
                <w:rFonts w:ascii="Calibri" w:hAnsi="Calibri"/>
              </w:rPr>
              <w:t>AIDS M&amp;E system. The National Emerge</w:t>
            </w:r>
            <w:r w:rsidR="00B746BB">
              <w:rPr>
                <w:rFonts w:ascii="Calibri" w:hAnsi="Calibri"/>
              </w:rPr>
              <w:t>ncy Response Council on HIV&amp;</w:t>
            </w:r>
            <w:r w:rsidRPr="0012317A">
              <w:rPr>
                <w:rFonts w:ascii="Calibri" w:hAnsi="Calibri"/>
              </w:rPr>
              <w:t>AIDS (NERCHA) was capacitated to align its corporate st</w:t>
            </w:r>
            <w:r w:rsidR="002D6843">
              <w:rPr>
                <w:rFonts w:ascii="Calibri" w:hAnsi="Calibri"/>
              </w:rPr>
              <w:t>rategy with the eNSF on HIV&amp;</w:t>
            </w:r>
            <w:r w:rsidRPr="0012317A">
              <w:rPr>
                <w:rFonts w:ascii="Calibri" w:hAnsi="Calibri"/>
              </w:rPr>
              <w:t xml:space="preserve">AIDS, thereby enhancing its capacity to plan, implement and coordinate HIV programmes. UNDP also developed civil society capacity, and </w:t>
            </w:r>
            <w:r w:rsidR="00981492">
              <w:rPr>
                <w:rFonts w:ascii="Calibri" w:hAnsi="Calibri"/>
              </w:rPr>
              <w:t>henceforth</w:t>
            </w:r>
            <w:r w:rsidRPr="0012317A">
              <w:rPr>
                <w:rFonts w:ascii="Calibri" w:hAnsi="Calibri"/>
              </w:rPr>
              <w:t xml:space="preserve">, the Coordination Assembly for Non-Governmental </w:t>
            </w:r>
            <w:r w:rsidR="008B3751" w:rsidRPr="0012317A">
              <w:rPr>
                <w:rFonts w:ascii="Calibri" w:hAnsi="Calibri"/>
              </w:rPr>
              <w:t>Organizations</w:t>
            </w:r>
            <w:r w:rsidRPr="0012317A">
              <w:rPr>
                <w:rFonts w:ascii="Calibri" w:hAnsi="Calibri"/>
              </w:rPr>
              <w:t xml:space="preserve"> (CANGO) </w:t>
            </w:r>
            <w:r w:rsidR="00981492">
              <w:rPr>
                <w:rFonts w:ascii="Calibri" w:hAnsi="Calibri"/>
              </w:rPr>
              <w:t>was</w:t>
            </w:r>
            <w:r w:rsidRPr="0012317A">
              <w:rPr>
                <w:rFonts w:ascii="Calibri" w:hAnsi="Calibri"/>
              </w:rPr>
              <w:t xml:space="preserve"> assessed to become principal recipient for Global Fund </w:t>
            </w:r>
            <w:r w:rsidR="002D6843">
              <w:rPr>
                <w:rFonts w:ascii="Calibri" w:hAnsi="Calibri"/>
              </w:rPr>
              <w:t xml:space="preserve">response </w:t>
            </w:r>
            <w:r w:rsidRPr="0012317A">
              <w:rPr>
                <w:rFonts w:ascii="Calibri" w:hAnsi="Calibri"/>
              </w:rPr>
              <w:t xml:space="preserve">to AIDS, Tuberculosis and Malaria (GFATM).  </w:t>
            </w:r>
            <w:r w:rsidR="00086AED" w:rsidRPr="0066575C">
              <w:rPr>
                <w:rFonts w:ascii="Calibri" w:hAnsi="Calibri"/>
              </w:rPr>
              <w:t xml:space="preserve">UNDP support was more effective at the upstream policy level and institutional capacity development. HIV was also integrated </w:t>
            </w:r>
            <w:r w:rsidR="00CB50DC" w:rsidRPr="0066575C">
              <w:rPr>
                <w:rFonts w:ascii="Calibri" w:hAnsi="Calibri"/>
              </w:rPr>
              <w:t xml:space="preserve">in </w:t>
            </w:r>
            <w:r w:rsidR="00086AED" w:rsidRPr="0066575C">
              <w:rPr>
                <w:rFonts w:ascii="Calibri" w:hAnsi="Calibri"/>
              </w:rPr>
              <w:t xml:space="preserve">Sector Development Plans </w:t>
            </w:r>
            <w:r w:rsidR="00CB50DC" w:rsidRPr="0066575C">
              <w:rPr>
                <w:rFonts w:ascii="Calibri" w:hAnsi="Calibri"/>
              </w:rPr>
              <w:t xml:space="preserve">of </w:t>
            </w:r>
            <w:r w:rsidR="00086AED" w:rsidRPr="0066575C">
              <w:rPr>
                <w:rFonts w:ascii="Calibri" w:hAnsi="Calibri"/>
              </w:rPr>
              <w:t xml:space="preserve">6 ministries, in line with the SADC Public Sector initiative. UNDP adopted an innovative approach by developing and supporting the national volunteer programme </w:t>
            </w:r>
            <w:r w:rsidR="00086AED" w:rsidRPr="0066575C">
              <w:rPr>
                <w:rFonts w:ascii="Calibri" w:hAnsi="Calibri"/>
              </w:rPr>
              <w:lastRenderedPageBreak/>
              <w:t>to tap into national expertise and c</w:t>
            </w:r>
            <w:r w:rsidR="00CB50DC" w:rsidRPr="0066575C">
              <w:rPr>
                <w:rFonts w:ascii="Calibri" w:hAnsi="Calibri"/>
              </w:rPr>
              <w:t>apacity in the field of HIV&amp;</w:t>
            </w:r>
            <w:r w:rsidR="00086AED" w:rsidRPr="0066575C">
              <w:rPr>
                <w:rFonts w:ascii="Calibri" w:hAnsi="Calibri"/>
              </w:rPr>
              <w:t>AIDS</w:t>
            </w:r>
            <w:r w:rsidR="005355C7" w:rsidRPr="0066575C">
              <w:rPr>
                <w:rFonts w:ascii="Calibri" w:hAnsi="Calibri"/>
              </w:rPr>
              <w:t xml:space="preserve">. NERCHA was approved as principal recipient by the Global Fund </w:t>
            </w:r>
            <w:r w:rsidR="007F32B4">
              <w:rPr>
                <w:rFonts w:ascii="Calibri" w:hAnsi="Calibri"/>
              </w:rPr>
              <w:t xml:space="preserve">response </w:t>
            </w:r>
            <w:r w:rsidR="005355C7" w:rsidRPr="0066575C">
              <w:rPr>
                <w:rFonts w:ascii="Calibri" w:hAnsi="Calibri"/>
              </w:rPr>
              <w:t>to AIDS, Tuberculosis and Malaria (GFATM). UNDP also d</w:t>
            </w:r>
            <w:r w:rsidR="00CB645A">
              <w:rPr>
                <w:rFonts w:ascii="Calibri" w:hAnsi="Calibri"/>
              </w:rPr>
              <w:t>eveloped civil society capacity</w:t>
            </w:r>
            <w:r w:rsidR="005355C7" w:rsidRPr="0066575C">
              <w:rPr>
                <w:rFonts w:ascii="Calibri" w:hAnsi="Calibri"/>
              </w:rPr>
              <w:t>. UNDP also collaborated with Swaziland Association of Visually Impaired Persons (SAVIP) as part of mainstreaming h</w:t>
            </w:r>
            <w:r w:rsidR="00E35DE3" w:rsidRPr="0066575C">
              <w:rPr>
                <w:rFonts w:ascii="Calibri" w:hAnsi="Calibri"/>
              </w:rPr>
              <w:t>uman rights in national HIV&amp;</w:t>
            </w:r>
            <w:r w:rsidR="005355C7" w:rsidRPr="0066575C">
              <w:rPr>
                <w:rFonts w:ascii="Calibri" w:hAnsi="Calibri"/>
              </w:rPr>
              <w:t>AIDS response</w:t>
            </w:r>
            <w:r w:rsidR="00CB50DC" w:rsidRPr="0066575C">
              <w:rPr>
                <w:rFonts w:ascii="Calibri" w:hAnsi="Calibri"/>
              </w:rPr>
              <w:t>.</w:t>
            </w:r>
          </w:p>
        </w:tc>
      </w:tr>
      <w:tr w:rsidR="003B037A" w:rsidRPr="00F01FDE" w:rsidTr="00AF25E2">
        <w:tc>
          <w:tcPr>
            <w:tcW w:w="3060" w:type="dxa"/>
            <w:shd w:val="clear" w:color="auto" w:fill="95B3D7"/>
            <w:vAlign w:val="center"/>
          </w:tcPr>
          <w:p w:rsidR="003B037A" w:rsidRPr="00D965ED" w:rsidRDefault="00A62BAC" w:rsidP="00A62BAC">
            <w:pPr>
              <w:pStyle w:val="BodyText2"/>
              <w:numPr>
                <w:ilvl w:val="0"/>
                <w:numId w:val="20"/>
              </w:numPr>
              <w:jc w:val="both"/>
              <w:rPr>
                <w:rFonts w:ascii="Calibri" w:hAnsi="Calibri"/>
                <w:b/>
              </w:rPr>
            </w:pPr>
            <w:r w:rsidRPr="00D965ED">
              <w:rPr>
                <w:rFonts w:ascii="Calibri" w:hAnsi="Calibri"/>
                <w:b/>
              </w:rPr>
              <w:lastRenderedPageBreak/>
              <w:t>National Institutions have the capacity and providing guidance on the utilization of natural resources in a sustainable and equitable manner.</w:t>
            </w:r>
          </w:p>
        </w:tc>
        <w:tc>
          <w:tcPr>
            <w:tcW w:w="1530" w:type="dxa"/>
            <w:gridSpan w:val="2"/>
            <w:shd w:val="clear" w:color="auto" w:fill="auto"/>
            <w:vAlign w:val="center"/>
          </w:tcPr>
          <w:p w:rsidR="003B037A" w:rsidRPr="00EA5948" w:rsidRDefault="00EA5948" w:rsidP="001B2C4B">
            <w:pPr>
              <w:pStyle w:val="BodyText2"/>
              <w:jc w:val="center"/>
              <w:rPr>
                <w:rFonts w:ascii="Calibri" w:hAnsi="Calibri"/>
              </w:rPr>
            </w:pPr>
            <w:r w:rsidRPr="00EA5948">
              <w:rPr>
                <w:rFonts w:ascii="Calibri" w:hAnsi="Calibri"/>
              </w:rPr>
              <w:t>$ 4,819,716</w:t>
            </w:r>
          </w:p>
        </w:tc>
        <w:tc>
          <w:tcPr>
            <w:tcW w:w="3960" w:type="dxa"/>
            <w:vAlign w:val="center"/>
          </w:tcPr>
          <w:p w:rsidR="00924795" w:rsidRDefault="00924795" w:rsidP="00924795">
            <w:pPr>
              <w:pStyle w:val="BodyText2"/>
              <w:numPr>
                <w:ilvl w:val="0"/>
                <w:numId w:val="22"/>
              </w:numPr>
              <w:jc w:val="both"/>
              <w:rPr>
                <w:rFonts w:ascii="Calibri" w:hAnsi="Calibri"/>
              </w:rPr>
            </w:pPr>
            <w:r w:rsidRPr="00924795">
              <w:rPr>
                <w:rFonts w:ascii="Calibri" w:hAnsi="Calibri"/>
              </w:rPr>
              <w:t xml:space="preserve">Percentage of greenhouse gas emissions found in the atmosphere </w:t>
            </w:r>
          </w:p>
          <w:p w:rsidR="003B037A" w:rsidRPr="00924795" w:rsidRDefault="00F000B3" w:rsidP="00924795">
            <w:pPr>
              <w:pStyle w:val="BodyText2"/>
              <w:numPr>
                <w:ilvl w:val="0"/>
                <w:numId w:val="22"/>
              </w:numPr>
              <w:jc w:val="both"/>
              <w:rPr>
                <w:rFonts w:ascii="Calibri" w:hAnsi="Calibri"/>
              </w:rPr>
            </w:pPr>
            <w:r w:rsidRPr="00924795">
              <w:rPr>
                <w:rFonts w:ascii="Calibri" w:hAnsi="Calibri"/>
              </w:rPr>
              <w:t># of stakeholders equipped with skills and tools on climate change adaptation and mainstreaming gender and environment in policies and programmes</w:t>
            </w:r>
          </w:p>
          <w:p w:rsidR="0058717F" w:rsidRPr="00924795" w:rsidRDefault="00F000B3" w:rsidP="00924795">
            <w:pPr>
              <w:pStyle w:val="BodyText2"/>
              <w:numPr>
                <w:ilvl w:val="0"/>
                <w:numId w:val="22"/>
              </w:numPr>
              <w:jc w:val="both"/>
              <w:rPr>
                <w:rFonts w:ascii="Calibri" w:hAnsi="Calibri"/>
              </w:rPr>
            </w:pPr>
            <w:r w:rsidRPr="00924795">
              <w:rPr>
                <w:rFonts w:ascii="Calibri" w:hAnsi="Calibri"/>
              </w:rPr>
              <w:t>Availability of management tools and procedures for DRR</w:t>
            </w:r>
          </w:p>
        </w:tc>
        <w:tc>
          <w:tcPr>
            <w:tcW w:w="5490" w:type="dxa"/>
            <w:shd w:val="clear" w:color="auto" w:fill="auto"/>
            <w:vAlign w:val="center"/>
          </w:tcPr>
          <w:p w:rsidR="00924795" w:rsidRDefault="00924795" w:rsidP="00924795">
            <w:pPr>
              <w:pStyle w:val="BodyText2"/>
              <w:numPr>
                <w:ilvl w:val="0"/>
                <w:numId w:val="23"/>
              </w:numPr>
              <w:jc w:val="both"/>
              <w:rPr>
                <w:rFonts w:ascii="Calibri" w:hAnsi="Calibri"/>
              </w:rPr>
            </w:pPr>
            <w:r w:rsidRPr="00924795">
              <w:rPr>
                <w:rFonts w:ascii="Calibri" w:hAnsi="Calibri"/>
              </w:rPr>
              <w:t xml:space="preserve">Taking Carbon dioxide (CO2) emissions per capita as a proxy indicator, the World Bank database indicates that Swaziland emissions have remained constant at 0.9 metric tons per capita from 2007 to 2014. </w:t>
            </w:r>
            <w:r w:rsidR="0013400B">
              <w:rPr>
                <w:rFonts w:ascii="Calibri" w:hAnsi="Calibri"/>
              </w:rPr>
              <w:t xml:space="preserve">  According to the 2012 Second National Communications to the UNFCCC supported by UNDP it established 19.7 Mt carbon equivalent gas emissions status for the country.</w:t>
            </w:r>
          </w:p>
          <w:p w:rsidR="0013400B" w:rsidRDefault="00924795" w:rsidP="0013400B">
            <w:pPr>
              <w:pStyle w:val="BodyText2"/>
              <w:numPr>
                <w:ilvl w:val="0"/>
                <w:numId w:val="23"/>
              </w:numPr>
              <w:jc w:val="both"/>
              <w:rPr>
                <w:rFonts w:ascii="Calibri" w:hAnsi="Calibri"/>
              </w:rPr>
            </w:pPr>
            <w:r>
              <w:rPr>
                <w:rFonts w:ascii="Calibri" w:hAnsi="Calibri"/>
              </w:rPr>
              <w:t>B</w:t>
            </w:r>
            <w:r w:rsidR="0058717F" w:rsidRPr="00924795">
              <w:rPr>
                <w:rFonts w:ascii="Calibri" w:hAnsi="Calibri"/>
              </w:rPr>
              <w:t>aselines and targets</w:t>
            </w:r>
            <w:r w:rsidRPr="00924795">
              <w:rPr>
                <w:rFonts w:ascii="Calibri" w:hAnsi="Calibri"/>
              </w:rPr>
              <w:t xml:space="preserve"> </w:t>
            </w:r>
            <w:r>
              <w:rPr>
                <w:rFonts w:ascii="Calibri" w:hAnsi="Calibri"/>
              </w:rPr>
              <w:t xml:space="preserve">were </w:t>
            </w:r>
            <w:r w:rsidRPr="00924795">
              <w:rPr>
                <w:rFonts w:ascii="Calibri" w:hAnsi="Calibri"/>
              </w:rPr>
              <w:t xml:space="preserve">not sufficiently elaborated </w:t>
            </w:r>
            <w:r>
              <w:rPr>
                <w:rFonts w:ascii="Calibri" w:hAnsi="Calibri"/>
              </w:rPr>
              <w:t>to enable valid measurement.</w:t>
            </w:r>
            <w:r w:rsidR="005C19D7" w:rsidRPr="00924795">
              <w:rPr>
                <w:rFonts w:ascii="Calibri" w:hAnsi="Calibri"/>
              </w:rPr>
              <w:t xml:space="preserve"> UNDP had interventions beyond only reduction of greenhouse gas emissions; including for example, in natural resources management, conservation of bio-diversity, and disaster risk management. The outcome indicator was therefore insufficient as a measure of UNDP’s performance and contribution.</w:t>
            </w:r>
            <w:r w:rsidR="0013400B">
              <w:rPr>
                <w:rFonts w:ascii="Calibri" w:hAnsi="Calibri"/>
              </w:rPr>
              <w:t xml:space="preserve">  </w:t>
            </w:r>
            <w:r w:rsidR="0013400B" w:rsidRPr="003B7D3E">
              <w:rPr>
                <w:rFonts w:ascii="Calibri" w:hAnsi="Calibri"/>
              </w:rPr>
              <w:t>UNDP supported the development of the Swaziland National Climate Change Policy and National Climate Change Strategy for 2014 to 2018. UNDP further invested in technology transfer assisting in institutional capacity to sustain a</w:t>
            </w:r>
            <w:r w:rsidR="0013400B">
              <w:rPr>
                <w:rFonts w:ascii="Calibri" w:hAnsi="Calibri"/>
              </w:rPr>
              <w:t>n</w:t>
            </w:r>
            <w:r w:rsidR="0013400B" w:rsidRPr="003B7D3E">
              <w:rPr>
                <w:rFonts w:ascii="Calibri" w:hAnsi="Calibri"/>
              </w:rPr>
              <w:t xml:space="preserve"> ODS-free country. Swaziland leads Africa in the HCFC Conversion technology which process has seen a decrease from 70% to less than </w:t>
            </w:r>
            <w:r w:rsidR="0013400B" w:rsidRPr="00A87827">
              <w:rPr>
                <w:rFonts w:ascii="Calibri" w:hAnsi="Calibri"/>
              </w:rPr>
              <w:t>10% consumption of the HCFCs in the country.</w:t>
            </w:r>
          </w:p>
          <w:p w:rsidR="0013400B" w:rsidRDefault="0013400B" w:rsidP="0013400B">
            <w:pPr>
              <w:pStyle w:val="BodyText2"/>
              <w:ind w:left="360"/>
              <w:jc w:val="both"/>
              <w:rPr>
                <w:rFonts w:ascii="Calibri" w:hAnsi="Calibri"/>
              </w:rPr>
            </w:pPr>
          </w:p>
          <w:p w:rsidR="0013400B" w:rsidRPr="00A87827" w:rsidRDefault="0013400B" w:rsidP="0013400B">
            <w:pPr>
              <w:pStyle w:val="BodyText2"/>
              <w:ind w:left="360"/>
              <w:jc w:val="both"/>
              <w:rPr>
                <w:rFonts w:ascii="Calibri" w:hAnsi="Calibri"/>
              </w:rPr>
            </w:pPr>
            <w:r w:rsidRPr="00A87827">
              <w:rPr>
                <w:rFonts w:ascii="Calibri" w:hAnsi="Calibri"/>
              </w:rPr>
              <w:t>Support to adoption of climate smart agricultural practices plac</w:t>
            </w:r>
            <w:r w:rsidRPr="00D4469D">
              <w:rPr>
                <w:rFonts w:ascii="Calibri" w:hAnsi="Calibri"/>
              </w:rPr>
              <w:t>ed 30 hectares under drip irrigation and enhanced livelihoods for 387 small scale farmers.</w:t>
            </w:r>
            <w:r>
              <w:rPr>
                <w:rFonts w:ascii="Calibri" w:hAnsi="Calibri"/>
              </w:rPr>
              <w:t xml:space="preserve"> Climate Change Adaptation has been further mainstreamed at community and national levels through the innovative introduction of the Sand Dams technology in five (5) communities and over 600 vulnerable households.</w:t>
            </w:r>
          </w:p>
          <w:p w:rsidR="0058717F" w:rsidRPr="00924795" w:rsidRDefault="0058717F" w:rsidP="00924795">
            <w:pPr>
              <w:pStyle w:val="BodyText2"/>
              <w:numPr>
                <w:ilvl w:val="0"/>
                <w:numId w:val="23"/>
              </w:numPr>
              <w:jc w:val="both"/>
              <w:rPr>
                <w:rFonts w:ascii="Calibri" w:hAnsi="Calibri"/>
              </w:rPr>
            </w:pPr>
          </w:p>
          <w:p w:rsidR="00617731" w:rsidRDefault="00617731" w:rsidP="0013400B">
            <w:pPr>
              <w:pStyle w:val="BodyText2"/>
              <w:numPr>
                <w:ilvl w:val="0"/>
                <w:numId w:val="23"/>
              </w:numPr>
              <w:jc w:val="both"/>
              <w:rPr>
                <w:rFonts w:ascii="Calibri" w:hAnsi="Calibri"/>
              </w:rPr>
            </w:pPr>
          </w:p>
          <w:p w:rsidR="0013400B" w:rsidRPr="00F37B66" w:rsidRDefault="0013400B" w:rsidP="0013400B">
            <w:pPr>
              <w:pStyle w:val="BodyText2"/>
              <w:numPr>
                <w:ilvl w:val="0"/>
                <w:numId w:val="23"/>
              </w:numPr>
              <w:jc w:val="both"/>
              <w:rPr>
                <w:rFonts w:ascii="Calibri" w:hAnsi="Calibri"/>
              </w:rPr>
            </w:pPr>
            <w:r>
              <w:rPr>
                <w:rFonts w:ascii="Calibri" w:hAnsi="Calibri"/>
              </w:rPr>
              <w:t xml:space="preserve">Investment for coordination capacity for the National Disaster Management Agency resulted in the approval of the </w:t>
            </w:r>
            <w:r>
              <w:rPr>
                <w:rFonts w:ascii="Calibri" w:hAnsi="Calibri"/>
              </w:rPr>
              <w:lastRenderedPageBreak/>
              <w:t>National Disaster Policy in 2011 which has systematically operationalized through the support for the development of the Rapid Assessment Tools which has been standardized for all national stakeholders in the country. The tool has been further in-built into data capturing software gadgets utilized by the all sectors in the country.</w:t>
            </w:r>
          </w:p>
        </w:tc>
      </w:tr>
      <w:tr w:rsidR="00DC4D86" w:rsidRPr="00DC7354" w:rsidTr="00AF25E2">
        <w:tc>
          <w:tcPr>
            <w:tcW w:w="14040" w:type="dxa"/>
            <w:gridSpan w:val="5"/>
          </w:tcPr>
          <w:p w:rsidR="00DC4D86" w:rsidRPr="00CF7124" w:rsidRDefault="00DC4D86" w:rsidP="00CF7124">
            <w:pPr>
              <w:pStyle w:val="BodyText2"/>
              <w:jc w:val="both"/>
              <w:rPr>
                <w:rFonts w:ascii="Calibri" w:hAnsi="Calibri"/>
                <w:b/>
              </w:rPr>
            </w:pPr>
            <w:r w:rsidRPr="00CF7124">
              <w:rPr>
                <w:rFonts w:ascii="Calibri" w:hAnsi="Calibri"/>
                <w:b/>
              </w:rPr>
              <w:lastRenderedPageBreak/>
              <w:t>UNDP Contribution:</w:t>
            </w:r>
          </w:p>
          <w:p w:rsidR="008B06DD" w:rsidRDefault="008B06DD" w:rsidP="00CF7124">
            <w:pPr>
              <w:pStyle w:val="BodyText2"/>
              <w:jc w:val="both"/>
              <w:rPr>
                <w:rFonts w:ascii="Calibri" w:hAnsi="Calibri"/>
                <w:i/>
              </w:rPr>
            </w:pPr>
            <w:r w:rsidRPr="00924881">
              <w:rPr>
                <w:rFonts w:ascii="Calibri" w:hAnsi="Calibri"/>
                <w:b/>
                <w:u w:val="single"/>
              </w:rPr>
              <w:t>CP Outputs</w:t>
            </w:r>
            <w:r w:rsidR="006A6510" w:rsidRPr="00924881">
              <w:rPr>
                <w:rFonts w:ascii="Calibri" w:hAnsi="Calibri"/>
                <w:b/>
              </w:rPr>
              <w:t>:</w:t>
            </w:r>
            <w:r w:rsidR="006A6510" w:rsidRPr="00CF7124">
              <w:rPr>
                <w:rFonts w:ascii="Calibri" w:hAnsi="Calibri"/>
              </w:rPr>
              <w:t xml:space="preserve"> </w:t>
            </w:r>
            <w:r w:rsidR="00B61F05" w:rsidRPr="00CF7124">
              <w:rPr>
                <w:rFonts w:ascii="Calibri" w:hAnsi="Calibri"/>
              </w:rPr>
              <w:t xml:space="preserve">The three related outputs were: </w:t>
            </w:r>
            <w:r w:rsidR="006A6510" w:rsidRPr="00CF7124">
              <w:rPr>
                <w:rFonts w:ascii="Calibri" w:hAnsi="Calibri"/>
              </w:rPr>
              <w:t>(</w:t>
            </w:r>
            <w:r w:rsidR="006A6510" w:rsidRPr="00CF7124">
              <w:rPr>
                <w:rFonts w:ascii="Calibri" w:hAnsi="Calibri"/>
                <w:i/>
              </w:rPr>
              <w:t>a</w:t>
            </w:r>
            <w:r w:rsidR="00CF7124" w:rsidRPr="00CF7124">
              <w:rPr>
                <w:rFonts w:ascii="Calibri" w:hAnsi="Calibri"/>
                <w:i/>
              </w:rPr>
              <w:t>) National</w:t>
            </w:r>
            <w:r w:rsidR="006A6510" w:rsidRPr="00CF7124">
              <w:rPr>
                <w:rFonts w:ascii="Calibri" w:hAnsi="Calibri"/>
                <w:i/>
              </w:rPr>
              <w:t xml:space="preserve"> institutions have capacity and providing guidance on utilization of natural resources; (b) </w:t>
            </w:r>
            <w:r w:rsidR="00B61F05" w:rsidRPr="00CF7124">
              <w:rPr>
                <w:rFonts w:ascii="Calibri" w:hAnsi="Calibri"/>
                <w:i/>
              </w:rPr>
              <w:t>capacity for mainstreaming gender and environment improved and climate change adaptation strategy developed and operationalized;</w:t>
            </w:r>
            <w:r w:rsidR="00103F7B" w:rsidRPr="00CF7124">
              <w:rPr>
                <w:rFonts w:ascii="Calibri" w:hAnsi="Calibri"/>
                <w:i/>
              </w:rPr>
              <w:t xml:space="preserve"> </w:t>
            </w:r>
            <w:r w:rsidR="00B61F05" w:rsidRPr="00CF7124">
              <w:rPr>
                <w:rFonts w:ascii="Calibri" w:hAnsi="Calibri"/>
                <w:i/>
              </w:rPr>
              <w:t>and (c) capacity to establish decentralized structures for disaster risk reduction improved.</w:t>
            </w:r>
          </w:p>
          <w:p w:rsidR="007A0233" w:rsidRPr="00CF7124" w:rsidRDefault="007A0233" w:rsidP="00CF7124">
            <w:pPr>
              <w:pStyle w:val="BodyText2"/>
              <w:jc w:val="both"/>
              <w:rPr>
                <w:rFonts w:ascii="Calibri" w:hAnsi="Calibri"/>
              </w:rPr>
            </w:pPr>
          </w:p>
          <w:p w:rsidR="00DC4D86" w:rsidRPr="00924881" w:rsidRDefault="008B06DD" w:rsidP="00845340">
            <w:pPr>
              <w:pStyle w:val="BodyText2"/>
              <w:rPr>
                <w:rFonts w:ascii="Calibri" w:hAnsi="Calibri"/>
                <w:b/>
                <w:u w:val="single"/>
              </w:rPr>
            </w:pPr>
            <w:r w:rsidRPr="00924881">
              <w:rPr>
                <w:rFonts w:ascii="Calibri" w:hAnsi="Calibri"/>
                <w:b/>
                <w:u w:val="single"/>
              </w:rPr>
              <w:t>Progress and Achievements</w:t>
            </w:r>
          </w:p>
          <w:p w:rsidR="006C4EFF" w:rsidRPr="00845340" w:rsidRDefault="00C94AAC" w:rsidP="00795813">
            <w:pPr>
              <w:jc w:val="both"/>
              <w:rPr>
                <w:rFonts w:ascii="Calibri" w:hAnsi="Calibri"/>
                <w:u w:val="single"/>
              </w:rPr>
            </w:pPr>
            <w:r w:rsidRPr="00F72B68">
              <w:rPr>
                <w:rFonts w:ascii="Calibri" w:hAnsi="Calibri"/>
                <w:sz w:val="19"/>
                <w:szCs w:val="19"/>
              </w:rPr>
              <w:t xml:space="preserve">UNDP’s interventions strengthened national resilience to environmental shocks and adaptation to climate change at community level. National partners involved in the environment and climate change sector acknowledged that UNDP advocacy and capacity building was instrumental in raising awareness and generating political commitment for mitigation and adaptation. A National Climate Change Policy and Strategy was developed with UNDP technical support, and </w:t>
            </w:r>
            <w:r w:rsidR="00CA381E" w:rsidRPr="00F72B68">
              <w:rPr>
                <w:rFonts w:ascii="Calibri" w:hAnsi="Calibri"/>
                <w:sz w:val="19"/>
                <w:szCs w:val="19"/>
              </w:rPr>
              <w:t xml:space="preserve">at the time of drafting, awareness programmes were already under implementation as part of the strategy. </w:t>
            </w:r>
            <w:r w:rsidRPr="00F72B68">
              <w:rPr>
                <w:rFonts w:ascii="Calibri" w:hAnsi="Calibri"/>
                <w:sz w:val="19"/>
                <w:szCs w:val="19"/>
              </w:rPr>
              <w:t>UNDP also supported the country to report on its international obligations, including the 2</w:t>
            </w:r>
            <w:r w:rsidRPr="00F72B68">
              <w:rPr>
                <w:rFonts w:ascii="Calibri" w:hAnsi="Calibri"/>
                <w:sz w:val="19"/>
                <w:szCs w:val="19"/>
                <w:vertAlign w:val="superscript"/>
              </w:rPr>
              <w:t>nd</w:t>
            </w:r>
            <w:r w:rsidR="00CA381E" w:rsidRPr="00F72B68">
              <w:rPr>
                <w:rFonts w:ascii="Calibri" w:hAnsi="Calibri"/>
                <w:sz w:val="19"/>
                <w:szCs w:val="19"/>
              </w:rPr>
              <w:t xml:space="preserve"> </w:t>
            </w:r>
            <w:r w:rsidRPr="00F72B68">
              <w:rPr>
                <w:rFonts w:ascii="Calibri" w:hAnsi="Calibri"/>
                <w:sz w:val="19"/>
                <w:szCs w:val="19"/>
              </w:rPr>
              <w:t>Communication on the United Nations Framework Convention on Climate Change (UNFCCC). Through its downstream interventions, UNDP effectively leveraged on its global presence and South-South Cooperation to introduce innovative technologies by partnering with the Common</w:t>
            </w:r>
            <w:r w:rsidR="00924881" w:rsidRPr="00F72B68">
              <w:rPr>
                <w:rFonts w:ascii="Calibri" w:hAnsi="Calibri"/>
                <w:sz w:val="19"/>
                <w:szCs w:val="19"/>
              </w:rPr>
              <w:t xml:space="preserve"> Market for</w:t>
            </w:r>
            <w:r w:rsidRPr="00F72B68">
              <w:rPr>
                <w:rFonts w:ascii="Calibri" w:hAnsi="Calibri"/>
                <w:sz w:val="19"/>
                <w:szCs w:val="19"/>
              </w:rPr>
              <w:t xml:space="preserve"> East and Southern Africa (COMESA), to support adoption of climate smart agricultural practices, placing 30 hectares under drip irrigation and enhancing livelihoods for 387 small scale farmers. </w:t>
            </w:r>
            <w:r w:rsidR="00BA2677" w:rsidRPr="00F72B68">
              <w:rPr>
                <w:rFonts w:ascii="Calibri" w:hAnsi="Calibri"/>
                <w:sz w:val="19"/>
                <w:szCs w:val="19"/>
              </w:rPr>
              <w:t>UNDP also facilitated south-south collaboration with Kenya, to introduce Sand dam technology to improve water storage capacity in drought prone regions, thereby improving access to clean water for the communities, with some of the water servicing local health facilities.</w:t>
            </w:r>
            <w:r w:rsidR="00264B8B" w:rsidRPr="00F72B68">
              <w:rPr>
                <w:rFonts w:ascii="Calibri" w:hAnsi="Calibri"/>
                <w:sz w:val="19"/>
                <w:szCs w:val="19"/>
              </w:rPr>
              <w:t xml:space="preserve"> </w:t>
            </w:r>
            <w:r w:rsidRPr="00F72B68">
              <w:rPr>
                <w:rFonts w:ascii="Calibri" w:hAnsi="Calibri"/>
                <w:sz w:val="19"/>
                <w:szCs w:val="19"/>
              </w:rPr>
              <w:t>Through UNDP advocacy, the National Disaster Management Agency was approved by cabinet and established in 2012.</w:t>
            </w:r>
            <w:r w:rsidR="006A53C2" w:rsidRPr="00F72B68">
              <w:rPr>
                <w:rFonts w:ascii="Calibri" w:hAnsi="Calibri"/>
                <w:sz w:val="19"/>
                <w:szCs w:val="19"/>
              </w:rPr>
              <w:t xml:space="preserve"> </w:t>
            </w:r>
            <w:r w:rsidR="006C4EFF" w:rsidRPr="00F72B68">
              <w:rPr>
                <w:rFonts w:ascii="Calibri" w:hAnsi="Calibri"/>
                <w:sz w:val="19"/>
                <w:szCs w:val="19"/>
              </w:rPr>
              <w:t>Despite th</w:t>
            </w:r>
            <w:r w:rsidR="00BA2677" w:rsidRPr="00F72B68">
              <w:rPr>
                <w:rFonts w:ascii="Calibri" w:hAnsi="Calibri"/>
                <w:sz w:val="19"/>
                <w:szCs w:val="19"/>
              </w:rPr>
              <w:t>e</w:t>
            </w:r>
            <w:r w:rsidR="006C4EFF" w:rsidRPr="00F72B68">
              <w:rPr>
                <w:rFonts w:ascii="Calibri" w:hAnsi="Calibri"/>
                <w:sz w:val="19"/>
                <w:szCs w:val="19"/>
              </w:rPr>
              <w:t xml:space="preserve"> apparent lack of progress on the outcome indicator, UNDP made quite substantial and significant contributions both at upstream policy level and at the downstream level. Swaziland was approved for the Global Environment Facility (GEF) grant of $5 million to strengthen national protected area (PA) systems, with plans to increase protected area coverage from 3.9% to 6.4% by 2017. UNDP advocacy also culminated with amendment of the Swaziland National Trust Commission (SNTC) Act of 2000, which will strengthen national systems for conservation and bio-diversity. </w:t>
            </w:r>
            <w:r w:rsidR="00A950DB" w:rsidRPr="00F72B68">
              <w:rPr>
                <w:rFonts w:ascii="Calibri" w:hAnsi="Calibri"/>
                <w:sz w:val="19"/>
                <w:szCs w:val="19"/>
              </w:rPr>
              <w:t>UNDP also supported integrated rain water harvesting in 10 community schools in the drought stricken regions, benefitting more than 3,350 primary school children.</w:t>
            </w:r>
          </w:p>
        </w:tc>
      </w:tr>
      <w:tr w:rsidR="00C0614D" w:rsidRPr="00F01FDE" w:rsidTr="00AF25E2">
        <w:tc>
          <w:tcPr>
            <w:tcW w:w="3060" w:type="dxa"/>
            <w:shd w:val="clear" w:color="auto" w:fill="95B3D7"/>
            <w:vAlign w:val="center"/>
          </w:tcPr>
          <w:p w:rsidR="00C0614D" w:rsidRPr="00022C12" w:rsidRDefault="00F327BD" w:rsidP="00022C12">
            <w:pPr>
              <w:pStyle w:val="Default"/>
              <w:numPr>
                <w:ilvl w:val="0"/>
                <w:numId w:val="20"/>
              </w:numPr>
              <w:jc w:val="both"/>
              <w:rPr>
                <w:rFonts w:ascii="Calibri" w:hAnsi="Calibri"/>
                <w:b/>
                <w:color w:val="auto"/>
                <w:sz w:val="20"/>
                <w:szCs w:val="20"/>
                <w:lang w:val="en-US" w:eastAsia="en-US"/>
              </w:rPr>
            </w:pPr>
            <w:r w:rsidRPr="00022C12">
              <w:rPr>
                <w:rFonts w:ascii="Calibri" w:hAnsi="Calibri"/>
                <w:b/>
                <w:color w:val="auto"/>
                <w:sz w:val="20"/>
                <w:szCs w:val="20"/>
                <w:lang w:val="en-US" w:eastAsia="en-US"/>
              </w:rPr>
              <w:t>Development of supportive policy and legal framework for increased access to rights and improved governance fully supported.</w:t>
            </w:r>
          </w:p>
        </w:tc>
        <w:tc>
          <w:tcPr>
            <w:tcW w:w="1530" w:type="dxa"/>
            <w:gridSpan w:val="2"/>
            <w:shd w:val="clear" w:color="auto" w:fill="auto"/>
            <w:vAlign w:val="center"/>
          </w:tcPr>
          <w:p w:rsidR="00C0614D" w:rsidRPr="00022C12" w:rsidRDefault="00EA5948" w:rsidP="00326E7A">
            <w:pPr>
              <w:pStyle w:val="BodyText2"/>
              <w:jc w:val="center"/>
              <w:rPr>
                <w:rFonts w:ascii="Calibri" w:hAnsi="Calibri"/>
              </w:rPr>
            </w:pPr>
            <w:r>
              <w:rPr>
                <w:rFonts w:ascii="Calibri" w:hAnsi="Calibri"/>
              </w:rPr>
              <w:t>$ 1,144,644</w:t>
            </w:r>
          </w:p>
        </w:tc>
        <w:tc>
          <w:tcPr>
            <w:tcW w:w="3960" w:type="dxa"/>
            <w:vAlign w:val="center"/>
          </w:tcPr>
          <w:p w:rsidR="00C0614D" w:rsidRPr="00B172E4" w:rsidRDefault="00617731" w:rsidP="00022C12">
            <w:pPr>
              <w:pStyle w:val="BodyText2"/>
              <w:numPr>
                <w:ilvl w:val="0"/>
                <w:numId w:val="24"/>
              </w:numPr>
              <w:jc w:val="both"/>
              <w:rPr>
                <w:rFonts w:ascii="Calibri" w:hAnsi="Calibri"/>
              </w:rPr>
            </w:pPr>
            <w:r w:rsidRPr="00B172E4">
              <w:rPr>
                <w:rFonts w:ascii="Calibri" w:hAnsi="Calibri"/>
              </w:rPr>
              <w:t xml:space="preserve"># of </w:t>
            </w:r>
            <w:r w:rsidR="00503F4E" w:rsidRPr="00B172E4">
              <w:rPr>
                <w:rFonts w:ascii="Calibri" w:hAnsi="Calibri"/>
              </w:rPr>
              <w:t>pieces of legislation operationalizing key provisions of the constitution supported by the UN System</w:t>
            </w:r>
          </w:p>
          <w:p w:rsidR="00503F4E" w:rsidRPr="00B172E4" w:rsidRDefault="00503F4E" w:rsidP="00022C12">
            <w:pPr>
              <w:pStyle w:val="BodyText2"/>
              <w:numPr>
                <w:ilvl w:val="0"/>
                <w:numId w:val="24"/>
              </w:numPr>
              <w:jc w:val="both"/>
              <w:rPr>
                <w:rFonts w:ascii="Calibri" w:hAnsi="Calibri"/>
              </w:rPr>
            </w:pPr>
            <w:r w:rsidRPr="00B172E4">
              <w:rPr>
                <w:rFonts w:ascii="Calibri" w:hAnsi="Calibri"/>
              </w:rPr>
              <w:t># of Government Officers trained in integrity and public accountability systems</w:t>
            </w:r>
          </w:p>
          <w:p w:rsidR="00503F4E" w:rsidRPr="00B172E4" w:rsidRDefault="00503F4E" w:rsidP="00022C12">
            <w:pPr>
              <w:pStyle w:val="BodyText2"/>
              <w:numPr>
                <w:ilvl w:val="0"/>
                <w:numId w:val="24"/>
              </w:numPr>
              <w:jc w:val="both"/>
              <w:rPr>
                <w:rFonts w:ascii="Calibri" w:hAnsi="Calibri"/>
              </w:rPr>
            </w:pPr>
            <w:r w:rsidRPr="00B172E4">
              <w:rPr>
                <w:rFonts w:ascii="Calibri" w:hAnsi="Calibri"/>
              </w:rPr>
              <w:t># of CSOs with capacity to advocate, monitor and report on human rights</w:t>
            </w:r>
          </w:p>
          <w:p w:rsidR="00503F4E" w:rsidRPr="00B172E4" w:rsidRDefault="00503F4E" w:rsidP="00022C12">
            <w:pPr>
              <w:pStyle w:val="BodyText2"/>
              <w:numPr>
                <w:ilvl w:val="0"/>
                <w:numId w:val="24"/>
              </w:numPr>
              <w:jc w:val="both"/>
              <w:rPr>
                <w:rFonts w:ascii="Calibri" w:hAnsi="Calibri"/>
              </w:rPr>
            </w:pPr>
            <w:r w:rsidRPr="00B172E4">
              <w:rPr>
                <w:rFonts w:ascii="Calibri" w:hAnsi="Calibri"/>
              </w:rPr>
              <w:t># of HRs and PA Commission Staff with skills and tools to monitor and report on implementation of HRs</w:t>
            </w:r>
          </w:p>
          <w:p w:rsidR="00503F4E" w:rsidRPr="00B172E4" w:rsidRDefault="00503F4E" w:rsidP="00022C12">
            <w:pPr>
              <w:pStyle w:val="BodyText2"/>
              <w:numPr>
                <w:ilvl w:val="0"/>
                <w:numId w:val="24"/>
              </w:numPr>
              <w:jc w:val="both"/>
              <w:rPr>
                <w:rFonts w:ascii="Calibri" w:hAnsi="Calibri"/>
              </w:rPr>
            </w:pPr>
            <w:r w:rsidRPr="00B172E4">
              <w:rPr>
                <w:rFonts w:ascii="Calibri" w:hAnsi="Calibri"/>
              </w:rPr>
              <w:lastRenderedPageBreak/>
              <w:t># of law enforcement and judicial Officers trained in HRs and administration of Justice</w:t>
            </w:r>
          </w:p>
        </w:tc>
        <w:tc>
          <w:tcPr>
            <w:tcW w:w="5490" w:type="dxa"/>
            <w:shd w:val="clear" w:color="auto" w:fill="auto"/>
            <w:vAlign w:val="center"/>
          </w:tcPr>
          <w:p w:rsidR="00C0614D" w:rsidRPr="00F5113B" w:rsidRDefault="00022C12" w:rsidP="00795813">
            <w:pPr>
              <w:pStyle w:val="BodyText2"/>
              <w:numPr>
                <w:ilvl w:val="0"/>
                <w:numId w:val="25"/>
              </w:numPr>
              <w:jc w:val="both"/>
              <w:rPr>
                <w:rFonts w:ascii="Calibri" w:hAnsi="Calibri"/>
                <w:sz w:val="19"/>
                <w:szCs w:val="19"/>
              </w:rPr>
            </w:pPr>
            <w:r w:rsidRPr="00F5113B">
              <w:rPr>
                <w:rFonts w:ascii="Calibri" w:hAnsi="Calibri"/>
                <w:sz w:val="19"/>
                <w:szCs w:val="19"/>
              </w:rPr>
              <w:lastRenderedPageBreak/>
              <w:t xml:space="preserve">The target of </w:t>
            </w:r>
            <w:r w:rsidR="00503F4E" w:rsidRPr="00F5113B">
              <w:rPr>
                <w:rFonts w:ascii="Calibri" w:hAnsi="Calibri"/>
                <w:sz w:val="19"/>
                <w:szCs w:val="19"/>
              </w:rPr>
              <w:t>two new bills</w:t>
            </w:r>
            <w:r w:rsidRPr="00F5113B">
              <w:rPr>
                <w:rFonts w:ascii="Calibri" w:hAnsi="Calibri"/>
                <w:sz w:val="19"/>
                <w:szCs w:val="19"/>
              </w:rPr>
              <w:t xml:space="preserve"> was surpassed. Through UNDP advocacy and support, Swaziland ratified 29 international conventions, including domestication of the Convention on the Rights of Persons with Disability, of which the national policy and action plan </w:t>
            </w:r>
            <w:r w:rsidR="00326E7A" w:rsidRPr="00F5113B">
              <w:rPr>
                <w:rFonts w:ascii="Calibri" w:hAnsi="Calibri"/>
                <w:sz w:val="19"/>
                <w:szCs w:val="19"/>
              </w:rPr>
              <w:t>were</w:t>
            </w:r>
            <w:r w:rsidRPr="00F5113B">
              <w:rPr>
                <w:rFonts w:ascii="Calibri" w:hAnsi="Calibri"/>
                <w:sz w:val="19"/>
                <w:szCs w:val="19"/>
              </w:rPr>
              <w:t xml:space="preserve"> developed and approved by Cabinet, including the Disability Bill.</w:t>
            </w:r>
          </w:p>
          <w:p w:rsidR="00795813" w:rsidRPr="00F5113B" w:rsidRDefault="00795813" w:rsidP="00795813">
            <w:pPr>
              <w:pStyle w:val="BodyText2"/>
              <w:numPr>
                <w:ilvl w:val="0"/>
                <w:numId w:val="25"/>
              </w:numPr>
              <w:jc w:val="both"/>
              <w:rPr>
                <w:rFonts w:ascii="Calibri" w:hAnsi="Calibri"/>
                <w:sz w:val="19"/>
                <w:szCs w:val="19"/>
              </w:rPr>
            </w:pPr>
            <w:r w:rsidRPr="00F5113B">
              <w:rPr>
                <w:rFonts w:ascii="Calibri" w:hAnsi="Calibri"/>
                <w:sz w:val="19"/>
                <w:szCs w:val="19"/>
              </w:rPr>
              <w:t xml:space="preserve">The National Policy on Corruption was also developed, expected to result in institutional transformation if effectively implemented. UNDP also supported the country to submit its first Universal Periodic Review (UPR) on human rights. To increase access to justice UNDP supported the establishment of an electronic case management for </w:t>
            </w:r>
            <w:r w:rsidRPr="00F5113B">
              <w:rPr>
                <w:rFonts w:ascii="Calibri" w:hAnsi="Calibri"/>
                <w:sz w:val="19"/>
                <w:szCs w:val="19"/>
              </w:rPr>
              <w:lastRenderedPageBreak/>
              <w:t xml:space="preserve">the Judiciary and the development of a National </w:t>
            </w:r>
            <w:r w:rsidR="00F5113B" w:rsidRPr="00F5113B">
              <w:rPr>
                <w:rFonts w:ascii="Calibri" w:hAnsi="Calibri"/>
                <w:sz w:val="19"/>
                <w:szCs w:val="19"/>
              </w:rPr>
              <w:t>Policy on Legal Aid and Legal Aid</w:t>
            </w:r>
            <w:r w:rsidRPr="00F5113B">
              <w:rPr>
                <w:rFonts w:ascii="Calibri" w:hAnsi="Calibri"/>
                <w:sz w:val="19"/>
                <w:szCs w:val="19"/>
              </w:rPr>
              <w:t xml:space="preserve"> Bill. </w:t>
            </w:r>
          </w:p>
          <w:p w:rsidR="00795813" w:rsidRPr="00F5113B" w:rsidRDefault="00F5113B" w:rsidP="00795813">
            <w:pPr>
              <w:pStyle w:val="BodyText2"/>
              <w:numPr>
                <w:ilvl w:val="0"/>
                <w:numId w:val="25"/>
              </w:numPr>
              <w:jc w:val="both"/>
              <w:rPr>
                <w:rFonts w:ascii="Calibri" w:hAnsi="Calibri"/>
                <w:sz w:val="19"/>
                <w:szCs w:val="19"/>
              </w:rPr>
            </w:pPr>
            <w:r>
              <w:rPr>
                <w:rFonts w:ascii="Calibri" w:hAnsi="Calibri"/>
                <w:sz w:val="19"/>
                <w:szCs w:val="19"/>
              </w:rPr>
              <w:t>C</w:t>
            </w:r>
            <w:r w:rsidR="00795813" w:rsidRPr="00F5113B">
              <w:rPr>
                <w:rFonts w:ascii="Calibri" w:hAnsi="Calibri"/>
                <w:sz w:val="19"/>
                <w:szCs w:val="19"/>
              </w:rPr>
              <w:t xml:space="preserve">apacity </w:t>
            </w:r>
            <w:r>
              <w:rPr>
                <w:rFonts w:ascii="Calibri" w:hAnsi="Calibri"/>
                <w:sz w:val="19"/>
                <w:szCs w:val="19"/>
              </w:rPr>
              <w:t xml:space="preserve">was </w:t>
            </w:r>
            <w:r w:rsidR="00795813" w:rsidRPr="00F5113B">
              <w:rPr>
                <w:rFonts w:ascii="Calibri" w:hAnsi="Calibri"/>
                <w:sz w:val="19"/>
                <w:szCs w:val="19"/>
              </w:rPr>
              <w:t>develop</w:t>
            </w:r>
            <w:r>
              <w:rPr>
                <w:rFonts w:ascii="Calibri" w:hAnsi="Calibri"/>
                <w:sz w:val="19"/>
                <w:szCs w:val="19"/>
              </w:rPr>
              <w:t>ed for</w:t>
            </w:r>
            <w:r w:rsidR="00795813" w:rsidRPr="00F5113B">
              <w:rPr>
                <w:rFonts w:ascii="Calibri" w:hAnsi="Calibri"/>
                <w:sz w:val="19"/>
                <w:szCs w:val="19"/>
              </w:rPr>
              <w:t xml:space="preserve"> key national institutions of governance, including Parliament of Swaziland, Ministry of Justice and Constitutional Affairs (MOJCA), Ministry of Public Service (MPS), Swaziland Institute and Management and Public Administration (SIMPA), Swaziland Revenue Authority (SRA)</w:t>
            </w:r>
            <w:r>
              <w:rPr>
                <w:rFonts w:ascii="Calibri" w:hAnsi="Calibri"/>
                <w:sz w:val="19"/>
                <w:szCs w:val="19"/>
              </w:rPr>
              <w:t>,</w:t>
            </w:r>
            <w:r w:rsidR="00795813" w:rsidRPr="00F5113B">
              <w:rPr>
                <w:rFonts w:ascii="Calibri" w:hAnsi="Calibri"/>
                <w:sz w:val="19"/>
                <w:szCs w:val="19"/>
              </w:rPr>
              <w:t xml:space="preserve"> Commission of Human Rights and Public Administration (CHRPA)</w:t>
            </w:r>
            <w:r>
              <w:rPr>
                <w:rFonts w:ascii="Calibri" w:hAnsi="Calibri"/>
                <w:sz w:val="19"/>
                <w:szCs w:val="19"/>
              </w:rPr>
              <w:t>,</w:t>
            </w:r>
            <w:r w:rsidR="00795813" w:rsidRPr="00F5113B">
              <w:rPr>
                <w:rFonts w:ascii="Calibri" w:hAnsi="Calibri"/>
                <w:sz w:val="19"/>
                <w:szCs w:val="19"/>
              </w:rPr>
              <w:t xml:space="preserve"> all of which developed their first ever strategic plans. </w:t>
            </w:r>
          </w:p>
          <w:p w:rsidR="00503F4E" w:rsidRPr="00F5113B" w:rsidRDefault="00B73CE6" w:rsidP="00795813">
            <w:pPr>
              <w:pStyle w:val="BodyText2"/>
              <w:numPr>
                <w:ilvl w:val="0"/>
                <w:numId w:val="25"/>
              </w:numPr>
              <w:jc w:val="both"/>
              <w:rPr>
                <w:rFonts w:ascii="Calibri" w:hAnsi="Calibri"/>
                <w:sz w:val="19"/>
                <w:szCs w:val="19"/>
              </w:rPr>
            </w:pPr>
            <w:r w:rsidRPr="00F5113B">
              <w:rPr>
                <w:rFonts w:ascii="Calibri" w:hAnsi="Calibri"/>
                <w:sz w:val="19"/>
                <w:szCs w:val="19"/>
              </w:rPr>
              <w:t xml:space="preserve">29 Magistrates and members of the Judiciary </w:t>
            </w:r>
            <w:r w:rsidR="00F5113B">
              <w:rPr>
                <w:rFonts w:ascii="Calibri" w:hAnsi="Calibri"/>
                <w:sz w:val="19"/>
                <w:szCs w:val="19"/>
              </w:rPr>
              <w:t xml:space="preserve">were trained </w:t>
            </w:r>
            <w:r w:rsidRPr="00F5113B">
              <w:rPr>
                <w:rFonts w:ascii="Calibri" w:hAnsi="Calibri"/>
                <w:sz w:val="19"/>
                <w:szCs w:val="19"/>
              </w:rPr>
              <w:t xml:space="preserve">on the provisions of CEDAW and its implementation to protect women rights in adjudication of cases. </w:t>
            </w:r>
          </w:p>
          <w:p w:rsidR="00503F4E" w:rsidRPr="00F5113B" w:rsidRDefault="00F5113B" w:rsidP="00F72B68">
            <w:pPr>
              <w:pStyle w:val="BodyText2"/>
              <w:numPr>
                <w:ilvl w:val="0"/>
                <w:numId w:val="25"/>
              </w:numPr>
              <w:jc w:val="both"/>
              <w:rPr>
                <w:rFonts w:ascii="Calibri" w:hAnsi="Calibri"/>
                <w:sz w:val="19"/>
                <w:szCs w:val="19"/>
              </w:rPr>
            </w:pPr>
            <w:r>
              <w:rPr>
                <w:rFonts w:ascii="Calibri" w:hAnsi="Calibri"/>
                <w:sz w:val="19"/>
                <w:szCs w:val="19"/>
              </w:rPr>
              <w:t xml:space="preserve">The </w:t>
            </w:r>
            <w:r w:rsidR="00AA08EB" w:rsidRPr="00F5113B">
              <w:rPr>
                <w:rFonts w:ascii="Calibri" w:hAnsi="Calibri"/>
                <w:sz w:val="19"/>
                <w:szCs w:val="19"/>
              </w:rPr>
              <w:t xml:space="preserve">Law Society and Judges </w:t>
            </w:r>
            <w:r>
              <w:rPr>
                <w:rFonts w:ascii="Calibri" w:hAnsi="Calibri"/>
                <w:sz w:val="19"/>
                <w:szCs w:val="19"/>
              </w:rPr>
              <w:t xml:space="preserve">were equipped </w:t>
            </w:r>
            <w:r w:rsidR="00AA08EB" w:rsidRPr="00F5113B">
              <w:rPr>
                <w:rFonts w:ascii="Calibri" w:hAnsi="Calibri"/>
                <w:sz w:val="19"/>
                <w:szCs w:val="19"/>
              </w:rPr>
              <w:t>on application and implementation of Small Claims Court system, with a view of operationalizing the Small Claims Court Act (2010); as well as training Public Service and Trade Unions on the Public Service Charter to enable operationalization.</w:t>
            </w:r>
          </w:p>
        </w:tc>
      </w:tr>
      <w:tr w:rsidR="00C0614D" w:rsidRPr="00DC7354" w:rsidTr="00AF25E2">
        <w:tc>
          <w:tcPr>
            <w:tcW w:w="14040" w:type="dxa"/>
            <w:gridSpan w:val="5"/>
          </w:tcPr>
          <w:p w:rsidR="00C0614D" w:rsidRDefault="00C0614D" w:rsidP="003A7F38">
            <w:pPr>
              <w:pStyle w:val="BodyText2"/>
              <w:rPr>
                <w:rFonts w:ascii="Calibri" w:hAnsi="Calibri"/>
                <w:b/>
              </w:rPr>
            </w:pPr>
            <w:r w:rsidRPr="00837C4B">
              <w:rPr>
                <w:rFonts w:ascii="Calibri" w:hAnsi="Calibri"/>
                <w:b/>
              </w:rPr>
              <w:lastRenderedPageBreak/>
              <w:t>UNDP Contribution:</w:t>
            </w:r>
          </w:p>
          <w:p w:rsidR="00C0614D" w:rsidRPr="001720F0" w:rsidRDefault="00C0614D" w:rsidP="00103F7B">
            <w:pPr>
              <w:pStyle w:val="BodyText2"/>
              <w:jc w:val="both"/>
              <w:rPr>
                <w:rFonts w:ascii="Calibri" w:hAnsi="Calibri"/>
                <w:u w:val="single"/>
              </w:rPr>
            </w:pPr>
            <w:r w:rsidRPr="001720F0">
              <w:rPr>
                <w:rFonts w:ascii="Calibri" w:hAnsi="Calibri"/>
                <w:b/>
                <w:u w:val="single"/>
              </w:rPr>
              <w:t>CP Outputs</w:t>
            </w:r>
            <w:r w:rsidR="00E87AEF" w:rsidRPr="001720F0">
              <w:rPr>
                <w:rFonts w:ascii="Calibri" w:hAnsi="Calibri"/>
                <w:b/>
                <w:u w:val="single"/>
              </w:rPr>
              <w:t>:</w:t>
            </w:r>
            <w:r w:rsidR="00E87AEF" w:rsidRPr="001720F0">
              <w:rPr>
                <w:rFonts w:ascii="Calibri" w:hAnsi="Calibri"/>
                <w:u w:val="single"/>
              </w:rPr>
              <w:t xml:space="preserve"> </w:t>
            </w:r>
            <w:r w:rsidR="00E87AEF" w:rsidRPr="001720F0">
              <w:rPr>
                <w:rFonts w:ascii="Calibri" w:hAnsi="Calibri"/>
                <w:i/>
              </w:rPr>
              <w:t>(a) key policies developed and adopted by the Government of Swaziland</w:t>
            </w:r>
            <w:r w:rsidR="00103F7B" w:rsidRPr="001720F0">
              <w:rPr>
                <w:rFonts w:ascii="Calibri" w:hAnsi="Calibri"/>
                <w:i/>
              </w:rPr>
              <w:t xml:space="preserve"> – capacity for public sector management enhanced</w:t>
            </w:r>
            <w:r w:rsidR="00E87AEF" w:rsidRPr="001720F0">
              <w:rPr>
                <w:rFonts w:ascii="Calibri" w:hAnsi="Calibri"/>
                <w:i/>
              </w:rPr>
              <w:t xml:space="preserve">; </w:t>
            </w:r>
            <w:r w:rsidR="00103F7B" w:rsidRPr="001720F0">
              <w:rPr>
                <w:rFonts w:ascii="Calibri" w:hAnsi="Calibri"/>
                <w:i/>
              </w:rPr>
              <w:t>(b) development of supportive policy and legal framework for increase access to rights and improved governance fully supported</w:t>
            </w:r>
            <w:r w:rsidR="006E1E64" w:rsidRPr="001720F0">
              <w:rPr>
                <w:rFonts w:ascii="Calibri" w:hAnsi="Calibri"/>
                <w:i/>
              </w:rPr>
              <w:t xml:space="preserve"> – capacity for implementation of national and global human right conventions enhanced</w:t>
            </w:r>
            <w:r w:rsidR="00103F7B" w:rsidRPr="001720F0">
              <w:rPr>
                <w:rFonts w:ascii="Calibri" w:hAnsi="Calibri"/>
                <w:i/>
              </w:rPr>
              <w:t>; (c</w:t>
            </w:r>
            <w:r w:rsidR="00E87AEF" w:rsidRPr="001720F0">
              <w:rPr>
                <w:rFonts w:ascii="Calibri" w:hAnsi="Calibri"/>
                <w:i/>
              </w:rPr>
              <w:t>) status of adoption of legal frameworks; (</w:t>
            </w:r>
            <w:r w:rsidR="00103F7B" w:rsidRPr="001720F0">
              <w:rPr>
                <w:rFonts w:ascii="Calibri" w:hAnsi="Calibri"/>
                <w:i/>
              </w:rPr>
              <w:t>d</w:t>
            </w:r>
            <w:r w:rsidR="00E87AEF" w:rsidRPr="001720F0">
              <w:rPr>
                <w:rFonts w:ascii="Calibri" w:hAnsi="Calibri"/>
                <w:i/>
              </w:rPr>
              <w:t>) admin</w:t>
            </w:r>
            <w:r w:rsidR="00103F7B" w:rsidRPr="001720F0">
              <w:rPr>
                <w:rFonts w:ascii="Calibri" w:hAnsi="Calibri"/>
                <w:i/>
              </w:rPr>
              <w:t>istration of justice enhance; (e</w:t>
            </w:r>
            <w:r w:rsidR="00E87AEF" w:rsidRPr="001720F0">
              <w:rPr>
                <w:rFonts w:ascii="Calibri" w:hAnsi="Calibri"/>
                <w:i/>
              </w:rPr>
              <w:t>) improved knowledge on hum</w:t>
            </w:r>
            <w:r w:rsidR="00103F7B" w:rsidRPr="001720F0">
              <w:rPr>
                <w:rFonts w:ascii="Calibri" w:hAnsi="Calibri"/>
                <w:i/>
              </w:rPr>
              <w:t>an rights among the populace; (f</w:t>
            </w:r>
            <w:r w:rsidR="00E87AEF" w:rsidRPr="001720F0">
              <w:rPr>
                <w:rFonts w:ascii="Calibri" w:hAnsi="Calibri"/>
                <w:i/>
              </w:rPr>
              <w:t>)the majority of</w:t>
            </w:r>
            <w:r w:rsidR="00103F7B" w:rsidRPr="001720F0">
              <w:rPr>
                <w:rFonts w:ascii="Calibri" w:hAnsi="Calibri"/>
                <w:i/>
              </w:rPr>
              <w:t xml:space="preserve"> women claiming their rights; (g</w:t>
            </w:r>
            <w:r w:rsidR="00E87AEF" w:rsidRPr="001720F0">
              <w:rPr>
                <w:rFonts w:ascii="Calibri" w:hAnsi="Calibri"/>
                <w:i/>
              </w:rPr>
              <w:t>) the protection of women’s ri</w:t>
            </w:r>
            <w:r w:rsidR="00103F7B" w:rsidRPr="001720F0">
              <w:rPr>
                <w:rFonts w:ascii="Calibri" w:hAnsi="Calibri"/>
                <w:i/>
              </w:rPr>
              <w:t>ghts secured; (h) civil society advocacy on human rights strengthened.</w:t>
            </w:r>
          </w:p>
          <w:p w:rsidR="00103F7B" w:rsidRPr="00B00E5C" w:rsidRDefault="00103F7B" w:rsidP="003A7F38">
            <w:pPr>
              <w:pStyle w:val="BodyText2"/>
              <w:rPr>
                <w:rFonts w:ascii="Calibri" w:hAnsi="Calibri"/>
                <w:u w:val="single"/>
              </w:rPr>
            </w:pPr>
          </w:p>
          <w:p w:rsidR="00C0614D" w:rsidRPr="00022C12" w:rsidRDefault="00C0614D" w:rsidP="003A7F38">
            <w:pPr>
              <w:pStyle w:val="BodyText2"/>
              <w:rPr>
                <w:rFonts w:ascii="Calibri" w:hAnsi="Calibri"/>
                <w:b/>
                <w:u w:val="single"/>
              </w:rPr>
            </w:pPr>
            <w:r w:rsidRPr="00022C12">
              <w:rPr>
                <w:rFonts w:ascii="Calibri" w:hAnsi="Calibri"/>
                <w:b/>
                <w:u w:val="single"/>
              </w:rPr>
              <w:t>Progress and Achievements</w:t>
            </w:r>
          </w:p>
          <w:p w:rsidR="00626CF1" w:rsidRPr="00022C12" w:rsidRDefault="00E740E7" w:rsidP="00E740E7">
            <w:pPr>
              <w:jc w:val="both"/>
              <w:rPr>
                <w:rFonts w:ascii="Calibri" w:hAnsi="Calibri"/>
                <w:sz w:val="20"/>
              </w:rPr>
            </w:pPr>
            <w:r w:rsidRPr="00022C12">
              <w:rPr>
                <w:rFonts w:ascii="Calibri" w:hAnsi="Calibri"/>
                <w:sz w:val="20"/>
              </w:rPr>
              <w:t>The country made positive progress as measured by the Ibrahim Index of African Governance (IIAG), which improved from 26 out of 52 countries in 2012, to 24 out of 52 in 2014; while on Participation and Human Rights, Swaziland moved from 47/52 in 2012 to 46/52 in 2014. Swaziland also improved from a ranking of 82 out of 177 countries in 2013 to 69/177 in 2014 on the Corruption Perception Survey of Transparency International. Through UNDP advocacy and support, Swaziland ratified 29 international conventions, including domestication of the Convention on the Rights of Persons with Disability, of which the national policy and action plan has been developed and approved by Cabinet, including the Disability Bill.</w:t>
            </w:r>
            <w:r w:rsidR="00022C12">
              <w:rPr>
                <w:rFonts w:ascii="Calibri" w:hAnsi="Calibri"/>
                <w:sz w:val="20"/>
              </w:rPr>
              <w:t xml:space="preserve"> </w:t>
            </w:r>
            <w:r w:rsidR="00626CF1" w:rsidRPr="00022C12">
              <w:rPr>
                <w:rFonts w:ascii="Calibri" w:hAnsi="Calibri"/>
                <w:sz w:val="20"/>
              </w:rPr>
              <w:t>UNDP also supported capacity development of key national institutions of governance, and supported the country to submit its first Universal Periodic Review (UPR) on human rights. To increase access to justice UNDP supported the establishment of an electronic case management for the Judiciary and the development of a National Policy on Legal Aid and Legal AID Bill.</w:t>
            </w:r>
          </w:p>
        </w:tc>
      </w:tr>
      <w:tr w:rsidR="00161FB5" w:rsidRPr="00F01FDE" w:rsidTr="00AF25E2">
        <w:tc>
          <w:tcPr>
            <w:tcW w:w="3060" w:type="dxa"/>
            <w:shd w:val="clear" w:color="auto" w:fill="95B3D7"/>
            <w:vAlign w:val="center"/>
          </w:tcPr>
          <w:p w:rsidR="00161FB5" w:rsidRPr="00AA08EB" w:rsidRDefault="001702D3" w:rsidP="00AA08EB">
            <w:pPr>
              <w:pStyle w:val="Default"/>
              <w:numPr>
                <w:ilvl w:val="0"/>
                <w:numId w:val="20"/>
              </w:numPr>
              <w:jc w:val="both"/>
              <w:rPr>
                <w:rFonts w:ascii="Calibri" w:hAnsi="Calibri"/>
                <w:b/>
                <w:color w:val="auto"/>
                <w:sz w:val="20"/>
                <w:szCs w:val="20"/>
                <w:lang w:val="en-US" w:eastAsia="en-US"/>
              </w:rPr>
            </w:pPr>
            <w:r w:rsidRPr="00AA08EB">
              <w:rPr>
                <w:rFonts w:ascii="Calibri" w:hAnsi="Calibri"/>
                <w:b/>
                <w:color w:val="auto"/>
                <w:sz w:val="20"/>
                <w:szCs w:val="20"/>
                <w:lang w:val="en-US" w:eastAsia="en-US"/>
              </w:rPr>
              <w:t>Development of Legal and policy frameworks promoting gender equality effectively supported.</w:t>
            </w:r>
          </w:p>
        </w:tc>
        <w:tc>
          <w:tcPr>
            <w:tcW w:w="1530" w:type="dxa"/>
            <w:gridSpan w:val="2"/>
            <w:shd w:val="clear" w:color="auto" w:fill="auto"/>
            <w:vAlign w:val="center"/>
          </w:tcPr>
          <w:p w:rsidR="00161FB5" w:rsidRPr="00AA08EB" w:rsidRDefault="00347CA3" w:rsidP="00347CA3">
            <w:pPr>
              <w:pStyle w:val="BodyText2"/>
              <w:jc w:val="center"/>
              <w:rPr>
                <w:rFonts w:ascii="Calibri" w:hAnsi="Calibri"/>
              </w:rPr>
            </w:pPr>
            <w:r>
              <w:rPr>
                <w:rFonts w:ascii="Calibri" w:hAnsi="Calibri"/>
              </w:rPr>
              <w:t>$252,057</w:t>
            </w:r>
          </w:p>
        </w:tc>
        <w:tc>
          <w:tcPr>
            <w:tcW w:w="3960" w:type="dxa"/>
            <w:vAlign w:val="center"/>
          </w:tcPr>
          <w:p w:rsidR="00503F4E" w:rsidRPr="00AA08EB" w:rsidRDefault="00503F4E" w:rsidP="00AA08EB">
            <w:pPr>
              <w:pStyle w:val="BodyText2"/>
              <w:numPr>
                <w:ilvl w:val="0"/>
                <w:numId w:val="21"/>
              </w:numPr>
              <w:jc w:val="both"/>
              <w:rPr>
                <w:rFonts w:ascii="Calibri" w:hAnsi="Calibri"/>
              </w:rPr>
            </w:pPr>
            <w:r w:rsidRPr="00AA08EB">
              <w:rPr>
                <w:rFonts w:ascii="Calibri" w:hAnsi="Calibri"/>
              </w:rPr>
              <w:t># of policies adapted and institutions capacitated in promoting gender equality, preventing GBV</w:t>
            </w:r>
          </w:p>
          <w:p w:rsidR="00161FB5" w:rsidRPr="00AA08EB" w:rsidRDefault="000664BD" w:rsidP="00AA08EB">
            <w:pPr>
              <w:pStyle w:val="BodyText2"/>
              <w:numPr>
                <w:ilvl w:val="0"/>
                <w:numId w:val="21"/>
              </w:numPr>
              <w:jc w:val="both"/>
              <w:rPr>
                <w:rFonts w:ascii="Calibri" w:hAnsi="Calibri"/>
              </w:rPr>
            </w:pPr>
            <w:r w:rsidRPr="00AA08EB">
              <w:rPr>
                <w:rFonts w:ascii="Calibri" w:hAnsi="Calibri"/>
              </w:rPr>
              <w:t xml:space="preserve"># of women </w:t>
            </w:r>
            <w:r w:rsidR="00AA08EB" w:rsidRPr="00AA08EB">
              <w:rPr>
                <w:rFonts w:ascii="Calibri" w:hAnsi="Calibri"/>
              </w:rPr>
              <w:t>entrepreneurs</w:t>
            </w:r>
            <w:r w:rsidRPr="00AA08EB">
              <w:rPr>
                <w:rFonts w:ascii="Calibri" w:hAnsi="Calibri"/>
              </w:rPr>
              <w:t xml:space="preserve"> benefiting from UNDP support</w:t>
            </w:r>
            <w:r w:rsidR="00B254D7" w:rsidRPr="00AA08EB">
              <w:rPr>
                <w:rFonts w:ascii="Calibri" w:hAnsi="Calibri"/>
              </w:rPr>
              <w:t xml:space="preserve"> (2010: 700</w:t>
            </w:r>
            <w:r w:rsidR="00AA08EB">
              <w:rPr>
                <w:rFonts w:ascii="Calibri" w:hAnsi="Calibri"/>
              </w:rPr>
              <w:t>)</w:t>
            </w:r>
          </w:p>
          <w:p w:rsidR="000664BD" w:rsidRPr="00AA08EB" w:rsidRDefault="000664BD" w:rsidP="00AA08EB">
            <w:pPr>
              <w:pStyle w:val="BodyText2"/>
              <w:numPr>
                <w:ilvl w:val="0"/>
                <w:numId w:val="21"/>
              </w:numPr>
              <w:jc w:val="both"/>
              <w:rPr>
                <w:rFonts w:ascii="Calibri" w:hAnsi="Calibri"/>
              </w:rPr>
            </w:pPr>
            <w:r w:rsidRPr="00AA08EB">
              <w:rPr>
                <w:rFonts w:ascii="Calibri" w:hAnsi="Calibri"/>
              </w:rPr>
              <w:lastRenderedPageBreak/>
              <w:t># of women who are owners of SMEs</w:t>
            </w:r>
            <w:r w:rsidR="00B254D7" w:rsidRPr="00AA08EB">
              <w:rPr>
                <w:rFonts w:ascii="Calibri" w:hAnsi="Calibri"/>
              </w:rPr>
              <w:t xml:space="preserve"> (target: 1140)</w:t>
            </w:r>
          </w:p>
          <w:p w:rsidR="00A85E00" w:rsidRPr="00AA08EB" w:rsidRDefault="00A85E00" w:rsidP="00AA08EB">
            <w:pPr>
              <w:pStyle w:val="BodyText2"/>
              <w:numPr>
                <w:ilvl w:val="0"/>
                <w:numId w:val="21"/>
              </w:numPr>
              <w:jc w:val="both"/>
              <w:rPr>
                <w:rFonts w:ascii="Calibri" w:hAnsi="Calibri"/>
              </w:rPr>
            </w:pPr>
            <w:r w:rsidRPr="00AA08EB">
              <w:rPr>
                <w:rFonts w:ascii="Calibri" w:hAnsi="Calibri"/>
              </w:rPr>
              <w:t>Governance Index (human rights</w:t>
            </w:r>
            <w:r w:rsidR="00AA08EB">
              <w:rPr>
                <w:rFonts w:ascii="Calibri" w:hAnsi="Calibri"/>
              </w:rPr>
              <w:t>)</w:t>
            </w:r>
          </w:p>
        </w:tc>
        <w:tc>
          <w:tcPr>
            <w:tcW w:w="5490" w:type="dxa"/>
            <w:shd w:val="clear" w:color="auto" w:fill="auto"/>
            <w:vAlign w:val="center"/>
          </w:tcPr>
          <w:p w:rsidR="00540745" w:rsidRDefault="00540745" w:rsidP="00F72B68">
            <w:pPr>
              <w:pStyle w:val="BodyText2"/>
              <w:numPr>
                <w:ilvl w:val="0"/>
                <w:numId w:val="39"/>
              </w:numPr>
              <w:jc w:val="both"/>
              <w:rPr>
                <w:rFonts w:ascii="Calibri" w:hAnsi="Calibri"/>
              </w:rPr>
            </w:pPr>
            <w:r w:rsidRPr="00540745">
              <w:rPr>
                <w:rFonts w:ascii="Calibri" w:hAnsi="Calibri"/>
              </w:rPr>
              <w:lastRenderedPageBreak/>
              <w:t xml:space="preserve">Among the major UNDP interventions </w:t>
            </w:r>
            <w:r w:rsidR="00686DED">
              <w:rPr>
                <w:rFonts w:ascii="Calibri" w:hAnsi="Calibri"/>
              </w:rPr>
              <w:t xml:space="preserve">at </w:t>
            </w:r>
            <w:r w:rsidRPr="00540745">
              <w:rPr>
                <w:rFonts w:ascii="Calibri" w:hAnsi="Calibri"/>
              </w:rPr>
              <w:t xml:space="preserve">upstream policy and advisory support, was review of the legislation and policy framework for gender mainstreaming, leading to strengthening of the national gender machinery which was </w:t>
            </w:r>
            <w:r w:rsidRPr="00540745">
              <w:rPr>
                <w:rFonts w:ascii="Calibri" w:hAnsi="Calibri"/>
              </w:rPr>
              <w:lastRenderedPageBreak/>
              <w:t xml:space="preserve">elevated from a Unit to a Department in the Deputy Prime Minister’s Office. </w:t>
            </w:r>
          </w:p>
          <w:p w:rsidR="00540745" w:rsidRPr="00AA08EB" w:rsidRDefault="00540745" w:rsidP="00F72B68">
            <w:pPr>
              <w:pStyle w:val="BodyText2"/>
              <w:numPr>
                <w:ilvl w:val="0"/>
                <w:numId w:val="39"/>
              </w:numPr>
              <w:jc w:val="both"/>
              <w:rPr>
                <w:rFonts w:ascii="Calibri" w:hAnsi="Calibri"/>
              </w:rPr>
            </w:pPr>
            <w:r w:rsidRPr="00540745">
              <w:rPr>
                <w:rFonts w:ascii="Calibri" w:hAnsi="Calibri"/>
              </w:rPr>
              <w:t>The mid-term review of the Joint Programme on Gender concluded UN advocacy campaigns contributed to influencing legislative reforms and the ratification of international instruments pertaining to women’s rights</w:t>
            </w:r>
            <w:r>
              <w:rPr>
                <w:rFonts w:ascii="Calibri" w:hAnsi="Calibri"/>
              </w:rPr>
              <w:t>.</w:t>
            </w:r>
          </w:p>
          <w:p w:rsidR="00AA08EB" w:rsidRDefault="00AA08EB" w:rsidP="00F72B68">
            <w:pPr>
              <w:pStyle w:val="BodyText2"/>
              <w:numPr>
                <w:ilvl w:val="0"/>
                <w:numId w:val="39"/>
              </w:numPr>
              <w:jc w:val="both"/>
              <w:rPr>
                <w:rFonts w:ascii="Calibri" w:hAnsi="Calibri"/>
              </w:rPr>
            </w:pPr>
            <w:r w:rsidRPr="00AA08EB">
              <w:rPr>
                <w:rFonts w:ascii="Calibri" w:hAnsi="Calibri"/>
              </w:rPr>
              <w:t>The Swaziland Women Economic Empowerment Trust (SWEET), which intends to establish a women’s bank, received UNDP technical support, enabling it to increase its membership and share capital from USD$28,000 in 2012 to USD$395,000 in 2014.</w:t>
            </w:r>
          </w:p>
          <w:p w:rsidR="00540745" w:rsidRPr="00F72B68" w:rsidRDefault="00540745" w:rsidP="00F72B68">
            <w:pPr>
              <w:pStyle w:val="BodyText2"/>
              <w:numPr>
                <w:ilvl w:val="0"/>
                <w:numId w:val="39"/>
              </w:numPr>
              <w:jc w:val="both"/>
              <w:rPr>
                <w:rFonts w:ascii="Calibri" w:hAnsi="Calibri"/>
              </w:rPr>
            </w:pPr>
            <w:r w:rsidRPr="00540745">
              <w:rPr>
                <w:rFonts w:ascii="Calibri" w:hAnsi="Calibri"/>
              </w:rPr>
              <w:t>Two groups with combined total of 100 women in drought stricken areas were provided with capacity building support and skills training in commercial agriculture to enhance their livelihoods and household food security</w:t>
            </w:r>
            <w:r>
              <w:rPr>
                <w:rFonts w:ascii="Calibri" w:hAnsi="Calibri"/>
              </w:rPr>
              <w:t>.</w:t>
            </w:r>
          </w:p>
        </w:tc>
      </w:tr>
      <w:tr w:rsidR="00161FB5" w:rsidRPr="00DC7354" w:rsidTr="00AF25E2">
        <w:tc>
          <w:tcPr>
            <w:tcW w:w="14040" w:type="dxa"/>
            <w:gridSpan w:val="5"/>
          </w:tcPr>
          <w:p w:rsidR="00161FB5" w:rsidRDefault="00161FB5" w:rsidP="003A7F38">
            <w:pPr>
              <w:pStyle w:val="BodyText2"/>
              <w:rPr>
                <w:rFonts w:ascii="Calibri" w:hAnsi="Calibri"/>
                <w:b/>
              </w:rPr>
            </w:pPr>
            <w:r w:rsidRPr="00837C4B">
              <w:rPr>
                <w:rFonts w:ascii="Calibri" w:hAnsi="Calibri"/>
                <w:b/>
              </w:rPr>
              <w:lastRenderedPageBreak/>
              <w:t>UNDP Contribution:</w:t>
            </w:r>
          </w:p>
          <w:p w:rsidR="00161FB5" w:rsidRPr="0047465C" w:rsidRDefault="00161FB5" w:rsidP="00FB6940">
            <w:pPr>
              <w:pStyle w:val="BodyText2"/>
              <w:jc w:val="both"/>
              <w:rPr>
                <w:rFonts w:ascii="Calibri" w:hAnsi="Calibri"/>
                <w:i/>
                <w:u w:val="single"/>
              </w:rPr>
            </w:pPr>
            <w:r w:rsidRPr="00AA08EB">
              <w:rPr>
                <w:rFonts w:ascii="Calibri" w:hAnsi="Calibri"/>
                <w:b/>
                <w:u w:val="single"/>
              </w:rPr>
              <w:t>CP Outputs</w:t>
            </w:r>
            <w:r w:rsidR="000664BD" w:rsidRPr="0047465C">
              <w:rPr>
                <w:rFonts w:ascii="Calibri" w:hAnsi="Calibri"/>
              </w:rPr>
              <w:t xml:space="preserve">: </w:t>
            </w:r>
            <w:r w:rsidR="000664BD" w:rsidRPr="0047465C">
              <w:rPr>
                <w:rFonts w:ascii="Calibri" w:hAnsi="Calibri"/>
                <w:i/>
              </w:rPr>
              <w:t>(a) women’s rights and their access to productive resources enhanced</w:t>
            </w:r>
            <w:r w:rsidR="0047465C" w:rsidRPr="0047465C">
              <w:rPr>
                <w:rFonts w:ascii="Calibri" w:hAnsi="Calibri"/>
                <w:i/>
              </w:rPr>
              <w:t>; (b) enactment and implementation of gender equality and GBV laws and policies strengthened.</w:t>
            </w:r>
          </w:p>
          <w:p w:rsidR="00161FB5" w:rsidRPr="00AA08EB" w:rsidRDefault="00161FB5" w:rsidP="003A7F38">
            <w:pPr>
              <w:pStyle w:val="BodyText2"/>
              <w:rPr>
                <w:rFonts w:ascii="Calibri" w:hAnsi="Calibri"/>
                <w:b/>
                <w:u w:val="single"/>
              </w:rPr>
            </w:pPr>
            <w:r w:rsidRPr="00AA08EB">
              <w:rPr>
                <w:rFonts w:ascii="Calibri" w:hAnsi="Calibri"/>
                <w:b/>
                <w:u w:val="single"/>
              </w:rPr>
              <w:t>Progress and Achievements</w:t>
            </w:r>
          </w:p>
          <w:p w:rsidR="003C3A7D" w:rsidRDefault="0073172E" w:rsidP="00AA08EB">
            <w:pPr>
              <w:pStyle w:val="ListParagraph"/>
              <w:tabs>
                <w:tab w:val="left" w:pos="567"/>
              </w:tabs>
              <w:spacing w:before="120" w:after="0"/>
              <w:ind w:left="0"/>
              <w:jc w:val="both"/>
              <w:rPr>
                <w:rFonts w:eastAsia="Times New Roman"/>
                <w:sz w:val="20"/>
                <w:szCs w:val="20"/>
              </w:rPr>
            </w:pPr>
            <w:r w:rsidRPr="00AA08EB">
              <w:rPr>
                <w:rFonts w:eastAsia="Times New Roman"/>
                <w:sz w:val="20"/>
                <w:szCs w:val="20"/>
              </w:rPr>
              <w:t>UNDP supported capacity development, and knowledge sharing at downstream level. The Swaziland Women Economic Empowerment Trust (SWEET), which intends to establish a women’s bank, received UNDP technical support, enabling it to increase its membership and share capital from USD$28,000 in 2012 to USD$395,000 in 2014. Two groups with combined total of 100 women in drought stricken areas were provided with capacity building support and skills training in commercial agriculture to enhance their livelihoods and household food security. However, as noted earlier the interventions were of limited scale to have significant impact at outcome level.</w:t>
            </w:r>
            <w:r w:rsidR="00AA08EB">
              <w:rPr>
                <w:rFonts w:eastAsia="Times New Roman"/>
                <w:sz w:val="20"/>
                <w:szCs w:val="20"/>
              </w:rPr>
              <w:t xml:space="preserve"> </w:t>
            </w:r>
            <w:r w:rsidR="00A85E00" w:rsidRPr="00AA08EB">
              <w:rPr>
                <w:rFonts w:eastAsia="Times New Roman"/>
                <w:sz w:val="20"/>
                <w:szCs w:val="20"/>
              </w:rPr>
              <w:t xml:space="preserve">Among the major UNDP interventions in upstream policy and advisory support, was review of the legislation and policy framework for gender mainstreaming, leading to strengthening of the national gender machinery which was elevated from a Unit to a Department in the Deputy Prime Minister’s Office. </w:t>
            </w:r>
          </w:p>
          <w:p w:rsidR="001246DA" w:rsidRPr="00AA08EB" w:rsidRDefault="00A85E00" w:rsidP="003C3A7D">
            <w:pPr>
              <w:pStyle w:val="ListParagraph"/>
              <w:tabs>
                <w:tab w:val="left" w:pos="567"/>
              </w:tabs>
              <w:spacing w:before="120" w:after="0"/>
              <w:ind w:left="0"/>
              <w:jc w:val="both"/>
              <w:rPr>
                <w:i/>
              </w:rPr>
            </w:pPr>
            <w:r w:rsidRPr="00AA08EB">
              <w:rPr>
                <w:rFonts w:eastAsia="Times New Roman"/>
                <w:sz w:val="20"/>
                <w:szCs w:val="20"/>
              </w:rPr>
              <w:t>The mid-term review of the Joint Programme on Gender concluded UN advocacy campaigns contributed to influencing legislative reforms and the ratification of international instruments pertaining to women’s rights.</w:t>
            </w:r>
            <w:r w:rsidR="001A5A56" w:rsidRPr="00AA08EB">
              <w:rPr>
                <w:rFonts w:eastAsia="Times New Roman"/>
                <w:sz w:val="20"/>
                <w:szCs w:val="20"/>
              </w:rPr>
              <w:t xml:space="preserve"> Although a number of laws were reviewed and 29 international conventions ratified,  there has not been sufficient follow up, such that some of the legislation, including the Sexual Offenses and Domestic Violence Bill have still not been enacted since 2012; while also a number of international conventions have not been domesticated. </w:t>
            </w:r>
            <w:r w:rsidR="00E80572" w:rsidRPr="003C3A7D">
              <w:rPr>
                <w:rFonts w:eastAsia="Times New Roman"/>
                <w:sz w:val="20"/>
                <w:szCs w:val="20"/>
              </w:rPr>
              <w:t>With regards to capacity development, UNDP supported training of judiciary officers on implementation of the Convention on the Elimination of all forms of Discrimination Against Women (CEDAW), including handling juvenile witnesses and offenders; as well as training prosecutors on gender-based violence (GBV), sexual offenses and human trafficking. UNDP also supported the training of the Law Society and Judges on the application and implementation of the Small Claims Court system, with a view of operationalizing the Small Claims Court Act (2010); as well as training Public Service and Trade Unions on the Public Service Charter to enable operationalization</w:t>
            </w:r>
            <w:r w:rsidR="00AA08EB" w:rsidRPr="003C3A7D">
              <w:rPr>
                <w:rFonts w:eastAsia="Times New Roman"/>
                <w:sz w:val="20"/>
                <w:szCs w:val="20"/>
              </w:rPr>
              <w:t>.</w:t>
            </w:r>
          </w:p>
        </w:tc>
      </w:tr>
      <w:tr w:rsidR="00611529" w:rsidRPr="00F01FDE" w:rsidTr="00AF25E2">
        <w:tc>
          <w:tcPr>
            <w:tcW w:w="3060" w:type="dxa"/>
            <w:shd w:val="clear" w:color="auto" w:fill="95B3D7"/>
          </w:tcPr>
          <w:p w:rsidR="00611529" w:rsidRPr="000823AC" w:rsidRDefault="00611529" w:rsidP="003A7F38">
            <w:pPr>
              <w:pStyle w:val="BodyText2"/>
              <w:rPr>
                <w:rFonts w:ascii="Times New Roman" w:hAnsi="Times New Roman"/>
                <w:b/>
              </w:rPr>
            </w:pPr>
          </w:p>
        </w:tc>
        <w:tc>
          <w:tcPr>
            <w:tcW w:w="1530" w:type="dxa"/>
            <w:gridSpan w:val="2"/>
            <w:shd w:val="clear" w:color="auto" w:fill="auto"/>
          </w:tcPr>
          <w:p w:rsidR="00611529" w:rsidRPr="00F01FDE" w:rsidRDefault="00611529" w:rsidP="003A7F38">
            <w:pPr>
              <w:pStyle w:val="BodyText2"/>
              <w:rPr>
                <w:rFonts w:ascii="Times New Roman" w:hAnsi="Times New Roman"/>
              </w:rPr>
            </w:pPr>
          </w:p>
        </w:tc>
        <w:tc>
          <w:tcPr>
            <w:tcW w:w="3960" w:type="dxa"/>
          </w:tcPr>
          <w:p w:rsidR="00611529" w:rsidRPr="00F01FDE" w:rsidRDefault="00611529" w:rsidP="003A7F38">
            <w:pPr>
              <w:pStyle w:val="BodyText2"/>
              <w:rPr>
                <w:rFonts w:ascii="Times New Roman" w:hAnsi="Times New Roman"/>
              </w:rPr>
            </w:pPr>
          </w:p>
        </w:tc>
        <w:tc>
          <w:tcPr>
            <w:tcW w:w="5490" w:type="dxa"/>
            <w:shd w:val="clear" w:color="auto" w:fill="auto"/>
          </w:tcPr>
          <w:p w:rsidR="00611529" w:rsidRPr="00F01FDE" w:rsidRDefault="00611529" w:rsidP="003A7F38">
            <w:pPr>
              <w:pStyle w:val="BodyText2"/>
              <w:rPr>
                <w:rFonts w:ascii="Times New Roman" w:hAnsi="Times New Roman"/>
              </w:rPr>
            </w:pPr>
          </w:p>
        </w:tc>
      </w:tr>
      <w:tr w:rsidR="009E7526" w:rsidRPr="00F01FDE" w:rsidTr="00AF25E2">
        <w:tc>
          <w:tcPr>
            <w:tcW w:w="14040" w:type="dxa"/>
            <w:gridSpan w:val="5"/>
          </w:tcPr>
          <w:p w:rsidR="009E7526" w:rsidRPr="00845340" w:rsidRDefault="00AC0135" w:rsidP="009E7526">
            <w:pPr>
              <w:rPr>
                <w:rFonts w:ascii="Calibri" w:hAnsi="Calibri"/>
                <w:sz w:val="20"/>
                <w:u w:val="single"/>
              </w:rPr>
            </w:pPr>
            <w:r w:rsidRPr="00AC0135">
              <w:rPr>
                <w:rFonts w:ascii="Calibri" w:hAnsi="Calibri"/>
                <w:b/>
                <w:sz w:val="20"/>
                <w:u w:val="single"/>
              </w:rPr>
              <w:lastRenderedPageBreak/>
              <w:t>Summary of E</w:t>
            </w:r>
            <w:r w:rsidR="009E7526" w:rsidRPr="00AC0135">
              <w:rPr>
                <w:rFonts w:ascii="Calibri" w:hAnsi="Calibri"/>
                <w:b/>
                <w:sz w:val="20"/>
                <w:u w:val="single"/>
              </w:rPr>
              <w:t>valuation</w:t>
            </w:r>
            <w:r w:rsidR="00674B1A" w:rsidRPr="00AC0135">
              <w:rPr>
                <w:rFonts w:ascii="Calibri" w:hAnsi="Calibri"/>
                <w:b/>
                <w:sz w:val="20"/>
                <w:u w:val="single"/>
              </w:rPr>
              <w:t xml:space="preserve"> </w:t>
            </w:r>
            <w:r w:rsidRPr="00AC0135">
              <w:rPr>
                <w:rFonts w:ascii="Calibri" w:hAnsi="Calibri"/>
                <w:b/>
                <w:sz w:val="20"/>
                <w:u w:val="single"/>
              </w:rPr>
              <w:t>F</w:t>
            </w:r>
            <w:r w:rsidR="00674B1A" w:rsidRPr="00AC0135">
              <w:rPr>
                <w:rFonts w:ascii="Calibri" w:hAnsi="Calibri"/>
                <w:b/>
                <w:sz w:val="20"/>
                <w:u w:val="single"/>
              </w:rPr>
              <w:t>inding</w:t>
            </w:r>
            <w:r w:rsidRPr="00AC0135">
              <w:rPr>
                <w:rFonts w:ascii="Calibri" w:hAnsi="Calibri"/>
                <w:b/>
                <w:sz w:val="20"/>
                <w:u w:val="single"/>
              </w:rPr>
              <w:t>s</w:t>
            </w:r>
          </w:p>
          <w:p w:rsidR="00F0294F" w:rsidRDefault="00F0294F" w:rsidP="00DD7CFC">
            <w:pPr>
              <w:jc w:val="both"/>
              <w:rPr>
                <w:rFonts w:ascii="Calibri" w:hAnsi="Calibri"/>
                <w:b/>
                <w:sz w:val="20"/>
                <w:u w:val="single"/>
              </w:rPr>
            </w:pPr>
          </w:p>
          <w:p w:rsidR="00DD7CFC" w:rsidRDefault="00DD7CFC" w:rsidP="00DD7CFC">
            <w:pPr>
              <w:jc w:val="both"/>
              <w:rPr>
                <w:rFonts w:ascii="Calibri" w:hAnsi="Calibri"/>
                <w:sz w:val="20"/>
              </w:rPr>
            </w:pPr>
            <w:r w:rsidRPr="00AC0135">
              <w:rPr>
                <w:rFonts w:ascii="Calibri" w:hAnsi="Calibri"/>
                <w:b/>
                <w:sz w:val="20"/>
                <w:u w:val="single"/>
              </w:rPr>
              <w:t>Key Achievements</w:t>
            </w:r>
            <w:r w:rsidRPr="00AC0135">
              <w:rPr>
                <w:rFonts w:ascii="Calibri" w:hAnsi="Calibri"/>
                <w:b/>
                <w:sz w:val="20"/>
              </w:rPr>
              <w:t>:</w:t>
            </w:r>
            <w:r>
              <w:rPr>
                <w:rFonts w:ascii="Calibri" w:hAnsi="Calibri"/>
                <w:sz w:val="20"/>
              </w:rPr>
              <w:t xml:space="preserve"> </w:t>
            </w:r>
          </w:p>
          <w:p w:rsidR="00DD7CFC" w:rsidRPr="003A7F38" w:rsidRDefault="00DD7CFC" w:rsidP="00DD7CFC">
            <w:pPr>
              <w:jc w:val="both"/>
              <w:rPr>
                <w:rFonts w:ascii="Calibri" w:hAnsi="Calibri"/>
                <w:color w:val="000000"/>
                <w:sz w:val="20"/>
              </w:rPr>
            </w:pPr>
          </w:p>
          <w:p w:rsidR="00DD7CFC" w:rsidRDefault="00DD7CFC" w:rsidP="00DD7CFC">
            <w:pPr>
              <w:jc w:val="both"/>
              <w:rPr>
                <w:rFonts w:ascii="Calibri" w:hAnsi="Calibri"/>
                <w:color w:val="000000"/>
                <w:sz w:val="20"/>
              </w:rPr>
            </w:pPr>
            <w:r>
              <w:rPr>
                <w:rFonts w:ascii="Calibri" w:hAnsi="Calibri"/>
                <w:sz w:val="20"/>
              </w:rPr>
              <w:t>UNDP’s support</w:t>
            </w:r>
            <w:r w:rsidRPr="003A7F38">
              <w:rPr>
                <w:rFonts w:ascii="Calibri" w:hAnsi="Calibri"/>
                <w:color w:val="000000"/>
                <w:sz w:val="20"/>
              </w:rPr>
              <w:t xml:space="preserve"> was aligned to </w:t>
            </w:r>
            <w:r>
              <w:rPr>
                <w:rFonts w:ascii="Calibri" w:hAnsi="Calibri"/>
                <w:color w:val="000000"/>
                <w:sz w:val="20"/>
              </w:rPr>
              <w:t xml:space="preserve">national </w:t>
            </w:r>
            <w:r w:rsidRPr="003A7F38">
              <w:rPr>
                <w:rFonts w:ascii="Calibri" w:hAnsi="Calibri"/>
                <w:color w:val="000000"/>
                <w:sz w:val="20"/>
              </w:rPr>
              <w:t>priorit</w:t>
            </w:r>
            <w:r>
              <w:rPr>
                <w:rFonts w:ascii="Calibri" w:hAnsi="Calibri"/>
                <w:color w:val="000000"/>
                <w:sz w:val="20"/>
              </w:rPr>
              <w:t>ies</w:t>
            </w:r>
            <w:r>
              <w:rPr>
                <w:rStyle w:val="FootnoteReference"/>
                <w:rFonts w:ascii="Calibri" w:hAnsi="Calibri"/>
                <w:color w:val="000000"/>
                <w:sz w:val="20"/>
              </w:rPr>
              <w:footnoteReference w:id="10"/>
            </w:r>
            <w:r w:rsidRPr="003A7F38">
              <w:rPr>
                <w:rFonts w:ascii="Calibri" w:hAnsi="Calibri"/>
                <w:color w:val="000000"/>
                <w:sz w:val="20"/>
              </w:rPr>
              <w:t xml:space="preserve">. </w:t>
            </w:r>
            <w:r>
              <w:rPr>
                <w:rFonts w:ascii="Calibri" w:hAnsi="Calibri"/>
                <w:color w:val="000000"/>
                <w:sz w:val="20"/>
              </w:rPr>
              <w:t>N</w:t>
            </w:r>
            <w:r w:rsidRPr="003A7F38">
              <w:rPr>
                <w:rFonts w:ascii="Calibri" w:hAnsi="Calibri"/>
                <w:color w:val="000000"/>
                <w:sz w:val="20"/>
              </w:rPr>
              <w:t xml:space="preserve">ational capacity </w:t>
            </w:r>
            <w:r>
              <w:rPr>
                <w:rFonts w:ascii="Calibri" w:hAnsi="Calibri"/>
                <w:color w:val="000000"/>
                <w:sz w:val="20"/>
              </w:rPr>
              <w:t>was</w:t>
            </w:r>
            <w:r w:rsidRPr="003A7F38">
              <w:rPr>
                <w:rFonts w:ascii="Calibri" w:hAnsi="Calibri"/>
                <w:color w:val="000000"/>
                <w:sz w:val="20"/>
              </w:rPr>
              <w:t xml:space="preserve"> strengthen</w:t>
            </w:r>
            <w:r>
              <w:rPr>
                <w:rFonts w:ascii="Calibri" w:hAnsi="Calibri"/>
                <w:color w:val="000000"/>
                <w:sz w:val="20"/>
              </w:rPr>
              <w:t>ed for</w:t>
            </w:r>
            <w:r w:rsidRPr="003A7F38">
              <w:rPr>
                <w:rFonts w:ascii="Calibri" w:hAnsi="Calibri"/>
                <w:color w:val="000000"/>
                <w:sz w:val="20"/>
              </w:rPr>
              <w:t xml:space="preserve"> poverty analysis, planning and development of national M&amp;E systems to address poverty and inequality</w:t>
            </w:r>
            <w:r>
              <w:rPr>
                <w:rFonts w:ascii="Calibri" w:hAnsi="Calibri"/>
                <w:color w:val="000000"/>
                <w:sz w:val="20"/>
              </w:rPr>
              <w:t>. That was balanced with d</w:t>
            </w:r>
            <w:r w:rsidRPr="003A7F38">
              <w:rPr>
                <w:rFonts w:ascii="Calibri" w:hAnsi="Calibri"/>
                <w:color w:val="000000"/>
                <w:sz w:val="20"/>
              </w:rPr>
              <w:t xml:space="preserve">ownstream support to women and youth groups in the area of livelihoods </w:t>
            </w:r>
            <w:r>
              <w:rPr>
                <w:rFonts w:ascii="Calibri" w:hAnsi="Calibri"/>
                <w:color w:val="000000"/>
                <w:sz w:val="20"/>
              </w:rPr>
              <w:t>for</w:t>
            </w:r>
            <w:r w:rsidRPr="003A7F38">
              <w:rPr>
                <w:rFonts w:ascii="Calibri" w:hAnsi="Calibri"/>
                <w:color w:val="000000"/>
                <w:sz w:val="20"/>
              </w:rPr>
              <w:t xml:space="preserve"> reducing high unemployment. With a large proportion of the national range lands affected by severe erosion and degradation, UNDP </w:t>
            </w:r>
            <w:r>
              <w:rPr>
                <w:rFonts w:ascii="Calibri" w:hAnsi="Calibri"/>
                <w:color w:val="000000"/>
                <w:sz w:val="20"/>
              </w:rPr>
              <w:t>developed</w:t>
            </w:r>
            <w:r w:rsidRPr="003A7F38">
              <w:rPr>
                <w:rFonts w:ascii="Calibri" w:hAnsi="Calibri"/>
                <w:color w:val="000000"/>
                <w:sz w:val="20"/>
              </w:rPr>
              <w:t xml:space="preserve"> national capacities to strengthen environment management, including in climate change policy, strengthening protected area management and climate change adaptation. </w:t>
            </w:r>
          </w:p>
          <w:p w:rsidR="00DD7CFC" w:rsidRDefault="00DD7CFC" w:rsidP="00DD7CFC">
            <w:pPr>
              <w:jc w:val="both"/>
              <w:rPr>
                <w:rFonts w:ascii="Calibri" w:hAnsi="Calibri"/>
                <w:color w:val="000000"/>
                <w:sz w:val="20"/>
              </w:rPr>
            </w:pPr>
          </w:p>
          <w:p w:rsidR="00DD7CFC" w:rsidRDefault="00DD7CFC" w:rsidP="00DD7CFC">
            <w:pPr>
              <w:jc w:val="both"/>
              <w:rPr>
                <w:rFonts w:ascii="Calibri" w:hAnsi="Calibri"/>
                <w:color w:val="000000"/>
                <w:sz w:val="20"/>
              </w:rPr>
            </w:pPr>
            <w:r>
              <w:rPr>
                <w:rFonts w:ascii="Calibri" w:hAnsi="Calibri"/>
                <w:color w:val="000000"/>
                <w:sz w:val="20"/>
              </w:rPr>
              <w:t>UNDP supported NERCHA</w:t>
            </w:r>
            <w:r w:rsidRPr="003A7F38">
              <w:rPr>
                <w:rFonts w:ascii="Calibri" w:hAnsi="Calibri"/>
                <w:color w:val="000000"/>
                <w:sz w:val="20"/>
              </w:rPr>
              <w:t xml:space="preserve"> to strengthen the response </w:t>
            </w:r>
            <w:r>
              <w:rPr>
                <w:rFonts w:ascii="Calibri" w:hAnsi="Calibri"/>
                <w:color w:val="000000"/>
                <w:sz w:val="20"/>
              </w:rPr>
              <w:t xml:space="preserve">to HIV </w:t>
            </w:r>
            <w:r w:rsidRPr="003A7F38">
              <w:rPr>
                <w:rFonts w:ascii="Calibri" w:hAnsi="Calibri"/>
                <w:color w:val="000000"/>
                <w:sz w:val="20"/>
              </w:rPr>
              <w:t xml:space="preserve">by strengthening its coordination and monitoring capacity. </w:t>
            </w:r>
            <w:r>
              <w:rPr>
                <w:rFonts w:ascii="Calibri" w:hAnsi="Calibri"/>
                <w:color w:val="000000"/>
                <w:sz w:val="20"/>
              </w:rPr>
              <w:t xml:space="preserve">Furthermore, </w:t>
            </w:r>
            <w:r w:rsidRPr="003A7F38">
              <w:rPr>
                <w:rFonts w:ascii="Calibri" w:hAnsi="Calibri"/>
                <w:color w:val="000000"/>
                <w:sz w:val="20"/>
              </w:rPr>
              <w:t xml:space="preserve">UNDP effectively delivered on available resources. UNDP achieved consistently high rate of delivery of available resources during the years of CPAP implementation. </w:t>
            </w:r>
            <w:r>
              <w:rPr>
                <w:rFonts w:ascii="Calibri" w:hAnsi="Calibri"/>
                <w:color w:val="000000"/>
                <w:sz w:val="20"/>
              </w:rPr>
              <w:t>Though most</w:t>
            </w:r>
            <w:r w:rsidRPr="003A7F38">
              <w:rPr>
                <w:rFonts w:ascii="Calibri" w:hAnsi="Calibri"/>
                <w:color w:val="000000"/>
                <w:sz w:val="20"/>
              </w:rPr>
              <w:t xml:space="preserve"> funds were UNDP, Government also met its cost sharing commitments</w:t>
            </w:r>
            <w:r>
              <w:rPr>
                <w:rFonts w:ascii="Calibri" w:hAnsi="Calibri"/>
                <w:color w:val="000000"/>
                <w:sz w:val="20"/>
              </w:rPr>
              <w:t xml:space="preserve"> on </w:t>
            </w:r>
            <w:r w:rsidRPr="003A7F38">
              <w:rPr>
                <w:rFonts w:ascii="Calibri" w:hAnsi="Calibri"/>
                <w:color w:val="000000"/>
                <w:sz w:val="20"/>
              </w:rPr>
              <w:t>time.</w:t>
            </w:r>
            <w:r>
              <w:rPr>
                <w:rFonts w:ascii="Calibri" w:hAnsi="Calibri"/>
                <w:color w:val="000000"/>
                <w:sz w:val="20"/>
              </w:rPr>
              <w:t xml:space="preserve"> </w:t>
            </w:r>
            <w:r w:rsidRPr="003A7F38">
              <w:rPr>
                <w:rFonts w:ascii="Calibri" w:hAnsi="Calibri"/>
                <w:color w:val="000000"/>
                <w:sz w:val="20"/>
              </w:rPr>
              <w:t>Beneficiaries of CPAP interventions demonstrated high level of enthusiasm and ownership, especially at community levels.</w:t>
            </w:r>
            <w:r>
              <w:rPr>
                <w:rFonts w:ascii="Calibri" w:hAnsi="Calibri"/>
                <w:color w:val="000000"/>
                <w:sz w:val="20"/>
              </w:rPr>
              <w:t xml:space="preserve"> </w:t>
            </w:r>
          </w:p>
          <w:p w:rsidR="00DD7CFC" w:rsidRDefault="00DD7CFC" w:rsidP="00DD7CFC">
            <w:pPr>
              <w:jc w:val="both"/>
              <w:rPr>
                <w:rFonts w:ascii="Calibri" w:hAnsi="Calibri"/>
                <w:color w:val="000000"/>
                <w:sz w:val="20"/>
              </w:rPr>
            </w:pPr>
          </w:p>
          <w:p w:rsidR="00F0294F" w:rsidRPr="003A7F38" w:rsidRDefault="00F0294F" w:rsidP="00DD7CFC">
            <w:pPr>
              <w:jc w:val="both"/>
              <w:rPr>
                <w:rFonts w:ascii="Calibri" w:hAnsi="Calibri"/>
                <w:color w:val="000000"/>
                <w:sz w:val="20"/>
              </w:rPr>
            </w:pPr>
          </w:p>
          <w:p w:rsidR="00DD7CFC" w:rsidRPr="00AC0135" w:rsidRDefault="00DD7CFC" w:rsidP="00DD7CFC">
            <w:pPr>
              <w:pStyle w:val="BodyText2"/>
              <w:rPr>
                <w:rFonts w:ascii="Calibri" w:hAnsi="Calibri"/>
                <w:b/>
              </w:rPr>
            </w:pPr>
            <w:r w:rsidRPr="00AC0135">
              <w:rPr>
                <w:rFonts w:ascii="Calibri" w:hAnsi="Calibri"/>
                <w:b/>
                <w:u w:val="single"/>
              </w:rPr>
              <w:t>Major Lessons Learnt</w:t>
            </w:r>
            <w:r w:rsidRPr="00AC0135">
              <w:rPr>
                <w:rFonts w:ascii="Calibri" w:hAnsi="Calibri"/>
                <w:b/>
              </w:rPr>
              <w:t>:</w:t>
            </w:r>
          </w:p>
          <w:p w:rsidR="00DD7CFC" w:rsidRDefault="00DD7CFC" w:rsidP="00DD7CFC">
            <w:pPr>
              <w:pStyle w:val="BodyText2"/>
              <w:rPr>
                <w:rFonts w:ascii="Calibri" w:hAnsi="Calibri"/>
              </w:rPr>
            </w:pPr>
          </w:p>
          <w:p w:rsidR="00DD7CFC" w:rsidRDefault="00DD7CFC" w:rsidP="00DD7CFC">
            <w:pPr>
              <w:pStyle w:val="BodyText2"/>
              <w:rPr>
                <w:rFonts w:ascii="Calibri" w:hAnsi="Calibri"/>
              </w:rPr>
            </w:pPr>
            <w:r>
              <w:rPr>
                <w:rFonts w:ascii="Calibri" w:hAnsi="Calibri"/>
              </w:rPr>
              <w:t>The major lessons arising from independent assessments include the following:</w:t>
            </w:r>
          </w:p>
          <w:p w:rsidR="00DD7CFC" w:rsidRDefault="00DD7CFC" w:rsidP="00DD7CFC">
            <w:pPr>
              <w:pStyle w:val="BodyText2"/>
              <w:rPr>
                <w:rFonts w:ascii="Calibri" w:hAnsi="Calibri"/>
              </w:rPr>
            </w:pPr>
          </w:p>
          <w:p w:rsidR="00DD7CFC" w:rsidRPr="0003354B" w:rsidRDefault="00DD7CFC" w:rsidP="00DD7CFC">
            <w:pPr>
              <w:pStyle w:val="BodyText2"/>
              <w:numPr>
                <w:ilvl w:val="0"/>
                <w:numId w:val="36"/>
              </w:numPr>
              <w:jc w:val="both"/>
              <w:rPr>
                <w:rFonts w:ascii="Calibri" w:hAnsi="Calibri"/>
                <w:color w:val="000000"/>
              </w:rPr>
            </w:pPr>
            <w:r w:rsidRPr="0003354B">
              <w:rPr>
                <w:rFonts w:ascii="Calibri" w:hAnsi="Calibri"/>
                <w:color w:val="000000"/>
              </w:rPr>
              <w:t>UNDP</w:t>
            </w:r>
            <w:r w:rsidR="0092107A">
              <w:rPr>
                <w:rFonts w:ascii="Calibri" w:hAnsi="Calibri"/>
                <w:color w:val="000000"/>
              </w:rPr>
              <w:t>’s</w:t>
            </w:r>
            <w:r w:rsidRPr="0003354B">
              <w:rPr>
                <w:rFonts w:ascii="Calibri" w:hAnsi="Calibri"/>
                <w:color w:val="000000"/>
              </w:rPr>
              <w:t xml:space="preserve"> contribution to poverty reduction and sustainable livelihoods was not sufficiently reflected through the outcome indicators. </w:t>
            </w:r>
            <w:r w:rsidR="0092107A">
              <w:rPr>
                <w:rFonts w:ascii="Calibri" w:hAnsi="Calibri"/>
                <w:color w:val="000000"/>
              </w:rPr>
              <w:t xml:space="preserve"> Shortage of relevant data and statistics continually challenges the office to ascertain its’ impact.  The 2011-2015 CPAP interventions are still assessed by data generated before the programme commenced.  Due these data gaps there is a need for collaborative efforts between Government and Development Partners to leverage resources and generate the needed data for programming, planning and assessments.   </w:t>
            </w:r>
            <w:r w:rsidR="000C4977">
              <w:rPr>
                <w:rFonts w:ascii="Calibri" w:hAnsi="Calibri"/>
                <w:color w:val="000000"/>
              </w:rPr>
              <w:t xml:space="preserve">Major </w:t>
            </w:r>
            <w:r w:rsidR="000C4977" w:rsidRPr="0003354B">
              <w:rPr>
                <w:rFonts w:ascii="Calibri" w:hAnsi="Calibri"/>
                <w:color w:val="000000"/>
              </w:rPr>
              <w:t>interventions</w:t>
            </w:r>
            <w:r w:rsidR="0092107A" w:rsidRPr="0003354B">
              <w:rPr>
                <w:rFonts w:ascii="Calibri" w:hAnsi="Calibri"/>
                <w:color w:val="000000"/>
              </w:rPr>
              <w:t xml:space="preserve"> were </w:t>
            </w:r>
            <w:r w:rsidR="0092107A">
              <w:rPr>
                <w:rFonts w:ascii="Calibri" w:hAnsi="Calibri"/>
                <w:color w:val="000000"/>
              </w:rPr>
              <w:t xml:space="preserve">undertaken that benefited </w:t>
            </w:r>
            <w:r w:rsidR="000C4977">
              <w:rPr>
                <w:rFonts w:ascii="Calibri" w:hAnsi="Calibri"/>
                <w:color w:val="000000"/>
              </w:rPr>
              <w:t xml:space="preserve">the </w:t>
            </w:r>
            <w:r w:rsidR="000C4977" w:rsidRPr="0003354B">
              <w:rPr>
                <w:rFonts w:ascii="Calibri" w:hAnsi="Calibri"/>
                <w:color w:val="000000"/>
              </w:rPr>
              <w:t>target</w:t>
            </w:r>
            <w:r w:rsidR="0092107A" w:rsidRPr="0003354B">
              <w:rPr>
                <w:rFonts w:ascii="Calibri" w:hAnsi="Calibri"/>
                <w:color w:val="000000"/>
              </w:rPr>
              <w:t xml:space="preserve"> groups</w:t>
            </w:r>
            <w:r w:rsidR="0092107A">
              <w:rPr>
                <w:rFonts w:ascii="Calibri" w:hAnsi="Calibri"/>
                <w:color w:val="000000"/>
              </w:rPr>
              <w:t>.  However</w:t>
            </w:r>
            <w:proofErr w:type="gramStart"/>
            <w:r w:rsidR="000C4977">
              <w:rPr>
                <w:rFonts w:ascii="Calibri" w:hAnsi="Calibri"/>
                <w:color w:val="000000"/>
              </w:rPr>
              <w:t xml:space="preserve">, </w:t>
            </w:r>
            <w:r w:rsidRPr="0003354B">
              <w:rPr>
                <w:rFonts w:ascii="Calibri" w:hAnsi="Calibri"/>
                <w:color w:val="000000"/>
              </w:rPr>
              <w:t xml:space="preserve"> </w:t>
            </w:r>
            <w:r w:rsidR="0092107A">
              <w:rPr>
                <w:rFonts w:ascii="Calibri" w:hAnsi="Calibri"/>
                <w:color w:val="000000"/>
              </w:rPr>
              <w:t>t</w:t>
            </w:r>
            <w:r w:rsidRPr="0003354B">
              <w:rPr>
                <w:rFonts w:ascii="Calibri" w:hAnsi="Calibri"/>
                <w:color w:val="000000"/>
              </w:rPr>
              <w:t>he</w:t>
            </w:r>
            <w:proofErr w:type="gramEnd"/>
            <w:r w:rsidRPr="0003354B">
              <w:rPr>
                <w:rFonts w:ascii="Calibri" w:hAnsi="Calibri"/>
                <w:color w:val="000000"/>
              </w:rPr>
              <w:t xml:space="preserve"> programme design and implementation lacked synergy between components. Evidence from various sources suggests that there was uneven progress made towards the outcome indicators, with more progress in some, and limited progress in other areas. UNDP effectiveness on strengthening natural resources management was affected by a number of constraints, including the absence of comprehensive environment mainstreaming strategy. </w:t>
            </w:r>
          </w:p>
          <w:p w:rsidR="00DD7CFC" w:rsidRPr="003A7F38" w:rsidRDefault="00DD7CFC" w:rsidP="00DD7CFC">
            <w:pPr>
              <w:pStyle w:val="BodyText2"/>
              <w:numPr>
                <w:ilvl w:val="0"/>
                <w:numId w:val="36"/>
              </w:numPr>
              <w:jc w:val="both"/>
              <w:rPr>
                <w:rFonts w:ascii="Calibri" w:hAnsi="Calibri"/>
                <w:color w:val="000000"/>
              </w:rPr>
            </w:pPr>
            <w:r w:rsidRPr="003A7F38">
              <w:rPr>
                <w:rFonts w:ascii="Calibri" w:hAnsi="Calibri"/>
                <w:color w:val="000000"/>
              </w:rPr>
              <w:t>The impact of UNDP support to governance and gender equality was constrained by limited scale and fragmented nature of its interventions. The interventions undertaken were important individually, but did not reflect a coherent pathway to change, while also the outcome indicator did not fully reflect all the interventions adequately to measure UNDP’s performance.</w:t>
            </w:r>
            <w:r>
              <w:rPr>
                <w:rFonts w:ascii="Calibri" w:hAnsi="Calibri"/>
                <w:color w:val="000000"/>
              </w:rPr>
              <w:t xml:space="preserve"> A</w:t>
            </w:r>
            <w:r w:rsidRPr="003A7F38">
              <w:rPr>
                <w:rFonts w:ascii="Calibri" w:hAnsi="Calibri"/>
                <w:color w:val="000000"/>
              </w:rPr>
              <w:t xml:space="preserve"> number of international conventions have not been domesticated </w:t>
            </w:r>
            <w:r>
              <w:rPr>
                <w:rFonts w:ascii="Calibri" w:hAnsi="Calibri"/>
                <w:color w:val="000000"/>
              </w:rPr>
              <w:t>with</w:t>
            </w:r>
            <w:r w:rsidRPr="003A7F38">
              <w:rPr>
                <w:rFonts w:ascii="Calibri" w:hAnsi="Calibri"/>
                <w:color w:val="000000"/>
              </w:rPr>
              <w:t xml:space="preserve"> the Sexual Offenses and Domestic Violence Bill not enacted since 2012.  </w:t>
            </w:r>
          </w:p>
          <w:p w:rsidR="00DD7CFC" w:rsidRPr="003A7F38" w:rsidRDefault="00DD7CFC" w:rsidP="00DD7CFC">
            <w:pPr>
              <w:pStyle w:val="BodyText2"/>
              <w:numPr>
                <w:ilvl w:val="0"/>
                <w:numId w:val="36"/>
              </w:numPr>
              <w:jc w:val="both"/>
              <w:rPr>
                <w:rFonts w:ascii="Calibri" w:hAnsi="Calibri"/>
                <w:color w:val="000000"/>
              </w:rPr>
            </w:pPr>
            <w:r w:rsidRPr="003A7F38">
              <w:rPr>
                <w:rFonts w:ascii="Calibri" w:hAnsi="Calibri"/>
                <w:color w:val="000000"/>
              </w:rPr>
              <w:t xml:space="preserve">UNDP’s partnership strategy did not effectively contribute to its Resource Mobilization Target. By </w:t>
            </w:r>
            <w:r w:rsidR="00AE3B12">
              <w:rPr>
                <w:rFonts w:ascii="Calibri" w:hAnsi="Calibri"/>
                <w:color w:val="000000"/>
              </w:rPr>
              <w:t>2014,</w:t>
            </w:r>
            <w:r w:rsidRPr="003A7F38">
              <w:rPr>
                <w:rFonts w:ascii="Calibri" w:hAnsi="Calibri"/>
                <w:color w:val="000000"/>
              </w:rPr>
              <w:t xml:space="preserve"> UNDP had mobilized about 45.5% ($8,682,769) from expected $19,069,000 of its resource mobilization target. </w:t>
            </w:r>
            <w:r w:rsidR="00AE3B12">
              <w:rPr>
                <w:rFonts w:ascii="Calibri" w:hAnsi="Calibri"/>
                <w:color w:val="000000"/>
              </w:rPr>
              <w:t>It</w:t>
            </w:r>
            <w:r w:rsidRPr="003A7F38">
              <w:rPr>
                <w:rFonts w:ascii="Calibri" w:hAnsi="Calibri"/>
                <w:color w:val="000000"/>
              </w:rPr>
              <w:t xml:space="preserve"> will have to strengthen its partnerships strategy to leverage resources from donors, including non-traditional donors.</w:t>
            </w:r>
          </w:p>
          <w:p w:rsidR="00DD7CFC" w:rsidRDefault="00DD7CFC" w:rsidP="00DD7CFC">
            <w:pPr>
              <w:pStyle w:val="BodyText2"/>
              <w:numPr>
                <w:ilvl w:val="0"/>
                <w:numId w:val="36"/>
              </w:numPr>
              <w:jc w:val="both"/>
              <w:rPr>
                <w:rFonts w:ascii="Calibri" w:hAnsi="Calibri"/>
                <w:color w:val="000000"/>
              </w:rPr>
            </w:pPr>
            <w:r w:rsidRPr="0003354B">
              <w:rPr>
                <w:rFonts w:ascii="Calibri" w:hAnsi="Calibri"/>
                <w:color w:val="000000"/>
              </w:rPr>
              <w:lastRenderedPageBreak/>
              <w:t>Implementation was characterized by weak planning and performance monitoring. Despite using the corporate planning and reporting tools (e.g. IWP, Atlas, ROAR and regular quarterly review meetings), implement</w:t>
            </w:r>
            <w:r w:rsidR="00AF2C5A">
              <w:rPr>
                <w:rFonts w:ascii="Calibri" w:hAnsi="Calibri"/>
                <w:color w:val="000000"/>
              </w:rPr>
              <w:t>ation</w:t>
            </w:r>
            <w:r w:rsidRPr="0003354B">
              <w:rPr>
                <w:rFonts w:ascii="Calibri" w:hAnsi="Calibri"/>
                <w:color w:val="000000"/>
              </w:rPr>
              <w:t xml:space="preserve"> delays by national counterparts affected effective planning. There was also weak performance monitoring, with a complex and ineffective monitoring tool. </w:t>
            </w:r>
          </w:p>
          <w:p w:rsidR="00825957" w:rsidRPr="00DD7CFC" w:rsidRDefault="00746050" w:rsidP="00B93E36">
            <w:pPr>
              <w:pStyle w:val="BodyText2"/>
              <w:numPr>
                <w:ilvl w:val="0"/>
                <w:numId w:val="36"/>
              </w:numPr>
              <w:jc w:val="both"/>
              <w:rPr>
                <w:rFonts w:ascii="Calibri" w:hAnsi="Calibri"/>
                <w:color w:val="000000"/>
              </w:rPr>
            </w:pPr>
            <w:r>
              <w:rPr>
                <w:rFonts w:ascii="Calibri" w:hAnsi="Calibri"/>
                <w:color w:val="000000"/>
              </w:rPr>
              <w:t>Lastly,</w:t>
            </w:r>
            <w:r w:rsidR="00DD7CFC" w:rsidRPr="0003354B">
              <w:rPr>
                <w:rFonts w:ascii="Calibri" w:hAnsi="Calibri"/>
                <w:color w:val="000000"/>
              </w:rPr>
              <w:t xml:space="preserve"> Government did not have capacity to sustain</w:t>
            </w:r>
            <w:r w:rsidR="00B93E36">
              <w:rPr>
                <w:rFonts w:ascii="Calibri" w:hAnsi="Calibri"/>
                <w:color w:val="000000"/>
              </w:rPr>
              <w:t>,</w:t>
            </w:r>
            <w:r w:rsidR="00DD7CFC" w:rsidRPr="0003354B">
              <w:rPr>
                <w:rFonts w:ascii="Calibri" w:hAnsi="Calibri"/>
                <w:color w:val="000000"/>
              </w:rPr>
              <w:t xml:space="preserve"> up-scale or replicate programme results. There was general lack of sustainability planning across CPAP interventions. While capacity-building </w:t>
            </w:r>
            <w:r w:rsidR="00263591">
              <w:rPr>
                <w:rFonts w:ascii="Calibri" w:hAnsi="Calibri"/>
                <w:color w:val="000000"/>
              </w:rPr>
              <w:t>is essential to</w:t>
            </w:r>
            <w:r w:rsidR="00DD7CFC" w:rsidRPr="0003354B">
              <w:rPr>
                <w:rFonts w:ascii="Calibri" w:hAnsi="Calibri"/>
                <w:color w:val="000000"/>
              </w:rPr>
              <w:t xml:space="preserve"> sustainability, most of the CPAP capacity building efforts were limited to individual skills training. Observations at downstream level indicated some outputs that were no longer in use due to lack of maintenance. There was no evidence of deliberate monitoring of exit strategies that appeared in programming documents.</w:t>
            </w:r>
          </w:p>
        </w:tc>
      </w:tr>
    </w:tbl>
    <w:p w:rsidR="004B3911" w:rsidRDefault="004B3911">
      <w:pPr>
        <w:pStyle w:val="BodyText2"/>
        <w:rPr>
          <w:rFonts w:ascii="Times New Roman" w:hAnsi="Times New Roman"/>
          <w:sz w:val="24"/>
        </w:rPr>
      </w:pPr>
    </w:p>
    <w:p w:rsidR="00E37E7A" w:rsidRPr="005474ED" w:rsidRDefault="00EA7740" w:rsidP="00E37E7A">
      <w:pPr>
        <w:pStyle w:val="BodyText2"/>
        <w:jc w:val="center"/>
        <w:rPr>
          <w:rFonts w:ascii="Calibri" w:hAnsi="Calibri"/>
          <w:sz w:val="24"/>
        </w:rPr>
      </w:pPr>
      <w:r>
        <w:rPr>
          <w:rFonts w:ascii="Calibri" w:hAnsi="Calibri"/>
          <w:sz w:val="24"/>
        </w:rPr>
        <w:t xml:space="preserve">III. </w:t>
      </w:r>
      <w:r w:rsidR="00673710" w:rsidRPr="005474ED">
        <w:rPr>
          <w:rFonts w:ascii="Calibri" w:hAnsi="Calibri"/>
          <w:sz w:val="24"/>
        </w:rPr>
        <w:t xml:space="preserve">Country Programme </w:t>
      </w:r>
      <w:r w:rsidR="00E37E7A" w:rsidRPr="005474ED">
        <w:rPr>
          <w:rFonts w:ascii="Calibri" w:hAnsi="Calibri"/>
          <w:sz w:val="24"/>
        </w:rPr>
        <w:t>Resources</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68"/>
        <w:gridCol w:w="2306"/>
        <w:gridCol w:w="2832"/>
        <w:gridCol w:w="2569"/>
        <w:gridCol w:w="1975"/>
      </w:tblGrid>
      <w:tr w:rsidR="006C088B" w:rsidRPr="006900FE" w:rsidTr="00AF25E2">
        <w:tc>
          <w:tcPr>
            <w:tcW w:w="4338" w:type="dxa"/>
            <w:vMerge w:val="restart"/>
            <w:shd w:val="clear" w:color="auto" w:fill="00B0F0"/>
            <w:vAlign w:val="center"/>
          </w:tcPr>
          <w:p w:rsidR="006C088B" w:rsidRPr="00A16F22" w:rsidRDefault="006C088B" w:rsidP="006C088B">
            <w:pPr>
              <w:pStyle w:val="BodyText2"/>
              <w:jc w:val="center"/>
              <w:rPr>
                <w:rFonts w:ascii="Calibri" w:hAnsi="Calibri"/>
                <w:b/>
                <w:color w:val="FFFFFF"/>
                <w:sz w:val="24"/>
              </w:rPr>
            </w:pPr>
            <w:r w:rsidRPr="006C088B">
              <w:rPr>
                <w:rFonts w:ascii="Calibri" w:hAnsi="Calibri"/>
                <w:b/>
                <w:color w:val="FFFFFF"/>
                <w:sz w:val="24"/>
              </w:rPr>
              <w:t>Thematic Focus</w:t>
            </w:r>
          </w:p>
        </w:tc>
        <w:tc>
          <w:tcPr>
            <w:tcW w:w="7830" w:type="dxa"/>
            <w:gridSpan w:val="3"/>
            <w:shd w:val="clear" w:color="auto" w:fill="00B0F0"/>
          </w:tcPr>
          <w:p w:rsidR="006C088B" w:rsidRPr="00A16F22" w:rsidRDefault="006C088B" w:rsidP="00A16F22">
            <w:pPr>
              <w:pStyle w:val="BodyText2"/>
              <w:jc w:val="center"/>
              <w:rPr>
                <w:rFonts w:ascii="Calibri" w:hAnsi="Calibri"/>
                <w:b/>
                <w:color w:val="FFFFFF"/>
                <w:sz w:val="24"/>
              </w:rPr>
            </w:pPr>
            <w:r w:rsidRPr="00A16F22">
              <w:rPr>
                <w:rFonts w:ascii="Calibri" w:hAnsi="Calibri"/>
                <w:b/>
                <w:color w:val="FFFFFF"/>
                <w:sz w:val="24"/>
              </w:rPr>
              <w:t>Programme Expenditure ($)</w:t>
            </w:r>
          </w:p>
        </w:tc>
        <w:tc>
          <w:tcPr>
            <w:tcW w:w="2008" w:type="dxa"/>
            <w:vMerge w:val="restart"/>
            <w:shd w:val="clear" w:color="auto" w:fill="00B0F0"/>
            <w:vAlign w:val="center"/>
          </w:tcPr>
          <w:p w:rsidR="006C088B" w:rsidRPr="00A16F22" w:rsidRDefault="006C088B" w:rsidP="00A16F22">
            <w:pPr>
              <w:pStyle w:val="BodyText2"/>
              <w:jc w:val="center"/>
              <w:rPr>
                <w:rFonts w:ascii="Calibri" w:hAnsi="Calibri"/>
                <w:b/>
                <w:color w:val="FFFFFF"/>
                <w:sz w:val="24"/>
              </w:rPr>
            </w:pPr>
            <w:r w:rsidRPr="00A16F22">
              <w:rPr>
                <w:rFonts w:ascii="Calibri" w:hAnsi="Calibri"/>
                <w:b/>
                <w:color w:val="FFFFFF"/>
                <w:sz w:val="24"/>
              </w:rPr>
              <w:t>% of Total</w:t>
            </w:r>
          </w:p>
        </w:tc>
      </w:tr>
      <w:tr w:rsidR="001720F0" w:rsidRPr="006900FE" w:rsidTr="001720F0">
        <w:tc>
          <w:tcPr>
            <w:tcW w:w="4338" w:type="dxa"/>
            <w:vMerge/>
            <w:shd w:val="clear" w:color="auto" w:fill="00B0F0"/>
          </w:tcPr>
          <w:p w:rsidR="006C088B" w:rsidRPr="001720F0" w:rsidRDefault="006C088B" w:rsidP="006C088B">
            <w:pPr>
              <w:pStyle w:val="BodyText2"/>
              <w:jc w:val="center"/>
              <w:rPr>
                <w:rFonts w:ascii="Calibri" w:hAnsi="Calibri"/>
                <w:color w:val="FFFFFF"/>
              </w:rPr>
            </w:pPr>
          </w:p>
        </w:tc>
        <w:tc>
          <w:tcPr>
            <w:tcW w:w="2340" w:type="dxa"/>
            <w:shd w:val="clear" w:color="auto" w:fill="D9E2F3"/>
          </w:tcPr>
          <w:p w:rsidR="006C088B" w:rsidRPr="006C088B" w:rsidRDefault="006C088B" w:rsidP="00A16F22">
            <w:pPr>
              <w:pStyle w:val="BodyText2"/>
              <w:jc w:val="center"/>
              <w:rPr>
                <w:rFonts w:ascii="Calibri" w:hAnsi="Calibri"/>
                <w:b/>
              </w:rPr>
            </w:pPr>
            <w:r w:rsidRPr="006C088B">
              <w:rPr>
                <w:rFonts w:ascii="Calibri" w:hAnsi="Calibri"/>
                <w:b/>
              </w:rPr>
              <w:t>Regular (TRAC)</w:t>
            </w:r>
          </w:p>
        </w:tc>
        <w:tc>
          <w:tcPr>
            <w:tcW w:w="2880" w:type="dxa"/>
            <w:shd w:val="clear" w:color="auto" w:fill="D9E2F3"/>
          </w:tcPr>
          <w:p w:rsidR="006C088B" w:rsidRPr="006C088B" w:rsidRDefault="006C088B" w:rsidP="00A16F22">
            <w:pPr>
              <w:pStyle w:val="BodyText2"/>
              <w:jc w:val="center"/>
              <w:rPr>
                <w:rFonts w:ascii="Calibri" w:hAnsi="Calibri"/>
                <w:b/>
              </w:rPr>
            </w:pPr>
            <w:r w:rsidRPr="006C088B">
              <w:rPr>
                <w:rFonts w:ascii="Calibri" w:hAnsi="Calibri"/>
                <w:b/>
              </w:rPr>
              <w:t>Other</w:t>
            </w:r>
          </w:p>
        </w:tc>
        <w:tc>
          <w:tcPr>
            <w:tcW w:w="2610" w:type="dxa"/>
            <w:shd w:val="clear" w:color="auto" w:fill="D9E2F3"/>
          </w:tcPr>
          <w:p w:rsidR="006C088B" w:rsidRPr="006C088B" w:rsidRDefault="006C088B" w:rsidP="00A16F22">
            <w:pPr>
              <w:pStyle w:val="BodyText2"/>
              <w:jc w:val="center"/>
              <w:rPr>
                <w:rFonts w:ascii="Calibri" w:hAnsi="Calibri"/>
                <w:b/>
              </w:rPr>
            </w:pPr>
            <w:r w:rsidRPr="006C088B">
              <w:rPr>
                <w:rFonts w:ascii="Calibri" w:hAnsi="Calibri"/>
                <w:b/>
              </w:rPr>
              <w:t>Total</w:t>
            </w:r>
          </w:p>
        </w:tc>
        <w:tc>
          <w:tcPr>
            <w:tcW w:w="2008" w:type="dxa"/>
            <w:vMerge/>
          </w:tcPr>
          <w:p w:rsidR="006C088B" w:rsidRPr="00A16F22" w:rsidRDefault="006C088B" w:rsidP="00A16F22">
            <w:pPr>
              <w:pStyle w:val="BodyText2"/>
              <w:jc w:val="center"/>
              <w:rPr>
                <w:rFonts w:ascii="Calibri" w:hAnsi="Calibri"/>
              </w:rPr>
            </w:pPr>
          </w:p>
        </w:tc>
      </w:tr>
      <w:tr w:rsidR="009873BB" w:rsidRPr="006900FE" w:rsidTr="00AF25E2">
        <w:tc>
          <w:tcPr>
            <w:tcW w:w="4338" w:type="dxa"/>
          </w:tcPr>
          <w:p w:rsidR="009873BB" w:rsidRPr="00A16F22" w:rsidRDefault="009873BB" w:rsidP="009873BB">
            <w:pPr>
              <w:pStyle w:val="BodyText2"/>
              <w:numPr>
                <w:ilvl w:val="0"/>
                <w:numId w:val="38"/>
              </w:numPr>
              <w:rPr>
                <w:rFonts w:ascii="Calibri" w:hAnsi="Calibri"/>
              </w:rPr>
            </w:pPr>
            <w:r w:rsidRPr="00A16F22">
              <w:rPr>
                <w:rFonts w:ascii="Calibri" w:hAnsi="Calibri"/>
              </w:rPr>
              <w:t>Poverty and MDGs</w:t>
            </w:r>
          </w:p>
        </w:tc>
        <w:tc>
          <w:tcPr>
            <w:tcW w:w="2340" w:type="dxa"/>
          </w:tcPr>
          <w:p w:rsidR="009873BB" w:rsidRDefault="009873BB" w:rsidP="009873BB">
            <w:pPr>
              <w:pStyle w:val="BodyText2"/>
              <w:jc w:val="center"/>
              <w:rPr>
                <w:rFonts w:ascii="Calibri" w:hAnsi="Calibri"/>
              </w:rPr>
            </w:pPr>
            <w:r>
              <w:rPr>
                <w:rFonts w:ascii="Calibri" w:hAnsi="Calibri"/>
              </w:rPr>
              <w:t>705,104</w:t>
            </w:r>
          </w:p>
        </w:tc>
        <w:tc>
          <w:tcPr>
            <w:tcW w:w="2880" w:type="dxa"/>
          </w:tcPr>
          <w:p w:rsidR="009873BB" w:rsidRDefault="009873BB" w:rsidP="009873BB">
            <w:pPr>
              <w:pStyle w:val="BodyText2"/>
              <w:jc w:val="center"/>
              <w:rPr>
                <w:rFonts w:ascii="Calibri" w:hAnsi="Calibri"/>
              </w:rPr>
            </w:pPr>
            <w:r>
              <w:rPr>
                <w:rFonts w:ascii="Calibri" w:hAnsi="Calibri"/>
              </w:rPr>
              <w:t>2,290,852</w:t>
            </w:r>
          </w:p>
        </w:tc>
        <w:tc>
          <w:tcPr>
            <w:tcW w:w="2610" w:type="dxa"/>
          </w:tcPr>
          <w:p w:rsidR="009873BB" w:rsidRDefault="009873BB" w:rsidP="009873BB">
            <w:pPr>
              <w:pStyle w:val="BodyText2"/>
              <w:jc w:val="center"/>
              <w:rPr>
                <w:rFonts w:ascii="Calibri" w:hAnsi="Calibri"/>
              </w:rPr>
            </w:pPr>
            <w:r>
              <w:rPr>
                <w:rFonts w:ascii="Calibri" w:hAnsi="Calibri"/>
              </w:rPr>
              <w:t>2,995,956</w:t>
            </w:r>
          </w:p>
        </w:tc>
        <w:tc>
          <w:tcPr>
            <w:tcW w:w="2008" w:type="dxa"/>
          </w:tcPr>
          <w:p w:rsidR="009873BB" w:rsidRDefault="009873BB" w:rsidP="009873BB">
            <w:pPr>
              <w:pStyle w:val="BodyText2"/>
              <w:jc w:val="center"/>
              <w:rPr>
                <w:rFonts w:ascii="Calibri" w:hAnsi="Calibri"/>
              </w:rPr>
            </w:pPr>
            <w:r>
              <w:rPr>
                <w:rFonts w:ascii="Calibri" w:hAnsi="Calibri"/>
              </w:rPr>
              <w:t>31</w:t>
            </w:r>
          </w:p>
        </w:tc>
      </w:tr>
      <w:tr w:rsidR="009873BB" w:rsidRPr="006900FE" w:rsidTr="00AF25E2">
        <w:tc>
          <w:tcPr>
            <w:tcW w:w="4338" w:type="dxa"/>
          </w:tcPr>
          <w:p w:rsidR="009873BB" w:rsidRPr="00A16F22" w:rsidRDefault="009873BB" w:rsidP="009873BB">
            <w:pPr>
              <w:pStyle w:val="BodyText2"/>
              <w:numPr>
                <w:ilvl w:val="0"/>
                <w:numId w:val="38"/>
              </w:numPr>
              <w:rPr>
                <w:rFonts w:ascii="Calibri" w:hAnsi="Calibri"/>
              </w:rPr>
            </w:pPr>
            <w:r>
              <w:rPr>
                <w:rFonts w:ascii="Calibri" w:hAnsi="Calibri"/>
              </w:rPr>
              <w:t>HIV and AIDS</w:t>
            </w:r>
          </w:p>
        </w:tc>
        <w:tc>
          <w:tcPr>
            <w:tcW w:w="2340" w:type="dxa"/>
          </w:tcPr>
          <w:p w:rsidR="009873BB" w:rsidRDefault="009873BB" w:rsidP="009873BB">
            <w:pPr>
              <w:pStyle w:val="BodyText2"/>
              <w:jc w:val="center"/>
              <w:rPr>
                <w:rFonts w:ascii="Calibri" w:hAnsi="Calibri"/>
              </w:rPr>
            </w:pPr>
            <w:r>
              <w:rPr>
                <w:rFonts w:ascii="Calibri" w:hAnsi="Calibri"/>
              </w:rPr>
              <w:t>430,770</w:t>
            </w:r>
          </w:p>
        </w:tc>
        <w:tc>
          <w:tcPr>
            <w:tcW w:w="2880" w:type="dxa"/>
          </w:tcPr>
          <w:p w:rsidR="009873BB" w:rsidRDefault="009873BB" w:rsidP="009873BB">
            <w:pPr>
              <w:pStyle w:val="BodyText2"/>
              <w:jc w:val="center"/>
              <w:rPr>
                <w:rFonts w:ascii="Calibri" w:hAnsi="Calibri"/>
              </w:rPr>
            </w:pPr>
            <w:r>
              <w:rPr>
                <w:rFonts w:ascii="Calibri" w:hAnsi="Calibri"/>
              </w:rPr>
              <w:t>194,152</w:t>
            </w:r>
          </w:p>
        </w:tc>
        <w:tc>
          <w:tcPr>
            <w:tcW w:w="2610" w:type="dxa"/>
          </w:tcPr>
          <w:p w:rsidR="009873BB" w:rsidRDefault="009873BB" w:rsidP="009873BB">
            <w:pPr>
              <w:pStyle w:val="BodyText2"/>
              <w:jc w:val="center"/>
              <w:rPr>
                <w:rFonts w:ascii="Calibri" w:hAnsi="Calibri"/>
              </w:rPr>
            </w:pPr>
            <w:r>
              <w:rPr>
                <w:rFonts w:ascii="Calibri" w:hAnsi="Calibri"/>
              </w:rPr>
              <w:t>624,922</w:t>
            </w:r>
          </w:p>
        </w:tc>
        <w:tc>
          <w:tcPr>
            <w:tcW w:w="2008" w:type="dxa"/>
          </w:tcPr>
          <w:p w:rsidR="009873BB" w:rsidRDefault="009873BB" w:rsidP="009873BB">
            <w:pPr>
              <w:pStyle w:val="BodyText2"/>
              <w:jc w:val="center"/>
              <w:rPr>
                <w:rFonts w:ascii="Calibri" w:hAnsi="Calibri"/>
              </w:rPr>
            </w:pPr>
            <w:r>
              <w:rPr>
                <w:rFonts w:ascii="Calibri" w:hAnsi="Calibri"/>
              </w:rPr>
              <w:t>6</w:t>
            </w:r>
          </w:p>
        </w:tc>
      </w:tr>
      <w:tr w:rsidR="009873BB" w:rsidRPr="006900FE" w:rsidTr="00AF25E2">
        <w:tc>
          <w:tcPr>
            <w:tcW w:w="4338" w:type="dxa"/>
          </w:tcPr>
          <w:p w:rsidR="009873BB" w:rsidRPr="00A16F22" w:rsidRDefault="009873BB" w:rsidP="009873BB">
            <w:pPr>
              <w:pStyle w:val="BodyText2"/>
              <w:numPr>
                <w:ilvl w:val="0"/>
                <w:numId w:val="38"/>
              </w:numPr>
              <w:rPr>
                <w:rFonts w:ascii="Calibri" w:hAnsi="Calibri"/>
              </w:rPr>
            </w:pPr>
            <w:r w:rsidRPr="00A16F22">
              <w:rPr>
                <w:rFonts w:ascii="Calibri" w:hAnsi="Calibri"/>
              </w:rPr>
              <w:t>Environment</w:t>
            </w:r>
            <w:r>
              <w:rPr>
                <w:rFonts w:ascii="Calibri" w:hAnsi="Calibri"/>
              </w:rPr>
              <w:t xml:space="preserve">, </w:t>
            </w:r>
            <w:r w:rsidRPr="00A16F22">
              <w:rPr>
                <w:rFonts w:ascii="Calibri" w:hAnsi="Calibri"/>
              </w:rPr>
              <w:t>Sustainable Development</w:t>
            </w:r>
            <w:r>
              <w:rPr>
                <w:rFonts w:ascii="Calibri" w:hAnsi="Calibri"/>
              </w:rPr>
              <w:t xml:space="preserve"> &amp; CC</w:t>
            </w:r>
          </w:p>
        </w:tc>
        <w:tc>
          <w:tcPr>
            <w:tcW w:w="2340" w:type="dxa"/>
          </w:tcPr>
          <w:p w:rsidR="009873BB" w:rsidRDefault="009873BB" w:rsidP="009873BB">
            <w:pPr>
              <w:pStyle w:val="BodyText2"/>
              <w:jc w:val="center"/>
              <w:rPr>
                <w:rFonts w:ascii="Calibri" w:hAnsi="Calibri"/>
              </w:rPr>
            </w:pPr>
            <w:r>
              <w:rPr>
                <w:rFonts w:ascii="Calibri" w:hAnsi="Calibri"/>
              </w:rPr>
              <w:t>603,567</w:t>
            </w:r>
          </w:p>
        </w:tc>
        <w:tc>
          <w:tcPr>
            <w:tcW w:w="2880" w:type="dxa"/>
          </w:tcPr>
          <w:p w:rsidR="009873BB" w:rsidRDefault="009873BB" w:rsidP="009873BB">
            <w:pPr>
              <w:pStyle w:val="BodyText2"/>
              <w:jc w:val="center"/>
              <w:rPr>
                <w:rFonts w:ascii="Calibri" w:hAnsi="Calibri"/>
              </w:rPr>
            </w:pPr>
            <w:r>
              <w:rPr>
                <w:rFonts w:ascii="Calibri" w:hAnsi="Calibri"/>
              </w:rPr>
              <w:t>4,216,194</w:t>
            </w:r>
          </w:p>
        </w:tc>
        <w:tc>
          <w:tcPr>
            <w:tcW w:w="2610" w:type="dxa"/>
          </w:tcPr>
          <w:p w:rsidR="009873BB" w:rsidRDefault="009873BB" w:rsidP="009873BB">
            <w:pPr>
              <w:pStyle w:val="BodyText2"/>
              <w:jc w:val="center"/>
              <w:rPr>
                <w:rFonts w:ascii="Calibri" w:hAnsi="Calibri"/>
              </w:rPr>
            </w:pPr>
            <w:r>
              <w:rPr>
                <w:rFonts w:ascii="Calibri" w:hAnsi="Calibri"/>
              </w:rPr>
              <w:t>4,819,761</w:t>
            </w:r>
          </w:p>
        </w:tc>
        <w:tc>
          <w:tcPr>
            <w:tcW w:w="2008" w:type="dxa"/>
          </w:tcPr>
          <w:p w:rsidR="009873BB" w:rsidRDefault="009873BB" w:rsidP="009873BB">
            <w:pPr>
              <w:pStyle w:val="BodyText2"/>
              <w:jc w:val="center"/>
              <w:rPr>
                <w:rFonts w:ascii="Calibri" w:hAnsi="Calibri"/>
              </w:rPr>
            </w:pPr>
            <w:r>
              <w:rPr>
                <w:rFonts w:ascii="Calibri" w:hAnsi="Calibri"/>
              </w:rPr>
              <w:t>49</w:t>
            </w:r>
          </w:p>
        </w:tc>
      </w:tr>
      <w:tr w:rsidR="009873BB" w:rsidRPr="006900FE" w:rsidTr="00AF25E2">
        <w:tc>
          <w:tcPr>
            <w:tcW w:w="4338" w:type="dxa"/>
          </w:tcPr>
          <w:p w:rsidR="009873BB" w:rsidRPr="00A16F22" w:rsidRDefault="009873BB" w:rsidP="009873BB">
            <w:pPr>
              <w:pStyle w:val="BodyText2"/>
              <w:numPr>
                <w:ilvl w:val="0"/>
                <w:numId w:val="38"/>
              </w:numPr>
              <w:rPr>
                <w:rFonts w:ascii="Calibri" w:hAnsi="Calibri"/>
              </w:rPr>
            </w:pPr>
            <w:r w:rsidRPr="00A16F22">
              <w:rPr>
                <w:rFonts w:ascii="Calibri" w:hAnsi="Calibri"/>
              </w:rPr>
              <w:t>Democratic Governance</w:t>
            </w:r>
            <w:r>
              <w:rPr>
                <w:rFonts w:ascii="Calibri" w:hAnsi="Calibri"/>
              </w:rPr>
              <w:t xml:space="preserve"> and Gender</w:t>
            </w:r>
          </w:p>
        </w:tc>
        <w:tc>
          <w:tcPr>
            <w:tcW w:w="2340" w:type="dxa"/>
          </w:tcPr>
          <w:p w:rsidR="009873BB" w:rsidRDefault="009873BB" w:rsidP="009873BB">
            <w:pPr>
              <w:pStyle w:val="BodyText2"/>
              <w:jc w:val="center"/>
              <w:rPr>
                <w:rFonts w:ascii="Calibri" w:hAnsi="Calibri"/>
              </w:rPr>
            </w:pPr>
            <w:r>
              <w:rPr>
                <w:rFonts w:ascii="Calibri" w:hAnsi="Calibri"/>
              </w:rPr>
              <w:t>1,239,687</w:t>
            </w:r>
          </w:p>
        </w:tc>
        <w:tc>
          <w:tcPr>
            <w:tcW w:w="2880" w:type="dxa"/>
          </w:tcPr>
          <w:p w:rsidR="009873BB" w:rsidRDefault="009873BB" w:rsidP="009873BB">
            <w:pPr>
              <w:pStyle w:val="BodyText2"/>
              <w:jc w:val="center"/>
              <w:rPr>
                <w:rFonts w:ascii="Calibri" w:hAnsi="Calibri"/>
              </w:rPr>
            </w:pPr>
            <w:r>
              <w:rPr>
                <w:rFonts w:ascii="Calibri" w:hAnsi="Calibri"/>
              </w:rPr>
              <w:t>157,014</w:t>
            </w:r>
          </w:p>
        </w:tc>
        <w:tc>
          <w:tcPr>
            <w:tcW w:w="2610" w:type="dxa"/>
          </w:tcPr>
          <w:p w:rsidR="009873BB" w:rsidRDefault="009873BB" w:rsidP="009873BB">
            <w:pPr>
              <w:pStyle w:val="BodyText2"/>
              <w:jc w:val="center"/>
              <w:rPr>
                <w:rFonts w:ascii="Calibri" w:hAnsi="Calibri"/>
              </w:rPr>
            </w:pPr>
            <w:r>
              <w:rPr>
                <w:rFonts w:ascii="Calibri" w:hAnsi="Calibri"/>
              </w:rPr>
              <w:t>1,396,701</w:t>
            </w:r>
          </w:p>
        </w:tc>
        <w:tc>
          <w:tcPr>
            <w:tcW w:w="2008" w:type="dxa"/>
          </w:tcPr>
          <w:p w:rsidR="009873BB" w:rsidRDefault="009873BB" w:rsidP="009873BB">
            <w:pPr>
              <w:pStyle w:val="BodyText2"/>
              <w:jc w:val="center"/>
              <w:rPr>
                <w:rFonts w:ascii="Calibri" w:hAnsi="Calibri"/>
              </w:rPr>
            </w:pPr>
            <w:r>
              <w:rPr>
                <w:rFonts w:ascii="Calibri" w:hAnsi="Calibri"/>
              </w:rPr>
              <w:t>14</w:t>
            </w:r>
          </w:p>
        </w:tc>
      </w:tr>
      <w:tr w:rsidR="001720F0" w:rsidRPr="006C088B" w:rsidTr="001720F0">
        <w:tc>
          <w:tcPr>
            <w:tcW w:w="4338" w:type="dxa"/>
            <w:shd w:val="clear" w:color="auto" w:fill="E2EFD9"/>
          </w:tcPr>
          <w:p w:rsidR="009873BB" w:rsidRPr="006C088B" w:rsidRDefault="009873BB" w:rsidP="009873BB">
            <w:pPr>
              <w:pStyle w:val="BodyText2"/>
              <w:jc w:val="center"/>
              <w:rPr>
                <w:rFonts w:ascii="Calibri" w:hAnsi="Calibri"/>
                <w:b/>
              </w:rPr>
            </w:pPr>
            <w:r w:rsidRPr="006C088B">
              <w:rPr>
                <w:rFonts w:ascii="Calibri" w:hAnsi="Calibri"/>
                <w:b/>
              </w:rPr>
              <w:t>Total</w:t>
            </w:r>
          </w:p>
        </w:tc>
        <w:tc>
          <w:tcPr>
            <w:tcW w:w="2340" w:type="dxa"/>
            <w:shd w:val="clear" w:color="auto" w:fill="E2EFD9"/>
          </w:tcPr>
          <w:p w:rsidR="009873BB" w:rsidRPr="00D71D5E" w:rsidRDefault="009873BB" w:rsidP="009873BB">
            <w:pPr>
              <w:pStyle w:val="BodyText2"/>
              <w:jc w:val="center"/>
              <w:rPr>
                <w:rFonts w:ascii="Calibri" w:hAnsi="Calibri"/>
                <w:b/>
              </w:rPr>
            </w:pPr>
            <w:r>
              <w:rPr>
                <w:rFonts w:ascii="Calibri" w:hAnsi="Calibri"/>
                <w:b/>
              </w:rPr>
              <w:t>2,979,128</w:t>
            </w:r>
          </w:p>
        </w:tc>
        <w:tc>
          <w:tcPr>
            <w:tcW w:w="2880" w:type="dxa"/>
            <w:shd w:val="clear" w:color="auto" w:fill="E2EFD9"/>
          </w:tcPr>
          <w:p w:rsidR="009873BB" w:rsidRPr="00D71D5E" w:rsidRDefault="009873BB" w:rsidP="009873BB">
            <w:pPr>
              <w:pStyle w:val="BodyText2"/>
              <w:jc w:val="center"/>
              <w:rPr>
                <w:rFonts w:ascii="Calibri" w:hAnsi="Calibri"/>
                <w:b/>
              </w:rPr>
            </w:pPr>
            <w:r>
              <w:rPr>
                <w:rFonts w:ascii="Calibri" w:hAnsi="Calibri"/>
                <w:b/>
              </w:rPr>
              <w:t>6,858,212</w:t>
            </w:r>
          </w:p>
        </w:tc>
        <w:tc>
          <w:tcPr>
            <w:tcW w:w="2610" w:type="dxa"/>
            <w:shd w:val="clear" w:color="auto" w:fill="E2EFD9"/>
          </w:tcPr>
          <w:p w:rsidR="009873BB" w:rsidRPr="00D71D5E" w:rsidRDefault="009873BB" w:rsidP="009873BB">
            <w:pPr>
              <w:pStyle w:val="BodyText2"/>
              <w:jc w:val="center"/>
              <w:rPr>
                <w:rFonts w:ascii="Calibri" w:hAnsi="Calibri"/>
                <w:b/>
              </w:rPr>
            </w:pPr>
            <w:r>
              <w:rPr>
                <w:rFonts w:ascii="Calibri" w:hAnsi="Calibri"/>
                <w:b/>
              </w:rPr>
              <w:t>9,837,340</w:t>
            </w:r>
          </w:p>
        </w:tc>
        <w:tc>
          <w:tcPr>
            <w:tcW w:w="2008" w:type="dxa"/>
            <w:shd w:val="clear" w:color="auto" w:fill="E2EFD9"/>
          </w:tcPr>
          <w:p w:rsidR="009873BB" w:rsidRPr="00D71D5E" w:rsidRDefault="009873BB" w:rsidP="009873BB">
            <w:pPr>
              <w:pStyle w:val="BodyText2"/>
              <w:jc w:val="center"/>
              <w:rPr>
                <w:rFonts w:ascii="Calibri" w:hAnsi="Calibri"/>
                <w:b/>
              </w:rPr>
            </w:pPr>
            <w:r>
              <w:rPr>
                <w:rFonts w:ascii="Calibri" w:hAnsi="Calibri"/>
                <w:b/>
              </w:rPr>
              <w:t>100</w:t>
            </w:r>
          </w:p>
        </w:tc>
      </w:tr>
    </w:tbl>
    <w:p w:rsidR="00635929" w:rsidRDefault="00635929" w:rsidP="002315A5">
      <w:pPr>
        <w:pStyle w:val="BodyText2"/>
        <w:rPr>
          <w:rFonts w:ascii="Calibri" w:hAnsi="Calibri"/>
          <w:sz w:val="24"/>
        </w:rPr>
      </w:pPr>
    </w:p>
    <w:p w:rsidR="00B93E36" w:rsidRDefault="00B93E36" w:rsidP="002315A5">
      <w:pPr>
        <w:pStyle w:val="BodyText2"/>
        <w:rPr>
          <w:rFonts w:ascii="Calibri" w:hAnsi="Calibri"/>
          <w:sz w:val="24"/>
        </w:rPr>
      </w:pPr>
    </w:p>
    <w:p w:rsidR="009873BB" w:rsidRPr="006900FE" w:rsidRDefault="009873BB" w:rsidP="002315A5">
      <w:pPr>
        <w:pStyle w:val="BodyText2"/>
        <w:rPr>
          <w:rFonts w:ascii="Calibri" w:hAnsi="Calibri"/>
          <w:sz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3950"/>
      </w:tblGrid>
      <w:tr w:rsidR="002547CF" w:rsidRPr="006900FE" w:rsidTr="00AF25E2">
        <w:tc>
          <w:tcPr>
            <w:tcW w:w="14176" w:type="dxa"/>
          </w:tcPr>
          <w:p w:rsidR="002547CF" w:rsidRPr="00A16F22" w:rsidRDefault="002547CF" w:rsidP="00D52882">
            <w:pPr>
              <w:pStyle w:val="BodyText2"/>
              <w:rPr>
                <w:rFonts w:ascii="Calibri" w:hAnsi="Calibri"/>
                <w:b/>
              </w:rPr>
            </w:pPr>
            <w:r w:rsidRPr="00A16F22">
              <w:rPr>
                <w:rFonts w:ascii="Calibri" w:hAnsi="Calibri"/>
                <w:b/>
              </w:rPr>
              <w:t xml:space="preserve">Data </w:t>
            </w:r>
            <w:r w:rsidR="00D52882">
              <w:rPr>
                <w:rFonts w:ascii="Calibri" w:hAnsi="Calibri"/>
                <w:b/>
              </w:rPr>
              <w:t>S</w:t>
            </w:r>
            <w:r w:rsidRPr="00A16F22">
              <w:rPr>
                <w:rFonts w:ascii="Calibri" w:hAnsi="Calibri"/>
                <w:b/>
              </w:rPr>
              <w:t xml:space="preserve">ources:  </w:t>
            </w:r>
          </w:p>
        </w:tc>
      </w:tr>
      <w:tr w:rsidR="00B64ACA" w:rsidRPr="006900FE" w:rsidTr="00AF25E2">
        <w:tc>
          <w:tcPr>
            <w:tcW w:w="14176" w:type="dxa"/>
          </w:tcPr>
          <w:p w:rsidR="008B63E5" w:rsidRPr="00E77615" w:rsidRDefault="008B63E5" w:rsidP="008B63E5">
            <w:pPr>
              <w:pStyle w:val="BodyText2"/>
              <w:numPr>
                <w:ilvl w:val="0"/>
                <w:numId w:val="37"/>
              </w:numPr>
              <w:rPr>
                <w:rFonts w:ascii="Calibri" w:hAnsi="Calibri"/>
              </w:rPr>
            </w:pPr>
            <w:r w:rsidRPr="00E77615">
              <w:rPr>
                <w:rFonts w:ascii="Calibri" w:hAnsi="Calibri"/>
              </w:rPr>
              <w:t xml:space="preserve">CPD-CPAP </w:t>
            </w:r>
            <w:r w:rsidR="005616A9" w:rsidRPr="00E77615">
              <w:rPr>
                <w:rFonts w:ascii="Calibri" w:hAnsi="Calibri"/>
              </w:rPr>
              <w:t>Terminal Evaluation</w:t>
            </w:r>
            <w:r w:rsidRPr="00E77615">
              <w:rPr>
                <w:rFonts w:ascii="Calibri" w:hAnsi="Calibri"/>
              </w:rPr>
              <w:t xml:space="preserve"> 2011-2015</w:t>
            </w:r>
          </w:p>
          <w:p w:rsidR="008D791F" w:rsidRPr="00E77615" w:rsidRDefault="008B63E5" w:rsidP="008B63E5">
            <w:pPr>
              <w:pStyle w:val="BodyText2"/>
              <w:numPr>
                <w:ilvl w:val="0"/>
                <w:numId w:val="37"/>
              </w:numPr>
              <w:rPr>
                <w:rFonts w:ascii="Calibri" w:hAnsi="Calibri"/>
              </w:rPr>
            </w:pPr>
            <w:r w:rsidRPr="00E77615">
              <w:rPr>
                <w:rFonts w:ascii="Calibri" w:hAnsi="Calibri"/>
              </w:rPr>
              <w:t>UNDAF Evaluation, CPD, ROAR,</w:t>
            </w:r>
            <w:r w:rsidR="004264F7" w:rsidRPr="00E77615">
              <w:rPr>
                <w:rFonts w:ascii="Calibri" w:hAnsi="Calibri"/>
              </w:rPr>
              <w:t xml:space="preserve"> </w:t>
            </w:r>
            <w:r w:rsidR="00E40F51" w:rsidRPr="00E77615">
              <w:rPr>
                <w:rFonts w:ascii="Calibri" w:hAnsi="Calibri"/>
              </w:rPr>
              <w:t xml:space="preserve">Atlas - </w:t>
            </w:r>
            <w:r w:rsidR="004264F7" w:rsidRPr="00E77615">
              <w:rPr>
                <w:rFonts w:ascii="Calibri" w:hAnsi="Calibri"/>
              </w:rPr>
              <w:t>Executive Snapshot</w:t>
            </w:r>
            <w:r w:rsidRPr="00E77615">
              <w:rPr>
                <w:rFonts w:ascii="Calibri" w:hAnsi="Calibri"/>
              </w:rPr>
              <w:t xml:space="preserve"> and IWP</w:t>
            </w:r>
          </w:p>
          <w:p w:rsidR="008B63E5" w:rsidRPr="00E77615" w:rsidRDefault="008B63E5" w:rsidP="008B63E5">
            <w:pPr>
              <w:pStyle w:val="BodyText2"/>
              <w:numPr>
                <w:ilvl w:val="0"/>
                <w:numId w:val="37"/>
              </w:numPr>
              <w:rPr>
                <w:rFonts w:ascii="Calibri" w:hAnsi="Calibri"/>
              </w:rPr>
            </w:pPr>
            <w:r w:rsidRPr="00E77615">
              <w:rPr>
                <w:rFonts w:ascii="Calibri" w:hAnsi="Calibri"/>
              </w:rPr>
              <w:t>Mid-Term Reviews of the UNDAF and CPD/CPAP 2011-2015</w:t>
            </w:r>
          </w:p>
          <w:p w:rsidR="008B63E5" w:rsidRPr="00E77615" w:rsidRDefault="008B63E5" w:rsidP="008B63E5">
            <w:pPr>
              <w:pStyle w:val="BodyText2"/>
              <w:numPr>
                <w:ilvl w:val="0"/>
                <w:numId w:val="37"/>
              </w:numPr>
              <w:rPr>
                <w:rFonts w:ascii="Calibri" w:hAnsi="Calibri"/>
              </w:rPr>
            </w:pPr>
            <w:r w:rsidRPr="00E77615">
              <w:rPr>
                <w:rFonts w:ascii="Calibri" w:hAnsi="Calibri"/>
              </w:rPr>
              <w:t>SWEET Report, 2014</w:t>
            </w:r>
          </w:p>
          <w:p w:rsidR="008D791F" w:rsidRPr="00E77615" w:rsidRDefault="008B63E5" w:rsidP="002315A5">
            <w:pPr>
              <w:pStyle w:val="BodyText2"/>
              <w:numPr>
                <w:ilvl w:val="0"/>
                <w:numId w:val="37"/>
              </w:numPr>
              <w:rPr>
                <w:rFonts w:ascii="Calibri" w:hAnsi="Calibri"/>
              </w:rPr>
            </w:pPr>
            <w:r w:rsidRPr="00E77615">
              <w:rPr>
                <w:rFonts w:ascii="Calibri" w:hAnsi="Calibri"/>
              </w:rPr>
              <w:t>NDMA Report 2014</w:t>
            </w:r>
          </w:p>
          <w:p w:rsidR="00E77615" w:rsidRDefault="00E77615" w:rsidP="002315A5">
            <w:pPr>
              <w:pStyle w:val="BodyText2"/>
              <w:numPr>
                <w:ilvl w:val="0"/>
                <w:numId w:val="37"/>
              </w:numPr>
              <w:rPr>
                <w:rFonts w:ascii="Calibri" w:hAnsi="Calibri"/>
              </w:rPr>
            </w:pPr>
            <w:r w:rsidRPr="00E77615">
              <w:rPr>
                <w:rFonts w:ascii="Calibri" w:hAnsi="Calibri"/>
              </w:rPr>
              <w:t>Outcome Evaluations.</w:t>
            </w:r>
          </w:p>
          <w:p w:rsidR="007131D5" w:rsidRDefault="007131D5" w:rsidP="002315A5">
            <w:pPr>
              <w:pStyle w:val="BodyText2"/>
              <w:numPr>
                <w:ilvl w:val="0"/>
                <w:numId w:val="37"/>
              </w:numPr>
              <w:rPr>
                <w:rFonts w:ascii="Calibri" w:hAnsi="Calibri"/>
              </w:rPr>
            </w:pPr>
            <w:r>
              <w:rPr>
                <w:rFonts w:ascii="Calibri" w:hAnsi="Calibri"/>
              </w:rPr>
              <w:t>UNDP 2014 Annual Report</w:t>
            </w:r>
          </w:p>
          <w:p w:rsidR="00F0294F" w:rsidRPr="008B63E5" w:rsidRDefault="00F0294F" w:rsidP="00F0294F">
            <w:pPr>
              <w:pStyle w:val="BodyText2"/>
              <w:numPr>
                <w:ilvl w:val="0"/>
                <w:numId w:val="37"/>
              </w:numPr>
              <w:rPr>
                <w:rFonts w:ascii="Calibri" w:hAnsi="Calibri"/>
              </w:rPr>
            </w:pPr>
            <w:r>
              <w:rPr>
                <w:rFonts w:ascii="Calibri" w:hAnsi="Calibri"/>
              </w:rPr>
              <w:t>M</w:t>
            </w:r>
            <w:r w:rsidRPr="00F0294F">
              <w:rPr>
                <w:rFonts w:ascii="Calibri" w:hAnsi="Calibri"/>
              </w:rPr>
              <w:t>id-term review of the Joint Programme on Gender</w:t>
            </w:r>
          </w:p>
        </w:tc>
      </w:tr>
    </w:tbl>
    <w:p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28" w:rsidRDefault="003B0028">
      <w:r>
        <w:separator/>
      </w:r>
    </w:p>
  </w:endnote>
  <w:endnote w:type="continuationSeparator" w:id="0">
    <w:p w:rsidR="003B0028" w:rsidRDefault="003B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47" w:rsidRPr="000E2147" w:rsidRDefault="000E2147">
    <w:pPr>
      <w:pStyle w:val="Footer"/>
      <w:jc w:val="right"/>
      <w:rPr>
        <w:sz w:val="18"/>
        <w:szCs w:val="18"/>
      </w:rPr>
    </w:pPr>
    <w:r w:rsidRPr="000E2147">
      <w:rPr>
        <w:sz w:val="18"/>
        <w:szCs w:val="18"/>
      </w:rPr>
      <w:fldChar w:fldCharType="begin"/>
    </w:r>
    <w:r w:rsidRPr="000E2147">
      <w:rPr>
        <w:sz w:val="18"/>
        <w:szCs w:val="18"/>
      </w:rPr>
      <w:instrText xml:space="preserve"> PAGE   \* MERGEFORMAT </w:instrText>
    </w:r>
    <w:r w:rsidRPr="000E2147">
      <w:rPr>
        <w:sz w:val="18"/>
        <w:szCs w:val="18"/>
      </w:rPr>
      <w:fldChar w:fldCharType="separate"/>
    </w:r>
    <w:r w:rsidR="00A713B6">
      <w:rPr>
        <w:noProof/>
        <w:sz w:val="18"/>
        <w:szCs w:val="18"/>
      </w:rPr>
      <w:t>2</w:t>
    </w:r>
    <w:r w:rsidRPr="000E2147">
      <w:rPr>
        <w:sz w:val="18"/>
        <w:szCs w:val="18"/>
      </w:rPr>
      <w:fldChar w:fldCharType="end"/>
    </w:r>
  </w:p>
  <w:p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28" w:rsidRDefault="003B0028">
      <w:r>
        <w:separator/>
      </w:r>
    </w:p>
  </w:footnote>
  <w:footnote w:type="continuationSeparator" w:id="0">
    <w:p w:rsidR="003B0028" w:rsidRDefault="003B0028">
      <w:r>
        <w:continuationSeparator/>
      </w:r>
    </w:p>
  </w:footnote>
  <w:footnote w:id="1">
    <w:p w:rsidR="000E2147" w:rsidRPr="00536F82" w:rsidRDefault="000E2147" w:rsidP="00A52DD7">
      <w:pPr>
        <w:pStyle w:val="FootnoteText"/>
        <w:jc w:val="both"/>
        <w:rPr>
          <w:rFonts w:ascii="Calibri" w:hAnsi="Calibri"/>
          <w:i/>
          <w:sz w:val="18"/>
          <w:szCs w:val="18"/>
        </w:rPr>
      </w:pPr>
      <w:r w:rsidRPr="00536F82">
        <w:rPr>
          <w:rStyle w:val="FootnoteReference"/>
          <w:rFonts w:ascii="Calibri" w:hAnsi="Calibri"/>
          <w:i/>
          <w:sz w:val="18"/>
          <w:szCs w:val="18"/>
        </w:rPr>
        <w:footnoteRef/>
      </w:r>
      <w:r w:rsidRPr="00536F82">
        <w:rPr>
          <w:rFonts w:ascii="Calibri" w:hAnsi="Calibri"/>
          <w:i/>
          <w:sz w:val="18"/>
          <w:szCs w:val="18"/>
        </w:rPr>
        <w:t>Mid Term Reviews of the UNDAF and CPD/CPAP 2011-2015, Terminal Evaluation of CPD/CPAP 2011-2015</w:t>
      </w:r>
    </w:p>
  </w:footnote>
  <w:footnote w:id="2">
    <w:p w:rsidR="00A52DD7" w:rsidRPr="00536F82" w:rsidRDefault="00A52DD7" w:rsidP="00A52DD7">
      <w:pPr>
        <w:pStyle w:val="FootnoteText"/>
        <w:jc w:val="both"/>
        <w:rPr>
          <w:i/>
          <w:sz w:val="18"/>
          <w:szCs w:val="18"/>
        </w:rPr>
      </w:pPr>
      <w:r w:rsidRPr="00536F82">
        <w:rPr>
          <w:rStyle w:val="FootnoteReference"/>
          <w:rFonts w:ascii="Calibri" w:hAnsi="Calibri"/>
          <w:i/>
          <w:sz w:val="18"/>
          <w:szCs w:val="18"/>
        </w:rPr>
        <w:footnoteRef/>
      </w:r>
      <w:r w:rsidRPr="00536F82">
        <w:rPr>
          <w:rFonts w:ascii="Calibri" w:hAnsi="Calibri"/>
          <w:i/>
          <w:sz w:val="18"/>
          <w:szCs w:val="18"/>
        </w:rPr>
        <w:t xml:space="preserve"> Access to productive resources by the poor; universal access to HIV services; capacity development for resilience (DRR and NRM); access to justice and improved governance; and gender equality and women empowerment.</w:t>
      </w:r>
    </w:p>
  </w:footnote>
  <w:footnote w:id="3">
    <w:p w:rsidR="006848D9" w:rsidRPr="00536F82" w:rsidRDefault="006848D9" w:rsidP="006848D9">
      <w:pPr>
        <w:pStyle w:val="FootnoteText"/>
        <w:jc w:val="both"/>
        <w:rPr>
          <w:i/>
          <w:sz w:val="18"/>
          <w:szCs w:val="18"/>
        </w:rPr>
      </w:pPr>
      <w:r w:rsidRPr="00536F82">
        <w:rPr>
          <w:rStyle w:val="FootnoteReference"/>
          <w:rFonts w:ascii="Calibri" w:hAnsi="Calibri"/>
          <w:i/>
          <w:sz w:val="18"/>
          <w:szCs w:val="18"/>
        </w:rPr>
        <w:footnoteRef/>
      </w:r>
      <w:r w:rsidRPr="00536F82">
        <w:rPr>
          <w:rFonts w:ascii="Calibri" w:hAnsi="Calibri"/>
          <w:i/>
          <w:sz w:val="18"/>
          <w:szCs w:val="18"/>
        </w:rPr>
        <w:t xml:space="preserve"> Access to productive resources by the poor; universal access to HIV services; capacity development for resilience (DRR and NRM); access to justice and improved governance; and gender equality and women empowerment.</w:t>
      </w:r>
    </w:p>
  </w:footnote>
  <w:footnote w:id="4">
    <w:p w:rsidR="004519B5" w:rsidRPr="00536F82" w:rsidRDefault="004519B5">
      <w:pPr>
        <w:pStyle w:val="FootnoteText"/>
        <w:rPr>
          <w:i/>
          <w:sz w:val="18"/>
          <w:szCs w:val="18"/>
        </w:rPr>
      </w:pPr>
      <w:r w:rsidRPr="00536F82">
        <w:rPr>
          <w:rFonts w:ascii="Calibri" w:hAnsi="Calibri"/>
          <w:i/>
          <w:sz w:val="18"/>
          <w:szCs w:val="18"/>
        </w:rPr>
        <w:footnoteRef/>
      </w:r>
      <w:r w:rsidRPr="00536F82">
        <w:rPr>
          <w:rFonts w:ascii="Calibri" w:hAnsi="Calibri"/>
          <w:i/>
          <w:sz w:val="18"/>
          <w:szCs w:val="18"/>
        </w:rPr>
        <w:t xml:space="preserve"> SWEET Report, 2014</w:t>
      </w:r>
    </w:p>
  </w:footnote>
  <w:footnote w:id="5">
    <w:p w:rsidR="00536F82" w:rsidRPr="00861B1D" w:rsidRDefault="00536F82">
      <w:pPr>
        <w:pStyle w:val="FootnoteText"/>
        <w:rPr>
          <w:rFonts w:ascii="Calibri" w:hAnsi="Calibri"/>
          <w:i/>
          <w:sz w:val="18"/>
          <w:szCs w:val="18"/>
        </w:rPr>
      </w:pPr>
      <w:r w:rsidRPr="00861B1D">
        <w:rPr>
          <w:rStyle w:val="FootnoteReference"/>
          <w:rFonts w:ascii="Calibri" w:hAnsi="Calibri"/>
          <w:i/>
          <w:sz w:val="18"/>
          <w:szCs w:val="18"/>
        </w:rPr>
        <w:footnoteRef/>
      </w:r>
      <w:r w:rsidRPr="00861B1D">
        <w:rPr>
          <w:rFonts w:ascii="Calibri" w:hAnsi="Calibri"/>
          <w:i/>
          <w:sz w:val="18"/>
          <w:szCs w:val="18"/>
        </w:rPr>
        <w:t xml:space="preserve"> NDMA Report 2014</w:t>
      </w:r>
    </w:p>
  </w:footnote>
  <w:footnote w:id="6">
    <w:p w:rsidR="00861B1D" w:rsidRPr="00861B1D" w:rsidRDefault="00861B1D" w:rsidP="00E10113">
      <w:pPr>
        <w:pStyle w:val="FootnoteText"/>
        <w:jc w:val="both"/>
        <w:rPr>
          <w:rFonts w:ascii="Calibri" w:hAnsi="Calibri"/>
          <w:i/>
          <w:sz w:val="18"/>
          <w:szCs w:val="18"/>
        </w:rPr>
      </w:pPr>
      <w:r w:rsidRPr="00861B1D">
        <w:rPr>
          <w:rStyle w:val="FootnoteReference"/>
          <w:rFonts w:ascii="Calibri" w:hAnsi="Calibri"/>
          <w:i/>
          <w:sz w:val="18"/>
          <w:szCs w:val="18"/>
        </w:rPr>
        <w:footnoteRef/>
      </w:r>
      <w:r w:rsidRPr="00861B1D">
        <w:rPr>
          <w:rFonts w:ascii="Calibri" w:hAnsi="Calibri"/>
          <w:i/>
          <w:sz w:val="18"/>
          <w:szCs w:val="18"/>
        </w:rPr>
        <w:t xml:space="preserve"> UNDP/GEF Report 2014</w:t>
      </w:r>
    </w:p>
  </w:footnote>
  <w:footnote w:id="7">
    <w:p w:rsidR="00983D30" w:rsidRPr="00983D30" w:rsidRDefault="00983D30" w:rsidP="00E10113">
      <w:pPr>
        <w:pStyle w:val="FootnoteText"/>
        <w:jc w:val="both"/>
        <w:rPr>
          <w:rFonts w:ascii="Calibri" w:hAnsi="Calibri"/>
          <w:i/>
          <w:sz w:val="18"/>
          <w:szCs w:val="18"/>
        </w:rPr>
      </w:pPr>
      <w:r w:rsidRPr="00983D30">
        <w:rPr>
          <w:rStyle w:val="FootnoteReference"/>
          <w:rFonts w:ascii="Calibri" w:hAnsi="Calibri"/>
          <w:i/>
          <w:sz w:val="18"/>
          <w:szCs w:val="18"/>
        </w:rPr>
        <w:footnoteRef/>
      </w:r>
      <w:r w:rsidRPr="00983D30">
        <w:rPr>
          <w:rFonts w:ascii="Calibri" w:hAnsi="Calibri"/>
          <w:i/>
          <w:sz w:val="18"/>
          <w:szCs w:val="18"/>
        </w:rPr>
        <w:t xml:space="preserve"> 201</w:t>
      </w:r>
      <w:r>
        <w:rPr>
          <w:rFonts w:ascii="Calibri" w:hAnsi="Calibri"/>
          <w:i/>
          <w:sz w:val="18"/>
          <w:szCs w:val="18"/>
        </w:rPr>
        <w:t>4 Governance Outcome Evaluation</w:t>
      </w:r>
    </w:p>
  </w:footnote>
  <w:footnote w:id="8">
    <w:p w:rsidR="00F20572" w:rsidRPr="00F20572" w:rsidRDefault="00F20572" w:rsidP="00E10113">
      <w:pPr>
        <w:pStyle w:val="FootnoteText"/>
        <w:jc w:val="both"/>
        <w:rPr>
          <w:rFonts w:ascii="Calibri" w:hAnsi="Calibri"/>
          <w:i/>
          <w:sz w:val="18"/>
          <w:szCs w:val="18"/>
        </w:rPr>
      </w:pPr>
      <w:r w:rsidRPr="00F20572">
        <w:rPr>
          <w:rStyle w:val="FootnoteReference"/>
          <w:rFonts w:ascii="Calibri" w:hAnsi="Calibri"/>
          <w:i/>
          <w:sz w:val="18"/>
          <w:szCs w:val="18"/>
        </w:rPr>
        <w:footnoteRef/>
      </w:r>
      <w:r w:rsidRPr="00F20572">
        <w:rPr>
          <w:rFonts w:ascii="Calibri" w:hAnsi="Calibri"/>
          <w:i/>
          <w:sz w:val="18"/>
          <w:szCs w:val="18"/>
        </w:rPr>
        <w:t xml:space="preserve"> The Mid-term evaluation of the project - Adapting National and </w:t>
      </w:r>
      <w:r w:rsidR="006947C0" w:rsidRPr="00F20572">
        <w:rPr>
          <w:rFonts w:ascii="Calibri" w:hAnsi="Calibri"/>
          <w:i/>
          <w:sz w:val="18"/>
          <w:szCs w:val="18"/>
        </w:rPr>
        <w:t>Trans boundary</w:t>
      </w:r>
      <w:r w:rsidRPr="00F20572">
        <w:rPr>
          <w:rFonts w:ascii="Calibri" w:hAnsi="Calibri"/>
          <w:i/>
          <w:sz w:val="18"/>
          <w:szCs w:val="18"/>
        </w:rPr>
        <w:t xml:space="preserve"> Water Resources Management to expected Climate Change</w:t>
      </w:r>
    </w:p>
  </w:footnote>
  <w:footnote w:id="9">
    <w:p w:rsidR="00533798" w:rsidRPr="00533798" w:rsidRDefault="00533798" w:rsidP="00533798">
      <w:pPr>
        <w:pStyle w:val="FootnoteText"/>
        <w:rPr>
          <w:rFonts w:ascii="Calibri" w:hAnsi="Calibri"/>
          <w:i/>
          <w:sz w:val="18"/>
          <w:lang w:val="en-ZW"/>
        </w:rPr>
      </w:pPr>
      <w:r w:rsidRPr="00533798">
        <w:rPr>
          <w:rStyle w:val="FootnoteReference"/>
          <w:rFonts w:ascii="Calibri" w:hAnsi="Calibri"/>
          <w:i/>
          <w:sz w:val="18"/>
        </w:rPr>
        <w:footnoteRef/>
      </w:r>
      <w:r w:rsidRPr="00533798">
        <w:rPr>
          <w:rFonts w:ascii="Calibri" w:hAnsi="Calibri"/>
          <w:i/>
          <w:sz w:val="18"/>
        </w:rPr>
        <w:t xml:space="preserve"> </w:t>
      </w:r>
      <w:r w:rsidRPr="00533798">
        <w:rPr>
          <w:rFonts w:ascii="Calibri" w:hAnsi="Calibri"/>
          <w:i/>
          <w:sz w:val="18"/>
          <w:lang w:val="en-ZW"/>
        </w:rPr>
        <w:t xml:space="preserve">UNDP Results Oriented </w:t>
      </w:r>
      <w:r w:rsidR="005B1985">
        <w:rPr>
          <w:rFonts w:ascii="Calibri" w:hAnsi="Calibri"/>
          <w:i/>
          <w:sz w:val="18"/>
          <w:lang w:val="en-ZW"/>
        </w:rPr>
        <w:t>Annual Report, ROAR 2014</w:t>
      </w:r>
    </w:p>
  </w:footnote>
  <w:footnote w:id="10">
    <w:p w:rsidR="00DD7CFC" w:rsidRPr="00AE76BC" w:rsidRDefault="00DD7CFC" w:rsidP="00DD7CFC">
      <w:pPr>
        <w:pStyle w:val="FootnoteText"/>
        <w:rPr>
          <w:rFonts w:ascii="Calibri" w:hAnsi="Calibri"/>
          <w:i/>
          <w:sz w:val="18"/>
          <w:szCs w:val="18"/>
        </w:rPr>
      </w:pPr>
      <w:r w:rsidRPr="00AE76BC">
        <w:rPr>
          <w:rStyle w:val="FootnoteReference"/>
          <w:rFonts w:ascii="Calibri" w:hAnsi="Calibri"/>
          <w:i/>
          <w:sz w:val="18"/>
          <w:szCs w:val="18"/>
        </w:rPr>
        <w:footnoteRef/>
      </w:r>
      <w:r w:rsidRPr="00AE76BC">
        <w:rPr>
          <w:rFonts w:ascii="Calibri" w:hAnsi="Calibri"/>
          <w:i/>
          <w:sz w:val="18"/>
          <w:szCs w:val="18"/>
        </w:rPr>
        <w:t xml:space="preserve"> CPD-CPAP Terminal Evaluation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15" w:rsidRPr="00517955" w:rsidRDefault="0095613F">
    <w:pPr>
      <w:pStyle w:val="Header"/>
      <w:rPr>
        <w:rFonts w:ascii="Calibri" w:hAnsi="Calibri"/>
      </w:rPr>
    </w:pPr>
    <w:r>
      <w:rPr>
        <w:rFonts w:ascii="Calibri" w:hAnsi="Calibri"/>
      </w:rPr>
      <w:t>FINAL</w:t>
    </w:r>
    <w:r w:rsidR="00157815" w:rsidRPr="00517955">
      <w:rPr>
        <w:rFonts w:ascii="Calibri" w:hAnsi="Calibri"/>
      </w:rPr>
      <w:t xml:space="preserv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17"/>
    <w:multiLevelType w:val="hybridMultilevel"/>
    <w:tmpl w:val="296A4E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3C2499D"/>
    <w:multiLevelType w:val="hybridMultilevel"/>
    <w:tmpl w:val="BD029ECA"/>
    <w:lvl w:ilvl="0" w:tplc="BAFA8B0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F453E"/>
    <w:multiLevelType w:val="hybridMultilevel"/>
    <w:tmpl w:val="AD562F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93C6FDD"/>
    <w:multiLevelType w:val="hybridMultilevel"/>
    <w:tmpl w:val="53CE7E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A22EDE"/>
    <w:multiLevelType w:val="hybridMultilevel"/>
    <w:tmpl w:val="8E48DFD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F60479"/>
    <w:multiLevelType w:val="hybridMultilevel"/>
    <w:tmpl w:val="10BA0F32"/>
    <w:lvl w:ilvl="0" w:tplc="2EF00B94">
      <w:start w:val="1"/>
      <w:numFmt w:val="decimal"/>
      <w:lvlText w:val="%1."/>
      <w:lvlJc w:val="left"/>
      <w:pPr>
        <w:ind w:left="360" w:hanging="360"/>
      </w:pPr>
      <w:rPr>
        <w:rFonts w:ascii="Calibri" w:hAnsi="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8A364B"/>
    <w:multiLevelType w:val="hybridMultilevel"/>
    <w:tmpl w:val="C69289B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16FE0"/>
    <w:multiLevelType w:val="hybridMultilevel"/>
    <w:tmpl w:val="7F80E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8355962"/>
    <w:multiLevelType w:val="hybridMultilevel"/>
    <w:tmpl w:val="CE74B9E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18605620"/>
    <w:multiLevelType w:val="hybridMultilevel"/>
    <w:tmpl w:val="C1D249D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C8561BF"/>
    <w:multiLevelType w:val="hybridMultilevel"/>
    <w:tmpl w:val="0B38C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B721E3"/>
    <w:multiLevelType w:val="hybridMultilevel"/>
    <w:tmpl w:val="176268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38109D0"/>
    <w:multiLevelType w:val="hybridMultilevel"/>
    <w:tmpl w:val="26D04E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8781326"/>
    <w:multiLevelType w:val="hybridMultilevel"/>
    <w:tmpl w:val="92DEF45E"/>
    <w:lvl w:ilvl="0" w:tplc="581EF844">
      <w:start w:val="1"/>
      <w:numFmt w:val="decimal"/>
      <w:lvlText w:val="%1."/>
      <w:lvlJc w:val="left"/>
      <w:pPr>
        <w:ind w:left="840" w:hanging="480"/>
      </w:pPr>
      <w:rPr>
        <w:rFonts w:hint="default"/>
        <w:b w:val="0"/>
        <w:color w:val="auto"/>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BBC5AF2"/>
    <w:multiLevelType w:val="hybridMultilevel"/>
    <w:tmpl w:val="61F21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4"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C6521B"/>
    <w:multiLevelType w:val="hybridMultilevel"/>
    <w:tmpl w:val="2D74408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E75084"/>
    <w:multiLevelType w:val="hybridMultilevel"/>
    <w:tmpl w:val="2E0CD3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AB1FAF"/>
    <w:multiLevelType w:val="hybridMultilevel"/>
    <w:tmpl w:val="C7F69B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1DC0770"/>
    <w:multiLevelType w:val="hybridMultilevel"/>
    <w:tmpl w:val="E3B2E4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976F1B"/>
    <w:multiLevelType w:val="hybridMultilevel"/>
    <w:tmpl w:val="F3EE73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30F63EB"/>
    <w:multiLevelType w:val="hybridMultilevel"/>
    <w:tmpl w:val="D46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A637F4A"/>
    <w:multiLevelType w:val="hybridMultilevel"/>
    <w:tmpl w:val="2C1EF9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3"/>
  </w:num>
  <w:num w:numId="3">
    <w:abstractNumId w:val="16"/>
  </w:num>
  <w:num w:numId="4">
    <w:abstractNumId w:val="10"/>
  </w:num>
  <w:num w:numId="5">
    <w:abstractNumId w:val="27"/>
  </w:num>
  <w:num w:numId="6">
    <w:abstractNumId w:val="29"/>
  </w:num>
  <w:num w:numId="7">
    <w:abstractNumId w:val="7"/>
  </w:num>
  <w:num w:numId="8">
    <w:abstractNumId w:val="28"/>
  </w:num>
  <w:num w:numId="9">
    <w:abstractNumId w:val="11"/>
  </w:num>
  <w:num w:numId="10">
    <w:abstractNumId w:val="20"/>
  </w:num>
  <w:num w:numId="11">
    <w:abstractNumId w:val="37"/>
  </w:num>
  <w:num w:numId="12">
    <w:abstractNumId w:val="24"/>
  </w:num>
  <w:num w:numId="13">
    <w:abstractNumId w:val="25"/>
  </w:num>
  <w:num w:numId="14">
    <w:abstractNumId w:val="17"/>
  </w:num>
  <w:num w:numId="15">
    <w:abstractNumId w:val="2"/>
  </w:num>
  <w:num w:numId="16">
    <w:abstractNumId w:val="34"/>
  </w:num>
  <w:num w:numId="17">
    <w:abstractNumId w:val="31"/>
  </w:num>
  <w:num w:numId="18">
    <w:abstractNumId w:val="38"/>
  </w:num>
  <w:num w:numId="19">
    <w:abstractNumId w:val="32"/>
  </w:num>
  <w:num w:numId="20">
    <w:abstractNumId w:val="4"/>
  </w:num>
  <w:num w:numId="21">
    <w:abstractNumId w:val="33"/>
  </w:num>
  <w:num w:numId="22">
    <w:abstractNumId w:val="5"/>
  </w:num>
  <w:num w:numId="23">
    <w:abstractNumId w:val="9"/>
  </w:num>
  <w:num w:numId="24">
    <w:abstractNumId w:val="35"/>
  </w:num>
  <w:num w:numId="25">
    <w:abstractNumId w:val="18"/>
  </w:num>
  <w:num w:numId="26">
    <w:abstractNumId w:val="13"/>
  </w:num>
  <w:num w:numId="27">
    <w:abstractNumId w:val="1"/>
  </w:num>
  <w:num w:numId="28">
    <w:abstractNumId w:val="19"/>
  </w:num>
  <w:num w:numId="29">
    <w:abstractNumId w:val="12"/>
  </w:num>
  <w:num w:numId="30">
    <w:abstractNumId w:val="22"/>
  </w:num>
  <w:num w:numId="31">
    <w:abstractNumId w:val="21"/>
  </w:num>
  <w:num w:numId="32">
    <w:abstractNumId w:val="15"/>
  </w:num>
  <w:num w:numId="33">
    <w:abstractNumId w:val="8"/>
  </w:num>
  <w:num w:numId="34">
    <w:abstractNumId w:val="36"/>
  </w:num>
  <w:num w:numId="35">
    <w:abstractNumId w:val="26"/>
  </w:num>
  <w:num w:numId="36">
    <w:abstractNumId w:val="14"/>
  </w:num>
  <w:num w:numId="37">
    <w:abstractNumId w:val="0"/>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5982"/>
    <w:rsid w:val="000219FD"/>
    <w:rsid w:val="00022C12"/>
    <w:rsid w:val="00025687"/>
    <w:rsid w:val="00035A45"/>
    <w:rsid w:val="00037608"/>
    <w:rsid w:val="000502AD"/>
    <w:rsid w:val="00051BDB"/>
    <w:rsid w:val="000664BD"/>
    <w:rsid w:val="000823AC"/>
    <w:rsid w:val="00082448"/>
    <w:rsid w:val="00082E0C"/>
    <w:rsid w:val="00086AED"/>
    <w:rsid w:val="00087233"/>
    <w:rsid w:val="000A049E"/>
    <w:rsid w:val="000A09D2"/>
    <w:rsid w:val="000C09B4"/>
    <w:rsid w:val="000C37EB"/>
    <w:rsid w:val="000C4457"/>
    <w:rsid w:val="000C4977"/>
    <w:rsid w:val="000D286C"/>
    <w:rsid w:val="000D6DE5"/>
    <w:rsid w:val="000E2147"/>
    <w:rsid w:val="000F77FD"/>
    <w:rsid w:val="00103F7B"/>
    <w:rsid w:val="00106D1C"/>
    <w:rsid w:val="00107918"/>
    <w:rsid w:val="0012317A"/>
    <w:rsid w:val="001246DA"/>
    <w:rsid w:val="0013400B"/>
    <w:rsid w:val="0015409F"/>
    <w:rsid w:val="00157815"/>
    <w:rsid w:val="00161FB5"/>
    <w:rsid w:val="001663A4"/>
    <w:rsid w:val="001666EB"/>
    <w:rsid w:val="00167DA9"/>
    <w:rsid w:val="001702D3"/>
    <w:rsid w:val="001720F0"/>
    <w:rsid w:val="00176076"/>
    <w:rsid w:val="00177933"/>
    <w:rsid w:val="00182FAA"/>
    <w:rsid w:val="0019219D"/>
    <w:rsid w:val="001956C7"/>
    <w:rsid w:val="001A4D75"/>
    <w:rsid w:val="001A5A56"/>
    <w:rsid w:val="001B2C4B"/>
    <w:rsid w:val="001B721D"/>
    <w:rsid w:val="001F3524"/>
    <w:rsid w:val="00207D1E"/>
    <w:rsid w:val="00230A0E"/>
    <w:rsid w:val="002315A5"/>
    <w:rsid w:val="00232597"/>
    <w:rsid w:val="00240635"/>
    <w:rsid w:val="002422AE"/>
    <w:rsid w:val="002547CF"/>
    <w:rsid w:val="0026321D"/>
    <w:rsid w:val="00263591"/>
    <w:rsid w:val="00264B8B"/>
    <w:rsid w:val="0027126B"/>
    <w:rsid w:val="00276AAA"/>
    <w:rsid w:val="002B2ED6"/>
    <w:rsid w:val="002C2590"/>
    <w:rsid w:val="002C4B80"/>
    <w:rsid w:val="002C58F7"/>
    <w:rsid w:val="002D6843"/>
    <w:rsid w:val="002D7717"/>
    <w:rsid w:val="002F7E65"/>
    <w:rsid w:val="0032175A"/>
    <w:rsid w:val="00322DEA"/>
    <w:rsid w:val="00326E7A"/>
    <w:rsid w:val="00346615"/>
    <w:rsid w:val="00347CA3"/>
    <w:rsid w:val="00354CB5"/>
    <w:rsid w:val="00357B0E"/>
    <w:rsid w:val="00363725"/>
    <w:rsid w:val="00363EC5"/>
    <w:rsid w:val="00366AD1"/>
    <w:rsid w:val="0037228A"/>
    <w:rsid w:val="0037523B"/>
    <w:rsid w:val="00380C55"/>
    <w:rsid w:val="0039180C"/>
    <w:rsid w:val="003A6F0C"/>
    <w:rsid w:val="003A7F38"/>
    <w:rsid w:val="003B0028"/>
    <w:rsid w:val="003B037A"/>
    <w:rsid w:val="003B422F"/>
    <w:rsid w:val="003B72E4"/>
    <w:rsid w:val="003C3A7D"/>
    <w:rsid w:val="003D653B"/>
    <w:rsid w:val="003D6B85"/>
    <w:rsid w:val="003F2312"/>
    <w:rsid w:val="003F2643"/>
    <w:rsid w:val="003F75B6"/>
    <w:rsid w:val="004004FC"/>
    <w:rsid w:val="00417008"/>
    <w:rsid w:val="00422E4E"/>
    <w:rsid w:val="00424E4F"/>
    <w:rsid w:val="0042584D"/>
    <w:rsid w:val="004264F7"/>
    <w:rsid w:val="00432571"/>
    <w:rsid w:val="00447122"/>
    <w:rsid w:val="004519B5"/>
    <w:rsid w:val="00461D62"/>
    <w:rsid w:val="00471EE1"/>
    <w:rsid w:val="00474586"/>
    <w:rsid w:val="0047465C"/>
    <w:rsid w:val="00493345"/>
    <w:rsid w:val="00496B4F"/>
    <w:rsid w:val="004B3911"/>
    <w:rsid w:val="004C595C"/>
    <w:rsid w:val="004D3DBE"/>
    <w:rsid w:val="004E00C6"/>
    <w:rsid w:val="004F5DE3"/>
    <w:rsid w:val="00503F4E"/>
    <w:rsid w:val="00513934"/>
    <w:rsid w:val="00513C6A"/>
    <w:rsid w:val="00516AC8"/>
    <w:rsid w:val="00517955"/>
    <w:rsid w:val="005303E9"/>
    <w:rsid w:val="00530FDE"/>
    <w:rsid w:val="00533798"/>
    <w:rsid w:val="005352BB"/>
    <w:rsid w:val="005355C7"/>
    <w:rsid w:val="00535D7B"/>
    <w:rsid w:val="00536F82"/>
    <w:rsid w:val="00540745"/>
    <w:rsid w:val="005474ED"/>
    <w:rsid w:val="005532D3"/>
    <w:rsid w:val="005616A9"/>
    <w:rsid w:val="00581955"/>
    <w:rsid w:val="0058717F"/>
    <w:rsid w:val="005A06E8"/>
    <w:rsid w:val="005A45C7"/>
    <w:rsid w:val="005A7B65"/>
    <w:rsid w:val="005B10E6"/>
    <w:rsid w:val="005B16AC"/>
    <w:rsid w:val="005B1985"/>
    <w:rsid w:val="005C19D7"/>
    <w:rsid w:val="005C6168"/>
    <w:rsid w:val="005E0C05"/>
    <w:rsid w:val="005F06A5"/>
    <w:rsid w:val="005F2E08"/>
    <w:rsid w:val="005F6261"/>
    <w:rsid w:val="00611529"/>
    <w:rsid w:val="00612159"/>
    <w:rsid w:val="00617731"/>
    <w:rsid w:val="00621050"/>
    <w:rsid w:val="00621228"/>
    <w:rsid w:val="0062311F"/>
    <w:rsid w:val="0062658A"/>
    <w:rsid w:val="00626CF1"/>
    <w:rsid w:val="00635929"/>
    <w:rsid w:val="0064746F"/>
    <w:rsid w:val="00656D26"/>
    <w:rsid w:val="0066575C"/>
    <w:rsid w:val="00671E33"/>
    <w:rsid w:val="00673710"/>
    <w:rsid w:val="00674B1A"/>
    <w:rsid w:val="006848D9"/>
    <w:rsid w:val="00686DED"/>
    <w:rsid w:val="006900FE"/>
    <w:rsid w:val="006947C0"/>
    <w:rsid w:val="006A53C2"/>
    <w:rsid w:val="006A6510"/>
    <w:rsid w:val="006C088B"/>
    <w:rsid w:val="006C4EFF"/>
    <w:rsid w:val="006C5367"/>
    <w:rsid w:val="006E1E64"/>
    <w:rsid w:val="006E2315"/>
    <w:rsid w:val="00700521"/>
    <w:rsid w:val="00704406"/>
    <w:rsid w:val="00712F99"/>
    <w:rsid w:val="007131D5"/>
    <w:rsid w:val="0073172E"/>
    <w:rsid w:val="007357A5"/>
    <w:rsid w:val="00746050"/>
    <w:rsid w:val="00752615"/>
    <w:rsid w:val="00760E32"/>
    <w:rsid w:val="00764E41"/>
    <w:rsid w:val="00771515"/>
    <w:rsid w:val="00776056"/>
    <w:rsid w:val="00787478"/>
    <w:rsid w:val="00790C12"/>
    <w:rsid w:val="00791042"/>
    <w:rsid w:val="00795813"/>
    <w:rsid w:val="00797BCD"/>
    <w:rsid w:val="007A0233"/>
    <w:rsid w:val="007A492D"/>
    <w:rsid w:val="007B7DBE"/>
    <w:rsid w:val="007C1B15"/>
    <w:rsid w:val="007C2D35"/>
    <w:rsid w:val="007C5B0F"/>
    <w:rsid w:val="007E1663"/>
    <w:rsid w:val="007F32B4"/>
    <w:rsid w:val="00800BDF"/>
    <w:rsid w:val="008018C5"/>
    <w:rsid w:val="00813F1E"/>
    <w:rsid w:val="0081403B"/>
    <w:rsid w:val="00825957"/>
    <w:rsid w:val="00831510"/>
    <w:rsid w:val="00837C4B"/>
    <w:rsid w:val="00842737"/>
    <w:rsid w:val="00843006"/>
    <w:rsid w:val="008440D9"/>
    <w:rsid w:val="00845340"/>
    <w:rsid w:val="008459BD"/>
    <w:rsid w:val="0085774D"/>
    <w:rsid w:val="00861B1D"/>
    <w:rsid w:val="00863B3A"/>
    <w:rsid w:val="00867AAC"/>
    <w:rsid w:val="00872000"/>
    <w:rsid w:val="00882ECA"/>
    <w:rsid w:val="008A4E2C"/>
    <w:rsid w:val="008B06DD"/>
    <w:rsid w:val="008B130C"/>
    <w:rsid w:val="008B2109"/>
    <w:rsid w:val="008B3751"/>
    <w:rsid w:val="008B63E5"/>
    <w:rsid w:val="008C41FD"/>
    <w:rsid w:val="008D4556"/>
    <w:rsid w:val="008D791F"/>
    <w:rsid w:val="008F0A97"/>
    <w:rsid w:val="008F4EDA"/>
    <w:rsid w:val="009021F6"/>
    <w:rsid w:val="00906A04"/>
    <w:rsid w:val="00920DBC"/>
    <w:rsid w:val="0092107A"/>
    <w:rsid w:val="00924795"/>
    <w:rsid w:val="00924881"/>
    <w:rsid w:val="009303DE"/>
    <w:rsid w:val="009353D7"/>
    <w:rsid w:val="00942B3B"/>
    <w:rsid w:val="0095613F"/>
    <w:rsid w:val="00966626"/>
    <w:rsid w:val="0097197E"/>
    <w:rsid w:val="00975566"/>
    <w:rsid w:val="00981492"/>
    <w:rsid w:val="00983D30"/>
    <w:rsid w:val="009873BB"/>
    <w:rsid w:val="00990CED"/>
    <w:rsid w:val="00993B9E"/>
    <w:rsid w:val="009B76A1"/>
    <w:rsid w:val="009E0A8D"/>
    <w:rsid w:val="009E7526"/>
    <w:rsid w:val="009F21FD"/>
    <w:rsid w:val="00A0001A"/>
    <w:rsid w:val="00A01A42"/>
    <w:rsid w:val="00A01ACF"/>
    <w:rsid w:val="00A0728B"/>
    <w:rsid w:val="00A16F22"/>
    <w:rsid w:val="00A1786A"/>
    <w:rsid w:val="00A210CD"/>
    <w:rsid w:val="00A2408F"/>
    <w:rsid w:val="00A27D1C"/>
    <w:rsid w:val="00A30EBB"/>
    <w:rsid w:val="00A32747"/>
    <w:rsid w:val="00A40130"/>
    <w:rsid w:val="00A44F24"/>
    <w:rsid w:val="00A452A8"/>
    <w:rsid w:val="00A45528"/>
    <w:rsid w:val="00A52DD7"/>
    <w:rsid w:val="00A5430D"/>
    <w:rsid w:val="00A57912"/>
    <w:rsid w:val="00A62BAC"/>
    <w:rsid w:val="00A713B6"/>
    <w:rsid w:val="00A74149"/>
    <w:rsid w:val="00A85E00"/>
    <w:rsid w:val="00A85E34"/>
    <w:rsid w:val="00A950DB"/>
    <w:rsid w:val="00AA08EB"/>
    <w:rsid w:val="00AA51B9"/>
    <w:rsid w:val="00AA7484"/>
    <w:rsid w:val="00AC0135"/>
    <w:rsid w:val="00AE3B12"/>
    <w:rsid w:val="00AF25E2"/>
    <w:rsid w:val="00AF2C5A"/>
    <w:rsid w:val="00B00E5C"/>
    <w:rsid w:val="00B053BE"/>
    <w:rsid w:val="00B172E4"/>
    <w:rsid w:val="00B2050D"/>
    <w:rsid w:val="00B254D7"/>
    <w:rsid w:val="00B25B8C"/>
    <w:rsid w:val="00B32ADA"/>
    <w:rsid w:val="00B40D7A"/>
    <w:rsid w:val="00B55EC8"/>
    <w:rsid w:val="00B61F05"/>
    <w:rsid w:val="00B64ACA"/>
    <w:rsid w:val="00B6521F"/>
    <w:rsid w:val="00B73CE6"/>
    <w:rsid w:val="00B746BB"/>
    <w:rsid w:val="00B853E3"/>
    <w:rsid w:val="00B93E36"/>
    <w:rsid w:val="00BA2677"/>
    <w:rsid w:val="00BC38E0"/>
    <w:rsid w:val="00BD1B91"/>
    <w:rsid w:val="00BE2925"/>
    <w:rsid w:val="00BE744C"/>
    <w:rsid w:val="00C0614D"/>
    <w:rsid w:val="00C06973"/>
    <w:rsid w:val="00C10319"/>
    <w:rsid w:val="00C37935"/>
    <w:rsid w:val="00C454F0"/>
    <w:rsid w:val="00C576D1"/>
    <w:rsid w:val="00C66DE1"/>
    <w:rsid w:val="00C94AAC"/>
    <w:rsid w:val="00C97E31"/>
    <w:rsid w:val="00CA381E"/>
    <w:rsid w:val="00CB3D47"/>
    <w:rsid w:val="00CB50DC"/>
    <w:rsid w:val="00CB645A"/>
    <w:rsid w:val="00CB647D"/>
    <w:rsid w:val="00CC15FF"/>
    <w:rsid w:val="00CF7124"/>
    <w:rsid w:val="00D005EA"/>
    <w:rsid w:val="00D01FFA"/>
    <w:rsid w:val="00D02B57"/>
    <w:rsid w:val="00D154DD"/>
    <w:rsid w:val="00D30BE3"/>
    <w:rsid w:val="00D46F1E"/>
    <w:rsid w:val="00D52882"/>
    <w:rsid w:val="00D80A4F"/>
    <w:rsid w:val="00D9192E"/>
    <w:rsid w:val="00D91B65"/>
    <w:rsid w:val="00D965ED"/>
    <w:rsid w:val="00DA524F"/>
    <w:rsid w:val="00DB7777"/>
    <w:rsid w:val="00DC19E1"/>
    <w:rsid w:val="00DC4D86"/>
    <w:rsid w:val="00DC4EE1"/>
    <w:rsid w:val="00DC5B06"/>
    <w:rsid w:val="00DC7354"/>
    <w:rsid w:val="00DD4368"/>
    <w:rsid w:val="00DD7CFC"/>
    <w:rsid w:val="00DF0357"/>
    <w:rsid w:val="00E0652A"/>
    <w:rsid w:val="00E06A4E"/>
    <w:rsid w:val="00E10113"/>
    <w:rsid w:val="00E1547F"/>
    <w:rsid w:val="00E16344"/>
    <w:rsid w:val="00E320F6"/>
    <w:rsid w:val="00E32ACA"/>
    <w:rsid w:val="00E35DE3"/>
    <w:rsid w:val="00E37E7A"/>
    <w:rsid w:val="00E40905"/>
    <w:rsid w:val="00E40F51"/>
    <w:rsid w:val="00E738C6"/>
    <w:rsid w:val="00E740E7"/>
    <w:rsid w:val="00E770DC"/>
    <w:rsid w:val="00E77615"/>
    <w:rsid w:val="00E80572"/>
    <w:rsid w:val="00E87AEF"/>
    <w:rsid w:val="00EA5948"/>
    <w:rsid w:val="00EA7740"/>
    <w:rsid w:val="00EC7518"/>
    <w:rsid w:val="00EC7BBC"/>
    <w:rsid w:val="00EE1D60"/>
    <w:rsid w:val="00F000B3"/>
    <w:rsid w:val="00F01FDE"/>
    <w:rsid w:val="00F0294F"/>
    <w:rsid w:val="00F036C0"/>
    <w:rsid w:val="00F05029"/>
    <w:rsid w:val="00F16195"/>
    <w:rsid w:val="00F20572"/>
    <w:rsid w:val="00F31949"/>
    <w:rsid w:val="00F327BD"/>
    <w:rsid w:val="00F3353C"/>
    <w:rsid w:val="00F37B66"/>
    <w:rsid w:val="00F37FA7"/>
    <w:rsid w:val="00F5113B"/>
    <w:rsid w:val="00F653A5"/>
    <w:rsid w:val="00F72B68"/>
    <w:rsid w:val="00F805AA"/>
    <w:rsid w:val="00F826EC"/>
    <w:rsid w:val="00F84FD4"/>
    <w:rsid w:val="00F92D78"/>
    <w:rsid w:val="00FB1B7B"/>
    <w:rsid w:val="00FB2C4C"/>
    <w:rsid w:val="00FB3DB2"/>
    <w:rsid w:val="00FB6940"/>
    <w:rsid w:val="00FD1069"/>
    <w:rsid w:val="00FE3711"/>
    <w:rsid w:val="00FE68BF"/>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70F59-5180-4B85-AB7F-ADFAC5B7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rPr>
      <w:lang w:val="x-none" w:eastAsia="x-none"/>
    </w:r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Footnote,Text,Footnote Text1,single space,Fodnotetekst Tegn,footnote text Char,Fodnotetekst Tegn Char,single space Char,footnote text Char Char Char,Fodnotetekst Tegn Char1,single space Char1,footnote text Char Char1,FOOTNOTES,fn,ft, Char"/>
    <w:basedOn w:val="Normal"/>
    <w:link w:val="FootnoteTextChar"/>
    <w:uiPriority w:val="99"/>
    <w:qFormat/>
    <w:rsid w:val="001F3524"/>
    <w:rPr>
      <w:sz w:val="20"/>
    </w:rPr>
  </w:style>
  <w:style w:type="character" w:customStyle="1" w:styleId="FootnoteTextChar">
    <w:name w:val="Footnote Text Char"/>
    <w:aliases w:val="Footnote Char,Text Char,Footnote Text1 Char,single space Char2,Fodnotetekst Tegn Char2,footnote text Char Char,Fodnotetekst Tegn Char Char,single space Char Char,footnote text Char Char Char Char,Fodnotetekst Tegn Char1 Char,fn Char"/>
    <w:basedOn w:val="DefaultParagraphFont"/>
    <w:link w:val="FootnoteText"/>
    <w:uiPriority w:val="99"/>
    <w:rsid w:val="001F3524"/>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link w:val="BVIfnrCharCharChar1CharCharCharCharCharCharChar1CharCharChar1Char"/>
    <w:uiPriority w:val="99"/>
    <w:rsid w:val="001F3524"/>
    <w:rPr>
      <w:vertAlign w:val="superscript"/>
    </w:rPr>
  </w:style>
  <w:style w:type="paragraph" w:customStyle="1" w:styleId="Default">
    <w:name w:val="Default"/>
    <w:rsid w:val="007C5B0F"/>
    <w:pPr>
      <w:autoSpaceDE w:val="0"/>
      <w:autoSpaceDN w:val="0"/>
      <w:adjustRightInd w:val="0"/>
    </w:pPr>
    <w:rPr>
      <w:color w:val="000000"/>
      <w:sz w:val="24"/>
      <w:szCs w:val="24"/>
      <w:lang w:val="en-IN" w:eastAsia="en-IN"/>
    </w:rPr>
  </w:style>
  <w:style w:type="character" w:customStyle="1" w:styleId="field-content5">
    <w:name w:val="field-content5"/>
    <w:rsid w:val="00035A45"/>
  </w:style>
  <w:style w:type="paragraph" w:styleId="PlainText">
    <w:name w:val="Plain Text"/>
    <w:basedOn w:val="Normal"/>
    <w:link w:val="PlainTextChar"/>
    <w:uiPriority w:val="99"/>
    <w:unhideWhenUsed/>
    <w:rsid w:val="00C94AAC"/>
    <w:pPr>
      <w:widowControl/>
      <w:spacing w:after="200"/>
    </w:pPr>
    <w:rPr>
      <w:rFonts w:ascii="Calibri" w:eastAsia="Calibri" w:hAnsi="Calibri"/>
      <w:sz w:val="22"/>
      <w:szCs w:val="21"/>
    </w:rPr>
  </w:style>
  <w:style w:type="character" w:customStyle="1" w:styleId="PlainTextChar">
    <w:name w:val="Plain Text Char"/>
    <w:link w:val="PlainText"/>
    <w:uiPriority w:val="99"/>
    <w:rsid w:val="00C94AAC"/>
    <w:rPr>
      <w:rFonts w:ascii="Calibri" w:eastAsia="Calibri" w:hAnsi="Calibri" w:cs="Arial"/>
      <w:sz w:val="22"/>
      <w:szCs w:val="21"/>
      <w:lang w:val="en-US" w:eastAsia="en-US"/>
    </w:rPr>
  </w:style>
  <w:style w:type="paragraph" w:styleId="ListParagraph">
    <w:name w:val="List Paragraph"/>
    <w:aliases w:val="Lapis Bulleted List,List Paragraph (numbered (a)),List Paragraph1"/>
    <w:basedOn w:val="Normal"/>
    <w:link w:val="ListParagraphChar"/>
    <w:uiPriority w:val="34"/>
    <w:qFormat/>
    <w:rsid w:val="00051BDB"/>
    <w:pPr>
      <w:widowControl/>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apis Bulleted List Char,List Paragraph (numbered (a)) Char,List Paragraph1 Char"/>
    <w:link w:val="ListParagraph"/>
    <w:uiPriority w:val="34"/>
    <w:locked/>
    <w:rsid w:val="00051BDB"/>
    <w:rPr>
      <w:rFonts w:ascii="Calibri" w:eastAsia="Calibri" w:hAnsi="Calibri" w:cs="Arial"/>
      <w:sz w:val="22"/>
      <w:szCs w:val="22"/>
      <w:lang w:val="en-US" w:eastAsia="en-US"/>
    </w:rPr>
  </w:style>
  <w:style w:type="character" w:styleId="Hyperlink">
    <w:name w:val="Hyperlink"/>
    <w:uiPriority w:val="99"/>
    <w:unhideWhenUsed/>
    <w:rsid w:val="00E16344"/>
    <w:rPr>
      <w:color w:val="2973BD"/>
      <w:u w:val="single"/>
    </w:rPr>
  </w:style>
  <w:style w:type="paragraph" w:styleId="CommentText">
    <w:name w:val="annotation text"/>
    <w:basedOn w:val="Normal"/>
    <w:link w:val="CommentTextChar"/>
    <w:unhideWhenUsed/>
    <w:rsid w:val="005303E9"/>
    <w:pPr>
      <w:widowControl/>
      <w:spacing w:after="200"/>
    </w:pPr>
    <w:rPr>
      <w:rFonts w:ascii="Calibri" w:eastAsia="Calibri" w:hAnsi="Calibri"/>
      <w:sz w:val="20"/>
    </w:rPr>
  </w:style>
  <w:style w:type="character" w:customStyle="1" w:styleId="CommentTextChar">
    <w:name w:val="Comment Text Char"/>
    <w:link w:val="CommentText"/>
    <w:rsid w:val="005303E9"/>
    <w:rPr>
      <w:rFonts w:ascii="Calibri" w:eastAsia="Calibri" w:hAnsi="Calibri" w:cs="Arial"/>
      <w:lang w:val="en-US"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DB7777"/>
    <w:pPr>
      <w:widowControl/>
      <w:spacing w:after="160" w:line="240" w:lineRule="exact"/>
    </w:pPr>
    <w:rPr>
      <w:sz w:val="20"/>
      <w:vertAlign w:val="superscript"/>
      <w:lang w:val="x-none" w:eastAsia="x-none"/>
    </w:rPr>
  </w:style>
  <w:style w:type="character" w:customStyle="1" w:styleId="BodyText2Char">
    <w:name w:val="Body Text 2 Char"/>
    <w:link w:val="BodyText2"/>
    <w:rsid w:val="003F2312"/>
    <w:rPr>
      <w:rFonts w:ascii="Arial" w:hAnsi="Arial"/>
    </w:rPr>
  </w:style>
  <w:style w:type="paragraph" w:styleId="BalloonText">
    <w:name w:val="Balloon Text"/>
    <w:basedOn w:val="Normal"/>
    <w:link w:val="BalloonTextChar"/>
    <w:rsid w:val="008B63E5"/>
    <w:rPr>
      <w:rFonts w:ascii="Segoe UI" w:hAnsi="Segoe UI" w:cs="Segoe UI"/>
      <w:sz w:val="18"/>
      <w:szCs w:val="18"/>
    </w:rPr>
  </w:style>
  <w:style w:type="character" w:customStyle="1" w:styleId="BalloonTextChar">
    <w:name w:val="Balloon Text Char"/>
    <w:link w:val="BalloonText"/>
    <w:rsid w:val="008B63E5"/>
    <w:rPr>
      <w:rFonts w:ascii="Segoe UI" w:hAnsi="Segoe UI" w:cs="Segoe UI"/>
      <w:sz w:val="18"/>
      <w:szCs w:val="18"/>
      <w:lang w:val="en-US" w:eastAsia="en-US"/>
    </w:rPr>
  </w:style>
  <w:style w:type="character" w:styleId="CommentReference">
    <w:name w:val="annotation reference"/>
    <w:rsid w:val="00F805AA"/>
    <w:rPr>
      <w:sz w:val="16"/>
      <w:szCs w:val="16"/>
    </w:rPr>
  </w:style>
  <w:style w:type="paragraph" w:styleId="CommentSubject">
    <w:name w:val="annotation subject"/>
    <w:basedOn w:val="CommentText"/>
    <w:next w:val="CommentText"/>
    <w:link w:val="CommentSubjectChar"/>
    <w:rsid w:val="00F805AA"/>
    <w:pPr>
      <w:widowControl w:val="0"/>
      <w:spacing w:after="0"/>
    </w:pPr>
    <w:rPr>
      <w:rFonts w:ascii="Times New Roman" w:eastAsia="Times New Roman" w:hAnsi="Times New Roman"/>
      <w:b/>
      <w:bCs/>
    </w:rPr>
  </w:style>
  <w:style w:type="character" w:customStyle="1" w:styleId="CommentSubjectChar">
    <w:name w:val="Comment Subject Char"/>
    <w:link w:val="CommentSubject"/>
    <w:rsid w:val="00F805AA"/>
    <w:rPr>
      <w:rFonts w:ascii="Calibri" w:eastAsia="Calibri" w:hAnsi="Calibri"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worldbank.org/indicator/SI.POV.NAHC/countries/SZ?display=grap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9FCA-8288-461F-959E-97E3A342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33428</CharactersWithSpaces>
  <SharedDoc>false</SharedDoc>
  <HLinks>
    <vt:vector size="6" baseType="variant">
      <vt:variant>
        <vt:i4>2490479</vt:i4>
      </vt:variant>
      <vt:variant>
        <vt:i4>0</vt:i4>
      </vt:variant>
      <vt:variant>
        <vt:i4>0</vt:i4>
      </vt:variant>
      <vt:variant>
        <vt:i4>5</vt:i4>
      </vt:variant>
      <vt:variant>
        <vt:lpwstr>http://data.worldbank.org/indicator/SI.POV.NAHC/countries/SZ?display=graph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cp:lastModifiedBy>Svetlana Iazykova</cp:lastModifiedBy>
  <cp:revision>3</cp:revision>
  <cp:lastPrinted>2015-05-08T13:44:00Z</cp:lastPrinted>
  <dcterms:created xsi:type="dcterms:W3CDTF">2015-05-15T18:57:00Z</dcterms:created>
  <dcterms:modified xsi:type="dcterms:W3CDTF">2015-05-15T18:57:00Z</dcterms:modified>
</cp:coreProperties>
</file>