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44C0" w14:textId="77777777" w:rsidR="003D707C" w:rsidRPr="00DE7DBC" w:rsidRDefault="003D707C" w:rsidP="003D707C">
      <w:pPr>
        <w:tabs>
          <w:tab w:val="left" w:pos="8789"/>
        </w:tabs>
        <w:ind w:right="288"/>
        <w:rPr>
          <w:b/>
          <w:color w:val="000000"/>
          <w:lang w:val="en-GB"/>
        </w:rPr>
      </w:pPr>
      <w:r w:rsidRPr="00DE7DBC">
        <w:rPr>
          <w:b/>
          <w:color w:val="000000"/>
          <w:lang w:val="en-GB"/>
        </w:rPr>
        <w:t>Second regular session 2020</w:t>
      </w:r>
    </w:p>
    <w:p w14:paraId="14362F67" w14:textId="397BFC54" w:rsidR="003D707C" w:rsidRPr="00DE7DBC" w:rsidRDefault="007A5EA7" w:rsidP="003D7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E7DBC">
        <w:rPr>
          <w:color w:val="000000"/>
          <w:lang w:val="en-GB"/>
        </w:rPr>
        <w:t xml:space="preserve">31 August </w:t>
      </w:r>
      <w:r>
        <w:rPr>
          <w:color w:val="000000"/>
          <w:lang w:val="en-GB"/>
        </w:rPr>
        <w:t>to</w:t>
      </w:r>
      <w:r w:rsidRPr="00DE7DBC">
        <w:rPr>
          <w:color w:val="000000"/>
          <w:lang w:val="en-GB"/>
        </w:rPr>
        <w:t xml:space="preserve"> 4 September 2020, New York</w:t>
      </w:r>
    </w:p>
    <w:p w14:paraId="7DC537FD" w14:textId="77777777" w:rsidR="003D707C" w:rsidRPr="00DE7DBC" w:rsidRDefault="003D707C" w:rsidP="003D7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E7DBC">
        <w:rPr>
          <w:color w:val="000000"/>
          <w:lang w:val="en-GB"/>
        </w:rPr>
        <w:t>Item x of the provisional agenda</w:t>
      </w:r>
    </w:p>
    <w:p w14:paraId="1201E03F" w14:textId="77777777" w:rsidR="003D707C" w:rsidRPr="00DE7DBC" w:rsidRDefault="003D707C" w:rsidP="003D707C">
      <w:pPr>
        <w:ind w:right="1260"/>
        <w:rPr>
          <w:b/>
          <w:color w:val="000000"/>
          <w:lang w:val="en-GB"/>
        </w:rPr>
      </w:pPr>
      <w:r w:rsidRPr="00DE7DBC">
        <w:rPr>
          <w:b/>
          <w:color w:val="000000"/>
          <w:lang w:val="en-GB"/>
        </w:rPr>
        <w:t>Country programmes and related matters</w:t>
      </w:r>
    </w:p>
    <w:p w14:paraId="6D0483C3" w14:textId="77777777" w:rsidR="003D707C" w:rsidRPr="00DE7DBC" w:rsidRDefault="003D707C" w:rsidP="003D70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613FB67D" w14:textId="77777777" w:rsidR="003D707C" w:rsidRPr="00DE7DBC" w:rsidRDefault="003D707C" w:rsidP="003D70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6448D3EB" w14:textId="191FF9B4" w:rsidR="003D707C" w:rsidRPr="00DE7DBC" w:rsidRDefault="003D707C" w:rsidP="00E539D3">
      <w:pPr>
        <w:pStyle w:val="HCh"/>
        <w:tabs>
          <w:tab w:val="left" w:pos="360"/>
          <w:tab w:val="right" w:pos="1022"/>
          <w:tab w:val="left" w:pos="1742"/>
          <w:tab w:val="left" w:pos="2218"/>
          <w:tab w:val="left" w:pos="2693"/>
          <w:tab w:val="left" w:pos="3182"/>
          <w:tab w:val="left" w:pos="3658"/>
          <w:tab w:val="left" w:pos="4133"/>
          <w:tab w:val="left" w:pos="4622"/>
          <w:tab w:val="left" w:pos="5098"/>
          <w:tab w:val="left" w:pos="5573"/>
          <w:tab w:val="left" w:pos="6048"/>
        </w:tabs>
        <w:ind w:left="360" w:right="40"/>
        <w:rPr>
          <w:color w:val="000000"/>
        </w:rPr>
      </w:pPr>
      <w:r w:rsidRPr="00DE7DBC">
        <w:rPr>
          <w:color w:val="000000"/>
        </w:rPr>
        <w:t>Draft country programme document for Bosnia and Herzegovina</w:t>
      </w:r>
      <w:r w:rsidR="00DE7DBC">
        <w:rPr>
          <w:color w:val="000000"/>
        </w:rPr>
        <w:t xml:space="preserve"> </w:t>
      </w:r>
      <w:r w:rsidRPr="00DE7DBC">
        <w:rPr>
          <w:color w:val="000000"/>
        </w:rPr>
        <w:t>(2021-2025)</w:t>
      </w:r>
    </w:p>
    <w:p w14:paraId="58F6B789" w14:textId="77777777" w:rsidR="003D707C" w:rsidRPr="00DE7DBC" w:rsidRDefault="003D707C" w:rsidP="003D707C">
      <w:pPr>
        <w:pStyle w:val="HCh"/>
        <w:spacing w:after="120"/>
        <w:rPr>
          <w:b w:val="0"/>
          <w:color w:val="000000"/>
          <w:sz w:val="20"/>
        </w:rPr>
      </w:pPr>
      <w:r w:rsidRPr="00DE7DBC">
        <w:rPr>
          <w:b w:val="0"/>
          <w:color w:val="000000"/>
          <w:sz w:val="20"/>
        </w:rPr>
        <w:t xml:space="preserve"> </w:t>
      </w:r>
    </w:p>
    <w:p w14:paraId="0BEBE275" w14:textId="77777777" w:rsidR="003D707C" w:rsidRPr="00DE7DBC" w:rsidRDefault="003D707C" w:rsidP="003D70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DE7DBC">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3D707C" w:rsidRPr="00DE7DBC" w14:paraId="482AACB6" w14:textId="77777777" w:rsidTr="00157EE2">
        <w:tc>
          <w:tcPr>
            <w:tcW w:w="1060" w:type="dxa"/>
            <w:shd w:val="clear" w:color="auto" w:fill="auto"/>
          </w:tcPr>
          <w:p w14:paraId="735B5441" w14:textId="77777777" w:rsidR="003D707C" w:rsidRPr="00DE7DBC" w:rsidRDefault="003D707C" w:rsidP="00157EE2">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1BC32D5" w14:textId="77777777" w:rsidR="003D707C" w:rsidRPr="00DE7DBC" w:rsidRDefault="003D707C" w:rsidP="00157EE2">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7BF6DA89" w14:textId="77777777" w:rsidR="003D707C" w:rsidRPr="00DE7DBC" w:rsidRDefault="003D707C" w:rsidP="00157EE2">
            <w:pPr>
              <w:tabs>
                <w:tab w:val="left" w:pos="1620"/>
              </w:tabs>
              <w:suppressAutoHyphens/>
              <w:spacing w:after="120"/>
              <w:jc w:val="right"/>
              <w:rPr>
                <w:i/>
                <w:color w:val="000000"/>
                <w:spacing w:val="4"/>
                <w:w w:val="103"/>
                <w:kern w:val="14"/>
                <w:sz w:val="14"/>
                <w:lang w:val="en-GB" w:eastAsia="fr-FR"/>
              </w:rPr>
            </w:pPr>
            <w:r w:rsidRPr="00DE7DBC">
              <w:rPr>
                <w:i/>
                <w:iCs/>
                <w:color w:val="000000"/>
                <w:kern w:val="14"/>
                <w:sz w:val="14"/>
                <w:lang w:val="en-GB" w:eastAsia="fr-FR"/>
              </w:rPr>
              <w:t>Page</w:t>
            </w:r>
          </w:p>
        </w:tc>
      </w:tr>
      <w:tr w:rsidR="003D707C" w:rsidRPr="00DE7DBC" w14:paraId="410D0A14" w14:textId="77777777" w:rsidTr="00157EE2">
        <w:tc>
          <w:tcPr>
            <w:tcW w:w="9540" w:type="dxa"/>
            <w:gridSpan w:val="3"/>
            <w:shd w:val="clear" w:color="auto" w:fill="auto"/>
          </w:tcPr>
          <w:p w14:paraId="28308E2C" w14:textId="32FD4112" w:rsidR="003D707C" w:rsidRPr="00DE7DBC" w:rsidRDefault="003D707C" w:rsidP="00C82662">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E7DBC">
              <w:rPr>
                <w:color w:val="000000"/>
                <w:kern w:val="14"/>
                <w:lang w:val="en-GB" w:eastAsia="fr-FR"/>
              </w:rPr>
              <w:tab/>
              <w:t xml:space="preserve">UNDP within the United Nations Sustainable </w:t>
            </w:r>
            <w:r w:rsidR="00FB08E5" w:rsidRPr="00DE7DBC">
              <w:rPr>
                <w:color w:val="000000"/>
                <w:kern w:val="14"/>
                <w:lang w:val="en-GB" w:eastAsia="fr-FR"/>
              </w:rPr>
              <w:t xml:space="preserve">Development </w:t>
            </w:r>
            <w:r w:rsidRPr="00DE7DBC">
              <w:rPr>
                <w:color w:val="000000"/>
                <w:kern w:val="14"/>
                <w:lang w:val="en-GB" w:eastAsia="fr-FR"/>
              </w:rPr>
              <w:t>Cooperation Framework</w:t>
            </w:r>
            <w:r w:rsidRPr="00DE7DBC">
              <w:rPr>
                <w:color w:val="000000"/>
                <w:sz w:val="24"/>
                <w:szCs w:val="24"/>
                <w:lang w:val="en-GB" w:eastAsia="fr-FR"/>
              </w:rPr>
              <w:tab/>
            </w:r>
          </w:p>
        </w:tc>
        <w:tc>
          <w:tcPr>
            <w:tcW w:w="362" w:type="dxa"/>
            <w:vMerge w:val="restart"/>
            <w:shd w:val="clear" w:color="auto" w:fill="auto"/>
            <w:vAlign w:val="bottom"/>
          </w:tcPr>
          <w:p w14:paraId="69CAEF78" w14:textId="77777777" w:rsidR="003D707C" w:rsidRPr="00DE7DBC" w:rsidRDefault="003D707C" w:rsidP="00157EE2">
            <w:pPr>
              <w:tabs>
                <w:tab w:val="left" w:pos="1620"/>
              </w:tabs>
              <w:suppressAutoHyphens/>
              <w:spacing w:after="120" w:line="240" w:lineRule="exact"/>
              <w:jc w:val="right"/>
              <w:rPr>
                <w:color w:val="000000"/>
                <w:spacing w:val="4"/>
                <w:w w:val="103"/>
                <w:kern w:val="14"/>
                <w:lang w:val="en-GB" w:eastAsia="fr-FR"/>
              </w:rPr>
            </w:pPr>
            <w:r w:rsidRPr="00DE7DBC">
              <w:rPr>
                <w:color w:val="000000"/>
                <w:kern w:val="14"/>
                <w:lang w:val="en-GB" w:eastAsia="fr-FR"/>
              </w:rPr>
              <w:t>2</w:t>
            </w:r>
          </w:p>
          <w:p w14:paraId="2951C55B" w14:textId="77777777" w:rsidR="003D707C" w:rsidRPr="00DE7DBC" w:rsidRDefault="003D707C" w:rsidP="00157EE2">
            <w:pPr>
              <w:tabs>
                <w:tab w:val="left" w:pos="1620"/>
              </w:tabs>
              <w:suppressAutoHyphens/>
              <w:spacing w:after="120" w:line="240" w:lineRule="exact"/>
              <w:jc w:val="right"/>
              <w:rPr>
                <w:color w:val="000000"/>
                <w:spacing w:val="4"/>
                <w:w w:val="103"/>
                <w:kern w:val="14"/>
                <w:lang w:val="en-GB" w:eastAsia="fr-FR"/>
              </w:rPr>
            </w:pPr>
            <w:r w:rsidRPr="00DE7DBC">
              <w:rPr>
                <w:color w:val="000000"/>
                <w:kern w:val="14"/>
                <w:lang w:val="en-GB" w:eastAsia="fr-FR"/>
              </w:rPr>
              <w:t>4</w:t>
            </w:r>
          </w:p>
        </w:tc>
      </w:tr>
      <w:tr w:rsidR="003D707C" w:rsidRPr="00DE7DBC" w14:paraId="62A836C0" w14:textId="77777777" w:rsidTr="00157EE2">
        <w:tc>
          <w:tcPr>
            <w:tcW w:w="9540" w:type="dxa"/>
            <w:gridSpan w:val="3"/>
            <w:shd w:val="clear" w:color="auto" w:fill="auto"/>
          </w:tcPr>
          <w:p w14:paraId="2C4868D3" w14:textId="77777777" w:rsidR="003D707C" w:rsidRPr="00DE7DBC" w:rsidRDefault="003D707C" w:rsidP="00C82662">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E7DBC">
              <w:rPr>
                <w:color w:val="000000"/>
                <w:kern w:val="14"/>
                <w:lang w:val="en-GB" w:eastAsia="fr-FR"/>
              </w:rPr>
              <w:tab/>
              <w:t>Programme priorities and partnerships</w:t>
            </w:r>
            <w:r w:rsidRPr="00DE7DBC">
              <w:rPr>
                <w:color w:val="000000"/>
                <w:lang w:val="en-GB" w:eastAsia="fr-FR"/>
              </w:rPr>
              <w:t>………………………………………………….</w:t>
            </w:r>
            <w:r w:rsidRPr="00DE7DBC">
              <w:rPr>
                <w:color w:val="000000"/>
                <w:lang w:val="en-GB" w:eastAsia="fr-FR"/>
              </w:rPr>
              <w:tab/>
              <w:t>……….…</w:t>
            </w:r>
          </w:p>
        </w:tc>
        <w:tc>
          <w:tcPr>
            <w:tcW w:w="362" w:type="dxa"/>
            <w:vMerge/>
            <w:shd w:val="clear" w:color="auto" w:fill="auto"/>
            <w:vAlign w:val="bottom"/>
          </w:tcPr>
          <w:p w14:paraId="70EA2C09" w14:textId="77777777" w:rsidR="003D707C" w:rsidRPr="00DE7DBC" w:rsidRDefault="003D707C" w:rsidP="00157EE2">
            <w:pPr>
              <w:tabs>
                <w:tab w:val="left" w:pos="1620"/>
              </w:tabs>
              <w:suppressAutoHyphens/>
              <w:spacing w:after="120" w:line="240" w:lineRule="exact"/>
              <w:jc w:val="right"/>
              <w:rPr>
                <w:color w:val="000000"/>
                <w:spacing w:val="4"/>
                <w:w w:val="103"/>
                <w:kern w:val="14"/>
                <w:lang w:val="en-GB" w:eastAsia="fr-FR"/>
              </w:rPr>
            </w:pPr>
          </w:p>
        </w:tc>
      </w:tr>
      <w:tr w:rsidR="003D707C" w:rsidRPr="00DE7DBC" w14:paraId="0F792867" w14:textId="77777777" w:rsidTr="00157EE2">
        <w:tc>
          <w:tcPr>
            <w:tcW w:w="9540" w:type="dxa"/>
            <w:gridSpan w:val="3"/>
            <w:shd w:val="clear" w:color="auto" w:fill="auto"/>
          </w:tcPr>
          <w:p w14:paraId="6A4949BA" w14:textId="77777777" w:rsidR="003D707C" w:rsidRPr="00DE7DBC" w:rsidRDefault="003D707C" w:rsidP="00C82662">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E7DBC">
              <w:rPr>
                <w:color w:val="000000"/>
                <w:kern w:val="14"/>
                <w:lang w:val="en-GB" w:eastAsia="fr-FR"/>
              </w:rPr>
              <w:tab/>
              <w:t>Programme and risk management</w:t>
            </w:r>
            <w:r w:rsidRPr="00DE7DBC">
              <w:rPr>
                <w:color w:val="000000"/>
                <w:sz w:val="24"/>
                <w:szCs w:val="24"/>
                <w:lang w:val="en-GB" w:eastAsia="fr-FR"/>
              </w:rPr>
              <w:tab/>
            </w:r>
          </w:p>
        </w:tc>
        <w:tc>
          <w:tcPr>
            <w:tcW w:w="362" w:type="dxa"/>
            <w:vMerge w:val="restart"/>
            <w:shd w:val="clear" w:color="auto" w:fill="auto"/>
            <w:vAlign w:val="bottom"/>
          </w:tcPr>
          <w:p w14:paraId="189E4694" w14:textId="521AABC9" w:rsidR="003D707C" w:rsidRPr="00DE7DBC" w:rsidRDefault="00816968" w:rsidP="00157EE2">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0B0665B9" w14:textId="17F9D6E3" w:rsidR="003D707C" w:rsidRPr="00DE7DBC" w:rsidRDefault="00816968" w:rsidP="00157EE2">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3D707C" w:rsidRPr="00DE7DBC" w14:paraId="45995504" w14:textId="77777777" w:rsidTr="00157EE2">
        <w:tc>
          <w:tcPr>
            <w:tcW w:w="9540" w:type="dxa"/>
            <w:gridSpan w:val="3"/>
            <w:shd w:val="clear" w:color="auto" w:fill="auto"/>
          </w:tcPr>
          <w:p w14:paraId="360FA1C1" w14:textId="77777777" w:rsidR="003D707C" w:rsidRPr="00DE7DBC" w:rsidRDefault="003D707C" w:rsidP="00C82662">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E7DBC">
              <w:rPr>
                <w:color w:val="000000"/>
                <w:kern w:val="14"/>
                <w:lang w:val="en-GB" w:eastAsia="fr-FR"/>
              </w:rPr>
              <w:tab/>
              <w:t>Monitoring and evaluation</w:t>
            </w:r>
            <w:r w:rsidRPr="00DE7DBC">
              <w:rPr>
                <w:color w:val="000000"/>
                <w:sz w:val="24"/>
                <w:szCs w:val="24"/>
                <w:lang w:val="en-GB" w:eastAsia="fr-FR"/>
              </w:rPr>
              <w:tab/>
            </w:r>
            <w:r w:rsidRPr="00DE7DBC">
              <w:rPr>
                <w:color w:val="000000"/>
                <w:lang w:val="en-GB" w:eastAsia="fr-FR"/>
              </w:rPr>
              <w:t>…………………………………………………….……………………</w:t>
            </w:r>
          </w:p>
        </w:tc>
        <w:tc>
          <w:tcPr>
            <w:tcW w:w="362" w:type="dxa"/>
            <w:vMerge/>
            <w:shd w:val="clear" w:color="auto" w:fill="auto"/>
            <w:vAlign w:val="bottom"/>
          </w:tcPr>
          <w:p w14:paraId="10BD34A5" w14:textId="77777777" w:rsidR="003D707C" w:rsidRPr="00DE7DBC" w:rsidRDefault="003D707C" w:rsidP="00157EE2">
            <w:pPr>
              <w:tabs>
                <w:tab w:val="left" w:pos="1620"/>
              </w:tabs>
              <w:suppressAutoHyphens/>
              <w:spacing w:after="120" w:line="240" w:lineRule="exact"/>
              <w:jc w:val="right"/>
              <w:rPr>
                <w:color w:val="000000"/>
                <w:spacing w:val="4"/>
                <w:w w:val="103"/>
                <w:kern w:val="14"/>
                <w:lang w:val="en-GB" w:eastAsia="fr-FR"/>
              </w:rPr>
            </w:pPr>
          </w:p>
        </w:tc>
      </w:tr>
      <w:tr w:rsidR="003D707C" w:rsidRPr="00DE7DBC" w14:paraId="3747746C" w14:textId="77777777" w:rsidTr="00157EE2">
        <w:tc>
          <w:tcPr>
            <w:tcW w:w="9369" w:type="dxa"/>
            <w:gridSpan w:val="2"/>
            <w:shd w:val="clear" w:color="auto" w:fill="auto"/>
          </w:tcPr>
          <w:p w14:paraId="265F4156" w14:textId="77777777" w:rsidR="003D707C" w:rsidRPr="00DE7DBC" w:rsidRDefault="003D707C" w:rsidP="00157EE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E7DBC">
              <w:rPr>
                <w:color w:val="000000"/>
                <w:kern w:val="14"/>
                <w:lang w:val="en-GB" w:eastAsia="fr-FR"/>
              </w:rPr>
              <w:t>Annex</w:t>
            </w:r>
          </w:p>
        </w:tc>
        <w:tc>
          <w:tcPr>
            <w:tcW w:w="533" w:type="dxa"/>
            <w:gridSpan w:val="2"/>
            <w:shd w:val="clear" w:color="auto" w:fill="auto"/>
            <w:vAlign w:val="bottom"/>
          </w:tcPr>
          <w:p w14:paraId="2F5A53A4" w14:textId="77777777" w:rsidR="003D707C" w:rsidRPr="00DE7DBC" w:rsidRDefault="003D707C" w:rsidP="00157EE2">
            <w:pPr>
              <w:tabs>
                <w:tab w:val="left" w:pos="1620"/>
              </w:tabs>
              <w:suppressAutoHyphens/>
              <w:spacing w:after="120" w:line="240" w:lineRule="exact"/>
              <w:jc w:val="right"/>
              <w:rPr>
                <w:color w:val="000000"/>
                <w:spacing w:val="4"/>
                <w:w w:val="103"/>
                <w:kern w:val="14"/>
                <w:lang w:val="en-GB" w:eastAsia="fr-FR"/>
              </w:rPr>
            </w:pPr>
          </w:p>
        </w:tc>
      </w:tr>
      <w:tr w:rsidR="003D707C" w:rsidRPr="00DE7DBC" w14:paraId="2E6DF31C" w14:textId="77777777" w:rsidTr="00157EE2">
        <w:tc>
          <w:tcPr>
            <w:tcW w:w="9369" w:type="dxa"/>
            <w:gridSpan w:val="2"/>
            <w:shd w:val="clear" w:color="auto" w:fill="auto"/>
          </w:tcPr>
          <w:p w14:paraId="4B4A35C4" w14:textId="0DE47E99" w:rsidR="003D707C" w:rsidRPr="00DE7DBC" w:rsidRDefault="003D707C" w:rsidP="00157EE2">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DE7DBC">
              <w:rPr>
                <w:color w:val="000000"/>
                <w:kern w:val="14"/>
                <w:lang w:val="en-GB" w:eastAsia="fr-FR"/>
              </w:rPr>
              <w:t xml:space="preserve">Results and resources framework for </w:t>
            </w:r>
            <w:r w:rsidR="00FB08E5" w:rsidRPr="00DE7DBC">
              <w:rPr>
                <w:color w:val="000000"/>
                <w:kern w:val="14"/>
                <w:lang w:val="en-GB" w:eastAsia="fr-FR"/>
              </w:rPr>
              <w:t>Bosnia and Herzegovina</w:t>
            </w:r>
            <w:r w:rsidRPr="00DE7DBC">
              <w:rPr>
                <w:color w:val="000000"/>
                <w:kern w:val="14"/>
                <w:lang w:val="en-GB" w:eastAsia="fr-FR"/>
              </w:rPr>
              <w:t xml:space="preserve"> (2021-2025)</w:t>
            </w:r>
          </w:p>
        </w:tc>
        <w:tc>
          <w:tcPr>
            <w:tcW w:w="533" w:type="dxa"/>
            <w:gridSpan w:val="2"/>
            <w:shd w:val="clear" w:color="auto" w:fill="auto"/>
            <w:vAlign w:val="bottom"/>
          </w:tcPr>
          <w:p w14:paraId="78FD7492" w14:textId="77777777" w:rsidR="003D707C" w:rsidRPr="00DE7DBC" w:rsidRDefault="003D707C" w:rsidP="00157EE2">
            <w:pPr>
              <w:tabs>
                <w:tab w:val="left" w:pos="1620"/>
              </w:tabs>
              <w:suppressAutoHyphens/>
              <w:spacing w:after="120" w:line="240" w:lineRule="exact"/>
              <w:jc w:val="right"/>
              <w:rPr>
                <w:color w:val="000000"/>
                <w:spacing w:val="4"/>
                <w:w w:val="103"/>
                <w:kern w:val="14"/>
                <w:lang w:val="en-GB" w:eastAsia="fr-FR"/>
              </w:rPr>
            </w:pPr>
            <w:r w:rsidRPr="00DE7DBC">
              <w:rPr>
                <w:color w:val="000000"/>
                <w:kern w:val="14"/>
                <w:lang w:val="en-GB" w:eastAsia="fr-FR"/>
              </w:rPr>
              <w:t>9</w:t>
            </w:r>
          </w:p>
        </w:tc>
      </w:tr>
    </w:tbl>
    <w:p w14:paraId="403EA198" w14:textId="4F4D627F" w:rsidR="002574B8" w:rsidRPr="00DE7DBC" w:rsidRDefault="002574B8" w:rsidP="00FB08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DE7DBC">
        <w:rPr>
          <w:lang w:val="en-GB"/>
        </w:rPr>
        <w:br w:type="page"/>
      </w:r>
    </w:p>
    <w:p w14:paraId="2440D3D7" w14:textId="56915F18" w:rsidR="00A918A7" w:rsidRPr="00DE7DBC" w:rsidRDefault="007C2934" w:rsidP="00C82662">
      <w:pPr>
        <w:pStyle w:val="Heading2"/>
        <w:numPr>
          <w:ilvl w:val="0"/>
          <w:numId w:val="3"/>
        </w:numPr>
        <w:ind w:left="1260" w:right="1267" w:hanging="360"/>
        <w:jc w:val="both"/>
        <w:rPr>
          <w:rFonts w:ascii="Times New Roman" w:hAnsi="Times New Roman"/>
          <w:bCs/>
          <w:color w:val="000000"/>
          <w:sz w:val="24"/>
          <w:szCs w:val="24"/>
          <w:lang w:val="en-GB"/>
        </w:rPr>
      </w:pPr>
      <w:r w:rsidRPr="00DE7DBC">
        <w:rPr>
          <w:rFonts w:ascii="Times New Roman" w:hAnsi="Times New Roman"/>
          <w:bCs/>
          <w:color w:val="000000"/>
          <w:sz w:val="24"/>
          <w:szCs w:val="24"/>
          <w:lang w:val="en-GB"/>
        </w:rPr>
        <w:lastRenderedPageBreak/>
        <w:t xml:space="preserve">UNDP </w:t>
      </w:r>
      <w:r w:rsidR="00363EED" w:rsidRPr="00DE7DBC">
        <w:rPr>
          <w:rFonts w:ascii="Times New Roman" w:hAnsi="Times New Roman"/>
          <w:bCs/>
          <w:color w:val="000000"/>
          <w:sz w:val="24"/>
          <w:szCs w:val="24"/>
          <w:lang w:val="en-GB"/>
        </w:rPr>
        <w:t>within the</w:t>
      </w:r>
      <w:r w:rsidRPr="00DE7DBC">
        <w:rPr>
          <w:rFonts w:ascii="Times New Roman" w:hAnsi="Times New Roman"/>
          <w:bCs/>
          <w:color w:val="000000"/>
          <w:sz w:val="24"/>
          <w:szCs w:val="24"/>
          <w:lang w:val="en-GB"/>
        </w:rPr>
        <w:t xml:space="preserve"> </w:t>
      </w:r>
      <w:r w:rsidR="00423160" w:rsidRPr="00DE7DBC">
        <w:rPr>
          <w:rFonts w:ascii="Times New Roman" w:hAnsi="Times New Roman"/>
          <w:bCs/>
          <w:color w:val="000000"/>
          <w:sz w:val="24"/>
          <w:szCs w:val="24"/>
          <w:lang w:val="en-GB"/>
        </w:rPr>
        <w:t xml:space="preserve">United Nations Sustainable Development </w:t>
      </w:r>
      <w:r w:rsidR="0049255A" w:rsidRPr="00DE7DBC">
        <w:rPr>
          <w:rFonts w:ascii="Times New Roman" w:hAnsi="Times New Roman"/>
          <w:bCs/>
          <w:color w:val="000000"/>
          <w:sz w:val="24"/>
          <w:szCs w:val="24"/>
          <w:lang w:val="en-GB"/>
        </w:rPr>
        <w:t>Cooper</w:t>
      </w:r>
      <w:r w:rsidR="0067557E" w:rsidRPr="00DE7DBC">
        <w:rPr>
          <w:rFonts w:ascii="Times New Roman" w:hAnsi="Times New Roman"/>
          <w:bCs/>
          <w:color w:val="000000"/>
          <w:sz w:val="24"/>
          <w:szCs w:val="24"/>
          <w:lang w:val="en-GB"/>
        </w:rPr>
        <w:t>ation Framework</w:t>
      </w:r>
    </w:p>
    <w:p w14:paraId="7910FD0C" w14:textId="77777777" w:rsidR="007026CB" w:rsidRPr="00DE7DBC" w:rsidRDefault="007026CB" w:rsidP="007026CB">
      <w:pPr>
        <w:ind w:left="1260" w:right="1210"/>
        <w:jc w:val="both"/>
        <w:rPr>
          <w:lang w:val="en-GB"/>
        </w:rPr>
      </w:pPr>
    </w:p>
    <w:p w14:paraId="690A05E5" w14:textId="4BF763C3" w:rsidR="007E3F62" w:rsidRPr="00DE7DBC" w:rsidRDefault="0034740F" w:rsidP="006A5F9B">
      <w:pPr>
        <w:numPr>
          <w:ilvl w:val="0"/>
          <w:numId w:val="1"/>
        </w:numPr>
        <w:spacing w:after="120"/>
        <w:ind w:left="1267" w:right="1210" w:firstLine="0"/>
        <w:jc w:val="both"/>
        <w:rPr>
          <w:spacing w:val="-4"/>
          <w:lang w:val="en-GB"/>
        </w:rPr>
      </w:pPr>
      <w:r w:rsidRPr="00DE7DBC">
        <w:rPr>
          <w:lang w:val="en-GB"/>
        </w:rPr>
        <w:t xml:space="preserve">Bosnia and Herzegovina is an upper middle-income country in </w:t>
      </w:r>
      <w:r w:rsidR="00DE7DBC">
        <w:rPr>
          <w:lang w:val="en-GB"/>
        </w:rPr>
        <w:t>s</w:t>
      </w:r>
      <w:r w:rsidRPr="00DE7DBC">
        <w:rPr>
          <w:lang w:val="en-GB"/>
        </w:rPr>
        <w:t>outheast Europe with a population of about 3.5 million</w:t>
      </w:r>
      <w:r w:rsidR="00DE7DBC">
        <w:rPr>
          <w:lang w:val="en-GB"/>
        </w:rPr>
        <w:t>.</w:t>
      </w:r>
      <w:r w:rsidRPr="00DE7DBC">
        <w:rPr>
          <w:rStyle w:val="FootnoteReference"/>
          <w:lang w:val="en-GB"/>
        </w:rPr>
        <w:footnoteReference w:id="1"/>
      </w:r>
      <w:r w:rsidRPr="00DE7DBC">
        <w:rPr>
          <w:lang w:val="en-GB"/>
        </w:rPr>
        <w:t xml:space="preserve"> Accession to the European Union</w:t>
      </w:r>
      <w:r w:rsidR="00AD1407" w:rsidRPr="00DE7DBC">
        <w:rPr>
          <w:lang w:val="en-GB"/>
        </w:rPr>
        <w:t xml:space="preserve"> </w:t>
      </w:r>
      <w:r w:rsidRPr="00DE7DBC">
        <w:rPr>
          <w:lang w:val="en-GB"/>
        </w:rPr>
        <w:t xml:space="preserve">is an overarching priority. Over two decades after the signing of the </w:t>
      </w:r>
      <w:r w:rsidRPr="00DE7DBC">
        <w:rPr>
          <w:spacing w:val="-4"/>
          <w:lang w:val="en-GB"/>
        </w:rPr>
        <w:t xml:space="preserve">Dayton Peace Agreement, </w:t>
      </w:r>
      <w:r w:rsidR="00DE7DBC" w:rsidRPr="00DE7DBC">
        <w:rPr>
          <w:lang w:val="en-GB"/>
        </w:rPr>
        <w:t>European Union</w:t>
      </w:r>
      <w:r w:rsidR="00DE7DBC" w:rsidRPr="00DE7DBC" w:rsidDel="00DE7DBC">
        <w:rPr>
          <w:spacing w:val="-4"/>
          <w:lang w:val="en-GB"/>
        </w:rPr>
        <w:t xml:space="preserve"> </w:t>
      </w:r>
      <w:r w:rsidRPr="00DE7DBC">
        <w:rPr>
          <w:spacing w:val="-4"/>
          <w:lang w:val="en-GB"/>
        </w:rPr>
        <w:t xml:space="preserve">accession is constrained by limited reform progress </w:t>
      </w:r>
      <w:r w:rsidR="00DE7DBC">
        <w:rPr>
          <w:spacing w:val="-4"/>
          <w:lang w:val="en-GB"/>
        </w:rPr>
        <w:t xml:space="preserve">and </w:t>
      </w:r>
      <w:r w:rsidRPr="00DE7DBC">
        <w:rPr>
          <w:spacing w:val="-4"/>
          <w:lang w:val="en-GB"/>
        </w:rPr>
        <w:t xml:space="preserve">frequent institutional and political deadlocks that hamper public </w:t>
      </w:r>
      <w:r w:rsidR="002E35BB" w:rsidRPr="00DE7DBC">
        <w:rPr>
          <w:spacing w:val="-4"/>
          <w:lang w:val="en-GB"/>
        </w:rPr>
        <w:t xml:space="preserve">sector </w:t>
      </w:r>
      <w:r w:rsidRPr="00DE7DBC">
        <w:rPr>
          <w:spacing w:val="-4"/>
          <w:lang w:val="en-GB"/>
        </w:rPr>
        <w:t>performance and weaken citizens’ trust in government. Bosnia and Herzegovina continues to be a fragile state</w:t>
      </w:r>
      <w:r w:rsidR="00DE7DBC">
        <w:rPr>
          <w:spacing w:val="-4"/>
          <w:lang w:val="en-GB"/>
        </w:rPr>
        <w:t>.</w:t>
      </w:r>
      <w:r w:rsidRPr="00DE7DBC">
        <w:rPr>
          <w:rStyle w:val="FootnoteReference"/>
          <w:b/>
          <w:bCs/>
          <w:lang w:val="en-GB"/>
        </w:rPr>
        <w:footnoteReference w:id="2"/>
      </w:r>
      <w:r w:rsidR="003F72ED" w:rsidRPr="00DE7DBC">
        <w:rPr>
          <w:lang w:val="en-GB"/>
        </w:rPr>
        <w:t xml:space="preserve"> </w:t>
      </w:r>
      <w:r w:rsidRPr="00DE7DBC">
        <w:rPr>
          <w:lang w:val="en-GB"/>
        </w:rPr>
        <w:t xml:space="preserve">The </w:t>
      </w:r>
      <w:r w:rsidR="00DE7DBC">
        <w:rPr>
          <w:lang w:val="en-GB"/>
        </w:rPr>
        <w:t>o</w:t>
      </w:r>
      <w:r w:rsidRPr="00DE7DBC">
        <w:rPr>
          <w:lang w:val="en-GB"/>
        </w:rPr>
        <w:t xml:space="preserve">pinion on </w:t>
      </w:r>
      <w:r w:rsidR="00DE7DBC">
        <w:rPr>
          <w:lang w:val="en-GB"/>
        </w:rPr>
        <w:t xml:space="preserve">the </w:t>
      </w:r>
      <w:r w:rsidR="00DE7DBC" w:rsidRPr="00DE7DBC">
        <w:rPr>
          <w:lang w:val="en-GB"/>
        </w:rPr>
        <w:t>Bosnia and Herzegovina European Union</w:t>
      </w:r>
      <w:r w:rsidR="00DE7DBC" w:rsidRPr="00DE7DBC" w:rsidDel="00DE7DBC">
        <w:rPr>
          <w:lang w:val="en-GB"/>
        </w:rPr>
        <w:t xml:space="preserve"> </w:t>
      </w:r>
      <w:r w:rsidRPr="00DE7DBC">
        <w:rPr>
          <w:lang w:val="en-GB"/>
        </w:rPr>
        <w:t>membership application</w:t>
      </w:r>
      <w:r w:rsidRPr="00DE7DBC">
        <w:rPr>
          <w:vertAlign w:val="superscript"/>
          <w:lang w:val="en-GB"/>
        </w:rPr>
        <w:footnoteReference w:id="3"/>
      </w:r>
      <w:r w:rsidRPr="00DE7DBC">
        <w:rPr>
          <w:lang w:val="en-GB"/>
        </w:rPr>
        <w:t xml:space="preserve"> indicates the country </w:t>
      </w:r>
      <w:r w:rsidR="0019438A" w:rsidRPr="00DE7DBC">
        <w:rPr>
          <w:lang w:val="en-GB"/>
        </w:rPr>
        <w:t xml:space="preserve">needs to significantly step up the process to align with </w:t>
      </w:r>
      <w:r w:rsidR="00DE7DBC" w:rsidRPr="00DE7DBC">
        <w:rPr>
          <w:lang w:val="en-GB"/>
        </w:rPr>
        <w:t>European Union</w:t>
      </w:r>
      <w:r w:rsidR="00DE7DBC" w:rsidRPr="00DE7DBC" w:rsidDel="00DE7DBC">
        <w:rPr>
          <w:lang w:val="en-GB"/>
        </w:rPr>
        <w:t xml:space="preserve"> </w:t>
      </w:r>
      <w:r w:rsidR="0019438A" w:rsidRPr="00DE7DBC">
        <w:rPr>
          <w:lang w:val="en-GB"/>
        </w:rPr>
        <w:t>acquis and enforce related legislation.</w:t>
      </w:r>
      <w:r w:rsidR="004C348B" w:rsidRPr="00DE7DBC">
        <w:rPr>
          <w:lang w:val="en-GB"/>
        </w:rPr>
        <w:t xml:space="preserve"> </w:t>
      </w:r>
      <w:r w:rsidRPr="00DE7DBC">
        <w:rPr>
          <w:lang w:val="en-GB"/>
        </w:rPr>
        <w:t xml:space="preserve">Aside from a broad consensus for joining the </w:t>
      </w:r>
      <w:r w:rsidR="00DE7DBC" w:rsidRPr="00DE7DBC">
        <w:rPr>
          <w:lang w:val="en-GB"/>
        </w:rPr>
        <w:t>European Union</w:t>
      </w:r>
      <w:r w:rsidR="00DE7DBC">
        <w:rPr>
          <w:lang w:val="en-GB"/>
        </w:rPr>
        <w:t>,</w:t>
      </w:r>
      <w:r w:rsidRPr="00DE7DBC">
        <w:rPr>
          <w:vertAlign w:val="superscript"/>
          <w:lang w:val="en-GB"/>
        </w:rPr>
        <w:footnoteReference w:id="4"/>
      </w:r>
      <w:r w:rsidRPr="00DE7DBC">
        <w:rPr>
          <w:lang w:val="en-GB"/>
        </w:rPr>
        <w:t xml:space="preserve"> a shared vision for the</w:t>
      </w:r>
      <w:r w:rsidRPr="00DE7DBC">
        <w:rPr>
          <w:spacing w:val="-4"/>
          <w:lang w:val="en-GB"/>
        </w:rPr>
        <w:t xml:space="preserve"> country has been difficult to achieve. </w:t>
      </w:r>
      <w:r w:rsidR="007A5EA7" w:rsidRPr="00DE7DBC">
        <w:rPr>
          <w:spacing w:val="-4"/>
          <w:lang w:val="en-GB"/>
        </w:rPr>
        <w:t>However, with U</w:t>
      </w:r>
      <w:r w:rsidR="007A5EA7">
        <w:rPr>
          <w:spacing w:val="-4"/>
          <w:lang w:val="en-GB"/>
        </w:rPr>
        <w:t xml:space="preserve">nited </w:t>
      </w:r>
      <w:r w:rsidR="007A5EA7" w:rsidRPr="00DE7DBC">
        <w:rPr>
          <w:spacing w:val="-4"/>
          <w:lang w:val="en-GB"/>
        </w:rPr>
        <w:t>N</w:t>
      </w:r>
      <w:r w:rsidR="007A5EA7">
        <w:rPr>
          <w:spacing w:val="-4"/>
          <w:lang w:val="en-GB"/>
        </w:rPr>
        <w:t>ations</w:t>
      </w:r>
      <w:r w:rsidR="007A5EA7" w:rsidRPr="00DE7DBC">
        <w:rPr>
          <w:spacing w:val="-4"/>
          <w:lang w:val="en-GB"/>
        </w:rPr>
        <w:t xml:space="preserve"> support, authorities at all levels collaborate in the design of the Sustainable Development Goals Framework in Bosnia and Herzegovina, which offers a unique opportunity for a common sustainable development agenda.</w:t>
      </w:r>
    </w:p>
    <w:p w14:paraId="0125F8D0" w14:textId="55367D7E" w:rsidR="0034740F" w:rsidRPr="0096494E" w:rsidRDefault="0034740F" w:rsidP="00DE7DBC">
      <w:pPr>
        <w:pStyle w:val="ListParagraph"/>
        <w:numPr>
          <w:ilvl w:val="0"/>
          <w:numId w:val="1"/>
        </w:numPr>
        <w:autoSpaceDE w:val="0"/>
        <w:autoSpaceDN w:val="0"/>
        <w:adjustRightInd w:val="0"/>
        <w:spacing w:after="120"/>
        <w:ind w:left="1267" w:right="1202" w:firstLine="0"/>
        <w:jc w:val="both"/>
        <w:rPr>
          <w:lang w:val="en-GB"/>
        </w:rPr>
      </w:pPr>
      <w:r w:rsidRPr="0096494E">
        <w:rPr>
          <w:lang w:val="en-GB"/>
        </w:rPr>
        <w:t xml:space="preserve">The human development and economic development trends show vulnerability. The 2018 human development index </w:t>
      </w:r>
      <w:r w:rsidR="00DE7DBC" w:rsidRPr="0096494E">
        <w:rPr>
          <w:lang w:val="en-GB"/>
        </w:rPr>
        <w:t xml:space="preserve">was </w:t>
      </w:r>
      <w:r w:rsidRPr="0096494E">
        <w:rPr>
          <w:lang w:val="en-GB"/>
        </w:rPr>
        <w:t xml:space="preserve">0.769, placing the country in the high human development category. Of critical importance, the population is shrinking and ageing. Out-migration is an urgent challenge, representing a loss of young people and skilled workers upon which future sustainable development will depend: </w:t>
      </w:r>
      <w:r w:rsidR="00DE7DBC" w:rsidRPr="0096494E">
        <w:rPr>
          <w:lang w:val="en-GB"/>
        </w:rPr>
        <w:t xml:space="preserve">two </w:t>
      </w:r>
      <w:r w:rsidRPr="0096494E">
        <w:rPr>
          <w:lang w:val="en-GB"/>
        </w:rPr>
        <w:t>million citizens of Bosnia and Herzegovina are currently working or residing abroad</w:t>
      </w:r>
      <w:r w:rsidRPr="00DE7DBC">
        <w:rPr>
          <w:rStyle w:val="FootnoteReference"/>
          <w:lang w:val="en-GB"/>
        </w:rPr>
        <w:footnoteReference w:id="5"/>
      </w:r>
      <w:r w:rsidR="00DE7DBC">
        <w:rPr>
          <w:lang w:val="en-GB"/>
        </w:rPr>
        <w:t xml:space="preserve"> – </w:t>
      </w:r>
      <w:r w:rsidRPr="0096494E">
        <w:rPr>
          <w:lang w:val="en-GB"/>
        </w:rPr>
        <w:t xml:space="preserve">the highest share in the </w:t>
      </w:r>
      <w:r w:rsidR="00DE7DBC">
        <w:rPr>
          <w:lang w:val="en-GB"/>
        </w:rPr>
        <w:t>w</w:t>
      </w:r>
      <w:r w:rsidRPr="0096494E">
        <w:rPr>
          <w:lang w:val="en-GB"/>
        </w:rPr>
        <w:t>estern Balkans</w:t>
      </w:r>
      <w:r w:rsidRPr="00DE7DBC">
        <w:rPr>
          <w:rStyle w:val="FootnoteReference"/>
          <w:lang w:val="en-GB"/>
        </w:rPr>
        <w:footnoteReference w:id="6"/>
      </w:r>
      <w:r w:rsidRPr="0096494E">
        <w:rPr>
          <w:lang w:val="en-GB"/>
        </w:rPr>
        <w:t xml:space="preserve"> </w:t>
      </w:r>
      <w:r w:rsidR="00DE7DBC">
        <w:rPr>
          <w:lang w:val="en-GB"/>
        </w:rPr>
        <w:t>–</w:t>
      </w:r>
      <w:r w:rsidRPr="0096494E">
        <w:rPr>
          <w:lang w:val="en-GB"/>
        </w:rPr>
        <w:t xml:space="preserve"> and projections suggest the population could decline </w:t>
      </w:r>
      <w:r w:rsidR="00DE7DBC">
        <w:rPr>
          <w:lang w:val="en-GB"/>
        </w:rPr>
        <w:t xml:space="preserve">to </w:t>
      </w:r>
      <w:r w:rsidRPr="0096494E">
        <w:rPr>
          <w:lang w:val="en-GB"/>
        </w:rPr>
        <w:t>below 2.3 million by 2100</w:t>
      </w:r>
      <w:r w:rsidR="00DE7DBC">
        <w:rPr>
          <w:lang w:val="en-GB"/>
        </w:rPr>
        <w:t>.</w:t>
      </w:r>
      <w:r w:rsidRPr="00DE7DBC">
        <w:rPr>
          <w:rStyle w:val="FootnoteReference"/>
          <w:lang w:val="en-GB"/>
        </w:rPr>
        <w:footnoteReference w:id="7"/>
      </w:r>
      <w:r w:rsidRPr="0096494E">
        <w:rPr>
          <w:b/>
          <w:bCs/>
          <w:lang w:val="en-GB"/>
        </w:rPr>
        <w:t xml:space="preserve"> </w:t>
      </w:r>
      <w:r w:rsidRPr="0096494E">
        <w:rPr>
          <w:lang w:val="en-GB"/>
        </w:rPr>
        <w:t>Unemployment stands high at 15.7</w:t>
      </w:r>
      <w:r w:rsidR="00DE7DBC">
        <w:rPr>
          <w:lang w:val="en-GB"/>
        </w:rPr>
        <w:t xml:space="preserve"> per cent,</w:t>
      </w:r>
      <w:r w:rsidRPr="00DE7DBC">
        <w:rPr>
          <w:vertAlign w:val="superscript"/>
          <w:lang w:val="en-GB"/>
        </w:rPr>
        <w:footnoteReference w:id="8"/>
      </w:r>
      <w:r w:rsidRPr="0096494E">
        <w:rPr>
          <w:lang w:val="en-GB"/>
        </w:rPr>
        <w:t xml:space="preserve"> particularly among young people (47.3</w:t>
      </w:r>
      <w:r w:rsidR="00DE7DBC">
        <w:rPr>
          <w:lang w:val="en-GB"/>
        </w:rPr>
        <w:t xml:space="preserve"> per cent</w:t>
      </w:r>
      <w:r w:rsidRPr="0096494E">
        <w:rPr>
          <w:lang w:val="en-GB"/>
        </w:rPr>
        <w:t>), women, persons with disabilities, and Roma. A large proportion of the population, especially the elderly and the socially excluded, are trapped in hand-to-mouth existence, with some 18.9</w:t>
      </w:r>
      <w:r w:rsidR="00DE7DBC">
        <w:rPr>
          <w:lang w:val="en-GB"/>
        </w:rPr>
        <w:t xml:space="preserve"> per cent</w:t>
      </w:r>
      <w:r w:rsidRPr="0096494E">
        <w:rPr>
          <w:lang w:val="en-GB"/>
        </w:rPr>
        <w:t xml:space="preserve"> estimated to be living below the income poverty line</w:t>
      </w:r>
      <w:r w:rsidR="00DE7DBC">
        <w:rPr>
          <w:lang w:val="en-GB"/>
        </w:rPr>
        <w:t>.</w:t>
      </w:r>
      <w:r w:rsidRPr="00DE7DBC">
        <w:rPr>
          <w:vertAlign w:val="superscript"/>
          <w:lang w:val="en-GB"/>
        </w:rPr>
        <w:footnoteReference w:id="9"/>
      </w:r>
      <w:r w:rsidRPr="0096494E">
        <w:rPr>
          <w:lang w:val="en-GB"/>
        </w:rPr>
        <w:t xml:space="preserve"> The most obvious source of exclusion is belonging to an ethnic group different from the majority, followed by disability and sexual identity. The unemployed, the uneducated and older persons are highly excluded, while Roma represent the smallest excluded group</w:t>
      </w:r>
      <w:r w:rsidR="00DE7DBC">
        <w:rPr>
          <w:lang w:val="en-GB"/>
        </w:rPr>
        <w:t xml:space="preserve"> though historically they have experienced </w:t>
      </w:r>
      <w:r w:rsidRPr="00DE7DBC">
        <w:rPr>
          <w:lang w:val="en-GB"/>
        </w:rPr>
        <w:t>the highest degree of exclusion</w:t>
      </w:r>
      <w:r w:rsidR="00DE7DBC">
        <w:rPr>
          <w:lang w:val="en-GB"/>
        </w:rPr>
        <w:t xml:space="preserve"> </w:t>
      </w:r>
      <w:r w:rsidR="00DE7DBC" w:rsidRPr="00DE7DBC">
        <w:rPr>
          <w:lang w:val="en-GB"/>
        </w:rPr>
        <w:t>by far</w:t>
      </w:r>
      <w:r w:rsidR="00DE7DBC">
        <w:rPr>
          <w:lang w:val="en-GB"/>
        </w:rPr>
        <w:t>.</w:t>
      </w:r>
      <w:r w:rsidRPr="00DE7DBC">
        <w:rPr>
          <w:vertAlign w:val="superscript"/>
          <w:lang w:val="en-GB"/>
        </w:rPr>
        <w:footnoteReference w:id="10"/>
      </w:r>
    </w:p>
    <w:p w14:paraId="28C70799" w14:textId="06B16153"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Annual economic growth ranged from 3.1 to 3.5</w:t>
      </w:r>
      <w:r w:rsidR="00DE7DBC">
        <w:rPr>
          <w:lang w:val="en-GB"/>
        </w:rPr>
        <w:t xml:space="preserve"> per cent</w:t>
      </w:r>
      <w:r w:rsidRPr="00DE7DBC">
        <w:rPr>
          <w:lang w:val="en-GB"/>
        </w:rPr>
        <w:t xml:space="preserve"> between 2016-2019</w:t>
      </w:r>
      <w:r w:rsidR="00DE7DBC">
        <w:rPr>
          <w:lang w:val="en-GB"/>
        </w:rPr>
        <w:t>;</w:t>
      </w:r>
      <w:r w:rsidRPr="00DE7DBC">
        <w:rPr>
          <w:vertAlign w:val="superscript"/>
          <w:lang w:val="en-GB"/>
        </w:rPr>
        <w:footnoteReference w:id="11"/>
      </w:r>
      <w:r w:rsidRPr="00DE7DBC">
        <w:rPr>
          <w:lang w:val="en-GB"/>
        </w:rPr>
        <w:t xml:space="preserve"> in 2020</w:t>
      </w:r>
      <w:r w:rsidR="00DE7DBC">
        <w:rPr>
          <w:lang w:val="en-GB"/>
        </w:rPr>
        <w:t>,</w:t>
      </w:r>
      <w:r w:rsidRPr="00DE7DBC">
        <w:rPr>
          <w:lang w:val="en-GB"/>
        </w:rPr>
        <w:t xml:space="preserve"> </w:t>
      </w:r>
      <w:r w:rsidR="00DE7DBC">
        <w:rPr>
          <w:lang w:val="en-GB"/>
        </w:rPr>
        <w:t xml:space="preserve">this </w:t>
      </w:r>
      <w:r w:rsidRPr="00DE7DBC">
        <w:rPr>
          <w:lang w:val="en-GB"/>
        </w:rPr>
        <w:t>is expected to drop to -1.9</w:t>
      </w:r>
      <w:r w:rsidR="00DE7DBC">
        <w:rPr>
          <w:lang w:val="en-GB"/>
        </w:rPr>
        <w:t xml:space="preserve"> per cent owing to the </w:t>
      </w:r>
      <w:r w:rsidRPr="00DE7DBC">
        <w:rPr>
          <w:lang w:val="en-GB"/>
        </w:rPr>
        <w:t>COVID-19 crisis</w:t>
      </w:r>
      <w:r w:rsidR="00DE7DBC">
        <w:rPr>
          <w:lang w:val="en-GB"/>
        </w:rPr>
        <w:t>.</w:t>
      </w:r>
      <w:r w:rsidRPr="00DE7DBC">
        <w:rPr>
          <w:rStyle w:val="FootnoteReference"/>
          <w:lang w:val="en-GB"/>
        </w:rPr>
        <w:footnoteReference w:id="12"/>
      </w:r>
      <w:r w:rsidRPr="00DE7DBC">
        <w:rPr>
          <w:lang w:val="en-GB"/>
        </w:rPr>
        <w:t xml:space="preserve"> To be stronger and more competitive, the economy requires better infrastructure and </w:t>
      </w:r>
      <w:r w:rsidR="00DE7DBC">
        <w:rPr>
          <w:lang w:val="en-GB"/>
        </w:rPr>
        <w:t xml:space="preserve">a </w:t>
      </w:r>
      <w:r w:rsidRPr="00DE7DBC">
        <w:rPr>
          <w:lang w:val="en-GB"/>
        </w:rPr>
        <w:t xml:space="preserve">better policy and investment environment for private sector growth. The economy displays </w:t>
      </w:r>
      <w:r w:rsidR="00DE7DBC">
        <w:rPr>
          <w:lang w:val="en-GB"/>
        </w:rPr>
        <w:t xml:space="preserve">a </w:t>
      </w:r>
      <w:r w:rsidRPr="00DE7DBC">
        <w:rPr>
          <w:lang w:val="en-GB"/>
        </w:rPr>
        <w:t xml:space="preserve">high </w:t>
      </w:r>
      <w:r w:rsidR="00DE7DBC">
        <w:rPr>
          <w:lang w:val="en-GB"/>
        </w:rPr>
        <w:t xml:space="preserve">level of </w:t>
      </w:r>
      <w:r w:rsidRPr="00DE7DBC">
        <w:rPr>
          <w:lang w:val="en-GB"/>
        </w:rPr>
        <w:t xml:space="preserve">carbon and energy intensity: carbon dioxide emissions </w:t>
      </w:r>
      <w:r w:rsidR="00DE7DBC">
        <w:rPr>
          <w:lang w:val="en-GB"/>
        </w:rPr>
        <w:t xml:space="preserve">currently </w:t>
      </w:r>
      <w:r w:rsidRPr="00DE7DBC">
        <w:rPr>
          <w:lang w:val="en-GB"/>
        </w:rPr>
        <w:t>amount to 25,539 Mt CO</w:t>
      </w:r>
      <w:r w:rsidRPr="00DE7DBC">
        <w:rPr>
          <w:vertAlign w:val="subscript"/>
          <w:lang w:val="en-GB"/>
        </w:rPr>
        <w:t>2</w:t>
      </w:r>
      <w:r w:rsidRPr="00DE7DBC">
        <w:rPr>
          <w:lang w:val="en-GB"/>
        </w:rPr>
        <w:t xml:space="preserve">, with </w:t>
      </w:r>
      <w:r w:rsidR="00DE7DBC">
        <w:rPr>
          <w:lang w:val="en-GB"/>
        </w:rPr>
        <w:t xml:space="preserve">the </w:t>
      </w:r>
      <w:r w:rsidRPr="00DE7DBC">
        <w:rPr>
          <w:lang w:val="en-GB"/>
        </w:rPr>
        <w:t>energy sector, agriculture, industrial processes and waste the largest sources of CO</w:t>
      </w:r>
      <w:r w:rsidRPr="00DE7DBC">
        <w:rPr>
          <w:vertAlign w:val="subscript"/>
          <w:lang w:val="en-GB"/>
        </w:rPr>
        <w:t>2</w:t>
      </w:r>
      <w:r w:rsidRPr="00DE7DBC">
        <w:rPr>
          <w:lang w:val="en-GB"/>
        </w:rPr>
        <w:t xml:space="preserve"> emission.</w:t>
      </w:r>
    </w:p>
    <w:p w14:paraId="767B4FB9" w14:textId="27846054"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High energy inefficiency contributes to the highest air pollution in Europe</w:t>
      </w:r>
      <w:r w:rsidR="00DE7DBC">
        <w:rPr>
          <w:lang w:val="en-GB"/>
        </w:rPr>
        <w:t>,</w:t>
      </w:r>
      <w:r w:rsidR="00E95B7C" w:rsidRPr="00DE7DBC">
        <w:rPr>
          <w:rStyle w:val="FootnoteReference"/>
          <w:lang w:val="en-GB"/>
        </w:rPr>
        <w:footnoteReference w:id="13"/>
      </w:r>
      <w:r w:rsidRPr="00DE7DBC">
        <w:rPr>
          <w:lang w:val="en-GB"/>
        </w:rPr>
        <w:t xml:space="preserve"> which causes one of the highest average mortality rates by air pollution in the world. Cities </w:t>
      </w:r>
      <w:r w:rsidR="00DE7DBC">
        <w:rPr>
          <w:lang w:val="en-GB"/>
        </w:rPr>
        <w:t xml:space="preserve">are </w:t>
      </w:r>
      <w:r w:rsidRPr="00DE7DBC">
        <w:rPr>
          <w:lang w:val="en-GB"/>
        </w:rPr>
        <w:t>fail</w:t>
      </w:r>
      <w:r w:rsidR="00DE7DBC">
        <w:rPr>
          <w:lang w:val="en-GB"/>
        </w:rPr>
        <w:t>ing</w:t>
      </w:r>
      <w:r w:rsidRPr="00DE7DBC">
        <w:rPr>
          <w:lang w:val="en-GB"/>
        </w:rPr>
        <w:t xml:space="preserve"> to </w:t>
      </w:r>
      <w:r w:rsidRPr="00DE7DBC">
        <w:rPr>
          <w:lang w:val="en-GB"/>
        </w:rPr>
        <w:lastRenderedPageBreak/>
        <w:t>cope with challenges associated with climate change, higher demand for public services and shrinking public budgets, which affects quality of life for nearly 50</w:t>
      </w:r>
      <w:r w:rsidR="00DE7DBC">
        <w:rPr>
          <w:lang w:val="en-GB"/>
        </w:rPr>
        <w:t xml:space="preserve"> per cent</w:t>
      </w:r>
      <w:r w:rsidRPr="00DE7DBC">
        <w:rPr>
          <w:lang w:val="en-GB"/>
        </w:rPr>
        <w:t xml:space="preserve"> of the population. </w:t>
      </w:r>
    </w:p>
    <w:p w14:paraId="73AE5B10" w14:textId="24523AB5"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 xml:space="preserve">Natural and </w:t>
      </w:r>
      <w:r w:rsidR="00DE7DBC">
        <w:rPr>
          <w:lang w:val="en-GB"/>
        </w:rPr>
        <w:t xml:space="preserve">human-induced </w:t>
      </w:r>
      <w:r w:rsidRPr="00DE7DBC">
        <w:rPr>
          <w:lang w:val="en-GB"/>
        </w:rPr>
        <w:t>hazards represent another aspect of vulnerability, with poor people, women, persons with disabilities, elderly, minorities and farmers being most at risk. Landmines still contaminate 2.1</w:t>
      </w:r>
      <w:r w:rsidR="00C719EA">
        <w:rPr>
          <w:lang w:val="en-GB"/>
        </w:rPr>
        <w:t xml:space="preserve"> per cent</w:t>
      </w:r>
      <w:r w:rsidRPr="00DE7DBC">
        <w:rPr>
          <w:lang w:val="en-GB"/>
        </w:rPr>
        <w:t xml:space="preserve"> of the territory</w:t>
      </w:r>
      <w:r w:rsidR="00611EE4">
        <w:rPr>
          <w:lang w:val="en-GB"/>
        </w:rPr>
        <w:t>,</w:t>
      </w:r>
      <w:r w:rsidR="002D1E5A" w:rsidRPr="00DE7DBC">
        <w:rPr>
          <w:rStyle w:val="FootnoteReference"/>
          <w:lang w:val="en-GB"/>
        </w:rPr>
        <w:footnoteReference w:id="14"/>
      </w:r>
      <w:r w:rsidRPr="00DE7DBC">
        <w:rPr>
          <w:lang w:val="en-GB"/>
        </w:rPr>
        <w:t xml:space="preserve"> affecting more than 500,000 people, while there are 5,000 tons of ammunition surplus. Capacities to effectively </w:t>
      </w:r>
      <w:r w:rsidR="00611EE4" w:rsidRPr="00DE7DBC">
        <w:rPr>
          <w:lang w:val="en-GB"/>
        </w:rPr>
        <w:t xml:space="preserve">address </w:t>
      </w:r>
      <w:r w:rsidRPr="00DE7DBC">
        <w:rPr>
          <w:lang w:val="en-GB"/>
        </w:rPr>
        <w:t>hazards and cris</w:t>
      </w:r>
      <w:r w:rsidR="00611EE4">
        <w:rPr>
          <w:lang w:val="en-GB"/>
        </w:rPr>
        <w:t>e</w:t>
      </w:r>
      <w:r w:rsidRPr="00DE7DBC">
        <w:rPr>
          <w:lang w:val="en-GB"/>
        </w:rPr>
        <w:t xml:space="preserve">s need to be further strengthened, as was confirmed during the COVID-19 </w:t>
      </w:r>
      <w:r w:rsidR="00611EE4">
        <w:rPr>
          <w:lang w:val="en-GB"/>
        </w:rPr>
        <w:t>pandemic</w:t>
      </w:r>
      <w:r w:rsidRPr="00DE7DBC">
        <w:rPr>
          <w:lang w:val="en-GB"/>
        </w:rPr>
        <w:t>.</w:t>
      </w:r>
    </w:p>
    <w:p w14:paraId="02E857CC" w14:textId="13B748F0"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Responding to the country</w:t>
      </w:r>
      <w:r w:rsidR="00611EE4">
        <w:rPr>
          <w:lang w:val="en-GB"/>
        </w:rPr>
        <w:t>’s</w:t>
      </w:r>
      <w:r w:rsidRPr="00DE7DBC">
        <w:rPr>
          <w:lang w:val="en-GB"/>
        </w:rPr>
        <w:t xml:space="preserve"> priorities, the new U</w:t>
      </w:r>
      <w:r w:rsidR="00611EE4">
        <w:rPr>
          <w:lang w:val="en-GB"/>
        </w:rPr>
        <w:t xml:space="preserve">nited </w:t>
      </w:r>
      <w:r w:rsidRPr="00DE7DBC">
        <w:rPr>
          <w:lang w:val="en-GB"/>
        </w:rPr>
        <w:t>N</w:t>
      </w:r>
      <w:r w:rsidR="00611EE4">
        <w:rPr>
          <w:lang w:val="en-GB"/>
        </w:rPr>
        <w:t>ations</w:t>
      </w:r>
      <w:r w:rsidRPr="00DE7DBC">
        <w:rPr>
          <w:lang w:val="en-GB"/>
        </w:rPr>
        <w:t xml:space="preserve"> Sustainable Development Cooperation Framework for Bosnia and Herzegovina</w:t>
      </w:r>
      <w:r w:rsidR="00611EE4">
        <w:rPr>
          <w:lang w:val="en-GB"/>
        </w:rPr>
        <w:t xml:space="preserve">, </w:t>
      </w:r>
      <w:r w:rsidRPr="00DE7DBC">
        <w:rPr>
          <w:lang w:val="en-GB"/>
        </w:rPr>
        <w:t>2021-2025</w:t>
      </w:r>
      <w:r w:rsidR="00611EE4">
        <w:rPr>
          <w:lang w:val="en-GB"/>
        </w:rPr>
        <w:t>,</w:t>
      </w:r>
      <w:r w:rsidRPr="00DE7DBC">
        <w:rPr>
          <w:lang w:val="en-GB"/>
        </w:rPr>
        <w:t xml:space="preserve"> represents a single coherent framework for policy advice, advocacy, stronger coordination and delivery of results by the U</w:t>
      </w:r>
      <w:r w:rsidR="00534E4B">
        <w:rPr>
          <w:lang w:val="en-GB"/>
        </w:rPr>
        <w:t xml:space="preserve">nited </w:t>
      </w:r>
      <w:r w:rsidRPr="00DE7DBC">
        <w:rPr>
          <w:lang w:val="en-GB"/>
        </w:rPr>
        <w:t>N</w:t>
      </w:r>
      <w:r w:rsidR="00534E4B">
        <w:rPr>
          <w:lang w:val="en-GB"/>
        </w:rPr>
        <w:t>ations</w:t>
      </w:r>
      <w:r w:rsidRPr="00DE7DBC">
        <w:rPr>
          <w:lang w:val="en-GB"/>
        </w:rPr>
        <w:t xml:space="preserve"> system in collaboration with authorities and socioeconomic partners. These results will support the implementation of the </w:t>
      </w:r>
      <w:r w:rsidR="00534E4B">
        <w:rPr>
          <w:lang w:val="en-GB"/>
        </w:rPr>
        <w:t xml:space="preserve">2030 </w:t>
      </w:r>
      <w:r w:rsidRPr="00DE7DBC">
        <w:rPr>
          <w:lang w:val="en-GB"/>
        </w:rPr>
        <w:t>Agenda</w:t>
      </w:r>
      <w:r w:rsidR="00534E4B">
        <w:rPr>
          <w:lang w:val="en-GB"/>
        </w:rPr>
        <w:t xml:space="preserve"> for Sustainable Development</w:t>
      </w:r>
      <w:r w:rsidRPr="00DE7DBC">
        <w:rPr>
          <w:lang w:val="en-GB"/>
        </w:rPr>
        <w:t xml:space="preserve">, towards sustainable and inclusive growth and prosperity, with renewed efforts to give young people reasons to stay and to create a better future for Bosnia and Herzegovina. </w:t>
      </w:r>
    </w:p>
    <w:p w14:paraId="267CDEA4" w14:textId="7024E94A"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UNDP programme and partnership capabilities support and complement the U</w:t>
      </w:r>
      <w:r w:rsidR="00534E4B">
        <w:rPr>
          <w:lang w:val="en-GB"/>
        </w:rPr>
        <w:t xml:space="preserve">nited </w:t>
      </w:r>
      <w:r w:rsidRPr="00DE7DBC">
        <w:rPr>
          <w:lang w:val="en-GB"/>
        </w:rPr>
        <w:t>N</w:t>
      </w:r>
      <w:r w:rsidR="00534E4B">
        <w:rPr>
          <w:lang w:val="en-GB"/>
        </w:rPr>
        <w:t>ations</w:t>
      </w:r>
      <w:r w:rsidRPr="00DE7DBC">
        <w:rPr>
          <w:lang w:val="en-GB"/>
        </w:rPr>
        <w:t xml:space="preserve"> system i</w:t>
      </w:r>
      <w:r w:rsidRPr="00DE7DBC">
        <w:rPr>
          <w:color w:val="222222"/>
          <w:shd w:val="clear" w:color="auto" w:fill="FFFFFF"/>
          <w:lang w:val="en-GB"/>
        </w:rPr>
        <w:t>nto a more effective whole.</w:t>
      </w:r>
      <w:r w:rsidRPr="00DE7DBC">
        <w:rPr>
          <w:lang w:val="en-GB"/>
        </w:rPr>
        <w:t xml:space="preserve"> In the Cooperation Framework, UNDP will apply the established platform of support for </w:t>
      </w:r>
      <w:r w:rsidR="00534E4B">
        <w:rPr>
          <w:lang w:val="en-GB"/>
        </w:rPr>
        <w:t xml:space="preserve">the efforts of national </w:t>
      </w:r>
      <w:r w:rsidRPr="00DE7DBC">
        <w:rPr>
          <w:lang w:val="en-GB"/>
        </w:rPr>
        <w:t xml:space="preserve">authorities </w:t>
      </w:r>
      <w:r w:rsidR="00534E4B">
        <w:rPr>
          <w:lang w:val="en-GB"/>
        </w:rPr>
        <w:t xml:space="preserve">and the </w:t>
      </w:r>
      <w:r w:rsidR="00534E4B" w:rsidRPr="00DE7DBC">
        <w:rPr>
          <w:lang w:val="en-GB"/>
        </w:rPr>
        <w:t>U</w:t>
      </w:r>
      <w:r w:rsidR="00534E4B">
        <w:rPr>
          <w:lang w:val="en-GB"/>
        </w:rPr>
        <w:t xml:space="preserve">nited </w:t>
      </w:r>
      <w:r w:rsidR="00534E4B" w:rsidRPr="00DE7DBC">
        <w:rPr>
          <w:lang w:val="en-GB"/>
        </w:rPr>
        <w:t>N</w:t>
      </w:r>
      <w:r w:rsidR="00534E4B">
        <w:rPr>
          <w:lang w:val="en-GB"/>
        </w:rPr>
        <w:t>ations</w:t>
      </w:r>
      <w:r w:rsidR="00534E4B" w:rsidRPr="00DE7DBC">
        <w:rPr>
          <w:lang w:val="en-GB"/>
        </w:rPr>
        <w:t xml:space="preserve"> </w:t>
      </w:r>
      <w:r w:rsidRPr="00DE7DBC">
        <w:rPr>
          <w:lang w:val="en-GB"/>
        </w:rPr>
        <w:t>to nationali</w:t>
      </w:r>
      <w:r w:rsidR="00534E4B">
        <w:rPr>
          <w:lang w:val="en-GB"/>
        </w:rPr>
        <w:t>z</w:t>
      </w:r>
      <w:r w:rsidRPr="00DE7DBC">
        <w:rPr>
          <w:lang w:val="en-GB"/>
        </w:rPr>
        <w:t xml:space="preserve">e Agenda 2030 towards effective localization </w:t>
      </w:r>
      <w:r w:rsidR="00430120" w:rsidRPr="00DE7DBC">
        <w:rPr>
          <w:lang w:val="en-GB"/>
        </w:rPr>
        <w:t xml:space="preserve">of the Sustainable Development Goals </w:t>
      </w:r>
      <w:r w:rsidRPr="00DE7DBC">
        <w:rPr>
          <w:lang w:val="en-GB"/>
        </w:rPr>
        <w:t>through public planning and financing systems and through area-based integrated U</w:t>
      </w:r>
      <w:r w:rsidR="00534E4B">
        <w:rPr>
          <w:lang w:val="en-GB"/>
        </w:rPr>
        <w:t xml:space="preserve">nited </w:t>
      </w:r>
      <w:r w:rsidRPr="00DE7DBC">
        <w:rPr>
          <w:lang w:val="en-GB"/>
        </w:rPr>
        <w:t>N</w:t>
      </w:r>
      <w:r w:rsidR="00534E4B">
        <w:rPr>
          <w:lang w:val="en-GB"/>
        </w:rPr>
        <w:t>ations</w:t>
      </w:r>
      <w:r w:rsidRPr="00DE7DBC">
        <w:rPr>
          <w:lang w:val="en-GB"/>
        </w:rPr>
        <w:t xml:space="preserve"> interventions. Towards financing and acceleration</w:t>
      </w:r>
      <w:r w:rsidR="00620817" w:rsidRPr="00DE7DBC">
        <w:rPr>
          <w:lang w:val="en-GB"/>
        </w:rPr>
        <w:t xml:space="preserve"> of </w:t>
      </w:r>
      <w:r w:rsidR="00FD4AB4" w:rsidRPr="00DE7DBC">
        <w:rPr>
          <w:lang w:val="en-GB"/>
        </w:rPr>
        <w:t>Agenda 2030</w:t>
      </w:r>
      <w:r w:rsidRPr="00DE7DBC">
        <w:rPr>
          <w:lang w:val="en-GB"/>
        </w:rPr>
        <w:t>, UNDP will serve as a provider of innovative solutions and a convener of broad</w:t>
      </w:r>
      <w:r w:rsidR="00534E4B">
        <w:rPr>
          <w:lang w:val="en-GB"/>
        </w:rPr>
        <w:t>-</w:t>
      </w:r>
      <w:r w:rsidRPr="00DE7DBC">
        <w:rPr>
          <w:lang w:val="en-GB"/>
        </w:rPr>
        <w:t xml:space="preserve">based partnerships, including </w:t>
      </w:r>
      <w:r w:rsidR="00534E4B">
        <w:rPr>
          <w:lang w:val="en-GB"/>
        </w:rPr>
        <w:t xml:space="preserve">with </w:t>
      </w:r>
      <w:r w:rsidRPr="00DE7DBC">
        <w:rPr>
          <w:lang w:val="en-GB"/>
        </w:rPr>
        <w:t xml:space="preserve">the private sector and </w:t>
      </w:r>
      <w:r w:rsidR="00534E4B">
        <w:rPr>
          <w:lang w:val="en-GB"/>
        </w:rPr>
        <w:t>the international financial institutions (</w:t>
      </w:r>
      <w:r w:rsidRPr="00DE7DBC">
        <w:rPr>
          <w:lang w:val="en-GB"/>
        </w:rPr>
        <w:t>IFIs</w:t>
      </w:r>
      <w:r w:rsidR="00534E4B">
        <w:rPr>
          <w:lang w:val="en-GB"/>
        </w:rPr>
        <w:t>)</w:t>
      </w:r>
      <w:r w:rsidRPr="00DE7DBC">
        <w:rPr>
          <w:lang w:val="en-GB"/>
        </w:rPr>
        <w:t>. UNDP brings its engagement with over 80</w:t>
      </w:r>
      <w:r w:rsidR="00534E4B">
        <w:rPr>
          <w:lang w:val="en-GB"/>
        </w:rPr>
        <w:t xml:space="preserve"> per cent</w:t>
      </w:r>
      <w:r w:rsidRPr="00DE7DBC">
        <w:rPr>
          <w:lang w:val="en-GB"/>
        </w:rPr>
        <w:t xml:space="preserve"> of local governments country-wide and with authorities at all levels (villages, municipalities/cities, cantons, entities to the state level) to serve as a </w:t>
      </w:r>
      <w:r w:rsidR="00534E4B">
        <w:rPr>
          <w:lang w:val="en-GB"/>
        </w:rPr>
        <w:t>‘</w:t>
      </w:r>
      <w:r w:rsidRPr="00DE7DBC">
        <w:rPr>
          <w:lang w:val="en-GB"/>
        </w:rPr>
        <w:t>vertical connector</w:t>
      </w:r>
      <w:r w:rsidR="00534E4B">
        <w:rPr>
          <w:lang w:val="en-GB"/>
        </w:rPr>
        <w:t>’</w:t>
      </w:r>
      <w:r w:rsidRPr="00DE7DBC">
        <w:rPr>
          <w:lang w:val="en-GB"/>
        </w:rPr>
        <w:t xml:space="preserve"> towards effective policy and programme results. The </w:t>
      </w:r>
      <w:r w:rsidR="00534E4B">
        <w:rPr>
          <w:lang w:val="en-GB"/>
        </w:rPr>
        <w:t>i</w:t>
      </w:r>
      <w:r w:rsidRPr="00DE7DBC">
        <w:rPr>
          <w:lang w:val="en-GB"/>
        </w:rPr>
        <w:t xml:space="preserve">ndependent </w:t>
      </w:r>
      <w:r w:rsidR="00534E4B">
        <w:rPr>
          <w:lang w:val="en-GB"/>
        </w:rPr>
        <w:t>c</w:t>
      </w:r>
      <w:r w:rsidRPr="00DE7DBC">
        <w:rPr>
          <w:lang w:val="en-GB"/>
        </w:rPr>
        <w:t xml:space="preserve">ountry </w:t>
      </w:r>
      <w:r w:rsidR="00534E4B">
        <w:rPr>
          <w:lang w:val="en-GB"/>
        </w:rPr>
        <w:t>p</w:t>
      </w:r>
      <w:r w:rsidRPr="00DE7DBC">
        <w:rPr>
          <w:lang w:val="en-GB"/>
        </w:rPr>
        <w:t xml:space="preserve">rogramme </w:t>
      </w:r>
      <w:r w:rsidR="00534E4B">
        <w:rPr>
          <w:lang w:val="en-GB"/>
        </w:rPr>
        <w:t>e</w:t>
      </w:r>
      <w:r w:rsidRPr="00DE7DBC">
        <w:rPr>
          <w:lang w:val="en-GB"/>
        </w:rPr>
        <w:t xml:space="preserve">valuation finds that “UNDP has been able to facilitate cooperation between governmental entities in the country. For </w:t>
      </w:r>
      <w:r w:rsidR="00534E4B">
        <w:rPr>
          <w:lang w:val="en-GB"/>
        </w:rPr>
        <w:t xml:space="preserve">the </w:t>
      </w:r>
      <w:r w:rsidR="002B20A9">
        <w:rPr>
          <w:lang w:val="en-GB"/>
        </w:rPr>
        <w:t>country</w:t>
      </w:r>
      <w:r w:rsidR="00765E87">
        <w:rPr>
          <w:lang w:val="en-GB"/>
        </w:rPr>
        <w:t>’s</w:t>
      </w:r>
      <w:r w:rsidRPr="00DE7DBC">
        <w:rPr>
          <w:lang w:val="en-GB"/>
        </w:rPr>
        <w:t xml:space="preserve"> highly fragmented and politicized governance system, this has been a significant contribution. UNDP provides its partners with a compelling value proposition, and government entities have shown they are willing to co-finance – often at significant amounts”. Finally, UNDP brings a solid practice of collaboration with other U</w:t>
      </w:r>
      <w:r w:rsidR="00534E4B">
        <w:rPr>
          <w:lang w:val="en-GB"/>
        </w:rPr>
        <w:t xml:space="preserve">nited </w:t>
      </w:r>
      <w:r w:rsidRPr="00DE7DBC">
        <w:rPr>
          <w:lang w:val="en-GB"/>
        </w:rPr>
        <w:t>N</w:t>
      </w:r>
      <w:r w:rsidR="00534E4B">
        <w:rPr>
          <w:lang w:val="en-GB"/>
        </w:rPr>
        <w:t>ations</w:t>
      </w:r>
      <w:r w:rsidRPr="00DE7DBC">
        <w:rPr>
          <w:lang w:val="en-GB"/>
        </w:rPr>
        <w:t xml:space="preserve"> </w:t>
      </w:r>
      <w:r w:rsidR="00534E4B">
        <w:rPr>
          <w:lang w:val="en-GB"/>
        </w:rPr>
        <w:t xml:space="preserve">organizations </w:t>
      </w:r>
      <w:r w:rsidRPr="00DE7DBC">
        <w:rPr>
          <w:lang w:val="en-GB"/>
        </w:rPr>
        <w:t xml:space="preserve">through joint projects and programmes, leveraging and integrating multi-sectoral development support in areas such as social inclusion, disaster risk reduction, women economic and political empowerment. </w:t>
      </w:r>
    </w:p>
    <w:p w14:paraId="1F75EF88" w14:textId="58C0251F"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 xml:space="preserve">UNDP work in the previous </w:t>
      </w:r>
      <w:r w:rsidR="00534E4B">
        <w:rPr>
          <w:lang w:val="en-GB"/>
        </w:rPr>
        <w:t xml:space="preserve">country </w:t>
      </w:r>
      <w:r w:rsidRPr="00DE7DBC">
        <w:rPr>
          <w:lang w:val="en-GB"/>
        </w:rPr>
        <w:t>programme period</w:t>
      </w:r>
      <w:r w:rsidR="00534E4B">
        <w:rPr>
          <w:lang w:val="en-GB"/>
        </w:rPr>
        <w:t xml:space="preserve">, 2016-2020, </w:t>
      </w:r>
      <w:r w:rsidRPr="00DE7DBC">
        <w:rPr>
          <w:lang w:val="en-GB"/>
        </w:rPr>
        <w:t xml:space="preserve">brought about </w:t>
      </w:r>
      <w:r w:rsidR="00534E4B" w:rsidRPr="00DE7DBC">
        <w:rPr>
          <w:lang w:val="en-GB"/>
        </w:rPr>
        <w:t xml:space="preserve">positive </w:t>
      </w:r>
      <w:r w:rsidRPr="00DE7DBC">
        <w:rPr>
          <w:lang w:val="en-GB"/>
        </w:rPr>
        <w:t>country-level change in the areas of governance, flood recovery, economic growth and employment, and climate change adaptation and mitigation. By offering people-centred and efficient recovery assistance, and leveraging $74 million from donors and governments, UNDP helped set the country back on its development path</w:t>
      </w:r>
      <w:r w:rsidR="00534E4B">
        <w:rPr>
          <w:lang w:val="en-GB"/>
        </w:rPr>
        <w:t>,</w:t>
      </w:r>
      <w:r w:rsidRPr="00DE7DBC">
        <w:rPr>
          <w:lang w:val="en-GB"/>
        </w:rPr>
        <w:t xml:space="preserve"> following the 2014 devastating floods.</w:t>
      </w:r>
      <w:r w:rsidRPr="00DE7DBC">
        <w:rPr>
          <w:vertAlign w:val="superscript"/>
          <w:lang w:val="en-GB"/>
        </w:rPr>
        <w:footnoteReference w:id="15"/>
      </w:r>
      <w:r w:rsidRPr="00DE7DBC">
        <w:rPr>
          <w:vertAlign w:val="superscript"/>
          <w:lang w:val="en-GB"/>
        </w:rPr>
        <w:t xml:space="preserve"> </w:t>
      </w:r>
      <w:r w:rsidR="00534E4B">
        <w:rPr>
          <w:lang w:val="en-GB"/>
        </w:rPr>
        <w:t>The</w:t>
      </w:r>
      <w:r w:rsidRPr="00DE7DBC">
        <w:rPr>
          <w:lang w:val="en-GB"/>
        </w:rPr>
        <w:t xml:space="preserve"> sound </w:t>
      </w:r>
      <w:r w:rsidR="00534E4B">
        <w:rPr>
          <w:lang w:val="en-GB"/>
        </w:rPr>
        <w:t xml:space="preserve">UNDP </w:t>
      </w:r>
      <w:r w:rsidRPr="00DE7DBC">
        <w:rPr>
          <w:lang w:val="en-GB"/>
        </w:rPr>
        <w:t>contribution to the country strategic planning and management system should be utili</w:t>
      </w:r>
      <w:r w:rsidR="00534E4B">
        <w:rPr>
          <w:lang w:val="en-GB"/>
        </w:rPr>
        <w:t>z</w:t>
      </w:r>
      <w:r w:rsidRPr="00DE7DBC">
        <w:rPr>
          <w:lang w:val="en-GB"/>
        </w:rPr>
        <w:t>ed as the policy backbone for locali</w:t>
      </w:r>
      <w:r w:rsidR="00534E4B">
        <w:rPr>
          <w:lang w:val="en-GB"/>
        </w:rPr>
        <w:t>z</w:t>
      </w:r>
      <w:r w:rsidRPr="00DE7DBC">
        <w:rPr>
          <w:lang w:val="en-GB"/>
        </w:rPr>
        <w:t xml:space="preserve">ing </w:t>
      </w:r>
      <w:r w:rsidR="005F4068" w:rsidRPr="00DE7DBC">
        <w:rPr>
          <w:lang w:val="en-GB"/>
        </w:rPr>
        <w:t>Agenda 2030</w:t>
      </w:r>
      <w:r w:rsidRPr="00DE7DBC">
        <w:rPr>
          <w:lang w:val="en-GB"/>
        </w:rPr>
        <w:t>, further strengthening local-level programme convergence. UNDP made significant contribution</w:t>
      </w:r>
      <w:r w:rsidR="00534E4B">
        <w:rPr>
          <w:lang w:val="en-GB"/>
        </w:rPr>
        <w:t>s</w:t>
      </w:r>
      <w:r w:rsidRPr="00DE7DBC">
        <w:rPr>
          <w:lang w:val="en-GB"/>
        </w:rPr>
        <w:t xml:space="preserve"> to institutionaliz</w:t>
      </w:r>
      <w:r w:rsidR="00534E4B">
        <w:rPr>
          <w:lang w:val="en-GB"/>
        </w:rPr>
        <w:t>ing</w:t>
      </w:r>
      <w:r w:rsidRPr="00DE7DBC">
        <w:rPr>
          <w:lang w:val="en-GB"/>
        </w:rPr>
        <w:t xml:space="preserve"> energy efficiency in the public sector and is well</w:t>
      </w:r>
      <w:r w:rsidR="00534E4B">
        <w:rPr>
          <w:lang w:val="en-GB"/>
        </w:rPr>
        <w:t xml:space="preserve"> </w:t>
      </w:r>
      <w:r w:rsidRPr="00DE7DBC">
        <w:rPr>
          <w:lang w:val="en-GB"/>
        </w:rPr>
        <w:t>positioned in climate change adaptation and mitigation.</w:t>
      </w:r>
      <w:r w:rsidRPr="00DE7DBC">
        <w:rPr>
          <w:vertAlign w:val="superscript"/>
          <w:lang w:val="en-GB"/>
        </w:rPr>
        <w:t xml:space="preserve"> </w:t>
      </w:r>
      <w:r w:rsidRPr="00DE7DBC">
        <w:rPr>
          <w:lang w:val="en-GB"/>
        </w:rPr>
        <w:t xml:space="preserve">The </w:t>
      </w:r>
      <w:r w:rsidR="00534E4B">
        <w:rPr>
          <w:lang w:val="en-GB"/>
        </w:rPr>
        <w:t>o</w:t>
      </w:r>
      <w:r w:rsidRPr="00DE7DBC">
        <w:rPr>
          <w:lang w:val="en-GB"/>
        </w:rPr>
        <w:t xml:space="preserve">utcome </w:t>
      </w:r>
      <w:r w:rsidR="00534E4B">
        <w:rPr>
          <w:lang w:val="en-GB"/>
        </w:rPr>
        <w:t>e</w:t>
      </w:r>
      <w:r w:rsidRPr="00DE7DBC">
        <w:rPr>
          <w:lang w:val="en-GB"/>
        </w:rPr>
        <w:t>valuation recommends that “Further expansion in the environment and energy sector is merited, including maintaining UNDP strong position in climate change, energy and water management, while taking advantage of new opportunities in waste, biodiversity and chemicals management”</w:t>
      </w:r>
      <w:r w:rsidR="00534E4B">
        <w:rPr>
          <w:lang w:val="en-GB"/>
        </w:rPr>
        <w:t>.</w:t>
      </w:r>
      <w:r w:rsidRPr="00DE7DBC">
        <w:rPr>
          <w:lang w:val="en-GB"/>
        </w:rPr>
        <w:t xml:space="preserve"> Leveraging its internal </w:t>
      </w:r>
      <w:r w:rsidRPr="00DE7DBC">
        <w:rPr>
          <w:lang w:val="en-GB"/>
        </w:rPr>
        <w:lastRenderedPageBreak/>
        <w:t>collective thinking, UNDP identified that digital transformation, societal transformation and governance transformation are accelerators for development.</w:t>
      </w:r>
      <w:r w:rsidRPr="00DE7DBC">
        <w:rPr>
          <w:vertAlign w:val="superscript"/>
          <w:lang w:val="en-GB"/>
        </w:rPr>
        <w:footnoteReference w:id="16"/>
      </w:r>
      <w:r w:rsidRPr="00DE7DBC">
        <w:rPr>
          <w:vertAlign w:val="superscript"/>
          <w:lang w:val="en-GB"/>
        </w:rPr>
        <w:t xml:space="preserve"> </w:t>
      </w:r>
    </w:p>
    <w:p w14:paraId="0A72F67F" w14:textId="7217118D"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UNDP will contribute to three out of five outcomes of the Cooperation Framework</w:t>
      </w:r>
      <w:r w:rsidR="00534E4B">
        <w:rPr>
          <w:lang w:val="en-GB"/>
        </w:rPr>
        <w:t>,</w:t>
      </w:r>
      <w:r w:rsidRPr="00DE7DBC">
        <w:rPr>
          <w:lang w:val="en-GB"/>
        </w:rPr>
        <w:t xml:space="preserve"> 2021-2025: sustainable and inclusive growth, people-centred governance</w:t>
      </w:r>
      <w:r w:rsidR="00534E4B">
        <w:rPr>
          <w:lang w:val="en-GB"/>
        </w:rPr>
        <w:t>,</w:t>
      </w:r>
      <w:r w:rsidRPr="00DE7DBC">
        <w:rPr>
          <w:lang w:val="en-GB"/>
        </w:rPr>
        <w:t xml:space="preserve"> and social cohesion. In the first two areas, UNDP is in a position to lead U</w:t>
      </w:r>
      <w:r w:rsidR="00534E4B">
        <w:rPr>
          <w:lang w:val="en-GB"/>
        </w:rPr>
        <w:t xml:space="preserve">nited </w:t>
      </w:r>
      <w:r w:rsidRPr="00DE7DBC">
        <w:rPr>
          <w:lang w:val="en-GB"/>
        </w:rPr>
        <w:t>N</w:t>
      </w:r>
      <w:r w:rsidR="00534E4B">
        <w:rPr>
          <w:lang w:val="en-GB"/>
        </w:rPr>
        <w:t>ations</w:t>
      </w:r>
      <w:r w:rsidRPr="00DE7DBC">
        <w:rPr>
          <w:lang w:val="en-GB"/>
        </w:rPr>
        <w:t xml:space="preserve"> efforts aiming at economic transformation, while capitalizing on its strong environment and climate change portfolio, ensuring a sustainable growth lens. </w:t>
      </w:r>
    </w:p>
    <w:p w14:paraId="7767218D" w14:textId="53169DD0" w:rsidR="0034740F" w:rsidRPr="00DE7DBC" w:rsidRDefault="00534E4B" w:rsidP="00264C2D">
      <w:pPr>
        <w:pStyle w:val="ListParagraph"/>
        <w:numPr>
          <w:ilvl w:val="0"/>
          <w:numId w:val="1"/>
        </w:numPr>
        <w:ind w:left="1260" w:right="1210" w:firstLine="0"/>
        <w:jc w:val="both"/>
        <w:rPr>
          <w:lang w:val="en-GB"/>
        </w:rPr>
      </w:pPr>
      <w:r>
        <w:rPr>
          <w:lang w:val="en-GB"/>
        </w:rPr>
        <w:t>In developing t</w:t>
      </w:r>
      <w:r w:rsidR="0034740F" w:rsidRPr="00DE7DBC">
        <w:rPr>
          <w:lang w:val="en-GB"/>
        </w:rPr>
        <w:t xml:space="preserve">he Cooperation Framework and </w:t>
      </w:r>
      <w:r>
        <w:rPr>
          <w:lang w:val="en-GB"/>
        </w:rPr>
        <w:t>c</w:t>
      </w:r>
      <w:r w:rsidR="0034740F" w:rsidRPr="00DE7DBC">
        <w:rPr>
          <w:lang w:val="en-GB"/>
        </w:rPr>
        <w:t xml:space="preserve">ountry </w:t>
      </w:r>
      <w:r>
        <w:rPr>
          <w:lang w:val="en-GB"/>
        </w:rPr>
        <w:t>p</w:t>
      </w:r>
      <w:r w:rsidR="0034740F" w:rsidRPr="00DE7DBC">
        <w:rPr>
          <w:lang w:val="en-GB"/>
        </w:rPr>
        <w:t xml:space="preserve">rogramme </w:t>
      </w:r>
      <w:r>
        <w:rPr>
          <w:lang w:val="en-GB"/>
        </w:rPr>
        <w:t>d</w:t>
      </w:r>
      <w:r w:rsidR="0034740F" w:rsidRPr="00DE7DBC">
        <w:rPr>
          <w:lang w:val="en-GB"/>
        </w:rPr>
        <w:t>ocument</w:t>
      </w:r>
      <w:r>
        <w:rPr>
          <w:lang w:val="en-GB"/>
        </w:rPr>
        <w:t xml:space="preserve">, UNDP has </w:t>
      </w:r>
      <w:r w:rsidR="0034740F" w:rsidRPr="00DE7DBC">
        <w:rPr>
          <w:lang w:val="en-GB"/>
        </w:rPr>
        <w:t xml:space="preserve">consulted with authorities, socioeconomic partners and the international community. </w:t>
      </w:r>
      <w:r>
        <w:rPr>
          <w:lang w:val="en-GB"/>
        </w:rPr>
        <w:t>National a</w:t>
      </w:r>
      <w:r w:rsidR="0034740F" w:rsidRPr="00DE7DBC">
        <w:rPr>
          <w:lang w:val="en-GB"/>
        </w:rPr>
        <w:t xml:space="preserve">uthorities </w:t>
      </w:r>
      <w:r>
        <w:rPr>
          <w:lang w:val="en-GB"/>
        </w:rPr>
        <w:t xml:space="preserve">have </w:t>
      </w:r>
      <w:r w:rsidR="0034740F" w:rsidRPr="00DE7DBC">
        <w:rPr>
          <w:lang w:val="en-GB"/>
        </w:rPr>
        <w:t xml:space="preserve">confirmed the relevance of the set priorities and scope of work and </w:t>
      </w:r>
      <w:r>
        <w:rPr>
          <w:lang w:val="en-GB"/>
        </w:rPr>
        <w:t xml:space="preserve">have </w:t>
      </w:r>
      <w:r w:rsidR="0034740F" w:rsidRPr="00DE7DBC">
        <w:rPr>
          <w:lang w:val="en-GB"/>
        </w:rPr>
        <w:t xml:space="preserve">expressed </w:t>
      </w:r>
      <w:r>
        <w:rPr>
          <w:lang w:val="en-GB"/>
        </w:rPr>
        <w:t xml:space="preserve">their </w:t>
      </w:r>
      <w:r w:rsidR="0034740F" w:rsidRPr="00DE7DBC">
        <w:rPr>
          <w:lang w:val="en-GB"/>
        </w:rPr>
        <w:t xml:space="preserve">commitment </w:t>
      </w:r>
      <w:r>
        <w:rPr>
          <w:lang w:val="en-GB"/>
        </w:rPr>
        <w:t xml:space="preserve">to </w:t>
      </w:r>
      <w:r w:rsidR="0034740F" w:rsidRPr="00DE7DBC">
        <w:rPr>
          <w:lang w:val="en-GB"/>
        </w:rPr>
        <w:t>collaborat</w:t>
      </w:r>
      <w:r>
        <w:rPr>
          <w:lang w:val="en-GB"/>
        </w:rPr>
        <w:t>e</w:t>
      </w:r>
      <w:r w:rsidR="0034740F" w:rsidRPr="00DE7DBC">
        <w:rPr>
          <w:lang w:val="en-GB"/>
        </w:rPr>
        <w:t xml:space="preserve"> towards sustainable development results. </w:t>
      </w:r>
    </w:p>
    <w:p w14:paraId="4A7F2000" w14:textId="77777777" w:rsidR="0034740F" w:rsidRPr="00DE7DBC" w:rsidRDefault="0034740F" w:rsidP="00A14F34">
      <w:pPr>
        <w:pStyle w:val="Heading2"/>
        <w:ind w:left="1530" w:right="1267" w:hanging="263"/>
        <w:jc w:val="both"/>
        <w:rPr>
          <w:rFonts w:ascii="Times New Roman" w:hAnsi="Times New Roman"/>
          <w:bCs/>
          <w:color w:val="000000"/>
          <w:sz w:val="24"/>
          <w:szCs w:val="24"/>
          <w:lang w:val="en-GB"/>
        </w:rPr>
      </w:pPr>
    </w:p>
    <w:p w14:paraId="09FB6A8F" w14:textId="3CBBD2F8" w:rsidR="0034740F" w:rsidRPr="00DE7DBC" w:rsidRDefault="0034740F" w:rsidP="006A5F9B">
      <w:pPr>
        <w:pStyle w:val="Heading2"/>
        <w:numPr>
          <w:ilvl w:val="0"/>
          <w:numId w:val="3"/>
        </w:numPr>
        <w:ind w:left="1260" w:right="1267" w:hanging="360"/>
        <w:jc w:val="both"/>
        <w:rPr>
          <w:rFonts w:ascii="Times New Roman" w:hAnsi="Times New Roman"/>
          <w:bCs/>
          <w:color w:val="000000"/>
          <w:sz w:val="24"/>
          <w:szCs w:val="24"/>
          <w:lang w:val="en-GB"/>
        </w:rPr>
      </w:pPr>
      <w:r w:rsidRPr="00DE7DBC">
        <w:rPr>
          <w:rFonts w:ascii="Times New Roman" w:hAnsi="Times New Roman"/>
          <w:bCs/>
          <w:color w:val="000000"/>
          <w:sz w:val="24"/>
          <w:szCs w:val="24"/>
          <w:lang w:val="en-GB"/>
        </w:rPr>
        <w:t xml:space="preserve">Programme </w:t>
      </w:r>
      <w:r w:rsidR="006A5F9B" w:rsidRPr="00DE7DBC">
        <w:rPr>
          <w:rFonts w:ascii="Times New Roman" w:hAnsi="Times New Roman"/>
          <w:bCs/>
          <w:color w:val="000000"/>
          <w:sz w:val="24"/>
          <w:szCs w:val="24"/>
          <w:lang w:val="en-GB"/>
        </w:rPr>
        <w:t>p</w:t>
      </w:r>
      <w:r w:rsidRPr="00DE7DBC">
        <w:rPr>
          <w:rFonts w:ascii="Times New Roman" w:hAnsi="Times New Roman"/>
          <w:bCs/>
          <w:color w:val="000000"/>
          <w:sz w:val="24"/>
          <w:szCs w:val="24"/>
          <w:lang w:val="en-GB"/>
        </w:rPr>
        <w:t xml:space="preserve">riorities and </w:t>
      </w:r>
      <w:r w:rsidR="006A5F9B" w:rsidRPr="00DE7DBC">
        <w:rPr>
          <w:rFonts w:ascii="Times New Roman" w:hAnsi="Times New Roman"/>
          <w:bCs/>
          <w:color w:val="000000"/>
          <w:sz w:val="24"/>
          <w:szCs w:val="24"/>
          <w:lang w:val="en-GB"/>
        </w:rPr>
        <w:t>p</w:t>
      </w:r>
      <w:r w:rsidRPr="00DE7DBC">
        <w:rPr>
          <w:rFonts w:ascii="Times New Roman" w:hAnsi="Times New Roman"/>
          <w:bCs/>
          <w:color w:val="000000"/>
          <w:sz w:val="24"/>
          <w:szCs w:val="24"/>
          <w:lang w:val="en-GB"/>
        </w:rPr>
        <w:t>artnerships</w:t>
      </w:r>
    </w:p>
    <w:p w14:paraId="7603BEC9" w14:textId="77777777" w:rsidR="00A14F34" w:rsidRPr="00DE7DBC" w:rsidRDefault="00A14F34" w:rsidP="00A14F34">
      <w:pPr>
        <w:rPr>
          <w:lang w:val="en-GB"/>
        </w:rPr>
      </w:pPr>
    </w:p>
    <w:p w14:paraId="0D33992A" w14:textId="0C994BB0"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The programme aims to achieve a set of interconnected changes that will strengthen institutional and community</w:t>
      </w:r>
      <w:r w:rsidR="0096494E">
        <w:rPr>
          <w:lang w:val="en-GB"/>
        </w:rPr>
        <w:t>-</w:t>
      </w:r>
      <w:r w:rsidRPr="00DE7DBC">
        <w:rPr>
          <w:lang w:val="en-GB"/>
        </w:rPr>
        <w:t xml:space="preserve">level conditions for sustainable and inclusive growth, with benefits that are more widely and fairly shared. </w:t>
      </w:r>
    </w:p>
    <w:p w14:paraId="0F878FFE" w14:textId="0089F002" w:rsidR="0034740F" w:rsidRPr="00DE7DBC" w:rsidRDefault="0034740F" w:rsidP="006A5F9B">
      <w:pPr>
        <w:pStyle w:val="ListParagraph"/>
        <w:numPr>
          <w:ilvl w:val="0"/>
          <w:numId w:val="1"/>
        </w:numPr>
        <w:autoSpaceDE w:val="0"/>
        <w:autoSpaceDN w:val="0"/>
        <w:adjustRightInd w:val="0"/>
        <w:spacing w:after="120"/>
        <w:ind w:left="1267" w:right="1195" w:firstLine="0"/>
        <w:jc w:val="both"/>
        <w:rPr>
          <w:spacing w:val="-2"/>
          <w:lang w:val="en-GB"/>
        </w:rPr>
      </w:pPr>
      <w:r w:rsidRPr="00DE7DBC">
        <w:rPr>
          <w:spacing w:val="-4"/>
          <w:lang w:val="en-GB"/>
        </w:rPr>
        <w:t xml:space="preserve">The </w:t>
      </w:r>
      <w:r w:rsidR="0096494E">
        <w:rPr>
          <w:spacing w:val="-4"/>
          <w:lang w:val="en-GB"/>
        </w:rPr>
        <w:t xml:space="preserve">2030 </w:t>
      </w:r>
      <w:r w:rsidR="00E93647" w:rsidRPr="00DE7DBC">
        <w:rPr>
          <w:spacing w:val="-4"/>
          <w:lang w:val="en-GB"/>
        </w:rPr>
        <w:t>A</w:t>
      </w:r>
      <w:r w:rsidRPr="00DE7DBC">
        <w:rPr>
          <w:spacing w:val="-4"/>
          <w:lang w:val="en-GB"/>
        </w:rPr>
        <w:t xml:space="preserve">genda is unlikely to be achieved by 2030 without rapid, ubiquitous change and innovation. By advancing its data systems and embracing continuous learning, </w:t>
      </w:r>
      <w:r w:rsidR="0096494E">
        <w:rPr>
          <w:spacing w:val="-4"/>
          <w:lang w:val="en-GB"/>
        </w:rPr>
        <w:t xml:space="preserve">the </w:t>
      </w:r>
      <w:r w:rsidRPr="00DE7DBC">
        <w:rPr>
          <w:spacing w:val="-4"/>
          <w:lang w:val="en-GB"/>
        </w:rPr>
        <w:t xml:space="preserve">UNDP is gearing up to be a front-runner in nurturing such capabilities and offering support that can leapfrog development, based on its experience and wide field presence that underpin its integrator role. </w:t>
      </w:r>
      <w:r w:rsidRPr="00DE7DBC">
        <w:rPr>
          <w:spacing w:val="-2"/>
          <w:lang w:val="en-GB"/>
        </w:rPr>
        <w:t>The UNDP Accelerator Lab is a powerful tool for innovative development work by the entire U</w:t>
      </w:r>
      <w:r w:rsidR="0096494E">
        <w:rPr>
          <w:spacing w:val="-2"/>
          <w:lang w:val="en-GB"/>
        </w:rPr>
        <w:t xml:space="preserve">nited </w:t>
      </w:r>
      <w:r w:rsidRPr="00DE7DBC">
        <w:rPr>
          <w:spacing w:val="-2"/>
          <w:lang w:val="en-GB"/>
        </w:rPr>
        <w:t>N</w:t>
      </w:r>
      <w:r w:rsidR="0096494E">
        <w:rPr>
          <w:spacing w:val="-2"/>
          <w:lang w:val="en-GB"/>
        </w:rPr>
        <w:t>ations</w:t>
      </w:r>
      <w:r w:rsidRPr="00DE7DBC">
        <w:rPr>
          <w:spacing w:val="-2"/>
          <w:lang w:val="en-GB"/>
        </w:rPr>
        <w:t xml:space="preserve"> system in the country. </w:t>
      </w:r>
    </w:p>
    <w:p w14:paraId="5EABAB6F" w14:textId="2C39EE22"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While the country has yet to adopt a country-wide development strategy, strategic priorities are expressed by</w:t>
      </w:r>
      <w:r w:rsidR="0096494E">
        <w:rPr>
          <w:lang w:val="en-GB"/>
        </w:rPr>
        <w:t>:</w:t>
      </w:r>
      <w:r w:rsidRPr="00DE7DBC">
        <w:rPr>
          <w:lang w:val="en-GB"/>
        </w:rPr>
        <w:t xml:space="preserve"> (</w:t>
      </w:r>
      <w:r w:rsidR="0096494E">
        <w:rPr>
          <w:lang w:val="en-GB"/>
        </w:rPr>
        <w:t>a</w:t>
      </w:r>
      <w:r w:rsidRPr="00DE7DBC">
        <w:rPr>
          <w:lang w:val="en-GB"/>
        </w:rPr>
        <w:t xml:space="preserve">) the draft </w:t>
      </w:r>
      <w:r w:rsidR="00D97C3F" w:rsidRPr="00DE7DBC">
        <w:rPr>
          <w:lang w:val="en-GB"/>
        </w:rPr>
        <w:t>Sustainable Development Goals</w:t>
      </w:r>
      <w:r w:rsidRPr="00DE7DBC">
        <w:rPr>
          <w:lang w:val="en-GB"/>
        </w:rPr>
        <w:t xml:space="preserve"> Framework in Bosnia and Herzegovina; </w:t>
      </w:r>
      <w:r w:rsidR="0096494E">
        <w:rPr>
          <w:lang w:val="en-GB"/>
        </w:rPr>
        <w:t xml:space="preserve">and </w:t>
      </w:r>
      <w:r w:rsidRPr="00DE7DBC">
        <w:rPr>
          <w:lang w:val="en-GB"/>
        </w:rPr>
        <w:t>(</w:t>
      </w:r>
      <w:r w:rsidR="0096494E">
        <w:rPr>
          <w:lang w:val="en-GB"/>
        </w:rPr>
        <w:t>b</w:t>
      </w:r>
      <w:r w:rsidRPr="00DE7DBC">
        <w:rPr>
          <w:lang w:val="en-GB"/>
        </w:rPr>
        <w:t xml:space="preserve">) the </w:t>
      </w:r>
      <w:r w:rsidR="00C10D83">
        <w:rPr>
          <w:lang w:val="en-GB"/>
        </w:rPr>
        <w:t xml:space="preserve"> S</w:t>
      </w:r>
      <w:r w:rsidRPr="00DE7DBC">
        <w:rPr>
          <w:lang w:val="en-GB"/>
        </w:rPr>
        <w:t>ocio</w:t>
      </w:r>
      <w:r w:rsidR="0096494E">
        <w:rPr>
          <w:lang w:val="en-GB"/>
        </w:rPr>
        <w:t>e</w:t>
      </w:r>
      <w:r w:rsidRPr="00DE7DBC">
        <w:rPr>
          <w:lang w:val="en-GB"/>
        </w:rPr>
        <w:t xml:space="preserve">conomic </w:t>
      </w:r>
      <w:r w:rsidR="0096494E">
        <w:rPr>
          <w:lang w:val="en-GB"/>
        </w:rPr>
        <w:t>r</w:t>
      </w:r>
      <w:r w:rsidRPr="00DE7DBC">
        <w:rPr>
          <w:lang w:val="en-GB"/>
        </w:rPr>
        <w:t xml:space="preserve">eforms </w:t>
      </w:r>
      <w:r w:rsidR="00C10D83">
        <w:rPr>
          <w:lang w:val="en-GB"/>
        </w:rPr>
        <w:t xml:space="preserve">in Bosnia and Herzegovina </w:t>
      </w:r>
      <w:r w:rsidRPr="00DE7DBC">
        <w:rPr>
          <w:lang w:val="en-GB"/>
        </w:rPr>
        <w:t>that are a response to the 2019 E</w:t>
      </w:r>
      <w:r w:rsidR="0096494E">
        <w:rPr>
          <w:lang w:val="en-GB"/>
        </w:rPr>
        <w:t>uropean Union</w:t>
      </w:r>
      <w:r w:rsidRPr="00DE7DBC">
        <w:rPr>
          <w:lang w:val="en-GB"/>
        </w:rPr>
        <w:t xml:space="preserve"> </w:t>
      </w:r>
      <w:r w:rsidR="0096494E">
        <w:rPr>
          <w:lang w:val="en-GB"/>
        </w:rPr>
        <w:t>o</w:t>
      </w:r>
      <w:r w:rsidRPr="00DE7DBC">
        <w:rPr>
          <w:lang w:val="en-GB"/>
        </w:rPr>
        <w:t xml:space="preserve">pinion and </w:t>
      </w:r>
      <w:r w:rsidR="0096494E">
        <w:rPr>
          <w:lang w:val="en-GB"/>
        </w:rPr>
        <w:t>a</w:t>
      </w:r>
      <w:r w:rsidRPr="00DE7DBC">
        <w:rPr>
          <w:lang w:val="en-GB"/>
        </w:rPr>
        <w:t xml:space="preserve">nalytical report. The </w:t>
      </w:r>
      <w:r w:rsidR="0096494E">
        <w:rPr>
          <w:lang w:val="en-GB"/>
        </w:rPr>
        <w:t xml:space="preserve">country </w:t>
      </w:r>
      <w:r w:rsidRPr="00DE7DBC">
        <w:rPr>
          <w:lang w:val="en-GB"/>
        </w:rPr>
        <w:t xml:space="preserve">programme will be guided by and effectively blend the </w:t>
      </w:r>
      <w:r w:rsidR="0096494E">
        <w:rPr>
          <w:lang w:val="en-GB"/>
        </w:rPr>
        <w:t xml:space="preserve">2030 </w:t>
      </w:r>
      <w:r w:rsidRPr="00DE7DBC">
        <w:rPr>
          <w:lang w:val="en-GB"/>
        </w:rPr>
        <w:t>Agenda</w:t>
      </w:r>
      <w:r w:rsidR="00431D27" w:rsidRPr="00DE7DBC">
        <w:rPr>
          <w:lang w:val="en-GB"/>
        </w:rPr>
        <w:t>,</w:t>
      </w:r>
      <w:r w:rsidRPr="00DE7DBC">
        <w:rPr>
          <w:lang w:val="en-GB"/>
        </w:rPr>
        <w:t xml:space="preserve"> </w:t>
      </w:r>
      <w:r w:rsidR="0096494E" w:rsidRPr="00DE7DBC">
        <w:rPr>
          <w:lang w:val="en-GB"/>
        </w:rPr>
        <w:t>E</w:t>
      </w:r>
      <w:r w:rsidR="0096494E">
        <w:rPr>
          <w:lang w:val="en-GB"/>
        </w:rPr>
        <w:t>uropean Union</w:t>
      </w:r>
      <w:r w:rsidR="0096494E" w:rsidRPr="00DE7DBC">
        <w:rPr>
          <w:lang w:val="en-GB"/>
        </w:rPr>
        <w:t xml:space="preserve"> </w:t>
      </w:r>
      <w:r w:rsidRPr="00DE7DBC">
        <w:rPr>
          <w:lang w:val="en-GB"/>
        </w:rPr>
        <w:t>accession and Green Deal priorities, promoting a forward-looking</w:t>
      </w:r>
      <w:r w:rsidR="0096494E">
        <w:rPr>
          <w:lang w:val="en-GB"/>
        </w:rPr>
        <w:t xml:space="preserve">, </w:t>
      </w:r>
      <w:r w:rsidRPr="00DE7DBC">
        <w:rPr>
          <w:lang w:val="en-GB"/>
        </w:rPr>
        <w:t xml:space="preserve">resource-efficient approach to development. </w:t>
      </w:r>
    </w:p>
    <w:p w14:paraId="7ADCA8F2" w14:textId="4571602C"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In line with the pathways defined by the UNDP Strategic Plan</w:t>
      </w:r>
      <w:r w:rsidR="0096494E">
        <w:rPr>
          <w:lang w:val="en-GB"/>
        </w:rPr>
        <w:t xml:space="preserve">, </w:t>
      </w:r>
      <w:r w:rsidRPr="00DE7DBC">
        <w:rPr>
          <w:lang w:val="en-GB"/>
        </w:rPr>
        <w:t>2018-2021</w:t>
      </w:r>
      <w:r w:rsidR="0096494E">
        <w:rPr>
          <w:lang w:val="en-GB"/>
        </w:rPr>
        <w:t>,</w:t>
      </w:r>
      <w:r w:rsidRPr="00DE7DBC">
        <w:rPr>
          <w:lang w:val="en-GB"/>
        </w:rPr>
        <w:t xml:space="preserve"> and national priorities, the </w:t>
      </w:r>
      <w:r w:rsidR="0096494E">
        <w:rPr>
          <w:lang w:val="en-GB"/>
        </w:rPr>
        <w:t xml:space="preserve">country </w:t>
      </w:r>
      <w:r w:rsidRPr="00DE7DBC">
        <w:rPr>
          <w:lang w:val="en-GB"/>
        </w:rPr>
        <w:t xml:space="preserve">programme will work in the areas of sustainable growth, people-centred governance and social cohesion. These efforts contribute to the country’s progress towards </w:t>
      </w:r>
      <w:r w:rsidR="0096494E" w:rsidRPr="00DE7DBC">
        <w:rPr>
          <w:lang w:val="en-GB"/>
        </w:rPr>
        <w:t>E</w:t>
      </w:r>
      <w:r w:rsidR="0096494E">
        <w:rPr>
          <w:lang w:val="en-GB"/>
        </w:rPr>
        <w:t>uropean Union</w:t>
      </w:r>
      <w:r w:rsidR="0096494E" w:rsidRPr="00DE7DBC">
        <w:rPr>
          <w:lang w:val="en-GB"/>
        </w:rPr>
        <w:t xml:space="preserve"> </w:t>
      </w:r>
      <w:r w:rsidRPr="00DE7DBC">
        <w:rPr>
          <w:lang w:val="en-GB"/>
        </w:rPr>
        <w:t xml:space="preserve">accession and </w:t>
      </w:r>
      <w:r w:rsidR="0096494E">
        <w:rPr>
          <w:lang w:val="en-GB"/>
        </w:rPr>
        <w:t xml:space="preserve">towards </w:t>
      </w:r>
      <w:r w:rsidRPr="00DE7DBC">
        <w:rPr>
          <w:lang w:val="en-GB"/>
        </w:rPr>
        <w:t xml:space="preserve">better services for citizens delivered </w:t>
      </w:r>
      <w:r w:rsidR="0096494E">
        <w:rPr>
          <w:lang w:val="en-GB"/>
        </w:rPr>
        <w:t xml:space="preserve">thanks to </w:t>
      </w:r>
      <w:r w:rsidRPr="00DE7DBC">
        <w:rPr>
          <w:lang w:val="en-GB"/>
        </w:rPr>
        <w:t>more effective</w:t>
      </w:r>
      <w:r w:rsidR="0096494E">
        <w:rPr>
          <w:lang w:val="en-GB"/>
        </w:rPr>
        <w:t xml:space="preserve">, </w:t>
      </w:r>
      <w:r w:rsidRPr="00DE7DBC">
        <w:rPr>
          <w:lang w:val="en-GB"/>
        </w:rPr>
        <w:t xml:space="preserve">participatory governance. Inclusive, gender-sensitive and free-thinking communities contribute to a society where people feel safe and secure. Growth is more sustainable and inclusive, steered by policies </w:t>
      </w:r>
      <w:r w:rsidR="0096494E">
        <w:rPr>
          <w:lang w:val="en-GB"/>
        </w:rPr>
        <w:t xml:space="preserve">that </w:t>
      </w:r>
      <w:r w:rsidRPr="00DE7DBC">
        <w:rPr>
          <w:lang w:val="en-GB"/>
        </w:rPr>
        <w:t>enabl</w:t>
      </w:r>
      <w:r w:rsidR="0096494E">
        <w:rPr>
          <w:lang w:val="en-GB"/>
        </w:rPr>
        <w:t>e</w:t>
      </w:r>
      <w:r w:rsidRPr="00DE7DBC">
        <w:rPr>
          <w:lang w:val="en-GB"/>
        </w:rPr>
        <w:t xml:space="preserve"> a shift towards </w:t>
      </w:r>
      <w:r w:rsidR="0096494E">
        <w:rPr>
          <w:lang w:val="en-GB"/>
        </w:rPr>
        <w:t xml:space="preserve">a </w:t>
      </w:r>
      <w:r w:rsidRPr="00DE7DBC">
        <w:rPr>
          <w:lang w:val="en-GB"/>
        </w:rPr>
        <w:t xml:space="preserve">circular economy, skills and jobs of the future, </w:t>
      </w:r>
      <w:r w:rsidR="0096494E">
        <w:rPr>
          <w:lang w:val="en-GB"/>
        </w:rPr>
        <w:t xml:space="preserve">while </w:t>
      </w:r>
      <w:r w:rsidRPr="00DE7DBC">
        <w:rPr>
          <w:lang w:val="en-GB"/>
        </w:rPr>
        <w:t xml:space="preserve">preserving ecosystems and biodiversity. The country </w:t>
      </w:r>
      <w:r w:rsidR="0096494E">
        <w:rPr>
          <w:lang w:val="en-GB"/>
        </w:rPr>
        <w:t xml:space="preserve">is </w:t>
      </w:r>
      <w:r w:rsidRPr="00DE7DBC">
        <w:rPr>
          <w:lang w:val="en-GB"/>
        </w:rPr>
        <w:t>strengthen</w:t>
      </w:r>
      <w:r w:rsidR="0096494E">
        <w:rPr>
          <w:lang w:val="en-GB"/>
        </w:rPr>
        <w:t>ing</w:t>
      </w:r>
      <w:r w:rsidRPr="00DE7DBC">
        <w:rPr>
          <w:lang w:val="en-GB"/>
        </w:rPr>
        <w:t xml:space="preserve"> its resilience to climate change, natural or </w:t>
      </w:r>
      <w:r w:rsidR="0096494E">
        <w:rPr>
          <w:lang w:val="en-GB"/>
        </w:rPr>
        <w:t xml:space="preserve">human-induced </w:t>
      </w:r>
      <w:r w:rsidRPr="00DE7DBC">
        <w:rPr>
          <w:lang w:val="en-GB"/>
        </w:rPr>
        <w:t xml:space="preserve">disasters; </w:t>
      </w:r>
      <w:r w:rsidR="0096494E">
        <w:rPr>
          <w:lang w:val="en-GB"/>
        </w:rPr>
        <w:t xml:space="preserve">and </w:t>
      </w:r>
      <w:r w:rsidRPr="00DE7DBC">
        <w:rPr>
          <w:lang w:val="en-GB"/>
        </w:rPr>
        <w:t xml:space="preserve">recovery from the COVID-19 </w:t>
      </w:r>
      <w:r w:rsidR="0096494E">
        <w:rPr>
          <w:lang w:val="en-GB"/>
        </w:rPr>
        <w:t xml:space="preserve">pandemic </w:t>
      </w:r>
      <w:r w:rsidRPr="00DE7DBC">
        <w:rPr>
          <w:lang w:val="en-GB"/>
        </w:rPr>
        <w:t>applies green and smart solutions and makes communities and institutions stronger. Improvements at scale in these areas will create the space and conditions for improved quality of life and will contribute to reducing outmigration.</w:t>
      </w:r>
    </w:p>
    <w:p w14:paraId="7E4A5421" w14:textId="5EFFB5FC"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To foster sustainable and inclusive growth, UNDP will lever</w:t>
      </w:r>
      <w:r w:rsidR="0096494E">
        <w:rPr>
          <w:lang w:val="en-GB"/>
        </w:rPr>
        <w:t>age</w:t>
      </w:r>
      <w:r w:rsidRPr="00DE7DBC">
        <w:rPr>
          <w:lang w:val="en-GB"/>
        </w:rPr>
        <w:t xml:space="preserve"> and integrate the environment and economic development sectors towards </w:t>
      </w:r>
      <w:r w:rsidR="0096494E">
        <w:rPr>
          <w:lang w:val="en-GB"/>
        </w:rPr>
        <w:t xml:space="preserve">a </w:t>
      </w:r>
      <w:r w:rsidRPr="00DE7DBC">
        <w:rPr>
          <w:lang w:val="en-GB"/>
        </w:rPr>
        <w:t xml:space="preserve">low-carbon economy, environment protection and resilience. The </w:t>
      </w:r>
      <w:r w:rsidR="0096494E">
        <w:rPr>
          <w:lang w:val="en-GB"/>
        </w:rPr>
        <w:t xml:space="preserve">country </w:t>
      </w:r>
      <w:r w:rsidRPr="00DE7DBC">
        <w:rPr>
          <w:lang w:val="en-GB"/>
        </w:rPr>
        <w:t xml:space="preserve">programme will support low-carbon economic development focused on productive sectors and fast-growing industries, including by tapping into diaspora capital. In partnership with </w:t>
      </w:r>
      <w:r w:rsidR="0096494E">
        <w:rPr>
          <w:lang w:val="en-GB"/>
        </w:rPr>
        <w:t xml:space="preserve">national </w:t>
      </w:r>
      <w:r w:rsidRPr="00DE7DBC">
        <w:rPr>
          <w:lang w:val="en-GB"/>
        </w:rPr>
        <w:t xml:space="preserve">authorities, </w:t>
      </w:r>
      <w:r w:rsidR="00E40180" w:rsidRPr="00DE7DBC">
        <w:rPr>
          <w:lang w:val="en-GB"/>
        </w:rPr>
        <w:t>development partners</w:t>
      </w:r>
      <w:r w:rsidRPr="00DE7DBC">
        <w:rPr>
          <w:lang w:val="en-GB"/>
        </w:rPr>
        <w:t>, U</w:t>
      </w:r>
      <w:r w:rsidR="0096494E">
        <w:rPr>
          <w:lang w:val="en-GB"/>
        </w:rPr>
        <w:t xml:space="preserve">nited </w:t>
      </w:r>
      <w:r w:rsidRPr="00DE7DBC">
        <w:rPr>
          <w:lang w:val="en-GB"/>
        </w:rPr>
        <w:t>N</w:t>
      </w:r>
      <w:r w:rsidR="0096494E">
        <w:rPr>
          <w:lang w:val="en-GB"/>
        </w:rPr>
        <w:t>ations</w:t>
      </w:r>
      <w:r w:rsidRPr="00DE7DBC">
        <w:rPr>
          <w:lang w:val="en-GB"/>
        </w:rPr>
        <w:t xml:space="preserve"> </w:t>
      </w:r>
      <w:r w:rsidR="0096494E">
        <w:rPr>
          <w:lang w:val="en-GB"/>
        </w:rPr>
        <w:t xml:space="preserve">organizations </w:t>
      </w:r>
      <w:r w:rsidRPr="00DE7DBC">
        <w:rPr>
          <w:lang w:val="en-GB"/>
        </w:rPr>
        <w:t xml:space="preserve">and the private sector, UNDP will support </w:t>
      </w:r>
      <w:r w:rsidR="0096494E">
        <w:rPr>
          <w:lang w:val="en-GB"/>
        </w:rPr>
        <w:t xml:space="preserve">economic </w:t>
      </w:r>
      <w:r w:rsidRPr="00DE7DBC">
        <w:rPr>
          <w:lang w:val="en-GB"/>
        </w:rPr>
        <w:lastRenderedPageBreak/>
        <w:t>recovery from the COVID-19 pandemic crisis, including by introducing e-business, e-commerce and digital economy assistance packages to small business</w:t>
      </w:r>
      <w:r w:rsidR="0096494E">
        <w:rPr>
          <w:lang w:val="en-GB"/>
        </w:rPr>
        <w:t>es</w:t>
      </w:r>
      <w:r w:rsidRPr="00DE7DBC">
        <w:rPr>
          <w:lang w:val="en-GB"/>
        </w:rPr>
        <w:t xml:space="preserve">, </w:t>
      </w:r>
      <w:r w:rsidR="0096494E">
        <w:rPr>
          <w:lang w:val="en-GB"/>
        </w:rPr>
        <w:t xml:space="preserve">and it will </w:t>
      </w:r>
      <w:r w:rsidRPr="00DE7DBC">
        <w:rPr>
          <w:lang w:val="en-GB"/>
        </w:rPr>
        <w:t>transition towards circular</w:t>
      </w:r>
      <w:r w:rsidR="0096494E">
        <w:rPr>
          <w:lang w:val="en-GB"/>
        </w:rPr>
        <w:t xml:space="preserve">, </w:t>
      </w:r>
      <w:r w:rsidRPr="00DE7DBC">
        <w:rPr>
          <w:lang w:val="en-GB"/>
        </w:rPr>
        <w:t xml:space="preserve">low-carbon production cycles. </w:t>
      </w:r>
      <w:r w:rsidR="0018210C" w:rsidRPr="0018210C">
        <w:rPr>
          <w:lang w:val="en-GB"/>
        </w:rPr>
        <w:t xml:space="preserve"> To </w:t>
      </w:r>
      <w:r w:rsidRPr="0018210C">
        <w:rPr>
          <w:lang w:val="en-GB"/>
        </w:rPr>
        <w:t xml:space="preserve">respond </w:t>
      </w:r>
      <w:r w:rsidR="0018210C">
        <w:rPr>
          <w:lang w:val="en-GB"/>
        </w:rPr>
        <w:t xml:space="preserve">adequately </w:t>
      </w:r>
      <w:r w:rsidRPr="0018210C">
        <w:rPr>
          <w:lang w:val="en-GB"/>
        </w:rPr>
        <w:t xml:space="preserve">to the complexities and interaction between climate, </w:t>
      </w:r>
      <w:r w:rsidR="0096494E" w:rsidRPr="0018210C">
        <w:rPr>
          <w:lang w:val="en-GB"/>
        </w:rPr>
        <w:t xml:space="preserve">the </w:t>
      </w:r>
      <w:r w:rsidRPr="0018210C">
        <w:rPr>
          <w:lang w:val="en-GB"/>
        </w:rPr>
        <w:t xml:space="preserve">environment and </w:t>
      </w:r>
      <w:r w:rsidR="0096494E" w:rsidRPr="0018210C">
        <w:rPr>
          <w:lang w:val="en-GB"/>
        </w:rPr>
        <w:t xml:space="preserve">a </w:t>
      </w:r>
      <w:r w:rsidRPr="0018210C">
        <w:rPr>
          <w:lang w:val="en-GB"/>
        </w:rPr>
        <w:t xml:space="preserve">low-carbon </w:t>
      </w:r>
      <w:r w:rsidR="007A5EA7" w:rsidRPr="0018210C">
        <w:rPr>
          <w:lang w:val="en-GB"/>
        </w:rPr>
        <w:t>economy,</w:t>
      </w:r>
      <w:r w:rsidRPr="0018210C">
        <w:rPr>
          <w:lang w:val="en-GB"/>
        </w:rPr>
        <w:t xml:space="preserve"> UNDP will galvaniz</w:t>
      </w:r>
      <w:r w:rsidR="0096494E" w:rsidRPr="0018210C">
        <w:rPr>
          <w:lang w:val="en-GB"/>
        </w:rPr>
        <w:t>e</w:t>
      </w:r>
      <w:r w:rsidRPr="0018210C">
        <w:rPr>
          <w:lang w:val="en-GB"/>
        </w:rPr>
        <w:t xml:space="preserve"> collaboration among the private sector, authorities, academia and technology hubs, piloting innovative policy labs and solutions. To support decent work and contribute to people</w:t>
      </w:r>
      <w:r w:rsidR="0096494E" w:rsidRPr="0018210C">
        <w:rPr>
          <w:lang w:val="en-GB"/>
        </w:rPr>
        <w:t>’s</w:t>
      </w:r>
      <w:r w:rsidRPr="0018210C">
        <w:rPr>
          <w:lang w:val="en-GB"/>
        </w:rPr>
        <w:t xml:space="preserve"> staying in the country, UNDP partners with the Government of Norway, the </w:t>
      </w:r>
      <w:r w:rsidR="0096494E" w:rsidRPr="0018210C">
        <w:rPr>
          <w:lang w:val="en-GB"/>
        </w:rPr>
        <w:t xml:space="preserve">European Union </w:t>
      </w:r>
      <w:r w:rsidRPr="0018210C">
        <w:rPr>
          <w:lang w:val="en-GB"/>
        </w:rPr>
        <w:t>and the Government of Italy</w:t>
      </w:r>
      <w:r w:rsidR="0096494E" w:rsidRPr="0018210C">
        <w:rPr>
          <w:lang w:val="en-GB"/>
        </w:rPr>
        <w:t>,</w:t>
      </w:r>
      <w:r w:rsidRPr="0018210C">
        <w:rPr>
          <w:lang w:val="en-GB"/>
        </w:rPr>
        <w:t xml:space="preserve"> </w:t>
      </w:r>
      <w:r w:rsidR="007A5EA7">
        <w:rPr>
          <w:lang w:val="en-GB"/>
        </w:rPr>
        <w:t>to</w:t>
      </w:r>
      <w:r w:rsidR="007A5EA7" w:rsidRPr="0018210C">
        <w:rPr>
          <w:lang w:val="en-GB"/>
        </w:rPr>
        <w:t xml:space="preserve"> advance</w:t>
      </w:r>
      <w:r w:rsidRPr="0018210C">
        <w:rPr>
          <w:lang w:val="en-GB"/>
        </w:rPr>
        <w:t xml:space="preserve"> entrepreneurship and 21</w:t>
      </w:r>
      <w:r w:rsidRPr="0018210C">
        <w:rPr>
          <w:vertAlign w:val="superscript"/>
          <w:lang w:val="en-GB"/>
        </w:rPr>
        <w:t>st</w:t>
      </w:r>
      <w:r w:rsidRPr="0018210C">
        <w:rPr>
          <w:lang w:val="en-GB"/>
        </w:rPr>
        <w:t xml:space="preserve"> century skills</w:t>
      </w:r>
      <w:r w:rsidR="0096494E" w:rsidRPr="0018210C">
        <w:rPr>
          <w:lang w:val="en-GB"/>
        </w:rPr>
        <w:t xml:space="preserve"> </w:t>
      </w:r>
      <w:r w:rsidR="00E90BA3">
        <w:rPr>
          <w:lang w:val="en-GB"/>
        </w:rPr>
        <w:t xml:space="preserve">and </w:t>
      </w:r>
      <w:r w:rsidRPr="0018210C">
        <w:rPr>
          <w:lang w:val="en-GB"/>
        </w:rPr>
        <w:t>clos</w:t>
      </w:r>
      <w:r w:rsidR="0096494E" w:rsidRPr="0018210C">
        <w:rPr>
          <w:lang w:val="en-GB"/>
        </w:rPr>
        <w:t>e</w:t>
      </w:r>
      <w:r w:rsidRPr="0018210C">
        <w:rPr>
          <w:lang w:val="en-GB"/>
        </w:rPr>
        <w:t xml:space="preserve"> the skill gaps that prevent some groups – particularly </w:t>
      </w:r>
      <w:r w:rsidR="0096494E" w:rsidRPr="0018210C">
        <w:rPr>
          <w:lang w:val="en-GB"/>
        </w:rPr>
        <w:t>youth</w:t>
      </w:r>
      <w:r w:rsidRPr="0018210C">
        <w:rPr>
          <w:lang w:val="en-GB"/>
        </w:rPr>
        <w:t>, women and persons with disabilities –</w:t>
      </w:r>
      <w:r w:rsidR="0096494E" w:rsidRPr="00E90BA3">
        <w:rPr>
          <w:lang w:val="en-GB"/>
        </w:rPr>
        <w:t xml:space="preserve"> from </w:t>
      </w:r>
      <w:r w:rsidRPr="00E90BA3">
        <w:rPr>
          <w:lang w:val="en-GB"/>
        </w:rPr>
        <w:t>enter</w:t>
      </w:r>
      <w:r w:rsidR="0096494E" w:rsidRPr="00E90BA3">
        <w:rPr>
          <w:lang w:val="en-GB"/>
        </w:rPr>
        <w:t>ing</w:t>
      </w:r>
      <w:r w:rsidRPr="00E90BA3">
        <w:rPr>
          <w:lang w:val="en-GB"/>
        </w:rPr>
        <w:t xml:space="preserve"> the labour market. UNDP will facilitate private sector and IFI engagement in the implementation of the </w:t>
      </w:r>
      <w:r w:rsidR="00C35CED" w:rsidRPr="00E90BA3">
        <w:rPr>
          <w:lang w:val="en-GB"/>
        </w:rPr>
        <w:t>Sustainable Development Goals</w:t>
      </w:r>
      <w:r w:rsidRPr="00E90BA3">
        <w:rPr>
          <w:lang w:val="en-GB"/>
        </w:rPr>
        <w:t xml:space="preserve"> Framework</w:t>
      </w:r>
      <w:r w:rsidRPr="0018210C">
        <w:rPr>
          <w:lang w:val="en-GB"/>
        </w:rPr>
        <w:t>, including by introduc</w:t>
      </w:r>
      <w:r w:rsidR="0096494E" w:rsidRPr="0018210C">
        <w:rPr>
          <w:lang w:val="en-GB"/>
        </w:rPr>
        <w:t>ing</w:t>
      </w:r>
      <w:r w:rsidRPr="0018210C">
        <w:rPr>
          <w:lang w:val="en-GB"/>
        </w:rPr>
        <w:t xml:space="preserve"> sustainable business models </w:t>
      </w:r>
      <w:r w:rsidR="0096494E" w:rsidRPr="0018210C">
        <w:rPr>
          <w:lang w:val="en-GB"/>
        </w:rPr>
        <w:t xml:space="preserve">and by </w:t>
      </w:r>
      <w:r w:rsidRPr="0018210C">
        <w:rPr>
          <w:lang w:val="en-GB"/>
        </w:rPr>
        <w:t>helping</w:t>
      </w:r>
      <w:r w:rsidRPr="00DE7DBC">
        <w:rPr>
          <w:lang w:val="en-GB"/>
        </w:rPr>
        <w:t xml:space="preserve"> overcome natural</w:t>
      </w:r>
      <w:r w:rsidR="0096494E">
        <w:rPr>
          <w:lang w:val="en-GB"/>
        </w:rPr>
        <w:t xml:space="preserve"> and human-induced</w:t>
      </w:r>
      <w:r w:rsidRPr="00DE7DBC">
        <w:rPr>
          <w:lang w:val="en-GB"/>
        </w:rPr>
        <w:t xml:space="preserve"> cris</w:t>
      </w:r>
      <w:r w:rsidR="0096494E">
        <w:rPr>
          <w:lang w:val="en-GB"/>
        </w:rPr>
        <w:t>e</w:t>
      </w:r>
      <w:r w:rsidRPr="00DE7DBC">
        <w:rPr>
          <w:lang w:val="en-GB"/>
        </w:rPr>
        <w:t xml:space="preserve">s. To </w:t>
      </w:r>
      <w:r w:rsidR="0096494E">
        <w:rPr>
          <w:lang w:val="en-GB"/>
        </w:rPr>
        <w:t xml:space="preserve">ease </w:t>
      </w:r>
      <w:r w:rsidRPr="00DE7DBC">
        <w:rPr>
          <w:lang w:val="en-GB"/>
        </w:rPr>
        <w:t xml:space="preserve">pressure on </w:t>
      </w:r>
      <w:r w:rsidR="0096494E">
        <w:rPr>
          <w:lang w:val="en-GB"/>
        </w:rPr>
        <w:t xml:space="preserve">the </w:t>
      </w:r>
      <w:r w:rsidRPr="00DE7DBC">
        <w:rPr>
          <w:lang w:val="en-GB"/>
        </w:rPr>
        <w:t xml:space="preserve">environment and ensure </w:t>
      </w:r>
      <w:r w:rsidR="0096494E">
        <w:rPr>
          <w:lang w:val="en-GB"/>
        </w:rPr>
        <w:t xml:space="preserve">a </w:t>
      </w:r>
      <w:r w:rsidRPr="00DE7DBC">
        <w:rPr>
          <w:lang w:val="en-GB"/>
        </w:rPr>
        <w:t xml:space="preserve">resilient economy, UNDP will support measures towards </w:t>
      </w:r>
      <w:r w:rsidR="0096494E">
        <w:rPr>
          <w:lang w:val="en-GB"/>
        </w:rPr>
        <w:t xml:space="preserve">the </w:t>
      </w:r>
      <w:r w:rsidRPr="00DE7DBC">
        <w:rPr>
          <w:lang w:val="en-GB"/>
        </w:rPr>
        <w:t xml:space="preserve">circular and digital economy, stimulated by adequate policy frameworks. UNDP will further raise the level of ambition </w:t>
      </w:r>
      <w:r w:rsidR="0096494E">
        <w:rPr>
          <w:lang w:val="en-GB"/>
        </w:rPr>
        <w:t xml:space="preserve">for a </w:t>
      </w:r>
      <w:r w:rsidRPr="00DE7DBC">
        <w:rPr>
          <w:lang w:val="en-GB"/>
        </w:rPr>
        <w:t xml:space="preserve">gender-sensitive climate policy and expand the climate change adaptation and mitigation portfolio, with energy, water management and disaster risk management and air quality serving as poles of growth. </w:t>
      </w:r>
      <w:r w:rsidR="00E90BA3">
        <w:rPr>
          <w:lang w:val="en-GB"/>
        </w:rPr>
        <w:t>E</w:t>
      </w:r>
      <w:r w:rsidRPr="00DE7DBC">
        <w:rPr>
          <w:lang w:val="en-GB"/>
        </w:rPr>
        <w:t>xpanding partnerships with the Global Environment Facility, the Green Climate Fund and other vertical funds will be critical for achieving results. UNDP will support implementation of nature-based solutions, essential for tackling multiple developmental challenges, be they climate cris</w:t>
      </w:r>
      <w:r w:rsidR="0096494E">
        <w:rPr>
          <w:lang w:val="en-GB"/>
        </w:rPr>
        <w:t>e</w:t>
      </w:r>
      <w:r w:rsidRPr="00DE7DBC">
        <w:rPr>
          <w:lang w:val="en-GB"/>
        </w:rPr>
        <w:t xml:space="preserve">s, inequality or poverty. A portfolio of innovative experiments by the Accelerator Lab will boost these efforts. This priority derives from the first outcome of the Cooperation </w:t>
      </w:r>
      <w:r w:rsidR="00A94D10" w:rsidRPr="00DE7DBC">
        <w:rPr>
          <w:lang w:val="en-GB"/>
        </w:rPr>
        <w:t>F</w:t>
      </w:r>
      <w:r w:rsidRPr="00DE7DBC">
        <w:rPr>
          <w:lang w:val="en-GB"/>
        </w:rPr>
        <w:t xml:space="preserve">ramework for Bosnia and Herzegovina and contributes to </w:t>
      </w:r>
      <w:r w:rsidR="004015A4" w:rsidRPr="00DE7DBC">
        <w:rPr>
          <w:lang w:val="en-GB"/>
        </w:rPr>
        <w:t>Goals</w:t>
      </w:r>
      <w:r w:rsidRPr="00DE7DBC">
        <w:rPr>
          <w:lang w:val="en-GB"/>
        </w:rPr>
        <w:t xml:space="preserve"> 1, 2, 5, 7, 8, 9, 10, 12, 13, 15. </w:t>
      </w:r>
    </w:p>
    <w:p w14:paraId="048A7EE3" w14:textId="674F0D81"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Within the people-centred governance area, UNDP will add value to U</w:t>
      </w:r>
      <w:r w:rsidR="003656DB">
        <w:rPr>
          <w:lang w:val="en-GB"/>
        </w:rPr>
        <w:t xml:space="preserve">nited </w:t>
      </w:r>
      <w:r w:rsidRPr="00DE7DBC">
        <w:rPr>
          <w:lang w:val="en-GB"/>
        </w:rPr>
        <w:t>N</w:t>
      </w:r>
      <w:r w:rsidR="003656DB">
        <w:rPr>
          <w:lang w:val="en-GB"/>
        </w:rPr>
        <w:t>ations</w:t>
      </w:r>
      <w:r w:rsidRPr="00DE7DBC">
        <w:rPr>
          <w:lang w:val="en-GB"/>
        </w:rPr>
        <w:t xml:space="preserve"> </w:t>
      </w:r>
      <w:r w:rsidR="003656DB">
        <w:rPr>
          <w:lang w:val="en-GB"/>
        </w:rPr>
        <w:t xml:space="preserve">system efforts </w:t>
      </w:r>
      <w:r w:rsidRPr="00DE7DBC">
        <w:rPr>
          <w:lang w:val="en-GB"/>
        </w:rPr>
        <w:t xml:space="preserve">to support authorities </w:t>
      </w:r>
      <w:r w:rsidR="003656DB">
        <w:rPr>
          <w:lang w:val="en-GB"/>
        </w:rPr>
        <w:t xml:space="preserve">in </w:t>
      </w:r>
      <w:r w:rsidRPr="00DE7DBC">
        <w:rPr>
          <w:lang w:val="en-GB"/>
        </w:rPr>
        <w:t>integrat</w:t>
      </w:r>
      <w:r w:rsidR="003656DB">
        <w:rPr>
          <w:lang w:val="en-GB"/>
        </w:rPr>
        <w:t>ing</w:t>
      </w:r>
      <w:r w:rsidRPr="00DE7DBC">
        <w:rPr>
          <w:lang w:val="en-GB"/>
        </w:rPr>
        <w:t xml:space="preserve"> the </w:t>
      </w:r>
      <w:r w:rsidR="004015A4" w:rsidRPr="00DE7DBC">
        <w:rPr>
          <w:lang w:val="en-GB"/>
        </w:rPr>
        <w:t>Sustainable Development Goals</w:t>
      </w:r>
      <w:r w:rsidRPr="00DE7DBC">
        <w:rPr>
          <w:lang w:val="en-GB"/>
        </w:rPr>
        <w:t xml:space="preserve"> Framework into </w:t>
      </w:r>
      <w:r w:rsidR="00F406B4">
        <w:rPr>
          <w:lang w:val="en-GB"/>
        </w:rPr>
        <w:t>country</w:t>
      </w:r>
      <w:r w:rsidR="003656DB">
        <w:rPr>
          <w:lang w:val="en-GB"/>
        </w:rPr>
        <w:t xml:space="preserve"> </w:t>
      </w:r>
      <w:r w:rsidRPr="00DE7DBC">
        <w:rPr>
          <w:lang w:val="en-GB"/>
        </w:rPr>
        <w:t xml:space="preserve">strategic planning documents </w:t>
      </w:r>
      <w:r w:rsidR="003656DB">
        <w:rPr>
          <w:lang w:val="en-GB"/>
        </w:rPr>
        <w:t xml:space="preserve">and in subsequently </w:t>
      </w:r>
      <w:r w:rsidRPr="00DE7DBC">
        <w:rPr>
          <w:lang w:val="en-GB"/>
        </w:rPr>
        <w:t>implement</w:t>
      </w:r>
      <w:r w:rsidR="003656DB">
        <w:rPr>
          <w:lang w:val="en-GB"/>
        </w:rPr>
        <w:t>ing them</w:t>
      </w:r>
      <w:r w:rsidRPr="00DE7DBC">
        <w:rPr>
          <w:lang w:val="en-GB"/>
        </w:rPr>
        <w:t xml:space="preserve">. UNDP </w:t>
      </w:r>
      <w:r w:rsidR="003656DB">
        <w:rPr>
          <w:lang w:val="en-GB"/>
        </w:rPr>
        <w:t xml:space="preserve">will </w:t>
      </w:r>
      <w:r w:rsidRPr="00DE7DBC">
        <w:rPr>
          <w:lang w:val="en-GB"/>
        </w:rPr>
        <w:t>support the country-wide harmoni</w:t>
      </w:r>
      <w:r w:rsidR="003656DB">
        <w:rPr>
          <w:lang w:val="en-GB"/>
        </w:rPr>
        <w:t>z</w:t>
      </w:r>
      <w:r w:rsidRPr="00DE7DBC">
        <w:rPr>
          <w:lang w:val="en-GB"/>
        </w:rPr>
        <w:t xml:space="preserve">ed strategic planning system </w:t>
      </w:r>
      <w:r w:rsidR="003656DB">
        <w:rPr>
          <w:lang w:val="en-GB"/>
        </w:rPr>
        <w:t xml:space="preserve">and </w:t>
      </w:r>
      <w:r w:rsidR="00F406B4">
        <w:rPr>
          <w:lang w:val="en-GB"/>
        </w:rPr>
        <w:t xml:space="preserve">its </w:t>
      </w:r>
      <w:r w:rsidRPr="00DE7DBC">
        <w:rPr>
          <w:lang w:val="en-GB"/>
        </w:rPr>
        <w:t>effective connect</w:t>
      </w:r>
      <w:r w:rsidR="003656DB">
        <w:rPr>
          <w:lang w:val="en-GB"/>
        </w:rPr>
        <w:t>i</w:t>
      </w:r>
      <w:r w:rsidR="00F406B4">
        <w:rPr>
          <w:lang w:val="en-GB"/>
        </w:rPr>
        <w:t>on</w:t>
      </w:r>
      <w:r w:rsidR="003656DB">
        <w:rPr>
          <w:lang w:val="en-GB"/>
        </w:rPr>
        <w:t xml:space="preserve"> </w:t>
      </w:r>
      <w:r w:rsidR="00F406B4">
        <w:rPr>
          <w:lang w:val="en-GB"/>
        </w:rPr>
        <w:t>with</w:t>
      </w:r>
      <w:r w:rsidR="003656DB">
        <w:rPr>
          <w:lang w:val="en-GB"/>
        </w:rPr>
        <w:t xml:space="preserve"> </w:t>
      </w:r>
      <w:r w:rsidRPr="00DE7DBC">
        <w:rPr>
          <w:lang w:val="en-GB"/>
        </w:rPr>
        <w:t xml:space="preserve">the budget. In partnership with </w:t>
      </w:r>
      <w:r w:rsidR="003656DB">
        <w:rPr>
          <w:lang w:val="en-GB"/>
        </w:rPr>
        <w:t>the International Labour Organization (</w:t>
      </w:r>
      <w:r w:rsidR="003656DB" w:rsidRPr="00DE7DBC">
        <w:rPr>
          <w:lang w:val="en-GB"/>
        </w:rPr>
        <w:t>ILO</w:t>
      </w:r>
      <w:r w:rsidR="003656DB">
        <w:rPr>
          <w:lang w:val="en-GB"/>
        </w:rPr>
        <w:t>)</w:t>
      </w:r>
      <w:r w:rsidR="003656DB" w:rsidRPr="00DE7DBC">
        <w:rPr>
          <w:lang w:val="en-GB"/>
        </w:rPr>
        <w:t xml:space="preserve">, </w:t>
      </w:r>
      <w:r w:rsidR="003656DB">
        <w:rPr>
          <w:lang w:val="en-GB"/>
        </w:rPr>
        <w:t>United Nations Children’s Fund (</w:t>
      </w:r>
      <w:r w:rsidRPr="00DE7DBC">
        <w:rPr>
          <w:lang w:val="en-GB"/>
        </w:rPr>
        <w:t>UNICEF</w:t>
      </w:r>
      <w:r w:rsidR="003656DB">
        <w:rPr>
          <w:lang w:val="en-GB"/>
        </w:rPr>
        <w:t>)</w:t>
      </w:r>
      <w:r w:rsidRPr="00DE7DBC">
        <w:rPr>
          <w:lang w:val="en-GB"/>
        </w:rPr>
        <w:t xml:space="preserve">, </w:t>
      </w:r>
      <w:r w:rsidR="003656DB">
        <w:rPr>
          <w:lang w:val="en-GB"/>
        </w:rPr>
        <w:t xml:space="preserve">the United Nations </w:t>
      </w:r>
      <w:r w:rsidR="007A5EA7">
        <w:rPr>
          <w:lang w:val="en-GB"/>
        </w:rPr>
        <w:t>Educational</w:t>
      </w:r>
      <w:r w:rsidR="003656DB">
        <w:rPr>
          <w:lang w:val="en-GB"/>
        </w:rPr>
        <w:t>, Scientific and Cultural Organization (</w:t>
      </w:r>
      <w:r w:rsidR="003656DB" w:rsidRPr="00DE7DBC">
        <w:rPr>
          <w:lang w:val="en-GB"/>
        </w:rPr>
        <w:t>UNESCO</w:t>
      </w:r>
      <w:r w:rsidR="003656DB">
        <w:rPr>
          <w:lang w:val="en-GB"/>
        </w:rPr>
        <w:t>),</w:t>
      </w:r>
      <w:r w:rsidR="003656DB" w:rsidRPr="00DE7DBC">
        <w:rPr>
          <w:lang w:val="en-GB"/>
        </w:rPr>
        <w:t xml:space="preserve"> </w:t>
      </w:r>
      <w:r w:rsidR="003656DB">
        <w:rPr>
          <w:lang w:val="en-GB"/>
        </w:rPr>
        <w:t>the United Nations Entity for Gender Equality and the Empowerment of Women (</w:t>
      </w:r>
      <w:r w:rsidR="003656DB" w:rsidRPr="00DE7DBC">
        <w:rPr>
          <w:lang w:val="en-GB"/>
        </w:rPr>
        <w:t>UN</w:t>
      </w:r>
      <w:r w:rsidR="003656DB">
        <w:rPr>
          <w:lang w:val="en-GB"/>
        </w:rPr>
        <w:t>-</w:t>
      </w:r>
      <w:r w:rsidR="003656DB" w:rsidRPr="00DE7DBC">
        <w:rPr>
          <w:lang w:val="en-GB"/>
        </w:rPr>
        <w:t>Women</w:t>
      </w:r>
      <w:r w:rsidR="003656DB">
        <w:rPr>
          <w:lang w:val="en-GB"/>
        </w:rPr>
        <w:t>) and the World Health Organization (</w:t>
      </w:r>
      <w:r w:rsidRPr="00DE7DBC">
        <w:rPr>
          <w:lang w:val="en-GB"/>
        </w:rPr>
        <w:t>WHO</w:t>
      </w:r>
      <w:r w:rsidR="003656DB">
        <w:rPr>
          <w:lang w:val="en-GB"/>
        </w:rPr>
        <w:t>)</w:t>
      </w:r>
      <w:r w:rsidRPr="00DE7DBC">
        <w:rPr>
          <w:lang w:val="en-GB"/>
        </w:rPr>
        <w:t xml:space="preserve">, UNDP will support </w:t>
      </w:r>
      <w:r w:rsidR="003656DB">
        <w:rPr>
          <w:lang w:val="en-GB"/>
        </w:rPr>
        <w:t xml:space="preserve">national </w:t>
      </w:r>
      <w:r w:rsidRPr="00DE7DBC">
        <w:rPr>
          <w:lang w:val="en-GB"/>
        </w:rPr>
        <w:t xml:space="preserve">authorities </w:t>
      </w:r>
      <w:r w:rsidR="003656DB">
        <w:rPr>
          <w:lang w:val="en-GB"/>
        </w:rPr>
        <w:t xml:space="preserve">to </w:t>
      </w:r>
      <w:r w:rsidR="004471AA" w:rsidRPr="00DE7DBC">
        <w:rPr>
          <w:lang w:val="en-GB"/>
        </w:rPr>
        <w:t>align the</w:t>
      </w:r>
      <w:r w:rsidRPr="00DE7DBC">
        <w:rPr>
          <w:lang w:val="en-GB"/>
        </w:rPr>
        <w:t xml:space="preserve"> public finance system </w:t>
      </w:r>
      <w:r w:rsidR="00E47598" w:rsidRPr="00DE7DBC">
        <w:rPr>
          <w:lang w:val="en-GB"/>
        </w:rPr>
        <w:t xml:space="preserve">with the Goals </w:t>
      </w:r>
      <w:r w:rsidRPr="00DE7DBC">
        <w:rPr>
          <w:lang w:val="en-GB"/>
        </w:rPr>
        <w:t>and create conditions to catalyse private sector financing for sustainable development. UNDP will continue to engage with partners at all levels through a next generation local governance portfolio, focusing on quality and inclusive service delivery, public finance management, utility governance, as well as future cities and sustainable urban development. UNDP will collaborate with authorities at entity and state level on initiatives focus</w:t>
      </w:r>
      <w:r w:rsidR="003656DB">
        <w:rPr>
          <w:lang w:val="en-GB"/>
        </w:rPr>
        <w:t>ed</w:t>
      </w:r>
      <w:r w:rsidRPr="00DE7DBC">
        <w:rPr>
          <w:lang w:val="en-GB"/>
        </w:rPr>
        <w:t xml:space="preserve"> on new capabilities, digital transformation and e-governance, which is expected to have a democratizing effect, strengthening the social contract and improving public performance. As much as </w:t>
      </w:r>
      <w:r w:rsidR="003656DB">
        <w:rPr>
          <w:lang w:val="en-GB"/>
        </w:rPr>
        <w:t xml:space="preserve">it </w:t>
      </w:r>
      <w:r w:rsidRPr="00DE7DBC">
        <w:rPr>
          <w:lang w:val="en-GB"/>
        </w:rPr>
        <w:t>pos</w:t>
      </w:r>
      <w:r w:rsidR="003656DB">
        <w:rPr>
          <w:lang w:val="en-GB"/>
        </w:rPr>
        <w:t>es</w:t>
      </w:r>
      <w:r w:rsidRPr="00DE7DBC">
        <w:rPr>
          <w:lang w:val="en-GB"/>
        </w:rPr>
        <w:t xml:space="preserve"> challenges to public service, the COVID-19 </w:t>
      </w:r>
      <w:r w:rsidR="003656DB">
        <w:rPr>
          <w:lang w:val="en-GB"/>
        </w:rPr>
        <w:t xml:space="preserve">pandemic </w:t>
      </w:r>
      <w:r w:rsidRPr="00DE7DBC">
        <w:rPr>
          <w:lang w:val="en-GB"/>
        </w:rPr>
        <w:t>provides a strategic opportunity for a shift towards e-government and e-services that enable</w:t>
      </w:r>
      <w:r w:rsidR="00200213">
        <w:rPr>
          <w:lang w:val="en-GB"/>
        </w:rPr>
        <w:t>s</w:t>
      </w:r>
      <w:r w:rsidRPr="00DE7DBC">
        <w:rPr>
          <w:lang w:val="en-GB"/>
        </w:rPr>
        <w:t xml:space="preserve"> more effective, accessible and uninterrupted public service</w:t>
      </w:r>
      <w:r w:rsidR="003656DB">
        <w:rPr>
          <w:lang w:val="en-GB"/>
        </w:rPr>
        <w:t>,</w:t>
      </w:r>
      <w:r w:rsidRPr="00DE7DBC">
        <w:rPr>
          <w:lang w:val="en-GB"/>
        </w:rPr>
        <w:t xml:space="preserve"> alongside improved inter-institutional crisis management and response. UNDP will </w:t>
      </w:r>
      <w:r w:rsidR="00F406B4">
        <w:rPr>
          <w:lang w:val="en-GB"/>
        </w:rPr>
        <w:t>further</w:t>
      </w:r>
      <w:r w:rsidR="003656DB">
        <w:rPr>
          <w:lang w:val="en-GB"/>
        </w:rPr>
        <w:t xml:space="preserve"> </w:t>
      </w:r>
      <w:r w:rsidRPr="00DE7DBC">
        <w:rPr>
          <w:lang w:val="en-GB"/>
        </w:rPr>
        <w:t xml:space="preserve">support security institutions </w:t>
      </w:r>
      <w:r w:rsidR="003656DB">
        <w:rPr>
          <w:lang w:val="en-GB"/>
        </w:rPr>
        <w:t xml:space="preserve">for </w:t>
      </w:r>
      <w:r w:rsidRPr="00DE7DBC">
        <w:rPr>
          <w:lang w:val="en-GB"/>
        </w:rPr>
        <w:t xml:space="preserve">better cooperation in a harmonized system, particularly border and police structures, and for </w:t>
      </w:r>
      <w:r w:rsidR="003656DB">
        <w:rPr>
          <w:lang w:val="en-GB"/>
        </w:rPr>
        <w:t xml:space="preserve">the </w:t>
      </w:r>
      <w:r w:rsidRPr="00DE7DBC">
        <w:rPr>
          <w:lang w:val="en-GB"/>
        </w:rPr>
        <w:t>improved effectiveness and transparency of law enforcement institutions through digitalization of systems and services. Based on its strong experience, UNDP will strengthen government resilience to shocks and cris</w:t>
      </w:r>
      <w:r w:rsidR="003656DB">
        <w:rPr>
          <w:lang w:val="en-GB"/>
        </w:rPr>
        <w:t>e</w:t>
      </w:r>
      <w:r w:rsidRPr="00DE7DBC">
        <w:rPr>
          <w:lang w:val="en-GB"/>
        </w:rPr>
        <w:t xml:space="preserve">s, including the COVID-19 </w:t>
      </w:r>
      <w:r w:rsidR="003656DB">
        <w:rPr>
          <w:lang w:val="en-GB"/>
        </w:rPr>
        <w:t>pandemic</w:t>
      </w:r>
      <w:r w:rsidRPr="00DE7DBC">
        <w:rPr>
          <w:lang w:val="en-GB"/>
        </w:rPr>
        <w:t xml:space="preserve">. This priority derives from Cooperation Framework outcome 4 and contributes to </w:t>
      </w:r>
      <w:r w:rsidR="00E47598" w:rsidRPr="00DE7DBC">
        <w:rPr>
          <w:lang w:val="en-GB"/>
        </w:rPr>
        <w:t>Goals</w:t>
      </w:r>
      <w:r w:rsidRPr="00DE7DBC">
        <w:rPr>
          <w:lang w:val="en-GB"/>
        </w:rPr>
        <w:t xml:space="preserve"> 5, 6, 9, 10, 11, 13, 15, 16.</w:t>
      </w:r>
    </w:p>
    <w:p w14:paraId="5032788C" w14:textId="0C3F617C"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Social cohesion will also be among the main priorities</w:t>
      </w:r>
      <w:r w:rsidR="00861189">
        <w:rPr>
          <w:lang w:val="en-GB"/>
        </w:rPr>
        <w:t xml:space="preserve"> and act as an </w:t>
      </w:r>
      <w:r w:rsidRPr="00DE7DBC">
        <w:rPr>
          <w:lang w:val="en-GB"/>
        </w:rPr>
        <w:t>enabl</w:t>
      </w:r>
      <w:r w:rsidR="00861189">
        <w:rPr>
          <w:lang w:val="en-GB"/>
        </w:rPr>
        <w:t xml:space="preserve">er for </w:t>
      </w:r>
      <w:r w:rsidRPr="00DE7DBC">
        <w:rPr>
          <w:lang w:val="en-GB"/>
        </w:rPr>
        <w:t>the rest of the programme. In partnership with UNICEF, UN</w:t>
      </w:r>
      <w:r w:rsidR="00861189">
        <w:rPr>
          <w:lang w:val="en-GB"/>
        </w:rPr>
        <w:t>-</w:t>
      </w:r>
      <w:r w:rsidRPr="00DE7DBC">
        <w:rPr>
          <w:lang w:val="en-GB"/>
        </w:rPr>
        <w:t>Women, the E</w:t>
      </w:r>
      <w:r w:rsidR="00861189">
        <w:rPr>
          <w:lang w:val="en-GB"/>
        </w:rPr>
        <w:t xml:space="preserve">uropean </w:t>
      </w:r>
      <w:r w:rsidRPr="00DE7DBC">
        <w:rPr>
          <w:lang w:val="en-GB"/>
        </w:rPr>
        <w:t>U</w:t>
      </w:r>
      <w:r w:rsidR="00861189">
        <w:rPr>
          <w:lang w:val="en-GB"/>
        </w:rPr>
        <w:t>nion</w:t>
      </w:r>
      <w:r w:rsidRPr="00DE7DBC">
        <w:rPr>
          <w:lang w:val="en-GB"/>
        </w:rPr>
        <w:t xml:space="preserve"> and institutions across governance levels, UNDP will continue to support active and inclusive communities and civil society for sustained dialogue among citizens, including those </w:t>
      </w:r>
      <w:r w:rsidRPr="00DE7DBC">
        <w:rPr>
          <w:lang w:val="en-GB"/>
        </w:rPr>
        <w:lastRenderedPageBreak/>
        <w:t xml:space="preserve">marginalized, and between citizens and governments. UNDP will empower women to claim their space in public life and decision-making. </w:t>
      </w:r>
      <w:r w:rsidR="007A5EA7" w:rsidRPr="00DE7DBC">
        <w:rPr>
          <w:lang w:val="en-GB"/>
        </w:rPr>
        <w:t>Social innovation and modern technologies will be used to bolster solidarity among people</w:t>
      </w:r>
      <w:r w:rsidR="007A5EA7">
        <w:rPr>
          <w:lang w:val="en-GB"/>
        </w:rPr>
        <w:t>.</w:t>
      </w:r>
      <w:r w:rsidR="007A5EA7" w:rsidRPr="00DE7DBC">
        <w:rPr>
          <w:lang w:val="en-GB"/>
        </w:rPr>
        <w:t xml:space="preserve"> </w:t>
      </w:r>
      <w:r w:rsidRPr="00DE7DBC">
        <w:rPr>
          <w:lang w:val="en-GB"/>
        </w:rPr>
        <w:t>To address the latent risk of conflict and bridge social divides, UNDP will support trust</w:t>
      </w:r>
      <w:r w:rsidR="00861189">
        <w:rPr>
          <w:lang w:val="en-GB"/>
        </w:rPr>
        <w:t xml:space="preserve"> </w:t>
      </w:r>
      <w:r w:rsidRPr="00DE7DBC">
        <w:rPr>
          <w:lang w:val="en-GB"/>
        </w:rPr>
        <w:t>building and critical thinking, especially among young people</w:t>
      </w:r>
      <w:r w:rsidR="00861189">
        <w:rPr>
          <w:lang w:val="en-GB"/>
        </w:rPr>
        <w:t>,</w:t>
      </w:r>
      <w:r w:rsidRPr="00DE7DBC">
        <w:rPr>
          <w:lang w:val="en-GB"/>
        </w:rPr>
        <w:t xml:space="preserve"> and will seek to mobili</w:t>
      </w:r>
      <w:r w:rsidR="00861189">
        <w:rPr>
          <w:lang w:val="en-GB"/>
        </w:rPr>
        <w:t>z</w:t>
      </w:r>
      <w:r w:rsidRPr="00DE7DBC">
        <w:rPr>
          <w:lang w:val="en-GB"/>
        </w:rPr>
        <w:t xml:space="preserve">e community action to contribute to </w:t>
      </w:r>
      <w:r w:rsidR="00861189">
        <w:rPr>
          <w:lang w:val="en-GB"/>
        </w:rPr>
        <w:t xml:space="preserve">mitigating </w:t>
      </w:r>
      <w:r w:rsidRPr="00DE7DBC">
        <w:rPr>
          <w:lang w:val="en-GB"/>
        </w:rPr>
        <w:t>the COVID-19 crisis. In collaboration with U</w:t>
      </w:r>
      <w:r w:rsidR="00861189">
        <w:rPr>
          <w:lang w:val="en-GB"/>
        </w:rPr>
        <w:t xml:space="preserve">nited </w:t>
      </w:r>
      <w:r w:rsidRPr="00DE7DBC">
        <w:rPr>
          <w:lang w:val="en-GB"/>
        </w:rPr>
        <w:t>N</w:t>
      </w:r>
      <w:r w:rsidR="00861189">
        <w:rPr>
          <w:lang w:val="en-GB"/>
        </w:rPr>
        <w:t>ations</w:t>
      </w:r>
      <w:r w:rsidRPr="00DE7DBC">
        <w:rPr>
          <w:lang w:val="en-GB"/>
        </w:rPr>
        <w:t xml:space="preserve"> </w:t>
      </w:r>
      <w:r w:rsidR="00861189">
        <w:rPr>
          <w:lang w:val="en-GB"/>
        </w:rPr>
        <w:t xml:space="preserve">organizations </w:t>
      </w:r>
      <w:r w:rsidRPr="00DE7DBC">
        <w:rPr>
          <w:lang w:val="en-GB"/>
        </w:rPr>
        <w:t>and international partners, UNDP will scale up existing domestic and regional peace-building initiatives, further contributing to sustainable peace. UNDP will explore approaches to foster behavioural and mind-set changes in society and mainstream them across the programme for maximi</w:t>
      </w:r>
      <w:r w:rsidR="00861189">
        <w:rPr>
          <w:lang w:val="en-GB"/>
        </w:rPr>
        <w:t>z</w:t>
      </w:r>
      <w:r w:rsidRPr="00DE7DBC">
        <w:rPr>
          <w:lang w:val="en-GB"/>
        </w:rPr>
        <w:t xml:space="preserve">ed effect. This priority derives directly from outcome 5 of the Cooperation Framework and contributes to </w:t>
      </w:r>
      <w:r w:rsidR="00D31728" w:rsidRPr="00DE7DBC">
        <w:rPr>
          <w:lang w:val="en-GB"/>
        </w:rPr>
        <w:t xml:space="preserve"> Goals</w:t>
      </w:r>
      <w:r w:rsidR="00861189">
        <w:rPr>
          <w:lang w:val="en-GB"/>
        </w:rPr>
        <w:t> </w:t>
      </w:r>
      <w:r w:rsidRPr="00DE7DBC">
        <w:rPr>
          <w:lang w:val="en-GB"/>
        </w:rPr>
        <w:t>5, 10 and 16.</w:t>
      </w:r>
    </w:p>
    <w:p w14:paraId="3B476189" w14:textId="4ADECF9F" w:rsidR="0034740F" w:rsidRPr="00DE7DBC" w:rsidRDefault="0034740F" w:rsidP="006A5F9B">
      <w:pPr>
        <w:pStyle w:val="ListParagraph"/>
        <w:numPr>
          <w:ilvl w:val="0"/>
          <w:numId w:val="1"/>
        </w:numPr>
        <w:autoSpaceDE w:val="0"/>
        <w:autoSpaceDN w:val="0"/>
        <w:adjustRightInd w:val="0"/>
        <w:spacing w:after="120"/>
        <w:ind w:left="1267" w:right="1195" w:firstLine="0"/>
        <w:jc w:val="both"/>
        <w:rPr>
          <w:lang w:val="en-GB"/>
        </w:rPr>
      </w:pPr>
      <w:r w:rsidRPr="00DE7DBC">
        <w:rPr>
          <w:lang w:val="en-GB"/>
        </w:rPr>
        <w:t xml:space="preserve">The </w:t>
      </w:r>
      <w:r w:rsidR="00861189">
        <w:rPr>
          <w:lang w:val="en-GB"/>
        </w:rPr>
        <w:t xml:space="preserve">country </w:t>
      </w:r>
      <w:r w:rsidRPr="00DE7DBC">
        <w:rPr>
          <w:lang w:val="en-GB"/>
        </w:rPr>
        <w:t xml:space="preserve">programme will ensure synergies </w:t>
      </w:r>
      <w:r w:rsidR="00861189">
        <w:rPr>
          <w:lang w:val="en-GB"/>
        </w:rPr>
        <w:t xml:space="preserve">across </w:t>
      </w:r>
      <w:r w:rsidRPr="00DE7DBC">
        <w:rPr>
          <w:lang w:val="en-GB"/>
        </w:rPr>
        <w:t>all three areas</w:t>
      </w:r>
      <w:r w:rsidR="00861189">
        <w:rPr>
          <w:lang w:val="en-GB"/>
        </w:rPr>
        <w:t xml:space="preserve">: </w:t>
      </w:r>
      <w:r w:rsidRPr="00DE7DBC">
        <w:rPr>
          <w:lang w:val="en-GB"/>
        </w:rPr>
        <w:t>sustainable growth</w:t>
      </w:r>
      <w:r w:rsidR="00861189">
        <w:rPr>
          <w:lang w:val="en-GB"/>
        </w:rPr>
        <w:t>,</w:t>
      </w:r>
      <w:r w:rsidRPr="00DE7DBC">
        <w:rPr>
          <w:lang w:val="en-GB"/>
        </w:rPr>
        <w:t xml:space="preserve"> social cohesion</w:t>
      </w:r>
      <w:r w:rsidR="00861189">
        <w:rPr>
          <w:lang w:val="en-GB"/>
        </w:rPr>
        <w:t xml:space="preserve">, and </w:t>
      </w:r>
      <w:r w:rsidRPr="00DE7DBC">
        <w:rPr>
          <w:lang w:val="en-GB"/>
        </w:rPr>
        <w:t>good governance. Accelerated, sustainable</w:t>
      </w:r>
      <w:r w:rsidR="00861189">
        <w:rPr>
          <w:lang w:val="en-GB"/>
        </w:rPr>
        <w:t xml:space="preserve">, </w:t>
      </w:r>
      <w:r w:rsidRPr="00DE7DBC">
        <w:rPr>
          <w:lang w:val="en-GB"/>
        </w:rPr>
        <w:t>low-carbon economic growth and shared prosperity in the country depends on the sustainable management of its considerable natural wealth and adequate</w:t>
      </w:r>
      <w:r w:rsidR="00861189">
        <w:rPr>
          <w:lang w:val="en-GB"/>
        </w:rPr>
        <w:t xml:space="preserve"> and </w:t>
      </w:r>
      <w:r w:rsidRPr="00DE7DBC">
        <w:rPr>
          <w:lang w:val="en-GB"/>
        </w:rPr>
        <w:t xml:space="preserve">integrated governance levers. Social inclusion is instrumental for sustainable growth and good governance via active citizens and empowered communities. Resilient development will only be in place if governance systems and growth solutions are resilient to </w:t>
      </w:r>
      <w:r w:rsidR="00861189">
        <w:rPr>
          <w:lang w:val="en-GB"/>
        </w:rPr>
        <w:t xml:space="preserve">human-induced </w:t>
      </w:r>
      <w:r w:rsidRPr="00DE7DBC">
        <w:rPr>
          <w:lang w:val="en-GB"/>
        </w:rPr>
        <w:t xml:space="preserve">and natural risks and crisis. Each priority area is designed to reinforce the rest of the </w:t>
      </w:r>
      <w:r w:rsidR="00861189">
        <w:rPr>
          <w:lang w:val="en-GB"/>
        </w:rPr>
        <w:t xml:space="preserve">country </w:t>
      </w:r>
      <w:r w:rsidRPr="00DE7DBC">
        <w:rPr>
          <w:lang w:val="en-GB"/>
        </w:rPr>
        <w:t>programme for improved quality of life and new opportunities</w:t>
      </w:r>
      <w:r w:rsidR="00861189">
        <w:rPr>
          <w:lang w:val="en-GB"/>
        </w:rPr>
        <w:t>,</w:t>
      </w:r>
      <w:r w:rsidRPr="00DE7DBC">
        <w:rPr>
          <w:lang w:val="en-GB"/>
        </w:rPr>
        <w:t xml:space="preserve"> which motivate people to stay in the country.</w:t>
      </w:r>
    </w:p>
    <w:p w14:paraId="3C7593F8" w14:textId="7D8BBFD1" w:rsidR="0034740F" w:rsidRPr="00DE7DBC" w:rsidRDefault="0034740F" w:rsidP="00C82662">
      <w:pPr>
        <w:pStyle w:val="ListParagraph"/>
        <w:numPr>
          <w:ilvl w:val="0"/>
          <w:numId w:val="1"/>
        </w:numPr>
        <w:autoSpaceDE w:val="0"/>
        <w:autoSpaceDN w:val="0"/>
        <w:adjustRightInd w:val="0"/>
        <w:ind w:left="1267" w:right="1195" w:firstLine="0"/>
        <w:jc w:val="both"/>
        <w:rPr>
          <w:lang w:val="en-GB"/>
        </w:rPr>
      </w:pPr>
      <w:r w:rsidRPr="00DE7DBC">
        <w:rPr>
          <w:lang w:val="en-GB"/>
        </w:rPr>
        <w:t xml:space="preserve">Diverse partnerships will be at the heart of </w:t>
      </w:r>
      <w:r w:rsidR="00861189">
        <w:rPr>
          <w:lang w:val="en-GB"/>
        </w:rPr>
        <w:t xml:space="preserve">country </w:t>
      </w:r>
      <w:r w:rsidRPr="00DE7DBC">
        <w:rPr>
          <w:lang w:val="en-GB"/>
        </w:rPr>
        <w:t xml:space="preserve">programme implementation. UNDP will expand its collaboration with parliaments and governments at all levels, </w:t>
      </w:r>
      <w:r w:rsidR="00861189">
        <w:rPr>
          <w:lang w:val="en-GB"/>
        </w:rPr>
        <w:t xml:space="preserve">and </w:t>
      </w:r>
      <w:r w:rsidRPr="00DE7DBC">
        <w:rPr>
          <w:lang w:val="en-GB"/>
        </w:rPr>
        <w:t>seek to enlarge the network of civil society organi</w:t>
      </w:r>
      <w:r w:rsidR="00861189">
        <w:rPr>
          <w:lang w:val="en-GB"/>
        </w:rPr>
        <w:t>z</w:t>
      </w:r>
      <w:r w:rsidRPr="00DE7DBC">
        <w:rPr>
          <w:lang w:val="en-GB"/>
        </w:rPr>
        <w:t>ations, youth-led groups, media, innovation centres</w:t>
      </w:r>
      <w:r w:rsidR="00861189">
        <w:rPr>
          <w:lang w:val="en-GB"/>
        </w:rPr>
        <w:t xml:space="preserve">, </w:t>
      </w:r>
      <w:r w:rsidRPr="00DE7DBC">
        <w:rPr>
          <w:lang w:val="en-GB"/>
        </w:rPr>
        <w:t>technological parks, research and development organi</w:t>
      </w:r>
      <w:r w:rsidR="00861189">
        <w:rPr>
          <w:lang w:val="en-GB"/>
        </w:rPr>
        <w:t>z</w:t>
      </w:r>
      <w:r w:rsidRPr="00DE7DBC">
        <w:rPr>
          <w:lang w:val="en-GB"/>
        </w:rPr>
        <w:t xml:space="preserve">ations, universities, the </w:t>
      </w:r>
      <w:r w:rsidR="00861189">
        <w:rPr>
          <w:lang w:val="en-GB"/>
        </w:rPr>
        <w:t>e</w:t>
      </w:r>
      <w:r w:rsidRPr="00DE7DBC">
        <w:rPr>
          <w:lang w:val="en-GB"/>
        </w:rPr>
        <w:t xml:space="preserve">nergy </w:t>
      </w:r>
      <w:r w:rsidR="00861189">
        <w:rPr>
          <w:lang w:val="en-GB"/>
        </w:rPr>
        <w:t>c</w:t>
      </w:r>
      <w:r w:rsidRPr="00DE7DBC">
        <w:rPr>
          <w:lang w:val="en-GB"/>
        </w:rPr>
        <w:t xml:space="preserve">ommunity and many others for more impactful programme delivery. UNDP will expand regional cooperation in the areas of environment, disaster risk reduction, water, economic development, tourism, innovation, </w:t>
      </w:r>
      <w:r w:rsidR="00861189">
        <w:rPr>
          <w:lang w:val="en-GB"/>
        </w:rPr>
        <w:t>a</w:t>
      </w:r>
      <w:r w:rsidR="00157EE2">
        <w:rPr>
          <w:lang w:val="en-GB"/>
        </w:rPr>
        <w:t>n</w:t>
      </w:r>
      <w:r w:rsidR="00861189">
        <w:rPr>
          <w:lang w:val="en-GB"/>
        </w:rPr>
        <w:t xml:space="preserve">d </w:t>
      </w:r>
      <w:r w:rsidRPr="00DE7DBC">
        <w:rPr>
          <w:lang w:val="en-GB"/>
        </w:rPr>
        <w:t xml:space="preserve">vibrant civil society. The private sector will be among key partners, with a strong role towards sustainable and inclusive growth. UNDP will partner with the IFIs to catalyse development financing for the </w:t>
      </w:r>
      <w:r w:rsidR="00C15D76" w:rsidRPr="00DE7DBC">
        <w:rPr>
          <w:lang w:val="en-GB"/>
        </w:rPr>
        <w:t>Goals</w:t>
      </w:r>
      <w:r w:rsidRPr="00DE7DBC">
        <w:rPr>
          <w:lang w:val="en-GB"/>
        </w:rPr>
        <w:t xml:space="preserve">. Main </w:t>
      </w:r>
      <w:r w:rsidR="00861189">
        <w:rPr>
          <w:lang w:val="en-GB"/>
        </w:rPr>
        <w:t xml:space="preserve">United Nations system </w:t>
      </w:r>
      <w:r w:rsidRPr="00DE7DBC">
        <w:rPr>
          <w:lang w:val="en-GB"/>
        </w:rPr>
        <w:t>partners include</w:t>
      </w:r>
      <w:r w:rsidR="00861189">
        <w:rPr>
          <w:lang w:val="en-GB"/>
        </w:rPr>
        <w:t>:</w:t>
      </w:r>
      <w:r w:rsidRPr="00DE7DBC">
        <w:rPr>
          <w:lang w:val="en-GB"/>
        </w:rPr>
        <w:t xml:space="preserve"> </w:t>
      </w:r>
      <w:r w:rsidR="00861189">
        <w:rPr>
          <w:lang w:val="en-GB"/>
        </w:rPr>
        <w:t>the United Nations Environment Programme (</w:t>
      </w:r>
      <w:r w:rsidRPr="00DE7DBC">
        <w:rPr>
          <w:lang w:val="en-GB"/>
        </w:rPr>
        <w:t>UNEP</w:t>
      </w:r>
      <w:r w:rsidR="00861189">
        <w:rPr>
          <w:lang w:val="en-GB"/>
        </w:rPr>
        <w:t>)</w:t>
      </w:r>
      <w:r w:rsidRPr="00DE7DBC">
        <w:rPr>
          <w:lang w:val="en-GB"/>
        </w:rPr>
        <w:t xml:space="preserve">, </w:t>
      </w:r>
      <w:r w:rsidR="00861189">
        <w:rPr>
          <w:lang w:val="en-GB"/>
        </w:rPr>
        <w:t>the Food and Agriculture Organization of the United Nations (</w:t>
      </w:r>
      <w:r w:rsidRPr="00DE7DBC">
        <w:rPr>
          <w:lang w:val="en-GB"/>
        </w:rPr>
        <w:t>FAO</w:t>
      </w:r>
      <w:r w:rsidR="00861189">
        <w:rPr>
          <w:lang w:val="en-GB"/>
        </w:rPr>
        <w:t>)</w:t>
      </w:r>
      <w:r w:rsidRPr="00DE7DBC">
        <w:rPr>
          <w:lang w:val="en-GB"/>
        </w:rPr>
        <w:t xml:space="preserve">, ILO, </w:t>
      </w:r>
      <w:r w:rsidR="00861189">
        <w:rPr>
          <w:lang w:val="en-GB"/>
        </w:rPr>
        <w:t>the International Office of Migration (</w:t>
      </w:r>
      <w:r w:rsidR="00861189" w:rsidRPr="00DE7DBC">
        <w:rPr>
          <w:lang w:val="en-GB"/>
        </w:rPr>
        <w:t>IOM</w:t>
      </w:r>
      <w:r w:rsidR="00861189">
        <w:rPr>
          <w:lang w:val="en-GB"/>
        </w:rPr>
        <w:t xml:space="preserve">), </w:t>
      </w:r>
      <w:r w:rsidRPr="00DE7DBC">
        <w:rPr>
          <w:lang w:val="en-GB"/>
        </w:rPr>
        <w:t>UNICEF, UN</w:t>
      </w:r>
      <w:r w:rsidR="00861189">
        <w:rPr>
          <w:lang w:val="en-GB"/>
        </w:rPr>
        <w:t>-</w:t>
      </w:r>
      <w:r w:rsidRPr="00DE7DBC">
        <w:rPr>
          <w:lang w:val="en-GB"/>
        </w:rPr>
        <w:t>W</w:t>
      </w:r>
      <w:r w:rsidR="00861189">
        <w:rPr>
          <w:lang w:val="en-GB"/>
        </w:rPr>
        <w:t>omen</w:t>
      </w:r>
      <w:r w:rsidRPr="00DE7DBC">
        <w:rPr>
          <w:lang w:val="en-GB"/>
        </w:rPr>
        <w:t xml:space="preserve">, UNESCO, </w:t>
      </w:r>
      <w:r w:rsidR="00861189">
        <w:rPr>
          <w:lang w:val="en-GB"/>
        </w:rPr>
        <w:t>UNFPA, the United Nations Human Settlements Programme (</w:t>
      </w:r>
      <w:r w:rsidRPr="00DE7DBC">
        <w:rPr>
          <w:lang w:val="en-GB"/>
        </w:rPr>
        <w:t>UN</w:t>
      </w:r>
      <w:r w:rsidR="00861189">
        <w:rPr>
          <w:lang w:val="en-GB"/>
        </w:rPr>
        <w:t>-</w:t>
      </w:r>
      <w:r w:rsidRPr="00DE7DBC">
        <w:rPr>
          <w:lang w:val="en-GB"/>
        </w:rPr>
        <w:t>Habitat</w:t>
      </w:r>
      <w:r w:rsidR="00861189">
        <w:rPr>
          <w:lang w:val="en-GB"/>
        </w:rPr>
        <w:t xml:space="preserve">) and </w:t>
      </w:r>
      <w:r w:rsidRPr="00DE7DBC">
        <w:rPr>
          <w:lang w:val="en-GB"/>
        </w:rPr>
        <w:t xml:space="preserve">WHO. Strategic partners </w:t>
      </w:r>
      <w:r w:rsidR="00861189">
        <w:rPr>
          <w:lang w:val="en-GB"/>
        </w:rPr>
        <w:t xml:space="preserve">include the </w:t>
      </w:r>
      <w:r w:rsidRPr="00DE7DBC">
        <w:rPr>
          <w:lang w:val="en-GB"/>
        </w:rPr>
        <w:t>E</w:t>
      </w:r>
      <w:r w:rsidR="00861189">
        <w:rPr>
          <w:lang w:val="en-GB"/>
        </w:rPr>
        <w:t xml:space="preserve">uropean </w:t>
      </w:r>
      <w:r w:rsidRPr="00DE7DBC">
        <w:rPr>
          <w:lang w:val="en-GB"/>
        </w:rPr>
        <w:t>U</w:t>
      </w:r>
      <w:r w:rsidR="00861189">
        <w:rPr>
          <w:lang w:val="en-GB"/>
        </w:rPr>
        <w:t>nion</w:t>
      </w:r>
      <w:r w:rsidRPr="00DE7DBC">
        <w:rPr>
          <w:lang w:val="en-GB"/>
        </w:rPr>
        <w:t>, the Government</w:t>
      </w:r>
      <w:r w:rsidR="00861189">
        <w:rPr>
          <w:lang w:val="en-GB"/>
        </w:rPr>
        <w:t>s</w:t>
      </w:r>
      <w:r w:rsidRPr="00DE7DBC">
        <w:rPr>
          <w:lang w:val="en-GB"/>
        </w:rPr>
        <w:t xml:space="preserve"> of Sweden, Switzerland, Norway, </w:t>
      </w:r>
      <w:r w:rsidR="00861189">
        <w:rPr>
          <w:lang w:val="en-GB"/>
        </w:rPr>
        <w:t xml:space="preserve">the </w:t>
      </w:r>
      <w:r w:rsidRPr="00DE7DBC">
        <w:rPr>
          <w:lang w:val="en-GB"/>
        </w:rPr>
        <w:t>U</w:t>
      </w:r>
      <w:r w:rsidR="00861189">
        <w:rPr>
          <w:lang w:val="en-GB"/>
        </w:rPr>
        <w:t xml:space="preserve">nited </w:t>
      </w:r>
      <w:r w:rsidRPr="00DE7DBC">
        <w:rPr>
          <w:lang w:val="en-GB"/>
        </w:rPr>
        <w:t>K</w:t>
      </w:r>
      <w:r w:rsidR="00861189">
        <w:rPr>
          <w:lang w:val="en-GB"/>
        </w:rPr>
        <w:t>ingdom</w:t>
      </w:r>
      <w:r w:rsidRPr="00DE7DBC">
        <w:rPr>
          <w:lang w:val="en-GB"/>
        </w:rPr>
        <w:t xml:space="preserve">, </w:t>
      </w:r>
      <w:r w:rsidR="00861189">
        <w:rPr>
          <w:lang w:val="en-GB"/>
        </w:rPr>
        <w:t>as well as the the European Union Force for Bosnia and Herzegovina (</w:t>
      </w:r>
      <w:r w:rsidR="00861189" w:rsidRPr="00DE7DBC">
        <w:rPr>
          <w:lang w:val="en-GB"/>
        </w:rPr>
        <w:t>EUFOR</w:t>
      </w:r>
      <w:r w:rsidR="00861189">
        <w:rPr>
          <w:lang w:val="en-GB"/>
        </w:rPr>
        <w:t>)</w:t>
      </w:r>
      <w:r w:rsidR="00861189" w:rsidRPr="00DE7DBC">
        <w:rPr>
          <w:lang w:val="en-GB"/>
        </w:rPr>
        <w:t xml:space="preserve">, </w:t>
      </w:r>
      <w:r w:rsidR="00861189">
        <w:rPr>
          <w:lang w:val="en-GB"/>
        </w:rPr>
        <w:t>German international aid agency (</w:t>
      </w:r>
      <w:r w:rsidRPr="00DE7DBC">
        <w:rPr>
          <w:lang w:val="en-GB"/>
        </w:rPr>
        <w:t>GIZ</w:t>
      </w:r>
      <w:r w:rsidR="00861189">
        <w:rPr>
          <w:lang w:val="en-GB"/>
        </w:rPr>
        <w:t>)</w:t>
      </w:r>
      <w:r w:rsidRPr="00DE7DBC">
        <w:rPr>
          <w:lang w:val="en-GB"/>
        </w:rPr>
        <w:t xml:space="preserve">, </w:t>
      </w:r>
      <w:r w:rsidR="00861189" w:rsidRPr="00DE7DBC">
        <w:rPr>
          <w:lang w:val="en-GB"/>
        </w:rPr>
        <w:t xml:space="preserve">the Italian Development Cooperation, </w:t>
      </w:r>
      <w:r w:rsidR="00861189">
        <w:rPr>
          <w:lang w:val="en-GB"/>
        </w:rPr>
        <w:t>the North Atlantic Treaty Organization (</w:t>
      </w:r>
      <w:r w:rsidR="00861189" w:rsidRPr="00DE7DBC">
        <w:rPr>
          <w:lang w:val="en-GB"/>
        </w:rPr>
        <w:t>NATO</w:t>
      </w:r>
      <w:r w:rsidR="00861189">
        <w:rPr>
          <w:lang w:val="en-GB"/>
        </w:rPr>
        <w:t>)</w:t>
      </w:r>
      <w:r w:rsidR="00861189" w:rsidRPr="00DE7DBC">
        <w:rPr>
          <w:lang w:val="en-GB"/>
        </w:rPr>
        <w:t xml:space="preserve">, </w:t>
      </w:r>
      <w:r w:rsidR="00861189">
        <w:rPr>
          <w:lang w:val="en-GB"/>
        </w:rPr>
        <w:t>the Organization for Security and Co-operation in Europe (</w:t>
      </w:r>
      <w:r w:rsidR="00861189" w:rsidRPr="00DE7DBC">
        <w:rPr>
          <w:lang w:val="en-GB"/>
        </w:rPr>
        <w:t>OSCE</w:t>
      </w:r>
      <w:r w:rsidR="00861189">
        <w:rPr>
          <w:lang w:val="en-GB"/>
        </w:rPr>
        <w:t>)</w:t>
      </w:r>
      <w:r w:rsidR="00861189" w:rsidRPr="00DE7DBC">
        <w:rPr>
          <w:lang w:val="en-GB"/>
        </w:rPr>
        <w:t>,</w:t>
      </w:r>
      <w:r w:rsidR="00861189">
        <w:rPr>
          <w:lang w:val="en-GB"/>
        </w:rPr>
        <w:t xml:space="preserve"> the United States Agency for International Development (</w:t>
      </w:r>
      <w:r w:rsidRPr="00DE7DBC">
        <w:rPr>
          <w:lang w:val="en-GB"/>
        </w:rPr>
        <w:t>USAID</w:t>
      </w:r>
      <w:r w:rsidR="00861189">
        <w:rPr>
          <w:lang w:val="en-GB"/>
        </w:rPr>
        <w:t xml:space="preserve">) and </w:t>
      </w:r>
      <w:r w:rsidRPr="00DE7DBC">
        <w:rPr>
          <w:lang w:val="en-GB"/>
        </w:rPr>
        <w:t>the World Bank. Communication will be strategically utilised to amplify development partnerships and policy efforts.</w:t>
      </w:r>
    </w:p>
    <w:p w14:paraId="6DCC21AA" w14:textId="77777777" w:rsidR="00C41FB1" w:rsidRPr="00D4239C" w:rsidRDefault="00C41FB1" w:rsidP="00C41FB1">
      <w:pPr>
        <w:pStyle w:val="Heading2"/>
        <w:ind w:left="1530" w:right="1267" w:hanging="263"/>
        <w:jc w:val="both"/>
        <w:rPr>
          <w:rFonts w:ascii="Times New Roman" w:hAnsi="Times New Roman"/>
          <w:bCs/>
          <w:color w:val="000000"/>
          <w:sz w:val="20"/>
          <w:lang w:val="en-GB"/>
        </w:rPr>
      </w:pPr>
    </w:p>
    <w:p w14:paraId="05BA6AB6" w14:textId="0E14876E" w:rsidR="0034740F" w:rsidRPr="00DE7DBC" w:rsidRDefault="0034740F" w:rsidP="006A5F9B">
      <w:pPr>
        <w:pStyle w:val="Heading2"/>
        <w:numPr>
          <w:ilvl w:val="0"/>
          <w:numId w:val="3"/>
        </w:numPr>
        <w:ind w:left="1260" w:right="1267" w:hanging="450"/>
        <w:jc w:val="both"/>
        <w:rPr>
          <w:rFonts w:ascii="Times New Roman" w:hAnsi="Times New Roman"/>
          <w:bCs/>
          <w:color w:val="000000"/>
          <w:sz w:val="24"/>
          <w:szCs w:val="24"/>
          <w:lang w:val="en-GB"/>
        </w:rPr>
      </w:pPr>
      <w:r w:rsidRPr="00DE7DBC">
        <w:rPr>
          <w:rFonts w:ascii="Times New Roman" w:hAnsi="Times New Roman"/>
          <w:bCs/>
          <w:color w:val="000000"/>
          <w:sz w:val="24"/>
          <w:szCs w:val="24"/>
          <w:lang w:val="en-GB"/>
        </w:rPr>
        <w:t xml:space="preserve">Programme and </w:t>
      </w:r>
      <w:r w:rsidR="006A5F9B" w:rsidRPr="00DE7DBC">
        <w:rPr>
          <w:rFonts w:ascii="Times New Roman" w:hAnsi="Times New Roman"/>
          <w:bCs/>
          <w:color w:val="000000"/>
          <w:sz w:val="24"/>
          <w:szCs w:val="24"/>
          <w:lang w:val="en-GB"/>
        </w:rPr>
        <w:t>r</w:t>
      </w:r>
      <w:r w:rsidRPr="00DE7DBC">
        <w:rPr>
          <w:rFonts w:ascii="Times New Roman" w:hAnsi="Times New Roman"/>
          <w:bCs/>
          <w:color w:val="000000"/>
          <w:sz w:val="24"/>
          <w:szCs w:val="24"/>
          <w:lang w:val="en-GB"/>
        </w:rPr>
        <w:t xml:space="preserve">isk </w:t>
      </w:r>
      <w:r w:rsidR="006A5F9B" w:rsidRPr="00DE7DBC">
        <w:rPr>
          <w:rFonts w:ascii="Times New Roman" w:hAnsi="Times New Roman"/>
          <w:bCs/>
          <w:color w:val="000000"/>
          <w:sz w:val="24"/>
          <w:szCs w:val="24"/>
          <w:lang w:val="en-GB"/>
        </w:rPr>
        <w:t>m</w:t>
      </w:r>
      <w:r w:rsidRPr="00DE7DBC">
        <w:rPr>
          <w:rFonts w:ascii="Times New Roman" w:hAnsi="Times New Roman"/>
          <w:bCs/>
          <w:color w:val="000000"/>
          <w:sz w:val="24"/>
          <w:szCs w:val="24"/>
          <w:lang w:val="en-GB"/>
        </w:rPr>
        <w:t xml:space="preserve">anagement </w:t>
      </w:r>
    </w:p>
    <w:p w14:paraId="70C2962F" w14:textId="77777777" w:rsidR="00C41FB1" w:rsidRPr="00DE7DBC" w:rsidRDefault="00C41FB1" w:rsidP="00C41FB1">
      <w:pPr>
        <w:rPr>
          <w:lang w:val="en-GB"/>
        </w:rPr>
      </w:pPr>
    </w:p>
    <w:p w14:paraId="5B9C84E2" w14:textId="71C1EC44"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 xml:space="preserve">This country programme document outlines UNDP contributions to national results and serves as the primary unit of accountability to the Executive Board for results alignment and resources assigned to the programme at country level. </w:t>
      </w:r>
    </w:p>
    <w:p w14:paraId="1EA2B7DB" w14:textId="52498B17"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 xml:space="preserve">The </w:t>
      </w:r>
      <w:r w:rsidR="0079693F">
        <w:rPr>
          <w:lang w:val="en-GB"/>
        </w:rPr>
        <w:t xml:space="preserve">country </w:t>
      </w:r>
      <w:r w:rsidRPr="00DE7DBC">
        <w:rPr>
          <w:lang w:val="en-GB"/>
        </w:rPr>
        <w:t>programme will be nationally executed, as defined in the Cooperation Framework</w:t>
      </w:r>
      <w:r w:rsidR="0079693F">
        <w:rPr>
          <w:lang w:val="en-GB"/>
        </w:rPr>
        <w:t xml:space="preserve">, </w:t>
      </w:r>
      <w:r w:rsidRPr="00DE7DBC">
        <w:rPr>
          <w:lang w:val="en-GB"/>
        </w:rPr>
        <w:t xml:space="preserve">2021-2025. A </w:t>
      </w:r>
      <w:r w:rsidR="0079693F">
        <w:rPr>
          <w:lang w:val="en-GB"/>
        </w:rPr>
        <w:t>s</w:t>
      </w:r>
      <w:r w:rsidRPr="00DE7DBC">
        <w:rPr>
          <w:lang w:val="en-GB"/>
        </w:rPr>
        <w:t xml:space="preserve">teering </w:t>
      </w:r>
      <w:r w:rsidR="0079693F">
        <w:rPr>
          <w:lang w:val="en-GB"/>
        </w:rPr>
        <w:t>c</w:t>
      </w:r>
      <w:r w:rsidRPr="00DE7DBC">
        <w:rPr>
          <w:lang w:val="en-GB"/>
        </w:rPr>
        <w:t xml:space="preserve">ommittee, set in the framework of the Cooperation Framework and comprising a designated coordinating representative of authorities and co-chaired by the Resident Coordinator, will ensure that UNDP support is delivered in line with the defined priorities. </w:t>
      </w:r>
    </w:p>
    <w:p w14:paraId="637419A8" w14:textId="6DB069C8"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lastRenderedPageBreak/>
        <w:t>Modalities for implementation will be agreed on with authorities and be selected depending on need and project-related circumstances. Projects supported by vertical funds, as well as those previously approved, will use a mix of national and direct implementation modalit</w:t>
      </w:r>
      <w:r w:rsidR="0079693F">
        <w:rPr>
          <w:lang w:val="en-GB"/>
        </w:rPr>
        <w:t>ies</w:t>
      </w:r>
      <w:r w:rsidRPr="00DE7DBC">
        <w:rPr>
          <w:lang w:val="en-GB"/>
        </w:rPr>
        <w:t xml:space="preserve">, for which the country office is fully capacitated. Involvement of the country office in support </w:t>
      </w:r>
      <w:r w:rsidR="0079693F">
        <w:rPr>
          <w:lang w:val="en-GB"/>
        </w:rPr>
        <w:t xml:space="preserve">of </w:t>
      </w:r>
      <w:r w:rsidRPr="00DE7DBC">
        <w:rPr>
          <w:lang w:val="en-GB"/>
        </w:rPr>
        <w:t xml:space="preserve">both modalities is a risk mitigation measure, considering the complexity and specificity of the country governance structure. When using the national implementation modality, or engaging responsible parties in the implementation, UNDP will act in line with the policy </w:t>
      </w:r>
      <w:r w:rsidR="0079693F">
        <w:rPr>
          <w:lang w:val="en-GB"/>
        </w:rPr>
        <w:t>for the h</w:t>
      </w:r>
      <w:r w:rsidRPr="00DE7DBC">
        <w:rPr>
          <w:lang w:val="en-GB"/>
        </w:rPr>
        <w:t xml:space="preserve">armonized </w:t>
      </w:r>
      <w:r w:rsidR="0079693F">
        <w:rPr>
          <w:lang w:val="en-GB"/>
        </w:rPr>
        <w:t>a</w:t>
      </w:r>
      <w:r w:rsidRPr="00DE7DBC">
        <w:rPr>
          <w:lang w:val="en-GB"/>
        </w:rPr>
        <w:t xml:space="preserve">pproach to </w:t>
      </w:r>
      <w:r w:rsidR="0079693F">
        <w:rPr>
          <w:lang w:val="en-GB"/>
        </w:rPr>
        <w:t>c</w:t>
      </w:r>
      <w:r w:rsidRPr="00DE7DBC">
        <w:rPr>
          <w:lang w:val="en-GB"/>
        </w:rPr>
        <w:t xml:space="preserve">ash </w:t>
      </w:r>
      <w:r w:rsidR="0079693F">
        <w:rPr>
          <w:lang w:val="en-GB"/>
        </w:rPr>
        <w:t>t</w:t>
      </w:r>
      <w:r w:rsidRPr="00DE7DBC">
        <w:rPr>
          <w:lang w:val="en-GB"/>
        </w:rPr>
        <w:t xml:space="preserve">ransfers </w:t>
      </w:r>
      <w:r w:rsidR="0079693F">
        <w:rPr>
          <w:lang w:val="en-GB"/>
        </w:rPr>
        <w:t xml:space="preserve">(HACT) </w:t>
      </w:r>
      <w:r w:rsidRPr="00DE7DBC">
        <w:rPr>
          <w:lang w:val="en-GB"/>
        </w:rPr>
        <w:t xml:space="preserve">to assess potential implementing partners’ ability to manage resources, capacitate them on a wide range of project, financial and procurement related areas, and assure their quality performance. </w:t>
      </w:r>
    </w:p>
    <w:p w14:paraId="78093EB5" w14:textId="1F7044A9" w:rsidR="0034740F" w:rsidRPr="00DE7DBC" w:rsidRDefault="0034740F" w:rsidP="006A5F9B">
      <w:pPr>
        <w:pStyle w:val="ListParagraph"/>
        <w:numPr>
          <w:ilvl w:val="0"/>
          <w:numId w:val="1"/>
        </w:numPr>
        <w:autoSpaceDE w:val="0"/>
        <w:autoSpaceDN w:val="0"/>
        <w:adjustRightInd w:val="0"/>
        <w:spacing w:after="120"/>
        <w:ind w:left="1267" w:right="1202" w:firstLine="0"/>
        <w:jc w:val="both"/>
        <w:rPr>
          <w:lang w:val="en-GB"/>
        </w:rPr>
      </w:pPr>
      <w:r w:rsidRPr="00DE7DBC">
        <w:rPr>
          <w:lang w:val="en-GB"/>
        </w:rPr>
        <w:t xml:space="preserve">Authorities in Bosnia and Herzegovina and UNDP agreed that the provision of support services by UNDP (for national implementation), as required, would not involve a separate letter of agreement. </w:t>
      </w:r>
    </w:p>
    <w:p w14:paraId="15B7AF8D" w14:textId="23D72102" w:rsidR="0034740F" w:rsidRPr="00DE7DBC" w:rsidRDefault="0034740F" w:rsidP="00C82662">
      <w:pPr>
        <w:pStyle w:val="ListParagraph"/>
        <w:numPr>
          <w:ilvl w:val="0"/>
          <w:numId w:val="1"/>
        </w:numPr>
        <w:autoSpaceDE w:val="0"/>
        <w:autoSpaceDN w:val="0"/>
        <w:adjustRightInd w:val="0"/>
        <w:ind w:left="1267" w:right="1267" w:firstLine="0"/>
        <w:jc w:val="both"/>
        <w:rPr>
          <w:lang w:val="en-GB"/>
        </w:rPr>
      </w:pPr>
      <w:r w:rsidRPr="00DE7DBC">
        <w:rPr>
          <w:lang w:val="en-GB"/>
        </w:rPr>
        <w:t xml:space="preserve">The main external risks for programme delivery are related to political deadlocks, which will most likely continue to hamper the pace of policy reforms and overall pace of development. The country may face major talent and labour gaps created by out-migration and low birth rates. Unfavourable economic and trade trends, including global recessionary fears, may negatively affect the current account and balance of trade. There are risks of natural hazards, disease outbreaks – including new waves of </w:t>
      </w:r>
      <w:r w:rsidR="0079693F">
        <w:rPr>
          <w:lang w:val="en-GB"/>
        </w:rPr>
        <w:t xml:space="preserve">the </w:t>
      </w:r>
      <w:r w:rsidRPr="00DE7DBC">
        <w:rPr>
          <w:lang w:val="en-GB"/>
        </w:rPr>
        <w:t xml:space="preserve">COVID-19 </w:t>
      </w:r>
      <w:r w:rsidR="0079693F">
        <w:rPr>
          <w:lang w:val="en-GB"/>
        </w:rPr>
        <w:t>pandemic</w:t>
      </w:r>
      <w:r w:rsidRPr="00DE7DBC">
        <w:rPr>
          <w:lang w:val="en-GB"/>
        </w:rPr>
        <w:t>, challenging the preparedness of authorities and society.</w:t>
      </w:r>
    </w:p>
    <w:p w14:paraId="1F461706" w14:textId="77777777" w:rsidR="00125146" w:rsidRPr="00DE7DBC" w:rsidRDefault="00125146" w:rsidP="00125146">
      <w:pPr>
        <w:pStyle w:val="ListParagraph"/>
        <w:autoSpaceDE w:val="0"/>
        <w:autoSpaceDN w:val="0"/>
        <w:adjustRightInd w:val="0"/>
        <w:ind w:left="1267" w:right="1267"/>
        <w:jc w:val="both"/>
        <w:rPr>
          <w:lang w:val="en-GB"/>
        </w:rPr>
      </w:pPr>
    </w:p>
    <w:p w14:paraId="368E8D1D" w14:textId="75FE6A4F" w:rsidR="0034740F" w:rsidRPr="00DE7DBC" w:rsidRDefault="0034740F" w:rsidP="006A5F9B">
      <w:pPr>
        <w:pStyle w:val="Heading2"/>
        <w:ind w:left="1260" w:right="1267" w:hanging="450"/>
        <w:jc w:val="both"/>
        <w:rPr>
          <w:rFonts w:ascii="Times New Roman" w:hAnsi="Times New Roman"/>
          <w:bCs/>
          <w:color w:val="000000"/>
          <w:sz w:val="24"/>
          <w:szCs w:val="24"/>
          <w:lang w:val="en-GB"/>
        </w:rPr>
      </w:pPr>
      <w:r w:rsidRPr="00DE7DBC">
        <w:rPr>
          <w:rFonts w:ascii="Times New Roman" w:hAnsi="Times New Roman"/>
          <w:bCs/>
          <w:color w:val="000000"/>
          <w:sz w:val="24"/>
          <w:szCs w:val="24"/>
          <w:lang w:val="en-GB"/>
        </w:rPr>
        <w:t xml:space="preserve">IV. </w:t>
      </w:r>
      <w:r w:rsidR="006A5F9B" w:rsidRPr="00DE7DBC">
        <w:rPr>
          <w:rFonts w:ascii="Times New Roman" w:hAnsi="Times New Roman"/>
          <w:bCs/>
          <w:color w:val="000000"/>
          <w:sz w:val="24"/>
          <w:szCs w:val="24"/>
          <w:lang w:val="en-GB"/>
        </w:rPr>
        <w:tab/>
      </w:r>
      <w:r w:rsidRPr="00DE7DBC">
        <w:rPr>
          <w:rFonts w:ascii="Times New Roman" w:hAnsi="Times New Roman"/>
          <w:bCs/>
          <w:color w:val="000000"/>
          <w:sz w:val="24"/>
          <w:szCs w:val="24"/>
          <w:lang w:val="en-GB"/>
        </w:rPr>
        <w:t xml:space="preserve">Monitoring and </w:t>
      </w:r>
      <w:r w:rsidR="006A5F9B" w:rsidRPr="00DE7DBC">
        <w:rPr>
          <w:rFonts w:ascii="Times New Roman" w:hAnsi="Times New Roman"/>
          <w:bCs/>
          <w:color w:val="000000"/>
          <w:sz w:val="24"/>
          <w:szCs w:val="24"/>
          <w:lang w:val="en-GB"/>
        </w:rPr>
        <w:t>e</w:t>
      </w:r>
      <w:r w:rsidRPr="00DE7DBC">
        <w:rPr>
          <w:rFonts w:ascii="Times New Roman" w:hAnsi="Times New Roman"/>
          <w:bCs/>
          <w:color w:val="000000"/>
          <w:sz w:val="24"/>
          <w:szCs w:val="24"/>
          <w:lang w:val="en-GB"/>
        </w:rPr>
        <w:t>valuation</w:t>
      </w:r>
    </w:p>
    <w:p w14:paraId="6CD6A573" w14:textId="77777777" w:rsidR="00C41FB1" w:rsidRPr="00DE7DBC" w:rsidRDefault="00C41FB1" w:rsidP="00C41FB1">
      <w:pPr>
        <w:rPr>
          <w:lang w:val="en-GB"/>
        </w:rPr>
      </w:pPr>
    </w:p>
    <w:p w14:paraId="15C8653C" w14:textId="775E69BD" w:rsidR="0034740F" w:rsidRPr="00DE7DBC" w:rsidRDefault="0034740F" w:rsidP="006A5F9B">
      <w:pPr>
        <w:pStyle w:val="ListParagraph"/>
        <w:numPr>
          <w:ilvl w:val="0"/>
          <w:numId w:val="1"/>
        </w:numPr>
        <w:autoSpaceDE w:val="0"/>
        <w:autoSpaceDN w:val="0"/>
        <w:adjustRightInd w:val="0"/>
        <w:spacing w:after="120"/>
        <w:ind w:left="1260" w:right="1195" w:firstLine="0"/>
        <w:jc w:val="both"/>
        <w:rPr>
          <w:lang w:val="en-GB"/>
        </w:rPr>
      </w:pPr>
      <w:r w:rsidRPr="00DE7DBC">
        <w:rPr>
          <w:lang w:val="en-GB"/>
        </w:rPr>
        <w:t xml:space="preserve">UNDP </w:t>
      </w:r>
      <w:r w:rsidR="00FD7A31">
        <w:rPr>
          <w:lang w:val="en-GB"/>
        </w:rPr>
        <w:t xml:space="preserve">has </w:t>
      </w:r>
      <w:r w:rsidRPr="00DE7DBC">
        <w:rPr>
          <w:lang w:val="en-GB"/>
        </w:rPr>
        <w:t>design</w:t>
      </w:r>
      <w:r w:rsidR="00FD7A31">
        <w:rPr>
          <w:lang w:val="en-GB"/>
        </w:rPr>
        <w:t>ed</w:t>
      </w:r>
      <w:r w:rsidRPr="00DE7DBC">
        <w:rPr>
          <w:lang w:val="en-GB"/>
        </w:rPr>
        <w:t xml:space="preserve"> </w:t>
      </w:r>
      <w:r w:rsidR="00387343" w:rsidRPr="00DE7DBC">
        <w:rPr>
          <w:lang w:val="en-GB"/>
        </w:rPr>
        <w:t xml:space="preserve">the </w:t>
      </w:r>
      <w:r w:rsidRPr="00DE7DBC">
        <w:rPr>
          <w:lang w:val="en-GB"/>
        </w:rPr>
        <w:t>country programme results framework</w:t>
      </w:r>
      <w:r w:rsidR="00FD7A31">
        <w:rPr>
          <w:lang w:val="en-GB"/>
        </w:rPr>
        <w:t xml:space="preserve">, </w:t>
      </w:r>
      <w:r w:rsidRPr="00DE7DBC">
        <w:rPr>
          <w:lang w:val="en-GB"/>
        </w:rPr>
        <w:t>2021-2025, defining results, indicators, baselines, targets and other relevant elements, in line with the UNDP Strategic Plan</w:t>
      </w:r>
      <w:r w:rsidR="00FD7A31">
        <w:rPr>
          <w:lang w:val="en-GB"/>
        </w:rPr>
        <w:t>,</w:t>
      </w:r>
      <w:r w:rsidRPr="00DE7DBC">
        <w:rPr>
          <w:lang w:val="en-GB"/>
        </w:rPr>
        <w:t xml:space="preserve"> 2018-2021</w:t>
      </w:r>
      <w:r w:rsidR="00FD7A31">
        <w:rPr>
          <w:lang w:val="en-GB"/>
        </w:rPr>
        <w:t>,</w:t>
      </w:r>
      <w:r w:rsidRPr="00DE7DBC">
        <w:rPr>
          <w:lang w:val="en-GB"/>
        </w:rPr>
        <w:t xml:space="preserve"> and the Cooperation Framework</w:t>
      </w:r>
      <w:r w:rsidR="00FD7A31">
        <w:rPr>
          <w:lang w:val="en-GB"/>
        </w:rPr>
        <w:t xml:space="preserve">, </w:t>
      </w:r>
      <w:r w:rsidRPr="00DE7DBC">
        <w:rPr>
          <w:lang w:val="en-GB"/>
        </w:rPr>
        <w:t xml:space="preserve">2021-2025. </w:t>
      </w:r>
    </w:p>
    <w:p w14:paraId="43E05E27" w14:textId="5F6C862C" w:rsidR="0034740F" w:rsidRPr="00DE7DBC" w:rsidRDefault="0034740F" w:rsidP="006A5F9B">
      <w:pPr>
        <w:pStyle w:val="ListParagraph"/>
        <w:numPr>
          <w:ilvl w:val="0"/>
          <w:numId w:val="1"/>
        </w:numPr>
        <w:autoSpaceDE w:val="0"/>
        <w:autoSpaceDN w:val="0"/>
        <w:adjustRightInd w:val="0"/>
        <w:spacing w:after="120"/>
        <w:ind w:left="1260" w:right="1195" w:firstLine="0"/>
        <w:jc w:val="both"/>
        <w:rPr>
          <w:lang w:val="en-GB"/>
        </w:rPr>
      </w:pPr>
      <w:r w:rsidRPr="00DE7DBC">
        <w:rPr>
          <w:lang w:val="en-GB"/>
        </w:rPr>
        <w:t xml:space="preserve">The monitoring framework </w:t>
      </w:r>
      <w:r w:rsidR="00387CC5" w:rsidRPr="00DE7DBC">
        <w:rPr>
          <w:lang w:val="en-GB"/>
        </w:rPr>
        <w:t>will help</w:t>
      </w:r>
      <w:r w:rsidRPr="00DE7DBC">
        <w:rPr>
          <w:lang w:val="en-GB"/>
        </w:rPr>
        <w:t xml:space="preserve"> </w:t>
      </w:r>
      <w:r w:rsidR="00580E30" w:rsidRPr="00DE7DBC">
        <w:rPr>
          <w:lang w:val="en-GB"/>
        </w:rPr>
        <w:t>a</w:t>
      </w:r>
      <w:r w:rsidRPr="00DE7DBC">
        <w:rPr>
          <w:lang w:val="en-GB"/>
        </w:rPr>
        <w:t xml:space="preserve">ssess UNDP contributions to sustainable development in </w:t>
      </w:r>
      <w:r w:rsidR="00580E30" w:rsidRPr="00DE7DBC">
        <w:rPr>
          <w:lang w:val="en-GB"/>
        </w:rPr>
        <w:t>the country</w:t>
      </w:r>
      <w:r w:rsidRPr="00DE7DBC">
        <w:rPr>
          <w:lang w:val="en-GB"/>
        </w:rPr>
        <w:t>. A multi-year plan will be developed to guide UNDP work</w:t>
      </w:r>
      <w:r w:rsidR="00FD7A31">
        <w:rPr>
          <w:lang w:val="en-GB"/>
        </w:rPr>
        <w:t>,</w:t>
      </w:r>
      <w:r w:rsidRPr="00DE7DBC">
        <w:rPr>
          <w:lang w:val="en-GB"/>
        </w:rPr>
        <w:t xml:space="preserve"> </w:t>
      </w:r>
      <w:r w:rsidR="000A7A65" w:rsidRPr="00DE7DBC">
        <w:rPr>
          <w:lang w:val="en-GB"/>
        </w:rPr>
        <w:t xml:space="preserve">based on </w:t>
      </w:r>
      <w:r w:rsidRPr="00DE7DBC">
        <w:rPr>
          <w:lang w:val="en-GB"/>
        </w:rPr>
        <w:t>research</w:t>
      </w:r>
      <w:r w:rsidR="000A7A65" w:rsidRPr="00DE7DBC">
        <w:rPr>
          <w:lang w:val="en-GB"/>
        </w:rPr>
        <w:t xml:space="preserve"> and</w:t>
      </w:r>
      <w:r w:rsidRPr="00DE7DBC">
        <w:rPr>
          <w:lang w:val="en-GB"/>
        </w:rPr>
        <w:t xml:space="preserve"> data analytics to test certain hypotheses of the </w:t>
      </w:r>
      <w:r w:rsidR="00FD7A31">
        <w:rPr>
          <w:lang w:val="en-GB"/>
        </w:rPr>
        <w:t xml:space="preserve">country </w:t>
      </w:r>
      <w:r w:rsidR="00225A8A" w:rsidRPr="00DE7DBC">
        <w:rPr>
          <w:lang w:val="en-GB"/>
        </w:rPr>
        <w:t>programme</w:t>
      </w:r>
      <w:r w:rsidR="00FD7A31">
        <w:rPr>
          <w:lang w:val="en-GB"/>
        </w:rPr>
        <w:t>’s</w:t>
      </w:r>
      <w:r w:rsidR="00225A8A" w:rsidRPr="00DE7DBC">
        <w:rPr>
          <w:lang w:val="en-GB"/>
        </w:rPr>
        <w:t xml:space="preserve"> </w:t>
      </w:r>
      <w:r w:rsidRPr="00DE7DBC">
        <w:rPr>
          <w:lang w:val="en-GB"/>
        </w:rPr>
        <w:t xml:space="preserve">theory of change or strategic </w:t>
      </w:r>
      <w:r w:rsidR="00225A8A" w:rsidRPr="00DE7DBC">
        <w:rPr>
          <w:lang w:val="en-GB"/>
        </w:rPr>
        <w:t>p</w:t>
      </w:r>
      <w:r w:rsidRPr="00DE7DBC">
        <w:rPr>
          <w:lang w:val="en-GB"/>
        </w:rPr>
        <w:t>rogrammatic opportunities.</w:t>
      </w:r>
    </w:p>
    <w:p w14:paraId="1188D038" w14:textId="593CB24A" w:rsidR="0034740F" w:rsidRPr="00DE7DBC" w:rsidRDefault="0034740F" w:rsidP="006A5F9B">
      <w:pPr>
        <w:pStyle w:val="ListParagraph"/>
        <w:numPr>
          <w:ilvl w:val="0"/>
          <w:numId w:val="1"/>
        </w:numPr>
        <w:autoSpaceDE w:val="0"/>
        <w:autoSpaceDN w:val="0"/>
        <w:adjustRightInd w:val="0"/>
        <w:spacing w:after="120"/>
        <w:ind w:left="1260" w:right="1195" w:firstLine="0"/>
        <w:jc w:val="both"/>
        <w:rPr>
          <w:lang w:val="en-GB"/>
        </w:rPr>
      </w:pPr>
      <w:r w:rsidRPr="00DE7DBC">
        <w:rPr>
          <w:lang w:val="en-GB"/>
        </w:rPr>
        <w:t xml:space="preserve">The programme will reinforce innovative tools to manage data collection and analysis </w:t>
      </w:r>
      <w:r w:rsidR="00FD7A31">
        <w:rPr>
          <w:lang w:val="en-GB"/>
        </w:rPr>
        <w:t xml:space="preserve">at </w:t>
      </w:r>
      <w:r w:rsidRPr="00DE7DBC">
        <w:rPr>
          <w:lang w:val="en-GB"/>
        </w:rPr>
        <w:t>the country programme document outcome and output levels. The existing monitoring tools will be modernized to enable measurable tracking of performance through collection of project-level data and lessons to facilitate continuous organi</w:t>
      </w:r>
      <w:r w:rsidR="00FD7A31">
        <w:rPr>
          <w:lang w:val="en-GB"/>
        </w:rPr>
        <w:t>z</w:t>
      </w:r>
      <w:r w:rsidRPr="00DE7DBC">
        <w:rPr>
          <w:lang w:val="en-GB"/>
        </w:rPr>
        <w:t>ational learning.</w:t>
      </w:r>
    </w:p>
    <w:p w14:paraId="48A8A3D9" w14:textId="49F64E19" w:rsidR="0034740F" w:rsidRPr="00DE7DBC" w:rsidRDefault="0034740F" w:rsidP="006A5F9B">
      <w:pPr>
        <w:pStyle w:val="ListParagraph"/>
        <w:numPr>
          <w:ilvl w:val="0"/>
          <w:numId w:val="1"/>
        </w:numPr>
        <w:autoSpaceDE w:val="0"/>
        <w:autoSpaceDN w:val="0"/>
        <w:adjustRightInd w:val="0"/>
        <w:spacing w:after="120"/>
        <w:ind w:left="1260" w:right="1195" w:firstLine="0"/>
        <w:jc w:val="both"/>
        <w:rPr>
          <w:lang w:val="en-GB"/>
        </w:rPr>
      </w:pPr>
      <w:r w:rsidRPr="00DE7DBC">
        <w:rPr>
          <w:lang w:val="en-GB"/>
        </w:rPr>
        <w:t>Evaluations will be conducted in accordance with the evaluation plan, including project, programme and outcome evaluations, joint U</w:t>
      </w:r>
      <w:r w:rsidR="00721018" w:rsidRPr="00DE7DBC">
        <w:rPr>
          <w:lang w:val="en-GB"/>
        </w:rPr>
        <w:t>nited Nations</w:t>
      </w:r>
      <w:r w:rsidRPr="00DE7DBC">
        <w:rPr>
          <w:lang w:val="en-GB"/>
        </w:rPr>
        <w:t xml:space="preserve"> programme evaluations, or other U</w:t>
      </w:r>
      <w:r w:rsidR="00721018" w:rsidRPr="00DE7DBC">
        <w:rPr>
          <w:lang w:val="en-GB"/>
        </w:rPr>
        <w:t>nited Nations</w:t>
      </w:r>
      <w:r w:rsidRPr="00DE7DBC">
        <w:rPr>
          <w:lang w:val="en-GB"/>
        </w:rPr>
        <w:t>-level evaluations. The evaluation plan</w:t>
      </w:r>
      <w:r w:rsidR="00FD7A31">
        <w:rPr>
          <w:lang w:val="en-GB"/>
        </w:rPr>
        <w:t xml:space="preserve">, </w:t>
      </w:r>
      <w:r w:rsidRPr="00DE7DBC">
        <w:rPr>
          <w:lang w:val="en-GB"/>
        </w:rPr>
        <w:t>2021-2025</w:t>
      </w:r>
      <w:r w:rsidR="00FD7A31">
        <w:rPr>
          <w:lang w:val="en-GB"/>
        </w:rPr>
        <w:t>,</w:t>
      </w:r>
      <w:r w:rsidRPr="00DE7DBC">
        <w:rPr>
          <w:lang w:val="en-GB"/>
        </w:rPr>
        <w:t xml:space="preserve"> envisages ten mandatory project evaluations, agreed and costed with donors and included in the approved project documents. An internal country programme mid-term review will be undertaken. </w:t>
      </w:r>
      <w:r w:rsidR="006604A1" w:rsidRPr="00DE7DBC">
        <w:rPr>
          <w:lang w:val="en-GB"/>
        </w:rPr>
        <w:t xml:space="preserve">UNDP will </w:t>
      </w:r>
      <w:r w:rsidR="004E2AFA" w:rsidRPr="00DE7DBC">
        <w:rPr>
          <w:lang w:val="en-GB"/>
        </w:rPr>
        <w:t xml:space="preserve">join </w:t>
      </w:r>
      <w:r w:rsidRPr="00DE7DBC">
        <w:rPr>
          <w:lang w:val="en-GB"/>
        </w:rPr>
        <w:t>other U</w:t>
      </w:r>
      <w:r w:rsidR="00204F71" w:rsidRPr="00DE7DBC">
        <w:rPr>
          <w:lang w:val="en-GB"/>
        </w:rPr>
        <w:t>nited Nations</w:t>
      </w:r>
      <w:r w:rsidRPr="00DE7DBC">
        <w:rPr>
          <w:lang w:val="en-GB"/>
        </w:rPr>
        <w:t xml:space="preserve"> </w:t>
      </w:r>
      <w:r w:rsidR="00FD7A31">
        <w:rPr>
          <w:lang w:val="en-GB"/>
        </w:rPr>
        <w:t xml:space="preserve">organizations in </w:t>
      </w:r>
      <w:r w:rsidR="004E2AFA" w:rsidRPr="00DE7DBC">
        <w:rPr>
          <w:lang w:val="en-GB"/>
        </w:rPr>
        <w:t>conduct</w:t>
      </w:r>
      <w:r w:rsidR="00FD7A31">
        <w:rPr>
          <w:lang w:val="en-GB"/>
        </w:rPr>
        <w:t>ing</w:t>
      </w:r>
      <w:r w:rsidR="004E2AFA" w:rsidRPr="00DE7DBC">
        <w:rPr>
          <w:lang w:val="en-GB"/>
        </w:rPr>
        <w:t xml:space="preserve"> the </w:t>
      </w:r>
      <w:r w:rsidRPr="00DE7DBC">
        <w:rPr>
          <w:lang w:val="en-GB"/>
        </w:rPr>
        <w:t>Cooperation Framework</w:t>
      </w:r>
      <w:r w:rsidR="00FD7A31">
        <w:rPr>
          <w:lang w:val="en-GB"/>
        </w:rPr>
        <w:t xml:space="preserve">, </w:t>
      </w:r>
      <w:r w:rsidRPr="00DE7DBC">
        <w:rPr>
          <w:lang w:val="en-GB"/>
        </w:rPr>
        <w:t>2021-2025</w:t>
      </w:r>
      <w:r w:rsidR="00FD7A31">
        <w:rPr>
          <w:lang w:val="en-GB"/>
        </w:rPr>
        <w:t>,</w:t>
      </w:r>
      <w:r w:rsidR="00323C95" w:rsidRPr="00DE7DBC">
        <w:rPr>
          <w:lang w:val="en-GB"/>
        </w:rPr>
        <w:t xml:space="preserve"> final evaluation</w:t>
      </w:r>
      <w:r w:rsidRPr="00DE7DBC">
        <w:rPr>
          <w:lang w:val="en-GB"/>
        </w:rPr>
        <w:t xml:space="preserve">. </w:t>
      </w:r>
    </w:p>
    <w:p w14:paraId="08A29BD2" w14:textId="4CCC696E" w:rsidR="0034740F" w:rsidRPr="00DE7DBC" w:rsidRDefault="0034740F" w:rsidP="006A5F9B">
      <w:pPr>
        <w:pStyle w:val="ListParagraph"/>
        <w:numPr>
          <w:ilvl w:val="0"/>
          <w:numId w:val="1"/>
        </w:numPr>
        <w:autoSpaceDE w:val="0"/>
        <w:autoSpaceDN w:val="0"/>
        <w:adjustRightInd w:val="0"/>
        <w:spacing w:after="120"/>
        <w:ind w:left="1260" w:right="1195" w:firstLine="0"/>
        <w:jc w:val="both"/>
        <w:rPr>
          <w:lang w:val="en-GB"/>
        </w:rPr>
      </w:pPr>
      <w:r w:rsidRPr="00DE7DBC">
        <w:rPr>
          <w:lang w:val="en-GB"/>
        </w:rPr>
        <w:t xml:space="preserve">To ensure effective implementation of the </w:t>
      </w:r>
      <w:r w:rsidR="00FD7A31">
        <w:rPr>
          <w:lang w:val="en-GB"/>
        </w:rPr>
        <w:t>monitoring and evaluation</w:t>
      </w:r>
      <w:r w:rsidRPr="00DE7DBC">
        <w:rPr>
          <w:lang w:val="en-GB"/>
        </w:rPr>
        <w:t xml:space="preserve"> plans, at least 5</w:t>
      </w:r>
      <w:r w:rsidR="00FD7A31">
        <w:rPr>
          <w:lang w:val="en-GB"/>
        </w:rPr>
        <w:t> per cent</w:t>
      </w:r>
      <w:r w:rsidRPr="00DE7DBC">
        <w:rPr>
          <w:lang w:val="en-GB"/>
        </w:rPr>
        <w:t xml:space="preserve"> of the country programme budget will be allocated to </w:t>
      </w:r>
      <w:r w:rsidR="00FD7A31">
        <w:rPr>
          <w:lang w:val="en-GB"/>
        </w:rPr>
        <w:t>monitoring and evaluation</w:t>
      </w:r>
      <w:r w:rsidR="00FD7A31" w:rsidRPr="00DE7DBC">
        <w:rPr>
          <w:lang w:val="en-GB"/>
        </w:rPr>
        <w:t xml:space="preserve"> </w:t>
      </w:r>
      <w:r w:rsidRPr="00DE7DBC">
        <w:rPr>
          <w:lang w:val="en-GB"/>
        </w:rPr>
        <w:t>activities.</w:t>
      </w:r>
    </w:p>
    <w:p w14:paraId="61406E8D" w14:textId="4CE89B4D" w:rsidR="0034740F" w:rsidRPr="00DE7DBC" w:rsidRDefault="0034740F" w:rsidP="006A5F9B">
      <w:pPr>
        <w:pStyle w:val="ListParagraph"/>
        <w:numPr>
          <w:ilvl w:val="0"/>
          <w:numId w:val="1"/>
        </w:numPr>
        <w:autoSpaceDE w:val="0"/>
        <w:autoSpaceDN w:val="0"/>
        <w:adjustRightInd w:val="0"/>
        <w:spacing w:after="120"/>
        <w:ind w:left="1260" w:right="1195" w:firstLine="0"/>
        <w:jc w:val="both"/>
        <w:rPr>
          <w:lang w:val="en-GB"/>
        </w:rPr>
      </w:pPr>
      <w:r w:rsidRPr="00DE7DBC">
        <w:rPr>
          <w:lang w:val="en-GB"/>
        </w:rPr>
        <w:t>Knowledge management measures will be implemented to maintain analysis of evaluation recommendations and lessons from monitoring actions within the programme or project and beyond.</w:t>
      </w:r>
    </w:p>
    <w:p w14:paraId="20554C5A" w14:textId="1843075A" w:rsidR="0034740F" w:rsidRPr="00DE7DBC" w:rsidRDefault="0034740F" w:rsidP="00C82662">
      <w:pPr>
        <w:pStyle w:val="ListParagraph"/>
        <w:numPr>
          <w:ilvl w:val="0"/>
          <w:numId w:val="1"/>
        </w:numPr>
        <w:autoSpaceDE w:val="0"/>
        <w:autoSpaceDN w:val="0"/>
        <w:adjustRightInd w:val="0"/>
        <w:ind w:left="1260" w:right="1195" w:firstLine="0"/>
        <w:jc w:val="both"/>
        <w:rPr>
          <w:lang w:val="en-GB"/>
        </w:rPr>
      </w:pPr>
      <w:r w:rsidRPr="00DE7DBC">
        <w:rPr>
          <w:lang w:val="en-GB"/>
        </w:rPr>
        <w:t>Quality assessment</w:t>
      </w:r>
      <w:r w:rsidR="00FD7A31">
        <w:rPr>
          <w:lang w:val="en-GB"/>
        </w:rPr>
        <w:t>s</w:t>
      </w:r>
      <w:r w:rsidRPr="00DE7DBC">
        <w:rPr>
          <w:lang w:val="en-GB"/>
        </w:rPr>
        <w:t xml:space="preserve"> of programm</w:t>
      </w:r>
      <w:r w:rsidR="00BD2BCC" w:rsidRPr="00DE7DBC">
        <w:rPr>
          <w:lang w:val="en-GB"/>
        </w:rPr>
        <w:t>ing</w:t>
      </w:r>
      <w:r w:rsidRPr="00DE7DBC">
        <w:rPr>
          <w:lang w:val="en-GB"/>
        </w:rPr>
        <w:t xml:space="preserve"> will be conducted against UNDP quality standards for all projects</w:t>
      </w:r>
      <w:r w:rsidR="0097345B" w:rsidRPr="00DE7DBC">
        <w:rPr>
          <w:lang w:val="en-GB"/>
        </w:rPr>
        <w:t xml:space="preserve"> throughout their entire life cycle</w:t>
      </w:r>
      <w:r w:rsidRPr="00DE7DBC">
        <w:rPr>
          <w:lang w:val="en-GB"/>
        </w:rPr>
        <w:t>.</w:t>
      </w:r>
    </w:p>
    <w:p w14:paraId="2440D41D" w14:textId="13C845CF" w:rsidR="00EE0DF2" w:rsidRPr="00DE7DBC" w:rsidRDefault="0034740F" w:rsidP="00EA65B2">
      <w:pPr>
        <w:ind w:left="1260" w:right="1210"/>
        <w:jc w:val="both"/>
        <w:rPr>
          <w:color w:val="000000"/>
          <w:lang w:val="en-GB"/>
        </w:rPr>
        <w:sectPr w:rsidR="00EE0DF2" w:rsidRPr="00DE7DBC"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DE7DBC">
        <w:rPr>
          <w:lang w:val="en-GB"/>
        </w:rPr>
        <w:br w:type="page"/>
      </w:r>
    </w:p>
    <w:p w14:paraId="2440D43F" w14:textId="7EE8C21B" w:rsidR="006B6E78" w:rsidRPr="00DE7DBC" w:rsidRDefault="00BA25D4" w:rsidP="006B6E78">
      <w:pPr>
        <w:pStyle w:val="Heading4"/>
        <w:spacing w:after="120"/>
        <w:rPr>
          <w:rFonts w:ascii="Times New Roman" w:hAnsi="Times New Roman"/>
          <w:i/>
          <w:spacing w:val="-4"/>
          <w:sz w:val="24"/>
          <w:szCs w:val="24"/>
          <w:lang w:val="en-GB"/>
        </w:rPr>
      </w:pPr>
      <w:r w:rsidRPr="00DE7DBC">
        <w:rPr>
          <w:rFonts w:ascii="Times New Roman" w:hAnsi="Times New Roman"/>
          <w:bCs/>
          <w:spacing w:val="-4"/>
          <w:sz w:val="24"/>
          <w:szCs w:val="24"/>
          <w:lang w:val="en-GB"/>
        </w:rPr>
        <w:lastRenderedPageBreak/>
        <w:t>Annex. Results and resources framework for Bosnia and Herzegovina (2021-2025)</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3"/>
        <w:gridCol w:w="1984"/>
        <w:gridCol w:w="4818"/>
        <w:gridCol w:w="285"/>
        <w:gridCol w:w="1416"/>
        <w:gridCol w:w="285"/>
        <w:gridCol w:w="1324"/>
      </w:tblGrid>
      <w:tr w:rsidR="00D1201C" w:rsidRPr="00DE7DBC" w14:paraId="234D00F7" w14:textId="77777777" w:rsidTr="0071084A">
        <w:tc>
          <w:tcPr>
            <w:tcW w:w="5000" w:type="pct"/>
            <w:gridSpan w:val="7"/>
            <w:shd w:val="clear" w:color="auto" w:fill="auto"/>
            <w:tcMar>
              <w:top w:w="72" w:type="dxa"/>
              <w:left w:w="144" w:type="dxa"/>
              <w:bottom w:w="72" w:type="dxa"/>
              <w:right w:w="144" w:type="dxa"/>
            </w:tcMar>
          </w:tcPr>
          <w:p w14:paraId="3C1F8E99" w14:textId="77777777" w:rsidR="00D1201C" w:rsidRPr="00DE7DBC" w:rsidRDefault="00D1201C" w:rsidP="00D1201C">
            <w:pPr>
              <w:rPr>
                <w:b/>
                <w:bCs/>
                <w:color w:val="000000"/>
                <w:sz w:val="16"/>
                <w:szCs w:val="16"/>
                <w:lang w:val="en-GB"/>
              </w:rPr>
            </w:pPr>
            <w:r w:rsidRPr="00DE7DBC">
              <w:rPr>
                <w:b/>
                <w:bCs/>
                <w:color w:val="000000"/>
                <w:sz w:val="16"/>
                <w:szCs w:val="16"/>
                <w:lang w:val="en-GB"/>
              </w:rPr>
              <w:t xml:space="preserve">NATIONAL PRIORITY OR GOAL: </w:t>
            </w:r>
          </w:p>
          <w:p w14:paraId="21AE5242" w14:textId="754AB9C5" w:rsidR="00D1201C" w:rsidRPr="004E7373" w:rsidRDefault="00C15D76" w:rsidP="00D1201C">
            <w:pPr>
              <w:rPr>
                <w:b/>
                <w:bCs/>
                <w:sz w:val="16"/>
                <w:szCs w:val="16"/>
                <w:lang w:val="en-GB"/>
              </w:rPr>
            </w:pPr>
            <w:r w:rsidRPr="004E7373">
              <w:rPr>
                <w:b/>
                <w:bCs/>
                <w:sz w:val="16"/>
                <w:szCs w:val="16"/>
                <w:lang w:val="en-GB"/>
              </w:rPr>
              <w:t>Sustainable Development Goals</w:t>
            </w:r>
            <w:r w:rsidR="00D1201C" w:rsidRPr="004E7373">
              <w:rPr>
                <w:b/>
                <w:bCs/>
                <w:sz w:val="16"/>
                <w:szCs w:val="16"/>
                <w:lang w:val="en-GB"/>
              </w:rPr>
              <w:t xml:space="preserve"> Framework in Bosnia and Herzegovina: Smart growth pathway</w:t>
            </w:r>
          </w:p>
          <w:p w14:paraId="37967D2D" w14:textId="6D377BE1" w:rsidR="00D1201C" w:rsidRPr="00DE7DBC" w:rsidRDefault="00D1201C" w:rsidP="00D1201C">
            <w:pPr>
              <w:jc w:val="both"/>
              <w:rPr>
                <w:b/>
                <w:bCs/>
                <w:color w:val="000000"/>
                <w:sz w:val="16"/>
                <w:szCs w:val="16"/>
                <w:lang w:val="en-GB"/>
              </w:rPr>
            </w:pPr>
            <w:r w:rsidRPr="004E7373">
              <w:rPr>
                <w:b/>
                <w:bCs/>
                <w:sz w:val="16"/>
                <w:szCs w:val="16"/>
                <w:lang w:val="en-GB"/>
              </w:rPr>
              <w:t xml:space="preserve">Joint </w:t>
            </w:r>
            <w:r w:rsidR="002C5F40" w:rsidRPr="004E7373">
              <w:rPr>
                <w:b/>
                <w:bCs/>
                <w:sz w:val="16"/>
                <w:szCs w:val="16"/>
                <w:lang w:val="en-GB"/>
              </w:rPr>
              <w:t>s</w:t>
            </w:r>
            <w:r w:rsidRPr="004E7373">
              <w:rPr>
                <w:b/>
                <w:bCs/>
                <w:sz w:val="16"/>
                <w:szCs w:val="16"/>
                <w:lang w:val="en-GB"/>
              </w:rPr>
              <w:t>ocio</w:t>
            </w:r>
            <w:r w:rsidR="002C5F40" w:rsidRPr="004E7373">
              <w:rPr>
                <w:b/>
                <w:bCs/>
                <w:sz w:val="16"/>
                <w:szCs w:val="16"/>
                <w:lang w:val="en-GB"/>
              </w:rPr>
              <w:t>e</w:t>
            </w:r>
            <w:r w:rsidRPr="004E7373">
              <w:rPr>
                <w:b/>
                <w:bCs/>
                <w:sz w:val="16"/>
                <w:szCs w:val="16"/>
                <w:lang w:val="en-GB"/>
              </w:rPr>
              <w:t xml:space="preserve">conomic </w:t>
            </w:r>
            <w:r w:rsidR="002C5F40" w:rsidRPr="004E7373">
              <w:rPr>
                <w:b/>
                <w:bCs/>
                <w:sz w:val="16"/>
                <w:szCs w:val="16"/>
                <w:lang w:val="en-GB"/>
              </w:rPr>
              <w:t>r</w:t>
            </w:r>
            <w:r w:rsidRPr="004E7373">
              <w:rPr>
                <w:b/>
                <w:bCs/>
                <w:sz w:val="16"/>
                <w:szCs w:val="16"/>
                <w:lang w:val="en-GB"/>
              </w:rPr>
              <w:t>eforms in Bosnia and Herzegovina</w:t>
            </w:r>
            <w:r w:rsidR="002C5F40" w:rsidRPr="004E7373">
              <w:rPr>
                <w:b/>
                <w:bCs/>
                <w:sz w:val="16"/>
                <w:szCs w:val="16"/>
                <w:lang w:val="en-GB"/>
              </w:rPr>
              <w:t xml:space="preserve">, </w:t>
            </w:r>
            <w:r w:rsidRPr="004E7373">
              <w:rPr>
                <w:b/>
                <w:bCs/>
                <w:sz w:val="16"/>
                <w:szCs w:val="16"/>
                <w:lang w:val="en-GB"/>
              </w:rPr>
              <w:t xml:space="preserve">2019-2022: I. Sustainable and </w:t>
            </w:r>
            <w:r w:rsidR="002C5F40" w:rsidRPr="004E7373">
              <w:rPr>
                <w:b/>
                <w:bCs/>
                <w:sz w:val="16"/>
                <w:szCs w:val="16"/>
                <w:lang w:val="en-GB"/>
              </w:rPr>
              <w:t>a</w:t>
            </w:r>
            <w:r w:rsidRPr="004E7373">
              <w:rPr>
                <w:b/>
                <w:bCs/>
                <w:sz w:val="16"/>
                <w:szCs w:val="16"/>
                <w:lang w:val="en-GB"/>
              </w:rPr>
              <w:t xml:space="preserve">ccelerated </w:t>
            </w:r>
            <w:r w:rsidR="002C5F40" w:rsidRPr="004E7373">
              <w:rPr>
                <w:b/>
                <w:bCs/>
                <w:sz w:val="16"/>
                <w:szCs w:val="16"/>
                <w:lang w:val="en-GB"/>
              </w:rPr>
              <w:t>e</w:t>
            </w:r>
            <w:r w:rsidRPr="004E7373">
              <w:rPr>
                <w:b/>
                <w:bCs/>
                <w:sz w:val="16"/>
                <w:szCs w:val="16"/>
                <w:lang w:val="en-GB"/>
              </w:rPr>
              <w:t xml:space="preserve">conomic </w:t>
            </w:r>
            <w:r w:rsidR="002C5F40" w:rsidRPr="004E7373">
              <w:rPr>
                <w:b/>
                <w:bCs/>
                <w:sz w:val="16"/>
                <w:szCs w:val="16"/>
                <w:lang w:val="en-GB"/>
              </w:rPr>
              <w:t>g</w:t>
            </w:r>
            <w:r w:rsidRPr="004E7373">
              <w:rPr>
                <w:b/>
                <w:bCs/>
                <w:sz w:val="16"/>
                <w:szCs w:val="16"/>
                <w:lang w:val="en-GB"/>
              </w:rPr>
              <w:t xml:space="preserve">rowth, </w:t>
            </w:r>
            <w:r w:rsidR="002C5F40" w:rsidRPr="004E7373">
              <w:rPr>
                <w:b/>
                <w:bCs/>
                <w:sz w:val="16"/>
                <w:szCs w:val="16"/>
                <w:lang w:val="en-GB"/>
              </w:rPr>
              <w:t>i</w:t>
            </w:r>
            <w:r w:rsidRPr="004E7373">
              <w:rPr>
                <w:b/>
                <w:bCs/>
                <w:sz w:val="16"/>
                <w:szCs w:val="16"/>
                <w:lang w:val="en-GB"/>
              </w:rPr>
              <w:t xml:space="preserve">ncreased </w:t>
            </w:r>
            <w:r w:rsidR="002C5F40" w:rsidRPr="004E7373">
              <w:rPr>
                <w:b/>
                <w:bCs/>
                <w:sz w:val="16"/>
                <w:szCs w:val="16"/>
                <w:lang w:val="en-GB"/>
              </w:rPr>
              <w:t>c</w:t>
            </w:r>
            <w:r w:rsidRPr="004E7373">
              <w:rPr>
                <w:b/>
                <w:bCs/>
                <w:sz w:val="16"/>
                <w:szCs w:val="16"/>
                <w:lang w:val="en-GB"/>
              </w:rPr>
              <w:t xml:space="preserve">ompetitiveness of the </w:t>
            </w:r>
            <w:r w:rsidR="002C5F40" w:rsidRPr="004E7373">
              <w:rPr>
                <w:b/>
                <w:bCs/>
                <w:sz w:val="16"/>
                <w:szCs w:val="16"/>
                <w:lang w:val="en-GB"/>
              </w:rPr>
              <w:t>e</w:t>
            </w:r>
            <w:r w:rsidRPr="004E7373">
              <w:rPr>
                <w:b/>
                <w:bCs/>
                <w:sz w:val="16"/>
                <w:szCs w:val="16"/>
                <w:lang w:val="en-GB"/>
              </w:rPr>
              <w:t xml:space="preserve">conomy and </w:t>
            </w:r>
            <w:r w:rsidR="002C5F40" w:rsidRPr="004E7373">
              <w:rPr>
                <w:b/>
                <w:bCs/>
                <w:sz w:val="16"/>
                <w:szCs w:val="16"/>
                <w:lang w:val="en-GB"/>
              </w:rPr>
              <w:t>i</w:t>
            </w:r>
            <w:r w:rsidRPr="004E7373">
              <w:rPr>
                <w:b/>
                <w:bCs/>
                <w:sz w:val="16"/>
                <w:szCs w:val="16"/>
                <w:lang w:val="en-GB"/>
              </w:rPr>
              <w:t xml:space="preserve">mproved </w:t>
            </w:r>
            <w:r w:rsidR="002C5F40" w:rsidRPr="004E7373">
              <w:rPr>
                <w:b/>
                <w:bCs/>
                <w:sz w:val="16"/>
                <w:szCs w:val="16"/>
                <w:lang w:val="en-GB"/>
              </w:rPr>
              <w:t>b</w:t>
            </w:r>
            <w:r w:rsidRPr="004E7373">
              <w:rPr>
                <w:b/>
                <w:bCs/>
                <w:sz w:val="16"/>
                <w:szCs w:val="16"/>
                <w:lang w:val="en-GB"/>
              </w:rPr>
              <w:t xml:space="preserve">usiness </w:t>
            </w:r>
            <w:r w:rsidR="002C5F40" w:rsidRPr="004E7373">
              <w:rPr>
                <w:b/>
                <w:bCs/>
                <w:sz w:val="16"/>
                <w:szCs w:val="16"/>
                <w:lang w:val="en-GB"/>
              </w:rPr>
              <w:t>e</w:t>
            </w:r>
            <w:r w:rsidRPr="004E7373">
              <w:rPr>
                <w:b/>
                <w:bCs/>
                <w:sz w:val="16"/>
                <w:szCs w:val="16"/>
                <w:lang w:val="en-GB"/>
              </w:rPr>
              <w:t>nvironment</w:t>
            </w:r>
            <w:r w:rsidR="002C5F40" w:rsidRPr="004E7373">
              <w:rPr>
                <w:b/>
                <w:bCs/>
                <w:sz w:val="16"/>
                <w:szCs w:val="16"/>
                <w:lang w:val="en-GB"/>
              </w:rPr>
              <w:t>.</w:t>
            </w:r>
          </w:p>
        </w:tc>
      </w:tr>
      <w:tr w:rsidR="00D1201C" w:rsidRPr="00DE7DBC" w14:paraId="6F27ADE3" w14:textId="77777777" w:rsidTr="0071084A">
        <w:tc>
          <w:tcPr>
            <w:tcW w:w="5000" w:type="pct"/>
            <w:gridSpan w:val="7"/>
            <w:shd w:val="clear" w:color="auto" w:fill="auto"/>
            <w:tcMar>
              <w:top w:w="72" w:type="dxa"/>
              <w:left w:w="144" w:type="dxa"/>
              <w:bottom w:w="72" w:type="dxa"/>
              <w:right w:w="144" w:type="dxa"/>
            </w:tcMar>
          </w:tcPr>
          <w:p w14:paraId="5C2AC07F" w14:textId="04985D21" w:rsidR="00D1201C" w:rsidRPr="00DE7DBC" w:rsidRDefault="00D1201C" w:rsidP="00D1201C">
            <w:pPr>
              <w:jc w:val="both"/>
              <w:rPr>
                <w:color w:val="000000"/>
                <w:sz w:val="16"/>
                <w:szCs w:val="16"/>
                <w:lang w:val="en-GB"/>
              </w:rPr>
            </w:pPr>
            <w:r w:rsidRPr="00DE7DBC">
              <w:rPr>
                <w:b/>
                <w:bCs/>
                <w:color w:val="000000"/>
                <w:sz w:val="16"/>
                <w:szCs w:val="16"/>
                <w:lang w:val="en-GB"/>
              </w:rPr>
              <w:t>COOPERATION FRAMEWORK (OR EQUIVALENT) OUTCOME INVOLVING UNDP 1:</w:t>
            </w:r>
            <w:r w:rsidRPr="00DE7DBC">
              <w:rPr>
                <w:color w:val="000000"/>
                <w:sz w:val="16"/>
                <w:szCs w:val="16"/>
                <w:lang w:val="en-GB"/>
              </w:rPr>
              <w:t xml:space="preserve"> </w:t>
            </w:r>
            <w:r w:rsidRPr="00DE7DBC">
              <w:rPr>
                <w:b/>
                <w:bCs/>
                <w:color w:val="000000"/>
                <w:sz w:val="16"/>
                <w:szCs w:val="16"/>
                <w:lang w:val="en-GB"/>
              </w:rPr>
              <w:t>Outcome</w:t>
            </w:r>
            <w:r w:rsidRPr="00DE7DBC">
              <w:rPr>
                <w:b/>
                <w:bCs/>
                <w:sz w:val="16"/>
                <w:szCs w:val="16"/>
                <w:lang w:val="en-GB"/>
              </w:rPr>
              <w:t xml:space="preserve"> 1.</w:t>
            </w:r>
            <w:r w:rsidRPr="00DE7DBC">
              <w:rPr>
                <w:b/>
                <w:sz w:val="16"/>
                <w:szCs w:val="16"/>
                <w:lang w:val="en-GB"/>
              </w:rPr>
              <w:t xml:space="preserve"> By 2025, people benefit from resilient, inclusive and sustainable growth ensured by the convergence of economic development, and management of environment and cultural resources.</w:t>
            </w:r>
          </w:p>
        </w:tc>
      </w:tr>
      <w:tr w:rsidR="00D1201C" w:rsidRPr="00DE7DBC" w14:paraId="17CA10DB" w14:textId="77777777" w:rsidTr="0071084A">
        <w:tc>
          <w:tcPr>
            <w:tcW w:w="5000" w:type="pct"/>
            <w:gridSpan w:val="7"/>
            <w:shd w:val="clear" w:color="auto" w:fill="auto"/>
            <w:tcMar>
              <w:top w:w="72" w:type="dxa"/>
              <w:left w:w="144" w:type="dxa"/>
              <w:bottom w:w="72" w:type="dxa"/>
              <w:right w:w="144" w:type="dxa"/>
            </w:tcMar>
          </w:tcPr>
          <w:p w14:paraId="6046D0ED" w14:textId="64396E2A" w:rsidR="00D1201C" w:rsidRPr="00DE7DBC" w:rsidRDefault="00D1201C" w:rsidP="00D1201C">
            <w:pPr>
              <w:jc w:val="both"/>
              <w:rPr>
                <w:b/>
                <w:bCs/>
                <w:color w:val="000000"/>
                <w:spacing w:val="-4"/>
                <w:sz w:val="16"/>
                <w:szCs w:val="16"/>
                <w:lang w:val="en-GB"/>
              </w:rPr>
            </w:pPr>
            <w:r w:rsidRPr="00DE7DBC">
              <w:rPr>
                <w:b/>
                <w:bCs/>
                <w:color w:val="000000"/>
                <w:spacing w:val="-4"/>
                <w:sz w:val="16"/>
                <w:szCs w:val="16"/>
                <w:lang w:val="en-GB"/>
              </w:rPr>
              <w:t>RELATED STRATEGIC PLAN OUTCOME:</w:t>
            </w:r>
            <w:r w:rsidRPr="00DE7DBC">
              <w:rPr>
                <w:color w:val="0000FF"/>
                <w:spacing w:val="-4"/>
                <w:sz w:val="16"/>
                <w:szCs w:val="16"/>
                <w:lang w:val="en-GB"/>
              </w:rPr>
              <w:t xml:space="preserve"> </w:t>
            </w:r>
            <w:r w:rsidRPr="00DE7DBC">
              <w:rPr>
                <w:b/>
                <w:spacing w:val="-4"/>
                <w:sz w:val="16"/>
                <w:szCs w:val="16"/>
                <w:lang w:val="en-GB"/>
              </w:rPr>
              <w:t>Outcome 1: Advance poverty eradication in all its forms and dimensions</w:t>
            </w:r>
            <w:r w:rsidR="002C5F40">
              <w:rPr>
                <w:b/>
                <w:spacing w:val="-4"/>
                <w:sz w:val="16"/>
                <w:szCs w:val="16"/>
                <w:lang w:val="en-GB"/>
              </w:rPr>
              <w:t>;</w:t>
            </w:r>
            <w:r w:rsidRPr="00DE7DBC">
              <w:rPr>
                <w:b/>
                <w:spacing w:val="-4"/>
                <w:sz w:val="16"/>
                <w:szCs w:val="16"/>
                <w:lang w:val="en-GB"/>
              </w:rPr>
              <w:t xml:space="preserve"> Outcome 2: Accelerate structural transformations for sustainable development</w:t>
            </w:r>
            <w:r w:rsidR="002C5F40">
              <w:rPr>
                <w:b/>
                <w:spacing w:val="-4"/>
                <w:sz w:val="16"/>
                <w:szCs w:val="16"/>
                <w:lang w:val="en-GB"/>
              </w:rPr>
              <w:t>.</w:t>
            </w:r>
          </w:p>
        </w:tc>
      </w:tr>
      <w:tr w:rsidR="00D1201C" w:rsidRPr="00DE7DBC" w14:paraId="16BCF227" w14:textId="77777777" w:rsidTr="0071084A">
        <w:tc>
          <w:tcPr>
            <w:tcW w:w="1136" w:type="pct"/>
            <w:shd w:val="clear" w:color="auto" w:fill="auto"/>
            <w:tcMar>
              <w:top w:w="72" w:type="dxa"/>
              <w:left w:w="144" w:type="dxa"/>
              <w:bottom w:w="72" w:type="dxa"/>
              <w:right w:w="144" w:type="dxa"/>
            </w:tcMar>
            <w:vAlign w:val="center"/>
          </w:tcPr>
          <w:p w14:paraId="3DF56598" w14:textId="77777777" w:rsidR="00D1201C" w:rsidRPr="00DE7DBC" w:rsidRDefault="00D1201C" w:rsidP="00D1201C">
            <w:pPr>
              <w:jc w:val="center"/>
              <w:rPr>
                <w:color w:val="000000"/>
                <w:sz w:val="16"/>
                <w:szCs w:val="16"/>
                <w:lang w:val="en-GB"/>
              </w:rPr>
            </w:pPr>
            <w:r w:rsidRPr="00DE7DBC">
              <w:rPr>
                <w:b/>
                <w:bCs/>
                <w:color w:val="000000"/>
                <w:sz w:val="16"/>
                <w:szCs w:val="16"/>
                <w:lang w:val="en-GB"/>
              </w:rPr>
              <w:t>COOPERATION FRAMEWORK OUTCOME INDICATOR(S), BASELINES, TARGET(S)</w:t>
            </w:r>
          </w:p>
        </w:tc>
        <w:tc>
          <w:tcPr>
            <w:tcW w:w="758" w:type="pct"/>
            <w:shd w:val="clear" w:color="auto" w:fill="auto"/>
            <w:vAlign w:val="center"/>
          </w:tcPr>
          <w:p w14:paraId="0A474F5D" w14:textId="77777777" w:rsidR="00D1201C" w:rsidRPr="00DE7DBC" w:rsidRDefault="00D1201C" w:rsidP="00D1201C">
            <w:pPr>
              <w:jc w:val="center"/>
              <w:rPr>
                <w:b/>
                <w:color w:val="000000"/>
                <w:sz w:val="16"/>
                <w:szCs w:val="16"/>
                <w:lang w:val="en-GB"/>
              </w:rPr>
            </w:pPr>
            <w:r w:rsidRPr="00DE7DBC">
              <w:rPr>
                <w:b/>
                <w:color w:val="000000"/>
                <w:sz w:val="16"/>
                <w:szCs w:val="16"/>
                <w:lang w:val="en-GB"/>
              </w:rPr>
              <w:t>DATA SOURCE AND FREQUENCY OF DATA COLLECTION, AND RESPONSIBILITIES</w:t>
            </w:r>
          </w:p>
        </w:tc>
        <w:tc>
          <w:tcPr>
            <w:tcW w:w="1841" w:type="pct"/>
            <w:shd w:val="clear" w:color="auto" w:fill="auto"/>
            <w:tcMar>
              <w:top w:w="72" w:type="dxa"/>
              <w:left w:w="144" w:type="dxa"/>
              <w:bottom w:w="72" w:type="dxa"/>
              <w:right w:w="144" w:type="dxa"/>
            </w:tcMar>
            <w:vAlign w:val="center"/>
          </w:tcPr>
          <w:p w14:paraId="6CBC5FC6" w14:textId="77777777" w:rsidR="00D1201C" w:rsidRPr="00DE7DBC" w:rsidRDefault="00D1201C" w:rsidP="00D1201C">
            <w:pPr>
              <w:jc w:val="center"/>
              <w:rPr>
                <w:color w:val="000000"/>
                <w:sz w:val="16"/>
                <w:szCs w:val="16"/>
                <w:lang w:val="en-GB"/>
              </w:rPr>
            </w:pPr>
            <w:r w:rsidRPr="00DE7DBC">
              <w:rPr>
                <w:b/>
                <w:bCs/>
                <w:color w:val="000000"/>
                <w:sz w:val="16"/>
                <w:szCs w:val="16"/>
                <w:lang w:val="en-GB"/>
              </w:rPr>
              <w:t>INDICATIVE COUNTRY PROGRAMME OUTPUTS (including indicators, baselines targets)</w:t>
            </w:r>
          </w:p>
        </w:tc>
        <w:tc>
          <w:tcPr>
            <w:tcW w:w="650" w:type="pct"/>
            <w:gridSpan w:val="2"/>
            <w:shd w:val="clear" w:color="auto" w:fill="auto"/>
            <w:vAlign w:val="center"/>
          </w:tcPr>
          <w:p w14:paraId="11B32997" w14:textId="77777777" w:rsidR="00D1201C" w:rsidRPr="00DE7DBC" w:rsidRDefault="00D1201C" w:rsidP="00D1201C">
            <w:pPr>
              <w:jc w:val="center"/>
              <w:rPr>
                <w:b/>
                <w:bCs/>
                <w:color w:val="000000"/>
                <w:sz w:val="16"/>
                <w:szCs w:val="16"/>
                <w:lang w:val="en-GB"/>
              </w:rPr>
            </w:pPr>
            <w:r w:rsidRPr="00DE7DBC">
              <w:rPr>
                <w:b/>
                <w:bCs/>
                <w:color w:val="000000"/>
                <w:sz w:val="16"/>
                <w:szCs w:val="16"/>
                <w:lang w:val="en-GB"/>
              </w:rPr>
              <w:t>MAJOR PARTNERS / PARTNERSHIPS</w:t>
            </w:r>
          </w:p>
          <w:p w14:paraId="214F46AC" w14:textId="77777777" w:rsidR="00D1201C" w:rsidRPr="00DE7DBC" w:rsidRDefault="00D1201C" w:rsidP="00D1201C">
            <w:pPr>
              <w:jc w:val="center"/>
              <w:rPr>
                <w:b/>
                <w:bCs/>
                <w:color w:val="000000"/>
                <w:sz w:val="16"/>
                <w:szCs w:val="16"/>
                <w:lang w:val="en-GB"/>
              </w:rPr>
            </w:pPr>
            <w:r w:rsidRPr="00DE7DBC">
              <w:rPr>
                <w:b/>
                <w:bCs/>
                <w:color w:val="000000"/>
                <w:sz w:val="16"/>
                <w:szCs w:val="16"/>
                <w:lang w:val="en-GB"/>
              </w:rPr>
              <w:t>FRAMEWORKS</w:t>
            </w:r>
          </w:p>
        </w:tc>
        <w:tc>
          <w:tcPr>
            <w:tcW w:w="615" w:type="pct"/>
            <w:gridSpan w:val="2"/>
            <w:shd w:val="clear" w:color="auto" w:fill="auto"/>
            <w:tcMar>
              <w:top w:w="15" w:type="dxa"/>
              <w:left w:w="108" w:type="dxa"/>
              <w:bottom w:w="0" w:type="dxa"/>
              <w:right w:w="108" w:type="dxa"/>
            </w:tcMar>
            <w:vAlign w:val="center"/>
          </w:tcPr>
          <w:p w14:paraId="66EF0BE4" w14:textId="77777777" w:rsidR="002C5F40" w:rsidRDefault="00D1201C" w:rsidP="00D1201C">
            <w:pPr>
              <w:jc w:val="center"/>
              <w:rPr>
                <w:b/>
                <w:bCs/>
                <w:color w:val="000000"/>
                <w:sz w:val="16"/>
                <w:szCs w:val="16"/>
                <w:lang w:val="en-GB"/>
              </w:rPr>
            </w:pPr>
            <w:r w:rsidRPr="00DE7DBC">
              <w:rPr>
                <w:b/>
                <w:bCs/>
                <w:color w:val="000000"/>
                <w:sz w:val="16"/>
                <w:szCs w:val="16"/>
                <w:lang w:val="en-GB"/>
              </w:rPr>
              <w:t>ESTIMATED COST BY OUTCOME</w:t>
            </w:r>
          </w:p>
          <w:p w14:paraId="7956EC87" w14:textId="72297BBE" w:rsidR="00D1201C" w:rsidRPr="00DE7DBC" w:rsidRDefault="00D1201C" w:rsidP="00D1201C">
            <w:pPr>
              <w:jc w:val="center"/>
              <w:rPr>
                <w:color w:val="0000FF"/>
                <w:sz w:val="16"/>
                <w:szCs w:val="16"/>
                <w:lang w:val="en-GB"/>
              </w:rPr>
            </w:pPr>
            <w:r w:rsidRPr="00DE7DBC">
              <w:rPr>
                <w:b/>
                <w:bCs/>
                <w:color w:val="000000"/>
                <w:sz w:val="16"/>
                <w:szCs w:val="16"/>
                <w:lang w:val="en-GB"/>
              </w:rPr>
              <w:t>(</w:t>
            </w:r>
            <w:r w:rsidR="002C5F40" w:rsidRPr="00264C2D">
              <w:rPr>
                <w:b/>
                <w:bCs/>
                <w:i/>
                <w:iCs/>
                <w:color w:val="000000"/>
                <w:sz w:val="16"/>
                <w:szCs w:val="16"/>
                <w:lang w:val="en-GB"/>
              </w:rPr>
              <w:t>United States dollars</w:t>
            </w:r>
            <w:r w:rsidRPr="00DE7DBC">
              <w:rPr>
                <w:b/>
                <w:bCs/>
                <w:color w:val="000000"/>
                <w:sz w:val="16"/>
                <w:szCs w:val="16"/>
                <w:lang w:val="en-GB"/>
              </w:rPr>
              <w:t>)</w:t>
            </w:r>
          </w:p>
        </w:tc>
      </w:tr>
      <w:tr w:rsidR="00D1201C" w:rsidRPr="00DE7DBC" w14:paraId="1E6AC40A" w14:textId="77777777" w:rsidTr="0071084A">
        <w:tc>
          <w:tcPr>
            <w:tcW w:w="1136" w:type="pct"/>
            <w:vMerge w:val="restart"/>
            <w:shd w:val="clear" w:color="auto" w:fill="auto"/>
            <w:tcMar>
              <w:top w:w="72" w:type="dxa"/>
              <w:left w:w="144" w:type="dxa"/>
              <w:bottom w:w="72" w:type="dxa"/>
              <w:right w:w="144" w:type="dxa"/>
            </w:tcMar>
          </w:tcPr>
          <w:p w14:paraId="69A2866D" w14:textId="3C7D1B1D" w:rsidR="00D1201C" w:rsidRPr="00DE7DBC" w:rsidRDefault="00D1201C" w:rsidP="00264C2D">
            <w:pPr>
              <w:rPr>
                <w:spacing w:val="-2"/>
                <w:sz w:val="16"/>
                <w:szCs w:val="16"/>
                <w:lang w:val="en-GB"/>
              </w:rPr>
            </w:pPr>
            <w:r w:rsidRPr="00264C2D">
              <w:rPr>
                <w:b/>
                <w:bCs/>
                <w:spacing w:val="-2"/>
                <w:sz w:val="16"/>
                <w:szCs w:val="16"/>
                <w:lang w:val="en-GB"/>
              </w:rPr>
              <w:t xml:space="preserve">Indicator </w:t>
            </w:r>
            <w:r w:rsidRPr="00264C2D">
              <w:rPr>
                <w:b/>
                <w:bCs/>
                <w:sz w:val="16"/>
                <w:szCs w:val="16"/>
                <w:lang w:val="en-GB"/>
              </w:rPr>
              <w:t>1.a</w:t>
            </w:r>
            <w:r w:rsidR="002C5F40">
              <w:rPr>
                <w:b/>
                <w:bCs/>
                <w:spacing w:val="-2"/>
                <w:sz w:val="16"/>
                <w:szCs w:val="16"/>
                <w:lang w:val="en-GB"/>
              </w:rPr>
              <w:t>.</w:t>
            </w:r>
            <w:r w:rsidRPr="00DE7DBC">
              <w:rPr>
                <w:spacing w:val="-2"/>
                <w:sz w:val="16"/>
                <w:szCs w:val="16"/>
                <w:lang w:val="en-GB"/>
              </w:rPr>
              <w:t xml:space="preserve"> Number of policy, financial or other stimulus measures endorsed to promote sustainable, green economy and low-carbon growth and living.</w:t>
            </w:r>
          </w:p>
          <w:p w14:paraId="1B0BEFA6" w14:textId="4EC5BCB7" w:rsidR="00D1201C" w:rsidRPr="00DE7DBC" w:rsidRDefault="00D1201C" w:rsidP="00264C2D">
            <w:pPr>
              <w:rPr>
                <w:color w:val="000000"/>
                <w:sz w:val="16"/>
                <w:szCs w:val="16"/>
                <w:lang w:val="en-GB"/>
              </w:rPr>
            </w:pPr>
            <w:r w:rsidRPr="00264C2D">
              <w:rPr>
                <w:i/>
                <w:iCs/>
                <w:color w:val="000000"/>
                <w:sz w:val="16"/>
                <w:szCs w:val="16"/>
                <w:lang w:val="en-GB"/>
              </w:rPr>
              <w:t>Baseline</w:t>
            </w:r>
            <w:r w:rsidRPr="00DE7DBC">
              <w:rPr>
                <w:color w:val="000000"/>
                <w:sz w:val="16"/>
                <w:szCs w:val="16"/>
                <w:lang w:val="en-GB"/>
              </w:rPr>
              <w:t xml:space="preserve"> (2019): 17</w:t>
            </w:r>
            <w:r w:rsidR="00373C40">
              <w:rPr>
                <w:color w:val="000000"/>
                <w:sz w:val="16"/>
                <w:szCs w:val="16"/>
                <w:lang w:val="en-GB"/>
              </w:rPr>
              <w:t>.</w:t>
            </w:r>
          </w:p>
          <w:p w14:paraId="33F563EF" w14:textId="01367882" w:rsidR="00D1201C" w:rsidRPr="00DE7DBC" w:rsidRDefault="00D1201C" w:rsidP="00264C2D">
            <w:pPr>
              <w:rPr>
                <w:color w:val="000000"/>
                <w:sz w:val="16"/>
                <w:szCs w:val="16"/>
                <w:lang w:val="en-GB"/>
              </w:rPr>
            </w:pPr>
            <w:r w:rsidRPr="00264C2D">
              <w:rPr>
                <w:i/>
                <w:iCs/>
                <w:color w:val="000000"/>
                <w:sz w:val="16"/>
                <w:szCs w:val="16"/>
                <w:lang w:val="en-GB"/>
              </w:rPr>
              <w:t>Target</w:t>
            </w:r>
            <w:r w:rsidRPr="00DE7DBC">
              <w:rPr>
                <w:color w:val="000000"/>
                <w:sz w:val="16"/>
                <w:szCs w:val="16"/>
                <w:lang w:val="en-GB"/>
              </w:rPr>
              <w:t xml:space="preserve"> (2025): 25.</w:t>
            </w:r>
          </w:p>
          <w:p w14:paraId="68079D3E" w14:textId="77777777" w:rsidR="00D1201C" w:rsidRPr="00DE7DBC" w:rsidRDefault="00D1201C" w:rsidP="00264C2D">
            <w:pPr>
              <w:rPr>
                <w:bCs/>
                <w:color w:val="000000"/>
                <w:sz w:val="16"/>
                <w:szCs w:val="16"/>
                <w:lang w:val="en-GB"/>
              </w:rPr>
            </w:pPr>
          </w:p>
          <w:p w14:paraId="07283010" w14:textId="7DEF918B" w:rsidR="00D1201C" w:rsidRPr="00DE7DBC" w:rsidRDefault="00D1201C" w:rsidP="00264C2D">
            <w:pPr>
              <w:pStyle w:val="ListParagraph"/>
              <w:widowControl w:val="0"/>
              <w:autoSpaceDE w:val="0"/>
              <w:autoSpaceDN w:val="0"/>
              <w:adjustRightInd w:val="0"/>
              <w:ind w:left="0"/>
              <w:rPr>
                <w:spacing w:val="-2"/>
                <w:sz w:val="16"/>
                <w:szCs w:val="16"/>
                <w:lang w:val="en-GB"/>
              </w:rPr>
            </w:pPr>
            <w:r w:rsidRPr="00264C2D">
              <w:rPr>
                <w:b/>
                <w:bCs/>
                <w:spacing w:val="-2"/>
                <w:sz w:val="16"/>
                <w:szCs w:val="16"/>
                <w:lang w:val="en-GB"/>
              </w:rPr>
              <w:t>Indicator 1.e</w:t>
            </w:r>
            <w:r w:rsidR="002C5F40">
              <w:rPr>
                <w:spacing w:val="-2"/>
                <w:sz w:val="16"/>
                <w:szCs w:val="16"/>
                <w:lang w:val="en-GB"/>
              </w:rPr>
              <w:t>.</w:t>
            </w:r>
            <w:r w:rsidRPr="00DE7DBC">
              <w:rPr>
                <w:spacing w:val="-2"/>
                <w:sz w:val="16"/>
                <w:szCs w:val="16"/>
                <w:lang w:val="en-GB"/>
              </w:rPr>
              <w:t xml:space="preserve"> Number of people who benefit from new jobs and improved livelihoods as a result of U</w:t>
            </w:r>
            <w:r w:rsidR="002C5F40">
              <w:rPr>
                <w:spacing w:val="-2"/>
                <w:sz w:val="16"/>
                <w:szCs w:val="16"/>
                <w:lang w:val="en-GB"/>
              </w:rPr>
              <w:t xml:space="preserve">nited </w:t>
            </w:r>
            <w:r w:rsidRPr="00DE7DBC">
              <w:rPr>
                <w:spacing w:val="-2"/>
                <w:sz w:val="16"/>
                <w:szCs w:val="16"/>
                <w:lang w:val="en-GB"/>
              </w:rPr>
              <w:t>N</w:t>
            </w:r>
            <w:r w:rsidR="002C5F40">
              <w:rPr>
                <w:spacing w:val="-2"/>
                <w:sz w:val="16"/>
                <w:szCs w:val="16"/>
                <w:lang w:val="en-GB"/>
              </w:rPr>
              <w:t>ations</w:t>
            </w:r>
            <w:r w:rsidRPr="00DE7DBC">
              <w:rPr>
                <w:spacing w:val="-2"/>
                <w:sz w:val="16"/>
                <w:szCs w:val="16"/>
                <w:lang w:val="en-GB"/>
              </w:rPr>
              <w:t xml:space="preserve"> support.</w:t>
            </w:r>
          </w:p>
          <w:p w14:paraId="2BC895CE" w14:textId="6C3310F8" w:rsidR="00D1201C" w:rsidRPr="00DE7DBC" w:rsidRDefault="00D1201C" w:rsidP="00264C2D">
            <w:pPr>
              <w:pStyle w:val="ListParagraph"/>
              <w:widowControl w:val="0"/>
              <w:autoSpaceDE w:val="0"/>
              <w:autoSpaceDN w:val="0"/>
              <w:adjustRightInd w:val="0"/>
              <w:ind w:left="0"/>
              <w:rPr>
                <w:bCs/>
                <w:color w:val="000000"/>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w:t>
            </w:r>
          </w:p>
          <w:p w14:paraId="4927B7F5" w14:textId="77777777" w:rsidR="00D1201C" w:rsidRPr="00DE7DBC" w:rsidRDefault="00D1201C" w:rsidP="00264C2D">
            <w:pPr>
              <w:pStyle w:val="ListParagraph"/>
              <w:widowControl w:val="0"/>
              <w:autoSpaceDE w:val="0"/>
              <w:autoSpaceDN w:val="0"/>
              <w:adjustRightInd w:val="0"/>
              <w:ind w:left="0"/>
              <w:rPr>
                <w:bCs/>
                <w:color w:val="000000"/>
                <w:sz w:val="16"/>
                <w:szCs w:val="16"/>
                <w:lang w:val="en-GB"/>
              </w:rPr>
            </w:pPr>
            <w:r w:rsidRPr="00DE7DBC">
              <w:rPr>
                <w:bCs/>
                <w:color w:val="000000"/>
                <w:sz w:val="16"/>
                <w:szCs w:val="16"/>
                <w:lang w:val="en-GB"/>
              </w:rPr>
              <w:t>- 28,057 people (8,690 women).</w:t>
            </w:r>
          </w:p>
          <w:p w14:paraId="13C90DB8" w14:textId="77777777" w:rsidR="00D1201C" w:rsidRPr="00DE7DBC" w:rsidRDefault="00D1201C" w:rsidP="00264C2D">
            <w:pPr>
              <w:pStyle w:val="ListParagraph"/>
              <w:widowControl w:val="0"/>
              <w:autoSpaceDE w:val="0"/>
              <w:autoSpaceDN w:val="0"/>
              <w:adjustRightInd w:val="0"/>
              <w:ind w:left="0"/>
              <w:rPr>
                <w:spacing w:val="-2"/>
                <w:sz w:val="16"/>
                <w:szCs w:val="16"/>
                <w:lang w:val="en-GB"/>
              </w:rPr>
            </w:pPr>
            <w:r w:rsidRPr="00DE7DBC">
              <w:rPr>
                <w:sz w:val="16"/>
                <w:szCs w:val="16"/>
                <w:lang w:val="en-GB"/>
              </w:rPr>
              <w:t>- Number of p</w:t>
            </w:r>
            <w:r w:rsidRPr="00DE7DBC">
              <w:rPr>
                <w:bCs/>
                <w:sz w:val="16"/>
                <w:szCs w:val="16"/>
                <w:lang w:val="en-GB"/>
              </w:rPr>
              <w:t>eople whose jobs are safeguarded from COVID-19 crisis: N/A</w:t>
            </w:r>
          </w:p>
          <w:p w14:paraId="23200BE9" w14:textId="77777777" w:rsidR="00D1201C" w:rsidRPr="00DE7DBC" w:rsidRDefault="00D1201C" w:rsidP="00264C2D">
            <w:pPr>
              <w:rPr>
                <w:bCs/>
                <w:color w:val="000000"/>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w:t>
            </w:r>
          </w:p>
          <w:p w14:paraId="1F75A8BD" w14:textId="77777777" w:rsidR="00D1201C" w:rsidRPr="00DE7DBC" w:rsidRDefault="00D1201C" w:rsidP="00264C2D">
            <w:pPr>
              <w:rPr>
                <w:bCs/>
                <w:color w:val="000000"/>
                <w:sz w:val="16"/>
                <w:szCs w:val="16"/>
                <w:lang w:val="en-GB"/>
              </w:rPr>
            </w:pPr>
            <w:r w:rsidRPr="00DE7DBC">
              <w:rPr>
                <w:bCs/>
                <w:color w:val="000000"/>
                <w:sz w:val="16"/>
                <w:szCs w:val="16"/>
                <w:lang w:val="en-GB"/>
              </w:rPr>
              <w:t>- 31,000 people (9,200 women).</w:t>
            </w:r>
          </w:p>
          <w:p w14:paraId="7FD70BE2" w14:textId="77777777" w:rsidR="00D1201C" w:rsidRPr="00DE7DBC" w:rsidRDefault="00D1201C" w:rsidP="00264C2D">
            <w:pPr>
              <w:rPr>
                <w:bCs/>
                <w:color w:val="000000"/>
                <w:sz w:val="16"/>
                <w:szCs w:val="16"/>
                <w:lang w:val="en-GB"/>
              </w:rPr>
            </w:pPr>
            <w:r w:rsidRPr="00DE7DBC">
              <w:rPr>
                <w:sz w:val="16"/>
                <w:szCs w:val="16"/>
                <w:lang w:val="en-GB"/>
              </w:rPr>
              <w:t>- Number of p</w:t>
            </w:r>
            <w:r w:rsidRPr="00DE7DBC">
              <w:rPr>
                <w:bCs/>
                <w:sz w:val="16"/>
                <w:szCs w:val="16"/>
                <w:lang w:val="en-GB"/>
              </w:rPr>
              <w:t>eople whose jobs are safeguarded from COVID-19 crisis: 400 (150 women).</w:t>
            </w:r>
          </w:p>
          <w:p w14:paraId="77EFEA43" w14:textId="77777777" w:rsidR="00D1201C" w:rsidRPr="00DE7DBC" w:rsidRDefault="00D1201C" w:rsidP="00264C2D">
            <w:pPr>
              <w:rPr>
                <w:bCs/>
                <w:color w:val="000000"/>
                <w:sz w:val="16"/>
                <w:szCs w:val="16"/>
                <w:lang w:val="en-GB"/>
              </w:rPr>
            </w:pPr>
          </w:p>
          <w:p w14:paraId="49FB14A2" w14:textId="6AAF813F" w:rsidR="00D1201C" w:rsidRPr="00DE7DBC" w:rsidRDefault="00D1201C" w:rsidP="00264C2D">
            <w:pPr>
              <w:rPr>
                <w:b/>
                <w:sz w:val="16"/>
                <w:szCs w:val="16"/>
                <w:lang w:val="en-GB"/>
              </w:rPr>
            </w:pPr>
            <w:r w:rsidRPr="00264C2D">
              <w:rPr>
                <w:b/>
                <w:color w:val="000000"/>
                <w:sz w:val="16"/>
                <w:szCs w:val="16"/>
                <w:lang w:val="en-GB"/>
              </w:rPr>
              <w:t>Indicator 1.f</w:t>
            </w:r>
            <w:r w:rsidR="002C5F40">
              <w:rPr>
                <w:b/>
                <w:color w:val="000000"/>
                <w:sz w:val="16"/>
                <w:szCs w:val="16"/>
                <w:lang w:val="en-GB"/>
              </w:rPr>
              <w:t>.</w:t>
            </w:r>
            <w:r w:rsidRPr="00DE7DBC">
              <w:rPr>
                <w:bCs/>
                <w:color w:val="000000"/>
                <w:sz w:val="16"/>
                <w:szCs w:val="16"/>
                <w:lang w:val="en-GB"/>
              </w:rPr>
              <w:t xml:space="preserve"> </w:t>
            </w:r>
            <w:r w:rsidRPr="00DE7DBC">
              <w:rPr>
                <w:sz w:val="16"/>
                <w:szCs w:val="16"/>
                <w:lang w:val="en-GB"/>
              </w:rPr>
              <w:t>Change in agriculture and rural development sector performance:</w:t>
            </w:r>
            <w:r w:rsidRPr="00DE7DBC">
              <w:rPr>
                <w:b/>
                <w:sz w:val="16"/>
                <w:szCs w:val="16"/>
                <w:lang w:val="en-GB"/>
              </w:rPr>
              <w:t xml:space="preserve"> </w:t>
            </w:r>
          </w:p>
          <w:p w14:paraId="40537447" w14:textId="77777777" w:rsidR="00D1201C" w:rsidRPr="00DE7DBC" w:rsidRDefault="00D1201C" w:rsidP="00264C2D">
            <w:pPr>
              <w:ind w:firstLine="135"/>
              <w:rPr>
                <w:sz w:val="16"/>
                <w:szCs w:val="16"/>
                <w:lang w:val="en-GB"/>
              </w:rPr>
            </w:pPr>
            <w:r w:rsidRPr="00DE7DBC">
              <w:rPr>
                <w:sz w:val="16"/>
                <w:szCs w:val="16"/>
                <w:lang w:val="en-GB"/>
              </w:rPr>
              <w:t>a. Number of agriculture and rural development frameworks/strategies adopted</w:t>
            </w:r>
          </w:p>
          <w:p w14:paraId="5CA09112" w14:textId="77777777" w:rsidR="00D1201C" w:rsidRPr="00DE7DBC" w:rsidRDefault="00D1201C" w:rsidP="00264C2D">
            <w:pPr>
              <w:ind w:firstLine="135"/>
              <w:rPr>
                <w:sz w:val="16"/>
                <w:szCs w:val="16"/>
                <w:lang w:val="en-GB"/>
              </w:rPr>
            </w:pPr>
            <w:r w:rsidRPr="00DE7DBC">
              <w:rPr>
                <w:sz w:val="16"/>
                <w:szCs w:val="16"/>
                <w:lang w:val="en-GB"/>
              </w:rPr>
              <w:t>b. Number of value chains strengthened</w:t>
            </w:r>
          </w:p>
          <w:p w14:paraId="16EA521B" w14:textId="69FE428C" w:rsidR="00D1201C" w:rsidRPr="00DE7DBC" w:rsidRDefault="00D1201C" w:rsidP="00264C2D">
            <w:pPr>
              <w:ind w:firstLine="135"/>
              <w:rPr>
                <w:sz w:val="16"/>
                <w:szCs w:val="16"/>
                <w:lang w:val="en-GB"/>
              </w:rPr>
            </w:pPr>
            <w:r w:rsidRPr="00DE7DBC">
              <w:rPr>
                <w:sz w:val="16"/>
                <w:szCs w:val="16"/>
                <w:lang w:val="en-GB"/>
              </w:rPr>
              <w:t xml:space="preserve">c. </w:t>
            </w:r>
            <w:r w:rsidR="002C5F40">
              <w:rPr>
                <w:sz w:val="16"/>
                <w:szCs w:val="16"/>
                <w:lang w:val="en-GB"/>
              </w:rPr>
              <w:t xml:space="preserve">Percentage </w:t>
            </w:r>
            <w:r w:rsidRPr="00DE7DBC">
              <w:rPr>
                <w:sz w:val="16"/>
                <w:szCs w:val="16"/>
                <w:lang w:val="en-GB"/>
              </w:rPr>
              <w:t>increase in revenue of targeted agri-food operators</w:t>
            </w:r>
          </w:p>
          <w:p w14:paraId="365CA53C" w14:textId="77777777" w:rsidR="00D1201C" w:rsidRPr="00DE7DBC" w:rsidRDefault="00D1201C" w:rsidP="00264C2D">
            <w:pPr>
              <w:pStyle w:val="ListParagraph"/>
              <w:widowControl w:val="0"/>
              <w:autoSpaceDE w:val="0"/>
              <w:autoSpaceDN w:val="0"/>
              <w:adjustRightInd w:val="0"/>
              <w:ind w:left="0"/>
              <w:rPr>
                <w:bCs/>
                <w:color w:val="000000"/>
                <w:sz w:val="16"/>
                <w:szCs w:val="16"/>
                <w:lang w:val="en-GB"/>
              </w:rPr>
            </w:pPr>
            <w:r w:rsidRPr="00264C2D">
              <w:rPr>
                <w:bCs/>
                <w:i/>
                <w:iCs/>
                <w:color w:val="000000"/>
                <w:sz w:val="16"/>
                <w:szCs w:val="16"/>
                <w:lang w:val="en-GB"/>
              </w:rPr>
              <w:lastRenderedPageBreak/>
              <w:t>Baseline</w:t>
            </w:r>
            <w:r w:rsidRPr="00DE7DBC">
              <w:rPr>
                <w:bCs/>
                <w:color w:val="000000"/>
                <w:sz w:val="16"/>
                <w:szCs w:val="16"/>
                <w:lang w:val="en-GB"/>
              </w:rPr>
              <w:t xml:space="preserve"> (2019): </w:t>
            </w:r>
          </w:p>
          <w:p w14:paraId="1B3BB6F5" w14:textId="77777777" w:rsidR="00D1201C" w:rsidRPr="00DE7DBC" w:rsidRDefault="00D1201C" w:rsidP="00264C2D">
            <w:pPr>
              <w:rPr>
                <w:sz w:val="16"/>
                <w:szCs w:val="16"/>
                <w:lang w:val="en-GB"/>
              </w:rPr>
            </w:pPr>
            <w:r w:rsidRPr="00DE7DBC">
              <w:rPr>
                <w:sz w:val="16"/>
                <w:szCs w:val="16"/>
                <w:lang w:val="en-GB"/>
              </w:rPr>
              <w:t>a. Frameworks/strategies: 4</w:t>
            </w:r>
          </w:p>
          <w:p w14:paraId="5CE68568" w14:textId="77777777" w:rsidR="00D1201C" w:rsidRPr="00DE7DBC" w:rsidRDefault="00D1201C" w:rsidP="00264C2D">
            <w:pPr>
              <w:rPr>
                <w:sz w:val="16"/>
                <w:szCs w:val="16"/>
                <w:lang w:val="en-GB"/>
              </w:rPr>
            </w:pPr>
            <w:r w:rsidRPr="00DE7DBC">
              <w:rPr>
                <w:sz w:val="16"/>
                <w:szCs w:val="16"/>
                <w:lang w:val="en-GB"/>
              </w:rPr>
              <w:t>b. Value chains: 8</w:t>
            </w:r>
          </w:p>
          <w:p w14:paraId="1298CDA9" w14:textId="5A4BEDF1" w:rsidR="00D1201C" w:rsidRPr="00DE7DBC" w:rsidRDefault="00D1201C" w:rsidP="00264C2D">
            <w:pPr>
              <w:rPr>
                <w:sz w:val="16"/>
                <w:szCs w:val="16"/>
                <w:lang w:val="en-GB"/>
              </w:rPr>
            </w:pPr>
            <w:r w:rsidRPr="00DE7DBC">
              <w:rPr>
                <w:sz w:val="16"/>
                <w:szCs w:val="16"/>
                <w:lang w:val="en-GB"/>
              </w:rPr>
              <w:t xml:space="preserve">c. </w:t>
            </w:r>
            <w:r w:rsidR="00C02F76">
              <w:rPr>
                <w:sz w:val="16"/>
                <w:szCs w:val="16"/>
                <w:lang w:val="en-GB"/>
              </w:rPr>
              <w:t xml:space="preserve">Percentage </w:t>
            </w:r>
            <w:r w:rsidRPr="00DE7DBC">
              <w:rPr>
                <w:sz w:val="16"/>
                <w:szCs w:val="16"/>
                <w:lang w:val="en-GB"/>
              </w:rPr>
              <w:t>increase in revenue: 0%</w:t>
            </w:r>
          </w:p>
          <w:p w14:paraId="0B168EEF" w14:textId="77777777" w:rsidR="00D1201C" w:rsidRPr="00DE7DBC" w:rsidRDefault="00D1201C" w:rsidP="00264C2D">
            <w:pPr>
              <w:pStyle w:val="ListParagraph"/>
              <w:widowControl w:val="0"/>
              <w:autoSpaceDE w:val="0"/>
              <w:autoSpaceDN w:val="0"/>
              <w:adjustRightInd w:val="0"/>
              <w:ind w:left="0"/>
              <w:rPr>
                <w:bCs/>
                <w:color w:val="000000"/>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w:t>
            </w:r>
          </w:p>
          <w:p w14:paraId="7B7625B0" w14:textId="77777777" w:rsidR="00D1201C" w:rsidRPr="00DE7DBC" w:rsidRDefault="00D1201C" w:rsidP="00264C2D">
            <w:pPr>
              <w:rPr>
                <w:sz w:val="16"/>
                <w:szCs w:val="16"/>
                <w:lang w:val="en-GB"/>
              </w:rPr>
            </w:pPr>
            <w:r w:rsidRPr="00DE7DBC">
              <w:rPr>
                <w:sz w:val="16"/>
                <w:szCs w:val="16"/>
                <w:lang w:val="en-GB"/>
              </w:rPr>
              <w:t xml:space="preserve">a. Frameworks/strategies: 9 </w:t>
            </w:r>
          </w:p>
          <w:p w14:paraId="7E90B9FC" w14:textId="77777777" w:rsidR="00D1201C" w:rsidRPr="00DE7DBC" w:rsidRDefault="00D1201C" w:rsidP="00264C2D">
            <w:pPr>
              <w:rPr>
                <w:sz w:val="16"/>
                <w:szCs w:val="16"/>
                <w:lang w:val="en-GB"/>
              </w:rPr>
            </w:pPr>
            <w:r w:rsidRPr="00DE7DBC">
              <w:rPr>
                <w:sz w:val="16"/>
                <w:szCs w:val="16"/>
                <w:lang w:val="en-GB"/>
              </w:rPr>
              <w:t>b. Value chains: 12</w:t>
            </w:r>
          </w:p>
          <w:p w14:paraId="113BEBDD" w14:textId="0A337AD4" w:rsidR="00D1201C" w:rsidRPr="00DE7DBC" w:rsidRDefault="00D1201C" w:rsidP="00264C2D">
            <w:pPr>
              <w:rPr>
                <w:sz w:val="16"/>
                <w:szCs w:val="16"/>
                <w:lang w:val="en-GB"/>
              </w:rPr>
            </w:pPr>
            <w:r w:rsidRPr="00DE7DBC">
              <w:rPr>
                <w:sz w:val="16"/>
                <w:szCs w:val="16"/>
                <w:lang w:val="en-GB"/>
              </w:rPr>
              <w:t xml:space="preserve">c. </w:t>
            </w:r>
            <w:r w:rsidR="00C02F76">
              <w:rPr>
                <w:sz w:val="16"/>
                <w:szCs w:val="16"/>
                <w:lang w:val="en-GB"/>
              </w:rPr>
              <w:t>Percentage i</w:t>
            </w:r>
            <w:r w:rsidRPr="00DE7DBC">
              <w:rPr>
                <w:sz w:val="16"/>
                <w:szCs w:val="16"/>
                <w:lang w:val="en-GB"/>
              </w:rPr>
              <w:t>ncrease in revenue: 20%</w:t>
            </w:r>
          </w:p>
          <w:p w14:paraId="42D445BE" w14:textId="77777777" w:rsidR="00D1201C" w:rsidRPr="00DE7DBC" w:rsidRDefault="00D1201C" w:rsidP="00264C2D">
            <w:pPr>
              <w:pStyle w:val="ListParagraph"/>
              <w:widowControl w:val="0"/>
              <w:autoSpaceDE w:val="0"/>
              <w:autoSpaceDN w:val="0"/>
              <w:adjustRightInd w:val="0"/>
              <w:ind w:left="0"/>
              <w:rPr>
                <w:spacing w:val="-2"/>
                <w:sz w:val="16"/>
                <w:szCs w:val="16"/>
                <w:lang w:val="en-GB"/>
              </w:rPr>
            </w:pPr>
          </w:p>
          <w:p w14:paraId="6484564C" w14:textId="77777777" w:rsidR="00D1201C" w:rsidRPr="00DE7DBC" w:rsidRDefault="00D1201C" w:rsidP="00264C2D">
            <w:pPr>
              <w:rPr>
                <w:spacing w:val="-4"/>
                <w:sz w:val="16"/>
                <w:szCs w:val="16"/>
                <w:lang w:val="en-GB"/>
              </w:rPr>
            </w:pPr>
            <w:r w:rsidRPr="00264C2D">
              <w:rPr>
                <w:b/>
                <w:bCs/>
                <w:spacing w:val="-2"/>
                <w:sz w:val="16"/>
                <w:szCs w:val="16"/>
                <w:lang w:val="en-GB"/>
              </w:rPr>
              <w:t>Indicator 1.g</w:t>
            </w:r>
            <w:r w:rsidRPr="00DE7DBC">
              <w:rPr>
                <w:spacing w:val="-2"/>
                <w:sz w:val="16"/>
                <w:szCs w:val="16"/>
                <w:lang w:val="en-GB"/>
              </w:rPr>
              <w:t xml:space="preserve"> (SDG indicator 15.1.2):</w:t>
            </w:r>
            <w:r w:rsidRPr="00DE7DBC">
              <w:rPr>
                <w:b/>
                <w:bCs/>
                <w:sz w:val="16"/>
                <w:szCs w:val="16"/>
                <w:lang w:val="en-GB"/>
              </w:rPr>
              <w:t xml:space="preserve"> </w:t>
            </w:r>
            <w:r w:rsidRPr="00DE7DBC">
              <w:rPr>
                <w:spacing w:val="-4"/>
                <w:sz w:val="16"/>
                <w:szCs w:val="16"/>
                <w:lang w:val="en-GB"/>
              </w:rPr>
              <w:t>Proportion of important sites for terrestrial and freshwater biodiversity that are covered by protected areas, by ecosystem type (a. Freshwater; b. Land).</w:t>
            </w:r>
          </w:p>
          <w:p w14:paraId="43EF9E5D" w14:textId="77777777" w:rsidR="00D1201C" w:rsidRPr="00DE7DBC" w:rsidRDefault="00D1201C" w:rsidP="00264C2D">
            <w:pPr>
              <w:rPr>
                <w:spacing w:val="-2"/>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w:t>
            </w:r>
            <w:r w:rsidRPr="00DE7DBC">
              <w:rPr>
                <w:spacing w:val="-2"/>
                <w:sz w:val="16"/>
                <w:szCs w:val="16"/>
                <w:lang w:val="en-GB"/>
              </w:rPr>
              <w:t>): a: 6%; b: 0.</w:t>
            </w:r>
          </w:p>
          <w:p w14:paraId="5A9B402F" w14:textId="77777777" w:rsidR="00D1201C" w:rsidRPr="00DE7DBC" w:rsidRDefault="00D1201C" w:rsidP="00264C2D">
            <w:pPr>
              <w:rPr>
                <w:spacing w:val="-2"/>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w:t>
            </w:r>
            <w:r w:rsidRPr="00DE7DBC">
              <w:rPr>
                <w:spacing w:val="-2"/>
                <w:sz w:val="16"/>
                <w:szCs w:val="16"/>
                <w:lang w:val="en-GB"/>
              </w:rPr>
              <w:t>): a: 10%; b: 42%.</w:t>
            </w:r>
          </w:p>
          <w:p w14:paraId="10FA2238" w14:textId="77777777" w:rsidR="00D1201C" w:rsidRPr="00DE7DBC" w:rsidRDefault="00D1201C" w:rsidP="00264C2D">
            <w:pPr>
              <w:rPr>
                <w:bCs/>
                <w:color w:val="000000"/>
                <w:sz w:val="16"/>
                <w:szCs w:val="16"/>
                <w:lang w:val="en-GB"/>
              </w:rPr>
            </w:pPr>
          </w:p>
          <w:p w14:paraId="66FF7B55" w14:textId="73FBC1A6" w:rsidR="00D1201C" w:rsidRPr="00DE7DBC" w:rsidRDefault="00D1201C" w:rsidP="00264C2D">
            <w:pPr>
              <w:rPr>
                <w:spacing w:val="-8"/>
                <w:sz w:val="16"/>
                <w:szCs w:val="16"/>
                <w:lang w:val="en-GB"/>
              </w:rPr>
            </w:pPr>
            <w:r w:rsidRPr="00264C2D">
              <w:rPr>
                <w:b/>
                <w:bCs/>
                <w:spacing w:val="-8"/>
                <w:sz w:val="16"/>
                <w:szCs w:val="16"/>
                <w:lang w:val="en-GB"/>
              </w:rPr>
              <w:t>Indicator 1.h</w:t>
            </w:r>
            <w:r w:rsidR="007B3428">
              <w:rPr>
                <w:b/>
                <w:bCs/>
                <w:spacing w:val="-8"/>
                <w:sz w:val="16"/>
                <w:szCs w:val="16"/>
                <w:lang w:val="en-GB"/>
              </w:rPr>
              <w:t>.</w:t>
            </w:r>
            <w:r w:rsidRPr="00DE7DBC">
              <w:rPr>
                <w:spacing w:val="-8"/>
                <w:sz w:val="16"/>
                <w:szCs w:val="16"/>
                <w:lang w:val="en-GB"/>
              </w:rPr>
              <w:t xml:space="preserve"> Total annual emissions of carbon dioxide (in millions of metric tons)</w:t>
            </w:r>
          </w:p>
          <w:p w14:paraId="722B6689" w14:textId="77777777" w:rsidR="00D1201C" w:rsidRPr="00DE7DBC" w:rsidRDefault="00D1201C" w:rsidP="00264C2D">
            <w:pPr>
              <w:rPr>
                <w:spacing w:val="-4"/>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w:t>
            </w:r>
            <w:r w:rsidRPr="00DE7DBC">
              <w:rPr>
                <w:spacing w:val="-4"/>
                <w:sz w:val="16"/>
                <w:szCs w:val="16"/>
                <w:lang w:val="en-GB"/>
              </w:rPr>
              <w:t>25,539 Mt CO</w:t>
            </w:r>
            <w:r w:rsidRPr="00DE7DBC">
              <w:rPr>
                <w:spacing w:val="-4"/>
                <w:sz w:val="16"/>
                <w:szCs w:val="16"/>
                <w:vertAlign w:val="subscript"/>
                <w:lang w:val="en-GB"/>
              </w:rPr>
              <w:t>2.</w:t>
            </w:r>
          </w:p>
          <w:p w14:paraId="06097CE0" w14:textId="77777777" w:rsidR="00D1201C" w:rsidRPr="00DE7DBC" w:rsidRDefault="00D1201C" w:rsidP="00264C2D">
            <w:pPr>
              <w:rPr>
                <w:bCs/>
                <w:color w:val="000000"/>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w:t>
            </w:r>
            <w:r w:rsidRPr="00DE7DBC">
              <w:rPr>
                <w:spacing w:val="-4"/>
                <w:sz w:val="16"/>
                <w:szCs w:val="16"/>
                <w:lang w:val="en-GB"/>
              </w:rPr>
              <w:t>): 23,000 Mt CO</w:t>
            </w:r>
            <w:r w:rsidRPr="00DE7DBC">
              <w:rPr>
                <w:spacing w:val="-4"/>
                <w:sz w:val="16"/>
                <w:szCs w:val="16"/>
                <w:vertAlign w:val="subscript"/>
                <w:lang w:val="en-GB"/>
              </w:rPr>
              <w:t xml:space="preserve">2. </w:t>
            </w:r>
          </w:p>
          <w:p w14:paraId="35084E74" w14:textId="77777777" w:rsidR="00D1201C" w:rsidRPr="00DE7DBC" w:rsidRDefault="00D1201C" w:rsidP="00264C2D">
            <w:pPr>
              <w:rPr>
                <w:bCs/>
                <w:color w:val="000000"/>
                <w:sz w:val="16"/>
                <w:szCs w:val="16"/>
                <w:lang w:val="en-GB"/>
              </w:rPr>
            </w:pPr>
          </w:p>
          <w:p w14:paraId="1AB69102" w14:textId="77777777" w:rsidR="00D1201C" w:rsidRPr="00DE7DBC" w:rsidRDefault="00D1201C" w:rsidP="00264C2D">
            <w:pPr>
              <w:rPr>
                <w:spacing w:val="-8"/>
                <w:sz w:val="16"/>
                <w:szCs w:val="16"/>
                <w:lang w:val="en-GB"/>
              </w:rPr>
            </w:pPr>
            <w:r w:rsidRPr="00264C2D">
              <w:rPr>
                <w:b/>
                <w:bCs/>
                <w:spacing w:val="-8"/>
                <w:sz w:val="16"/>
                <w:szCs w:val="16"/>
                <w:lang w:val="en-GB"/>
              </w:rPr>
              <w:t>Indicator 1.i</w:t>
            </w:r>
            <w:r w:rsidRPr="00DE7DBC">
              <w:rPr>
                <w:spacing w:val="-8"/>
                <w:sz w:val="16"/>
                <w:szCs w:val="16"/>
                <w:lang w:val="en-GB"/>
              </w:rPr>
              <w:t xml:space="preserve"> (SDG indicator 11.6.2): Air pollution/annual mean levels of fine particulate matter (PM2.5 mean annual exposure - micrograms per cubic meter).</w:t>
            </w:r>
          </w:p>
          <w:p w14:paraId="68E5BD89" w14:textId="77777777" w:rsidR="00D1201C" w:rsidRPr="00E50F1C" w:rsidRDefault="00D1201C" w:rsidP="00264C2D">
            <w:pPr>
              <w:rPr>
                <w:color w:val="000000"/>
                <w:sz w:val="16"/>
                <w:szCs w:val="16"/>
                <w:lang w:val="da-DK"/>
              </w:rPr>
            </w:pPr>
            <w:r w:rsidRPr="00E50F1C">
              <w:rPr>
                <w:bCs/>
                <w:i/>
                <w:iCs/>
                <w:color w:val="000000"/>
                <w:sz w:val="16"/>
                <w:szCs w:val="16"/>
                <w:lang w:val="da-DK"/>
              </w:rPr>
              <w:t>Baseline</w:t>
            </w:r>
            <w:r w:rsidRPr="00E50F1C">
              <w:rPr>
                <w:bCs/>
                <w:color w:val="000000"/>
                <w:sz w:val="16"/>
                <w:szCs w:val="16"/>
                <w:lang w:val="da-DK"/>
              </w:rPr>
              <w:t xml:space="preserve"> (2019): </w:t>
            </w:r>
            <w:r w:rsidRPr="00E50F1C">
              <w:rPr>
                <w:color w:val="000000"/>
                <w:sz w:val="16"/>
                <w:szCs w:val="16"/>
                <w:lang w:val="da-DK"/>
              </w:rPr>
              <w:t>29.6 ug/m</w:t>
            </w:r>
            <w:r w:rsidRPr="00E50F1C">
              <w:rPr>
                <w:color w:val="000000"/>
                <w:sz w:val="16"/>
                <w:szCs w:val="16"/>
                <w:vertAlign w:val="superscript"/>
                <w:lang w:val="da-DK"/>
              </w:rPr>
              <w:t>3</w:t>
            </w:r>
            <w:r w:rsidRPr="00E50F1C">
              <w:rPr>
                <w:color w:val="000000"/>
                <w:sz w:val="16"/>
                <w:szCs w:val="16"/>
                <w:lang w:val="da-DK"/>
              </w:rPr>
              <w:t>.</w:t>
            </w:r>
          </w:p>
          <w:p w14:paraId="50A5195E" w14:textId="77777777" w:rsidR="00D1201C" w:rsidRPr="00E50F1C" w:rsidRDefault="00D1201C" w:rsidP="00264C2D">
            <w:pPr>
              <w:rPr>
                <w:spacing w:val="-4"/>
                <w:sz w:val="16"/>
                <w:szCs w:val="16"/>
                <w:vertAlign w:val="subscript"/>
                <w:lang w:val="da-DK"/>
              </w:rPr>
            </w:pPr>
            <w:r w:rsidRPr="00E50F1C">
              <w:rPr>
                <w:bCs/>
                <w:i/>
                <w:iCs/>
                <w:color w:val="000000"/>
                <w:sz w:val="16"/>
                <w:szCs w:val="16"/>
                <w:lang w:val="da-DK"/>
              </w:rPr>
              <w:t>Target</w:t>
            </w:r>
            <w:r w:rsidRPr="00E50F1C">
              <w:rPr>
                <w:bCs/>
                <w:color w:val="000000"/>
                <w:sz w:val="16"/>
                <w:szCs w:val="16"/>
                <w:lang w:val="da-DK"/>
              </w:rPr>
              <w:t xml:space="preserve"> (2025</w:t>
            </w:r>
            <w:r w:rsidRPr="00E50F1C">
              <w:rPr>
                <w:spacing w:val="-4"/>
                <w:sz w:val="16"/>
                <w:szCs w:val="16"/>
                <w:lang w:val="da-DK"/>
              </w:rPr>
              <w:t xml:space="preserve">): </w:t>
            </w:r>
            <w:r w:rsidRPr="00E50F1C">
              <w:rPr>
                <w:color w:val="000000"/>
                <w:sz w:val="16"/>
                <w:szCs w:val="16"/>
                <w:lang w:val="da-DK"/>
              </w:rPr>
              <w:t>21 ug/m</w:t>
            </w:r>
            <w:r w:rsidRPr="00E50F1C">
              <w:rPr>
                <w:color w:val="000000"/>
                <w:sz w:val="16"/>
                <w:szCs w:val="16"/>
                <w:vertAlign w:val="superscript"/>
                <w:lang w:val="da-DK"/>
              </w:rPr>
              <w:t>3</w:t>
            </w:r>
            <w:r w:rsidRPr="00E50F1C">
              <w:rPr>
                <w:spacing w:val="-4"/>
                <w:sz w:val="16"/>
                <w:szCs w:val="16"/>
                <w:vertAlign w:val="subscript"/>
                <w:lang w:val="da-DK"/>
              </w:rPr>
              <w:t>.</w:t>
            </w:r>
          </w:p>
          <w:p w14:paraId="68CB1ADD" w14:textId="77777777" w:rsidR="00D1201C" w:rsidRPr="00E50F1C" w:rsidRDefault="00D1201C" w:rsidP="00264C2D">
            <w:pPr>
              <w:rPr>
                <w:color w:val="000000"/>
                <w:sz w:val="16"/>
                <w:szCs w:val="16"/>
                <w:lang w:val="da-DK"/>
              </w:rPr>
            </w:pPr>
          </w:p>
          <w:p w14:paraId="52D289D1" w14:textId="0092C0B6" w:rsidR="00D1201C" w:rsidRPr="00DE7DBC" w:rsidRDefault="00D1201C" w:rsidP="00264C2D">
            <w:pPr>
              <w:rPr>
                <w:color w:val="000000"/>
                <w:sz w:val="16"/>
                <w:szCs w:val="16"/>
                <w:lang w:val="en-GB"/>
              </w:rPr>
            </w:pPr>
            <w:r w:rsidRPr="00264C2D">
              <w:rPr>
                <w:b/>
                <w:bCs/>
                <w:color w:val="000000"/>
                <w:sz w:val="16"/>
                <w:szCs w:val="16"/>
                <w:lang w:val="en-GB"/>
              </w:rPr>
              <w:t>Indicator 1.j</w:t>
            </w:r>
            <w:r w:rsidRPr="00DE7DBC">
              <w:rPr>
                <w:color w:val="000000"/>
                <w:sz w:val="16"/>
                <w:szCs w:val="16"/>
                <w:lang w:val="en-GB"/>
              </w:rPr>
              <w:t xml:space="preserve"> (SDG indicator 11.b.1/12.8.1): </w:t>
            </w:r>
            <w:r w:rsidR="00056D7C">
              <w:rPr>
                <w:sz w:val="16"/>
                <w:szCs w:val="16"/>
                <w:lang w:val="en-GB"/>
              </w:rPr>
              <w:t xml:space="preserve">Percentage </w:t>
            </w:r>
            <w:r w:rsidRPr="00DE7DBC">
              <w:rPr>
                <w:sz w:val="16"/>
                <w:szCs w:val="16"/>
                <w:lang w:val="en-GB"/>
              </w:rPr>
              <w:t>of local</w:t>
            </w:r>
            <w:r w:rsidRPr="00DE7DBC">
              <w:rPr>
                <w:color w:val="000000"/>
                <w:sz w:val="16"/>
                <w:szCs w:val="16"/>
                <w:lang w:val="en-GB"/>
              </w:rPr>
              <w:t xml:space="preserve"> governments that adopt and implement local disaster risk reduction strategies in line with the Sendai Framework for Disaster Risk Reduction 2015-2030 (a. %; b. extent to which action plans include gender equity considerations and sex disaggregated data; Rating: 4. Full inclusion; 3. Partial; 2. Inadequate; 1. No inclusion).</w:t>
            </w:r>
          </w:p>
          <w:p w14:paraId="71FE0897" w14:textId="77777777" w:rsidR="00D1201C" w:rsidRPr="00DE7DBC" w:rsidRDefault="00D1201C" w:rsidP="00264C2D">
            <w:pPr>
              <w:rPr>
                <w:color w:val="000000"/>
                <w:spacing w:val="-4"/>
                <w:sz w:val="16"/>
                <w:szCs w:val="16"/>
                <w:lang w:val="en-GB"/>
              </w:rPr>
            </w:pPr>
            <w:r w:rsidRPr="00264C2D">
              <w:rPr>
                <w:i/>
                <w:iCs/>
                <w:color w:val="000000"/>
                <w:spacing w:val="-4"/>
                <w:sz w:val="16"/>
                <w:szCs w:val="16"/>
                <w:lang w:val="en-GB"/>
              </w:rPr>
              <w:t>Baseline</w:t>
            </w:r>
            <w:r w:rsidRPr="00DE7DBC">
              <w:rPr>
                <w:color w:val="000000"/>
                <w:spacing w:val="-4"/>
                <w:sz w:val="16"/>
                <w:szCs w:val="16"/>
                <w:lang w:val="en-GB"/>
              </w:rPr>
              <w:t xml:space="preserve"> (2019): </w:t>
            </w:r>
            <w:r w:rsidRPr="00DE7DBC">
              <w:rPr>
                <w:spacing w:val="-4"/>
                <w:sz w:val="16"/>
                <w:szCs w:val="16"/>
                <w:lang w:val="en-GB"/>
              </w:rPr>
              <w:t>a</w:t>
            </w:r>
            <w:r w:rsidRPr="00DE7DBC">
              <w:rPr>
                <w:color w:val="000000"/>
                <w:spacing w:val="-4"/>
                <w:sz w:val="16"/>
                <w:szCs w:val="16"/>
                <w:lang w:val="en-GB"/>
              </w:rPr>
              <w:t>. 40%; b. 2</w:t>
            </w:r>
          </w:p>
          <w:p w14:paraId="399C77C0" w14:textId="77777777" w:rsidR="00D1201C" w:rsidRPr="00DE7DBC" w:rsidRDefault="00D1201C" w:rsidP="00264C2D">
            <w:pPr>
              <w:rPr>
                <w:sz w:val="16"/>
                <w:szCs w:val="16"/>
                <w:lang w:val="en-GB"/>
              </w:rPr>
            </w:pPr>
            <w:r w:rsidRPr="00264C2D">
              <w:rPr>
                <w:i/>
                <w:iCs/>
                <w:color w:val="000000"/>
                <w:sz w:val="16"/>
                <w:szCs w:val="16"/>
                <w:lang w:val="en-GB"/>
              </w:rPr>
              <w:t>Target</w:t>
            </w:r>
            <w:r w:rsidRPr="00DE7DBC">
              <w:rPr>
                <w:color w:val="000000"/>
                <w:sz w:val="16"/>
                <w:szCs w:val="16"/>
                <w:lang w:val="en-GB"/>
              </w:rPr>
              <w:t xml:space="preserve"> (2025): </w:t>
            </w:r>
            <w:r w:rsidRPr="00DE7DBC">
              <w:rPr>
                <w:sz w:val="16"/>
                <w:szCs w:val="16"/>
                <w:lang w:val="en-GB"/>
              </w:rPr>
              <w:t xml:space="preserve">a. 50%; b. 3 </w:t>
            </w:r>
          </w:p>
          <w:p w14:paraId="42AAD3FF" w14:textId="77777777" w:rsidR="00D1201C" w:rsidRPr="00DE7DBC" w:rsidRDefault="00D1201C" w:rsidP="00264C2D">
            <w:pPr>
              <w:rPr>
                <w:sz w:val="16"/>
                <w:szCs w:val="16"/>
                <w:lang w:val="en-GB"/>
              </w:rPr>
            </w:pPr>
          </w:p>
        </w:tc>
        <w:tc>
          <w:tcPr>
            <w:tcW w:w="758" w:type="pct"/>
            <w:vMerge w:val="restart"/>
            <w:shd w:val="clear" w:color="auto" w:fill="auto"/>
          </w:tcPr>
          <w:p w14:paraId="2E93AFE9" w14:textId="18F7A823" w:rsidR="00D1201C" w:rsidRPr="00DE7DBC" w:rsidRDefault="00D1201C" w:rsidP="00264C2D">
            <w:pPr>
              <w:rPr>
                <w:color w:val="000000"/>
                <w:sz w:val="16"/>
                <w:szCs w:val="16"/>
                <w:lang w:val="en-GB"/>
              </w:rPr>
            </w:pPr>
            <w:r w:rsidRPr="00DE7DBC">
              <w:rPr>
                <w:color w:val="000000"/>
                <w:sz w:val="16"/>
                <w:szCs w:val="16"/>
                <w:lang w:val="en-GB"/>
              </w:rPr>
              <w:lastRenderedPageBreak/>
              <w:t xml:space="preserve">Official reports by authorities (annually). </w:t>
            </w:r>
            <w:r w:rsidR="002C5F40" w:rsidRPr="00DE7DBC">
              <w:rPr>
                <w:spacing w:val="-2"/>
                <w:sz w:val="16"/>
                <w:szCs w:val="16"/>
                <w:lang w:val="en-GB"/>
              </w:rPr>
              <w:t>U</w:t>
            </w:r>
            <w:r w:rsidR="002C5F40">
              <w:rPr>
                <w:spacing w:val="-2"/>
                <w:sz w:val="16"/>
                <w:szCs w:val="16"/>
                <w:lang w:val="en-GB"/>
              </w:rPr>
              <w:t xml:space="preserve">nited </w:t>
            </w:r>
            <w:r w:rsidR="002C5F40" w:rsidRPr="00DE7DBC">
              <w:rPr>
                <w:spacing w:val="-2"/>
                <w:sz w:val="16"/>
                <w:szCs w:val="16"/>
                <w:lang w:val="en-GB"/>
              </w:rPr>
              <w:t>N</w:t>
            </w:r>
            <w:r w:rsidR="002C5F40">
              <w:rPr>
                <w:spacing w:val="-2"/>
                <w:sz w:val="16"/>
                <w:szCs w:val="16"/>
                <w:lang w:val="en-GB"/>
              </w:rPr>
              <w:t>ations</w:t>
            </w:r>
            <w:r w:rsidRPr="00DE7DBC">
              <w:rPr>
                <w:color w:val="000000"/>
                <w:sz w:val="16"/>
                <w:szCs w:val="16"/>
                <w:lang w:val="en-GB"/>
              </w:rPr>
              <w:t xml:space="preserve"> and UNDP programme reports and</w:t>
            </w:r>
            <w:r w:rsidR="00BC0F59" w:rsidRPr="00DE7DBC">
              <w:rPr>
                <w:color w:val="000000"/>
                <w:sz w:val="16"/>
                <w:szCs w:val="16"/>
                <w:lang w:val="en-GB"/>
              </w:rPr>
              <w:t xml:space="preserve"> </w:t>
            </w:r>
            <w:r w:rsidRPr="00DE7DBC">
              <w:rPr>
                <w:color w:val="000000"/>
                <w:sz w:val="16"/>
                <w:szCs w:val="16"/>
                <w:lang w:val="en-GB"/>
              </w:rPr>
              <w:t>(annually).</w:t>
            </w:r>
          </w:p>
          <w:p w14:paraId="72D0420D" w14:textId="77777777" w:rsidR="00D1201C" w:rsidRPr="00DE7DBC" w:rsidRDefault="00D1201C" w:rsidP="00264C2D">
            <w:pPr>
              <w:rPr>
                <w:color w:val="000000"/>
                <w:sz w:val="16"/>
                <w:szCs w:val="16"/>
                <w:lang w:val="en-GB"/>
              </w:rPr>
            </w:pPr>
          </w:p>
          <w:p w14:paraId="3A82E6B5" w14:textId="4A59589C" w:rsidR="00D1201C" w:rsidRPr="00DE7DBC" w:rsidRDefault="00D1201C" w:rsidP="00264C2D">
            <w:pPr>
              <w:rPr>
                <w:color w:val="000000"/>
                <w:sz w:val="16"/>
                <w:szCs w:val="16"/>
                <w:lang w:val="en-GB"/>
              </w:rPr>
            </w:pPr>
            <w:r w:rsidRPr="00DE7DBC">
              <w:rPr>
                <w:color w:val="000000"/>
                <w:sz w:val="16"/>
                <w:szCs w:val="16"/>
                <w:lang w:val="en-GB"/>
              </w:rPr>
              <w:t xml:space="preserve">Biodiversity Assessment Tool, UNEP (annually). Progress </w:t>
            </w:r>
            <w:r w:rsidR="00C02F76">
              <w:rPr>
                <w:color w:val="000000"/>
                <w:sz w:val="16"/>
                <w:szCs w:val="16"/>
                <w:lang w:val="en-GB"/>
              </w:rPr>
              <w:t>r</w:t>
            </w:r>
            <w:r w:rsidRPr="00DE7DBC">
              <w:rPr>
                <w:color w:val="000000"/>
                <w:sz w:val="16"/>
                <w:szCs w:val="16"/>
                <w:lang w:val="en-GB"/>
              </w:rPr>
              <w:t>eports of the E</w:t>
            </w:r>
            <w:r w:rsidR="002C5F40">
              <w:rPr>
                <w:color w:val="000000"/>
                <w:sz w:val="16"/>
                <w:szCs w:val="16"/>
                <w:lang w:val="en-GB"/>
              </w:rPr>
              <w:t xml:space="preserve">uropean </w:t>
            </w:r>
            <w:r w:rsidRPr="00DE7DBC">
              <w:rPr>
                <w:color w:val="000000"/>
                <w:sz w:val="16"/>
                <w:szCs w:val="16"/>
                <w:lang w:val="en-GB"/>
              </w:rPr>
              <w:t>U</w:t>
            </w:r>
            <w:r w:rsidR="002C5F40">
              <w:rPr>
                <w:color w:val="000000"/>
                <w:sz w:val="16"/>
                <w:szCs w:val="16"/>
                <w:lang w:val="en-GB"/>
              </w:rPr>
              <w:t>nion</w:t>
            </w:r>
            <w:r w:rsidRPr="00DE7DBC">
              <w:rPr>
                <w:color w:val="000000"/>
                <w:sz w:val="16"/>
                <w:szCs w:val="16"/>
                <w:lang w:val="en-GB"/>
              </w:rPr>
              <w:t xml:space="preserve"> (annually). </w:t>
            </w:r>
            <w:r w:rsidRPr="00157EE2">
              <w:rPr>
                <w:color w:val="000000"/>
                <w:sz w:val="16"/>
                <w:szCs w:val="16"/>
                <w:lang w:val="en-GB"/>
              </w:rPr>
              <w:t>Reports on the implementation of the S</w:t>
            </w:r>
            <w:r w:rsidR="00157EE2" w:rsidRPr="00264C2D">
              <w:rPr>
                <w:color w:val="000000"/>
                <w:sz w:val="16"/>
                <w:szCs w:val="16"/>
                <w:lang w:val="en-GB"/>
              </w:rPr>
              <w:t>ustainable Development Goals</w:t>
            </w:r>
            <w:r w:rsidRPr="00157EE2">
              <w:rPr>
                <w:color w:val="000000"/>
                <w:sz w:val="16"/>
                <w:szCs w:val="16"/>
                <w:lang w:val="en-GB"/>
              </w:rPr>
              <w:t xml:space="preserve"> Framework in Bosnia and Herzegovina (annually).</w:t>
            </w:r>
          </w:p>
          <w:p w14:paraId="4AD97C81" w14:textId="77777777" w:rsidR="00D1201C" w:rsidRPr="00DE7DBC" w:rsidRDefault="00D1201C" w:rsidP="00264C2D">
            <w:pPr>
              <w:rPr>
                <w:color w:val="000000"/>
                <w:sz w:val="16"/>
                <w:szCs w:val="16"/>
                <w:lang w:val="en-GB"/>
              </w:rPr>
            </w:pPr>
          </w:p>
          <w:p w14:paraId="148A3709" w14:textId="74724965" w:rsidR="00D1201C" w:rsidRPr="00DE7DBC" w:rsidRDefault="00D1201C" w:rsidP="00264C2D">
            <w:pPr>
              <w:rPr>
                <w:color w:val="000000"/>
                <w:sz w:val="16"/>
                <w:szCs w:val="16"/>
                <w:lang w:val="en-GB"/>
              </w:rPr>
            </w:pPr>
            <w:r w:rsidRPr="00DE7DBC">
              <w:rPr>
                <w:color w:val="000000"/>
                <w:sz w:val="16"/>
                <w:szCs w:val="16"/>
                <w:lang w:val="en-GB"/>
              </w:rPr>
              <w:t xml:space="preserve">Nationally </w:t>
            </w:r>
            <w:r w:rsidR="002C5F40">
              <w:rPr>
                <w:color w:val="000000"/>
                <w:sz w:val="16"/>
                <w:szCs w:val="16"/>
                <w:lang w:val="en-GB"/>
              </w:rPr>
              <w:t>d</w:t>
            </w:r>
            <w:r w:rsidRPr="00DE7DBC">
              <w:rPr>
                <w:color w:val="000000"/>
                <w:sz w:val="16"/>
                <w:szCs w:val="16"/>
                <w:lang w:val="en-GB"/>
              </w:rPr>
              <w:t xml:space="preserve">etermined </w:t>
            </w:r>
            <w:r w:rsidR="002C5F40">
              <w:rPr>
                <w:color w:val="000000"/>
                <w:sz w:val="16"/>
                <w:szCs w:val="16"/>
                <w:lang w:val="en-GB"/>
              </w:rPr>
              <w:t>c</w:t>
            </w:r>
            <w:r w:rsidRPr="00DE7DBC">
              <w:rPr>
                <w:color w:val="000000"/>
                <w:sz w:val="16"/>
                <w:szCs w:val="16"/>
                <w:lang w:val="en-GB"/>
              </w:rPr>
              <w:t xml:space="preserve">ontributions and the </w:t>
            </w:r>
            <w:r w:rsidR="002C5F40">
              <w:rPr>
                <w:color w:val="000000"/>
                <w:sz w:val="16"/>
                <w:szCs w:val="16"/>
                <w:lang w:val="en-GB"/>
              </w:rPr>
              <w:t>n</w:t>
            </w:r>
            <w:r w:rsidRPr="00DE7DBC">
              <w:rPr>
                <w:color w:val="000000"/>
                <w:sz w:val="16"/>
                <w:szCs w:val="16"/>
                <w:lang w:val="en-GB"/>
              </w:rPr>
              <w:t xml:space="preserve">ational </w:t>
            </w:r>
            <w:r w:rsidR="002C5F40">
              <w:rPr>
                <w:color w:val="000000"/>
                <w:sz w:val="16"/>
                <w:szCs w:val="16"/>
                <w:lang w:val="en-GB"/>
              </w:rPr>
              <w:t>e</w:t>
            </w:r>
            <w:r w:rsidRPr="00DE7DBC">
              <w:rPr>
                <w:color w:val="000000"/>
                <w:sz w:val="16"/>
                <w:szCs w:val="16"/>
                <w:lang w:val="en-GB"/>
              </w:rPr>
              <w:t xml:space="preserve">nergy and </w:t>
            </w:r>
            <w:r w:rsidR="002C5F40">
              <w:rPr>
                <w:color w:val="000000"/>
                <w:sz w:val="16"/>
                <w:szCs w:val="16"/>
                <w:lang w:val="en-GB"/>
              </w:rPr>
              <w:t>c</w:t>
            </w:r>
            <w:r w:rsidRPr="00DE7DBC">
              <w:rPr>
                <w:color w:val="000000"/>
                <w:sz w:val="16"/>
                <w:szCs w:val="16"/>
                <w:lang w:val="en-GB"/>
              </w:rPr>
              <w:t xml:space="preserve">limate </w:t>
            </w:r>
            <w:r w:rsidR="002C5F40">
              <w:rPr>
                <w:color w:val="000000"/>
                <w:sz w:val="16"/>
                <w:szCs w:val="16"/>
                <w:lang w:val="en-GB"/>
              </w:rPr>
              <w:t>p</w:t>
            </w:r>
            <w:r w:rsidRPr="00DE7DBC">
              <w:rPr>
                <w:color w:val="000000"/>
                <w:sz w:val="16"/>
                <w:szCs w:val="16"/>
                <w:lang w:val="en-GB"/>
              </w:rPr>
              <w:t xml:space="preserve">lan and reports on their implementation (annual). </w:t>
            </w:r>
          </w:p>
          <w:p w14:paraId="156E0367" w14:textId="77777777" w:rsidR="00D1201C" w:rsidRPr="00DE7DBC" w:rsidRDefault="00D1201C" w:rsidP="00264C2D">
            <w:pPr>
              <w:rPr>
                <w:color w:val="000000"/>
                <w:sz w:val="16"/>
                <w:szCs w:val="16"/>
                <w:lang w:val="en-GB"/>
              </w:rPr>
            </w:pPr>
          </w:p>
          <w:p w14:paraId="3885438F" w14:textId="77777777" w:rsidR="00D1201C" w:rsidRPr="00DE7DBC" w:rsidRDefault="00D1201C" w:rsidP="00264C2D">
            <w:pPr>
              <w:rPr>
                <w:rFonts w:eastAsia="Calibri"/>
                <w:color w:val="0563C1"/>
                <w:sz w:val="16"/>
                <w:szCs w:val="16"/>
                <w:lang w:val="en-GB"/>
              </w:rPr>
            </w:pPr>
            <w:r w:rsidRPr="00DE7DBC">
              <w:rPr>
                <w:rFonts w:eastAsia="Calibri"/>
                <w:sz w:val="16"/>
                <w:szCs w:val="16"/>
                <w:lang w:val="en-GB"/>
              </w:rPr>
              <w:t xml:space="preserve">WHO Global Health Observatory data – </w:t>
            </w:r>
            <w:hyperlink r:id="rId16" w:history="1">
              <w:r w:rsidRPr="00DE7DBC">
                <w:rPr>
                  <w:rFonts w:eastAsia="Calibri"/>
                  <w:color w:val="0563C1"/>
                  <w:sz w:val="16"/>
                  <w:szCs w:val="16"/>
                  <w:lang w:val="en-GB"/>
                </w:rPr>
                <w:t>Exposure to ambient air pollution</w:t>
              </w:r>
            </w:hyperlink>
            <w:r w:rsidRPr="00DE7DBC">
              <w:rPr>
                <w:rFonts w:eastAsia="Calibri"/>
                <w:color w:val="0563C1"/>
                <w:sz w:val="16"/>
                <w:szCs w:val="16"/>
                <w:lang w:val="en-GB"/>
              </w:rPr>
              <w:t>.</w:t>
            </w:r>
          </w:p>
          <w:p w14:paraId="4E836E92" w14:textId="77777777" w:rsidR="00D1201C" w:rsidRPr="00DE7DBC" w:rsidRDefault="00D1201C" w:rsidP="00264C2D">
            <w:pPr>
              <w:rPr>
                <w:sz w:val="16"/>
                <w:szCs w:val="16"/>
                <w:lang w:val="en-GB"/>
              </w:rPr>
            </w:pPr>
          </w:p>
          <w:p w14:paraId="2335AF62" w14:textId="77777777" w:rsidR="00D1201C" w:rsidRPr="00DE7DBC" w:rsidRDefault="00D1201C" w:rsidP="00264C2D">
            <w:pPr>
              <w:rPr>
                <w:rFonts w:eastAsia="Calibri"/>
                <w:sz w:val="16"/>
                <w:szCs w:val="16"/>
                <w:lang w:val="en-GB"/>
              </w:rPr>
            </w:pPr>
            <w:r w:rsidRPr="00DE7DBC">
              <w:rPr>
                <w:rFonts w:eastAsia="Calibri"/>
                <w:sz w:val="16"/>
                <w:szCs w:val="16"/>
                <w:lang w:val="en-GB"/>
              </w:rPr>
              <w:t>Local governments’ strategies and formal reports.</w:t>
            </w:r>
          </w:p>
          <w:p w14:paraId="5D95FBFF" w14:textId="5F768FB1" w:rsidR="00D1201C" w:rsidRPr="00DE7DBC" w:rsidRDefault="002C5F40" w:rsidP="00264C2D">
            <w:pPr>
              <w:rPr>
                <w:color w:val="000000"/>
                <w:sz w:val="16"/>
                <w:szCs w:val="16"/>
                <w:lang w:val="en-GB"/>
              </w:rPr>
            </w:pPr>
            <w:r w:rsidRPr="00DE7DBC">
              <w:rPr>
                <w:spacing w:val="-2"/>
                <w:sz w:val="16"/>
                <w:szCs w:val="16"/>
                <w:lang w:val="en-GB"/>
              </w:rPr>
              <w:t>U</w:t>
            </w:r>
            <w:r>
              <w:rPr>
                <w:spacing w:val="-2"/>
                <w:sz w:val="16"/>
                <w:szCs w:val="16"/>
                <w:lang w:val="en-GB"/>
              </w:rPr>
              <w:t xml:space="preserve">nited </w:t>
            </w:r>
            <w:r w:rsidRPr="00DE7DBC">
              <w:rPr>
                <w:spacing w:val="-2"/>
                <w:sz w:val="16"/>
                <w:szCs w:val="16"/>
                <w:lang w:val="en-GB"/>
              </w:rPr>
              <w:t>N</w:t>
            </w:r>
            <w:r>
              <w:rPr>
                <w:spacing w:val="-2"/>
                <w:sz w:val="16"/>
                <w:szCs w:val="16"/>
                <w:lang w:val="en-GB"/>
              </w:rPr>
              <w:t>ations</w:t>
            </w:r>
            <w:r w:rsidR="00D1201C" w:rsidRPr="00DE7DBC">
              <w:rPr>
                <w:rFonts w:eastAsia="Calibri"/>
                <w:sz w:val="16"/>
                <w:szCs w:val="16"/>
                <w:lang w:val="en-GB"/>
              </w:rPr>
              <w:t xml:space="preserve"> program</w:t>
            </w:r>
            <w:r>
              <w:rPr>
                <w:rFonts w:eastAsia="Calibri"/>
                <w:sz w:val="16"/>
                <w:szCs w:val="16"/>
                <w:lang w:val="en-GB"/>
              </w:rPr>
              <w:t>me</w:t>
            </w:r>
            <w:r w:rsidR="00D1201C" w:rsidRPr="00DE7DBC">
              <w:rPr>
                <w:rFonts w:eastAsia="Calibri"/>
                <w:sz w:val="16"/>
                <w:szCs w:val="16"/>
                <w:lang w:val="en-GB"/>
              </w:rPr>
              <w:t xml:space="preserve"> reports.</w:t>
            </w:r>
          </w:p>
          <w:p w14:paraId="5DF144B8" w14:textId="310C4DED" w:rsidR="00D1201C" w:rsidRPr="00DE7DBC" w:rsidRDefault="00F50695" w:rsidP="00264C2D">
            <w:pPr>
              <w:rPr>
                <w:sz w:val="16"/>
                <w:szCs w:val="16"/>
                <w:lang w:val="en-GB"/>
              </w:rPr>
            </w:pPr>
            <w:r w:rsidRPr="00DE7DBC">
              <w:rPr>
                <w:sz w:val="16"/>
                <w:szCs w:val="16"/>
                <w:lang w:val="en-GB"/>
              </w:rPr>
              <w:lastRenderedPageBreak/>
              <w:t>R</w:t>
            </w:r>
            <w:r w:rsidR="00D1201C" w:rsidRPr="00DE7DBC">
              <w:rPr>
                <w:sz w:val="16"/>
                <w:szCs w:val="16"/>
                <w:lang w:val="en-GB"/>
              </w:rPr>
              <w:t>eports from the Agency for Statistics of Bosnia and Herzegovina (annual).</w:t>
            </w:r>
          </w:p>
          <w:p w14:paraId="0BE633F1" w14:textId="77777777" w:rsidR="00D1201C" w:rsidRPr="00DE7DBC" w:rsidRDefault="00D1201C" w:rsidP="00264C2D">
            <w:pPr>
              <w:rPr>
                <w:color w:val="000000"/>
                <w:sz w:val="16"/>
                <w:szCs w:val="16"/>
                <w:lang w:val="en-GB"/>
              </w:rPr>
            </w:pPr>
          </w:p>
          <w:p w14:paraId="15E6B72E" w14:textId="77777777" w:rsidR="00D1201C" w:rsidRPr="00DE7DBC" w:rsidRDefault="00D1201C" w:rsidP="00264C2D">
            <w:pPr>
              <w:rPr>
                <w:color w:val="000000"/>
                <w:sz w:val="16"/>
                <w:szCs w:val="16"/>
                <w:lang w:val="en-GB"/>
              </w:rPr>
            </w:pPr>
            <w:r w:rsidRPr="00DE7DBC">
              <w:rPr>
                <w:color w:val="000000"/>
                <w:sz w:val="16"/>
                <w:szCs w:val="16"/>
                <w:lang w:val="en-GB"/>
              </w:rPr>
              <w:t>Agency for Statistics of Bosnia and Herzegovina (quarterly).</w:t>
            </w:r>
          </w:p>
        </w:tc>
        <w:tc>
          <w:tcPr>
            <w:tcW w:w="1841" w:type="pct"/>
            <w:vMerge w:val="restart"/>
            <w:shd w:val="clear" w:color="auto" w:fill="auto"/>
            <w:tcMar>
              <w:top w:w="72" w:type="dxa"/>
              <w:left w:w="144" w:type="dxa"/>
              <w:bottom w:w="72" w:type="dxa"/>
              <w:right w:w="144" w:type="dxa"/>
            </w:tcMar>
          </w:tcPr>
          <w:p w14:paraId="4F0E1B21" w14:textId="0CAB5786" w:rsidR="00D1201C" w:rsidRDefault="00D1201C" w:rsidP="00264C2D">
            <w:pPr>
              <w:widowControl w:val="0"/>
              <w:autoSpaceDE w:val="0"/>
              <w:autoSpaceDN w:val="0"/>
              <w:adjustRightInd w:val="0"/>
              <w:rPr>
                <w:b/>
                <w:spacing w:val="-4"/>
                <w:sz w:val="16"/>
                <w:szCs w:val="16"/>
                <w:lang w:val="en-GB"/>
              </w:rPr>
            </w:pPr>
            <w:r w:rsidRPr="00DE7DBC">
              <w:rPr>
                <w:b/>
                <w:spacing w:val="-4"/>
                <w:sz w:val="16"/>
                <w:szCs w:val="16"/>
                <w:lang w:val="en-GB"/>
              </w:rPr>
              <w:lastRenderedPageBreak/>
              <w:t>Output 1.1</w:t>
            </w:r>
            <w:r w:rsidR="00C02F76">
              <w:rPr>
                <w:b/>
                <w:spacing w:val="-4"/>
                <w:sz w:val="16"/>
                <w:szCs w:val="16"/>
                <w:lang w:val="en-GB"/>
              </w:rPr>
              <w:t>.</w:t>
            </w:r>
            <w:r w:rsidRPr="00DE7DBC">
              <w:rPr>
                <w:b/>
                <w:spacing w:val="-4"/>
                <w:sz w:val="16"/>
                <w:szCs w:val="16"/>
                <w:lang w:val="en-GB"/>
              </w:rPr>
              <w:t xml:space="preserve"> Authorities and communities have in place capacities and tools to ensure sustainable management and protection of natural resources. </w:t>
            </w:r>
          </w:p>
          <w:p w14:paraId="08D8CA55" w14:textId="77777777" w:rsidR="00373C40" w:rsidRPr="00DE7DBC" w:rsidRDefault="00373C40" w:rsidP="00264C2D">
            <w:pPr>
              <w:widowControl w:val="0"/>
              <w:autoSpaceDE w:val="0"/>
              <w:autoSpaceDN w:val="0"/>
              <w:adjustRightInd w:val="0"/>
              <w:rPr>
                <w:b/>
                <w:spacing w:val="-4"/>
                <w:sz w:val="16"/>
                <w:szCs w:val="16"/>
                <w:lang w:val="en-GB"/>
              </w:rPr>
            </w:pPr>
          </w:p>
          <w:p w14:paraId="6B339C66" w14:textId="7DF5D5FD" w:rsidR="00D1201C" w:rsidRPr="00DE7DBC" w:rsidRDefault="00D1201C" w:rsidP="00264C2D">
            <w:pPr>
              <w:rPr>
                <w:color w:val="000000"/>
                <w:sz w:val="16"/>
                <w:szCs w:val="16"/>
                <w:lang w:val="en-GB"/>
              </w:rPr>
            </w:pPr>
            <w:r w:rsidRPr="00264C2D">
              <w:rPr>
                <w:b/>
                <w:bCs/>
                <w:sz w:val="16"/>
                <w:szCs w:val="16"/>
                <w:lang w:val="en-GB"/>
              </w:rPr>
              <w:t>Indicator 1.1a</w:t>
            </w:r>
            <w:r w:rsidR="00373C40">
              <w:rPr>
                <w:sz w:val="16"/>
                <w:szCs w:val="16"/>
                <w:lang w:val="en-GB"/>
              </w:rPr>
              <w:t>.</w:t>
            </w:r>
            <w:r w:rsidRPr="00DE7DBC">
              <w:rPr>
                <w:sz w:val="16"/>
                <w:szCs w:val="16"/>
                <w:lang w:val="en-GB"/>
              </w:rPr>
              <w:t xml:space="preserve"> Extent to which biodiversity is </w:t>
            </w:r>
            <w:hyperlink r:id="rId17" w:history="1">
              <w:r w:rsidRPr="00DE7DBC">
                <w:rPr>
                  <w:sz w:val="16"/>
                  <w:szCs w:val="16"/>
                  <w:lang w:val="en-GB"/>
                </w:rPr>
                <w:t>mainstreamed</w:t>
              </w:r>
            </w:hyperlink>
            <w:r w:rsidRPr="00DE7DBC">
              <w:rPr>
                <w:sz w:val="16"/>
                <w:szCs w:val="16"/>
                <w:lang w:val="en-GB"/>
              </w:rPr>
              <w:t> into strategies and economic sectors (e.g.</w:t>
            </w:r>
            <w:r w:rsidR="00373C40">
              <w:rPr>
                <w:sz w:val="16"/>
                <w:szCs w:val="16"/>
                <w:lang w:val="en-GB"/>
              </w:rPr>
              <w:t>,</w:t>
            </w:r>
            <w:r w:rsidRPr="00DE7DBC">
              <w:rPr>
                <w:sz w:val="16"/>
                <w:szCs w:val="16"/>
                <w:lang w:val="en-GB"/>
              </w:rPr>
              <w:t xml:space="preserve"> agriculture, tourism). (</w:t>
            </w:r>
            <w:r w:rsidRPr="00DE7DBC">
              <w:rPr>
                <w:color w:val="000000"/>
                <w:sz w:val="16"/>
                <w:szCs w:val="16"/>
                <w:lang w:val="en-GB"/>
              </w:rPr>
              <w:t>Rating: 4.</w:t>
            </w:r>
            <w:r w:rsidR="00373C40">
              <w:rPr>
                <w:color w:val="000000"/>
                <w:sz w:val="16"/>
                <w:szCs w:val="16"/>
                <w:lang w:val="en-GB"/>
              </w:rPr>
              <w:t> </w:t>
            </w:r>
            <w:r w:rsidRPr="00DE7DBC">
              <w:rPr>
                <w:color w:val="000000"/>
                <w:sz w:val="16"/>
                <w:szCs w:val="16"/>
                <w:lang w:val="en-GB"/>
              </w:rPr>
              <w:t>Full inclusion; 3. Partial; 2. Inadequate; 1. No inclusion).</w:t>
            </w:r>
          </w:p>
          <w:p w14:paraId="3603E5F9"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2.</w:t>
            </w:r>
          </w:p>
          <w:p w14:paraId="4E9A511B"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3.</w:t>
            </w:r>
          </w:p>
          <w:p w14:paraId="112655DF" w14:textId="60D968D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National reports (annually); official documentation from the E</w:t>
            </w:r>
            <w:r w:rsidR="00373C40">
              <w:rPr>
                <w:sz w:val="16"/>
                <w:szCs w:val="16"/>
                <w:lang w:val="en-GB"/>
              </w:rPr>
              <w:t xml:space="preserve">uropean </w:t>
            </w:r>
            <w:r w:rsidRPr="00DE7DBC">
              <w:rPr>
                <w:sz w:val="16"/>
                <w:szCs w:val="16"/>
                <w:lang w:val="en-GB"/>
              </w:rPr>
              <w:t>U</w:t>
            </w:r>
            <w:r w:rsidR="00373C40">
              <w:rPr>
                <w:sz w:val="16"/>
                <w:szCs w:val="16"/>
                <w:lang w:val="en-GB"/>
              </w:rPr>
              <w:t>nion</w:t>
            </w:r>
            <w:r w:rsidRPr="00DE7DBC">
              <w:rPr>
                <w:sz w:val="16"/>
                <w:szCs w:val="16"/>
                <w:lang w:val="en-GB"/>
              </w:rPr>
              <w:t xml:space="preserve"> related to progress in the relevant sectors (annually); UNDP programme monitoring (bi-annually).</w:t>
            </w:r>
          </w:p>
          <w:p w14:paraId="06B9166B" w14:textId="77777777" w:rsidR="00D1201C" w:rsidRPr="00DE7DBC" w:rsidRDefault="00D1201C" w:rsidP="00264C2D">
            <w:pPr>
              <w:rPr>
                <w:color w:val="4BACC6" w:themeColor="accent5"/>
                <w:sz w:val="16"/>
                <w:szCs w:val="16"/>
                <w:lang w:val="en-GB"/>
              </w:rPr>
            </w:pPr>
          </w:p>
          <w:p w14:paraId="059DC883" w14:textId="3A80C03B" w:rsidR="00D1201C" w:rsidRPr="00DE7DBC" w:rsidRDefault="00D1201C" w:rsidP="00264C2D">
            <w:pPr>
              <w:rPr>
                <w:sz w:val="16"/>
                <w:szCs w:val="16"/>
                <w:lang w:val="en-GB"/>
              </w:rPr>
            </w:pPr>
            <w:r w:rsidRPr="00264C2D">
              <w:rPr>
                <w:b/>
                <w:bCs/>
                <w:sz w:val="16"/>
                <w:szCs w:val="16"/>
                <w:lang w:val="en-GB"/>
              </w:rPr>
              <w:t>Indicator 1.1b</w:t>
            </w:r>
            <w:r w:rsidR="00373C40">
              <w:rPr>
                <w:sz w:val="16"/>
                <w:szCs w:val="16"/>
                <w:lang w:val="en-GB"/>
              </w:rPr>
              <w:t xml:space="preserve">. </w:t>
            </w:r>
            <w:r w:rsidRPr="00DE7DBC">
              <w:rPr>
                <w:sz w:val="16"/>
                <w:szCs w:val="16"/>
                <w:lang w:val="en-GB"/>
              </w:rPr>
              <w:t xml:space="preserve">Number of persistent organic pollutants-contaminated sites with </w:t>
            </w:r>
            <w:r w:rsidR="00373C40">
              <w:rPr>
                <w:sz w:val="16"/>
                <w:szCs w:val="16"/>
                <w:lang w:val="en-GB"/>
              </w:rPr>
              <w:t>e</w:t>
            </w:r>
            <w:r w:rsidRPr="00DE7DBC">
              <w:rPr>
                <w:sz w:val="16"/>
                <w:szCs w:val="16"/>
                <w:lang w:val="en-GB"/>
              </w:rPr>
              <w:t xml:space="preserve">nvironmental </w:t>
            </w:r>
            <w:r w:rsidR="00373C40">
              <w:rPr>
                <w:sz w:val="16"/>
                <w:szCs w:val="16"/>
                <w:lang w:val="en-GB"/>
              </w:rPr>
              <w:t>m</w:t>
            </w:r>
            <w:r w:rsidRPr="00DE7DBC">
              <w:rPr>
                <w:sz w:val="16"/>
                <w:szCs w:val="16"/>
                <w:lang w:val="en-GB"/>
              </w:rPr>
              <w:t xml:space="preserve">anagement </w:t>
            </w:r>
            <w:r w:rsidR="00373C40">
              <w:rPr>
                <w:sz w:val="16"/>
                <w:szCs w:val="16"/>
                <w:lang w:val="en-GB"/>
              </w:rPr>
              <w:t>p</w:t>
            </w:r>
            <w:r w:rsidRPr="00DE7DBC">
              <w:rPr>
                <w:sz w:val="16"/>
                <w:szCs w:val="16"/>
                <w:lang w:val="en-GB"/>
              </w:rPr>
              <w:t xml:space="preserve">lans drafted and approved. </w:t>
            </w:r>
          </w:p>
          <w:p w14:paraId="11220191"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0.</w:t>
            </w:r>
          </w:p>
          <w:p w14:paraId="60A2BF16"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3.</w:t>
            </w:r>
          </w:p>
          <w:p w14:paraId="5E899DA9"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National reports (annually); UNDP programme monitoring (annually).</w:t>
            </w:r>
          </w:p>
          <w:p w14:paraId="60724119" w14:textId="77777777" w:rsidR="00D1201C" w:rsidRPr="00DE7DBC" w:rsidRDefault="00D1201C" w:rsidP="00264C2D">
            <w:pPr>
              <w:pStyle w:val="ListParagraph"/>
              <w:widowControl w:val="0"/>
              <w:autoSpaceDE w:val="0"/>
              <w:autoSpaceDN w:val="0"/>
              <w:adjustRightInd w:val="0"/>
              <w:ind w:left="0"/>
              <w:rPr>
                <w:color w:val="000000"/>
                <w:sz w:val="16"/>
                <w:szCs w:val="16"/>
                <w:highlight w:val="cyan"/>
                <w:lang w:val="en-GB"/>
              </w:rPr>
            </w:pPr>
          </w:p>
          <w:p w14:paraId="1A383AB8" w14:textId="071BA76B" w:rsidR="00D1201C" w:rsidRPr="00DE7DBC" w:rsidRDefault="00D1201C" w:rsidP="00264C2D">
            <w:pPr>
              <w:rPr>
                <w:sz w:val="16"/>
                <w:szCs w:val="16"/>
                <w:lang w:val="en-GB"/>
              </w:rPr>
            </w:pPr>
            <w:r w:rsidRPr="00DE7DBC">
              <w:rPr>
                <w:b/>
                <w:bCs/>
                <w:sz w:val="16"/>
                <w:szCs w:val="16"/>
                <w:lang w:val="en-GB"/>
              </w:rPr>
              <w:t>Output 1.2</w:t>
            </w:r>
            <w:r w:rsidR="00373C40">
              <w:rPr>
                <w:b/>
                <w:bCs/>
                <w:sz w:val="16"/>
                <w:szCs w:val="16"/>
                <w:lang w:val="en-GB"/>
              </w:rPr>
              <w:t>.</w:t>
            </w:r>
            <w:r w:rsidRPr="00DE7DBC">
              <w:rPr>
                <w:b/>
                <w:bCs/>
                <w:sz w:val="16"/>
                <w:szCs w:val="16"/>
                <w:lang w:val="en-GB"/>
              </w:rPr>
              <w:t xml:space="preserve"> Governments at all levels, particularly sub-national governments, implement climate change adaptation and mitigation measures for resilient and sustainable development.</w:t>
            </w:r>
            <w:r w:rsidRPr="00DE7DBC">
              <w:rPr>
                <w:sz w:val="16"/>
                <w:szCs w:val="16"/>
                <w:lang w:val="en-GB"/>
              </w:rPr>
              <w:t xml:space="preserve"> </w:t>
            </w:r>
          </w:p>
          <w:p w14:paraId="1DB159D0" w14:textId="77777777" w:rsidR="00373C40" w:rsidRDefault="00373C40" w:rsidP="00264C2D">
            <w:pPr>
              <w:pStyle w:val="ListParagraph"/>
              <w:widowControl w:val="0"/>
              <w:autoSpaceDE w:val="0"/>
              <w:autoSpaceDN w:val="0"/>
              <w:adjustRightInd w:val="0"/>
              <w:ind w:left="0"/>
              <w:rPr>
                <w:sz w:val="16"/>
                <w:szCs w:val="16"/>
                <w:lang w:val="en-GB"/>
              </w:rPr>
            </w:pPr>
          </w:p>
          <w:p w14:paraId="7A316820" w14:textId="785B7A1C" w:rsidR="00D1201C" w:rsidRPr="00DE7DBC" w:rsidRDefault="00D1201C" w:rsidP="00264C2D">
            <w:pPr>
              <w:pStyle w:val="ListParagraph"/>
              <w:widowControl w:val="0"/>
              <w:autoSpaceDE w:val="0"/>
              <w:autoSpaceDN w:val="0"/>
              <w:adjustRightInd w:val="0"/>
              <w:ind w:left="0"/>
              <w:rPr>
                <w:sz w:val="16"/>
                <w:szCs w:val="16"/>
                <w:lang w:val="en-GB"/>
              </w:rPr>
            </w:pPr>
            <w:r w:rsidRPr="00264C2D">
              <w:rPr>
                <w:b/>
                <w:bCs/>
                <w:sz w:val="16"/>
                <w:szCs w:val="16"/>
                <w:lang w:val="en-GB"/>
              </w:rPr>
              <w:t>Indicator 1.2a</w:t>
            </w:r>
            <w:r w:rsidR="00373C40">
              <w:rPr>
                <w:b/>
                <w:bCs/>
                <w:sz w:val="16"/>
                <w:szCs w:val="16"/>
                <w:lang w:val="en-GB"/>
              </w:rPr>
              <w:t>.</w:t>
            </w:r>
            <w:r w:rsidRPr="00DE7DBC">
              <w:rPr>
                <w:sz w:val="16"/>
                <w:szCs w:val="16"/>
                <w:lang w:val="en-GB"/>
              </w:rPr>
              <w:t xml:space="preserve"> Extent of change in energy consumption in public sector.</w:t>
            </w:r>
          </w:p>
          <w:p w14:paraId="5474982C"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205 kWh/m</w:t>
            </w:r>
            <w:r w:rsidRPr="00DE7DBC">
              <w:rPr>
                <w:sz w:val="16"/>
                <w:szCs w:val="16"/>
                <w:vertAlign w:val="superscript"/>
                <w:lang w:val="en-GB"/>
              </w:rPr>
              <w:t>2</w:t>
            </w:r>
          </w:p>
          <w:p w14:paraId="17FEB644"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180 kWh/m2</w:t>
            </w:r>
            <w:r w:rsidRPr="00DE7DBC">
              <w:rPr>
                <w:rStyle w:val="FootnoteReference"/>
                <w:sz w:val="16"/>
                <w:szCs w:val="16"/>
                <w:lang w:val="en-GB"/>
              </w:rPr>
              <w:footnoteReference w:id="17"/>
            </w:r>
          </w:p>
          <w:p w14:paraId="21A2FFDC" w14:textId="4A5419E5"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Energy </w:t>
            </w:r>
            <w:r w:rsidR="001E1003">
              <w:rPr>
                <w:sz w:val="16"/>
                <w:szCs w:val="16"/>
                <w:lang w:val="en-GB"/>
              </w:rPr>
              <w:t>m</w:t>
            </w:r>
            <w:r w:rsidRPr="00DE7DBC">
              <w:rPr>
                <w:sz w:val="16"/>
                <w:szCs w:val="16"/>
                <w:lang w:val="en-GB"/>
              </w:rPr>
              <w:t xml:space="preserve">anagement </w:t>
            </w:r>
            <w:r w:rsidR="001E1003">
              <w:rPr>
                <w:sz w:val="16"/>
                <w:szCs w:val="16"/>
                <w:lang w:val="en-GB"/>
              </w:rPr>
              <w:t>i</w:t>
            </w:r>
            <w:r w:rsidRPr="00DE7DBC">
              <w:rPr>
                <w:sz w:val="16"/>
                <w:szCs w:val="16"/>
                <w:lang w:val="en-GB"/>
              </w:rPr>
              <w:t xml:space="preserve">nformation </w:t>
            </w:r>
            <w:r w:rsidR="001E1003">
              <w:rPr>
                <w:sz w:val="16"/>
                <w:szCs w:val="16"/>
                <w:lang w:val="en-GB"/>
              </w:rPr>
              <w:t>s</w:t>
            </w:r>
            <w:r w:rsidRPr="00DE7DBC">
              <w:rPr>
                <w:sz w:val="16"/>
                <w:szCs w:val="16"/>
                <w:lang w:val="en-GB"/>
              </w:rPr>
              <w:t>ystem (quarterly); UNDP programme monitoring (annually).</w:t>
            </w:r>
          </w:p>
          <w:p w14:paraId="43386661" w14:textId="17723864" w:rsidR="00D1201C" w:rsidRPr="00DE7DBC" w:rsidRDefault="00D1201C" w:rsidP="00264C2D">
            <w:pPr>
              <w:pStyle w:val="ListParagraph"/>
              <w:widowControl w:val="0"/>
              <w:autoSpaceDE w:val="0"/>
              <w:autoSpaceDN w:val="0"/>
              <w:adjustRightInd w:val="0"/>
              <w:ind w:left="0"/>
              <w:rPr>
                <w:sz w:val="16"/>
                <w:szCs w:val="16"/>
                <w:lang w:val="en-GB"/>
              </w:rPr>
            </w:pPr>
            <w:r w:rsidRPr="00264C2D">
              <w:rPr>
                <w:b/>
                <w:bCs/>
                <w:sz w:val="16"/>
                <w:szCs w:val="16"/>
                <w:lang w:val="en-GB"/>
              </w:rPr>
              <w:lastRenderedPageBreak/>
              <w:t>Indicator 1.2b</w:t>
            </w:r>
            <w:r w:rsidR="00C02F76">
              <w:rPr>
                <w:b/>
                <w:bCs/>
                <w:sz w:val="16"/>
                <w:szCs w:val="16"/>
                <w:lang w:val="en-GB"/>
              </w:rPr>
              <w:t>.</w:t>
            </w:r>
            <w:r w:rsidRPr="00DE7DBC">
              <w:rPr>
                <w:sz w:val="16"/>
                <w:szCs w:val="16"/>
                <w:lang w:val="en-GB"/>
              </w:rPr>
              <w:t xml:space="preserve"> Number </w:t>
            </w:r>
            <w:r w:rsidRPr="00DE7DBC">
              <w:rPr>
                <w:rFonts w:eastAsia="SimSun"/>
                <w:sz w:val="16"/>
                <w:szCs w:val="16"/>
                <w:lang w:val="en-GB"/>
              </w:rPr>
              <w:t>of women benefiting from climate change adaptation or mitigation activities.</w:t>
            </w:r>
          </w:p>
          <w:p w14:paraId="65BC8036"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41,202 women.  </w:t>
            </w:r>
          </w:p>
          <w:p w14:paraId="0B8F83D1"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(2025): 60,000 women.</w:t>
            </w:r>
          </w:p>
          <w:p w14:paraId="1BC0A77E"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UNDP programme reports (quarterly).</w:t>
            </w:r>
          </w:p>
          <w:p w14:paraId="51A54860" w14:textId="77777777" w:rsidR="009604E9" w:rsidRDefault="009604E9" w:rsidP="00373C40">
            <w:pPr>
              <w:rPr>
                <w:sz w:val="16"/>
                <w:szCs w:val="16"/>
                <w:lang w:val="en-GB"/>
              </w:rPr>
            </w:pPr>
          </w:p>
          <w:p w14:paraId="48159C90" w14:textId="20C21B7D" w:rsidR="00D1201C" w:rsidRPr="00DE7DBC" w:rsidRDefault="00D1201C" w:rsidP="00264C2D">
            <w:pPr>
              <w:rPr>
                <w:color w:val="000000"/>
                <w:sz w:val="16"/>
                <w:szCs w:val="16"/>
                <w:lang w:val="en-GB"/>
              </w:rPr>
            </w:pPr>
            <w:r w:rsidRPr="00264C2D">
              <w:rPr>
                <w:b/>
                <w:bCs/>
                <w:sz w:val="16"/>
                <w:szCs w:val="16"/>
                <w:lang w:val="en-GB"/>
              </w:rPr>
              <w:t>Indicator 1.2c:</w:t>
            </w:r>
            <w:r w:rsidRPr="00DE7DBC">
              <w:rPr>
                <w:sz w:val="16"/>
                <w:szCs w:val="16"/>
                <w:lang w:val="en-GB"/>
              </w:rPr>
              <w:t xml:space="preserve"> Extent to which greenhouse gas (GHG) data collection is systematised, institutionalized and informs policymaking (</w:t>
            </w:r>
            <w:r w:rsidRPr="00DE7DBC">
              <w:rPr>
                <w:color w:val="000000"/>
                <w:sz w:val="16"/>
                <w:szCs w:val="16"/>
                <w:lang w:val="en-GB"/>
              </w:rPr>
              <w:t>Rating: 4. Fully; 3. Partially; 2. Inadequately; 1. Not in place).</w:t>
            </w:r>
          </w:p>
          <w:p w14:paraId="00241FA0"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1. </w:t>
            </w:r>
          </w:p>
          <w:p w14:paraId="04DDF267"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(2025): 3</w:t>
            </w:r>
          </w:p>
          <w:p w14:paraId="51A91284"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UNDP programme reports (quarterly).</w:t>
            </w:r>
          </w:p>
          <w:p w14:paraId="5E382389" w14:textId="77777777" w:rsidR="00D1201C" w:rsidRPr="00DE7DBC" w:rsidRDefault="00D1201C" w:rsidP="00264C2D">
            <w:pPr>
              <w:pStyle w:val="ListParagraph"/>
              <w:ind w:left="0"/>
              <w:rPr>
                <w:sz w:val="16"/>
                <w:szCs w:val="16"/>
                <w:lang w:val="en-GB"/>
              </w:rPr>
            </w:pPr>
          </w:p>
          <w:p w14:paraId="2AB820B4" w14:textId="08546B15" w:rsidR="00D1201C" w:rsidRPr="00DE7DBC" w:rsidRDefault="00D1201C" w:rsidP="00264C2D">
            <w:pPr>
              <w:widowControl w:val="0"/>
              <w:autoSpaceDE w:val="0"/>
              <w:autoSpaceDN w:val="0"/>
              <w:adjustRightInd w:val="0"/>
              <w:rPr>
                <w:b/>
                <w:spacing w:val="-6"/>
                <w:sz w:val="16"/>
                <w:szCs w:val="16"/>
                <w:lang w:val="en-GB"/>
              </w:rPr>
            </w:pPr>
            <w:r w:rsidRPr="00DE7DBC">
              <w:rPr>
                <w:b/>
                <w:spacing w:val="-6"/>
                <w:sz w:val="16"/>
                <w:szCs w:val="16"/>
                <w:lang w:val="en-GB"/>
              </w:rPr>
              <w:t>Output 1.3</w:t>
            </w:r>
            <w:r w:rsidR="00C02F76">
              <w:rPr>
                <w:b/>
                <w:spacing w:val="-6"/>
                <w:sz w:val="16"/>
                <w:szCs w:val="16"/>
                <w:lang w:val="en-GB"/>
              </w:rPr>
              <w:t>.</w:t>
            </w:r>
            <w:r w:rsidRPr="00DE7DBC">
              <w:rPr>
                <w:b/>
                <w:spacing w:val="-6"/>
                <w:sz w:val="16"/>
                <w:szCs w:val="16"/>
                <w:lang w:val="en-GB"/>
              </w:rPr>
              <w:t xml:space="preserve"> </w:t>
            </w:r>
            <w:r w:rsidRPr="00DE7DBC">
              <w:rPr>
                <w:b/>
                <w:bCs/>
                <w:spacing w:val="-6"/>
                <w:sz w:val="16"/>
                <w:szCs w:val="16"/>
                <w:lang w:val="en-GB"/>
              </w:rPr>
              <w:t>Smart growth principles accelerate</w:t>
            </w:r>
            <w:r w:rsidRPr="00DE7DBC">
              <w:rPr>
                <w:b/>
                <w:bCs/>
                <w:color w:val="4BACC6" w:themeColor="accent5"/>
                <w:spacing w:val="-6"/>
                <w:sz w:val="16"/>
                <w:szCs w:val="16"/>
                <w:lang w:val="en-GB"/>
              </w:rPr>
              <w:t xml:space="preserve"> </w:t>
            </w:r>
            <w:r w:rsidRPr="00DE7DBC">
              <w:rPr>
                <w:b/>
                <w:bCs/>
                <w:spacing w:val="-6"/>
                <w:sz w:val="16"/>
                <w:szCs w:val="16"/>
                <w:lang w:val="en-GB"/>
              </w:rPr>
              <w:t xml:space="preserve">sustainable, resilient and inclusive economic development, contribute to </w:t>
            </w:r>
            <w:r w:rsidRPr="00DE7DBC">
              <w:rPr>
                <w:b/>
                <w:spacing w:val="-6"/>
                <w:sz w:val="16"/>
                <w:szCs w:val="16"/>
                <w:lang w:val="en-GB"/>
              </w:rPr>
              <w:t>decent work, and leverage development financing by the private sector.</w:t>
            </w:r>
          </w:p>
          <w:p w14:paraId="6622467A" w14:textId="77777777" w:rsidR="00C02F76" w:rsidRDefault="00C02F76" w:rsidP="00373C40">
            <w:pPr>
              <w:pStyle w:val="ListParagraph"/>
              <w:widowControl w:val="0"/>
              <w:autoSpaceDE w:val="0"/>
              <w:autoSpaceDN w:val="0"/>
              <w:adjustRightInd w:val="0"/>
              <w:ind w:left="0"/>
              <w:rPr>
                <w:spacing w:val="-6"/>
                <w:sz w:val="16"/>
                <w:szCs w:val="16"/>
                <w:lang w:val="en-GB"/>
              </w:rPr>
            </w:pPr>
          </w:p>
          <w:p w14:paraId="74CB5C60" w14:textId="13EA11C6" w:rsidR="00D1201C" w:rsidRPr="00DE7DBC" w:rsidRDefault="00D1201C" w:rsidP="00264C2D">
            <w:pPr>
              <w:pStyle w:val="ListParagraph"/>
              <w:widowControl w:val="0"/>
              <w:autoSpaceDE w:val="0"/>
              <w:autoSpaceDN w:val="0"/>
              <w:adjustRightInd w:val="0"/>
              <w:ind w:left="0"/>
              <w:rPr>
                <w:spacing w:val="-6"/>
                <w:sz w:val="16"/>
                <w:szCs w:val="16"/>
                <w:lang w:val="en-GB"/>
              </w:rPr>
            </w:pPr>
            <w:r w:rsidRPr="00264C2D">
              <w:rPr>
                <w:b/>
                <w:bCs/>
                <w:spacing w:val="-6"/>
                <w:sz w:val="16"/>
                <w:szCs w:val="16"/>
                <w:lang w:val="en-GB"/>
              </w:rPr>
              <w:t>Indicator 1.3a</w:t>
            </w:r>
            <w:r w:rsidR="00C02F76">
              <w:rPr>
                <w:b/>
                <w:bCs/>
                <w:spacing w:val="-6"/>
                <w:sz w:val="16"/>
                <w:szCs w:val="16"/>
                <w:lang w:val="en-GB"/>
              </w:rPr>
              <w:t>.</w:t>
            </w:r>
            <w:r w:rsidRPr="00DE7DBC">
              <w:rPr>
                <w:b/>
                <w:bCs/>
                <w:spacing w:val="-6"/>
                <w:sz w:val="16"/>
                <w:szCs w:val="16"/>
                <w:lang w:val="en-GB"/>
              </w:rPr>
              <w:t xml:space="preserve"> </w:t>
            </w:r>
            <w:r w:rsidRPr="00DE7DBC">
              <w:rPr>
                <w:spacing w:val="-6"/>
                <w:sz w:val="16"/>
                <w:szCs w:val="16"/>
                <w:lang w:val="en-GB"/>
              </w:rPr>
              <w:t>Number of companies that strengthen their competitiveness or apply sustainable growth and resilience principles in their business operation as a result of UNDP support.</w:t>
            </w:r>
          </w:p>
          <w:p w14:paraId="38A3B78D"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638 companies.</w:t>
            </w:r>
          </w:p>
          <w:p w14:paraId="7BC56C9E"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1,140 companies.</w:t>
            </w:r>
          </w:p>
          <w:p w14:paraId="5FE4E5C7" w14:textId="77777777" w:rsidR="00D1201C" w:rsidRPr="00DE7DBC" w:rsidRDefault="00D1201C" w:rsidP="00264C2D">
            <w:pPr>
              <w:pStyle w:val="ListParagraph"/>
              <w:widowControl w:val="0"/>
              <w:autoSpaceDE w:val="0"/>
              <w:autoSpaceDN w:val="0"/>
              <w:adjustRightInd w:val="0"/>
              <w:ind w:left="0"/>
              <w:rPr>
                <w:spacing w:val="-4"/>
                <w:sz w:val="16"/>
                <w:szCs w:val="16"/>
                <w:lang w:val="en-GB"/>
              </w:rPr>
            </w:pPr>
            <w:r w:rsidRPr="00264C2D">
              <w:rPr>
                <w:i/>
                <w:iCs/>
                <w:spacing w:val="-4"/>
                <w:sz w:val="16"/>
                <w:szCs w:val="16"/>
                <w:lang w:val="en-GB"/>
              </w:rPr>
              <w:t>Source, frequency</w:t>
            </w:r>
            <w:r w:rsidRPr="00DE7DBC">
              <w:rPr>
                <w:spacing w:val="-4"/>
                <w:sz w:val="16"/>
                <w:szCs w:val="16"/>
                <w:lang w:val="en-GB"/>
              </w:rPr>
              <w:t>: UNDP programme monitoring (quarterly).</w:t>
            </w:r>
          </w:p>
          <w:p w14:paraId="456EC033" w14:textId="77777777" w:rsidR="009604E9" w:rsidRDefault="009604E9" w:rsidP="00373C40">
            <w:pPr>
              <w:pStyle w:val="ListParagraph"/>
              <w:widowControl w:val="0"/>
              <w:autoSpaceDE w:val="0"/>
              <w:autoSpaceDN w:val="0"/>
              <w:adjustRightInd w:val="0"/>
              <w:ind w:left="0"/>
              <w:rPr>
                <w:sz w:val="16"/>
                <w:szCs w:val="16"/>
                <w:lang w:val="en-GB"/>
              </w:rPr>
            </w:pPr>
          </w:p>
          <w:p w14:paraId="6B4FF136" w14:textId="15B88A4F" w:rsidR="00D1201C" w:rsidRPr="00DE7DBC" w:rsidRDefault="00D1201C" w:rsidP="00264C2D">
            <w:pPr>
              <w:pStyle w:val="ListParagraph"/>
              <w:widowControl w:val="0"/>
              <w:autoSpaceDE w:val="0"/>
              <w:autoSpaceDN w:val="0"/>
              <w:adjustRightInd w:val="0"/>
              <w:ind w:left="0"/>
              <w:rPr>
                <w:bCs/>
                <w:sz w:val="16"/>
                <w:szCs w:val="16"/>
                <w:lang w:val="en-GB"/>
              </w:rPr>
            </w:pPr>
            <w:r w:rsidRPr="00264C2D">
              <w:rPr>
                <w:b/>
                <w:bCs/>
                <w:sz w:val="16"/>
                <w:szCs w:val="16"/>
                <w:lang w:val="en-GB"/>
              </w:rPr>
              <w:t>Indicator 1.3b:</w:t>
            </w:r>
            <w:r w:rsidRPr="00DE7DBC">
              <w:rPr>
                <w:spacing w:val="-4"/>
                <w:sz w:val="16"/>
                <w:szCs w:val="16"/>
                <w:lang w:val="en-GB"/>
              </w:rPr>
              <w:t xml:space="preserve"> </w:t>
            </w:r>
            <w:r w:rsidR="00056D7C">
              <w:rPr>
                <w:sz w:val="16"/>
                <w:szCs w:val="16"/>
                <w:lang w:val="en-GB"/>
              </w:rPr>
              <w:t xml:space="preserve">Percentage </w:t>
            </w:r>
            <w:r w:rsidRPr="00DE7DBC">
              <w:rPr>
                <w:spacing w:val="-4"/>
                <w:sz w:val="16"/>
                <w:szCs w:val="16"/>
                <w:lang w:val="en-GB"/>
              </w:rPr>
              <w:t xml:space="preserve">annual increase of the volume of investments leveraged from the private sector for development as a result of UNDP work. </w:t>
            </w:r>
          </w:p>
          <w:p w14:paraId="74E5905C" w14:textId="639EC713"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1</w:t>
            </w:r>
            <w:r w:rsidR="00191D2A">
              <w:rPr>
                <w:sz w:val="16"/>
                <w:szCs w:val="16"/>
                <w:lang w:val="en-GB"/>
              </w:rPr>
              <w:t>.</w:t>
            </w:r>
            <w:r w:rsidRPr="00DE7DBC">
              <w:rPr>
                <w:sz w:val="16"/>
                <w:szCs w:val="16"/>
                <w:lang w:val="en-GB"/>
              </w:rPr>
              <w:t>21%.</w:t>
            </w:r>
          </w:p>
          <w:p w14:paraId="25E0216B"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3%.</w:t>
            </w:r>
          </w:p>
          <w:p w14:paraId="226ED36D"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Business Intelligence System TRON, UNDP programme monitoring (annually).</w:t>
            </w:r>
          </w:p>
          <w:p w14:paraId="10B1B000"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0BB9BAB5" w14:textId="77777777" w:rsidR="00D1201C" w:rsidRPr="00DE7DBC" w:rsidRDefault="00D1201C" w:rsidP="00264C2D">
            <w:pPr>
              <w:pStyle w:val="ListParagraph"/>
              <w:widowControl w:val="0"/>
              <w:autoSpaceDE w:val="0"/>
              <w:autoSpaceDN w:val="0"/>
              <w:adjustRightInd w:val="0"/>
              <w:ind w:left="0"/>
              <w:rPr>
                <w:bCs/>
                <w:sz w:val="16"/>
                <w:szCs w:val="16"/>
                <w:lang w:val="en-GB"/>
              </w:rPr>
            </w:pPr>
            <w:r w:rsidRPr="00264C2D">
              <w:rPr>
                <w:b/>
                <w:bCs/>
                <w:sz w:val="16"/>
                <w:szCs w:val="16"/>
                <w:lang w:val="en-GB"/>
              </w:rPr>
              <w:t>Indicator 1.3c:</w:t>
            </w:r>
            <w:r w:rsidRPr="00DE7DBC">
              <w:rPr>
                <w:spacing w:val="-4"/>
                <w:sz w:val="16"/>
                <w:szCs w:val="16"/>
                <w:lang w:val="en-GB"/>
              </w:rPr>
              <w:t xml:space="preserve"> Number of innovative and scalable solutions developed and applied for circular and green economy. </w:t>
            </w:r>
          </w:p>
          <w:p w14:paraId="6F3C68E6"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1</w:t>
            </w:r>
          </w:p>
          <w:p w14:paraId="7B9133C4"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10</w:t>
            </w:r>
          </w:p>
          <w:p w14:paraId="0C7BDBEB" w14:textId="77777777" w:rsidR="00D1201C" w:rsidRPr="00DE7DBC" w:rsidRDefault="00D1201C" w:rsidP="00264C2D">
            <w:pPr>
              <w:pStyle w:val="ListParagraph"/>
              <w:widowControl w:val="0"/>
              <w:autoSpaceDE w:val="0"/>
              <w:autoSpaceDN w:val="0"/>
              <w:adjustRightInd w:val="0"/>
              <w:ind w:left="0"/>
              <w:rPr>
                <w:spacing w:val="-4"/>
                <w:sz w:val="16"/>
                <w:szCs w:val="16"/>
                <w:lang w:val="en-GB"/>
              </w:rPr>
            </w:pPr>
            <w:r w:rsidRPr="00264C2D">
              <w:rPr>
                <w:i/>
                <w:iCs/>
                <w:spacing w:val="-4"/>
                <w:sz w:val="16"/>
                <w:szCs w:val="16"/>
                <w:lang w:val="en-GB"/>
              </w:rPr>
              <w:t>Source, frequency</w:t>
            </w:r>
            <w:r w:rsidRPr="00DE7DBC">
              <w:rPr>
                <w:spacing w:val="-4"/>
                <w:sz w:val="16"/>
                <w:szCs w:val="16"/>
                <w:lang w:val="en-GB"/>
              </w:rPr>
              <w:t>: UNDP programme monitoring (quarterly).</w:t>
            </w:r>
          </w:p>
          <w:p w14:paraId="06B087A3" w14:textId="77777777" w:rsidR="00D1201C" w:rsidRPr="00DE7DBC" w:rsidRDefault="00D1201C" w:rsidP="00264C2D">
            <w:pPr>
              <w:pStyle w:val="ListParagraph"/>
              <w:widowControl w:val="0"/>
              <w:autoSpaceDE w:val="0"/>
              <w:autoSpaceDN w:val="0"/>
              <w:adjustRightInd w:val="0"/>
              <w:ind w:left="0"/>
              <w:rPr>
                <w:spacing w:val="-4"/>
                <w:sz w:val="16"/>
                <w:szCs w:val="16"/>
                <w:lang w:val="en-GB"/>
              </w:rPr>
            </w:pPr>
          </w:p>
          <w:p w14:paraId="3D5033B5" w14:textId="77777777" w:rsidR="00D1201C" w:rsidRPr="00DE7DBC" w:rsidRDefault="00D1201C" w:rsidP="00264C2D">
            <w:pPr>
              <w:pStyle w:val="ListParagraph"/>
              <w:widowControl w:val="0"/>
              <w:autoSpaceDE w:val="0"/>
              <w:autoSpaceDN w:val="0"/>
              <w:adjustRightInd w:val="0"/>
              <w:ind w:left="0"/>
              <w:rPr>
                <w:bCs/>
                <w:sz w:val="16"/>
                <w:szCs w:val="16"/>
                <w:lang w:val="en-GB"/>
              </w:rPr>
            </w:pPr>
            <w:r w:rsidRPr="00264C2D">
              <w:rPr>
                <w:b/>
                <w:bCs/>
                <w:sz w:val="16"/>
                <w:szCs w:val="16"/>
                <w:lang w:val="en-GB"/>
              </w:rPr>
              <w:t>Indicator 1.3d:</w:t>
            </w:r>
            <w:r w:rsidRPr="00DE7DBC">
              <w:rPr>
                <w:spacing w:val="-4"/>
                <w:sz w:val="16"/>
                <w:szCs w:val="16"/>
                <w:lang w:val="en-GB"/>
              </w:rPr>
              <w:t xml:space="preserve"> Number of companies supported to mitigate the impact and recover from the COVID-19 crisis and number of jobs safeguarded. </w:t>
            </w:r>
          </w:p>
          <w:p w14:paraId="48DC8922" w14:textId="2DD873F5"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0/0.</w:t>
            </w:r>
          </w:p>
          <w:p w14:paraId="4F85CA26"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100 companies and 300 jobs.</w:t>
            </w:r>
          </w:p>
          <w:p w14:paraId="5AA8E3C0" w14:textId="77777777" w:rsidR="00D1201C" w:rsidRPr="00DE7DBC" w:rsidRDefault="00D1201C" w:rsidP="00264C2D">
            <w:pPr>
              <w:pStyle w:val="ListParagraph"/>
              <w:widowControl w:val="0"/>
              <w:autoSpaceDE w:val="0"/>
              <w:autoSpaceDN w:val="0"/>
              <w:adjustRightInd w:val="0"/>
              <w:ind w:left="0"/>
              <w:rPr>
                <w:spacing w:val="-4"/>
                <w:sz w:val="16"/>
                <w:szCs w:val="16"/>
                <w:lang w:val="en-GB"/>
              </w:rPr>
            </w:pPr>
            <w:r w:rsidRPr="00264C2D">
              <w:rPr>
                <w:i/>
                <w:iCs/>
                <w:spacing w:val="-4"/>
                <w:sz w:val="16"/>
                <w:szCs w:val="16"/>
                <w:lang w:val="en-GB"/>
              </w:rPr>
              <w:t>Source, frequency</w:t>
            </w:r>
            <w:r w:rsidRPr="00DE7DBC">
              <w:rPr>
                <w:spacing w:val="-4"/>
                <w:sz w:val="16"/>
                <w:szCs w:val="16"/>
                <w:lang w:val="en-GB"/>
              </w:rPr>
              <w:t>: UNDP programme monitoring (quarterly).</w:t>
            </w:r>
          </w:p>
          <w:p w14:paraId="1C3635B0"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66B65ADB" w14:textId="77777777" w:rsidR="00D1201C" w:rsidRPr="00DE7DBC" w:rsidRDefault="00D1201C" w:rsidP="00264C2D">
            <w:pPr>
              <w:rPr>
                <w:sz w:val="16"/>
                <w:szCs w:val="16"/>
                <w:lang w:val="en-GB"/>
              </w:rPr>
            </w:pPr>
            <w:r w:rsidRPr="00DE7DBC">
              <w:rPr>
                <w:b/>
                <w:bCs/>
                <w:sz w:val="16"/>
                <w:szCs w:val="16"/>
                <w:lang w:val="en-GB"/>
              </w:rPr>
              <w:t>Output 1.4</w:t>
            </w:r>
            <w:r w:rsidRPr="00DE7DBC">
              <w:rPr>
                <w:sz w:val="16"/>
                <w:szCs w:val="16"/>
                <w:lang w:val="en-GB"/>
              </w:rPr>
              <w:t xml:space="preserve"> </w:t>
            </w:r>
            <w:r w:rsidRPr="00DE7DBC">
              <w:rPr>
                <w:b/>
                <w:spacing w:val="-4"/>
                <w:sz w:val="16"/>
                <w:szCs w:val="16"/>
                <w:lang w:val="en-GB"/>
              </w:rPr>
              <w:t>Young people, especially women, Roma and persons with disabilities, gain 21</w:t>
            </w:r>
            <w:r w:rsidRPr="00DE7DBC">
              <w:rPr>
                <w:b/>
                <w:spacing w:val="-4"/>
                <w:sz w:val="16"/>
                <w:szCs w:val="16"/>
                <w:vertAlign w:val="superscript"/>
                <w:lang w:val="en-GB"/>
              </w:rPr>
              <w:t>st</w:t>
            </w:r>
            <w:r w:rsidRPr="00DE7DBC">
              <w:rPr>
                <w:b/>
                <w:spacing w:val="-4"/>
                <w:sz w:val="16"/>
                <w:szCs w:val="16"/>
                <w:lang w:val="en-GB"/>
              </w:rPr>
              <w:t xml:space="preserve"> century skills enabling them to get decent jobs.</w:t>
            </w:r>
            <w:r w:rsidRPr="00DE7DBC">
              <w:rPr>
                <w:sz w:val="16"/>
                <w:szCs w:val="16"/>
                <w:lang w:val="en-GB"/>
              </w:rPr>
              <w:t xml:space="preserve"> </w:t>
            </w:r>
          </w:p>
          <w:p w14:paraId="245CA5B2" w14:textId="77777777" w:rsidR="00191D2A" w:rsidRDefault="00191D2A" w:rsidP="00373C40">
            <w:pPr>
              <w:pStyle w:val="ListParagraph"/>
              <w:widowControl w:val="0"/>
              <w:autoSpaceDE w:val="0"/>
              <w:autoSpaceDN w:val="0"/>
              <w:adjustRightInd w:val="0"/>
              <w:ind w:left="0"/>
              <w:rPr>
                <w:sz w:val="16"/>
                <w:szCs w:val="16"/>
                <w:lang w:val="en-GB"/>
              </w:rPr>
            </w:pPr>
          </w:p>
          <w:p w14:paraId="7CC86D0E" w14:textId="074CB231" w:rsidR="00D1201C" w:rsidRPr="00DE7DBC" w:rsidRDefault="00D1201C" w:rsidP="00264C2D">
            <w:pPr>
              <w:pStyle w:val="ListParagraph"/>
              <w:widowControl w:val="0"/>
              <w:autoSpaceDE w:val="0"/>
              <w:autoSpaceDN w:val="0"/>
              <w:adjustRightInd w:val="0"/>
              <w:ind w:left="0"/>
              <w:rPr>
                <w:bCs/>
                <w:sz w:val="16"/>
                <w:szCs w:val="16"/>
                <w:lang w:val="en-GB"/>
              </w:rPr>
            </w:pPr>
            <w:r w:rsidRPr="00264C2D">
              <w:rPr>
                <w:b/>
                <w:bCs/>
                <w:sz w:val="16"/>
                <w:szCs w:val="16"/>
                <w:lang w:val="en-GB"/>
              </w:rPr>
              <w:lastRenderedPageBreak/>
              <w:t>Indicator 1.4a:</w:t>
            </w:r>
            <w:r w:rsidRPr="00DE7DBC">
              <w:rPr>
                <w:b/>
                <w:spacing w:val="-4"/>
                <w:sz w:val="16"/>
                <w:szCs w:val="16"/>
                <w:lang w:val="en-GB"/>
              </w:rPr>
              <w:t xml:space="preserve"> </w:t>
            </w:r>
            <w:r w:rsidRPr="00DE7DBC">
              <w:rPr>
                <w:bCs/>
                <w:sz w:val="16"/>
                <w:szCs w:val="16"/>
                <w:lang w:val="en-GB"/>
              </w:rPr>
              <w:t>Number of young people (especially women</w:t>
            </w:r>
            <w:r w:rsidRPr="00DE7DBC">
              <w:rPr>
                <w:sz w:val="16"/>
                <w:szCs w:val="16"/>
                <w:lang w:val="en-GB"/>
              </w:rPr>
              <w:t xml:space="preserve"> </w:t>
            </w:r>
            <w:r w:rsidRPr="00DE7DBC">
              <w:rPr>
                <w:bCs/>
                <w:sz w:val="16"/>
                <w:szCs w:val="16"/>
                <w:lang w:val="en-GB"/>
              </w:rPr>
              <w:t>and young people) who gain 21</w:t>
            </w:r>
            <w:r w:rsidRPr="00DE7DBC">
              <w:rPr>
                <w:bCs/>
                <w:sz w:val="16"/>
                <w:szCs w:val="16"/>
                <w:vertAlign w:val="superscript"/>
                <w:lang w:val="en-GB"/>
              </w:rPr>
              <w:t>st</w:t>
            </w:r>
            <w:r w:rsidRPr="00DE7DBC">
              <w:rPr>
                <w:bCs/>
                <w:sz w:val="16"/>
                <w:szCs w:val="16"/>
                <w:lang w:val="en-GB"/>
              </w:rPr>
              <w:t xml:space="preserve"> century skills.</w:t>
            </w:r>
          </w:p>
          <w:p w14:paraId="300CA8B3"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589 (378 women; 211 men). </w:t>
            </w:r>
          </w:p>
          <w:p w14:paraId="70B0A32E"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952 (585 women: 367 men).</w:t>
            </w:r>
          </w:p>
          <w:p w14:paraId="437118D7" w14:textId="77777777" w:rsidR="00D1201C" w:rsidRPr="00DE7DBC" w:rsidRDefault="00D1201C" w:rsidP="00264C2D">
            <w:pPr>
              <w:rPr>
                <w:b/>
                <w:bCs/>
                <w:color w:val="000000"/>
                <w:spacing w:val="-4"/>
                <w:sz w:val="16"/>
                <w:szCs w:val="16"/>
                <w:lang w:val="en-GB"/>
              </w:rPr>
            </w:pPr>
            <w:r w:rsidRPr="00264C2D">
              <w:rPr>
                <w:i/>
                <w:iCs/>
                <w:spacing w:val="-4"/>
                <w:sz w:val="16"/>
                <w:szCs w:val="16"/>
                <w:lang w:val="en-GB"/>
              </w:rPr>
              <w:t>Source, frequency</w:t>
            </w:r>
            <w:r w:rsidRPr="00DE7DBC">
              <w:rPr>
                <w:spacing w:val="-4"/>
                <w:sz w:val="16"/>
                <w:szCs w:val="16"/>
                <w:lang w:val="en-GB"/>
              </w:rPr>
              <w:t>: UNDP programme monitoring (quarterly).</w:t>
            </w:r>
          </w:p>
        </w:tc>
        <w:tc>
          <w:tcPr>
            <w:tcW w:w="650" w:type="pct"/>
            <w:gridSpan w:val="2"/>
            <w:vMerge w:val="restart"/>
            <w:shd w:val="clear" w:color="auto" w:fill="auto"/>
          </w:tcPr>
          <w:p w14:paraId="64D2D721" w14:textId="3EF98C7F" w:rsidR="00D1201C" w:rsidRPr="00DE7DBC" w:rsidRDefault="00D1201C" w:rsidP="00264C2D">
            <w:pPr>
              <w:rPr>
                <w:color w:val="000000"/>
                <w:sz w:val="16"/>
                <w:szCs w:val="16"/>
                <w:lang w:val="en-GB"/>
              </w:rPr>
            </w:pPr>
            <w:r w:rsidRPr="00DE7DBC">
              <w:rPr>
                <w:color w:val="000000"/>
                <w:sz w:val="16"/>
                <w:szCs w:val="16"/>
                <w:lang w:val="en-GB"/>
              </w:rPr>
              <w:lastRenderedPageBreak/>
              <w:t xml:space="preserve">Relevant ministries, local governments, communities, </w:t>
            </w:r>
            <w:r w:rsidR="00C626D4" w:rsidRPr="00DE7DBC">
              <w:rPr>
                <w:color w:val="000000"/>
                <w:sz w:val="16"/>
                <w:szCs w:val="16"/>
                <w:lang w:val="en-GB"/>
              </w:rPr>
              <w:t>civil society organi</w:t>
            </w:r>
            <w:r w:rsidR="00C626D4">
              <w:rPr>
                <w:color w:val="000000"/>
                <w:sz w:val="16"/>
                <w:szCs w:val="16"/>
                <w:lang w:val="en-GB"/>
              </w:rPr>
              <w:t>z</w:t>
            </w:r>
            <w:r w:rsidR="00C626D4" w:rsidRPr="00DE7DBC">
              <w:rPr>
                <w:color w:val="000000"/>
                <w:sz w:val="16"/>
                <w:szCs w:val="16"/>
                <w:lang w:val="en-GB"/>
              </w:rPr>
              <w:t>ations</w:t>
            </w:r>
            <w:r w:rsidR="00C626D4">
              <w:rPr>
                <w:color w:val="000000"/>
                <w:sz w:val="16"/>
                <w:szCs w:val="16"/>
                <w:lang w:val="en-GB"/>
              </w:rPr>
              <w:t>,</w:t>
            </w:r>
            <w:r w:rsidR="00C626D4" w:rsidRPr="00DE7DBC">
              <w:rPr>
                <w:color w:val="000000"/>
                <w:sz w:val="16"/>
                <w:szCs w:val="16"/>
                <w:lang w:val="en-GB"/>
              </w:rPr>
              <w:t xml:space="preserve"> </w:t>
            </w:r>
            <w:r w:rsidR="002463E6">
              <w:rPr>
                <w:color w:val="000000"/>
                <w:sz w:val="16"/>
                <w:szCs w:val="16"/>
                <w:lang w:val="en-GB"/>
              </w:rPr>
              <w:t xml:space="preserve">diaspora, UNICEF, ILO, UN Women, </w:t>
            </w:r>
            <w:r w:rsidRPr="00DE7DBC">
              <w:rPr>
                <w:color w:val="000000"/>
                <w:sz w:val="16"/>
                <w:szCs w:val="16"/>
                <w:lang w:val="en-GB"/>
              </w:rPr>
              <w:t>UNEP, FAO, the E</w:t>
            </w:r>
            <w:r w:rsidR="00373C40">
              <w:rPr>
                <w:color w:val="000000"/>
                <w:sz w:val="16"/>
                <w:szCs w:val="16"/>
                <w:lang w:val="en-GB"/>
              </w:rPr>
              <w:t xml:space="preserve">uropean </w:t>
            </w:r>
            <w:r w:rsidRPr="00DE7DBC">
              <w:rPr>
                <w:color w:val="000000"/>
                <w:sz w:val="16"/>
                <w:szCs w:val="16"/>
                <w:lang w:val="en-GB"/>
              </w:rPr>
              <w:t>U</w:t>
            </w:r>
            <w:r w:rsidR="00373C40">
              <w:rPr>
                <w:color w:val="000000"/>
                <w:sz w:val="16"/>
                <w:szCs w:val="16"/>
                <w:lang w:val="en-GB"/>
              </w:rPr>
              <w:t>nion</w:t>
            </w:r>
            <w:r w:rsidRPr="00DE7DBC">
              <w:rPr>
                <w:color w:val="000000"/>
                <w:sz w:val="16"/>
                <w:szCs w:val="16"/>
                <w:lang w:val="en-GB"/>
              </w:rPr>
              <w:t xml:space="preserve">, IFIs, </w:t>
            </w:r>
            <w:r w:rsidR="00373C40">
              <w:rPr>
                <w:color w:val="000000"/>
                <w:sz w:val="16"/>
                <w:szCs w:val="16"/>
                <w:lang w:val="en-GB"/>
              </w:rPr>
              <w:t xml:space="preserve">the </w:t>
            </w:r>
            <w:r w:rsidRPr="00DE7DBC">
              <w:rPr>
                <w:color w:val="000000"/>
                <w:sz w:val="16"/>
                <w:szCs w:val="16"/>
                <w:lang w:val="en-GB"/>
              </w:rPr>
              <w:t xml:space="preserve">Government of Sweden, </w:t>
            </w:r>
            <w:r w:rsidR="002463E6">
              <w:rPr>
                <w:color w:val="000000"/>
                <w:sz w:val="16"/>
                <w:szCs w:val="16"/>
                <w:lang w:val="en-GB"/>
              </w:rPr>
              <w:t xml:space="preserve">the Government of Norway, </w:t>
            </w:r>
            <w:r w:rsidR="00C626D4">
              <w:rPr>
                <w:color w:val="000000"/>
                <w:sz w:val="16"/>
                <w:szCs w:val="16"/>
                <w:lang w:val="en-GB"/>
              </w:rPr>
              <w:t xml:space="preserve">GIZ, </w:t>
            </w:r>
            <w:r w:rsidRPr="00DE7DBC">
              <w:rPr>
                <w:color w:val="000000"/>
                <w:sz w:val="16"/>
                <w:szCs w:val="16"/>
                <w:lang w:val="en-GB"/>
              </w:rPr>
              <w:t xml:space="preserve">Italian Development Cooperation, private sector, </w:t>
            </w:r>
            <w:r w:rsidR="002463E6">
              <w:rPr>
                <w:color w:val="000000"/>
                <w:sz w:val="16"/>
                <w:szCs w:val="16"/>
                <w:lang w:val="en-GB"/>
              </w:rPr>
              <w:t xml:space="preserve">USAID, </w:t>
            </w:r>
            <w:r w:rsidRPr="00DE7DBC">
              <w:rPr>
                <w:color w:val="000000"/>
                <w:sz w:val="16"/>
                <w:szCs w:val="16"/>
                <w:lang w:val="en-GB"/>
              </w:rPr>
              <w:t xml:space="preserve">national nature parks, </w:t>
            </w:r>
            <w:r w:rsidR="002463E6">
              <w:rPr>
                <w:color w:val="000000"/>
                <w:sz w:val="16"/>
                <w:szCs w:val="16"/>
                <w:lang w:val="en-GB"/>
              </w:rPr>
              <w:t xml:space="preserve">innovation hubs, </w:t>
            </w:r>
            <w:r w:rsidRPr="00DE7DBC">
              <w:rPr>
                <w:color w:val="000000"/>
                <w:sz w:val="16"/>
                <w:szCs w:val="16"/>
                <w:lang w:val="en-GB"/>
              </w:rPr>
              <w:t>universities.</w:t>
            </w:r>
          </w:p>
          <w:p w14:paraId="079403D4" w14:textId="77777777" w:rsidR="00D1201C" w:rsidRPr="00DE7DBC" w:rsidRDefault="00D1201C" w:rsidP="00264C2D">
            <w:pPr>
              <w:rPr>
                <w:color w:val="000000"/>
                <w:sz w:val="16"/>
                <w:szCs w:val="16"/>
                <w:lang w:val="en-GB"/>
              </w:rPr>
            </w:pPr>
          </w:p>
          <w:p w14:paraId="357F9C36" w14:textId="77777777" w:rsidR="00D1201C" w:rsidRPr="00DE7DBC" w:rsidRDefault="00D1201C" w:rsidP="00264C2D">
            <w:pPr>
              <w:rPr>
                <w:color w:val="000000"/>
                <w:sz w:val="16"/>
                <w:szCs w:val="16"/>
                <w:lang w:val="en-GB"/>
              </w:rPr>
            </w:pPr>
          </w:p>
          <w:p w14:paraId="7B98A193" w14:textId="77777777" w:rsidR="00D1201C" w:rsidRPr="00DE7DBC" w:rsidRDefault="00D1201C" w:rsidP="00264C2D">
            <w:pPr>
              <w:rPr>
                <w:color w:val="000000"/>
                <w:sz w:val="16"/>
                <w:szCs w:val="16"/>
                <w:lang w:val="en-GB"/>
              </w:rPr>
            </w:pPr>
          </w:p>
          <w:p w14:paraId="297B7C11" w14:textId="77777777" w:rsidR="00D1201C" w:rsidRPr="00DE7DBC" w:rsidRDefault="00D1201C" w:rsidP="00264C2D">
            <w:pPr>
              <w:rPr>
                <w:color w:val="000000"/>
                <w:sz w:val="16"/>
                <w:szCs w:val="16"/>
                <w:lang w:val="en-GB"/>
              </w:rPr>
            </w:pPr>
          </w:p>
          <w:p w14:paraId="01534ECD" w14:textId="77777777" w:rsidR="00D1201C" w:rsidRPr="00DE7DBC" w:rsidRDefault="00D1201C" w:rsidP="00264C2D">
            <w:pPr>
              <w:rPr>
                <w:color w:val="000000"/>
                <w:sz w:val="16"/>
                <w:szCs w:val="16"/>
                <w:lang w:val="en-GB"/>
              </w:rPr>
            </w:pPr>
          </w:p>
          <w:p w14:paraId="7402D1E8" w14:textId="77777777" w:rsidR="00D1201C" w:rsidRPr="00DE7DBC" w:rsidRDefault="00D1201C" w:rsidP="00264C2D">
            <w:pPr>
              <w:rPr>
                <w:color w:val="000000"/>
                <w:sz w:val="16"/>
                <w:szCs w:val="16"/>
                <w:lang w:val="en-GB"/>
              </w:rPr>
            </w:pPr>
          </w:p>
          <w:p w14:paraId="291261FE" w14:textId="77777777" w:rsidR="00D1201C" w:rsidRPr="00DE7DBC" w:rsidRDefault="00D1201C" w:rsidP="00264C2D">
            <w:pPr>
              <w:rPr>
                <w:color w:val="000000"/>
                <w:sz w:val="16"/>
                <w:szCs w:val="16"/>
                <w:lang w:val="en-GB"/>
              </w:rPr>
            </w:pPr>
          </w:p>
          <w:p w14:paraId="47571DE5" w14:textId="77777777" w:rsidR="00DE5A6A" w:rsidRDefault="00DE5A6A">
            <w:pPr>
              <w:pStyle w:val="ListParagraph"/>
              <w:widowControl w:val="0"/>
              <w:tabs>
                <w:tab w:val="left" w:pos="275"/>
              </w:tabs>
              <w:autoSpaceDE w:val="0"/>
              <w:autoSpaceDN w:val="0"/>
              <w:adjustRightInd w:val="0"/>
              <w:ind w:left="0"/>
              <w:rPr>
                <w:color w:val="000000"/>
                <w:sz w:val="16"/>
                <w:szCs w:val="16"/>
                <w:lang w:val="en-GB"/>
              </w:rPr>
            </w:pPr>
          </w:p>
          <w:p w14:paraId="4146247D" w14:textId="23A4FBB7" w:rsidR="00D1201C" w:rsidRPr="00DE7DBC" w:rsidRDefault="00D1201C" w:rsidP="00264C2D">
            <w:pPr>
              <w:pStyle w:val="ListParagraph"/>
              <w:widowControl w:val="0"/>
              <w:tabs>
                <w:tab w:val="left" w:pos="275"/>
              </w:tabs>
              <w:autoSpaceDE w:val="0"/>
              <w:autoSpaceDN w:val="0"/>
              <w:adjustRightInd w:val="0"/>
              <w:ind w:left="0"/>
              <w:rPr>
                <w:color w:val="000000"/>
                <w:sz w:val="16"/>
                <w:szCs w:val="16"/>
                <w:lang w:val="en-GB"/>
              </w:rPr>
            </w:pPr>
          </w:p>
          <w:p w14:paraId="3AF2B9BC" w14:textId="77777777" w:rsidR="00D1201C" w:rsidRPr="00DE7DBC" w:rsidRDefault="00D1201C" w:rsidP="00264C2D">
            <w:pPr>
              <w:rPr>
                <w:color w:val="000000"/>
                <w:sz w:val="16"/>
                <w:szCs w:val="16"/>
                <w:lang w:val="en-GB"/>
              </w:rPr>
            </w:pPr>
          </w:p>
          <w:p w14:paraId="0CCC3179" w14:textId="77777777" w:rsidR="00D1201C" w:rsidRPr="00DE7DBC" w:rsidRDefault="00D1201C" w:rsidP="00264C2D">
            <w:pPr>
              <w:rPr>
                <w:color w:val="000000"/>
                <w:sz w:val="16"/>
                <w:szCs w:val="16"/>
                <w:lang w:val="en-GB"/>
              </w:rPr>
            </w:pPr>
          </w:p>
          <w:p w14:paraId="1092B013" w14:textId="77777777" w:rsidR="00D1201C" w:rsidRPr="00DE7DBC" w:rsidRDefault="00D1201C" w:rsidP="00264C2D">
            <w:pPr>
              <w:rPr>
                <w:color w:val="000000"/>
                <w:sz w:val="16"/>
                <w:szCs w:val="16"/>
                <w:lang w:val="en-GB"/>
              </w:rPr>
            </w:pPr>
          </w:p>
          <w:p w14:paraId="66797675" w14:textId="77777777" w:rsidR="00D1201C" w:rsidRPr="00DE7DBC" w:rsidRDefault="00D1201C" w:rsidP="00264C2D">
            <w:pPr>
              <w:rPr>
                <w:color w:val="000000"/>
                <w:sz w:val="16"/>
                <w:szCs w:val="16"/>
                <w:lang w:val="en-GB"/>
              </w:rPr>
            </w:pPr>
          </w:p>
          <w:p w14:paraId="5CC25120" w14:textId="77777777" w:rsidR="00D1201C" w:rsidRPr="00DE7DBC" w:rsidRDefault="00D1201C" w:rsidP="00264C2D">
            <w:pPr>
              <w:rPr>
                <w:color w:val="000000"/>
                <w:sz w:val="16"/>
                <w:szCs w:val="16"/>
                <w:lang w:val="en-GB"/>
              </w:rPr>
            </w:pPr>
          </w:p>
          <w:p w14:paraId="25AF24AC" w14:textId="77777777" w:rsidR="00D1201C" w:rsidRPr="00DE7DBC" w:rsidRDefault="00D1201C" w:rsidP="00264C2D">
            <w:pPr>
              <w:rPr>
                <w:color w:val="000000"/>
                <w:sz w:val="16"/>
                <w:szCs w:val="16"/>
                <w:lang w:val="en-GB"/>
              </w:rPr>
            </w:pPr>
          </w:p>
          <w:p w14:paraId="4B1EB17A" w14:textId="77777777" w:rsidR="00D1201C" w:rsidRPr="00DE7DBC" w:rsidRDefault="00D1201C" w:rsidP="00264C2D">
            <w:pPr>
              <w:rPr>
                <w:color w:val="000000"/>
                <w:sz w:val="16"/>
                <w:szCs w:val="16"/>
                <w:lang w:val="en-GB"/>
              </w:rPr>
            </w:pPr>
          </w:p>
          <w:p w14:paraId="738B6ABC" w14:textId="77777777" w:rsidR="00D1201C" w:rsidRPr="00DE7DBC" w:rsidRDefault="00D1201C" w:rsidP="00264C2D">
            <w:pPr>
              <w:rPr>
                <w:color w:val="000000"/>
                <w:sz w:val="16"/>
                <w:szCs w:val="16"/>
                <w:lang w:val="en-GB"/>
              </w:rPr>
            </w:pPr>
          </w:p>
          <w:p w14:paraId="468AB132" w14:textId="77777777" w:rsidR="00D1201C" w:rsidRPr="00DE7DBC" w:rsidRDefault="00D1201C" w:rsidP="00264C2D">
            <w:pPr>
              <w:rPr>
                <w:color w:val="000000"/>
                <w:sz w:val="16"/>
                <w:szCs w:val="16"/>
                <w:lang w:val="en-GB"/>
              </w:rPr>
            </w:pPr>
          </w:p>
          <w:p w14:paraId="51BCB197" w14:textId="4A859626" w:rsidR="00D1201C" w:rsidRPr="00DE7DBC" w:rsidRDefault="00D1201C" w:rsidP="00264C2D">
            <w:pPr>
              <w:rPr>
                <w:color w:val="000000"/>
                <w:sz w:val="16"/>
                <w:szCs w:val="16"/>
                <w:lang w:val="en-GB"/>
              </w:rPr>
            </w:pPr>
          </w:p>
          <w:p w14:paraId="01DE011B" w14:textId="77777777" w:rsidR="004717B9" w:rsidRPr="00DE7DBC" w:rsidRDefault="004717B9" w:rsidP="00264C2D">
            <w:pPr>
              <w:rPr>
                <w:color w:val="000000"/>
                <w:sz w:val="16"/>
                <w:szCs w:val="16"/>
                <w:lang w:val="en-GB"/>
              </w:rPr>
            </w:pPr>
          </w:p>
          <w:p w14:paraId="4EF5D34F" w14:textId="77777777" w:rsidR="00D1201C" w:rsidRPr="00DE7DBC" w:rsidRDefault="00D1201C" w:rsidP="00264C2D">
            <w:pPr>
              <w:rPr>
                <w:color w:val="000000"/>
                <w:sz w:val="16"/>
                <w:szCs w:val="16"/>
                <w:lang w:val="en-GB"/>
              </w:rPr>
            </w:pPr>
          </w:p>
          <w:p w14:paraId="497400FD" w14:textId="77777777" w:rsidR="00DE5A6A" w:rsidRDefault="00DE5A6A">
            <w:pPr>
              <w:pStyle w:val="ListParagraph"/>
              <w:widowControl w:val="0"/>
              <w:tabs>
                <w:tab w:val="left" w:pos="275"/>
              </w:tabs>
              <w:autoSpaceDE w:val="0"/>
              <w:autoSpaceDN w:val="0"/>
              <w:adjustRightInd w:val="0"/>
              <w:ind w:left="0"/>
              <w:rPr>
                <w:color w:val="000000"/>
                <w:sz w:val="16"/>
                <w:szCs w:val="16"/>
                <w:lang w:val="en-GB"/>
              </w:rPr>
            </w:pPr>
          </w:p>
          <w:p w14:paraId="54729C00" w14:textId="77777777" w:rsidR="00DE5A6A" w:rsidRDefault="00DE5A6A">
            <w:pPr>
              <w:pStyle w:val="ListParagraph"/>
              <w:widowControl w:val="0"/>
              <w:tabs>
                <w:tab w:val="left" w:pos="275"/>
              </w:tabs>
              <w:autoSpaceDE w:val="0"/>
              <w:autoSpaceDN w:val="0"/>
              <w:adjustRightInd w:val="0"/>
              <w:ind w:left="0"/>
              <w:rPr>
                <w:color w:val="000000"/>
                <w:sz w:val="16"/>
                <w:szCs w:val="16"/>
                <w:lang w:val="en-GB"/>
              </w:rPr>
            </w:pPr>
          </w:p>
          <w:p w14:paraId="27C04010" w14:textId="77777777" w:rsidR="00DE5A6A" w:rsidRDefault="00DE5A6A">
            <w:pPr>
              <w:pStyle w:val="ListParagraph"/>
              <w:widowControl w:val="0"/>
              <w:tabs>
                <w:tab w:val="left" w:pos="275"/>
              </w:tabs>
              <w:autoSpaceDE w:val="0"/>
              <w:autoSpaceDN w:val="0"/>
              <w:adjustRightInd w:val="0"/>
              <w:ind w:left="0"/>
              <w:rPr>
                <w:color w:val="000000"/>
                <w:sz w:val="16"/>
                <w:szCs w:val="16"/>
                <w:lang w:val="en-GB"/>
              </w:rPr>
            </w:pPr>
          </w:p>
          <w:p w14:paraId="7A3A0FF5" w14:textId="77777777" w:rsidR="00D1201C" w:rsidRPr="00DE7DBC" w:rsidRDefault="00D1201C" w:rsidP="00264C2D">
            <w:pPr>
              <w:pStyle w:val="ListParagraph"/>
              <w:widowControl w:val="0"/>
              <w:tabs>
                <w:tab w:val="left" w:pos="275"/>
              </w:tabs>
              <w:autoSpaceDE w:val="0"/>
              <w:autoSpaceDN w:val="0"/>
              <w:adjustRightInd w:val="0"/>
              <w:ind w:left="0"/>
              <w:rPr>
                <w:color w:val="000000"/>
                <w:sz w:val="16"/>
                <w:szCs w:val="16"/>
                <w:lang w:val="en-GB"/>
              </w:rPr>
            </w:pPr>
          </w:p>
        </w:tc>
        <w:tc>
          <w:tcPr>
            <w:tcW w:w="615" w:type="pct"/>
            <w:gridSpan w:val="2"/>
            <w:shd w:val="clear" w:color="auto" w:fill="auto"/>
            <w:tcMar>
              <w:top w:w="15" w:type="dxa"/>
              <w:left w:w="108" w:type="dxa"/>
              <w:bottom w:w="0" w:type="dxa"/>
              <w:right w:w="108" w:type="dxa"/>
            </w:tcMar>
          </w:tcPr>
          <w:p w14:paraId="208317ED" w14:textId="77777777" w:rsidR="00D1201C" w:rsidRPr="00DE7DBC" w:rsidRDefault="00D1201C" w:rsidP="00264C2D">
            <w:pPr>
              <w:rPr>
                <w:b/>
                <w:sz w:val="16"/>
                <w:szCs w:val="16"/>
                <w:lang w:val="en-GB"/>
              </w:rPr>
            </w:pPr>
            <w:r w:rsidRPr="00DE7DBC">
              <w:rPr>
                <w:b/>
                <w:sz w:val="16"/>
                <w:szCs w:val="16"/>
                <w:lang w:val="en-GB"/>
              </w:rPr>
              <w:lastRenderedPageBreak/>
              <w:t>Regular</w:t>
            </w:r>
          </w:p>
          <w:p w14:paraId="6039A48E" w14:textId="56F979A5" w:rsidR="00D1201C" w:rsidRPr="00DE7DBC" w:rsidRDefault="00D1201C" w:rsidP="00264C2D">
            <w:pPr>
              <w:rPr>
                <w:b/>
                <w:color w:val="000000"/>
                <w:sz w:val="16"/>
                <w:szCs w:val="16"/>
                <w:lang w:val="en-GB"/>
              </w:rPr>
            </w:pPr>
            <w:r w:rsidRPr="00DE7DBC">
              <w:rPr>
                <w:b/>
                <w:sz w:val="16"/>
                <w:szCs w:val="16"/>
                <w:lang w:val="en-GB"/>
              </w:rPr>
              <w:t>1,055,000</w:t>
            </w:r>
          </w:p>
        </w:tc>
      </w:tr>
      <w:tr w:rsidR="00D1201C" w:rsidRPr="00DE7DBC" w14:paraId="335B9D58" w14:textId="77777777" w:rsidTr="0071084A">
        <w:tc>
          <w:tcPr>
            <w:tcW w:w="1136" w:type="pct"/>
            <w:vMerge/>
            <w:shd w:val="clear" w:color="auto" w:fill="auto"/>
            <w:tcMar>
              <w:top w:w="72" w:type="dxa"/>
              <w:left w:w="144" w:type="dxa"/>
              <w:bottom w:w="72" w:type="dxa"/>
              <w:right w:w="144" w:type="dxa"/>
            </w:tcMar>
          </w:tcPr>
          <w:p w14:paraId="00EF6F0E" w14:textId="77777777" w:rsidR="00D1201C" w:rsidRPr="00DE7DBC" w:rsidRDefault="00D1201C" w:rsidP="00373C40">
            <w:pPr>
              <w:rPr>
                <w:color w:val="000000"/>
                <w:sz w:val="16"/>
                <w:szCs w:val="16"/>
                <w:lang w:val="en-GB"/>
              </w:rPr>
            </w:pPr>
          </w:p>
        </w:tc>
        <w:tc>
          <w:tcPr>
            <w:tcW w:w="758" w:type="pct"/>
            <w:vMerge/>
            <w:shd w:val="clear" w:color="auto" w:fill="auto"/>
          </w:tcPr>
          <w:p w14:paraId="7C842122" w14:textId="77777777" w:rsidR="00D1201C" w:rsidRPr="00DE7DBC" w:rsidRDefault="00D1201C" w:rsidP="00373C40">
            <w:pPr>
              <w:rPr>
                <w:color w:val="000000"/>
                <w:sz w:val="16"/>
                <w:szCs w:val="16"/>
                <w:lang w:val="en-GB"/>
              </w:rPr>
            </w:pPr>
          </w:p>
        </w:tc>
        <w:tc>
          <w:tcPr>
            <w:tcW w:w="1841" w:type="pct"/>
            <w:vMerge/>
            <w:shd w:val="clear" w:color="auto" w:fill="auto"/>
            <w:tcMar>
              <w:top w:w="72" w:type="dxa"/>
              <w:left w:w="144" w:type="dxa"/>
              <w:bottom w:w="72" w:type="dxa"/>
              <w:right w:w="144" w:type="dxa"/>
            </w:tcMar>
          </w:tcPr>
          <w:p w14:paraId="73F80644" w14:textId="77777777" w:rsidR="00D1201C" w:rsidRPr="00DE7DBC" w:rsidRDefault="00D1201C" w:rsidP="00373C40">
            <w:pPr>
              <w:rPr>
                <w:color w:val="000000"/>
                <w:sz w:val="16"/>
                <w:szCs w:val="16"/>
                <w:lang w:val="en-GB"/>
              </w:rPr>
            </w:pPr>
          </w:p>
        </w:tc>
        <w:tc>
          <w:tcPr>
            <w:tcW w:w="650" w:type="pct"/>
            <w:gridSpan w:val="2"/>
            <w:vMerge/>
            <w:shd w:val="clear" w:color="auto" w:fill="auto"/>
          </w:tcPr>
          <w:p w14:paraId="0D156042" w14:textId="77777777" w:rsidR="00D1201C" w:rsidRPr="00DE7DBC" w:rsidRDefault="00D1201C" w:rsidP="00373C40">
            <w:pPr>
              <w:rPr>
                <w:color w:val="000000"/>
                <w:sz w:val="16"/>
                <w:szCs w:val="16"/>
                <w:lang w:val="en-GB"/>
              </w:rPr>
            </w:pPr>
          </w:p>
        </w:tc>
        <w:tc>
          <w:tcPr>
            <w:tcW w:w="615" w:type="pct"/>
            <w:gridSpan w:val="2"/>
            <w:shd w:val="clear" w:color="auto" w:fill="auto"/>
            <w:tcMar>
              <w:top w:w="15" w:type="dxa"/>
              <w:left w:w="108" w:type="dxa"/>
              <w:bottom w:w="0" w:type="dxa"/>
              <w:right w:w="108" w:type="dxa"/>
            </w:tcMar>
          </w:tcPr>
          <w:p w14:paraId="081A79B4" w14:textId="77777777" w:rsidR="00D1201C" w:rsidRPr="00DE7DBC" w:rsidRDefault="00D1201C" w:rsidP="00264C2D">
            <w:pPr>
              <w:rPr>
                <w:b/>
                <w:color w:val="000000"/>
                <w:sz w:val="16"/>
                <w:szCs w:val="16"/>
                <w:lang w:val="en-GB"/>
              </w:rPr>
            </w:pPr>
            <w:r w:rsidRPr="00DE7DBC">
              <w:rPr>
                <w:b/>
                <w:color w:val="000000"/>
                <w:sz w:val="16"/>
                <w:szCs w:val="16"/>
                <w:lang w:val="en-GB"/>
              </w:rPr>
              <w:t>Other</w:t>
            </w:r>
          </w:p>
          <w:p w14:paraId="7ABBAAEE" w14:textId="4AB61D05" w:rsidR="00D1201C" w:rsidRPr="00DE7DBC" w:rsidRDefault="00D1201C" w:rsidP="00264C2D">
            <w:pPr>
              <w:rPr>
                <w:b/>
                <w:bCs/>
                <w:color w:val="000000"/>
                <w:sz w:val="16"/>
                <w:szCs w:val="16"/>
                <w:lang w:val="en-GB"/>
              </w:rPr>
            </w:pPr>
            <w:r w:rsidRPr="00DE7DBC">
              <w:rPr>
                <w:b/>
                <w:bCs/>
                <w:color w:val="000000"/>
                <w:sz w:val="16"/>
                <w:szCs w:val="16"/>
                <w:lang w:val="en-GB"/>
              </w:rPr>
              <w:t>92,284,929</w:t>
            </w:r>
          </w:p>
          <w:p w14:paraId="0C9963AD" w14:textId="77777777" w:rsidR="00D1201C" w:rsidRPr="00DE7DBC" w:rsidRDefault="00D1201C" w:rsidP="00264C2D">
            <w:pPr>
              <w:rPr>
                <w:color w:val="000000"/>
                <w:sz w:val="16"/>
                <w:szCs w:val="16"/>
                <w:lang w:val="en-GB"/>
              </w:rPr>
            </w:pPr>
          </w:p>
          <w:p w14:paraId="73919705" w14:textId="7FC680DC" w:rsidR="00D1201C" w:rsidRPr="00DE7DBC" w:rsidRDefault="00D1201C" w:rsidP="00264C2D">
            <w:pPr>
              <w:rPr>
                <w:b/>
                <w:color w:val="000000"/>
                <w:sz w:val="16"/>
                <w:szCs w:val="16"/>
                <w:lang w:val="en-GB"/>
              </w:rPr>
            </w:pPr>
          </w:p>
        </w:tc>
      </w:tr>
      <w:tr w:rsidR="00D1201C" w:rsidRPr="00DE7DBC" w14:paraId="18AF95A1" w14:textId="77777777" w:rsidTr="0071084A">
        <w:tc>
          <w:tcPr>
            <w:tcW w:w="5000" w:type="pct"/>
            <w:gridSpan w:val="7"/>
            <w:shd w:val="clear" w:color="auto" w:fill="auto"/>
            <w:tcMar>
              <w:top w:w="72" w:type="dxa"/>
              <w:left w:w="144" w:type="dxa"/>
              <w:bottom w:w="72" w:type="dxa"/>
              <w:right w:w="144" w:type="dxa"/>
            </w:tcMar>
          </w:tcPr>
          <w:p w14:paraId="5CAFFCA1" w14:textId="77777777" w:rsidR="00D1201C" w:rsidRPr="004E7373" w:rsidRDefault="00D1201C" w:rsidP="00D1201C">
            <w:pPr>
              <w:rPr>
                <w:b/>
                <w:bCs/>
                <w:color w:val="000000"/>
                <w:sz w:val="16"/>
                <w:szCs w:val="16"/>
                <w:lang w:val="en-GB"/>
              </w:rPr>
            </w:pPr>
            <w:r w:rsidRPr="004E7373">
              <w:rPr>
                <w:b/>
                <w:bCs/>
                <w:color w:val="000000"/>
                <w:sz w:val="16"/>
                <w:szCs w:val="16"/>
                <w:lang w:val="en-GB"/>
              </w:rPr>
              <w:lastRenderedPageBreak/>
              <w:t xml:space="preserve">NATIONAL PRIORITY OR GOAL: </w:t>
            </w:r>
          </w:p>
          <w:p w14:paraId="667B8726" w14:textId="174F476A" w:rsidR="00D1201C" w:rsidRPr="004E7373" w:rsidRDefault="00D1201C" w:rsidP="00D1201C">
            <w:pPr>
              <w:pStyle w:val="NoSpacing"/>
              <w:rPr>
                <w:rFonts w:ascii="Times New Roman" w:hAnsi="Times New Roman" w:cs="Times New Roman"/>
                <w:color w:val="000000"/>
                <w:sz w:val="16"/>
                <w:szCs w:val="16"/>
                <w:lang w:val="en-GB"/>
              </w:rPr>
            </w:pPr>
            <w:r w:rsidRPr="004E7373">
              <w:rPr>
                <w:rFonts w:ascii="Times New Roman" w:hAnsi="Times New Roman" w:cs="Times New Roman"/>
                <w:b/>
                <w:bCs/>
                <w:color w:val="000000"/>
                <w:sz w:val="16"/>
                <w:szCs w:val="16"/>
                <w:lang w:val="en-GB"/>
              </w:rPr>
              <w:t>S</w:t>
            </w:r>
            <w:r w:rsidR="00157EE2" w:rsidRPr="004E7373">
              <w:rPr>
                <w:rFonts w:ascii="Times New Roman" w:hAnsi="Times New Roman" w:cs="Times New Roman"/>
                <w:b/>
                <w:bCs/>
                <w:color w:val="000000"/>
                <w:sz w:val="16"/>
                <w:szCs w:val="16"/>
                <w:lang w:val="en-GB"/>
              </w:rPr>
              <w:t>ustainable Development Goals</w:t>
            </w:r>
            <w:r w:rsidRPr="004E7373">
              <w:rPr>
                <w:rFonts w:ascii="Times New Roman" w:hAnsi="Times New Roman" w:cs="Times New Roman"/>
                <w:b/>
                <w:bCs/>
                <w:color w:val="000000"/>
                <w:sz w:val="16"/>
                <w:szCs w:val="16"/>
                <w:lang w:val="en-GB"/>
              </w:rPr>
              <w:t xml:space="preserve"> Framework in Bosnia and Herzegovina</w:t>
            </w:r>
            <w:r w:rsidRPr="004E7373">
              <w:rPr>
                <w:rFonts w:ascii="Times New Roman" w:hAnsi="Times New Roman" w:cs="Times New Roman"/>
                <w:color w:val="000000"/>
                <w:sz w:val="16"/>
                <w:szCs w:val="16"/>
                <w:lang w:val="en-GB"/>
              </w:rPr>
              <w:t xml:space="preserve">: </w:t>
            </w:r>
            <w:r w:rsidRPr="004E7373">
              <w:rPr>
                <w:rFonts w:ascii="Times New Roman" w:eastAsia="Times New Roman" w:hAnsi="Times New Roman" w:cs="Times New Roman"/>
                <w:spacing w:val="-4"/>
                <w:sz w:val="16"/>
                <w:szCs w:val="16"/>
                <w:lang w:val="en-GB"/>
              </w:rPr>
              <w:t>Good governance and public sector management pathway</w:t>
            </w:r>
            <w:r w:rsidR="00F81B7C" w:rsidRPr="004E7373">
              <w:rPr>
                <w:rFonts w:ascii="Times New Roman" w:eastAsia="Times New Roman" w:hAnsi="Times New Roman" w:cs="Times New Roman"/>
                <w:spacing w:val="-4"/>
                <w:sz w:val="16"/>
                <w:szCs w:val="16"/>
                <w:lang w:val="en-GB"/>
              </w:rPr>
              <w:t>.</w:t>
            </w:r>
          </w:p>
          <w:p w14:paraId="2BFCB4C4" w14:textId="511D9703" w:rsidR="00D1201C" w:rsidRPr="004E7373" w:rsidRDefault="00D1201C" w:rsidP="00D1201C">
            <w:pPr>
              <w:jc w:val="both"/>
              <w:rPr>
                <w:spacing w:val="-4"/>
                <w:sz w:val="16"/>
                <w:szCs w:val="16"/>
                <w:lang w:val="en-GB"/>
              </w:rPr>
            </w:pPr>
            <w:r w:rsidRPr="004E7373">
              <w:rPr>
                <w:b/>
                <w:bCs/>
                <w:color w:val="000000"/>
                <w:spacing w:val="-4"/>
                <w:sz w:val="16"/>
                <w:szCs w:val="16"/>
                <w:lang w:val="en-GB"/>
              </w:rPr>
              <w:t xml:space="preserve">Joint </w:t>
            </w:r>
            <w:r w:rsidR="00F81B7C" w:rsidRPr="004E7373">
              <w:rPr>
                <w:b/>
                <w:bCs/>
                <w:color w:val="000000"/>
                <w:spacing w:val="-4"/>
                <w:sz w:val="16"/>
                <w:szCs w:val="16"/>
                <w:lang w:val="en-GB"/>
              </w:rPr>
              <w:t>s</w:t>
            </w:r>
            <w:r w:rsidRPr="004E7373">
              <w:rPr>
                <w:b/>
                <w:bCs/>
                <w:color w:val="000000"/>
                <w:spacing w:val="-4"/>
                <w:sz w:val="16"/>
                <w:szCs w:val="16"/>
                <w:lang w:val="en-GB"/>
              </w:rPr>
              <w:t>ocio</w:t>
            </w:r>
            <w:r w:rsidR="00F81B7C" w:rsidRPr="004E7373">
              <w:rPr>
                <w:b/>
                <w:bCs/>
                <w:color w:val="000000"/>
                <w:spacing w:val="-4"/>
                <w:sz w:val="16"/>
                <w:szCs w:val="16"/>
                <w:lang w:val="en-GB"/>
              </w:rPr>
              <w:t>e</w:t>
            </w:r>
            <w:r w:rsidRPr="004E7373">
              <w:rPr>
                <w:b/>
                <w:bCs/>
                <w:color w:val="000000"/>
                <w:spacing w:val="-4"/>
                <w:sz w:val="16"/>
                <w:szCs w:val="16"/>
                <w:lang w:val="en-GB"/>
              </w:rPr>
              <w:t xml:space="preserve">conomic </w:t>
            </w:r>
            <w:r w:rsidR="00F81B7C" w:rsidRPr="004E7373">
              <w:rPr>
                <w:b/>
                <w:bCs/>
                <w:color w:val="000000"/>
                <w:spacing w:val="-4"/>
                <w:sz w:val="16"/>
                <w:szCs w:val="16"/>
                <w:lang w:val="en-GB"/>
              </w:rPr>
              <w:t>r</w:t>
            </w:r>
            <w:r w:rsidRPr="004E7373">
              <w:rPr>
                <w:b/>
                <w:bCs/>
                <w:color w:val="000000"/>
                <w:spacing w:val="-4"/>
                <w:sz w:val="16"/>
                <w:szCs w:val="16"/>
                <w:lang w:val="en-GB"/>
              </w:rPr>
              <w:t>eforms in Bosnia and Herzegovina</w:t>
            </w:r>
            <w:r w:rsidR="00F81B7C" w:rsidRPr="004E7373">
              <w:rPr>
                <w:b/>
                <w:bCs/>
                <w:color w:val="000000"/>
                <w:spacing w:val="-4"/>
                <w:sz w:val="16"/>
                <w:szCs w:val="16"/>
                <w:lang w:val="en-GB"/>
              </w:rPr>
              <w:t xml:space="preserve">, </w:t>
            </w:r>
            <w:r w:rsidRPr="004E7373">
              <w:rPr>
                <w:b/>
                <w:bCs/>
                <w:color w:val="000000"/>
                <w:spacing w:val="-4"/>
                <w:sz w:val="16"/>
                <w:szCs w:val="16"/>
                <w:lang w:val="en-GB"/>
              </w:rPr>
              <w:t>2019-2022</w:t>
            </w:r>
            <w:r w:rsidRPr="004E7373">
              <w:rPr>
                <w:color w:val="000000"/>
                <w:spacing w:val="-4"/>
                <w:sz w:val="16"/>
                <w:szCs w:val="16"/>
                <w:lang w:val="en-GB"/>
              </w:rPr>
              <w:t xml:space="preserve">: </w:t>
            </w:r>
            <w:r w:rsidRPr="004E7373">
              <w:rPr>
                <w:spacing w:val="-4"/>
                <w:sz w:val="16"/>
                <w:szCs w:val="16"/>
                <w:lang w:val="en-GB"/>
              </w:rPr>
              <w:t xml:space="preserve">I. Sustainable and </w:t>
            </w:r>
            <w:r w:rsidR="00F81B7C" w:rsidRPr="004E7373">
              <w:rPr>
                <w:spacing w:val="-4"/>
                <w:sz w:val="16"/>
                <w:szCs w:val="16"/>
                <w:lang w:val="en-GB"/>
              </w:rPr>
              <w:t>a</w:t>
            </w:r>
            <w:r w:rsidRPr="004E7373">
              <w:rPr>
                <w:spacing w:val="-4"/>
                <w:sz w:val="16"/>
                <w:szCs w:val="16"/>
                <w:lang w:val="en-GB"/>
              </w:rPr>
              <w:t xml:space="preserve">ccelerated </w:t>
            </w:r>
            <w:r w:rsidR="00F81B7C" w:rsidRPr="004E7373">
              <w:rPr>
                <w:spacing w:val="-4"/>
                <w:sz w:val="16"/>
                <w:szCs w:val="16"/>
                <w:lang w:val="en-GB"/>
              </w:rPr>
              <w:t>e</w:t>
            </w:r>
            <w:r w:rsidRPr="004E7373">
              <w:rPr>
                <w:spacing w:val="-4"/>
                <w:sz w:val="16"/>
                <w:szCs w:val="16"/>
                <w:lang w:val="en-GB"/>
              </w:rPr>
              <w:t xml:space="preserve">conomic </w:t>
            </w:r>
            <w:r w:rsidR="00F81B7C" w:rsidRPr="004E7373">
              <w:rPr>
                <w:spacing w:val="-4"/>
                <w:sz w:val="16"/>
                <w:szCs w:val="16"/>
                <w:lang w:val="en-GB"/>
              </w:rPr>
              <w:t>g</w:t>
            </w:r>
            <w:r w:rsidRPr="004E7373">
              <w:rPr>
                <w:spacing w:val="-4"/>
                <w:sz w:val="16"/>
                <w:szCs w:val="16"/>
                <w:lang w:val="en-GB"/>
              </w:rPr>
              <w:t xml:space="preserve">rowth, </w:t>
            </w:r>
            <w:r w:rsidR="00F81B7C" w:rsidRPr="004E7373">
              <w:rPr>
                <w:spacing w:val="-4"/>
                <w:sz w:val="16"/>
                <w:szCs w:val="16"/>
                <w:lang w:val="en-GB"/>
              </w:rPr>
              <w:t>i</w:t>
            </w:r>
            <w:r w:rsidRPr="004E7373">
              <w:rPr>
                <w:spacing w:val="-4"/>
                <w:sz w:val="16"/>
                <w:szCs w:val="16"/>
                <w:lang w:val="en-GB"/>
              </w:rPr>
              <w:t xml:space="preserve">ncreased </w:t>
            </w:r>
            <w:r w:rsidR="00F81B7C" w:rsidRPr="004E7373">
              <w:rPr>
                <w:spacing w:val="-4"/>
                <w:sz w:val="16"/>
                <w:szCs w:val="16"/>
                <w:lang w:val="en-GB"/>
              </w:rPr>
              <w:t>c</w:t>
            </w:r>
            <w:r w:rsidRPr="004E7373">
              <w:rPr>
                <w:spacing w:val="-4"/>
                <w:sz w:val="16"/>
                <w:szCs w:val="16"/>
                <w:lang w:val="en-GB"/>
              </w:rPr>
              <w:t xml:space="preserve">ompetitiveness of the </w:t>
            </w:r>
            <w:r w:rsidR="00F81B7C" w:rsidRPr="004E7373">
              <w:rPr>
                <w:spacing w:val="-4"/>
                <w:sz w:val="16"/>
                <w:szCs w:val="16"/>
                <w:lang w:val="en-GB"/>
              </w:rPr>
              <w:t>e</w:t>
            </w:r>
            <w:r w:rsidRPr="004E7373">
              <w:rPr>
                <w:spacing w:val="-4"/>
                <w:sz w:val="16"/>
                <w:szCs w:val="16"/>
                <w:lang w:val="en-GB"/>
              </w:rPr>
              <w:t xml:space="preserve">conomy and </w:t>
            </w:r>
            <w:r w:rsidR="00F81B7C" w:rsidRPr="004E7373">
              <w:rPr>
                <w:spacing w:val="-4"/>
                <w:sz w:val="16"/>
                <w:szCs w:val="16"/>
                <w:lang w:val="en-GB"/>
              </w:rPr>
              <w:t>i</w:t>
            </w:r>
            <w:r w:rsidRPr="004E7373">
              <w:rPr>
                <w:spacing w:val="-4"/>
                <w:sz w:val="16"/>
                <w:szCs w:val="16"/>
                <w:lang w:val="en-GB"/>
              </w:rPr>
              <w:t xml:space="preserve">mproved </w:t>
            </w:r>
            <w:r w:rsidR="00F81B7C" w:rsidRPr="004E7373">
              <w:rPr>
                <w:spacing w:val="-4"/>
                <w:sz w:val="16"/>
                <w:szCs w:val="16"/>
                <w:lang w:val="en-GB"/>
              </w:rPr>
              <w:t>b</w:t>
            </w:r>
            <w:r w:rsidRPr="004E7373">
              <w:rPr>
                <w:spacing w:val="-4"/>
                <w:sz w:val="16"/>
                <w:szCs w:val="16"/>
                <w:lang w:val="en-GB"/>
              </w:rPr>
              <w:t xml:space="preserve">usiness </w:t>
            </w:r>
            <w:r w:rsidR="00F81B7C" w:rsidRPr="004E7373">
              <w:rPr>
                <w:spacing w:val="-4"/>
                <w:sz w:val="16"/>
                <w:szCs w:val="16"/>
                <w:lang w:val="en-GB"/>
              </w:rPr>
              <w:t>e</w:t>
            </w:r>
            <w:r w:rsidRPr="004E7373">
              <w:rPr>
                <w:spacing w:val="-4"/>
                <w:sz w:val="16"/>
                <w:szCs w:val="16"/>
                <w:lang w:val="en-GB"/>
              </w:rPr>
              <w:t>nvironment</w:t>
            </w:r>
          </w:p>
        </w:tc>
      </w:tr>
      <w:tr w:rsidR="00D1201C" w:rsidRPr="00DE7DBC" w14:paraId="1BA20656" w14:textId="77777777" w:rsidTr="0071084A">
        <w:tc>
          <w:tcPr>
            <w:tcW w:w="5000" w:type="pct"/>
            <w:gridSpan w:val="7"/>
            <w:shd w:val="clear" w:color="auto" w:fill="auto"/>
            <w:tcMar>
              <w:top w:w="72" w:type="dxa"/>
              <w:left w:w="144" w:type="dxa"/>
              <w:bottom w:w="72" w:type="dxa"/>
              <w:right w:w="144" w:type="dxa"/>
            </w:tcMar>
          </w:tcPr>
          <w:p w14:paraId="230BED79" w14:textId="0F35A1FD" w:rsidR="00D1201C" w:rsidRPr="004E7373" w:rsidRDefault="00D1201C" w:rsidP="00D1201C">
            <w:pPr>
              <w:jc w:val="both"/>
              <w:rPr>
                <w:color w:val="000000"/>
                <w:sz w:val="16"/>
                <w:szCs w:val="16"/>
                <w:lang w:val="en-GB"/>
              </w:rPr>
            </w:pPr>
            <w:r w:rsidRPr="004E7373">
              <w:rPr>
                <w:b/>
                <w:bCs/>
                <w:color w:val="000000"/>
                <w:sz w:val="16"/>
                <w:szCs w:val="16"/>
                <w:lang w:val="en-GB"/>
              </w:rPr>
              <w:t>COOPERATION FRAMEWORK (OR EQUIVALENT) OUTCOME INVOLVING UNDP 1:</w:t>
            </w:r>
            <w:r w:rsidRPr="004E7373">
              <w:rPr>
                <w:color w:val="000000"/>
                <w:sz w:val="16"/>
                <w:szCs w:val="16"/>
                <w:lang w:val="en-GB"/>
              </w:rPr>
              <w:t xml:space="preserve"> </w:t>
            </w:r>
            <w:r w:rsidRPr="004E7373">
              <w:rPr>
                <w:spacing w:val="-4"/>
                <w:sz w:val="16"/>
                <w:szCs w:val="16"/>
                <w:lang w:val="en-GB"/>
              </w:rPr>
              <w:t xml:space="preserve">Outcome 4. By 2025, people contribute to, and benefit from more accountable and transparent governance systems that deliver quality public </w:t>
            </w:r>
            <w:r w:rsidR="007A5EA7" w:rsidRPr="004E7373">
              <w:rPr>
                <w:spacing w:val="-4"/>
                <w:sz w:val="16"/>
                <w:szCs w:val="16"/>
                <w:lang w:val="en-GB"/>
              </w:rPr>
              <w:t>services and</w:t>
            </w:r>
            <w:r w:rsidRPr="004E7373">
              <w:rPr>
                <w:spacing w:val="-4"/>
                <w:sz w:val="16"/>
                <w:szCs w:val="16"/>
                <w:lang w:val="en-GB"/>
              </w:rPr>
              <w:t xml:space="preserve"> ensure rule of law</w:t>
            </w:r>
            <w:r w:rsidR="00F81B7C" w:rsidRPr="004E7373">
              <w:rPr>
                <w:spacing w:val="-4"/>
                <w:sz w:val="16"/>
                <w:szCs w:val="16"/>
                <w:lang w:val="en-GB"/>
              </w:rPr>
              <w:t>.</w:t>
            </w:r>
          </w:p>
        </w:tc>
      </w:tr>
      <w:tr w:rsidR="00D1201C" w:rsidRPr="00DE7DBC" w14:paraId="0E8FA827" w14:textId="77777777" w:rsidTr="0071084A">
        <w:tc>
          <w:tcPr>
            <w:tcW w:w="5000" w:type="pct"/>
            <w:gridSpan w:val="7"/>
            <w:shd w:val="clear" w:color="auto" w:fill="auto"/>
            <w:tcMar>
              <w:top w:w="72" w:type="dxa"/>
              <w:left w:w="144" w:type="dxa"/>
              <w:bottom w:w="72" w:type="dxa"/>
              <w:right w:w="144" w:type="dxa"/>
            </w:tcMar>
          </w:tcPr>
          <w:p w14:paraId="31D9E0BE" w14:textId="1D761F6F" w:rsidR="00D1201C" w:rsidRPr="004E7373" w:rsidRDefault="00D1201C" w:rsidP="00D1201C">
            <w:pPr>
              <w:jc w:val="both"/>
              <w:rPr>
                <w:b/>
                <w:bCs/>
                <w:color w:val="000000"/>
                <w:spacing w:val="-4"/>
                <w:sz w:val="16"/>
                <w:szCs w:val="16"/>
                <w:lang w:val="en-GB"/>
              </w:rPr>
            </w:pPr>
            <w:r w:rsidRPr="004E7373">
              <w:rPr>
                <w:b/>
                <w:bCs/>
                <w:color w:val="000000"/>
                <w:spacing w:val="-4"/>
                <w:sz w:val="16"/>
                <w:szCs w:val="16"/>
                <w:lang w:val="en-GB"/>
              </w:rPr>
              <w:t xml:space="preserve">RELATED STRATEGIC PLAN OUTCOME: </w:t>
            </w:r>
            <w:r w:rsidRPr="004E7373">
              <w:rPr>
                <w:b/>
                <w:spacing w:val="-4"/>
                <w:sz w:val="16"/>
                <w:szCs w:val="16"/>
                <w:lang w:val="en-GB"/>
              </w:rPr>
              <w:t>Outcome 2: Accelerate structural transformations for sustainable development</w:t>
            </w:r>
            <w:r w:rsidR="001E2C6B" w:rsidRPr="004E7373">
              <w:rPr>
                <w:b/>
                <w:spacing w:val="-4"/>
                <w:sz w:val="16"/>
                <w:szCs w:val="16"/>
                <w:lang w:val="en-GB"/>
              </w:rPr>
              <w:t>;</w:t>
            </w:r>
            <w:r w:rsidRPr="004E7373">
              <w:rPr>
                <w:b/>
                <w:spacing w:val="-4"/>
                <w:sz w:val="16"/>
                <w:szCs w:val="16"/>
                <w:lang w:val="en-GB"/>
              </w:rPr>
              <w:t xml:space="preserve"> Outcome 3: Strengthen resilience to shocks and crises</w:t>
            </w:r>
            <w:r w:rsidR="001E2C6B" w:rsidRPr="004E7373">
              <w:rPr>
                <w:b/>
                <w:spacing w:val="-4"/>
                <w:sz w:val="16"/>
                <w:szCs w:val="16"/>
                <w:lang w:val="en-GB"/>
              </w:rPr>
              <w:t>.</w:t>
            </w:r>
          </w:p>
        </w:tc>
      </w:tr>
      <w:tr w:rsidR="00D1201C" w:rsidRPr="00DE7DBC" w14:paraId="3A6CA657" w14:textId="77777777" w:rsidTr="0071084A">
        <w:tc>
          <w:tcPr>
            <w:tcW w:w="1136" w:type="pct"/>
            <w:vMerge w:val="restart"/>
            <w:shd w:val="clear" w:color="auto" w:fill="auto"/>
            <w:tcMar>
              <w:top w:w="72" w:type="dxa"/>
              <w:left w:w="144" w:type="dxa"/>
              <w:bottom w:w="72" w:type="dxa"/>
              <w:right w:w="144" w:type="dxa"/>
            </w:tcMar>
          </w:tcPr>
          <w:p w14:paraId="2B455C53" w14:textId="4724015E" w:rsidR="00D1201C" w:rsidRPr="00DE7DBC" w:rsidRDefault="00D1201C" w:rsidP="00264C2D">
            <w:pPr>
              <w:pStyle w:val="ListParagraph"/>
              <w:ind w:left="0"/>
              <w:rPr>
                <w:spacing w:val="-4"/>
                <w:sz w:val="16"/>
                <w:szCs w:val="16"/>
                <w:lang w:val="en-GB"/>
              </w:rPr>
            </w:pPr>
            <w:r w:rsidRPr="00264C2D">
              <w:rPr>
                <w:b/>
                <w:bCs/>
                <w:spacing w:val="-2"/>
                <w:sz w:val="16"/>
                <w:szCs w:val="16"/>
                <w:lang w:val="en-GB"/>
              </w:rPr>
              <w:t>Indicator 4.1:</w:t>
            </w:r>
            <w:r w:rsidRPr="00DE7DBC">
              <w:rPr>
                <w:spacing w:val="-2"/>
                <w:sz w:val="16"/>
                <w:szCs w:val="16"/>
                <w:lang w:val="en-GB"/>
              </w:rPr>
              <w:t xml:space="preserve"> </w:t>
            </w:r>
            <w:r w:rsidR="00F81B7C">
              <w:rPr>
                <w:sz w:val="16"/>
                <w:szCs w:val="16"/>
                <w:lang w:val="en-GB"/>
              </w:rPr>
              <w:t xml:space="preserve">Percentage </w:t>
            </w:r>
            <w:r w:rsidR="00F81B7C">
              <w:rPr>
                <w:spacing w:val="-4"/>
                <w:sz w:val="16"/>
                <w:szCs w:val="16"/>
                <w:lang w:val="en-GB"/>
              </w:rPr>
              <w:t xml:space="preserve">of </w:t>
            </w:r>
            <w:r w:rsidRPr="00DE7DBC">
              <w:rPr>
                <w:spacing w:val="-4"/>
                <w:sz w:val="16"/>
                <w:szCs w:val="16"/>
                <w:lang w:val="en-GB"/>
              </w:rPr>
              <w:t>local governments and cantons with SDG-centred and gender-sensitive development strategies and implementation plans as part of a coherent development planning and management system.</w:t>
            </w:r>
          </w:p>
          <w:p w14:paraId="1EF3AA9B" w14:textId="77777777" w:rsidR="00D1201C" w:rsidRPr="00DE7DBC" w:rsidRDefault="00D1201C" w:rsidP="00264C2D">
            <w:pPr>
              <w:rPr>
                <w:bCs/>
                <w:color w:val="000000"/>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local governments – 0%; cantons: 0%.</w:t>
            </w:r>
          </w:p>
          <w:p w14:paraId="04E4B69B" w14:textId="77777777" w:rsidR="00D1201C" w:rsidRPr="00DE7DBC" w:rsidRDefault="00D1201C" w:rsidP="00264C2D">
            <w:pPr>
              <w:rPr>
                <w:bCs/>
                <w:color w:val="000000"/>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local governments – 60%; cantons: 80%.</w:t>
            </w:r>
          </w:p>
          <w:p w14:paraId="553E17EC" w14:textId="77777777" w:rsidR="00D1201C" w:rsidRPr="00DE7DBC" w:rsidRDefault="00D1201C" w:rsidP="00264C2D">
            <w:pPr>
              <w:rPr>
                <w:bCs/>
                <w:color w:val="000000"/>
                <w:sz w:val="16"/>
                <w:szCs w:val="16"/>
                <w:lang w:val="en-GB"/>
              </w:rPr>
            </w:pPr>
          </w:p>
          <w:p w14:paraId="4A289ABE" w14:textId="4B555A2D" w:rsidR="00D1201C" w:rsidRPr="00DE7DBC" w:rsidRDefault="00D1201C" w:rsidP="00264C2D">
            <w:pPr>
              <w:pStyle w:val="ListParagraph"/>
              <w:ind w:left="0"/>
              <w:rPr>
                <w:spacing w:val="-4"/>
                <w:sz w:val="16"/>
                <w:szCs w:val="16"/>
                <w:lang w:val="en-GB"/>
              </w:rPr>
            </w:pPr>
            <w:r w:rsidRPr="00264C2D">
              <w:rPr>
                <w:b/>
                <w:bCs/>
                <w:spacing w:val="-2"/>
                <w:sz w:val="16"/>
                <w:szCs w:val="16"/>
                <w:lang w:val="en-GB"/>
              </w:rPr>
              <w:t>Indicator 4.c</w:t>
            </w:r>
            <w:r w:rsidRPr="00DE7DBC">
              <w:rPr>
                <w:spacing w:val="-2"/>
                <w:sz w:val="16"/>
                <w:szCs w:val="16"/>
                <w:lang w:val="en-GB"/>
              </w:rPr>
              <w:t xml:space="preserve"> (SDG indicator 6.1.1, 6.2.1): </w:t>
            </w:r>
            <w:r w:rsidR="00F81B7C">
              <w:rPr>
                <w:sz w:val="16"/>
                <w:szCs w:val="16"/>
                <w:lang w:val="en-GB"/>
              </w:rPr>
              <w:t xml:space="preserve">Percentage </w:t>
            </w:r>
            <w:r w:rsidR="00F81B7C">
              <w:rPr>
                <w:spacing w:val="-4"/>
                <w:sz w:val="16"/>
                <w:szCs w:val="16"/>
                <w:lang w:val="en-GB"/>
              </w:rPr>
              <w:t xml:space="preserve">of </w:t>
            </w:r>
            <w:r w:rsidRPr="00DE7DBC">
              <w:rPr>
                <w:spacing w:val="-4"/>
                <w:sz w:val="16"/>
                <w:szCs w:val="16"/>
                <w:lang w:val="en-GB"/>
              </w:rPr>
              <w:t>population living in households with access to basic services.</w:t>
            </w:r>
          </w:p>
          <w:p w14:paraId="12C534FB" w14:textId="77777777" w:rsidR="00D1201C" w:rsidRPr="00DE7DBC" w:rsidRDefault="00D1201C" w:rsidP="00264C2D">
            <w:pPr>
              <w:rPr>
                <w:spacing w:val="-4"/>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w:t>
            </w:r>
            <w:r w:rsidRPr="00DE7DBC">
              <w:rPr>
                <w:spacing w:val="-4"/>
                <w:sz w:val="16"/>
                <w:szCs w:val="16"/>
                <w:lang w:val="en-GB"/>
              </w:rPr>
              <w:t>water supply: 75%; sanitation: 41%.</w:t>
            </w:r>
          </w:p>
          <w:p w14:paraId="328E3F60" w14:textId="77777777" w:rsidR="00D1201C" w:rsidRPr="00DE7DBC" w:rsidRDefault="00D1201C" w:rsidP="00264C2D">
            <w:pPr>
              <w:rPr>
                <w:spacing w:val="-4"/>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w:t>
            </w:r>
            <w:r w:rsidRPr="00DE7DBC">
              <w:rPr>
                <w:spacing w:val="-4"/>
                <w:sz w:val="16"/>
                <w:szCs w:val="16"/>
                <w:lang w:val="en-GB"/>
              </w:rPr>
              <w:t>water supply: 85%; sanitation: 50%.</w:t>
            </w:r>
          </w:p>
          <w:p w14:paraId="16221693" w14:textId="77777777" w:rsidR="00D1201C" w:rsidRPr="00DE7DBC" w:rsidRDefault="00D1201C" w:rsidP="00264C2D">
            <w:pPr>
              <w:rPr>
                <w:spacing w:val="-4"/>
                <w:sz w:val="16"/>
                <w:szCs w:val="16"/>
                <w:lang w:val="en-GB"/>
              </w:rPr>
            </w:pPr>
          </w:p>
          <w:p w14:paraId="34C8D0EE" w14:textId="77777777" w:rsidR="00D1201C" w:rsidRPr="00DE7DBC" w:rsidRDefault="00D1201C" w:rsidP="00264C2D">
            <w:pPr>
              <w:pStyle w:val="ListParagraph"/>
              <w:ind w:left="0"/>
              <w:rPr>
                <w:spacing w:val="-4"/>
                <w:sz w:val="16"/>
                <w:szCs w:val="16"/>
                <w:lang w:val="en-GB"/>
              </w:rPr>
            </w:pPr>
            <w:r w:rsidRPr="00264C2D">
              <w:rPr>
                <w:b/>
                <w:bCs/>
                <w:spacing w:val="-2"/>
                <w:sz w:val="16"/>
                <w:szCs w:val="16"/>
                <w:lang w:val="en-GB"/>
              </w:rPr>
              <w:t>Indicator 4.d</w:t>
            </w:r>
            <w:r w:rsidRPr="00DE7DBC">
              <w:rPr>
                <w:spacing w:val="-2"/>
                <w:sz w:val="16"/>
                <w:szCs w:val="16"/>
                <w:lang w:val="en-GB"/>
              </w:rPr>
              <w:t xml:space="preserve"> (SDG indicator 16.6.2): </w:t>
            </w:r>
            <w:r w:rsidRPr="00DE7DBC">
              <w:rPr>
                <w:spacing w:val="-4"/>
                <w:sz w:val="16"/>
                <w:szCs w:val="16"/>
                <w:lang w:val="en-GB"/>
              </w:rPr>
              <w:t>% Population satisfied with the last experience of use of public services.</w:t>
            </w:r>
          </w:p>
          <w:p w14:paraId="170417E6" w14:textId="77777777" w:rsidR="00D1201C" w:rsidRPr="00DE7DBC" w:rsidRDefault="00D1201C" w:rsidP="00264C2D">
            <w:pPr>
              <w:rPr>
                <w:spacing w:val="-4"/>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w:t>
            </w:r>
            <w:r w:rsidRPr="00DE7DBC">
              <w:rPr>
                <w:spacing w:val="-4"/>
                <w:sz w:val="16"/>
                <w:szCs w:val="16"/>
                <w:lang w:val="en-GB"/>
              </w:rPr>
              <w:t>38%.</w:t>
            </w:r>
            <w:r w:rsidRPr="00DE7DBC">
              <w:rPr>
                <w:rStyle w:val="FootnoteReference"/>
                <w:spacing w:val="-4"/>
                <w:sz w:val="16"/>
                <w:szCs w:val="16"/>
                <w:lang w:val="en-GB"/>
              </w:rPr>
              <w:footnoteReference w:id="18"/>
            </w:r>
          </w:p>
          <w:p w14:paraId="13159971" w14:textId="77777777" w:rsidR="00D1201C" w:rsidRPr="00DE7DBC" w:rsidRDefault="00D1201C" w:rsidP="00264C2D">
            <w:pPr>
              <w:rPr>
                <w:spacing w:val="-4"/>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w:t>
            </w:r>
            <w:r w:rsidRPr="00DE7DBC">
              <w:rPr>
                <w:spacing w:val="-4"/>
                <w:sz w:val="16"/>
                <w:szCs w:val="16"/>
                <w:lang w:val="en-GB"/>
              </w:rPr>
              <w:t>45%.</w:t>
            </w:r>
          </w:p>
          <w:p w14:paraId="3EAC3115" w14:textId="77777777" w:rsidR="00D1201C" w:rsidRPr="00DE7DBC" w:rsidRDefault="00D1201C" w:rsidP="00264C2D">
            <w:pPr>
              <w:rPr>
                <w:spacing w:val="-4"/>
                <w:sz w:val="16"/>
                <w:szCs w:val="16"/>
                <w:lang w:val="en-GB"/>
              </w:rPr>
            </w:pPr>
          </w:p>
          <w:p w14:paraId="6EE3D2D6" w14:textId="77777777" w:rsidR="00D1201C" w:rsidRPr="00DE7DBC" w:rsidRDefault="00D1201C" w:rsidP="00264C2D">
            <w:pPr>
              <w:rPr>
                <w:bCs/>
                <w:sz w:val="16"/>
                <w:szCs w:val="16"/>
                <w:lang w:val="en-GB"/>
              </w:rPr>
            </w:pPr>
            <w:r w:rsidRPr="00264C2D">
              <w:rPr>
                <w:b/>
                <w:bCs/>
                <w:sz w:val="16"/>
                <w:szCs w:val="16"/>
                <w:lang w:val="en-GB"/>
              </w:rPr>
              <w:t>Indicator 4.i:</w:t>
            </w:r>
            <w:r w:rsidRPr="00DE7DBC">
              <w:rPr>
                <w:sz w:val="16"/>
                <w:szCs w:val="16"/>
                <w:lang w:val="en-GB"/>
              </w:rPr>
              <w:t xml:space="preserve"> Availability of socio-economic assessments of COVID-19 impacts</w:t>
            </w:r>
            <w:r w:rsidRPr="00DE7DBC">
              <w:rPr>
                <w:bCs/>
                <w:sz w:val="16"/>
                <w:szCs w:val="16"/>
                <w:lang w:val="en-GB"/>
              </w:rPr>
              <w:t xml:space="preserve"> of vulnerable groups and policy and financing options for stimulus support.</w:t>
            </w:r>
          </w:p>
          <w:p w14:paraId="351C3E46" w14:textId="77777777" w:rsidR="00D1201C" w:rsidRPr="00DE7DBC" w:rsidRDefault="00D1201C" w:rsidP="00264C2D">
            <w:pPr>
              <w:rPr>
                <w:spacing w:val="-4"/>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No.</w:t>
            </w:r>
          </w:p>
          <w:p w14:paraId="178DD7E0" w14:textId="77777777" w:rsidR="00D1201C" w:rsidRPr="00DE7DBC" w:rsidRDefault="00D1201C" w:rsidP="00264C2D">
            <w:pPr>
              <w:rPr>
                <w:spacing w:val="-4"/>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Yes.</w:t>
            </w:r>
          </w:p>
          <w:p w14:paraId="6753A89E" w14:textId="77777777" w:rsidR="00D1201C" w:rsidRPr="00DE7DBC" w:rsidRDefault="00D1201C" w:rsidP="00264C2D">
            <w:pPr>
              <w:rPr>
                <w:bCs/>
                <w:color w:val="000000"/>
                <w:sz w:val="16"/>
                <w:szCs w:val="16"/>
                <w:lang w:val="en-GB"/>
              </w:rPr>
            </w:pPr>
          </w:p>
        </w:tc>
        <w:tc>
          <w:tcPr>
            <w:tcW w:w="758" w:type="pct"/>
            <w:vMerge w:val="restart"/>
            <w:shd w:val="clear" w:color="auto" w:fill="auto"/>
          </w:tcPr>
          <w:p w14:paraId="0F78A8DE" w14:textId="57A60531" w:rsidR="00D1201C" w:rsidRPr="004E7373" w:rsidRDefault="00D1201C" w:rsidP="00264C2D">
            <w:pPr>
              <w:rPr>
                <w:color w:val="000000"/>
                <w:sz w:val="16"/>
                <w:szCs w:val="16"/>
                <w:lang w:val="en-GB"/>
              </w:rPr>
            </w:pPr>
            <w:r w:rsidRPr="004E7373">
              <w:rPr>
                <w:color w:val="000000"/>
                <w:sz w:val="16"/>
                <w:szCs w:val="16"/>
                <w:lang w:val="en-GB"/>
              </w:rPr>
              <w:t xml:space="preserve">Reports from the </w:t>
            </w:r>
            <w:r w:rsidR="00F81B7C" w:rsidRPr="004E7373">
              <w:rPr>
                <w:color w:val="000000"/>
                <w:sz w:val="16"/>
                <w:szCs w:val="16"/>
                <w:lang w:val="en-GB"/>
              </w:rPr>
              <w:t>d</w:t>
            </w:r>
            <w:r w:rsidRPr="004E7373">
              <w:rPr>
                <w:color w:val="000000"/>
                <w:sz w:val="16"/>
                <w:szCs w:val="16"/>
                <w:lang w:val="en-GB"/>
              </w:rPr>
              <w:t xml:space="preserve">evelopment </w:t>
            </w:r>
            <w:r w:rsidR="00F81B7C" w:rsidRPr="004E7373">
              <w:rPr>
                <w:color w:val="000000"/>
                <w:sz w:val="16"/>
                <w:szCs w:val="16"/>
                <w:lang w:val="en-GB"/>
              </w:rPr>
              <w:t>p</w:t>
            </w:r>
            <w:r w:rsidRPr="004E7373">
              <w:rPr>
                <w:color w:val="000000"/>
                <w:sz w:val="16"/>
                <w:szCs w:val="16"/>
                <w:lang w:val="en-GB"/>
              </w:rPr>
              <w:t xml:space="preserve">lanning and </w:t>
            </w:r>
            <w:r w:rsidR="00F81B7C" w:rsidRPr="004E7373">
              <w:rPr>
                <w:color w:val="000000"/>
                <w:sz w:val="16"/>
                <w:szCs w:val="16"/>
                <w:lang w:val="en-GB"/>
              </w:rPr>
              <w:t>m</w:t>
            </w:r>
            <w:r w:rsidRPr="004E7373">
              <w:rPr>
                <w:color w:val="000000"/>
                <w:sz w:val="16"/>
                <w:szCs w:val="16"/>
                <w:lang w:val="en-GB"/>
              </w:rPr>
              <w:t xml:space="preserve">anagement </w:t>
            </w:r>
            <w:r w:rsidR="00F81B7C" w:rsidRPr="004E7373">
              <w:rPr>
                <w:color w:val="000000"/>
                <w:sz w:val="16"/>
                <w:szCs w:val="16"/>
                <w:lang w:val="en-GB"/>
              </w:rPr>
              <w:t>s</w:t>
            </w:r>
            <w:r w:rsidRPr="004E7373">
              <w:rPr>
                <w:color w:val="000000"/>
                <w:sz w:val="16"/>
                <w:szCs w:val="16"/>
                <w:lang w:val="en-GB"/>
              </w:rPr>
              <w:t>tructures at state and entity levels (annually).</w:t>
            </w:r>
          </w:p>
          <w:p w14:paraId="22F2FC9B" w14:textId="77777777" w:rsidR="00D1201C" w:rsidRPr="004E7373" w:rsidRDefault="00D1201C" w:rsidP="00264C2D">
            <w:pPr>
              <w:rPr>
                <w:color w:val="000000"/>
                <w:sz w:val="16"/>
                <w:szCs w:val="16"/>
                <w:lang w:val="en-GB"/>
              </w:rPr>
            </w:pPr>
          </w:p>
          <w:p w14:paraId="5ED18360" w14:textId="77777777" w:rsidR="00D1201C" w:rsidRPr="004E7373" w:rsidRDefault="00D1201C" w:rsidP="00264C2D">
            <w:pPr>
              <w:rPr>
                <w:color w:val="000000"/>
                <w:sz w:val="16"/>
                <w:szCs w:val="16"/>
                <w:lang w:val="en-GB"/>
              </w:rPr>
            </w:pPr>
          </w:p>
          <w:p w14:paraId="26A9D524" w14:textId="77777777" w:rsidR="00D1201C" w:rsidRPr="004E7373" w:rsidRDefault="00D1201C" w:rsidP="00264C2D">
            <w:pPr>
              <w:rPr>
                <w:color w:val="000000"/>
                <w:sz w:val="16"/>
                <w:szCs w:val="16"/>
                <w:lang w:val="en-GB"/>
              </w:rPr>
            </w:pPr>
          </w:p>
          <w:p w14:paraId="4A3CBE7B" w14:textId="74E8754E" w:rsidR="00D1201C" w:rsidRPr="004E7373" w:rsidRDefault="00D1201C" w:rsidP="00264C2D">
            <w:pPr>
              <w:rPr>
                <w:color w:val="000000"/>
                <w:sz w:val="16"/>
                <w:szCs w:val="16"/>
                <w:lang w:val="en-GB"/>
              </w:rPr>
            </w:pPr>
          </w:p>
          <w:p w14:paraId="14E92A7F" w14:textId="77777777" w:rsidR="00146480" w:rsidRPr="004E7373" w:rsidRDefault="00146480" w:rsidP="00264C2D">
            <w:pPr>
              <w:rPr>
                <w:color w:val="000000"/>
                <w:sz w:val="16"/>
                <w:szCs w:val="16"/>
                <w:lang w:val="en-GB"/>
              </w:rPr>
            </w:pPr>
          </w:p>
          <w:p w14:paraId="17644A08" w14:textId="77777777" w:rsidR="00D1201C" w:rsidRPr="004E7373" w:rsidRDefault="00D1201C" w:rsidP="00264C2D">
            <w:pPr>
              <w:rPr>
                <w:color w:val="000000"/>
                <w:sz w:val="16"/>
                <w:szCs w:val="16"/>
                <w:lang w:val="en-GB"/>
              </w:rPr>
            </w:pPr>
          </w:p>
          <w:p w14:paraId="1D0850A6" w14:textId="577377C3" w:rsidR="00D1201C" w:rsidRPr="004E7373" w:rsidRDefault="00D1201C" w:rsidP="00264C2D">
            <w:pPr>
              <w:rPr>
                <w:color w:val="000000"/>
                <w:sz w:val="16"/>
                <w:szCs w:val="16"/>
                <w:lang w:val="en-GB"/>
              </w:rPr>
            </w:pPr>
            <w:r w:rsidRPr="004E7373">
              <w:rPr>
                <w:sz w:val="16"/>
                <w:szCs w:val="16"/>
                <w:lang w:val="en-GB"/>
              </w:rPr>
              <w:t>Monitoring reports for the implementation of the S</w:t>
            </w:r>
            <w:r w:rsidR="00157EE2" w:rsidRPr="004E7373">
              <w:rPr>
                <w:sz w:val="16"/>
                <w:szCs w:val="16"/>
                <w:lang w:val="en-GB"/>
              </w:rPr>
              <w:t xml:space="preserve">ustainable Development Goals </w:t>
            </w:r>
            <w:r w:rsidRPr="004E7373">
              <w:rPr>
                <w:sz w:val="16"/>
                <w:szCs w:val="16"/>
                <w:lang w:val="en-GB"/>
              </w:rPr>
              <w:t>Framework in Bosnia and Herzegovina (annually). Water sector reports from the World Bank (annually). U</w:t>
            </w:r>
            <w:r w:rsidR="00F81B7C" w:rsidRPr="004E7373">
              <w:rPr>
                <w:sz w:val="16"/>
                <w:szCs w:val="16"/>
                <w:lang w:val="en-GB"/>
              </w:rPr>
              <w:t xml:space="preserve">nited </w:t>
            </w:r>
            <w:r w:rsidRPr="004E7373">
              <w:rPr>
                <w:sz w:val="16"/>
                <w:szCs w:val="16"/>
                <w:lang w:val="en-GB"/>
              </w:rPr>
              <w:t>N</w:t>
            </w:r>
            <w:r w:rsidR="00F81B7C" w:rsidRPr="004E7373">
              <w:rPr>
                <w:sz w:val="16"/>
                <w:szCs w:val="16"/>
                <w:lang w:val="en-GB"/>
              </w:rPr>
              <w:t>ations</w:t>
            </w:r>
            <w:r w:rsidRPr="004E7373">
              <w:rPr>
                <w:sz w:val="16"/>
                <w:szCs w:val="16"/>
                <w:lang w:val="en-GB"/>
              </w:rPr>
              <w:t xml:space="preserve"> program</w:t>
            </w:r>
            <w:r w:rsidR="00F81B7C" w:rsidRPr="004E7373">
              <w:rPr>
                <w:sz w:val="16"/>
                <w:szCs w:val="16"/>
                <w:lang w:val="en-GB"/>
              </w:rPr>
              <w:t>me</w:t>
            </w:r>
            <w:r w:rsidRPr="004E7373">
              <w:rPr>
                <w:sz w:val="16"/>
                <w:szCs w:val="16"/>
                <w:lang w:val="en-GB"/>
              </w:rPr>
              <w:t xml:space="preserve"> reports.</w:t>
            </w:r>
          </w:p>
          <w:p w14:paraId="630AA820" w14:textId="77777777" w:rsidR="00D1201C" w:rsidRPr="004E7373" w:rsidRDefault="00D1201C" w:rsidP="00264C2D">
            <w:pPr>
              <w:rPr>
                <w:color w:val="000000"/>
                <w:sz w:val="16"/>
                <w:szCs w:val="16"/>
                <w:lang w:val="en-GB"/>
              </w:rPr>
            </w:pPr>
          </w:p>
          <w:p w14:paraId="615A4861" w14:textId="3C80A024" w:rsidR="00D1201C" w:rsidRPr="004E7373" w:rsidRDefault="00D1201C" w:rsidP="00264C2D">
            <w:pPr>
              <w:rPr>
                <w:color w:val="000000"/>
                <w:sz w:val="16"/>
                <w:szCs w:val="16"/>
                <w:lang w:val="en-GB"/>
              </w:rPr>
            </w:pPr>
            <w:r w:rsidRPr="004E7373">
              <w:rPr>
                <w:color w:val="000000"/>
                <w:sz w:val="16"/>
                <w:szCs w:val="16"/>
                <w:lang w:val="en-GB"/>
              </w:rPr>
              <w:t>Transparency International (annually). World Bank reports/global governance index (annually). U</w:t>
            </w:r>
            <w:r w:rsidR="00F81B7C" w:rsidRPr="004E7373">
              <w:rPr>
                <w:color w:val="000000"/>
                <w:sz w:val="16"/>
                <w:szCs w:val="16"/>
                <w:lang w:val="en-GB"/>
              </w:rPr>
              <w:t xml:space="preserve">nited </w:t>
            </w:r>
            <w:r w:rsidRPr="004E7373">
              <w:rPr>
                <w:color w:val="000000"/>
                <w:sz w:val="16"/>
                <w:szCs w:val="16"/>
                <w:lang w:val="en-GB"/>
              </w:rPr>
              <w:t>N</w:t>
            </w:r>
            <w:r w:rsidR="00F81B7C" w:rsidRPr="004E7373">
              <w:rPr>
                <w:color w:val="000000"/>
                <w:sz w:val="16"/>
                <w:szCs w:val="16"/>
                <w:lang w:val="en-GB"/>
              </w:rPr>
              <w:t>ations</w:t>
            </w:r>
            <w:r w:rsidRPr="004E7373">
              <w:rPr>
                <w:color w:val="000000"/>
                <w:sz w:val="16"/>
                <w:szCs w:val="16"/>
                <w:lang w:val="en-GB"/>
              </w:rPr>
              <w:t xml:space="preserve"> programme reports and citizen satisfaction surveys (biennial).</w:t>
            </w:r>
            <w:r w:rsidR="00F83775" w:rsidRPr="004E7373">
              <w:rPr>
                <w:color w:val="000000"/>
                <w:sz w:val="16"/>
                <w:szCs w:val="16"/>
                <w:lang w:val="en-GB"/>
              </w:rPr>
              <w:t xml:space="preserve"> </w:t>
            </w:r>
            <w:r w:rsidRPr="004E7373">
              <w:rPr>
                <w:sz w:val="16"/>
                <w:szCs w:val="16"/>
                <w:lang w:val="en-GB"/>
              </w:rPr>
              <w:t>SDGs dashboard (biennial).</w:t>
            </w:r>
          </w:p>
          <w:p w14:paraId="5F979DBC" w14:textId="77777777" w:rsidR="00D1201C" w:rsidRPr="004E7373" w:rsidRDefault="00D1201C" w:rsidP="00264C2D">
            <w:pPr>
              <w:rPr>
                <w:color w:val="000000"/>
                <w:sz w:val="16"/>
                <w:szCs w:val="16"/>
                <w:lang w:val="en-GB"/>
              </w:rPr>
            </w:pPr>
          </w:p>
          <w:p w14:paraId="568B0FBC" w14:textId="77777777" w:rsidR="00D1201C" w:rsidRPr="004E7373" w:rsidRDefault="00D1201C" w:rsidP="00264C2D">
            <w:pPr>
              <w:rPr>
                <w:color w:val="000000"/>
                <w:sz w:val="16"/>
                <w:szCs w:val="16"/>
                <w:lang w:val="en-GB"/>
              </w:rPr>
            </w:pPr>
          </w:p>
        </w:tc>
        <w:tc>
          <w:tcPr>
            <w:tcW w:w="1950" w:type="pct"/>
            <w:gridSpan w:val="2"/>
            <w:vMerge w:val="restart"/>
            <w:shd w:val="clear" w:color="auto" w:fill="auto"/>
            <w:tcMar>
              <w:top w:w="72" w:type="dxa"/>
              <w:left w:w="144" w:type="dxa"/>
              <w:bottom w:w="72" w:type="dxa"/>
              <w:right w:w="144" w:type="dxa"/>
            </w:tcMar>
          </w:tcPr>
          <w:p w14:paraId="2FE7825A" w14:textId="77777777" w:rsidR="00D1201C" w:rsidRPr="00DE7DBC" w:rsidRDefault="00D1201C" w:rsidP="00264C2D">
            <w:pPr>
              <w:widowControl w:val="0"/>
              <w:autoSpaceDE w:val="0"/>
              <w:autoSpaceDN w:val="0"/>
              <w:adjustRightInd w:val="0"/>
              <w:rPr>
                <w:b/>
                <w:sz w:val="16"/>
                <w:szCs w:val="16"/>
                <w:lang w:val="en-GB"/>
              </w:rPr>
            </w:pPr>
            <w:r w:rsidRPr="00DE7DBC">
              <w:rPr>
                <w:b/>
                <w:sz w:val="16"/>
                <w:szCs w:val="16"/>
                <w:lang w:val="en-GB"/>
              </w:rPr>
              <w:t xml:space="preserve">Output 2.1 Collaboration between authorities and societal actors is supported for the design of evidence-based and gender-sensitive policy and regulatory frameworks that enable reforms and system change. </w:t>
            </w:r>
          </w:p>
          <w:p w14:paraId="27CCDADF" w14:textId="77777777" w:rsidR="00F81B7C" w:rsidRDefault="00F81B7C" w:rsidP="00F81B7C">
            <w:pPr>
              <w:rPr>
                <w:sz w:val="16"/>
                <w:szCs w:val="16"/>
                <w:lang w:val="en-GB"/>
              </w:rPr>
            </w:pPr>
          </w:p>
          <w:p w14:paraId="5F80957A" w14:textId="13F48CDE" w:rsidR="00D1201C" w:rsidRPr="00DE7DBC" w:rsidRDefault="00D1201C" w:rsidP="00264C2D">
            <w:pPr>
              <w:rPr>
                <w:color w:val="000000"/>
                <w:sz w:val="16"/>
                <w:szCs w:val="16"/>
                <w:lang w:val="en-GB"/>
              </w:rPr>
            </w:pPr>
            <w:r w:rsidRPr="00264C2D">
              <w:rPr>
                <w:b/>
                <w:bCs/>
                <w:sz w:val="16"/>
                <w:szCs w:val="16"/>
                <w:lang w:val="en-GB"/>
              </w:rPr>
              <w:t>Indicator 2.1a:</w:t>
            </w:r>
            <w:r w:rsidRPr="00DE7DBC">
              <w:rPr>
                <w:sz w:val="16"/>
                <w:szCs w:val="16"/>
                <w:lang w:val="en-GB"/>
              </w:rPr>
              <w:t xml:space="preserve"> Number of new/revised policy, strategic and regulatory frameworks designed in a collaborative, evidence-based and gender-sensitive manner.</w:t>
            </w:r>
          </w:p>
          <w:p w14:paraId="62F360E7"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5.</w:t>
            </w:r>
          </w:p>
          <w:p w14:paraId="2DD97A3A"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25.</w:t>
            </w:r>
          </w:p>
          <w:p w14:paraId="0B32C3A9" w14:textId="682F01C8"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Adopted policy/strategic/regulatory</w:t>
            </w:r>
            <w:r w:rsidR="0085105C" w:rsidRPr="00DE7DBC">
              <w:rPr>
                <w:sz w:val="16"/>
                <w:szCs w:val="16"/>
                <w:lang w:val="en-GB"/>
              </w:rPr>
              <w:t xml:space="preserve"> </w:t>
            </w:r>
            <w:r w:rsidRPr="00DE7DBC">
              <w:rPr>
                <w:sz w:val="16"/>
                <w:szCs w:val="16"/>
                <w:lang w:val="en-GB"/>
              </w:rPr>
              <w:t>frameworks (annually).</w:t>
            </w:r>
          </w:p>
          <w:p w14:paraId="3588F3E6"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62019FA9" w14:textId="77777777" w:rsidR="00D1201C" w:rsidRPr="00DE7DBC" w:rsidRDefault="00D1201C" w:rsidP="00264C2D">
            <w:pPr>
              <w:rPr>
                <w:color w:val="000000"/>
                <w:sz w:val="16"/>
                <w:szCs w:val="16"/>
                <w:lang w:val="en-GB"/>
              </w:rPr>
            </w:pPr>
            <w:r w:rsidRPr="00264C2D">
              <w:rPr>
                <w:b/>
                <w:bCs/>
                <w:sz w:val="16"/>
                <w:szCs w:val="16"/>
                <w:lang w:val="en-GB"/>
              </w:rPr>
              <w:t>Indicator 2.1b:</w:t>
            </w:r>
            <w:r w:rsidRPr="00DE7DBC">
              <w:rPr>
                <w:sz w:val="16"/>
                <w:szCs w:val="16"/>
                <w:lang w:val="en-GB"/>
              </w:rPr>
              <w:t xml:space="preserve"> Number of innovative and scalable solutions and approaches that evidently and sustainably improve public consultation and citizen engagement in policy design and delivery, including for the socially excluded.</w:t>
            </w:r>
          </w:p>
          <w:p w14:paraId="7356FFD1"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1.</w:t>
            </w:r>
          </w:p>
          <w:p w14:paraId="6BA0E491"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5.</w:t>
            </w:r>
          </w:p>
          <w:p w14:paraId="166D8165" w14:textId="049331E9"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F81B7C">
              <w:rPr>
                <w:sz w:val="16"/>
                <w:szCs w:val="16"/>
                <w:lang w:val="en-GB"/>
              </w:rPr>
              <w:t>:</w:t>
            </w:r>
            <w:r w:rsidRPr="00DE7DBC">
              <w:rPr>
                <w:sz w:val="16"/>
                <w:szCs w:val="16"/>
                <w:lang w:val="en-GB"/>
              </w:rPr>
              <w:t xml:space="preserve"> Public consultation tools, solutions utilised (annually).</w:t>
            </w:r>
          </w:p>
          <w:p w14:paraId="0209B6C5"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49B54416" w14:textId="77777777" w:rsidR="00D1201C" w:rsidRPr="00DE7DBC" w:rsidRDefault="00D1201C" w:rsidP="00264C2D">
            <w:pPr>
              <w:widowControl w:val="0"/>
              <w:autoSpaceDE w:val="0"/>
              <w:autoSpaceDN w:val="0"/>
              <w:adjustRightInd w:val="0"/>
              <w:rPr>
                <w:b/>
                <w:sz w:val="16"/>
                <w:szCs w:val="16"/>
                <w:lang w:val="en-GB"/>
              </w:rPr>
            </w:pPr>
            <w:r w:rsidRPr="00DE7DBC">
              <w:rPr>
                <w:b/>
                <w:sz w:val="16"/>
                <w:szCs w:val="16"/>
                <w:lang w:val="en-GB"/>
              </w:rPr>
              <w:t xml:space="preserve">Output 2.2 Governments across all levels have enhanced capacities for </w:t>
            </w:r>
            <w:r w:rsidRPr="00DE7DBC">
              <w:rPr>
                <w:b/>
                <w:bCs/>
                <w:sz w:val="16"/>
                <w:szCs w:val="16"/>
                <w:lang w:val="en-GB"/>
              </w:rPr>
              <w:t xml:space="preserve">transparent and </w:t>
            </w:r>
            <w:r w:rsidRPr="00DE7DBC">
              <w:rPr>
                <w:b/>
                <w:sz w:val="16"/>
                <w:szCs w:val="16"/>
                <w:lang w:val="en-GB"/>
              </w:rPr>
              <w:t>effective policy and financial management, including digital capacity, which translate into accelerated development results</w:t>
            </w:r>
            <w:r w:rsidRPr="00DE7DBC">
              <w:rPr>
                <w:b/>
                <w:bCs/>
                <w:sz w:val="16"/>
                <w:szCs w:val="16"/>
                <w:lang w:val="en-GB"/>
              </w:rPr>
              <w:t>, accountability</w:t>
            </w:r>
            <w:r w:rsidRPr="00DE7DBC">
              <w:rPr>
                <w:b/>
                <w:sz w:val="16"/>
                <w:szCs w:val="16"/>
                <w:lang w:val="en-GB"/>
              </w:rPr>
              <w:t xml:space="preserve"> and people-centred public services. </w:t>
            </w:r>
          </w:p>
          <w:p w14:paraId="5ABB33E0" w14:textId="77777777" w:rsidR="00F81B7C" w:rsidRDefault="00F81B7C" w:rsidP="00F81B7C">
            <w:pPr>
              <w:rPr>
                <w:sz w:val="16"/>
                <w:szCs w:val="16"/>
                <w:lang w:val="en-GB"/>
              </w:rPr>
            </w:pPr>
          </w:p>
          <w:p w14:paraId="4A01D364" w14:textId="172206C4" w:rsidR="00D1201C" w:rsidRPr="00DE7DBC" w:rsidRDefault="00D1201C" w:rsidP="00264C2D">
            <w:pPr>
              <w:rPr>
                <w:color w:val="000000"/>
                <w:sz w:val="16"/>
                <w:szCs w:val="16"/>
                <w:lang w:val="en-GB"/>
              </w:rPr>
            </w:pPr>
            <w:r w:rsidRPr="00264C2D">
              <w:rPr>
                <w:b/>
                <w:bCs/>
                <w:sz w:val="16"/>
                <w:szCs w:val="16"/>
                <w:lang w:val="en-GB"/>
              </w:rPr>
              <w:t>Indicator 2.2a</w:t>
            </w:r>
            <w:r w:rsidRPr="00DE7DBC">
              <w:rPr>
                <w:sz w:val="16"/>
                <w:szCs w:val="16"/>
                <w:lang w:val="en-GB"/>
              </w:rPr>
              <w:t xml:space="preserve">: </w:t>
            </w:r>
            <w:r w:rsidR="00BB4879">
              <w:rPr>
                <w:sz w:val="16"/>
                <w:szCs w:val="16"/>
                <w:lang w:val="en-GB"/>
              </w:rPr>
              <w:t xml:space="preserve">Percentage </w:t>
            </w:r>
            <w:r w:rsidRPr="00DE7DBC">
              <w:rPr>
                <w:sz w:val="16"/>
                <w:szCs w:val="16"/>
                <w:lang w:val="en-GB"/>
              </w:rPr>
              <w:t>of local governments which meet the good local governance benchmarks.</w:t>
            </w:r>
          </w:p>
          <w:p w14:paraId="4317742D"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0.</w:t>
            </w:r>
          </w:p>
          <w:p w14:paraId="75D0BBCF"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30%.</w:t>
            </w:r>
          </w:p>
          <w:p w14:paraId="63C1EFC1" w14:textId="6E78A3F4"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Good local governance seal evaluation reports by local governments, </w:t>
            </w:r>
            <w:r w:rsidR="00BB4879">
              <w:rPr>
                <w:sz w:val="16"/>
                <w:szCs w:val="16"/>
                <w:lang w:val="en-GB"/>
              </w:rPr>
              <w:t>a</w:t>
            </w:r>
            <w:r w:rsidRPr="00DE7DBC">
              <w:rPr>
                <w:sz w:val="16"/>
                <w:szCs w:val="16"/>
                <w:lang w:val="en-GB"/>
              </w:rPr>
              <w:t xml:space="preserve">ssociations of </w:t>
            </w:r>
            <w:r w:rsidR="00BB4879">
              <w:rPr>
                <w:sz w:val="16"/>
                <w:szCs w:val="16"/>
                <w:lang w:val="en-GB"/>
              </w:rPr>
              <w:t>m</w:t>
            </w:r>
            <w:r w:rsidRPr="00DE7DBC">
              <w:rPr>
                <w:sz w:val="16"/>
                <w:szCs w:val="16"/>
                <w:lang w:val="en-GB"/>
              </w:rPr>
              <w:t xml:space="preserve">unicipalities and </w:t>
            </w:r>
            <w:r w:rsidR="00BB4879">
              <w:rPr>
                <w:sz w:val="16"/>
                <w:szCs w:val="16"/>
                <w:lang w:val="en-GB"/>
              </w:rPr>
              <w:t>c</w:t>
            </w:r>
            <w:r w:rsidRPr="00DE7DBC">
              <w:rPr>
                <w:sz w:val="16"/>
                <w:szCs w:val="16"/>
                <w:lang w:val="en-GB"/>
              </w:rPr>
              <w:t>ities</w:t>
            </w:r>
            <w:r w:rsidR="005B551C" w:rsidRPr="00DE7DBC">
              <w:rPr>
                <w:sz w:val="16"/>
                <w:szCs w:val="16"/>
                <w:lang w:val="en-GB"/>
              </w:rPr>
              <w:t>,</w:t>
            </w:r>
            <w:r w:rsidRPr="00DE7DBC">
              <w:rPr>
                <w:sz w:val="16"/>
                <w:szCs w:val="16"/>
                <w:lang w:val="en-GB"/>
              </w:rPr>
              <w:t xml:space="preserve"> UNDP programme reports (annually). </w:t>
            </w:r>
          </w:p>
          <w:p w14:paraId="2217AD2F" w14:textId="77777777" w:rsidR="00D1201C" w:rsidRPr="00DE7DBC" w:rsidRDefault="00D1201C" w:rsidP="00264C2D">
            <w:pPr>
              <w:pStyle w:val="ListParagraph"/>
              <w:widowControl w:val="0"/>
              <w:autoSpaceDE w:val="0"/>
              <w:autoSpaceDN w:val="0"/>
              <w:adjustRightInd w:val="0"/>
              <w:ind w:left="0"/>
              <w:rPr>
                <w:b/>
                <w:spacing w:val="-4"/>
                <w:sz w:val="16"/>
                <w:szCs w:val="16"/>
                <w:lang w:val="en-GB"/>
              </w:rPr>
            </w:pPr>
          </w:p>
          <w:p w14:paraId="015BB766" w14:textId="3F3C16A2" w:rsidR="00D1201C" w:rsidRPr="00DE7DBC" w:rsidRDefault="00D1201C" w:rsidP="00264C2D">
            <w:pPr>
              <w:pStyle w:val="ListParagraph"/>
              <w:widowControl w:val="0"/>
              <w:autoSpaceDE w:val="0"/>
              <w:autoSpaceDN w:val="0"/>
              <w:adjustRightInd w:val="0"/>
              <w:ind w:left="0"/>
              <w:rPr>
                <w:sz w:val="16"/>
                <w:szCs w:val="16"/>
                <w:lang w:val="en-GB"/>
              </w:rPr>
            </w:pPr>
            <w:r w:rsidRPr="00264C2D">
              <w:rPr>
                <w:b/>
                <w:spacing w:val="-4"/>
                <w:sz w:val="16"/>
                <w:szCs w:val="16"/>
                <w:lang w:val="en-GB"/>
              </w:rPr>
              <w:lastRenderedPageBreak/>
              <w:t>Indicator 2.2b:</w:t>
            </w:r>
            <w:r w:rsidRPr="00DE7DBC">
              <w:rPr>
                <w:bCs/>
                <w:spacing w:val="-4"/>
                <w:sz w:val="16"/>
                <w:szCs w:val="16"/>
                <w:lang w:val="en-GB"/>
              </w:rPr>
              <w:t xml:space="preserve"> </w:t>
            </w:r>
            <w:r w:rsidRPr="00DE7DBC">
              <w:rPr>
                <w:sz w:val="16"/>
                <w:szCs w:val="16"/>
                <w:lang w:val="en-GB"/>
              </w:rPr>
              <w:t>Number of institutions/local/cantonal governments and/or utilities that</w:t>
            </w:r>
            <w:r w:rsidR="00BB4879">
              <w:rPr>
                <w:sz w:val="16"/>
                <w:szCs w:val="16"/>
                <w:lang w:val="en-GB"/>
              </w:rPr>
              <w:t>,</w:t>
            </w:r>
            <w:r w:rsidRPr="00DE7DBC">
              <w:rPr>
                <w:sz w:val="16"/>
                <w:szCs w:val="16"/>
                <w:lang w:val="en-GB"/>
              </w:rPr>
              <w:t xml:space="preserve"> with UNDP support</w:t>
            </w:r>
            <w:r w:rsidR="00BB4879">
              <w:rPr>
                <w:sz w:val="16"/>
                <w:szCs w:val="16"/>
                <w:lang w:val="en-GB"/>
              </w:rPr>
              <w:t xml:space="preserve">, </w:t>
            </w:r>
            <w:r w:rsidRPr="00DE7DBC">
              <w:rPr>
                <w:sz w:val="16"/>
                <w:szCs w:val="16"/>
                <w:lang w:val="en-GB"/>
              </w:rPr>
              <w:t xml:space="preserve">leverage technology and innovation for: </w:t>
            </w:r>
            <w:r w:rsidR="00BB4879">
              <w:rPr>
                <w:sz w:val="16"/>
                <w:szCs w:val="16"/>
                <w:lang w:val="en-GB"/>
              </w:rPr>
              <w:t>(</w:t>
            </w:r>
            <w:r w:rsidRPr="00DE7DBC">
              <w:rPr>
                <w:sz w:val="16"/>
                <w:szCs w:val="16"/>
                <w:lang w:val="en-GB"/>
              </w:rPr>
              <w:t xml:space="preserve">i) policy design; and/or </w:t>
            </w:r>
            <w:r w:rsidR="00BB4879">
              <w:rPr>
                <w:sz w:val="16"/>
                <w:szCs w:val="16"/>
                <w:lang w:val="en-GB"/>
              </w:rPr>
              <w:t>(</w:t>
            </w:r>
            <w:r w:rsidRPr="00DE7DBC">
              <w:rPr>
                <w:sz w:val="16"/>
                <w:szCs w:val="16"/>
                <w:lang w:val="en-GB"/>
              </w:rPr>
              <w:t xml:space="preserve">ii) information systems; and/or </w:t>
            </w:r>
            <w:r w:rsidR="00BB4879">
              <w:rPr>
                <w:sz w:val="16"/>
                <w:szCs w:val="16"/>
                <w:lang w:val="en-GB"/>
              </w:rPr>
              <w:t>(</w:t>
            </w:r>
            <w:r w:rsidRPr="00DE7DBC">
              <w:rPr>
                <w:sz w:val="16"/>
                <w:szCs w:val="16"/>
                <w:lang w:val="en-GB"/>
              </w:rPr>
              <w:t xml:space="preserve">iii) e-services; and/or </w:t>
            </w:r>
            <w:r w:rsidR="00BB4879">
              <w:rPr>
                <w:sz w:val="16"/>
                <w:szCs w:val="16"/>
                <w:lang w:val="en-GB"/>
              </w:rPr>
              <w:t>(</w:t>
            </w:r>
            <w:r w:rsidRPr="00DE7DBC">
              <w:rPr>
                <w:sz w:val="16"/>
                <w:szCs w:val="16"/>
                <w:lang w:val="en-GB"/>
              </w:rPr>
              <w:t>iv) future city and urban development.</w:t>
            </w:r>
          </w:p>
          <w:p w14:paraId="369776EF" w14:textId="77777777" w:rsidR="00D1201C" w:rsidRPr="00E50F1C" w:rsidRDefault="00D1201C" w:rsidP="00264C2D">
            <w:pPr>
              <w:pStyle w:val="ListParagraph"/>
              <w:widowControl w:val="0"/>
              <w:autoSpaceDE w:val="0"/>
              <w:autoSpaceDN w:val="0"/>
              <w:adjustRightInd w:val="0"/>
              <w:ind w:left="0"/>
              <w:rPr>
                <w:sz w:val="16"/>
                <w:szCs w:val="16"/>
                <w:lang w:val="fr-FR"/>
              </w:rPr>
            </w:pPr>
            <w:r w:rsidRPr="00E50F1C">
              <w:rPr>
                <w:i/>
                <w:iCs/>
                <w:sz w:val="16"/>
                <w:szCs w:val="16"/>
                <w:lang w:val="fr-FR"/>
              </w:rPr>
              <w:t>Baseline</w:t>
            </w:r>
            <w:r w:rsidRPr="00E50F1C">
              <w:rPr>
                <w:sz w:val="16"/>
                <w:szCs w:val="16"/>
                <w:lang w:val="fr-FR"/>
              </w:rPr>
              <w:t xml:space="preserve"> (2019): 1 institution; 1 city; 5 municipalities; 1 canton, 0 utilities.</w:t>
            </w:r>
          </w:p>
          <w:p w14:paraId="6BBA6F1D" w14:textId="667BE1B9" w:rsidR="00D1201C" w:rsidRPr="00264C2D" w:rsidRDefault="00D1201C" w:rsidP="00264C2D">
            <w:pPr>
              <w:pStyle w:val="ListParagraph"/>
              <w:widowControl w:val="0"/>
              <w:autoSpaceDE w:val="0"/>
              <w:autoSpaceDN w:val="0"/>
              <w:adjustRightInd w:val="0"/>
              <w:ind w:left="0"/>
              <w:rPr>
                <w:sz w:val="16"/>
                <w:szCs w:val="16"/>
                <w:lang w:val="fr-FR"/>
              </w:rPr>
            </w:pPr>
            <w:r w:rsidRPr="00264C2D">
              <w:rPr>
                <w:i/>
                <w:iCs/>
                <w:sz w:val="16"/>
                <w:szCs w:val="16"/>
                <w:lang w:val="fr-FR"/>
              </w:rPr>
              <w:t>Target</w:t>
            </w:r>
            <w:r w:rsidRPr="00264C2D">
              <w:rPr>
                <w:sz w:val="16"/>
                <w:szCs w:val="16"/>
                <w:lang w:val="fr-FR"/>
              </w:rPr>
              <w:t xml:space="preserve"> (2025): 5 institutions; 3 cities; 20 municipalities; 3 cantons</w:t>
            </w:r>
            <w:r w:rsidR="00BB4879">
              <w:rPr>
                <w:sz w:val="16"/>
                <w:szCs w:val="16"/>
                <w:lang w:val="fr-FR"/>
              </w:rPr>
              <w:t> ;</w:t>
            </w:r>
            <w:r w:rsidRPr="00264C2D">
              <w:rPr>
                <w:sz w:val="16"/>
                <w:szCs w:val="16"/>
                <w:lang w:val="fr-FR"/>
              </w:rPr>
              <w:t xml:space="preserve"> 20</w:t>
            </w:r>
            <w:r w:rsidR="00BB4879" w:rsidRPr="00264C2D">
              <w:rPr>
                <w:sz w:val="16"/>
                <w:szCs w:val="16"/>
                <w:lang w:val="fr-FR"/>
              </w:rPr>
              <w:t> </w:t>
            </w:r>
            <w:r w:rsidRPr="00264C2D">
              <w:rPr>
                <w:sz w:val="16"/>
                <w:szCs w:val="16"/>
                <w:lang w:val="fr-FR"/>
              </w:rPr>
              <w:t>utilities.</w:t>
            </w:r>
          </w:p>
          <w:p w14:paraId="6A458AFE"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Authorities’ annual reports, UNDP programme reports (annually). </w:t>
            </w:r>
          </w:p>
          <w:p w14:paraId="08F21C00"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4B28EACA" w14:textId="398F5418" w:rsidR="00D1201C" w:rsidRPr="00DE7DBC" w:rsidRDefault="00D1201C" w:rsidP="00264C2D">
            <w:pPr>
              <w:pStyle w:val="CommentText"/>
              <w:rPr>
                <w:bCs/>
                <w:spacing w:val="-4"/>
                <w:sz w:val="16"/>
                <w:szCs w:val="16"/>
                <w:lang w:val="en-GB"/>
              </w:rPr>
            </w:pPr>
            <w:r w:rsidRPr="00264C2D">
              <w:rPr>
                <w:b/>
                <w:bCs/>
                <w:sz w:val="16"/>
                <w:szCs w:val="16"/>
                <w:lang w:val="en-GB"/>
              </w:rPr>
              <w:t>Indicator 2.2c:</w:t>
            </w:r>
            <w:r w:rsidRPr="00DE7DBC">
              <w:rPr>
                <w:sz w:val="16"/>
                <w:szCs w:val="16"/>
                <w:lang w:val="en-GB"/>
              </w:rPr>
              <w:t xml:space="preserve"> </w:t>
            </w:r>
            <w:r w:rsidR="00BB4879">
              <w:rPr>
                <w:sz w:val="16"/>
                <w:szCs w:val="16"/>
                <w:lang w:val="en-GB"/>
              </w:rPr>
              <w:t xml:space="preserve">Percentage </w:t>
            </w:r>
            <w:r w:rsidRPr="00DE7DBC">
              <w:rPr>
                <w:bCs/>
                <w:spacing w:val="-4"/>
                <w:sz w:val="16"/>
                <w:szCs w:val="16"/>
                <w:lang w:val="en-GB"/>
              </w:rPr>
              <w:t xml:space="preserve">of total savings/additional revenues generated annually through improved public finance management by local governments and cantons. </w:t>
            </w:r>
          </w:p>
          <w:p w14:paraId="7BC42976" w14:textId="4A99E70C" w:rsidR="00D1201C" w:rsidRPr="00DE7DBC" w:rsidRDefault="00D1201C" w:rsidP="00264C2D">
            <w:pPr>
              <w:pStyle w:val="CommentText"/>
              <w:rPr>
                <w:bCs/>
                <w:spacing w:val="-4"/>
                <w:sz w:val="16"/>
                <w:szCs w:val="16"/>
                <w:lang w:val="en-GB"/>
              </w:rPr>
            </w:pPr>
            <w:r w:rsidRPr="00264C2D">
              <w:rPr>
                <w:bCs/>
                <w:i/>
                <w:iCs/>
                <w:spacing w:val="-4"/>
                <w:sz w:val="16"/>
                <w:szCs w:val="16"/>
                <w:lang w:val="en-GB"/>
              </w:rPr>
              <w:t>Baseline</w:t>
            </w:r>
            <w:r w:rsidRPr="00DE7DBC">
              <w:rPr>
                <w:bCs/>
                <w:spacing w:val="-4"/>
                <w:sz w:val="16"/>
                <w:szCs w:val="16"/>
                <w:lang w:val="en-GB"/>
              </w:rPr>
              <w:t xml:space="preserve"> (2019): U</w:t>
            </w:r>
            <w:r w:rsidR="00BB4879">
              <w:rPr>
                <w:bCs/>
                <w:spacing w:val="-4"/>
                <w:sz w:val="16"/>
                <w:szCs w:val="16"/>
                <w:lang w:val="en-GB"/>
              </w:rPr>
              <w:t xml:space="preserve">nited States dollars </w:t>
            </w:r>
            <w:r w:rsidRPr="00DE7DBC">
              <w:rPr>
                <w:bCs/>
                <w:spacing w:val="-4"/>
                <w:sz w:val="16"/>
                <w:szCs w:val="16"/>
                <w:lang w:val="en-GB"/>
              </w:rPr>
              <w:t xml:space="preserve">0%. </w:t>
            </w:r>
          </w:p>
          <w:p w14:paraId="2F778B28" w14:textId="288016C9" w:rsidR="00D1201C" w:rsidRPr="00DE7DBC" w:rsidRDefault="00D1201C" w:rsidP="00264C2D">
            <w:pPr>
              <w:pStyle w:val="CommentText"/>
              <w:rPr>
                <w:bCs/>
                <w:spacing w:val="-4"/>
                <w:sz w:val="16"/>
                <w:szCs w:val="16"/>
                <w:lang w:val="en-GB"/>
              </w:rPr>
            </w:pPr>
            <w:r w:rsidRPr="00264C2D">
              <w:rPr>
                <w:bCs/>
                <w:i/>
                <w:iCs/>
                <w:spacing w:val="-4"/>
                <w:sz w:val="16"/>
                <w:szCs w:val="16"/>
                <w:lang w:val="en-GB"/>
              </w:rPr>
              <w:t>Target</w:t>
            </w:r>
            <w:r w:rsidRPr="00DE7DBC">
              <w:rPr>
                <w:bCs/>
                <w:spacing w:val="-4"/>
                <w:sz w:val="16"/>
                <w:szCs w:val="16"/>
                <w:lang w:val="en-GB"/>
              </w:rPr>
              <w:t xml:space="preserve"> (2025): </w:t>
            </w:r>
            <w:r w:rsidR="00BB4879" w:rsidRPr="00DE7DBC">
              <w:rPr>
                <w:bCs/>
                <w:spacing w:val="-4"/>
                <w:sz w:val="16"/>
                <w:szCs w:val="16"/>
                <w:lang w:val="en-GB"/>
              </w:rPr>
              <w:t>U</w:t>
            </w:r>
            <w:r w:rsidR="00BB4879">
              <w:rPr>
                <w:bCs/>
                <w:spacing w:val="-4"/>
                <w:sz w:val="16"/>
                <w:szCs w:val="16"/>
                <w:lang w:val="en-GB"/>
              </w:rPr>
              <w:t xml:space="preserve">nited States dollars </w:t>
            </w:r>
            <w:r w:rsidRPr="00DE7DBC">
              <w:rPr>
                <w:sz w:val="16"/>
                <w:szCs w:val="16"/>
                <w:lang w:val="en-GB"/>
              </w:rPr>
              <w:t>3%.</w:t>
            </w:r>
          </w:p>
          <w:p w14:paraId="1822379A"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Authorities’ annual financial reports, UNDP programme reports (annually). </w:t>
            </w:r>
          </w:p>
          <w:p w14:paraId="73BBE004"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098DE7D3" w14:textId="77777777" w:rsidR="00D1201C" w:rsidRPr="00DE7DBC" w:rsidRDefault="00D1201C" w:rsidP="00264C2D">
            <w:pPr>
              <w:widowControl w:val="0"/>
              <w:autoSpaceDE w:val="0"/>
              <w:autoSpaceDN w:val="0"/>
              <w:adjustRightInd w:val="0"/>
              <w:rPr>
                <w:sz w:val="16"/>
                <w:szCs w:val="16"/>
                <w:lang w:val="en-GB"/>
              </w:rPr>
            </w:pPr>
            <w:r w:rsidRPr="00264C2D">
              <w:rPr>
                <w:b/>
                <w:bCs/>
                <w:sz w:val="16"/>
                <w:szCs w:val="16"/>
                <w:lang w:val="en-GB"/>
              </w:rPr>
              <w:t>Indicator 2.2d:</w:t>
            </w:r>
            <w:r w:rsidRPr="00DE7DBC">
              <w:rPr>
                <w:sz w:val="16"/>
                <w:szCs w:val="16"/>
                <w:lang w:val="en-GB"/>
              </w:rPr>
              <w:t xml:space="preserve"> Number of medical facilities with improved health treatment conditions.</w:t>
            </w:r>
          </w:p>
          <w:p w14:paraId="2403528F" w14:textId="77777777" w:rsidR="00D1201C" w:rsidRPr="00DE7DBC" w:rsidRDefault="00D1201C" w:rsidP="00264C2D">
            <w:pPr>
              <w:widowControl w:val="0"/>
              <w:autoSpaceDE w:val="0"/>
              <w:autoSpaceDN w:val="0"/>
              <w:adjustRightInd w:val="0"/>
              <w:rPr>
                <w:sz w:val="16"/>
                <w:szCs w:val="16"/>
                <w:lang w:val="en-GB"/>
              </w:rPr>
            </w:pPr>
            <w:r w:rsidRPr="00264C2D">
              <w:rPr>
                <w:i/>
                <w:iCs/>
                <w:sz w:val="16"/>
                <w:szCs w:val="16"/>
                <w:lang w:val="en-GB"/>
              </w:rPr>
              <w:t>Baseline</w:t>
            </w:r>
            <w:r w:rsidRPr="00DE7DBC">
              <w:rPr>
                <w:sz w:val="16"/>
                <w:szCs w:val="16"/>
                <w:lang w:val="en-GB"/>
              </w:rPr>
              <w:t xml:space="preserve"> (2019): 0.</w:t>
            </w:r>
          </w:p>
          <w:p w14:paraId="2E8307AD" w14:textId="77777777" w:rsidR="00D1201C" w:rsidRPr="00DE7DBC" w:rsidRDefault="00D1201C" w:rsidP="00264C2D">
            <w:pPr>
              <w:widowControl w:val="0"/>
              <w:autoSpaceDE w:val="0"/>
              <w:autoSpaceDN w:val="0"/>
              <w:adjustRightInd w:val="0"/>
              <w:rPr>
                <w:sz w:val="16"/>
                <w:szCs w:val="16"/>
                <w:lang w:val="en-GB"/>
              </w:rPr>
            </w:pPr>
            <w:r w:rsidRPr="00264C2D">
              <w:rPr>
                <w:i/>
                <w:iCs/>
                <w:sz w:val="16"/>
                <w:szCs w:val="16"/>
                <w:lang w:val="en-GB"/>
              </w:rPr>
              <w:t>Target</w:t>
            </w:r>
            <w:r w:rsidRPr="00DE7DBC">
              <w:rPr>
                <w:sz w:val="16"/>
                <w:szCs w:val="16"/>
                <w:lang w:val="en-GB"/>
              </w:rPr>
              <w:t xml:space="preserve"> (2025): 6.</w:t>
            </w:r>
          </w:p>
          <w:p w14:paraId="73CA3583" w14:textId="21D4A261"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w:t>
            </w:r>
            <w:r w:rsidR="007A5EA7" w:rsidRPr="00DE7DBC">
              <w:rPr>
                <w:sz w:val="16"/>
                <w:szCs w:val="16"/>
                <w:lang w:val="en-GB"/>
              </w:rPr>
              <w:t>Minist</w:t>
            </w:r>
            <w:r w:rsidR="007A5EA7">
              <w:rPr>
                <w:sz w:val="16"/>
                <w:szCs w:val="16"/>
                <w:lang w:val="en-GB"/>
              </w:rPr>
              <w:t>ry</w:t>
            </w:r>
            <w:r w:rsidRPr="00DE7DBC">
              <w:rPr>
                <w:sz w:val="16"/>
                <w:szCs w:val="16"/>
                <w:lang w:val="en-GB"/>
              </w:rPr>
              <w:t xml:space="preserve"> of Health </w:t>
            </w:r>
            <w:r w:rsidR="00BB4879">
              <w:rPr>
                <w:sz w:val="16"/>
                <w:szCs w:val="16"/>
                <w:lang w:val="en-GB"/>
              </w:rPr>
              <w:t>r</w:t>
            </w:r>
            <w:r w:rsidRPr="00DE7DBC">
              <w:rPr>
                <w:sz w:val="16"/>
                <w:szCs w:val="16"/>
                <w:lang w:val="en-GB"/>
              </w:rPr>
              <w:t xml:space="preserve">eports, UNDP </w:t>
            </w:r>
            <w:r w:rsidR="00BB4879">
              <w:rPr>
                <w:sz w:val="16"/>
                <w:szCs w:val="16"/>
                <w:lang w:val="en-GB"/>
              </w:rPr>
              <w:t>p</w:t>
            </w:r>
            <w:r w:rsidRPr="00DE7DBC">
              <w:rPr>
                <w:sz w:val="16"/>
                <w:szCs w:val="16"/>
                <w:lang w:val="en-GB"/>
              </w:rPr>
              <w:t xml:space="preserve">rogramme </w:t>
            </w:r>
            <w:r w:rsidR="00BB4879">
              <w:rPr>
                <w:sz w:val="16"/>
                <w:szCs w:val="16"/>
                <w:lang w:val="en-GB"/>
              </w:rPr>
              <w:t>r</w:t>
            </w:r>
            <w:r w:rsidRPr="00DE7DBC">
              <w:rPr>
                <w:sz w:val="16"/>
                <w:szCs w:val="16"/>
                <w:lang w:val="en-GB"/>
              </w:rPr>
              <w:t>eports (bi-annually).</w:t>
            </w:r>
          </w:p>
          <w:p w14:paraId="2F73CF3D"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08E21953" w14:textId="77777777" w:rsidR="00D1201C" w:rsidRPr="00DE7DBC" w:rsidRDefault="00D1201C" w:rsidP="00264C2D">
            <w:pPr>
              <w:widowControl w:val="0"/>
              <w:autoSpaceDE w:val="0"/>
              <w:autoSpaceDN w:val="0"/>
              <w:adjustRightInd w:val="0"/>
              <w:rPr>
                <w:sz w:val="16"/>
                <w:szCs w:val="16"/>
                <w:lang w:val="en-GB"/>
              </w:rPr>
            </w:pPr>
            <w:r w:rsidRPr="00264C2D">
              <w:rPr>
                <w:b/>
                <w:bCs/>
                <w:sz w:val="16"/>
                <w:szCs w:val="16"/>
                <w:lang w:val="en-GB"/>
              </w:rPr>
              <w:t>Indicator 2.2e:</w:t>
            </w:r>
            <w:r w:rsidRPr="00DE7DBC">
              <w:rPr>
                <w:sz w:val="16"/>
                <w:szCs w:val="16"/>
                <w:lang w:val="en-GB"/>
              </w:rPr>
              <w:t xml:space="preserve"> Number of individuals benefitting from improved COVID-19 prevention and case management.</w:t>
            </w:r>
          </w:p>
          <w:p w14:paraId="64F24789" w14:textId="77777777" w:rsidR="00D1201C" w:rsidRPr="00DE7DBC" w:rsidRDefault="00D1201C" w:rsidP="00264C2D">
            <w:pPr>
              <w:widowControl w:val="0"/>
              <w:autoSpaceDE w:val="0"/>
              <w:autoSpaceDN w:val="0"/>
              <w:adjustRightInd w:val="0"/>
              <w:rPr>
                <w:sz w:val="16"/>
                <w:szCs w:val="16"/>
                <w:lang w:val="en-GB"/>
              </w:rPr>
            </w:pPr>
            <w:r w:rsidRPr="00264C2D">
              <w:rPr>
                <w:i/>
                <w:iCs/>
                <w:sz w:val="16"/>
                <w:szCs w:val="16"/>
                <w:lang w:val="en-GB"/>
              </w:rPr>
              <w:t>Baseline</w:t>
            </w:r>
            <w:r w:rsidRPr="00DE7DBC">
              <w:rPr>
                <w:sz w:val="16"/>
                <w:szCs w:val="16"/>
                <w:lang w:val="en-GB"/>
              </w:rPr>
              <w:t xml:space="preserve"> (2019): 0.</w:t>
            </w:r>
          </w:p>
          <w:p w14:paraId="3DAF506D" w14:textId="77777777" w:rsidR="00D1201C" w:rsidRPr="00DE7DBC" w:rsidRDefault="00D1201C" w:rsidP="00264C2D">
            <w:pPr>
              <w:widowControl w:val="0"/>
              <w:autoSpaceDE w:val="0"/>
              <w:autoSpaceDN w:val="0"/>
              <w:adjustRightInd w:val="0"/>
              <w:rPr>
                <w:sz w:val="16"/>
                <w:szCs w:val="16"/>
                <w:lang w:val="en-GB"/>
              </w:rPr>
            </w:pPr>
            <w:r w:rsidRPr="00264C2D">
              <w:rPr>
                <w:i/>
                <w:iCs/>
                <w:sz w:val="16"/>
                <w:szCs w:val="16"/>
                <w:lang w:val="en-GB"/>
              </w:rPr>
              <w:t>Target</w:t>
            </w:r>
            <w:r w:rsidRPr="00DE7DBC">
              <w:rPr>
                <w:sz w:val="16"/>
                <w:szCs w:val="16"/>
                <w:lang w:val="en-GB"/>
              </w:rPr>
              <w:t xml:space="preserve"> (2025): 500.</w:t>
            </w:r>
          </w:p>
          <w:p w14:paraId="09AD3088" w14:textId="06363039"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Ministr</w:t>
            </w:r>
            <w:r w:rsidR="00BB4879">
              <w:rPr>
                <w:sz w:val="16"/>
                <w:szCs w:val="16"/>
                <w:lang w:val="en-GB"/>
              </w:rPr>
              <w:t>y</w:t>
            </w:r>
            <w:r w:rsidRPr="00DE7DBC">
              <w:rPr>
                <w:sz w:val="16"/>
                <w:szCs w:val="16"/>
                <w:lang w:val="en-GB"/>
              </w:rPr>
              <w:t xml:space="preserve"> of Health </w:t>
            </w:r>
            <w:r w:rsidR="00BB4879">
              <w:rPr>
                <w:sz w:val="16"/>
                <w:szCs w:val="16"/>
                <w:lang w:val="en-GB"/>
              </w:rPr>
              <w:t>r</w:t>
            </w:r>
            <w:r w:rsidRPr="00DE7DBC">
              <w:rPr>
                <w:sz w:val="16"/>
                <w:szCs w:val="16"/>
                <w:lang w:val="en-GB"/>
              </w:rPr>
              <w:t xml:space="preserve">eports, UNDP </w:t>
            </w:r>
            <w:r w:rsidR="00BB4879">
              <w:rPr>
                <w:sz w:val="16"/>
                <w:szCs w:val="16"/>
                <w:lang w:val="en-GB"/>
              </w:rPr>
              <w:t>p</w:t>
            </w:r>
            <w:r w:rsidRPr="00DE7DBC">
              <w:rPr>
                <w:sz w:val="16"/>
                <w:szCs w:val="16"/>
                <w:lang w:val="en-GB"/>
              </w:rPr>
              <w:t xml:space="preserve">rogramme </w:t>
            </w:r>
            <w:r w:rsidR="00BB4879">
              <w:rPr>
                <w:sz w:val="16"/>
                <w:szCs w:val="16"/>
                <w:lang w:val="en-GB"/>
              </w:rPr>
              <w:t>r</w:t>
            </w:r>
            <w:r w:rsidRPr="00DE7DBC">
              <w:rPr>
                <w:sz w:val="16"/>
                <w:szCs w:val="16"/>
                <w:lang w:val="en-GB"/>
              </w:rPr>
              <w:t>eports (bi-annually).</w:t>
            </w:r>
          </w:p>
          <w:p w14:paraId="542B7718"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2284BB92" w14:textId="77777777" w:rsidR="00D1201C" w:rsidRPr="00DE7DBC" w:rsidRDefault="00D1201C" w:rsidP="00264C2D">
            <w:pPr>
              <w:pStyle w:val="CommentText"/>
              <w:rPr>
                <w:sz w:val="16"/>
                <w:szCs w:val="16"/>
                <w:lang w:val="en-GB"/>
              </w:rPr>
            </w:pPr>
            <w:r w:rsidRPr="00264C2D">
              <w:rPr>
                <w:b/>
                <w:bCs/>
                <w:sz w:val="16"/>
                <w:szCs w:val="16"/>
                <w:lang w:val="en-GB"/>
              </w:rPr>
              <w:t>Indicator 2.2f:</w:t>
            </w:r>
            <w:r w:rsidRPr="00DE7DBC">
              <w:rPr>
                <w:sz w:val="16"/>
                <w:szCs w:val="16"/>
                <w:lang w:val="en-GB"/>
              </w:rPr>
              <w:t xml:space="preserve"> Number of people with improved access to quality public services </w:t>
            </w:r>
          </w:p>
          <w:p w14:paraId="591CA070" w14:textId="77777777" w:rsidR="00D1201C" w:rsidRPr="00DE7DBC" w:rsidRDefault="00D1201C" w:rsidP="00264C2D">
            <w:pPr>
              <w:pStyle w:val="CommentText"/>
              <w:rPr>
                <w:sz w:val="16"/>
                <w:szCs w:val="16"/>
                <w:lang w:val="en-GB"/>
              </w:rPr>
            </w:pPr>
            <w:r w:rsidRPr="00264C2D">
              <w:rPr>
                <w:i/>
                <w:iCs/>
                <w:sz w:val="16"/>
                <w:szCs w:val="16"/>
                <w:lang w:val="en-GB"/>
              </w:rPr>
              <w:t>Baseline</w:t>
            </w:r>
            <w:r w:rsidRPr="00DE7DBC">
              <w:rPr>
                <w:sz w:val="16"/>
                <w:szCs w:val="16"/>
                <w:lang w:val="en-GB"/>
              </w:rPr>
              <w:t xml:space="preserve"> (2019): 478,791 (175,735 women).</w:t>
            </w:r>
          </w:p>
          <w:p w14:paraId="3A43BEB5" w14:textId="701156B8" w:rsidR="00D1201C" w:rsidRDefault="00D1201C">
            <w:pPr>
              <w:pStyle w:val="CommentText"/>
              <w:rPr>
                <w:sz w:val="16"/>
                <w:szCs w:val="16"/>
                <w:lang w:val="en-GB"/>
              </w:rPr>
            </w:pPr>
            <w:r w:rsidRPr="00264C2D">
              <w:rPr>
                <w:i/>
                <w:iCs/>
                <w:sz w:val="16"/>
                <w:szCs w:val="16"/>
                <w:lang w:val="en-GB"/>
              </w:rPr>
              <w:t>Target</w:t>
            </w:r>
            <w:r w:rsidRPr="00DE7DBC">
              <w:rPr>
                <w:sz w:val="16"/>
                <w:szCs w:val="16"/>
                <w:lang w:val="en-GB"/>
              </w:rPr>
              <w:t xml:space="preserve"> (2025): 700,000 (300,000 women).</w:t>
            </w:r>
          </w:p>
          <w:p w14:paraId="1F4B31BE" w14:textId="60240DB4" w:rsidR="00106122" w:rsidRPr="00DE7DBC" w:rsidRDefault="00106122" w:rsidP="00106122">
            <w:pPr>
              <w:pStyle w:val="ListParagraph"/>
              <w:widowControl w:val="0"/>
              <w:tabs>
                <w:tab w:val="center" w:pos="4187"/>
                <w:tab w:val="center" w:pos="4320"/>
                <w:tab w:val="right" w:pos="8640"/>
              </w:tabs>
              <w:autoSpaceDE w:val="0"/>
              <w:autoSpaceDN w:val="0"/>
              <w:adjustRightInd w:val="0"/>
              <w:ind w:left="0"/>
              <w:rPr>
                <w:sz w:val="16"/>
                <w:szCs w:val="16"/>
                <w:lang w:val="en-GB"/>
              </w:rPr>
            </w:pPr>
            <w:r w:rsidRPr="0005594E">
              <w:rPr>
                <w:i/>
                <w:iCs/>
                <w:sz w:val="16"/>
                <w:szCs w:val="16"/>
                <w:lang w:val="en-GB"/>
              </w:rPr>
              <w:t>Source, frequency</w:t>
            </w:r>
            <w:r w:rsidRPr="00DE7DBC">
              <w:rPr>
                <w:sz w:val="16"/>
                <w:szCs w:val="16"/>
                <w:lang w:val="en-GB"/>
              </w:rPr>
              <w:t>: UNDP programme reports (</w:t>
            </w:r>
            <w:r>
              <w:rPr>
                <w:sz w:val="16"/>
                <w:szCs w:val="16"/>
                <w:lang w:val="en-GB"/>
              </w:rPr>
              <w:t>bi-</w:t>
            </w:r>
            <w:r w:rsidRPr="00DE7DBC">
              <w:rPr>
                <w:sz w:val="16"/>
                <w:szCs w:val="16"/>
                <w:lang w:val="en-GB"/>
              </w:rPr>
              <w:t xml:space="preserve">annually). </w:t>
            </w:r>
          </w:p>
          <w:p w14:paraId="6438C308" w14:textId="77777777" w:rsidR="00106122" w:rsidRPr="00DE7DBC" w:rsidRDefault="00106122" w:rsidP="00264C2D">
            <w:pPr>
              <w:pStyle w:val="CommentText"/>
              <w:rPr>
                <w:sz w:val="16"/>
                <w:szCs w:val="16"/>
                <w:lang w:val="en-GB"/>
              </w:rPr>
            </w:pPr>
          </w:p>
          <w:p w14:paraId="53F7ED4F"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6957DB72" w14:textId="77777777" w:rsidR="00D1201C" w:rsidRPr="00DE7DBC" w:rsidRDefault="00D1201C" w:rsidP="00264C2D">
            <w:pPr>
              <w:widowControl w:val="0"/>
              <w:autoSpaceDE w:val="0"/>
              <w:autoSpaceDN w:val="0"/>
              <w:adjustRightInd w:val="0"/>
              <w:rPr>
                <w:b/>
                <w:sz w:val="16"/>
                <w:szCs w:val="16"/>
                <w:lang w:val="en-GB"/>
              </w:rPr>
            </w:pPr>
            <w:r w:rsidRPr="00DE7DBC">
              <w:rPr>
                <w:b/>
                <w:sz w:val="16"/>
                <w:szCs w:val="16"/>
                <w:lang w:val="en-GB"/>
              </w:rPr>
              <w:t>Output 2.3 The judiciary and law enforcement agencies have enhanced capacities to ensure rule of law, safety and security.</w:t>
            </w:r>
          </w:p>
          <w:p w14:paraId="3E911F95" w14:textId="77777777" w:rsidR="00BB4879" w:rsidRDefault="00BB4879" w:rsidP="00F81B7C">
            <w:pPr>
              <w:pStyle w:val="ListParagraph"/>
              <w:widowControl w:val="0"/>
              <w:tabs>
                <w:tab w:val="center" w:pos="4320"/>
                <w:tab w:val="right" w:pos="8640"/>
              </w:tabs>
              <w:autoSpaceDE w:val="0"/>
              <w:autoSpaceDN w:val="0"/>
              <w:adjustRightInd w:val="0"/>
              <w:ind w:left="0"/>
              <w:rPr>
                <w:sz w:val="16"/>
                <w:szCs w:val="16"/>
                <w:lang w:val="en-GB"/>
              </w:rPr>
            </w:pPr>
          </w:p>
          <w:p w14:paraId="6A8A85E5" w14:textId="4E758145"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b/>
                <w:bCs/>
                <w:sz w:val="16"/>
                <w:szCs w:val="16"/>
                <w:lang w:val="en-GB"/>
              </w:rPr>
              <w:t>Indicator 2.3a.</w:t>
            </w:r>
            <w:r w:rsidRPr="00DE7DBC">
              <w:rPr>
                <w:sz w:val="16"/>
                <w:szCs w:val="16"/>
                <w:lang w:val="en-GB"/>
              </w:rPr>
              <w:t xml:space="preserve"> </w:t>
            </w:r>
            <w:r w:rsidR="007A5EA7">
              <w:rPr>
                <w:sz w:val="16"/>
                <w:szCs w:val="16"/>
                <w:lang w:val="en-GB"/>
              </w:rPr>
              <w:t>Percentage</w:t>
            </w:r>
            <w:r w:rsidR="00BB4879">
              <w:rPr>
                <w:sz w:val="16"/>
                <w:szCs w:val="16"/>
                <w:lang w:val="en-GB"/>
              </w:rPr>
              <w:t xml:space="preserve"> </w:t>
            </w:r>
            <w:r w:rsidRPr="00DE7DBC">
              <w:rPr>
                <w:sz w:val="16"/>
                <w:szCs w:val="16"/>
                <w:lang w:val="en-GB"/>
              </w:rPr>
              <w:t>decrease in remnants of war ammunition surplus.</w:t>
            </w:r>
          </w:p>
          <w:p w14:paraId="5F3F8818" w14:textId="77777777"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5,000 tonnes of surplus ammunition.</w:t>
            </w:r>
          </w:p>
          <w:p w14:paraId="2354DBC2" w14:textId="77777777"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0 tonnes of surplus ammunition.</w:t>
            </w:r>
          </w:p>
          <w:p w14:paraId="097F6F8E" w14:textId="66F9E58A" w:rsidR="00D1201C" w:rsidRPr="00DE7DBC" w:rsidRDefault="00D1201C" w:rsidP="00264C2D">
            <w:pPr>
              <w:pStyle w:val="ListParagraph"/>
              <w:widowControl w:val="0"/>
              <w:tabs>
                <w:tab w:val="center" w:pos="4187"/>
                <w:tab w:val="center" w:pos="4320"/>
                <w:tab w:val="right" w:pos="8640"/>
              </w:tabs>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EUFOR progress report; Bosnia and Herzegovina </w:t>
            </w:r>
            <w:r w:rsidRPr="00DE7DBC">
              <w:rPr>
                <w:sz w:val="16"/>
                <w:szCs w:val="16"/>
                <w:lang w:val="en-GB"/>
              </w:rPr>
              <w:lastRenderedPageBreak/>
              <w:t>reports to the U</w:t>
            </w:r>
            <w:r w:rsidR="00BB4879">
              <w:rPr>
                <w:sz w:val="16"/>
                <w:szCs w:val="16"/>
                <w:lang w:val="en-GB"/>
              </w:rPr>
              <w:t xml:space="preserve">nited </w:t>
            </w:r>
            <w:r w:rsidRPr="00DE7DBC">
              <w:rPr>
                <w:sz w:val="16"/>
                <w:szCs w:val="16"/>
                <w:lang w:val="en-GB"/>
              </w:rPr>
              <w:t>N</w:t>
            </w:r>
            <w:r w:rsidR="00BB4879">
              <w:rPr>
                <w:sz w:val="16"/>
                <w:szCs w:val="16"/>
                <w:lang w:val="en-GB"/>
              </w:rPr>
              <w:t>ations</w:t>
            </w:r>
            <w:r w:rsidRPr="00DE7DBC">
              <w:rPr>
                <w:sz w:val="16"/>
                <w:szCs w:val="16"/>
                <w:lang w:val="en-GB"/>
              </w:rPr>
              <w:t>. Official reports (annually).</w:t>
            </w:r>
          </w:p>
          <w:p w14:paraId="78E75866" w14:textId="77777777" w:rsidR="00D1201C" w:rsidRPr="00DE7DBC" w:rsidRDefault="00D1201C" w:rsidP="00264C2D">
            <w:pPr>
              <w:widowControl w:val="0"/>
              <w:autoSpaceDE w:val="0"/>
              <w:autoSpaceDN w:val="0"/>
              <w:adjustRightInd w:val="0"/>
              <w:rPr>
                <w:b/>
                <w:sz w:val="16"/>
                <w:szCs w:val="16"/>
                <w:lang w:val="en-GB"/>
              </w:rPr>
            </w:pPr>
          </w:p>
          <w:p w14:paraId="5E373BA3" w14:textId="77777777" w:rsidR="00D1201C" w:rsidRPr="00DE7DBC" w:rsidRDefault="00D1201C" w:rsidP="00264C2D">
            <w:pPr>
              <w:rPr>
                <w:color w:val="000000"/>
                <w:sz w:val="16"/>
                <w:szCs w:val="16"/>
                <w:lang w:val="en-GB"/>
              </w:rPr>
            </w:pPr>
            <w:r w:rsidRPr="00264C2D">
              <w:rPr>
                <w:b/>
                <w:bCs/>
                <w:sz w:val="16"/>
                <w:szCs w:val="16"/>
                <w:lang w:val="en-GB"/>
              </w:rPr>
              <w:t>Indicator 2.3b.</w:t>
            </w:r>
            <w:r w:rsidRPr="00DE7DBC">
              <w:rPr>
                <w:sz w:val="16"/>
                <w:szCs w:val="16"/>
                <w:lang w:val="en-GB"/>
              </w:rPr>
              <w:t xml:space="preserve"> Level of capabilities of the public security system for border management and combatting illicit arms’ trafficking (</w:t>
            </w:r>
            <w:r w:rsidRPr="00DE7DBC">
              <w:rPr>
                <w:color w:val="000000"/>
                <w:sz w:val="16"/>
                <w:szCs w:val="16"/>
                <w:lang w:val="en-GB"/>
              </w:rPr>
              <w:t>Rating: 4. Fully; 3. Partially; 2. Inadequately; 1. Not in place).</w:t>
            </w:r>
          </w:p>
          <w:p w14:paraId="07F7BC5A" w14:textId="77777777"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2.</w:t>
            </w:r>
          </w:p>
          <w:p w14:paraId="46017DE5" w14:textId="77777777"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3.</w:t>
            </w:r>
          </w:p>
          <w:p w14:paraId="424792AF" w14:textId="46D99040" w:rsidR="00D1201C" w:rsidRPr="00DE7DBC" w:rsidRDefault="00D1201C" w:rsidP="00264C2D">
            <w:pPr>
              <w:pStyle w:val="ListParagraph"/>
              <w:widowControl w:val="0"/>
              <w:tabs>
                <w:tab w:val="center" w:pos="4187"/>
                <w:tab w:val="center" w:pos="4320"/>
                <w:tab w:val="right" w:pos="8640"/>
              </w:tabs>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Official reports from authorities (annually); UNDP programme reports; Sector-specific reports from the E</w:t>
            </w:r>
            <w:r w:rsidR="00BB4879">
              <w:rPr>
                <w:sz w:val="16"/>
                <w:szCs w:val="16"/>
                <w:lang w:val="en-GB"/>
              </w:rPr>
              <w:t xml:space="preserve">uropean </w:t>
            </w:r>
            <w:r w:rsidRPr="00DE7DBC">
              <w:rPr>
                <w:sz w:val="16"/>
                <w:szCs w:val="16"/>
                <w:lang w:val="en-GB"/>
              </w:rPr>
              <w:t>U</w:t>
            </w:r>
            <w:r w:rsidR="00BB4879">
              <w:rPr>
                <w:sz w:val="16"/>
                <w:szCs w:val="16"/>
                <w:lang w:val="en-GB"/>
              </w:rPr>
              <w:t>nion</w:t>
            </w:r>
            <w:r w:rsidRPr="00DE7DBC">
              <w:rPr>
                <w:sz w:val="16"/>
                <w:szCs w:val="16"/>
                <w:lang w:val="en-GB"/>
              </w:rPr>
              <w:t xml:space="preserve"> (annually). </w:t>
            </w:r>
          </w:p>
          <w:p w14:paraId="4ED30AE8" w14:textId="77777777" w:rsidR="00D1201C" w:rsidRPr="00DE7DBC" w:rsidRDefault="00D1201C" w:rsidP="00264C2D">
            <w:pPr>
              <w:pStyle w:val="ListParagraph"/>
              <w:widowControl w:val="0"/>
              <w:tabs>
                <w:tab w:val="center" w:pos="4187"/>
                <w:tab w:val="center" w:pos="4320"/>
                <w:tab w:val="right" w:pos="8640"/>
              </w:tabs>
              <w:autoSpaceDE w:val="0"/>
              <w:autoSpaceDN w:val="0"/>
              <w:adjustRightInd w:val="0"/>
              <w:ind w:left="0"/>
              <w:rPr>
                <w:sz w:val="16"/>
                <w:szCs w:val="16"/>
                <w:lang w:val="en-GB"/>
              </w:rPr>
            </w:pPr>
          </w:p>
          <w:p w14:paraId="11563D20" w14:textId="77777777" w:rsidR="00D1201C" w:rsidRPr="00DE7DBC" w:rsidRDefault="00D1201C" w:rsidP="00264C2D">
            <w:pPr>
              <w:pStyle w:val="ListParagraph"/>
              <w:widowControl w:val="0"/>
              <w:tabs>
                <w:tab w:val="center" w:pos="4187"/>
                <w:tab w:val="center" w:pos="4320"/>
                <w:tab w:val="right" w:pos="8640"/>
              </w:tabs>
              <w:autoSpaceDE w:val="0"/>
              <w:autoSpaceDN w:val="0"/>
              <w:adjustRightInd w:val="0"/>
              <w:ind w:left="0"/>
              <w:rPr>
                <w:sz w:val="16"/>
                <w:szCs w:val="16"/>
                <w:lang w:val="en-GB"/>
              </w:rPr>
            </w:pPr>
            <w:r w:rsidRPr="00264C2D">
              <w:rPr>
                <w:b/>
                <w:bCs/>
                <w:sz w:val="16"/>
                <w:szCs w:val="16"/>
                <w:lang w:val="en-GB"/>
              </w:rPr>
              <w:t>Indicator 2.3c</w:t>
            </w:r>
            <w:r w:rsidRPr="00DE7DBC">
              <w:rPr>
                <w:sz w:val="16"/>
                <w:szCs w:val="16"/>
                <w:lang w:val="en-GB"/>
              </w:rPr>
              <w:t>. Number of small arms and light weapons disposal events led jointly with police agencies in Bosnia and Herzegovina.</w:t>
            </w:r>
          </w:p>
          <w:p w14:paraId="3473BC1C" w14:textId="77777777"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2 events. </w:t>
            </w:r>
          </w:p>
          <w:p w14:paraId="57043C96" w14:textId="77777777" w:rsidR="00D1201C" w:rsidRPr="00DE7DBC" w:rsidRDefault="00D1201C" w:rsidP="00264C2D">
            <w:pPr>
              <w:pStyle w:val="ListParagraph"/>
              <w:widowControl w:val="0"/>
              <w:tabs>
                <w:tab w:val="center" w:pos="4320"/>
                <w:tab w:val="right" w:pos="8640"/>
              </w:tabs>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10 events.</w:t>
            </w:r>
          </w:p>
          <w:p w14:paraId="58952C18" w14:textId="4D7A5B52" w:rsidR="00D1201C" w:rsidRPr="00DE7DBC" w:rsidRDefault="00D1201C" w:rsidP="00264C2D">
            <w:pPr>
              <w:pStyle w:val="ListParagraph"/>
              <w:widowControl w:val="0"/>
              <w:tabs>
                <w:tab w:val="center" w:pos="4187"/>
                <w:tab w:val="center" w:pos="4320"/>
                <w:tab w:val="right" w:pos="8640"/>
              </w:tabs>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Official reports from authorities (annually); UNDP </w:t>
            </w:r>
            <w:r w:rsidR="007A5EA7" w:rsidRPr="00DE7DBC">
              <w:rPr>
                <w:sz w:val="16"/>
                <w:szCs w:val="16"/>
                <w:lang w:val="en-GB"/>
              </w:rPr>
              <w:t>programme</w:t>
            </w:r>
            <w:r w:rsidRPr="00DE7DBC">
              <w:rPr>
                <w:sz w:val="16"/>
                <w:szCs w:val="16"/>
                <w:lang w:val="en-GB"/>
              </w:rPr>
              <w:t xml:space="preserve"> reports; Sector-specific reports from the E</w:t>
            </w:r>
            <w:r w:rsidR="00BB4879">
              <w:rPr>
                <w:sz w:val="16"/>
                <w:szCs w:val="16"/>
                <w:lang w:val="en-GB"/>
              </w:rPr>
              <w:t xml:space="preserve">uropean </w:t>
            </w:r>
            <w:r w:rsidRPr="00DE7DBC">
              <w:rPr>
                <w:sz w:val="16"/>
                <w:szCs w:val="16"/>
                <w:lang w:val="en-GB"/>
              </w:rPr>
              <w:t>U</w:t>
            </w:r>
            <w:r w:rsidR="00BB4879">
              <w:rPr>
                <w:sz w:val="16"/>
                <w:szCs w:val="16"/>
                <w:lang w:val="en-GB"/>
              </w:rPr>
              <w:t>nion</w:t>
            </w:r>
            <w:r w:rsidRPr="00DE7DBC">
              <w:rPr>
                <w:sz w:val="16"/>
                <w:szCs w:val="16"/>
                <w:lang w:val="en-GB"/>
              </w:rPr>
              <w:t xml:space="preserve"> (annually). </w:t>
            </w:r>
          </w:p>
        </w:tc>
        <w:tc>
          <w:tcPr>
            <w:tcW w:w="650" w:type="pct"/>
            <w:gridSpan w:val="2"/>
            <w:vMerge w:val="restart"/>
            <w:shd w:val="clear" w:color="auto" w:fill="auto"/>
          </w:tcPr>
          <w:p w14:paraId="6DC97A3E" w14:textId="3C463E69" w:rsidR="00D1201C" w:rsidRPr="00DE7DBC" w:rsidRDefault="00D1201C" w:rsidP="00264C2D">
            <w:pPr>
              <w:rPr>
                <w:color w:val="000000"/>
                <w:sz w:val="16"/>
                <w:szCs w:val="16"/>
                <w:lang w:val="en-GB"/>
              </w:rPr>
            </w:pPr>
            <w:r w:rsidRPr="00DE7DBC">
              <w:rPr>
                <w:color w:val="000000"/>
                <w:sz w:val="16"/>
                <w:szCs w:val="16"/>
                <w:lang w:val="en-GB"/>
              </w:rPr>
              <w:lastRenderedPageBreak/>
              <w:t>Parliaments; relevant ministries, local governments, UNICEF, UN</w:t>
            </w:r>
            <w:r w:rsidR="000F0E95">
              <w:rPr>
                <w:color w:val="000000"/>
                <w:sz w:val="16"/>
                <w:szCs w:val="16"/>
                <w:lang w:val="en-GB"/>
              </w:rPr>
              <w:t>-</w:t>
            </w:r>
            <w:r w:rsidRPr="00DE7DBC">
              <w:rPr>
                <w:color w:val="000000"/>
                <w:sz w:val="16"/>
                <w:szCs w:val="16"/>
                <w:lang w:val="en-GB"/>
              </w:rPr>
              <w:t xml:space="preserve">Women, UNFPA, the World Bank, </w:t>
            </w:r>
            <w:r w:rsidR="000F0E95">
              <w:rPr>
                <w:color w:val="000000"/>
                <w:sz w:val="16"/>
                <w:szCs w:val="16"/>
                <w:lang w:val="en-GB"/>
              </w:rPr>
              <w:t xml:space="preserve">the </w:t>
            </w:r>
            <w:r w:rsidRPr="00DE7DBC">
              <w:rPr>
                <w:color w:val="000000"/>
                <w:sz w:val="16"/>
                <w:szCs w:val="16"/>
                <w:lang w:val="en-GB"/>
              </w:rPr>
              <w:t>Governments of Switzerlan</w:t>
            </w:r>
            <w:r w:rsidR="000F0E95">
              <w:rPr>
                <w:color w:val="000000"/>
                <w:sz w:val="16"/>
                <w:szCs w:val="16"/>
                <w:lang w:val="en-GB"/>
              </w:rPr>
              <w:t xml:space="preserve">d, </w:t>
            </w:r>
            <w:r w:rsidRPr="00DE7DBC">
              <w:rPr>
                <w:color w:val="000000"/>
                <w:sz w:val="16"/>
                <w:szCs w:val="16"/>
                <w:lang w:val="en-GB"/>
              </w:rPr>
              <w:t>Sweden</w:t>
            </w:r>
            <w:r w:rsidR="000F0E95">
              <w:rPr>
                <w:color w:val="000000"/>
                <w:sz w:val="16"/>
                <w:szCs w:val="16"/>
                <w:lang w:val="en-GB"/>
              </w:rPr>
              <w:t xml:space="preserve"> and the United Kingdom, </w:t>
            </w:r>
            <w:r w:rsidRPr="00DE7DBC">
              <w:rPr>
                <w:color w:val="000000"/>
                <w:sz w:val="16"/>
                <w:szCs w:val="16"/>
                <w:lang w:val="en-GB"/>
              </w:rPr>
              <w:t>the E</w:t>
            </w:r>
            <w:r w:rsidR="000F0E95">
              <w:rPr>
                <w:color w:val="000000"/>
                <w:sz w:val="16"/>
                <w:szCs w:val="16"/>
                <w:lang w:val="en-GB"/>
              </w:rPr>
              <w:t xml:space="preserve">uropean </w:t>
            </w:r>
            <w:r w:rsidRPr="00DE7DBC">
              <w:rPr>
                <w:color w:val="000000"/>
                <w:sz w:val="16"/>
                <w:szCs w:val="16"/>
                <w:lang w:val="en-GB"/>
              </w:rPr>
              <w:t>U</w:t>
            </w:r>
            <w:r w:rsidR="000F0E95">
              <w:rPr>
                <w:color w:val="000000"/>
                <w:sz w:val="16"/>
                <w:szCs w:val="16"/>
                <w:lang w:val="en-GB"/>
              </w:rPr>
              <w:t>nion</w:t>
            </w:r>
            <w:r w:rsidRPr="00DE7DBC">
              <w:rPr>
                <w:color w:val="000000"/>
                <w:sz w:val="16"/>
                <w:szCs w:val="16"/>
                <w:lang w:val="en-GB"/>
              </w:rPr>
              <w:t>, GIZ, UN</w:t>
            </w:r>
            <w:r w:rsidR="000F0E95">
              <w:rPr>
                <w:color w:val="000000"/>
                <w:sz w:val="16"/>
                <w:szCs w:val="16"/>
                <w:lang w:val="en-GB"/>
              </w:rPr>
              <w:t>-</w:t>
            </w:r>
            <w:r w:rsidRPr="00DE7DBC">
              <w:rPr>
                <w:color w:val="000000"/>
                <w:sz w:val="16"/>
                <w:szCs w:val="16"/>
                <w:lang w:val="en-GB"/>
              </w:rPr>
              <w:t>Habitat, NATO, EUFOR, OSCE, universities, IFIs, civil society organi</w:t>
            </w:r>
            <w:r w:rsidR="000F0E95">
              <w:rPr>
                <w:color w:val="000000"/>
                <w:sz w:val="16"/>
                <w:szCs w:val="16"/>
                <w:lang w:val="en-GB"/>
              </w:rPr>
              <w:t>z</w:t>
            </w:r>
            <w:r w:rsidRPr="00DE7DBC">
              <w:rPr>
                <w:color w:val="000000"/>
                <w:sz w:val="16"/>
                <w:szCs w:val="16"/>
                <w:lang w:val="en-GB"/>
              </w:rPr>
              <w:t>ations, media.</w:t>
            </w:r>
          </w:p>
          <w:p w14:paraId="6563A172" w14:textId="77777777" w:rsidR="00D1201C" w:rsidRPr="00DE7DBC" w:rsidRDefault="00D1201C" w:rsidP="00264C2D">
            <w:pPr>
              <w:rPr>
                <w:color w:val="000000"/>
                <w:sz w:val="16"/>
                <w:szCs w:val="16"/>
                <w:lang w:val="en-GB"/>
              </w:rPr>
            </w:pPr>
          </w:p>
          <w:p w14:paraId="179A3750" w14:textId="77777777" w:rsidR="00D1201C" w:rsidRPr="00DE7DBC" w:rsidRDefault="00D1201C" w:rsidP="00264C2D">
            <w:pPr>
              <w:rPr>
                <w:color w:val="000000"/>
                <w:sz w:val="16"/>
                <w:szCs w:val="16"/>
                <w:lang w:val="en-GB"/>
              </w:rPr>
            </w:pPr>
          </w:p>
        </w:tc>
        <w:tc>
          <w:tcPr>
            <w:tcW w:w="506" w:type="pct"/>
            <w:shd w:val="clear" w:color="auto" w:fill="auto"/>
            <w:tcMar>
              <w:top w:w="15" w:type="dxa"/>
              <w:left w:w="108" w:type="dxa"/>
              <w:bottom w:w="0" w:type="dxa"/>
              <w:right w:w="108" w:type="dxa"/>
            </w:tcMar>
          </w:tcPr>
          <w:p w14:paraId="1248B50F" w14:textId="77777777" w:rsidR="00D1201C" w:rsidRPr="00DE7DBC" w:rsidRDefault="00D1201C" w:rsidP="00D1201C">
            <w:pPr>
              <w:rPr>
                <w:b/>
                <w:color w:val="000000"/>
                <w:sz w:val="16"/>
                <w:szCs w:val="16"/>
                <w:lang w:val="en-GB"/>
              </w:rPr>
            </w:pPr>
            <w:r w:rsidRPr="00DE7DBC">
              <w:rPr>
                <w:b/>
                <w:color w:val="000000"/>
                <w:sz w:val="16"/>
                <w:szCs w:val="16"/>
                <w:lang w:val="en-GB"/>
              </w:rPr>
              <w:t>Regular</w:t>
            </w:r>
          </w:p>
          <w:p w14:paraId="0A56AE62" w14:textId="18F11497" w:rsidR="00D1201C" w:rsidRPr="00DE7DBC" w:rsidRDefault="00D1201C" w:rsidP="00D1201C">
            <w:pPr>
              <w:rPr>
                <w:b/>
                <w:color w:val="000000"/>
                <w:sz w:val="16"/>
                <w:szCs w:val="16"/>
                <w:lang w:val="en-GB"/>
              </w:rPr>
            </w:pPr>
            <w:r w:rsidRPr="00DE7DBC">
              <w:rPr>
                <w:b/>
                <w:color w:val="000000"/>
                <w:sz w:val="16"/>
                <w:szCs w:val="16"/>
                <w:lang w:val="en-GB"/>
              </w:rPr>
              <w:t>615,000</w:t>
            </w:r>
          </w:p>
        </w:tc>
      </w:tr>
      <w:tr w:rsidR="00D1201C" w:rsidRPr="00DE7DBC" w14:paraId="592E262C" w14:textId="77777777" w:rsidTr="0071084A">
        <w:tc>
          <w:tcPr>
            <w:tcW w:w="1136" w:type="pct"/>
            <w:vMerge/>
            <w:shd w:val="clear" w:color="auto" w:fill="auto"/>
            <w:tcMar>
              <w:top w:w="72" w:type="dxa"/>
              <w:left w:w="144" w:type="dxa"/>
              <w:bottom w:w="72" w:type="dxa"/>
              <w:right w:w="144" w:type="dxa"/>
            </w:tcMar>
          </w:tcPr>
          <w:p w14:paraId="75362F0B" w14:textId="77777777" w:rsidR="00D1201C" w:rsidRPr="00DE7DBC" w:rsidRDefault="00D1201C" w:rsidP="00D1201C">
            <w:pPr>
              <w:rPr>
                <w:color w:val="000000"/>
                <w:sz w:val="16"/>
                <w:szCs w:val="16"/>
                <w:lang w:val="en-GB"/>
              </w:rPr>
            </w:pPr>
          </w:p>
        </w:tc>
        <w:tc>
          <w:tcPr>
            <w:tcW w:w="758" w:type="pct"/>
            <w:vMerge/>
            <w:shd w:val="clear" w:color="auto" w:fill="auto"/>
          </w:tcPr>
          <w:p w14:paraId="3AB7B83A" w14:textId="77777777" w:rsidR="00D1201C" w:rsidRPr="00DE7DBC" w:rsidRDefault="00D1201C" w:rsidP="00D1201C">
            <w:pPr>
              <w:rPr>
                <w:color w:val="000000"/>
                <w:sz w:val="16"/>
                <w:szCs w:val="16"/>
                <w:lang w:val="en-GB"/>
              </w:rPr>
            </w:pPr>
          </w:p>
        </w:tc>
        <w:tc>
          <w:tcPr>
            <w:tcW w:w="1950" w:type="pct"/>
            <w:gridSpan w:val="2"/>
            <w:vMerge/>
            <w:shd w:val="clear" w:color="auto" w:fill="auto"/>
            <w:tcMar>
              <w:top w:w="72" w:type="dxa"/>
              <w:left w:w="144" w:type="dxa"/>
              <w:bottom w:w="72" w:type="dxa"/>
              <w:right w:w="144" w:type="dxa"/>
            </w:tcMar>
          </w:tcPr>
          <w:p w14:paraId="35234D08" w14:textId="77777777" w:rsidR="00D1201C" w:rsidRPr="00DE7DBC" w:rsidRDefault="00D1201C" w:rsidP="00D1201C">
            <w:pPr>
              <w:rPr>
                <w:color w:val="000000"/>
                <w:sz w:val="16"/>
                <w:szCs w:val="16"/>
                <w:lang w:val="en-GB"/>
              </w:rPr>
            </w:pPr>
          </w:p>
        </w:tc>
        <w:tc>
          <w:tcPr>
            <w:tcW w:w="650" w:type="pct"/>
            <w:gridSpan w:val="2"/>
            <w:vMerge/>
            <w:shd w:val="clear" w:color="auto" w:fill="auto"/>
          </w:tcPr>
          <w:p w14:paraId="264EFC15" w14:textId="77777777" w:rsidR="00D1201C" w:rsidRPr="00DE7DBC" w:rsidRDefault="00D1201C" w:rsidP="00D1201C">
            <w:pPr>
              <w:rPr>
                <w:color w:val="000000"/>
                <w:sz w:val="16"/>
                <w:szCs w:val="16"/>
                <w:lang w:val="en-GB"/>
              </w:rPr>
            </w:pPr>
          </w:p>
        </w:tc>
        <w:tc>
          <w:tcPr>
            <w:tcW w:w="506" w:type="pct"/>
            <w:shd w:val="clear" w:color="auto" w:fill="auto"/>
            <w:tcMar>
              <w:top w:w="15" w:type="dxa"/>
              <w:left w:w="108" w:type="dxa"/>
              <w:bottom w:w="0" w:type="dxa"/>
              <w:right w:w="108" w:type="dxa"/>
            </w:tcMar>
          </w:tcPr>
          <w:p w14:paraId="3F2972BE" w14:textId="77777777" w:rsidR="00D1201C" w:rsidRPr="00DE7DBC" w:rsidRDefault="00D1201C" w:rsidP="00D1201C">
            <w:pPr>
              <w:rPr>
                <w:b/>
                <w:color w:val="000000"/>
                <w:sz w:val="16"/>
                <w:szCs w:val="16"/>
                <w:lang w:val="en-GB"/>
              </w:rPr>
            </w:pPr>
            <w:r w:rsidRPr="00DE7DBC">
              <w:rPr>
                <w:b/>
                <w:color w:val="000000"/>
                <w:sz w:val="16"/>
                <w:szCs w:val="16"/>
                <w:lang w:val="en-GB"/>
              </w:rPr>
              <w:t>Other</w:t>
            </w:r>
          </w:p>
          <w:p w14:paraId="3423B6F2" w14:textId="3E85D3D3" w:rsidR="00D1201C" w:rsidRPr="00DE7DBC" w:rsidRDefault="00D1201C" w:rsidP="00D1201C">
            <w:pPr>
              <w:rPr>
                <w:b/>
                <w:color w:val="000000"/>
                <w:sz w:val="16"/>
                <w:szCs w:val="16"/>
                <w:lang w:val="en-GB"/>
              </w:rPr>
            </w:pPr>
            <w:r w:rsidRPr="00DE7DBC">
              <w:rPr>
                <w:b/>
                <w:color w:val="000000"/>
                <w:sz w:val="16"/>
                <w:szCs w:val="16"/>
                <w:lang w:val="en-GB"/>
              </w:rPr>
              <w:t>54,039,976</w:t>
            </w:r>
            <w:r w:rsidRPr="00DE7DBC">
              <w:rPr>
                <w:color w:val="000000"/>
                <w:sz w:val="16"/>
                <w:szCs w:val="16"/>
                <w:lang w:val="en-GB"/>
              </w:rPr>
              <w:t xml:space="preserve"> </w:t>
            </w:r>
          </w:p>
        </w:tc>
      </w:tr>
    </w:tbl>
    <w:tbl>
      <w:tblPr>
        <w:tblpPr w:leftFromText="180" w:rightFromText="180" w:vertAnchor="text" w:tblpY="17"/>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3"/>
        <w:gridCol w:w="1986"/>
        <w:gridCol w:w="4535"/>
        <w:gridCol w:w="2125"/>
        <w:gridCol w:w="1466"/>
      </w:tblGrid>
      <w:tr w:rsidR="00D1201C" w:rsidRPr="00DE7DBC" w14:paraId="04CB73FF" w14:textId="77777777" w:rsidTr="00C15550">
        <w:tc>
          <w:tcPr>
            <w:tcW w:w="5000" w:type="pct"/>
            <w:gridSpan w:val="5"/>
            <w:shd w:val="clear" w:color="auto" w:fill="auto"/>
            <w:tcMar>
              <w:top w:w="72" w:type="dxa"/>
              <w:left w:w="144" w:type="dxa"/>
              <w:bottom w:w="72" w:type="dxa"/>
              <w:right w:w="144" w:type="dxa"/>
            </w:tcMar>
          </w:tcPr>
          <w:p w14:paraId="4806D3E6" w14:textId="77777777" w:rsidR="00D1201C" w:rsidRPr="00DE7DBC" w:rsidRDefault="00D1201C" w:rsidP="00D1201C">
            <w:pPr>
              <w:rPr>
                <w:b/>
                <w:bCs/>
                <w:color w:val="000000"/>
                <w:sz w:val="16"/>
                <w:szCs w:val="16"/>
                <w:lang w:val="en-GB"/>
              </w:rPr>
            </w:pPr>
            <w:r w:rsidRPr="00DE7DBC">
              <w:rPr>
                <w:b/>
                <w:bCs/>
                <w:color w:val="000000"/>
                <w:sz w:val="16"/>
                <w:szCs w:val="16"/>
                <w:lang w:val="en-GB"/>
              </w:rPr>
              <w:lastRenderedPageBreak/>
              <w:t xml:space="preserve">NATIONAL PRIORITY OR GOAL: </w:t>
            </w:r>
          </w:p>
          <w:p w14:paraId="48FBF3F9" w14:textId="69A77D7E" w:rsidR="00D1201C" w:rsidRPr="00DE7DBC" w:rsidRDefault="00D1201C" w:rsidP="00D1201C">
            <w:pPr>
              <w:pStyle w:val="NoSpacing"/>
              <w:rPr>
                <w:rFonts w:ascii="Times New Roman" w:hAnsi="Times New Roman" w:cs="Times New Roman"/>
                <w:color w:val="000000"/>
                <w:sz w:val="16"/>
                <w:szCs w:val="16"/>
                <w:lang w:val="en-GB"/>
              </w:rPr>
            </w:pPr>
            <w:r w:rsidRPr="004E7373">
              <w:rPr>
                <w:rFonts w:ascii="Times New Roman" w:hAnsi="Times New Roman" w:cs="Times New Roman"/>
                <w:b/>
                <w:bCs/>
                <w:color w:val="000000"/>
                <w:sz w:val="16"/>
                <w:szCs w:val="16"/>
                <w:lang w:val="en-GB"/>
              </w:rPr>
              <w:t>S</w:t>
            </w:r>
            <w:r w:rsidR="00157EE2" w:rsidRPr="004E7373">
              <w:rPr>
                <w:rFonts w:ascii="Times New Roman" w:hAnsi="Times New Roman" w:cs="Times New Roman"/>
                <w:b/>
                <w:bCs/>
                <w:color w:val="000000"/>
                <w:sz w:val="16"/>
                <w:szCs w:val="16"/>
                <w:lang w:val="en-GB"/>
              </w:rPr>
              <w:t>ustainable Development Goals</w:t>
            </w:r>
            <w:r w:rsidRPr="004E7373">
              <w:rPr>
                <w:rFonts w:ascii="Times New Roman" w:hAnsi="Times New Roman" w:cs="Times New Roman"/>
                <w:b/>
                <w:bCs/>
                <w:color w:val="000000"/>
                <w:sz w:val="16"/>
                <w:szCs w:val="16"/>
                <w:lang w:val="en-GB"/>
              </w:rPr>
              <w:t xml:space="preserve"> Framework in Bosnia and</w:t>
            </w:r>
            <w:r w:rsidRPr="00DE7DBC">
              <w:rPr>
                <w:rFonts w:ascii="Times New Roman" w:hAnsi="Times New Roman" w:cs="Times New Roman"/>
                <w:b/>
                <w:bCs/>
                <w:color w:val="000000"/>
                <w:sz w:val="16"/>
                <w:szCs w:val="16"/>
                <w:lang w:val="en-GB"/>
              </w:rPr>
              <w:t xml:space="preserve"> Herzegovina</w:t>
            </w:r>
            <w:r w:rsidRPr="00DE7DBC">
              <w:rPr>
                <w:rFonts w:ascii="Times New Roman" w:hAnsi="Times New Roman" w:cs="Times New Roman"/>
                <w:color w:val="000000"/>
                <w:sz w:val="16"/>
                <w:szCs w:val="16"/>
                <w:lang w:val="en-GB"/>
              </w:rPr>
              <w:t xml:space="preserve">: </w:t>
            </w:r>
            <w:r w:rsidRPr="00DE7DBC">
              <w:rPr>
                <w:rFonts w:ascii="Times New Roman" w:eastAsia="Times New Roman" w:hAnsi="Times New Roman" w:cs="Times New Roman"/>
                <w:spacing w:val="-4"/>
                <w:sz w:val="16"/>
                <w:szCs w:val="16"/>
                <w:lang w:val="en-GB"/>
              </w:rPr>
              <w:t>Society of equal opportunities pathway</w:t>
            </w:r>
            <w:r w:rsidR="001E2C6B">
              <w:rPr>
                <w:rFonts w:ascii="Times New Roman" w:eastAsia="Times New Roman" w:hAnsi="Times New Roman" w:cs="Times New Roman"/>
                <w:spacing w:val="-4"/>
                <w:sz w:val="16"/>
                <w:szCs w:val="16"/>
                <w:lang w:val="en-GB"/>
              </w:rPr>
              <w:t>.</w:t>
            </w:r>
          </w:p>
        </w:tc>
      </w:tr>
      <w:tr w:rsidR="00D1201C" w:rsidRPr="00DE7DBC" w14:paraId="51D0819C" w14:textId="77777777" w:rsidTr="00C15550">
        <w:tc>
          <w:tcPr>
            <w:tcW w:w="5000" w:type="pct"/>
            <w:gridSpan w:val="5"/>
            <w:shd w:val="clear" w:color="auto" w:fill="auto"/>
            <w:tcMar>
              <w:top w:w="72" w:type="dxa"/>
              <w:left w:w="144" w:type="dxa"/>
              <w:bottom w:w="72" w:type="dxa"/>
              <w:right w:w="144" w:type="dxa"/>
            </w:tcMar>
          </w:tcPr>
          <w:p w14:paraId="0C2DBDA1" w14:textId="6DD523EC" w:rsidR="00D1201C" w:rsidRPr="00DE7DBC" w:rsidRDefault="00D1201C" w:rsidP="00D1201C">
            <w:pPr>
              <w:jc w:val="both"/>
              <w:rPr>
                <w:b/>
                <w:bCs/>
                <w:color w:val="000000"/>
                <w:sz w:val="16"/>
                <w:szCs w:val="16"/>
                <w:lang w:val="en-GB"/>
              </w:rPr>
            </w:pPr>
            <w:r w:rsidRPr="00DE7DBC">
              <w:rPr>
                <w:b/>
                <w:bCs/>
                <w:color w:val="000000"/>
                <w:sz w:val="16"/>
                <w:szCs w:val="16"/>
                <w:lang w:val="en-GB"/>
              </w:rPr>
              <w:t>COOPERATION FRAMEWORK (OR EQUIVALENT) OUTCOME INVOLVING UNDP 1: Outcome 5. By 2025, there is stronger mutual understanding, respect and trust among individuals and communities</w:t>
            </w:r>
            <w:r w:rsidR="001E2C6B">
              <w:rPr>
                <w:b/>
                <w:bCs/>
                <w:color w:val="000000"/>
                <w:sz w:val="16"/>
                <w:szCs w:val="16"/>
                <w:lang w:val="en-GB"/>
              </w:rPr>
              <w:t>.</w:t>
            </w:r>
          </w:p>
        </w:tc>
      </w:tr>
      <w:tr w:rsidR="00D1201C" w:rsidRPr="00DE7DBC" w14:paraId="431FAB07" w14:textId="77777777" w:rsidTr="00C15550">
        <w:tc>
          <w:tcPr>
            <w:tcW w:w="5000" w:type="pct"/>
            <w:gridSpan w:val="5"/>
            <w:shd w:val="clear" w:color="auto" w:fill="auto"/>
            <w:tcMar>
              <w:top w:w="72" w:type="dxa"/>
              <w:left w:w="144" w:type="dxa"/>
              <w:bottom w:w="72" w:type="dxa"/>
              <w:right w:w="144" w:type="dxa"/>
            </w:tcMar>
          </w:tcPr>
          <w:p w14:paraId="47091962" w14:textId="24D01683" w:rsidR="00D1201C" w:rsidRPr="00DE7DBC" w:rsidRDefault="00D1201C" w:rsidP="00D1201C">
            <w:pPr>
              <w:jc w:val="both"/>
              <w:rPr>
                <w:b/>
                <w:bCs/>
                <w:color w:val="000000"/>
                <w:spacing w:val="-4"/>
                <w:sz w:val="16"/>
                <w:szCs w:val="16"/>
                <w:lang w:val="en-GB"/>
              </w:rPr>
            </w:pPr>
            <w:r w:rsidRPr="00DE7DBC">
              <w:rPr>
                <w:b/>
                <w:bCs/>
                <w:color w:val="000000"/>
                <w:spacing w:val="-4"/>
                <w:sz w:val="16"/>
                <w:szCs w:val="16"/>
                <w:lang w:val="en-GB"/>
              </w:rPr>
              <w:t xml:space="preserve">RELATED STRATEGIC PLAN OUTCOME: </w:t>
            </w:r>
            <w:r w:rsidRPr="00DE7DBC">
              <w:rPr>
                <w:b/>
                <w:spacing w:val="-4"/>
                <w:sz w:val="16"/>
                <w:szCs w:val="16"/>
                <w:lang w:val="en-GB"/>
              </w:rPr>
              <w:t>Outcome 2: Accelerate structural transformations for sustainable development</w:t>
            </w:r>
            <w:r w:rsidR="001E2C6B">
              <w:rPr>
                <w:b/>
                <w:spacing w:val="-4"/>
                <w:sz w:val="16"/>
                <w:szCs w:val="16"/>
                <w:lang w:val="en-GB"/>
              </w:rPr>
              <w:t>;</w:t>
            </w:r>
            <w:r w:rsidRPr="00DE7DBC">
              <w:rPr>
                <w:b/>
                <w:spacing w:val="-4"/>
                <w:sz w:val="16"/>
                <w:szCs w:val="16"/>
                <w:lang w:val="en-GB"/>
              </w:rPr>
              <w:t xml:space="preserve"> Outcome 3: Strengthen resilience to shocks and crises</w:t>
            </w:r>
            <w:r w:rsidR="001E2C6B">
              <w:rPr>
                <w:b/>
                <w:spacing w:val="-4"/>
                <w:sz w:val="16"/>
                <w:szCs w:val="16"/>
                <w:lang w:val="en-GB"/>
              </w:rPr>
              <w:t>.</w:t>
            </w:r>
          </w:p>
        </w:tc>
      </w:tr>
      <w:tr w:rsidR="00D1201C" w:rsidRPr="00DE7DBC" w14:paraId="2C5C1740" w14:textId="77777777" w:rsidTr="00C15550">
        <w:tc>
          <w:tcPr>
            <w:tcW w:w="1136" w:type="pct"/>
            <w:vMerge w:val="restart"/>
            <w:shd w:val="clear" w:color="auto" w:fill="auto"/>
            <w:tcMar>
              <w:top w:w="72" w:type="dxa"/>
              <w:left w:w="144" w:type="dxa"/>
              <w:bottom w:w="72" w:type="dxa"/>
              <w:right w:w="144" w:type="dxa"/>
            </w:tcMar>
          </w:tcPr>
          <w:p w14:paraId="13DC8F87" w14:textId="77777777" w:rsidR="00D1201C" w:rsidRPr="00DE7DBC" w:rsidRDefault="00D1201C" w:rsidP="00264C2D">
            <w:pPr>
              <w:pStyle w:val="ListParagraph"/>
              <w:ind w:left="0"/>
              <w:rPr>
                <w:bCs/>
                <w:color w:val="000000"/>
                <w:sz w:val="16"/>
                <w:szCs w:val="16"/>
                <w:lang w:val="en-GB"/>
              </w:rPr>
            </w:pPr>
            <w:r w:rsidRPr="00264C2D">
              <w:rPr>
                <w:b/>
                <w:bCs/>
                <w:spacing w:val="-2"/>
                <w:sz w:val="16"/>
                <w:szCs w:val="16"/>
                <w:lang w:val="en-GB"/>
              </w:rPr>
              <w:t>Indicator 5.a:</w:t>
            </w:r>
            <w:r w:rsidRPr="00DE7DBC">
              <w:rPr>
                <w:spacing w:val="-2"/>
                <w:sz w:val="16"/>
                <w:szCs w:val="16"/>
                <w:lang w:val="en-GB"/>
              </w:rPr>
              <w:t xml:space="preserve"> </w:t>
            </w:r>
            <w:r w:rsidRPr="00DE7DBC">
              <w:rPr>
                <w:bCs/>
                <w:color w:val="000000"/>
                <w:sz w:val="16"/>
                <w:szCs w:val="16"/>
                <w:lang w:val="en-GB"/>
              </w:rPr>
              <w:t>Proportion of people who express a general level of trust in society.</w:t>
            </w:r>
          </w:p>
          <w:p w14:paraId="0F7AF9B9" w14:textId="77777777" w:rsidR="00D1201C" w:rsidRPr="00DE7DBC" w:rsidRDefault="00D1201C" w:rsidP="00264C2D">
            <w:pPr>
              <w:rPr>
                <w:bCs/>
                <w:color w:val="000000"/>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w:t>
            </w:r>
            <w:r w:rsidRPr="00DE7DBC">
              <w:rPr>
                <w:sz w:val="16"/>
                <w:szCs w:val="16"/>
                <w:lang w:val="en-GB"/>
              </w:rPr>
              <w:t>23% (</w:t>
            </w:r>
            <w:r w:rsidRPr="00DE7DBC">
              <w:rPr>
                <w:bCs/>
                <w:color w:val="000000"/>
                <w:sz w:val="16"/>
                <w:szCs w:val="16"/>
                <w:lang w:val="en-GB"/>
              </w:rPr>
              <w:t>male: 27%; female: 19%/urban population: 26%, rural population: Urban: 19%.</w:t>
            </w:r>
          </w:p>
          <w:p w14:paraId="7BCAF336" w14:textId="77777777" w:rsidR="00D1201C" w:rsidRPr="00DE7DBC" w:rsidRDefault="00D1201C" w:rsidP="00264C2D">
            <w:pPr>
              <w:rPr>
                <w:bCs/>
                <w:color w:val="000000"/>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w:t>
            </w:r>
            <w:r w:rsidRPr="00DE7DBC">
              <w:rPr>
                <w:sz w:val="16"/>
                <w:szCs w:val="16"/>
                <w:lang w:val="en-GB"/>
              </w:rPr>
              <w:t>24% (</w:t>
            </w:r>
            <w:r w:rsidRPr="00DE7DBC">
              <w:rPr>
                <w:bCs/>
                <w:color w:val="000000"/>
                <w:sz w:val="16"/>
                <w:szCs w:val="16"/>
                <w:lang w:val="en-GB"/>
              </w:rPr>
              <w:t>male: 28%; female: 20%/urban population: 27%, rural population: Urban: 20%.</w:t>
            </w:r>
            <w:r w:rsidRPr="00DE7DBC">
              <w:rPr>
                <w:rStyle w:val="FootnoteReference"/>
                <w:bCs/>
                <w:color w:val="000000"/>
                <w:sz w:val="16"/>
                <w:szCs w:val="16"/>
                <w:lang w:val="en-GB"/>
              </w:rPr>
              <w:footnoteReference w:id="19"/>
            </w:r>
          </w:p>
          <w:p w14:paraId="33E169FC" w14:textId="77777777" w:rsidR="00D1201C" w:rsidRPr="00DE7DBC" w:rsidRDefault="00D1201C" w:rsidP="00264C2D">
            <w:pPr>
              <w:rPr>
                <w:bCs/>
                <w:color w:val="000000"/>
                <w:sz w:val="16"/>
                <w:szCs w:val="16"/>
                <w:lang w:val="en-GB"/>
              </w:rPr>
            </w:pPr>
          </w:p>
          <w:p w14:paraId="69ABBCB0" w14:textId="5CE3143A" w:rsidR="00D1201C" w:rsidRPr="00DE7DBC" w:rsidRDefault="00D1201C" w:rsidP="00264C2D">
            <w:pPr>
              <w:rPr>
                <w:spacing w:val="-4"/>
                <w:sz w:val="16"/>
                <w:szCs w:val="16"/>
                <w:lang w:val="en-GB"/>
              </w:rPr>
            </w:pPr>
            <w:r w:rsidRPr="00264C2D">
              <w:rPr>
                <w:b/>
                <w:bCs/>
                <w:spacing w:val="-2"/>
                <w:sz w:val="16"/>
                <w:szCs w:val="16"/>
                <w:lang w:val="en-GB"/>
              </w:rPr>
              <w:t>Indicator 5.c</w:t>
            </w:r>
            <w:r w:rsidRPr="00DE7DBC">
              <w:rPr>
                <w:spacing w:val="-2"/>
                <w:sz w:val="16"/>
                <w:szCs w:val="16"/>
                <w:lang w:val="en-GB"/>
              </w:rPr>
              <w:t xml:space="preserve"> (SDG indicator </w:t>
            </w:r>
            <w:r w:rsidRPr="00DE7DBC">
              <w:rPr>
                <w:sz w:val="16"/>
                <w:szCs w:val="16"/>
                <w:lang w:val="en-GB"/>
              </w:rPr>
              <w:t xml:space="preserve">16.b.1 and 16.7.2): </w:t>
            </w:r>
            <w:r w:rsidRPr="00DE7DBC">
              <w:rPr>
                <w:bCs/>
                <w:color w:val="000000"/>
                <w:sz w:val="16"/>
                <w:szCs w:val="16"/>
                <w:lang w:val="en-GB"/>
              </w:rPr>
              <w:t>Self-assessed levels of trust and engagement amongst young people, where 1 is negative and 5</w:t>
            </w:r>
            <w:r w:rsidRPr="00DE7DBC">
              <w:rPr>
                <w:sz w:val="16"/>
                <w:szCs w:val="16"/>
                <w:lang w:val="en-GB"/>
              </w:rPr>
              <w:t xml:space="preserve"> is positive: (</w:t>
            </w:r>
            <w:r w:rsidR="001E2C6B">
              <w:rPr>
                <w:sz w:val="16"/>
                <w:szCs w:val="16"/>
                <w:lang w:val="en-GB"/>
              </w:rPr>
              <w:t>a</w:t>
            </w:r>
            <w:r w:rsidRPr="00DE7DBC">
              <w:rPr>
                <w:sz w:val="16"/>
                <w:szCs w:val="16"/>
                <w:lang w:val="en-GB"/>
              </w:rPr>
              <w:t xml:space="preserve">) </w:t>
            </w:r>
            <w:r w:rsidR="001E2C6B">
              <w:rPr>
                <w:sz w:val="16"/>
                <w:szCs w:val="16"/>
                <w:lang w:val="en-GB"/>
              </w:rPr>
              <w:t>y</w:t>
            </w:r>
            <w:r w:rsidRPr="00DE7DBC">
              <w:rPr>
                <w:sz w:val="16"/>
                <w:szCs w:val="16"/>
                <w:lang w:val="en-GB"/>
              </w:rPr>
              <w:t>oung people’s (15-30) attitudes on inter-ethnic trust, cooperation, education and the media</w:t>
            </w:r>
            <w:r w:rsidR="001E2C6B">
              <w:rPr>
                <w:sz w:val="16"/>
                <w:szCs w:val="16"/>
                <w:lang w:val="en-GB"/>
              </w:rPr>
              <w:t>;</w:t>
            </w:r>
            <w:r w:rsidRPr="00DE7DBC">
              <w:rPr>
                <w:sz w:val="16"/>
                <w:szCs w:val="16"/>
                <w:lang w:val="en-GB"/>
              </w:rPr>
              <w:t xml:space="preserve"> </w:t>
            </w:r>
            <w:r w:rsidR="001E2C6B">
              <w:rPr>
                <w:sz w:val="16"/>
                <w:szCs w:val="16"/>
                <w:lang w:val="en-GB"/>
              </w:rPr>
              <w:t xml:space="preserve">and </w:t>
            </w:r>
            <w:r w:rsidRPr="00DE7DBC">
              <w:rPr>
                <w:sz w:val="16"/>
                <w:szCs w:val="16"/>
                <w:lang w:val="en-GB"/>
              </w:rPr>
              <w:t>(</w:t>
            </w:r>
            <w:r w:rsidR="001E2C6B">
              <w:rPr>
                <w:sz w:val="16"/>
                <w:szCs w:val="16"/>
                <w:lang w:val="en-GB"/>
              </w:rPr>
              <w:t>b</w:t>
            </w:r>
            <w:r w:rsidRPr="00DE7DBC">
              <w:rPr>
                <w:sz w:val="16"/>
                <w:szCs w:val="16"/>
                <w:lang w:val="en-GB"/>
              </w:rPr>
              <w:t xml:space="preserve">) </w:t>
            </w:r>
            <w:r w:rsidR="001E2C6B">
              <w:rPr>
                <w:sz w:val="16"/>
                <w:szCs w:val="16"/>
                <w:lang w:val="en-GB"/>
              </w:rPr>
              <w:t>y</w:t>
            </w:r>
            <w:r w:rsidRPr="00DE7DBC">
              <w:rPr>
                <w:sz w:val="16"/>
                <w:szCs w:val="16"/>
                <w:lang w:val="en-GB"/>
              </w:rPr>
              <w:t>oung people’s attitudes on their civic engagement and partnership with government representatives.</w:t>
            </w:r>
          </w:p>
          <w:p w14:paraId="7C72AB76" w14:textId="77777777" w:rsidR="00D1201C" w:rsidRPr="00DE7DBC" w:rsidRDefault="00D1201C" w:rsidP="00264C2D">
            <w:pPr>
              <w:rPr>
                <w:sz w:val="16"/>
                <w:szCs w:val="16"/>
                <w:lang w:val="en-GB"/>
              </w:rPr>
            </w:pPr>
            <w:r w:rsidRPr="00264C2D">
              <w:rPr>
                <w:bCs/>
                <w:i/>
                <w:iCs/>
                <w:color w:val="000000"/>
                <w:sz w:val="16"/>
                <w:szCs w:val="16"/>
                <w:lang w:val="en-GB"/>
              </w:rPr>
              <w:t>Baseline</w:t>
            </w:r>
            <w:r w:rsidRPr="00DE7DBC">
              <w:rPr>
                <w:bCs/>
                <w:color w:val="000000"/>
                <w:sz w:val="16"/>
                <w:szCs w:val="16"/>
                <w:lang w:val="en-GB"/>
              </w:rPr>
              <w:t xml:space="preserve"> (</w:t>
            </w:r>
            <w:r w:rsidRPr="00DE7DBC">
              <w:rPr>
                <w:sz w:val="16"/>
                <w:szCs w:val="16"/>
                <w:lang w:val="en-GB"/>
              </w:rPr>
              <w:t>2019): (1) 3.6/5; (2) 2.3/5.</w:t>
            </w:r>
          </w:p>
          <w:p w14:paraId="5628D3EA" w14:textId="77777777" w:rsidR="00D1201C" w:rsidRPr="00DE7DBC" w:rsidRDefault="00D1201C" w:rsidP="00264C2D">
            <w:pPr>
              <w:rPr>
                <w:sz w:val="16"/>
                <w:szCs w:val="16"/>
                <w:lang w:val="en-GB"/>
              </w:rPr>
            </w:pPr>
            <w:r w:rsidRPr="00264C2D">
              <w:rPr>
                <w:i/>
                <w:iCs/>
                <w:sz w:val="16"/>
                <w:szCs w:val="16"/>
                <w:lang w:val="en-GB"/>
              </w:rPr>
              <w:t>Target</w:t>
            </w:r>
            <w:r w:rsidRPr="00DE7DBC">
              <w:rPr>
                <w:sz w:val="16"/>
                <w:szCs w:val="16"/>
                <w:lang w:val="en-GB"/>
              </w:rPr>
              <w:t xml:space="preserve"> (2025): (1) 4/5; (2) 4/5.</w:t>
            </w:r>
          </w:p>
          <w:p w14:paraId="77569032" w14:textId="77777777" w:rsidR="00D1201C" w:rsidRPr="00DE7DBC" w:rsidRDefault="00D1201C" w:rsidP="00264C2D">
            <w:pPr>
              <w:rPr>
                <w:sz w:val="16"/>
                <w:szCs w:val="16"/>
                <w:lang w:val="en-GB"/>
              </w:rPr>
            </w:pPr>
          </w:p>
          <w:p w14:paraId="4EE6C659" w14:textId="77777777" w:rsidR="00D1201C" w:rsidRPr="00DE7DBC" w:rsidRDefault="00D1201C" w:rsidP="00264C2D">
            <w:pPr>
              <w:rPr>
                <w:bCs/>
                <w:color w:val="000000"/>
                <w:sz w:val="16"/>
                <w:szCs w:val="16"/>
                <w:lang w:val="en-GB"/>
              </w:rPr>
            </w:pPr>
            <w:r w:rsidRPr="00264C2D">
              <w:rPr>
                <w:b/>
                <w:bCs/>
                <w:spacing w:val="-2"/>
                <w:sz w:val="16"/>
                <w:szCs w:val="16"/>
                <w:lang w:val="en-GB"/>
              </w:rPr>
              <w:t>Indicator 5.d:</w:t>
            </w:r>
            <w:r w:rsidRPr="00DE7DBC">
              <w:rPr>
                <w:spacing w:val="-2"/>
                <w:sz w:val="16"/>
                <w:szCs w:val="16"/>
                <w:lang w:val="en-GB"/>
              </w:rPr>
              <w:t xml:space="preserve"> </w:t>
            </w:r>
            <w:r w:rsidRPr="00DE7DBC">
              <w:rPr>
                <w:bCs/>
                <w:color w:val="000000"/>
                <w:sz w:val="16"/>
                <w:szCs w:val="16"/>
                <w:lang w:val="en-GB"/>
              </w:rPr>
              <w:t>Number of young people participating in community-level initiatives that promote dialogue, social cohesion and appreciation of diversity.</w:t>
            </w:r>
          </w:p>
          <w:p w14:paraId="06542BA9" w14:textId="77777777" w:rsidR="00D1201C" w:rsidRPr="00DE7DBC" w:rsidRDefault="00D1201C" w:rsidP="00264C2D">
            <w:pPr>
              <w:rPr>
                <w:sz w:val="16"/>
                <w:szCs w:val="16"/>
                <w:lang w:val="en-GB"/>
              </w:rPr>
            </w:pPr>
            <w:r w:rsidRPr="00264C2D">
              <w:rPr>
                <w:bCs/>
                <w:i/>
                <w:iCs/>
                <w:color w:val="000000"/>
                <w:sz w:val="16"/>
                <w:szCs w:val="16"/>
                <w:lang w:val="en-GB"/>
              </w:rPr>
              <w:t>Baseline</w:t>
            </w:r>
            <w:r w:rsidRPr="00DE7DBC">
              <w:rPr>
                <w:bCs/>
                <w:color w:val="000000"/>
                <w:sz w:val="16"/>
                <w:szCs w:val="16"/>
                <w:lang w:val="en-GB"/>
              </w:rPr>
              <w:t xml:space="preserve"> (2019): </w:t>
            </w:r>
            <w:r w:rsidRPr="00DE7DBC">
              <w:rPr>
                <w:bCs/>
                <w:sz w:val="16"/>
                <w:szCs w:val="16"/>
                <w:lang w:val="en-GB"/>
              </w:rPr>
              <w:t>25,000 (51% female</w:t>
            </w:r>
            <w:r w:rsidRPr="00DE7DBC">
              <w:rPr>
                <w:sz w:val="16"/>
                <w:szCs w:val="16"/>
                <w:lang w:val="en-GB"/>
              </w:rPr>
              <w:t>).</w:t>
            </w:r>
          </w:p>
          <w:p w14:paraId="661BB860" w14:textId="77777777" w:rsidR="00D1201C" w:rsidRPr="00DE7DBC" w:rsidRDefault="00D1201C" w:rsidP="00264C2D">
            <w:pPr>
              <w:rPr>
                <w:color w:val="000000" w:themeColor="text1"/>
                <w:sz w:val="16"/>
                <w:szCs w:val="16"/>
                <w:lang w:val="en-GB"/>
              </w:rPr>
            </w:pPr>
            <w:r w:rsidRPr="00264C2D">
              <w:rPr>
                <w:bCs/>
                <w:i/>
                <w:iCs/>
                <w:color w:val="000000"/>
                <w:sz w:val="16"/>
                <w:szCs w:val="16"/>
                <w:lang w:val="en-GB"/>
              </w:rPr>
              <w:t>Target</w:t>
            </w:r>
            <w:r w:rsidRPr="00DE7DBC">
              <w:rPr>
                <w:bCs/>
                <w:color w:val="000000"/>
                <w:sz w:val="16"/>
                <w:szCs w:val="16"/>
                <w:lang w:val="en-GB"/>
              </w:rPr>
              <w:t xml:space="preserve"> (2025): 27,500 (51% female).</w:t>
            </w:r>
          </w:p>
          <w:p w14:paraId="507D2DBD" w14:textId="77777777" w:rsidR="00D1201C" w:rsidRPr="00DE7DBC" w:rsidRDefault="00D1201C" w:rsidP="00264C2D">
            <w:pPr>
              <w:rPr>
                <w:color w:val="000000" w:themeColor="text1"/>
                <w:sz w:val="16"/>
                <w:szCs w:val="16"/>
                <w:lang w:val="en-GB"/>
              </w:rPr>
            </w:pPr>
          </w:p>
          <w:p w14:paraId="6D5096F4" w14:textId="77777777" w:rsidR="00D1201C" w:rsidRPr="00DE7DBC" w:rsidRDefault="00D1201C" w:rsidP="00264C2D">
            <w:pPr>
              <w:rPr>
                <w:sz w:val="16"/>
                <w:szCs w:val="16"/>
                <w:lang w:val="en-GB"/>
              </w:rPr>
            </w:pPr>
          </w:p>
        </w:tc>
        <w:tc>
          <w:tcPr>
            <w:tcW w:w="759" w:type="pct"/>
            <w:vMerge w:val="restart"/>
            <w:shd w:val="clear" w:color="auto" w:fill="auto"/>
          </w:tcPr>
          <w:p w14:paraId="47BC130A" w14:textId="134F6E24" w:rsidR="00D1201C" w:rsidRPr="00DE7DBC" w:rsidRDefault="00D1201C" w:rsidP="00264C2D">
            <w:pPr>
              <w:rPr>
                <w:sz w:val="16"/>
                <w:szCs w:val="16"/>
                <w:lang w:val="en-GB"/>
              </w:rPr>
            </w:pPr>
            <w:r w:rsidRPr="00DE7DBC">
              <w:rPr>
                <w:sz w:val="16"/>
                <w:szCs w:val="16"/>
                <w:lang w:val="en-GB"/>
              </w:rPr>
              <w:lastRenderedPageBreak/>
              <w:t>U</w:t>
            </w:r>
            <w:r w:rsidR="001E2C6B">
              <w:rPr>
                <w:sz w:val="16"/>
                <w:szCs w:val="16"/>
                <w:lang w:val="en-GB"/>
              </w:rPr>
              <w:t xml:space="preserve">nited </w:t>
            </w:r>
            <w:r w:rsidRPr="00DE7DBC">
              <w:rPr>
                <w:sz w:val="16"/>
                <w:szCs w:val="16"/>
                <w:lang w:val="en-GB"/>
              </w:rPr>
              <w:t>N</w:t>
            </w:r>
            <w:r w:rsidR="001E2C6B">
              <w:rPr>
                <w:sz w:val="16"/>
                <w:szCs w:val="16"/>
                <w:lang w:val="en-GB"/>
              </w:rPr>
              <w:t>ations</w:t>
            </w:r>
            <w:r w:rsidRPr="00DE7DBC">
              <w:rPr>
                <w:sz w:val="16"/>
                <w:szCs w:val="16"/>
                <w:lang w:val="en-GB"/>
              </w:rPr>
              <w:t xml:space="preserve"> perception survey in Bosnia and Herzegovina (biennial). </w:t>
            </w:r>
          </w:p>
          <w:p w14:paraId="15333EFA" w14:textId="77777777" w:rsidR="00D1201C" w:rsidRPr="00DE7DBC" w:rsidRDefault="00D1201C" w:rsidP="00264C2D">
            <w:pPr>
              <w:rPr>
                <w:sz w:val="16"/>
                <w:szCs w:val="16"/>
                <w:lang w:val="en-GB"/>
              </w:rPr>
            </w:pPr>
          </w:p>
          <w:p w14:paraId="6A03B637" w14:textId="77777777" w:rsidR="00D1201C" w:rsidRPr="00DE7DBC" w:rsidRDefault="00D1201C" w:rsidP="00264C2D">
            <w:pPr>
              <w:rPr>
                <w:sz w:val="16"/>
                <w:szCs w:val="16"/>
                <w:lang w:val="en-GB"/>
              </w:rPr>
            </w:pPr>
          </w:p>
          <w:p w14:paraId="2B723B11" w14:textId="77777777" w:rsidR="00D1201C" w:rsidRPr="00DE7DBC" w:rsidRDefault="00D1201C" w:rsidP="00264C2D">
            <w:pPr>
              <w:rPr>
                <w:sz w:val="16"/>
                <w:szCs w:val="16"/>
                <w:lang w:val="en-GB"/>
              </w:rPr>
            </w:pPr>
          </w:p>
          <w:p w14:paraId="5850C1E8" w14:textId="77777777" w:rsidR="00D1201C" w:rsidRPr="00DE7DBC" w:rsidRDefault="00D1201C" w:rsidP="00264C2D">
            <w:pPr>
              <w:rPr>
                <w:sz w:val="16"/>
                <w:szCs w:val="16"/>
                <w:lang w:val="en-GB"/>
              </w:rPr>
            </w:pPr>
          </w:p>
          <w:p w14:paraId="2D2BCD1B" w14:textId="77777777" w:rsidR="00D1201C" w:rsidRPr="00DE7DBC" w:rsidRDefault="00D1201C" w:rsidP="00264C2D">
            <w:pPr>
              <w:rPr>
                <w:sz w:val="16"/>
                <w:szCs w:val="16"/>
                <w:lang w:val="en-GB"/>
              </w:rPr>
            </w:pPr>
          </w:p>
          <w:p w14:paraId="046846E6" w14:textId="77777777" w:rsidR="00D1201C" w:rsidRPr="00DE7DBC" w:rsidRDefault="00D1201C" w:rsidP="00264C2D">
            <w:pPr>
              <w:rPr>
                <w:sz w:val="16"/>
                <w:szCs w:val="16"/>
                <w:lang w:val="en-GB"/>
              </w:rPr>
            </w:pPr>
          </w:p>
          <w:p w14:paraId="3A33AE40" w14:textId="2F7ED3D9" w:rsidR="00D1201C" w:rsidRPr="00DE7DBC" w:rsidRDefault="00D1201C" w:rsidP="00264C2D">
            <w:pPr>
              <w:rPr>
                <w:sz w:val="16"/>
                <w:szCs w:val="16"/>
                <w:lang w:val="en-GB"/>
              </w:rPr>
            </w:pPr>
            <w:r w:rsidRPr="00DE7DBC">
              <w:rPr>
                <w:sz w:val="16"/>
                <w:szCs w:val="16"/>
                <w:lang w:val="en-GB"/>
              </w:rPr>
              <w:t xml:space="preserve">Dialogue for the </w:t>
            </w:r>
            <w:r w:rsidR="001E2C6B">
              <w:rPr>
                <w:sz w:val="16"/>
                <w:szCs w:val="16"/>
                <w:lang w:val="en-GB"/>
              </w:rPr>
              <w:t>f</w:t>
            </w:r>
            <w:r w:rsidRPr="00DE7DBC">
              <w:rPr>
                <w:sz w:val="16"/>
                <w:szCs w:val="16"/>
                <w:lang w:val="en-GB"/>
              </w:rPr>
              <w:t xml:space="preserve">uture </w:t>
            </w:r>
            <w:r w:rsidR="001E2C6B">
              <w:rPr>
                <w:sz w:val="16"/>
                <w:szCs w:val="16"/>
                <w:lang w:val="en-GB"/>
              </w:rPr>
              <w:t>b</w:t>
            </w:r>
            <w:r w:rsidRPr="00DE7DBC">
              <w:rPr>
                <w:sz w:val="16"/>
                <w:szCs w:val="16"/>
                <w:lang w:val="en-GB"/>
              </w:rPr>
              <w:t xml:space="preserve">aseline </w:t>
            </w:r>
            <w:r w:rsidR="001E2C6B">
              <w:rPr>
                <w:sz w:val="16"/>
                <w:szCs w:val="16"/>
                <w:lang w:val="en-GB"/>
              </w:rPr>
              <w:t>p</w:t>
            </w:r>
            <w:r w:rsidRPr="00DE7DBC">
              <w:rPr>
                <w:sz w:val="16"/>
                <w:szCs w:val="16"/>
                <w:lang w:val="en-GB"/>
              </w:rPr>
              <w:t xml:space="preserve">erception </w:t>
            </w:r>
            <w:r w:rsidR="001E2C6B">
              <w:rPr>
                <w:sz w:val="16"/>
                <w:szCs w:val="16"/>
                <w:lang w:val="en-GB"/>
              </w:rPr>
              <w:t>s</w:t>
            </w:r>
            <w:r w:rsidRPr="00DE7DBC">
              <w:rPr>
                <w:sz w:val="16"/>
                <w:szCs w:val="16"/>
                <w:lang w:val="en-GB"/>
              </w:rPr>
              <w:t>urvey</w:t>
            </w:r>
            <w:r w:rsidR="001E2C6B">
              <w:rPr>
                <w:sz w:val="16"/>
                <w:szCs w:val="16"/>
                <w:lang w:val="en-GB"/>
              </w:rPr>
              <w:t>,</w:t>
            </w:r>
            <w:r w:rsidRPr="00DE7DBC">
              <w:rPr>
                <w:sz w:val="16"/>
                <w:szCs w:val="16"/>
                <w:lang w:val="en-GB"/>
              </w:rPr>
              <w:t xml:space="preserve"> 2018. U</w:t>
            </w:r>
            <w:r w:rsidR="001E2C6B">
              <w:rPr>
                <w:sz w:val="16"/>
                <w:szCs w:val="16"/>
                <w:lang w:val="en-GB"/>
              </w:rPr>
              <w:t xml:space="preserve">nited </w:t>
            </w:r>
            <w:r w:rsidRPr="00DE7DBC">
              <w:rPr>
                <w:sz w:val="16"/>
                <w:szCs w:val="16"/>
                <w:lang w:val="en-GB"/>
              </w:rPr>
              <w:t>N</w:t>
            </w:r>
            <w:r w:rsidR="001E2C6B">
              <w:rPr>
                <w:sz w:val="16"/>
                <w:szCs w:val="16"/>
                <w:lang w:val="en-GB"/>
              </w:rPr>
              <w:t>ations</w:t>
            </w:r>
            <w:r w:rsidRPr="00DE7DBC">
              <w:rPr>
                <w:sz w:val="16"/>
                <w:szCs w:val="16"/>
                <w:lang w:val="en-GB"/>
              </w:rPr>
              <w:t xml:space="preserve"> perception survey (biennial).</w:t>
            </w:r>
          </w:p>
          <w:p w14:paraId="7D8AE1DD" w14:textId="77777777" w:rsidR="00D1201C" w:rsidRPr="00DE7DBC" w:rsidRDefault="00D1201C" w:rsidP="00264C2D">
            <w:pPr>
              <w:rPr>
                <w:sz w:val="16"/>
                <w:szCs w:val="16"/>
                <w:lang w:val="en-GB"/>
              </w:rPr>
            </w:pPr>
          </w:p>
        </w:tc>
        <w:tc>
          <w:tcPr>
            <w:tcW w:w="1733" w:type="pct"/>
            <w:vMerge w:val="restart"/>
            <w:shd w:val="clear" w:color="auto" w:fill="auto"/>
            <w:tcMar>
              <w:top w:w="72" w:type="dxa"/>
              <w:left w:w="144" w:type="dxa"/>
              <w:bottom w:w="72" w:type="dxa"/>
              <w:right w:w="144" w:type="dxa"/>
            </w:tcMar>
          </w:tcPr>
          <w:p w14:paraId="5407D1F8" w14:textId="77777777" w:rsidR="00D1201C" w:rsidRPr="00DE7DBC" w:rsidRDefault="00D1201C" w:rsidP="00264C2D">
            <w:pPr>
              <w:widowControl w:val="0"/>
              <w:autoSpaceDE w:val="0"/>
              <w:autoSpaceDN w:val="0"/>
              <w:adjustRightInd w:val="0"/>
              <w:rPr>
                <w:b/>
                <w:sz w:val="16"/>
                <w:szCs w:val="16"/>
                <w:lang w:val="en-GB"/>
              </w:rPr>
            </w:pPr>
            <w:r w:rsidRPr="00DE7DBC">
              <w:rPr>
                <w:b/>
                <w:sz w:val="16"/>
                <w:szCs w:val="16"/>
                <w:lang w:val="en-GB"/>
              </w:rPr>
              <w:t>Output 3.1 Citizens empowered with public and online spaces and opportunities to engage in the creation of diverse, inclusive and gender responsive communities.</w:t>
            </w:r>
          </w:p>
          <w:p w14:paraId="5D2CE387" w14:textId="77777777" w:rsidR="001E2C6B" w:rsidRDefault="001E2C6B" w:rsidP="001E2C6B">
            <w:pPr>
              <w:widowControl w:val="0"/>
              <w:autoSpaceDE w:val="0"/>
              <w:autoSpaceDN w:val="0"/>
              <w:adjustRightInd w:val="0"/>
              <w:rPr>
                <w:sz w:val="16"/>
                <w:szCs w:val="16"/>
                <w:lang w:val="en-GB"/>
              </w:rPr>
            </w:pPr>
          </w:p>
          <w:p w14:paraId="4B0F0C82" w14:textId="3145C896" w:rsidR="00D1201C" w:rsidRPr="00DE7DBC" w:rsidRDefault="00D1201C" w:rsidP="00264C2D">
            <w:pPr>
              <w:widowControl w:val="0"/>
              <w:autoSpaceDE w:val="0"/>
              <w:autoSpaceDN w:val="0"/>
              <w:adjustRightInd w:val="0"/>
              <w:rPr>
                <w:sz w:val="16"/>
                <w:szCs w:val="16"/>
                <w:lang w:val="en-GB"/>
              </w:rPr>
            </w:pPr>
            <w:r w:rsidRPr="00264C2D">
              <w:rPr>
                <w:b/>
                <w:bCs/>
                <w:sz w:val="16"/>
                <w:szCs w:val="16"/>
                <w:lang w:val="en-GB"/>
              </w:rPr>
              <w:t>Indicator 3.1a:</w:t>
            </w:r>
            <w:r w:rsidRPr="00DE7DBC">
              <w:rPr>
                <w:sz w:val="16"/>
                <w:szCs w:val="16"/>
                <w:lang w:val="en-GB"/>
              </w:rPr>
              <w:t xml:space="preserve"> Number of people who pro-actively participate in civic forums for inclusive decision-making, peaceful and democratic development.</w:t>
            </w:r>
          </w:p>
          <w:p w14:paraId="1B5FA2E8" w14:textId="77777777" w:rsidR="00D1201C" w:rsidRPr="00DE7DBC" w:rsidRDefault="00D1201C" w:rsidP="00264C2D">
            <w:pPr>
              <w:widowControl w:val="0"/>
              <w:autoSpaceDE w:val="0"/>
              <w:autoSpaceDN w:val="0"/>
              <w:adjustRightInd w:val="0"/>
              <w:rPr>
                <w:sz w:val="16"/>
                <w:szCs w:val="16"/>
                <w:lang w:val="en-GB"/>
              </w:rPr>
            </w:pPr>
            <w:r w:rsidRPr="00264C2D">
              <w:rPr>
                <w:i/>
                <w:iCs/>
                <w:sz w:val="16"/>
                <w:szCs w:val="16"/>
                <w:lang w:val="en-GB"/>
              </w:rPr>
              <w:t>Baseline</w:t>
            </w:r>
            <w:r w:rsidRPr="00DE7DBC">
              <w:rPr>
                <w:sz w:val="16"/>
                <w:szCs w:val="16"/>
                <w:lang w:val="en-GB"/>
              </w:rPr>
              <w:t xml:space="preserve"> (2019): 30,427 (11,390 women; 19,037 men) </w:t>
            </w:r>
          </w:p>
          <w:p w14:paraId="3EF9634A" w14:textId="22311A02" w:rsidR="00D1201C" w:rsidRDefault="00D1201C">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36,924 (13,700 women, 23,224 men)</w:t>
            </w:r>
          </w:p>
          <w:p w14:paraId="5BB8249F" w14:textId="77777777" w:rsidR="00CC7524" w:rsidRPr="00DE7DBC" w:rsidRDefault="00CC7524" w:rsidP="00CC7524">
            <w:pPr>
              <w:pStyle w:val="ListParagraph"/>
              <w:widowControl w:val="0"/>
              <w:tabs>
                <w:tab w:val="center" w:pos="4187"/>
                <w:tab w:val="center" w:pos="4320"/>
                <w:tab w:val="right" w:pos="8640"/>
              </w:tabs>
              <w:autoSpaceDE w:val="0"/>
              <w:autoSpaceDN w:val="0"/>
              <w:adjustRightInd w:val="0"/>
              <w:ind w:left="0"/>
              <w:rPr>
                <w:sz w:val="16"/>
                <w:szCs w:val="16"/>
                <w:lang w:val="en-GB"/>
              </w:rPr>
            </w:pPr>
            <w:r w:rsidRPr="0005594E">
              <w:rPr>
                <w:i/>
                <w:iCs/>
                <w:sz w:val="16"/>
                <w:szCs w:val="16"/>
                <w:lang w:val="en-GB"/>
              </w:rPr>
              <w:t>Source, frequency</w:t>
            </w:r>
            <w:r w:rsidRPr="00DE7DBC">
              <w:rPr>
                <w:sz w:val="16"/>
                <w:szCs w:val="16"/>
                <w:lang w:val="en-GB"/>
              </w:rPr>
              <w:t>: UNDP programme reports (</w:t>
            </w:r>
            <w:r>
              <w:rPr>
                <w:sz w:val="16"/>
                <w:szCs w:val="16"/>
                <w:lang w:val="en-GB"/>
              </w:rPr>
              <w:t>bi-</w:t>
            </w:r>
            <w:r w:rsidRPr="00DE7DBC">
              <w:rPr>
                <w:sz w:val="16"/>
                <w:szCs w:val="16"/>
                <w:lang w:val="en-GB"/>
              </w:rPr>
              <w:t xml:space="preserve">annually). </w:t>
            </w:r>
          </w:p>
          <w:p w14:paraId="0062F2E4"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6F0CC29B" w14:textId="77777777" w:rsidR="00D1201C" w:rsidRPr="00DE7DBC" w:rsidRDefault="00D1201C" w:rsidP="00264C2D">
            <w:pPr>
              <w:rPr>
                <w:color w:val="000000"/>
                <w:sz w:val="16"/>
                <w:szCs w:val="16"/>
                <w:lang w:val="en-GB"/>
              </w:rPr>
            </w:pPr>
            <w:r w:rsidRPr="00264C2D">
              <w:rPr>
                <w:b/>
                <w:bCs/>
                <w:sz w:val="16"/>
                <w:szCs w:val="16"/>
                <w:lang w:val="en-GB"/>
              </w:rPr>
              <w:t>Indicator 3.1b:</w:t>
            </w:r>
            <w:r w:rsidRPr="00DE7DBC">
              <w:rPr>
                <w:sz w:val="16"/>
                <w:szCs w:val="16"/>
                <w:lang w:val="en-GB"/>
              </w:rPr>
              <w:t xml:space="preserve"> Number of women who actively engage through collective mechanisms in social, economic and political life.</w:t>
            </w:r>
          </w:p>
          <w:p w14:paraId="5792B3D6"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11,390.</w:t>
            </w:r>
          </w:p>
          <w:p w14:paraId="320A06D0"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14,897.</w:t>
            </w:r>
          </w:p>
          <w:p w14:paraId="45B42CE2"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UNDP programme reports (quarterly). </w:t>
            </w:r>
          </w:p>
          <w:p w14:paraId="2C2AB358"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7D2EF741" w14:textId="77777777" w:rsidR="00D1201C" w:rsidRPr="00DE7DBC" w:rsidRDefault="00D1201C" w:rsidP="00264C2D">
            <w:pPr>
              <w:rPr>
                <w:color w:val="000000"/>
                <w:sz w:val="16"/>
                <w:szCs w:val="16"/>
                <w:lang w:val="en-GB"/>
              </w:rPr>
            </w:pPr>
            <w:r w:rsidRPr="00264C2D">
              <w:rPr>
                <w:b/>
                <w:bCs/>
                <w:sz w:val="16"/>
                <w:szCs w:val="16"/>
                <w:lang w:val="en-GB"/>
              </w:rPr>
              <w:t>Indicator 3.1c:</w:t>
            </w:r>
            <w:r w:rsidRPr="00DE7DBC">
              <w:rPr>
                <w:sz w:val="16"/>
                <w:szCs w:val="16"/>
                <w:lang w:val="en-GB"/>
              </w:rPr>
              <w:t xml:space="preserve"> Number of structural interventions and innovative solutions introduced to accommodate participation of women in decision-making. </w:t>
            </w:r>
          </w:p>
          <w:p w14:paraId="0DD072F9"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0.</w:t>
            </w:r>
          </w:p>
          <w:p w14:paraId="10D785C3"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lastRenderedPageBreak/>
              <w:t>Target</w:t>
            </w:r>
            <w:r w:rsidRPr="00DE7DBC">
              <w:rPr>
                <w:sz w:val="16"/>
                <w:szCs w:val="16"/>
                <w:lang w:val="en-GB"/>
              </w:rPr>
              <w:t xml:space="preserve"> (2025): 5.</w:t>
            </w:r>
          </w:p>
          <w:p w14:paraId="3733525F" w14:textId="53E5728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Source, frequency</w:t>
            </w:r>
            <w:r w:rsidRPr="00DE7DBC">
              <w:rPr>
                <w:sz w:val="16"/>
                <w:szCs w:val="16"/>
                <w:lang w:val="en-GB"/>
              </w:rPr>
              <w:t xml:space="preserve">: UNDP programme reports, assessments, studies (annually). </w:t>
            </w:r>
          </w:p>
          <w:p w14:paraId="46EBD9C2" w14:textId="77777777" w:rsidR="00D1201C" w:rsidRPr="00DE7DBC" w:rsidRDefault="00D1201C" w:rsidP="00264C2D">
            <w:pPr>
              <w:pStyle w:val="ListParagraph"/>
              <w:widowControl w:val="0"/>
              <w:autoSpaceDE w:val="0"/>
              <w:autoSpaceDN w:val="0"/>
              <w:adjustRightInd w:val="0"/>
              <w:ind w:left="0"/>
              <w:rPr>
                <w:sz w:val="16"/>
                <w:szCs w:val="16"/>
                <w:lang w:val="en-GB"/>
              </w:rPr>
            </w:pPr>
          </w:p>
          <w:p w14:paraId="610DB9BF" w14:textId="6D5DDDE7" w:rsidR="00D1201C" w:rsidRPr="00DE7DBC" w:rsidRDefault="00D1201C" w:rsidP="00264C2D">
            <w:pPr>
              <w:pStyle w:val="ListParagraph"/>
              <w:widowControl w:val="0"/>
              <w:autoSpaceDE w:val="0"/>
              <w:autoSpaceDN w:val="0"/>
              <w:adjustRightInd w:val="0"/>
              <w:ind w:left="0"/>
              <w:rPr>
                <w:sz w:val="16"/>
                <w:szCs w:val="16"/>
                <w:lang w:val="en-GB"/>
              </w:rPr>
            </w:pPr>
            <w:r w:rsidRPr="00264C2D">
              <w:rPr>
                <w:b/>
                <w:spacing w:val="-4"/>
                <w:sz w:val="16"/>
                <w:szCs w:val="16"/>
                <w:lang w:val="en-GB"/>
              </w:rPr>
              <w:t>Indicator 3.1d</w:t>
            </w:r>
            <w:r w:rsidR="001E2C6B">
              <w:rPr>
                <w:b/>
                <w:spacing w:val="-4"/>
                <w:sz w:val="16"/>
                <w:szCs w:val="16"/>
                <w:lang w:val="en-GB"/>
              </w:rPr>
              <w:t>:</w:t>
            </w:r>
            <w:r w:rsidRPr="00DE7DBC">
              <w:rPr>
                <w:bCs/>
                <w:spacing w:val="-4"/>
                <w:sz w:val="16"/>
                <w:szCs w:val="16"/>
                <w:lang w:val="en-GB"/>
              </w:rPr>
              <w:t xml:space="preserve"> </w:t>
            </w:r>
            <w:r w:rsidRPr="00DE7DBC">
              <w:rPr>
                <w:sz w:val="16"/>
                <w:szCs w:val="16"/>
                <w:lang w:val="en-GB"/>
              </w:rPr>
              <w:t>Number of young people who improve critical thinking and leadership skills and apply these skills in their communities to bridge social divides.</w:t>
            </w:r>
          </w:p>
          <w:p w14:paraId="669BBF28"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1,162 (527 women; 635 men)</w:t>
            </w:r>
          </w:p>
          <w:p w14:paraId="00015B85" w14:textId="77777777"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2,012 (1,086 women; 926 men)</w:t>
            </w:r>
          </w:p>
          <w:p w14:paraId="4F20A5B4" w14:textId="0EDC7593" w:rsidR="00D1201C" w:rsidRPr="00DE7DBC" w:rsidRDefault="00D1201C" w:rsidP="00264C2D">
            <w:pPr>
              <w:rPr>
                <w:sz w:val="16"/>
                <w:szCs w:val="16"/>
                <w:lang w:val="en-GB"/>
              </w:rPr>
            </w:pPr>
            <w:r w:rsidRPr="00264C2D">
              <w:rPr>
                <w:i/>
                <w:iCs/>
                <w:sz w:val="16"/>
                <w:szCs w:val="16"/>
                <w:lang w:val="en-GB"/>
              </w:rPr>
              <w:t>Source, frequency</w:t>
            </w:r>
            <w:r w:rsidRPr="00DE7DBC">
              <w:rPr>
                <w:sz w:val="16"/>
                <w:szCs w:val="16"/>
                <w:lang w:val="en-GB"/>
              </w:rPr>
              <w:t xml:space="preserve">: UNDP </w:t>
            </w:r>
            <w:r w:rsidR="001E2C6B">
              <w:rPr>
                <w:sz w:val="16"/>
                <w:szCs w:val="16"/>
                <w:lang w:val="en-GB"/>
              </w:rPr>
              <w:t>p</w:t>
            </w:r>
            <w:r w:rsidRPr="00DE7DBC">
              <w:rPr>
                <w:sz w:val="16"/>
                <w:szCs w:val="16"/>
                <w:lang w:val="en-GB"/>
              </w:rPr>
              <w:t xml:space="preserve">rogramme reports, </w:t>
            </w:r>
            <w:r w:rsidR="001E2C6B">
              <w:rPr>
                <w:sz w:val="16"/>
                <w:szCs w:val="16"/>
                <w:lang w:val="en-GB"/>
              </w:rPr>
              <w:t>p</w:t>
            </w:r>
            <w:r w:rsidRPr="00DE7DBC">
              <w:rPr>
                <w:sz w:val="16"/>
                <w:szCs w:val="16"/>
                <w:lang w:val="en-GB"/>
              </w:rPr>
              <w:t>hotos, media coverage</w:t>
            </w:r>
            <w:r w:rsidR="009E6CC5" w:rsidRPr="00DE7DBC">
              <w:rPr>
                <w:sz w:val="16"/>
                <w:szCs w:val="16"/>
                <w:lang w:val="en-GB"/>
              </w:rPr>
              <w:t xml:space="preserve"> </w:t>
            </w:r>
            <w:r w:rsidRPr="00DE7DBC">
              <w:rPr>
                <w:sz w:val="16"/>
                <w:szCs w:val="16"/>
                <w:lang w:val="en-GB"/>
              </w:rPr>
              <w:t>(quarterly).</w:t>
            </w:r>
          </w:p>
          <w:p w14:paraId="3281C090" w14:textId="77777777" w:rsidR="00D1201C" w:rsidRPr="00DE7DBC" w:rsidRDefault="00D1201C" w:rsidP="00264C2D">
            <w:pPr>
              <w:rPr>
                <w:sz w:val="16"/>
                <w:szCs w:val="16"/>
                <w:lang w:val="en-GB"/>
              </w:rPr>
            </w:pPr>
          </w:p>
          <w:p w14:paraId="36C5114E" w14:textId="77777777" w:rsidR="00D1201C" w:rsidRPr="00DE7DBC" w:rsidRDefault="00D1201C" w:rsidP="00264C2D">
            <w:pPr>
              <w:widowControl w:val="0"/>
              <w:autoSpaceDE w:val="0"/>
              <w:autoSpaceDN w:val="0"/>
              <w:adjustRightInd w:val="0"/>
              <w:rPr>
                <w:b/>
                <w:sz w:val="16"/>
                <w:szCs w:val="16"/>
                <w:lang w:val="en-GB"/>
              </w:rPr>
            </w:pPr>
            <w:r w:rsidRPr="00DE7DBC">
              <w:rPr>
                <w:b/>
                <w:sz w:val="16"/>
                <w:szCs w:val="16"/>
                <w:lang w:val="en-GB"/>
              </w:rPr>
              <w:t xml:space="preserve">Output 3.2 Civil society organisations, </w:t>
            </w:r>
            <w:r w:rsidRPr="00DE7DBC">
              <w:rPr>
                <w:b/>
                <w:bCs/>
                <w:sz w:val="16"/>
                <w:szCs w:val="16"/>
                <w:lang w:val="en-GB"/>
              </w:rPr>
              <w:t xml:space="preserve">including youth-led civil society, </w:t>
            </w:r>
            <w:r w:rsidRPr="00DE7DBC">
              <w:rPr>
                <w:b/>
                <w:sz w:val="16"/>
                <w:szCs w:val="16"/>
                <w:lang w:val="en-GB"/>
              </w:rPr>
              <w:t xml:space="preserve">have enhanced capacities to proactively engage in sustainable development partnerships </w:t>
            </w:r>
          </w:p>
          <w:p w14:paraId="2B152467" w14:textId="77777777" w:rsidR="001E2C6B" w:rsidRDefault="001E2C6B" w:rsidP="001E2C6B">
            <w:pPr>
              <w:rPr>
                <w:i/>
                <w:iCs/>
                <w:sz w:val="16"/>
                <w:szCs w:val="16"/>
                <w:lang w:val="en-GB"/>
              </w:rPr>
            </w:pPr>
          </w:p>
          <w:p w14:paraId="43EC5497" w14:textId="3A97476B" w:rsidR="00D1201C" w:rsidRPr="00DE7DBC" w:rsidRDefault="00D1201C" w:rsidP="00264C2D">
            <w:pPr>
              <w:rPr>
                <w:sz w:val="16"/>
                <w:szCs w:val="16"/>
                <w:lang w:val="en-GB"/>
              </w:rPr>
            </w:pPr>
            <w:r w:rsidRPr="00264C2D">
              <w:rPr>
                <w:b/>
                <w:bCs/>
                <w:sz w:val="16"/>
                <w:szCs w:val="16"/>
                <w:lang w:val="en-GB"/>
              </w:rPr>
              <w:t>Indicator 3.2a:</w:t>
            </w:r>
            <w:r w:rsidRPr="00DE7DBC">
              <w:rPr>
                <w:sz w:val="16"/>
                <w:szCs w:val="16"/>
                <w:lang w:val="en-GB"/>
              </w:rPr>
              <w:t xml:space="preserve"> Number of civil society organisations benefiting from enhanced organisational and technical capacity enabling them to steer democratic processes and implement development-oriented initiatives. </w:t>
            </w:r>
          </w:p>
          <w:p w14:paraId="5C75FC4C" w14:textId="3D77C9A8"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Baseline</w:t>
            </w:r>
            <w:r w:rsidRPr="00DE7DBC">
              <w:rPr>
                <w:sz w:val="16"/>
                <w:szCs w:val="16"/>
                <w:lang w:val="en-GB"/>
              </w:rPr>
              <w:t xml:space="preserve"> (2019): 484</w:t>
            </w:r>
            <w:r w:rsidR="00CC7524">
              <w:rPr>
                <w:sz w:val="16"/>
                <w:szCs w:val="16"/>
                <w:lang w:val="en-GB"/>
              </w:rPr>
              <w:t>.</w:t>
            </w:r>
            <w:r w:rsidRPr="00DE7DBC">
              <w:rPr>
                <w:sz w:val="16"/>
                <w:szCs w:val="16"/>
                <w:lang w:val="en-GB"/>
              </w:rPr>
              <w:t xml:space="preserve"> </w:t>
            </w:r>
          </w:p>
          <w:p w14:paraId="355CC87A" w14:textId="378015B0" w:rsidR="00D1201C" w:rsidRPr="00DE7DBC" w:rsidRDefault="00D1201C" w:rsidP="00264C2D">
            <w:pPr>
              <w:pStyle w:val="ListParagraph"/>
              <w:widowControl w:val="0"/>
              <w:autoSpaceDE w:val="0"/>
              <w:autoSpaceDN w:val="0"/>
              <w:adjustRightInd w:val="0"/>
              <w:ind w:left="0"/>
              <w:rPr>
                <w:sz w:val="16"/>
                <w:szCs w:val="16"/>
                <w:lang w:val="en-GB"/>
              </w:rPr>
            </w:pPr>
            <w:r w:rsidRPr="00264C2D">
              <w:rPr>
                <w:i/>
                <w:iCs/>
                <w:sz w:val="16"/>
                <w:szCs w:val="16"/>
                <w:lang w:val="en-GB"/>
              </w:rPr>
              <w:t>Target</w:t>
            </w:r>
            <w:r w:rsidRPr="00DE7DBC">
              <w:rPr>
                <w:sz w:val="16"/>
                <w:szCs w:val="16"/>
                <w:lang w:val="en-GB"/>
              </w:rPr>
              <w:t xml:space="preserve"> (2025): 809</w:t>
            </w:r>
            <w:r w:rsidR="00CC7524">
              <w:rPr>
                <w:sz w:val="16"/>
                <w:szCs w:val="16"/>
                <w:lang w:val="en-GB"/>
              </w:rPr>
              <w:t>.</w:t>
            </w:r>
            <w:r w:rsidRPr="00DE7DBC">
              <w:rPr>
                <w:sz w:val="16"/>
                <w:szCs w:val="16"/>
                <w:lang w:val="en-GB"/>
              </w:rPr>
              <w:t xml:space="preserve"> </w:t>
            </w:r>
          </w:p>
          <w:p w14:paraId="7983F26C" w14:textId="59863E29" w:rsidR="00D1201C" w:rsidRDefault="00D1201C" w:rsidP="001E2C6B">
            <w:pPr>
              <w:widowControl w:val="0"/>
              <w:autoSpaceDE w:val="0"/>
              <w:autoSpaceDN w:val="0"/>
              <w:adjustRightInd w:val="0"/>
              <w:rPr>
                <w:sz w:val="16"/>
                <w:szCs w:val="16"/>
                <w:lang w:val="en-GB"/>
              </w:rPr>
            </w:pPr>
            <w:r w:rsidRPr="00264C2D">
              <w:rPr>
                <w:i/>
                <w:iCs/>
                <w:sz w:val="16"/>
                <w:szCs w:val="16"/>
                <w:lang w:val="en-GB"/>
              </w:rPr>
              <w:t>Source, frequency</w:t>
            </w:r>
            <w:r w:rsidRPr="00DE7DBC">
              <w:rPr>
                <w:sz w:val="16"/>
                <w:szCs w:val="16"/>
                <w:lang w:val="en-GB"/>
              </w:rPr>
              <w:t>: Reports from the E</w:t>
            </w:r>
            <w:r w:rsidR="001E2C6B">
              <w:rPr>
                <w:sz w:val="16"/>
                <w:szCs w:val="16"/>
                <w:lang w:val="en-GB"/>
              </w:rPr>
              <w:t xml:space="preserve">uropean </w:t>
            </w:r>
            <w:r w:rsidRPr="00DE7DBC">
              <w:rPr>
                <w:sz w:val="16"/>
                <w:szCs w:val="16"/>
                <w:lang w:val="en-GB"/>
              </w:rPr>
              <w:t>U</w:t>
            </w:r>
            <w:r w:rsidR="001E2C6B">
              <w:rPr>
                <w:sz w:val="16"/>
                <w:szCs w:val="16"/>
                <w:lang w:val="en-GB"/>
              </w:rPr>
              <w:t>nion</w:t>
            </w:r>
            <w:r w:rsidRPr="00DE7DBC">
              <w:rPr>
                <w:sz w:val="16"/>
                <w:szCs w:val="16"/>
                <w:lang w:val="en-GB"/>
              </w:rPr>
              <w:t xml:space="preserve"> (annual) and UNDP programme reports (annually). </w:t>
            </w:r>
          </w:p>
          <w:p w14:paraId="4383B421" w14:textId="60FA3303" w:rsidR="001E2C6B" w:rsidRPr="00DE7DBC" w:rsidRDefault="001E2C6B" w:rsidP="00264C2D">
            <w:pPr>
              <w:widowControl w:val="0"/>
              <w:autoSpaceDE w:val="0"/>
              <w:autoSpaceDN w:val="0"/>
              <w:adjustRightInd w:val="0"/>
              <w:rPr>
                <w:sz w:val="16"/>
                <w:szCs w:val="16"/>
                <w:lang w:val="en-GB"/>
              </w:rPr>
            </w:pPr>
          </w:p>
        </w:tc>
        <w:tc>
          <w:tcPr>
            <w:tcW w:w="812" w:type="pct"/>
            <w:vMerge w:val="restart"/>
            <w:shd w:val="clear" w:color="auto" w:fill="auto"/>
          </w:tcPr>
          <w:p w14:paraId="24B79C2A" w14:textId="660260B2" w:rsidR="00D1201C" w:rsidRPr="00DE7DBC" w:rsidRDefault="00D1201C" w:rsidP="00264C2D">
            <w:pPr>
              <w:rPr>
                <w:color w:val="000000"/>
                <w:sz w:val="16"/>
                <w:szCs w:val="16"/>
                <w:lang w:val="en-GB"/>
              </w:rPr>
            </w:pPr>
            <w:r w:rsidRPr="00DE7DBC">
              <w:rPr>
                <w:color w:val="000000"/>
                <w:sz w:val="16"/>
                <w:szCs w:val="16"/>
                <w:lang w:val="en-GB"/>
              </w:rPr>
              <w:lastRenderedPageBreak/>
              <w:t>Presidency of Bosnia and Herzegovina; local governments, UN</w:t>
            </w:r>
            <w:r w:rsidR="001E2C6B">
              <w:rPr>
                <w:color w:val="000000"/>
                <w:sz w:val="16"/>
                <w:szCs w:val="16"/>
                <w:lang w:val="en-GB"/>
              </w:rPr>
              <w:t>-</w:t>
            </w:r>
            <w:r w:rsidRPr="00DE7DBC">
              <w:rPr>
                <w:color w:val="000000"/>
                <w:sz w:val="16"/>
                <w:szCs w:val="16"/>
                <w:lang w:val="en-GB"/>
              </w:rPr>
              <w:t xml:space="preserve">Women, </w:t>
            </w:r>
            <w:r w:rsidR="001E2C6B">
              <w:rPr>
                <w:color w:val="000000"/>
                <w:sz w:val="16"/>
                <w:szCs w:val="16"/>
                <w:lang w:val="en-GB"/>
              </w:rPr>
              <w:t xml:space="preserve">the </w:t>
            </w:r>
            <w:r w:rsidRPr="00DE7DBC">
              <w:rPr>
                <w:color w:val="000000"/>
                <w:sz w:val="16"/>
                <w:szCs w:val="16"/>
                <w:lang w:val="en-GB"/>
              </w:rPr>
              <w:t xml:space="preserve">Government of Switzerland, </w:t>
            </w:r>
            <w:r w:rsidR="001E2C6B">
              <w:rPr>
                <w:color w:val="000000"/>
                <w:sz w:val="16"/>
                <w:szCs w:val="16"/>
                <w:lang w:val="en-GB"/>
              </w:rPr>
              <w:t xml:space="preserve">the </w:t>
            </w:r>
            <w:r w:rsidRPr="00DE7DBC">
              <w:rPr>
                <w:color w:val="000000"/>
                <w:sz w:val="16"/>
                <w:szCs w:val="16"/>
                <w:lang w:val="en-GB"/>
              </w:rPr>
              <w:t>Government of Sweden, community hubs; civil society organi</w:t>
            </w:r>
            <w:r w:rsidR="001E2C6B">
              <w:rPr>
                <w:color w:val="000000"/>
                <w:sz w:val="16"/>
                <w:szCs w:val="16"/>
                <w:lang w:val="en-GB"/>
              </w:rPr>
              <w:t>z</w:t>
            </w:r>
            <w:r w:rsidRPr="00DE7DBC">
              <w:rPr>
                <w:color w:val="000000"/>
                <w:sz w:val="16"/>
                <w:szCs w:val="16"/>
                <w:lang w:val="en-GB"/>
              </w:rPr>
              <w:t>ations</w:t>
            </w:r>
            <w:r w:rsidRPr="00DE7DBC">
              <w:rPr>
                <w:color w:val="000000" w:themeColor="text1"/>
                <w:sz w:val="16"/>
                <w:szCs w:val="16"/>
                <w:lang w:val="en-GB"/>
              </w:rPr>
              <w:t xml:space="preserve">, </w:t>
            </w:r>
            <w:r w:rsidRPr="00DE7DBC">
              <w:rPr>
                <w:color w:val="000000"/>
                <w:sz w:val="16"/>
                <w:szCs w:val="16"/>
                <w:lang w:val="en-GB"/>
              </w:rPr>
              <w:t>media.</w:t>
            </w:r>
          </w:p>
        </w:tc>
        <w:tc>
          <w:tcPr>
            <w:tcW w:w="560" w:type="pct"/>
            <w:shd w:val="clear" w:color="auto" w:fill="auto"/>
            <w:tcMar>
              <w:top w:w="15" w:type="dxa"/>
              <w:left w:w="108" w:type="dxa"/>
              <w:bottom w:w="0" w:type="dxa"/>
              <w:right w:w="108" w:type="dxa"/>
            </w:tcMar>
          </w:tcPr>
          <w:p w14:paraId="32EECB1B" w14:textId="77777777" w:rsidR="00D1201C" w:rsidRPr="00DE7DBC" w:rsidRDefault="00D1201C" w:rsidP="00D1201C">
            <w:pPr>
              <w:rPr>
                <w:b/>
                <w:color w:val="000000"/>
                <w:sz w:val="16"/>
                <w:szCs w:val="16"/>
                <w:lang w:val="en-GB"/>
              </w:rPr>
            </w:pPr>
            <w:r w:rsidRPr="00DE7DBC">
              <w:rPr>
                <w:b/>
                <w:color w:val="000000"/>
                <w:sz w:val="16"/>
                <w:szCs w:val="16"/>
                <w:lang w:val="en-GB"/>
              </w:rPr>
              <w:t>Regular</w:t>
            </w:r>
          </w:p>
          <w:p w14:paraId="0DF2881A" w14:textId="253966B5" w:rsidR="00D1201C" w:rsidRPr="00DE7DBC" w:rsidRDefault="00D1201C" w:rsidP="00D1201C">
            <w:pPr>
              <w:rPr>
                <w:b/>
                <w:color w:val="000000"/>
                <w:sz w:val="16"/>
                <w:szCs w:val="16"/>
                <w:lang w:val="en-GB"/>
              </w:rPr>
            </w:pPr>
            <w:r w:rsidRPr="00DE7DBC">
              <w:rPr>
                <w:b/>
                <w:color w:val="000000"/>
                <w:sz w:val="16"/>
                <w:szCs w:val="16"/>
                <w:lang w:val="en-GB"/>
              </w:rPr>
              <w:t>80,000</w:t>
            </w:r>
          </w:p>
        </w:tc>
      </w:tr>
      <w:tr w:rsidR="00D1201C" w:rsidRPr="00DE7DBC" w14:paraId="04045FDB" w14:textId="77777777" w:rsidTr="00C15550">
        <w:tc>
          <w:tcPr>
            <w:tcW w:w="1136" w:type="pct"/>
            <w:vMerge/>
            <w:shd w:val="clear" w:color="auto" w:fill="auto"/>
            <w:tcMar>
              <w:top w:w="72" w:type="dxa"/>
              <w:left w:w="144" w:type="dxa"/>
              <w:bottom w:w="72" w:type="dxa"/>
              <w:right w:w="144" w:type="dxa"/>
            </w:tcMar>
          </w:tcPr>
          <w:p w14:paraId="63F4C8DE" w14:textId="77777777" w:rsidR="00D1201C" w:rsidRPr="00DE7DBC" w:rsidRDefault="00D1201C" w:rsidP="00D1201C">
            <w:pPr>
              <w:pStyle w:val="ListParagraph"/>
              <w:ind w:left="0"/>
              <w:jc w:val="both"/>
              <w:rPr>
                <w:spacing w:val="-2"/>
                <w:sz w:val="16"/>
                <w:szCs w:val="16"/>
                <w:lang w:val="en-GB"/>
              </w:rPr>
            </w:pPr>
          </w:p>
        </w:tc>
        <w:tc>
          <w:tcPr>
            <w:tcW w:w="759" w:type="pct"/>
            <w:vMerge/>
            <w:shd w:val="clear" w:color="auto" w:fill="auto"/>
          </w:tcPr>
          <w:p w14:paraId="40CAC597" w14:textId="77777777" w:rsidR="00D1201C" w:rsidRPr="00DE7DBC" w:rsidRDefault="00D1201C" w:rsidP="00D1201C">
            <w:pPr>
              <w:jc w:val="both"/>
              <w:rPr>
                <w:sz w:val="16"/>
                <w:szCs w:val="16"/>
                <w:lang w:val="en-GB"/>
              </w:rPr>
            </w:pPr>
          </w:p>
        </w:tc>
        <w:tc>
          <w:tcPr>
            <w:tcW w:w="1733" w:type="pct"/>
            <w:vMerge/>
            <w:shd w:val="clear" w:color="auto" w:fill="auto"/>
            <w:tcMar>
              <w:top w:w="72" w:type="dxa"/>
              <w:left w:w="144" w:type="dxa"/>
              <w:bottom w:w="72" w:type="dxa"/>
              <w:right w:w="144" w:type="dxa"/>
            </w:tcMar>
          </w:tcPr>
          <w:p w14:paraId="3E0AFCA2" w14:textId="77777777" w:rsidR="00D1201C" w:rsidRPr="00DE7DBC" w:rsidRDefault="00D1201C" w:rsidP="00D1201C">
            <w:pPr>
              <w:widowControl w:val="0"/>
              <w:autoSpaceDE w:val="0"/>
              <w:autoSpaceDN w:val="0"/>
              <w:adjustRightInd w:val="0"/>
              <w:jc w:val="both"/>
              <w:rPr>
                <w:b/>
                <w:sz w:val="16"/>
                <w:szCs w:val="16"/>
                <w:lang w:val="en-GB"/>
              </w:rPr>
            </w:pPr>
          </w:p>
        </w:tc>
        <w:tc>
          <w:tcPr>
            <w:tcW w:w="812" w:type="pct"/>
            <w:vMerge/>
            <w:shd w:val="clear" w:color="auto" w:fill="auto"/>
          </w:tcPr>
          <w:p w14:paraId="468AB755" w14:textId="77777777" w:rsidR="00D1201C" w:rsidRPr="00DE7DBC" w:rsidRDefault="00D1201C" w:rsidP="00D1201C">
            <w:pPr>
              <w:jc w:val="both"/>
              <w:rPr>
                <w:color w:val="000000"/>
                <w:sz w:val="16"/>
                <w:szCs w:val="16"/>
                <w:lang w:val="en-GB"/>
              </w:rPr>
            </w:pPr>
          </w:p>
        </w:tc>
        <w:tc>
          <w:tcPr>
            <w:tcW w:w="560" w:type="pct"/>
            <w:shd w:val="clear" w:color="auto" w:fill="auto"/>
            <w:tcMar>
              <w:top w:w="15" w:type="dxa"/>
              <w:left w:w="108" w:type="dxa"/>
              <w:bottom w:w="0" w:type="dxa"/>
              <w:right w:w="108" w:type="dxa"/>
            </w:tcMar>
          </w:tcPr>
          <w:p w14:paraId="52A8019C" w14:textId="77777777" w:rsidR="00D1201C" w:rsidRPr="00DE7DBC" w:rsidRDefault="00D1201C" w:rsidP="00D1201C">
            <w:pPr>
              <w:rPr>
                <w:b/>
                <w:color w:val="000000"/>
                <w:sz w:val="16"/>
                <w:szCs w:val="16"/>
                <w:lang w:val="en-GB"/>
              </w:rPr>
            </w:pPr>
            <w:r w:rsidRPr="00DE7DBC">
              <w:rPr>
                <w:b/>
                <w:color w:val="000000"/>
                <w:sz w:val="16"/>
                <w:szCs w:val="16"/>
                <w:lang w:val="en-GB"/>
              </w:rPr>
              <w:t>Other</w:t>
            </w:r>
          </w:p>
          <w:p w14:paraId="12528D53" w14:textId="117F3022" w:rsidR="00D1201C" w:rsidRPr="00DE7DBC" w:rsidRDefault="00D1201C" w:rsidP="00D1201C">
            <w:pPr>
              <w:rPr>
                <w:b/>
                <w:color w:val="000000"/>
                <w:sz w:val="16"/>
                <w:szCs w:val="16"/>
                <w:lang w:val="en-GB"/>
              </w:rPr>
            </w:pPr>
            <w:r w:rsidRPr="00DE7DBC">
              <w:rPr>
                <w:b/>
                <w:color w:val="000000"/>
                <w:sz w:val="16"/>
                <w:szCs w:val="16"/>
                <w:lang w:val="en-GB"/>
              </w:rPr>
              <w:t>6,875,000</w:t>
            </w:r>
          </w:p>
        </w:tc>
      </w:tr>
    </w:tbl>
    <w:p w14:paraId="6B0FF2D1" w14:textId="612FBEA7" w:rsidR="008037EA" w:rsidRPr="00DE7DBC" w:rsidRDefault="008037EA" w:rsidP="00D9352A">
      <w:pPr>
        <w:tabs>
          <w:tab w:val="left" w:pos="8193"/>
        </w:tabs>
        <w:jc w:val="center"/>
        <w:rPr>
          <w:sz w:val="16"/>
          <w:szCs w:val="16"/>
          <w:lang w:val="en-GB"/>
        </w:rPr>
      </w:pPr>
    </w:p>
    <w:p w14:paraId="7FB207D9" w14:textId="67E1644A" w:rsidR="0071084A" w:rsidRPr="00DE7DBC" w:rsidRDefault="0071084A" w:rsidP="008037EA">
      <w:pPr>
        <w:tabs>
          <w:tab w:val="left" w:pos="8193"/>
        </w:tabs>
        <w:rPr>
          <w:sz w:val="16"/>
          <w:szCs w:val="16"/>
          <w:lang w:val="en-GB"/>
        </w:rPr>
      </w:pPr>
    </w:p>
    <w:p w14:paraId="2514945E" w14:textId="4CD15FC5" w:rsidR="0071084A" w:rsidRPr="00DE7DBC" w:rsidRDefault="00D9352A" w:rsidP="008037EA">
      <w:pPr>
        <w:tabs>
          <w:tab w:val="left" w:pos="8193"/>
        </w:tabs>
        <w:rPr>
          <w:sz w:val="16"/>
          <w:szCs w:val="16"/>
          <w:lang w:val="en-GB"/>
        </w:rPr>
      </w:pPr>
      <w:r w:rsidRPr="00DE7DBC">
        <w:rPr>
          <w:rFonts w:eastAsia="MS Mincho"/>
          <w:noProof/>
          <w:sz w:val="22"/>
          <w:szCs w:val="22"/>
          <w:lang w:val="en-GB" w:eastAsia="ko-KR"/>
        </w:rPr>
        <mc:AlternateContent>
          <mc:Choice Requires="wps">
            <w:drawing>
              <wp:anchor distT="0" distB="0" distL="114300" distR="114300" simplePos="0" relativeHeight="251659264" behindDoc="0" locked="0" layoutInCell="1" allowOverlap="1" wp14:anchorId="7642D4DA" wp14:editId="1F9882F8">
                <wp:simplePos x="0" y="0"/>
                <wp:positionH relativeFrom="column">
                  <wp:posOffset>3886200</wp:posOffset>
                </wp:positionH>
                <wp:positionV relativeFrom="paragraph">
                  <wp:posOffset>34925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373C"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5pt" to="3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" strokeweight=".25pt"/>
            </w:pict>
          </mc:Fallback>
        </mc:AlternateContent>
      </w:r>
    </w:p>
    <w:sectPr w:rsidR="0071084A" w:rsidRPr="00DE7DBC" w:rsidSect="00D1201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5B08" w14:textId="77777777" w:rsidR="00001D97" w:rsidRDefault="00001D97" w:rsidP="00441061">
      <w:r>
        <w:separator/>
      </w:r>
    </w:p>
  </w:endnote>
  <w:endnote w:type="continuationSeparator" w:id="0">
    <w:p w14:paraId="32479714" w14:textId="77777777" w:rsidR="00001D97" w:rsidRDefault="00001D97"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0D1B" w14:textId="7FD7CB51" w:rsidR="00264C2D" w:rsidRPr="0071084A" w:rsidRDefault="00264C2D" w:rsidP="00D4239C">
    <w:pPr>
      <w:pStyle w:val="Footer"/>
      <w:ind w:firstLine="72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4266" w14:textId="5CF517C5" w:rsidR="00264C2D" w:rsidRPr="0071084A" w:rsidRDefault="00264C2D" w:rsidP="00D4239C">
    <w:pPr>
      <w:pStyle w:val="Footer"/>
      <w:ind w:right="49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137C" w14:textId="77777777" w:rsidR="00D4239C" w:rsidRPr="0071084A" w:rsidRDefault="00D4239C" w:rsidP="00D4239C">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41C0" w14:textId="77777777" w:rsidR="00D4239C" w:rsidRPr="0071084A" w:rsidRDefault="00D4239C" w:rsidP="00D4239C">
    <w:pPr>
      <w:pStyle w:val="Footer"/>
      <w:ind w:right="39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3F6A" w14:textId="77777777" w:rsidR="00001D97" w:rsidRDefault="00001D97" w:rsidP="00441061">
      <w:r>
        <w:separator/>
      </w:r>
    </w:p>
  </w:footnote>
  <w:footnote w:type="continuationSeparator" w:id="0">
    <w:p w14:paraId="48949B48" w14:textId="77777777" w:rsidR="00001D97" w:rsidRDefault="00001D97" w:rsidP="00441061">
      <w:r>
        <w:continuationSeparator/>
      </w:r>
    </w:p>
  </w:footnote>
  <w:footnote w:id="1">
    <w:p w14:paraId="017E3897" w14:textId="7D8A404E" w:rsidR="00264C2D" w:rsidRPr="0057372A" w:rsidRDefault="00264C2D" w:rsidP="0034740F">
      <w:pPr>
        <w:pStyle w:val="FootnoteText"/>
        <w:jc w:val="both"/>
        <w:rPr>
          <w:rFonts w:ascii="Times New Roman" w:hAnsi="Times New Roman"/>
          <w:spacing w:val="-4"/>
          <w:sz w:val="16"/>
          <w:szCs w:val="16"/>
        </w:rPr>
      </w:pPr>
      <w:r w:rsidRPr="0057372A">
        <w:rPr>
          <w:rStyle w:val="FootnoteReference"/>
          <w:rFonts w:ascii="Times New Roman" w:hAnsi="Times New Roman"/>
          <w:spacing w:val="-4"/>
          <w:sz w:val="16"/>
          <w:szCs w:val="16"/>
        </w:rPr>
        <w:footnoteRef/>
      </w:r>
      <w:r w:rsidRPr="0057372A">
        <w:rPr>
          <w:rFonts w:ascii="Times New Roman" w:hAnsi="Times New Roman"/>
          <w:spacing w:val="-4"/>
          <w:sz w:val="16"/>
          <w:szCs w:val="16"/>
        </w:rPr>
        <w:t xml:space="preserve"> 2013 population census in Bosnia and Herzegovina; its final results have not been released due to dispute between the two entities.</w:t>
      </w:r>
    </w:p>
  </w:footnote>
  <w:footnote w:id="2">
    <w:p w14:paraId="624DB087" w14:textId="69C8371B" w:rsidR="00264C2D" w:rsidRPr="0057372A" w:rsidRDefault="00264C2D" w:rsidP="0034740F">
      <w:pPr>
        <w:pStyle w:val="FootnoteText"/>
        <w:ind w:right="28"/>
        <w:jc w:val="both"/>
        <w:rPr>
          <w:rFonts w:ascii="Times New Roman" w:hAnsi="Times New Roman"/>
          <w:spacing w:val="-4"/>
          <w:sz w:val="16"/>
          <w:szCs w:val="16"/>
        </w:rPr>
      </w:pPr>
      <w:r w:rsidRPr="0057372A">
        <w:rPr>
          <w:rFonts w:ascii="Times New Roman" w:hAnsi="Times New Roman"/>
          <w:sz w:val="16"/>
          <w:szCs w:val="16"/>
          <w:vertAlign w:val="superscript"/>
        </w:rPr>
        <w:footnoteRef/>
      </w:r>
      <w:r w:rsidRPr="0057372A">
        <w:rPr>
          <w:rFonts w:ascii="Times New Roman" w:hAnsi="Times New Roman"/>
          <w:spacing w:val="-4"/>
          <w:sz w:val="16"/>
          <w:szCs w:val="16"/>
        </w:rPr>
        <w:t xml:space="preserve"> 2019 </w:t>
      </w:r>
      <w:r>
        <w:rPr>
          <w:rFonts w:ascii="Times New Roman" w:hAnsi="Times New Roman"/>
          <w:spacing w:val="-4"/>
          <w:sz w:val="16"/>
          <w:szCs w:val="16"/>
        </w:rPr>
        <w:t>f</w:t>
      </w:r>
      <w:r w:rsidRPr="0057372A">
        <w:rPr>
          <w:rFonts w:ascii="Times New Roman" w:hAnsi="Times New Roman"/>
          <w:spacing w:val="-4"/>
          <w:sz w:val="16"/>
          <w:szCs w:val="16"/>
        </w:rPr>
        <w:t xml:space="preserve">ragile </w:t>
      </w:r>
      <w:r>
        <w:rPr>
          <w:rFonts w:ascii="Times New Roman" w:hAnsi="Times New Roman"/>
          <w:spacing w:val="-4"/>
          <w:sz w:val="16"/>
          <w:szCs w:val="16"/>
        </w:rPr>
        <w:t>s</w:t>
      </w:r>
      <w:r w:rsidRPr="0057372A">
        <w:rPr>
          <w:rFonts w:ascii="Times New Roman" w:hAnsi="Times New Roman"/>
          <w:spacing w:val="-4"/>
          <w:sz w:val="16"/>
          <w:szCs w:val="16"/>
        </w:rPr>
        <w:t xml:space="preserve">tate </w:t>
      </w:r>
      <w:r>
        <w:rPr>
          <w:rFonts w:ascii="Times New Roman" w:hAnsi="Times New Roman"/>
          <w:spacing w:val="-4"/>
          <w:sz w:val="16"/>
          <w:szCs w:val="16"/>
        </w:rPr>
        <w:t>i</w:t>
      </w:r>
      <w:r w:rsidRPr="0057372A">
        <w:rPr>
          <w:rFonts w:ascii="Times New Roman" w:hAnsi="Times New Roman"/>
          <w:spacing w:val="-4"/>
          <w:sz w:val="16"/>
          <w:szCs w:val="16"/>
        </w:rPr>
        <w:t>ndex</w:t>
      </w:r>
      <w:hyperlink r:id="rId1" w:history="1"/>
      <w:r w:rsidRPr="0057372A">
        <w:rPr>
          <w:rFonts w:ascii="Times New Roman" w:hAnsi="Times New Roman"/>
          <w:spacing w:val="-4"/>
          <w:sz w:val="16"/>
          <w:szCs w:val="16"/>
        </w:rPr>
        <w:t>.</w:t>
      </w:r>
    </w:p>
  </w:footnote>
  <w:footnote w:id="3">
    <w:p w14:paraId="597A034F" w14:textId="1615E2F4" w:rsidR="00264C2D" w:rsidRPr="0057372A" w:rsidRDefault="00264C2D" w:rsidP="0034740F">
      <w:pPr>
        <w:pStyle w:val="FootnoteText"/>
        <w:ind w:right="28"/>
        <w:jc w:val="both"/>
        <w:rPr>
          <w:rFonts w:ascii="Times New Roman" w:hAnsi="Times New Roman"/>
          <w:spacing w:val="-4"/>
          <w:sz w:val="16"/>
          <w:szCs w:val="16"/>
        </w:rPr>
      </w:pPr>
      <w:r w:rsidRPr="0057372A">
        <w:rPr>
          <w:rStyle w:val="FootnoteReference"/>
          <w:rFonts w:ascii="Times New Roman" w:hAnsi="Times New Roman"/>
          <w:sz w:val="16"/>
          <w:szCs w:val="16"/>
        </w:rPr>
        <w:footnoteRef/>
      </w:r>
      <w:r w:rsidRPr="0057372A">
        <w:rPr>
          <w:rFonts w:ascii="Times New Roman" w:hAnsi="Times New Roman"/>
          <w:sz w:val="16"/>
          <w:szCs w:val="16"/>
        </w:rPr>
        <w:t xml:space="preserve"> </w:t>
      </w:r>
      <w:r w:rsidRPr="0057372A">
        <w:rPr>
          <w:rFonts w:ascii="Times New Roman" w:hAnsi="Times New Roman"/>
          <w:spacing w:val="-4"/>
          <w:sz w:val="16"/>
          <w:szCs w:val="16"/>
        </w:rPr>
        <w:t xml:space="preserve">Analytical </w:t>
      </w:r>
      <w:r>
        <w:rPr>
          <w:rFonts w:ascii="Times New Roman" w:hAnsi="Times New Roman"/>
          <w:spacing w:val="-4"/>
          <w:sz w:val="16"/>
          <w:szCs w:val="16"/>
        </w:rPr>
        <w:t>r</w:t>
      </w:r>
      <w:r w:rsidRPr="0057372A">
        <w:rPr>
          <w:rFonts w:ascii="Times New Roman" w:hAnsi="Times New Roman"/>
          <w:spacing w:val="-4"/>
          <w:sz w:val="16"/>
          <w:szCs w:val="16"/>
        </w:rPr>
        <w:t xml:space="preserve">eport, Commission Opinion on Bosnia and Herzegovina application for membership of the </w:t>
      </w:r>
      <w:r>
        <w:rPr>
          <w:rFonts w:ascii="Times New Roman" w:hAnsi="Times New Roman"/>
          <w:spacing w:val="-4"/>
          <w:sz w:val="16"/>
          <w:szCs w:val="16"/>
        </w:rPr>
        <w:t>European Union</w:t>
      </w:r>
      <w:r w:rsidRPr="0057372A">
        <w:rPr>
          <w:rFonts w:ascii="Times New Roman" w:hAnsi="Times New Roman"/>
          <w:spacing w:val="-4"/>
          <w:sz w:val="16"/>
          <w:szCs w:val="16"/>
        </w:rPr>
        <w:t xml:space="preserve">, May 2019.  </w:t>
      </w:r>
    </w:p>
  </w:footnote>
  <w:footnote w:id="4">
    <w:p w14:paraId="38DDD1F4" w14:textId="1DF23EC7" w:rsidR="00264C2D" w:rsidRPr="0057372A" w:rsidRDefault="00264C2D" w:rsidP="0034740F">
      <w:pPr>
        <w:pStyle w:val="FootnoteText"/>
        <w:ind w:right="-136"/>
        <w:jc w:val="both"/>
        <w:rPr>
          <w:rFonts w:ascii="Times New Roman" w:hAnsi="Times New Roman"/>
          <w:sz w:val="16"/>
          <w:szCs w:val="16"/>
        </w:rPr>
      </w:pPr>
      <w:r w:rsidRPr="0057372A">
        <w:rPr>
          <w:rStyle w:val="FootnoteReference"/>
          <w:rFonts w:ascii="Times New Roman" w:hAnsi="Times New Roman"/>
          <w:sz w:val="16"/>
          <w:szCs w:val="16"/>
        </w:rPr>
        <w:footnoteRef/>
      </w:r>
      <w:r w:rsidRPr="0057372A">
        <w:rPr>
          <w:rFonts w:ascii="Times New Roman" w:hAnsi="Times New Roman"/>
          <w:sz w:val="16"/>
          <w:szCs w:val="16"/>
        </w:rPr>
        <w:t xml:space="preserve"> The </w:t>
      </w:r>
      <w:r w:rsidRPr="0057372A">
        <w:rPr>
          <w:rFonts w:ascii="Times New Roman" w:hAnsi="Times New Roman"/>
          <w:sz w:val="16"/>
          <w:szCs w:val="16"/>
          <w:lang w:val="en-GB"/>
        </w:rPr>
        <w:t>E</w:t>
      </w:r>
      <w:r>
        <w:rPr>
          <w:rFonts w:ascii="Times New Roman" w:hAnsi="Times New Roman"/>
          <w:sz w:val="16"/>
          <w:szCs w:val="16"/>
          <w:lang w:val="en-GB"/>
        </w:rPr>
        <w:t xml:space="preserve">uropean Union </w:t>
      </w:r>
      <w:r w:rsidRPr="0057372A">
        <w:rPr>
          <w:rFonts w:ascii="Times New Roman" w:hAnsi="Times New Roman"/>
          <w:sz w:val="16"/>
          <w:szCs w:val="16"/>
          <w:lang w:val="en-GB"/>
        </w:rPr>
        <w:t xml:space="preserve">Stabilisation and Association Agreement and candidacy for </w:t>
      </w:r>
      <w:r>
        <w:rPr>
          <w:rFonts w:ascii="Times New Roman" w:hAnsi="Times New Roman"/>
          <w:sz w:val="16"/>
          <w:szCs w:val="16"/>
          <w:lang w:val="en-GB"/>
        </w:rPr>
        <w:t xml:space="preserve">the </w:t>
      </w:r>
      <w:r w:rsidRPr="0057372A">
        <w:rPr>
          <w:rFonts w:ascii="Times New Roman" w:hAnsi="Times New Roman"/>
          <w:sz w:val="16"/>
          <w:szCs w:val="16"/>
          <w:lang w:val="en-GB"/>
        </w:rPr>
        <w:t>E</w:t>
      </w:r>
      <w:r>
        <w:rPr>
          <w:rFonts w:ascii="Times New Roman" w:hAnsi="Times New Roman"/>
          <w:sz w:val="16"/>
          <w:szCs w:val="16"/>
          <w:lang w:val="en-GB"/>
        </w:rPr>
        <w:t xml:space="preserve">uropean Union </w:t>
      </w:r>
      <w:r w:rsidRPr="0057372A">
        <w:rPr>
          <w:rFonts w:ascii="Times New Roman" w:hAnsi="Times New Roman"/>
          <w:sz w:val="16"/>
          <w:szCs w:val="16"/>
          <w:lang w:val="en-GB"/>
        </w:rPr>
        <w:t>agreed in 201</w:t>
      </w:r>
      <w:r w:rsidR="00765E87">
        <w:rPr>
          <w:rFonts w:ascii="Times New Roman" w:hAnsi="Times New Roman"/>
          <w:sz w:val="16"/>
          <w:szCs w:val="16"/>
          <w:lang w:val="en-GB"/>
        </w:rPr>
        <w:t>6</w:t>
      </w:r>
      <w:r w:rsidRPr="0057372A">
        <w:rPr>
          <w:rFonts w:ascii="Times New Roman" w:hAnsi="Times New Roman"/>
          <w:sz w:val="16"/>
          <w:szCs w:val="16"/>
          <w:lang w:val="en-GB"/>
        </w:rPr>
        <w:t>.</w:t>
      </w:r>
    </w:p>
  </w:footnote>
  <w:footnote w:id="5">
    <w:p w14:paraId="30CC58D4" w14:textId="25418188" w:rsidR="00264C2D" w:rsidRPr="0057372A" w:rsidRDefault="00264C2D" w:rsidP="0034740F">
      <w:pPr>
        <w:pStyle w:val="FootnoteText"/>
        <w:jc w:val="both"/>
        <w:rPr>
          <w:rFonts w:ascii="Times New Roman" w:hAnsi="Times New Roman"/>
          <w:sz w:val="16"/>
          <w:szCs w:val="16"/>
        </w:rPr>
      </w:pPr>
      <w:r w:rsidRPr="0057372A">
        <w:rPr>
          <w:rStyle w:val="FootnoteReference"/>
          <w:rFonts w:ascii="Times New Roman" w:hAnsi="Times New Roman"/>
          <w:sz w:val="16"/>
          <w:szCs w:val="16"/>
        </w:rPr>
        <w:footnoteRef/>
      </w:r>
      <w:r w:rsidRPr="0057372A">
        <w:rPr>
          <w:rFonts w:ascii="Times New Roman" w:hAnsi="Times New Roman"/>
          <w:sz w:val="16"/>
          <w:szCs w:val="16"/>
        </w:rPr>
        <w:t xml:space="preserve"> Ministry of Security of Bosnia and Herzegovina, </w:t>
      </w:r>
      <w:r>
        <w:rPr>
          <w:rFonts w:ascii="Times New Roman" w:hAnsi="Times New Roman"/>
          <w:sz w:val="16"/>
          <w:szCs w:val="16"/>
        </w:rPr>
        <w:t>m</w:t>
      </w:r>
      <w:r w:rsidRPr="0057372A">
        <w:rPr>
          <w:rFonts w:ascii="Times New Roman" w:hAnsi="Times New Roman"/>
          <w:sz w:val="16"/>
          <w:szCs w:val="16"/>
        </w:rPr>
        <w:t xml:space="preserve">igration </w:t>
      </w:r>
      <w:r>
        <w:rPr>
          <w:rFonts w:ascii="Times New Roman" w:hAnsi="Times New Roman"/>
          <w:sz w:val="16"/>
          <w:szCs w:val="16"/>
        </w:rPr>
        <w:t>p</w:t>
      </w:r>
      <w:r w:rsidRPr="0057372A">
        <w:rPr>
          <w:rFonts w:ascii="Times New Roman" w:hAnsi="Times New Roman"/>
          <w:sz w:val="16"/>
          <w:szCs w:val="16"/>
        </w:rPr>
        <w:t>rofile</w:t>
      </w:r>
      <w:r>
        <w:rPr>
          <w:rFonts w:ascii="Times New Roman" w:hAnsi="Times New Roman"/>
          <w:sz w:val="16"/>
          <w:szCs w:val="16"/>
        </w:rPr>
        <w:t>,</w:t>
      </w:r>
      <w:r w:rsidRPr="0057372A">
        <w:rPr>
          <w:rFonts w:ascii="Times New Roman" w:hAnsi="Times New Roman"/>
          <w:sz w:val="16"/>
          <w:szCs w:val="16"/>
        </w:rPr>
        <w:t xml:space="preserve"> 2018. </w:t>
      </w:r>
    </w:p>
  </w:footnote>
  <w:footnote w:id="6">
    <w:p w14:paraId="2A789907" w14:textId="0A490A87" w:rsidR="00264C2D" w:rsidRPr="0057372A" w:rsidRDefault="00264C2D" w:rsidP="0034740F">
      <w:pPr>
        <w:pStyle w:val="FootnoteText"/>
        <w:jc w:val="both"/>
        <w:rPr>
          <w:rFonts w:ascii="Times New Roman" w:hAnsi="Times New Roman"/>
          <w:sz w:val="16"/>
          <w:szCs w:val="16"/>
        </w:rPr>
      </w:pPr>
      <w:r w:rsidRPr="0057372A">
        <w:rPr>
          <w:rStyle w:val="FootnoteReference"/>
          <w:rFonts w:ascii="Times New Roman" w:hAnsi="Times New Roman"/>
          <w:sz w:val="16"/>
          <w:szCs w:val="16"/>
        </w:rPr>
        <w:footnoteRef/>
      </w:r>
      <w:r w:rsidRPr="0057372A">
        <w:rPr>
          <w:rFonts w:ascii="Times New Roman" w:hAnsi="Times New Roman"/>
          <w:sz w:val="16"/>
          <w:szCs w:val="16"/>
        </w:rPr>
        <w:t xml:space="preserve"> </w:t>
      </w:r>
      <w:r w:rsidRPr="0057372A">
        <w:rPr>
          <w:rFonts w:ascii="Times New Roman" w:hAnsi="Times New Roman"/>
          <w:i/>
          <w:iCs/>
          <w:sz w:val="16"/>
          <w:szCs w:val="16"/>
        </w:rPr>
        <w:t>Trends in International Migrant Stock: The 2017 Revision</w:t>
      </w:r>
      <w:r>
        <w:rPr>
          <w:rFonts w:ascii="Times New Roman" w:hAnsi="Times New Roman"/>
          <w:i/>
          <w:iCs/>
          <w:sz w:val="16"/>
          <w:szCs w:val="16"/>
        </w:rPr>
        <w:t xml:space="preserve">, </w:t>
      </w:r>
      <w:r>
        <w:rPr>
          <w:rFonts w:ascii="Times New Roman" w:hAnsi="Times New Roman"/>
          <w:sz w:val="16"/>
          <w:szCs w:val="16"/>
        </w:rPr>
        <w:t>the United Nations, 2017</w:t>
      </w:r>
      <w:r w:rsidR="00765E87">
        <w:rPr>
          <w:rFonts w:ascii="Times New Roman" w:hAnsi="Times New Roman"/>
          <w:sz w:val="16"/>
          <w:szCs w:val="16"/>
        </w:rPr>
        <w:t>.</w:t>
      </w:r>
    </w:p>
  </w:footnote>
  <w:footnote w:id="7">
    <w:p w14:paraId="6F937D7A" w14:textId="3410E564" w:rsidR="00264C2D" w:rsidRPr="0057372A" w:rsidRDefault="00264C2D" w:rsidP="0034740F">
      <w:pPr>
        <w:pStyle w:val="FootnoteText"/>
        <w:ind w:right="-136"/>
        <w:jc w:val="both"/>
        <w:rPr>
          <w:rFonts w:ascii="Times New Roman" w:hAnsi="Times New Roman"/>
          <w:sz w:val="16"/>
          <w:szCs w:val="16"/>
        </w:rPr>
      </w:pPr>
      <w:r w:rsidRPr="0057372A">
        <w:rPr>
          <w:rStyle w:val="FootnoteReference"/>
          <w:rFonts w:ascii="Times New Roman" w:hAnsi="Times New Roman"/>
          <w:sz w:val="16"/>
          <w:szCs w:val="16"/>
        </w:rPr>
        <w:footnoteRef/>
      </w:r>
      <w:r w:rsidRPr="0057372A">
        <w:rPr>
          <w:rFonts w:ascii="Times New Roman" w:hAnsi="Times New Roman"/>
          <w:sz w:val="16"/>
          <w:szCs w:val="16"/>
        </w:rPr>
        <w:t xml:space="preserve"> </w:t>
      </w:r>
      <w:r>
        <w:rPr>
          <w:rFonts w:ascii="Times New Roman" w:hAnsi="Times New Roman"/>
          <w:sz w:val="16"/>
          <w:szCs w:val="16"/>
        </w:rPr>
        <w:t xml:space="preserve">United Nations Department of Economic and Social Affairs </w:t>
      </w:r>
      <w:r w:rsidRPr="0057372A">
        <w:rPr>
          <w:rFonts w:ascii="Times New Roman" w:hAnsi="Times New Roman"/>
          <w:sz w:val="16"/>
          <w:szCs w:val="16"/>
        </w:rPr>
        <w:t xml:space="preserve">population projections in </w:t>
      </w:r>
      <w:r>
        <w:rPr>
          <w:rFonts w:ascii="Times New Roman" w:hAnsi="Times New Roman"/>
          <w:sz w:val="16"/>
          <w:szCs w:val="16"/>
        </w:rPr>
        <w:t xml:space="preserve">the United Nations Sustainable </w:t>
      </w:r>
      <w:r w:rsidR="007A5EA7">
        <w:rPr>
          <w:rFonts w:ascii="Times New Roman" w:hAnsi="Times New Roman"/>
          <w:sz w:val="16"/>
          <w:szCs w:val="16"/>
        </w:rPr>
        <w:t>Development</w:t>
      </w:r>
      <w:r>
        <w:rPr>
          <w:rFonts w:ascii="Times New Roman" w:hAnsi="Times New Roman"/>
          <w:sz w:val="16"/>
          <w:szCs w:val="16"/>
        </w:rPr>
        <w:t xml:space="preserve"> Cooperation </w:t>
      </w:r>
      <w:r w:rsidRPr="0057372A">
        <w:rPr>
          <w:rFonts w:ascii="Times New Roman" w:hAnsi="Times New Roman"/>
          <w:sz w:val="16"/>
          <w:szCs w:val="16"/>
        </w:rPr>
        <w:t xml:space="preserve">Framework in Bosnia and Herzegovina, ibid, 7. </w:t>
      </w:r>
    </w:p>
  </w:footnote>
  <w:footnote w:id="8">
    <w:p w14:paraId="0841ACA8" w14:textId="1D594385" w:rsidR="00264C2D" w:rsidRPr="0057372A" w:rsidRDefault="00264C2D" w:rsidP="0034740F">
      <w:pPr>
        <w:pStyle w:val="FootnoteText"/>
        <w:ind w:right="28"/>
        <w:jc w:val="both"/>
        <w:rPr>
          <w:rFonts w:ascii="Times New Roman" w:hAnsi="Times New Roman"/>
          <w:spacing w:val="-4"/>
          <w:sz w:val="16"/>
          <w:szCs w:val="16"/>
        </w:rPr>
      </w:pPr>
      <w:r w:rsidRPr="0057372A">
        <w:rPr>
          <w:rFonts w:ascii="Times New Roman" w:hAnsi="Times New Roman"/>
          <w:spacing w:val="-4"/>
          <w:sz w:val="16"/>
          <w:szCs w:val="16"/>
          <w:vertAlign w:val="superscript"/>
        </w:rPr>
        <w:footnoteRef/>
      </w:r>
      <w:r w:rsidRPr="0057372A">
        <w:rPr>
          <w:rFonts w:ascii="Times New Roman" w:hAnsi="Times New Roman"/>
          <w:spacing w:val="-4"/>
          <w:sz w:val="16"/>
          <w:szCs w:val="16"/>
        </w:rPr>
        <w:t xml:space="preserve"> 2019 </w:t>
      </w:r>
      <w:r>
        <w:rPr>
          <w:rFonts w:ascii="Times New Roman" w:hAnsi="Times New Roman"/>
          <w:spacing w:val="-4"/>
          <w:sz w:val="16"/>
          <w:szCs w:val="16"/>
        </w:rPr>
        <w:t>l</w:t>
      </w:r>
      <w:r w:rsidRPr="0057372A">
        <w:rPr>
          <w:rFonts w:ascii="Times New Roman" w:hAnsi="Times New Roman"/>
          <w:spacing w:val="-4"/>
          <w:sz w:val="16"/>
          <w:szCs w:val="16"/>
        </w:rPr>
        <w:t>abo</w:t>
      </w:r>
      <w:r>
        <w:rPr>
          <w:rFonts w:ascii="Times New Roman" w:hAnsi="Times New Roman"/>
          <w:spacing w:val="-4"/>
          <w:sz w:val="16"/>
          <w:szCs w:val="16"/>
        </w:rPr>
        <w:t>u</w:t>
      </w:r>
      <w:r w:rsidRPr="0057372A">
        <w:rPr>
          <w:rFonts w:ascii="Times New Roman" w:hAnsi="Times New Roman"/>
          <w:spacing w:val="-4"/>
          <w:sz w:val="16"/>
          <w:szCs w:val="16"/>
        </w:rPr>
        <w:t xml:space="preserve">r </w:t>
      </w:r>
      <w:r>
        <w:rPr>
          <w:rFonts w:ascii="Times New Roman" w:hAnsi="Times New Roman"/>
          <w:spacing w:val="-4"/>
          <w:sz w:val="16"/>
          <w:szCs w:val="16"/>
        </w:rPr>
        <w:t>f</w:t>
      </w:r>
      <w:r w:rsidRPr="0057372A">
        <w:rPr>
          <w:rFonts w:ascii="Times New Roman" w:hAnsi="Times New Roman"/>
          <w:spacing w:val="-4"/>
          <w:sz w:val="16"/>
          <w:szCs w:val="16"/>
        </w:rPr>
        <w:t xml:space="preserve">orce </w:t>
      </w:r>
      <w:r>
        <w:rPr>
          <w:rFonts w:ascii="Times New Roman" w:hAnsi="Times New Roman"/>
          <w:spacing w:val="-4"/>
          <w:sz w:val="16"/>
          <w:szCs w:val="16"/>
        </w:rPr>
        <w:t>s</w:t>
      </w:r>
      <w:r w:rsidRPr="0057372A">
        <w:rPr>
          <w:rFonts w:ascii="Times New Roman" w:hAnsi="Times New Roman"/>
          <w:spacing w:val="-4"/>
          <w:sz w:val="16"/>
          <w:szCs w:val="16"/>
        </w:rPr>
        <w:t xml:space="preserve">urvey, Agency for Statistics of Bosnia and Herzegovina. </w:t>
      </w:r>
    </w:p>
  </w:footnote>
  <w:footnote w:id="9">
    <w:p w14:paraId="5A895BE8" w14:textId="2AE70BA4" w:rsidR="00264C2D" w:rsidRPr="0057372A" w:rsidRDefault="00264C2D" w:rsidP="0034740F">
      <w:pPr>
        <w:pStyle w:val="FootnoteText"/>
        <w:ind w:right="28"/>
        <w:jc w:val="both"/>
        <w:rPr>
          <w:rFonts w:ascii="Times New Roman" w:hAnsi="Times New Roman"/>
          <w:spacing w:val="-4"/>
          <w:sz w:val="16"/>
          <w:szCs w:val="16"/>
        </w:rPr>
      </w:pPr>
      <w:r w:rsidRPr="0057372A">
        <w:rPr>
          <w:rFonts w:ascii="Times New Roman" w:hAnsi="Times New Roman"/>
          <w:spacing w:val="-4"/>
          <w:sz w:val="16"/>
          <w:szCs w:val="16"/>
          <w:vertAlign w:val="superscript"/>
        </w:rPr>
        <w:footnoteRef/>
      </w:r>
      <w:r w:rsidRPr="0057372A">
        <w:rPr>
          <w:rFonts w:ascii="Times New Roman" w:hAnsi="Times New Roman"/>
          <w:spacing w:val="-4"/>
          <w:sz w:val="16"/>
          <w:szCs w:val="16"/>
        </w:rPr>
        <w:t xml:space="preserve"> </w:t>
      </w:r>
      <w:r w:rsidRPr="00264C2D">
        <w:rPr>
          <w:rFonts w:ascii="Times New Roman" w:hAnsi="Times New Roman"/>
          <w:i/>
          <w:iCs/>
          <w:spacing w:val="-4"/>
          <w:sz w:val="16"/>
          <w:szCs w:val="16"/>
        </w:rPr>
        <w:t>Human Development Report</w:t>
      </w:r>
      <w:r w:rsidRPr="0057372A">
        <w:rPr>
          <w:rFonts w:ascii="Times New Roman" w:hAnsi="Times New Roman"/>
          <w:spacing w:val="-4"/>
          <w:sz w:val="16"/>
          <w:szCs w:val="16"/>
        </w:rPr>
        <w:t xml:space="preserve">: </w:t>
      </w:r>
      <w:r w:rsidRPr="00264C2D">
        <w:rPr>
          <w:rFonts w:ascii="Times New Roman" w:hAnsi="Times New Roman"/>
          <w:i/>
          <w:iCs/>
          <w:spacing w:val="-4"/>
          <w:sz w:val="16"/>
          <w:szCs w:val="16"/>
        </w:rPr>
        <w:t>Beyond income, beyond averages, beyond today: Inequalities in human development in the 21st century</w:t>
      </w:r>
      <w:r>
        <w:rPr>
          <w:rFonts w:ascii="Times New Roman" w:hAnsi="Times New Roman"/>
          <w:spacing w:val="-4"/>
          <w:sz w:val="16"/>
          <w:szCs w:val="16"/>
        </w:rPr>
        <w:t>,</w:t>
      </w:r>
      <w:r w:rsidRPr="0057372A">
        <w:rPr>
          <w:rFonts w:ascii="Times New Roman" w:hAnsi="Times New Roman"/>
          <w:spacing w:val="-4"/>
          <w:sz w:val="16"/>
          <w:szCs w:val="16"/>
        </w:rPr>
        <w:t xml:space="preserve"> UNDP, 2019.</w:t>
      </w:r>
    </w:p>
  </w:footnote>
  <w:footnote w:id="10">
    <w:p w14:paraId="6297B9EE" w14:textId="2F25A041" w:rsidR="00264C2D" w:rsidRPr="0057372A" w:rsidRDefault="00264C2D" w:rsidP="0034740F">
      <w:pPr>
        <w:pBdr>
          <w:top w:val="nil"/>
          <w:left w:val="nil"/>
          <w:bottom w:val="nil"/>
          <w:right w:val="nil"/>
          <w:between w:val="nil"/>
        </w:pBdr>
        <w:jc w:val="both"/>
        <w:rPr>
          <w:spacing w:val="-4"/>
          <w:sz w:val="16"/>
          <w:szCs w:val="16"/>
        </w:rPr>
      </w:pPr>
      <w:r w:rsidRPr="0057372A">
        <w:rPr>
          <w:spacing w:val="-4"/>
          <w:sz w:val="16"/>
          <w:szCs w:val="16"/>
          <w:vertAlign w:val="superscript"/>
        </w:rPr>
        <w:footnoteRef/>
      </w:r>
      <w:r w:rsidRPr="0057372A">
        <w:rPr>
          <w:spacing w:val="-4"/>
          <w:sz w:val="16"/>
          <w:szCs w:val="16"/>
          <w:vertAlign w:val="superscript"/>
        </w:rPr>
        <w:t xml:space="preserve"> </w:t>
      </w:r>
      <w:r w:rsidRPr="0057372A">
        <w:rPr>
          <w:spacing w:val="-4"/>
          <w:sz w:val="16"/>
          <w:szCs w:val="16"/>
        </w:rPr>
        <w:t>UNDP</w:t>
      </w:r>
      <w:r>
        <w:rPr>
          <w:spacing w:val="-4"/>
          <w:sz w:val="16"/>
          <w:szCs w:val="16"/>
        </w:rPr>
        <w:t>, r</w:t>
      </w:r>
      <w:r w:rsidRPr="0057372A">
        <w:rPr>
          <w:spacing w:val="-4"/>
          <w:sz w:val="16"/>
          <w:szCs w:val="16"/>
        </w:rPr>
        <w:t xml:space="preserve">egional Roma </w:t>
      </w:r>
      <w:r>
        <w:rPr>
          <w:spacing w:val="-4"/>
          <w:sz w:val="16"/>
          <w:szCs w:val="16"/>
        </w:rPr>
        <w:t>s</w:t>
      </w:r>
      <w:r w:rsidRPr="0057372A">
        <w:rPr>
          <w:spacing w:val="-4"/>
          <w:sz w:val="16"/>
          <w:szCs w:val="16"/>
        </w:rPr>
        <w:t>urvey 2017</w:t>
      </w:r>
      <w:r>
        <w:rPr>
          <w:spacing w:val="-4"/>
          <w:sz w:val="16"/>
          <w:szCs w:val="16"/>
        </w:rPr>
        <w:t>.</w:t>
      </w:r>
    </w:p>
  </w:footnote>
  <w:footnote w:id="11">
    <w:p w14:paraId="71C4D9D1" w14:textId="74F87150" w:rsidR="00264C2D" w:rsidRPr="0057372A" w:rsidRDefault="00264C2D" w:rsidP="0034740F">
      <w:pPr>
        <w:pStyle w:val="FootnoteText"/>
        <w:ind w:right="28"/>
        <w:jc w:val="both"/>
        <w:rPr>
          <w:rFonts w:ascii="Times New Roman" w:hAnsi="Times New Roman"/>
          <w:spacing w:val="-4"/>
          <w:sz w:val="16"/>
          <w:szCs w:val="16"/>
        </w:rPr>
      </w:pPr>
      <w:r w:rsidRPr="0057372A">
        <w:rPr>
          <w:rFonts w:ascii="Times New Roman" w:hAnsi="Times New Roman"/>
          <w:spacing w:val="-4"/>
          <w:sz w:val="16"/>
          <w:szCs w:val="16"/>
          <w:vertAlign w:val="superscript"/>
        </w:rPr>
        <w:footnoteRef/>
      </w:r>
      <w:r w:rsidRPr="0057372A">
        <w:rPr>
          <w:rFonts w:ascii="Times New Roman" w:hAnsi="Times New Roman"/>
          <w:spacing w:val="-4"/>
          <w:sz w:val="16"/>
          <w:szCs w:val="16"/>
          <w:vertAlign w:val="superscript"/>
        </w:rPr>
        <w:t xml:space="preserve"> </w:t>
      </w:r>
      <w:r w:rsidRPr="0057372A">
        <w:rPr>
          <w:rFonts w:ascii="Times New Roman" w:hAnsi="Times New Roman"/>
          <w:spacing w:val="-4"/>
          <w:sz w:val="16"/>
          <w:szCs w:val="16"/>
        </w:rPr>
        <w:t xml:space="preserve">World Bank, </w:t>
      </w:r>
      <w:hyperlink r:id="rId2" w:history="1">
        <w:r>
          <w:rPr>
            <w:rFonts w:ascii="Times New Roman" w:hAnsi="Times New Roman"/>
            <w:spacing w:val="-4"/>
            <w:sz w:val="16"/>
            <w:szCs w:val="16"/>
          </w:rPr>
          <w:t>c</w:t>
        </w:r>
        <w:r w:rsidRPr="0057372A">
          <w:rPr>
            <w:rFonts w:ascii="Times New Roman" w:hAnsi="Times New Roman"/>
            <w:spacing w:val="-4"/>
            <w:sz w:val="16"/>
            <w:szCs w:val="16"/>
          </w:rPr>
          <w:t xml:space="preserve">ountry </w:t>
        </w:r>
        <w:r>
          <w:rPr>
            <w:rFonts w:ascii="Times New Roman" w:hAnsi="Times New Roman"/>
            <w:spacing w:val="-4"/>
            <w:sz w:val="16"/>
            <w:szCs w:val="16"/>
          </w:rPr>
          <w:t>r</w:t>
        </w:r>
        <w:r w:rsidRPr="0057372A">
          <w:rPr>
            <w:rFonts w:ascii="Times New Roman" w:hAnsi="Times New Roman"/>
            <w:spacing w:val="-4"/>
            <w:sz w:val="16"/>
            <w:szCs w:val="16"/>
          </w:rPr>
          <w:t>eport for Bosnia Herzegovina</w:t>
        </w:r>
      </w:hyperlink>
      <w:r w:rsidRPr="0057372A">
        <w:rPr>
          <w:rFonts w:ascii="Times New Roman" w:hAnsi="Times New Roman"/>
          <w:spacing w:val="-4"/>
          <w:sz w:val="16"/>
          <w:szCs w:val="16"/>
        </w:rPr>
        <w:t>, 2019.</w:t>
      </w:r>
    </w:p>
  </w:footnote>
  <w:footnote w:id="12">
    <w:p w14:paraId="27E51885" w14:textId="234F78FD" w:rsidR="00264C2D" w:rsidRPr="0057372A" w:rsidRDefault="00264C2D" w:rsidP="0034740F">
      <w:pPr>
        <w:pStyle w:val="FootnoteText"/>
        <w:jc w:val="both"/>
        <w:rPr>
          <w:rFonts w:ascii="Times New Roman" w:hAnsi="Times New Roman"/>
          <w:spacing w:val="-4"/>
          <w:sz w:val="16"/>
          <w:szCs w:val="16"/>
        </w:rPr>
      </w:pPr>
      <w:r w:rsidRPr="0057372A">
        <w:rPr>
          <w:rFonts w:ascii="Times New Roman" w:hAnsi="Times New Roman"/>
          <w:spacing w:val="-4"/>
          <w:sz w:val="16"/>
          <w:szCs w:val="16"/>
          <w:vertAlign w:val="superscript"/>
        </w:rPr>
        <w:footnoteRef/>
      </w:r>
      <w:r w:rsidRPr="0057372A">
        <w:rPr>
          <w:rFonts w:ascii="Times New Roman" w:hAnsi="Times New Roman"/>
          <w:spacing w:val="-4"/>
          <w:sz w:val="16"/>
          <w:szCs w:val="16"/>
          <w:vertAlign w:val="superscript"/>
        </w:rPr>
        <w:t xml:space="preserve"> </w:t>
      </w:r>
      <w:r w:rsidRPr="0057372A">
        <w:rPr>
          <w:rFonts w:ascii="Times New Roman" w:hAnsi="Times New Roman"/>
          <w:spacing w:val="-4"/>
          <w:sz w:val="16"/>
          <w:szCs w:val="16"/>
        </w:rPr>
        <w:t xml:space="preserve">2020 growth is projected at -1.9 </w:t>
      </w:r>
      <w:r>
        <w:rPr>
          <w:rFonts w:ascii="Times New Roman" w:hAnsi="Times New Roman"/>
          <w:spacing w:val="-4"/>
          <w:sz w:val="16"/>
          <w:szCs w:val="16"/>
        </w:rPr>
        <w:t xml:space="preserve">per cent, </w:t>
      </w:r>
      <w:r w:rsidRPr="0057372A">
        <w:rPr>
          <w:rFonts w:ascii="Times New Roman" w:hAnsi="Times New Roman"/>
          <w:spacing w:val="-4"/>
          <w:sz w:val="16"/>
          <w:szCs w:val="16"/>
        </w:rPr>
        <w:t>a significant revision from the pre-C</w:t>
      </w:r>
      <w:r>
        <w:rPr>
          <w:rFonts w:ascii="Times New Roman" w:hAnsi="Times New Roman"/>
          <w:spacing w:val="-4"/>
          <w:sz w:val="16"/>
          <w:szCs w:val="16"/>
        </w:rPr>
        <w:t>OVID</w:t>
      </w:r>
      <w:r w:rsidRPr="0057372A">
        <w:rPr>
          <w:rFonts w:ascii="Times New Roman" w:hAnsi="Times New Roman"/>
          <w:spacing w:val="-4"/>
          <w:sz w:val="16"/>
          <w:szCs w:val="16"/>
        </w:rPr>
        <w:t xml:space="preserve">-19 projection of 3.4 </w:t>
      </w:r>
      <w:r>
        <w:rPr>
          <w:rFonts w:ascii="Times New Roman" w:hAnsi="Times New Roman"/>
          <w:spacing w:val="-4"/>
          <w:sz w:val="16"/>
          <w:szCs w:val="16"/>
        </w:rPr>
        <w:t>per cent</w:t>
      </w:r>
      <w:r w:rsidRPr="0057372A">
        <w:rPr>
          <w:rFonts w:ascii="Times New Roman" w:hAnsi="Times New Roman"/>
          <w:spacing w:val="-4"/>
          <w:sz w:val="16"/>
          <w:szCs w:val="16"/>
        </w:rPr>
        <w:t xml:space="preserve"> for 2020. The World Bank, April 2020.</w:t>
      </w:r>
    </w:p>
  </w:footnote>
  <w:footnote w:id="13">
    <w:p w14:paraId="79603DDD" w14:textId="14661E83" w:rsidR="00264C2D" w:rsidRDefault="00264C2D" w:rsidP="00DE46DB">
      <w:pPr>
        <w:pStyle w:val="FootnoteText"/>
      </w:pPr>
      <w:r w:rsidRPr="0057372A">
        <w:rPr>
          <w:rStyle w:val="FootnoteReference"/>
          <w:rFonts w:ascii="Times New Roman" w:hAnsi="Times New Roman"/>
          <w:sz w:val="16"/>
          <w:szCs w:val="16"/>
        </w:rPr>
        <w:footnoteRef/>
      </w:r>
      <w:r w:rsidRPr="0057372A">
        <w:rPr>
          <w:rFonts w:ascii="Times New Roman" w:hAnsi="Times New Roman"/>
          <w:sz w:val="16"/>
          <w:szCs w:val="16"/>
        </w:rPr>
        <w:t xml:space="preserve"> </w:t>
      </w:r>
      <w:r w:rsidRPr="00264C2D">
        <w:rPr>
          <w:rFonts w:ascii="Times New Roman" w:hAnsi="Times New Roman"/>
          <w:i/>
          <w:iCs/>
          <w:sz w:val="16"/>
          <w:szCs w:val="16"/>
        </w:rPr>
        <w:t>World Air Quality Report, 2020</w:t>
      </w:r>
      <w:r>
        <w:rPr>
          <w:rFonts w:ascii="Times New Roman" w:hAnsi="Times New Roman"/>
          <w:sz w:val="16"/>
          <w:szCs w:val="16"/>
        </w:rPr>
        <w:t xml:space="preserve"> (</w:t>
      </w:r>
      <w:r w:rsidR="00E50F1C">
        <w:rPr>
          <w:rFonts w:ascii="Times New Roman" w:hAnsi="Times New Roman"/>
          <w:sz w:val="16"/>
          <w:szCs w:val="16"/>
        </w:rPr>
        <w:t xml:space="preserve">Available at </w:t>
      </w:r>
      <w:hyperlink r:id="rId3" w:history="1">
        <w:r w:rsidR="00E50F1C" w:rsidRPr="00E50F1C">
          <w:rPr>
            <w:rStyle w:val="Hyperlink"/>
            <w:rFonts w:ascii="Times New Roman" w:hAnsi="Times New Roman"/>
            <w:sz w:val="16"/>
            <w:szCs w:val="16"/>
          </w:rPr>
          <w:t>www.iqair.com</w:t>
        </w:r>
      </w:hyperlink>
      <w:r w:rsidR="00E50F1C">
        <w:rPr>
          <w:rFonts w:ascii="Times New Roman" w:hAnsi="Times New Roman"/>
          <w:sz w:val="16"/>
          <w:szCs w:val="16"/>
        </w:rPr>
        <w:t>)</w:t>
      </w:r>
      <w:r>
        <w:rPr>
          <w:rFonts w:ascii="Times New Roman" w:hAnsi="Times New Roman"/>
          <w:sz w:val="16"/>
          <w:szCs w:val="16"/>
        </w:rPr>
        <w:t>.</w:t>
      </w:r>
    </w:p>
  </w:footnote>
  <w:footnote w:id="14">
    <w:p w14:paraId="69A368B2" w14:textId="4F6364DA" w:rsidR="00264C2D" w:rsidRPr="009819D6" w:rsidRDefault="00264C2D">
      <w:pPr>
        <w:pStyle w:val="FootnoteText"/>
        <w:rPr>
          <w:rFonts w:ascii="Times New Roman" w:hAnsi="Times New Roman"/>
          <w:sz w:val="16"/>
          <w:szCs w:val="16"/>
        </w:rPr>
      </w:pPr>
      <w:r w:rsidRPr="009819D6">
        <w:rPr>
          <w:rStyle w:val="FootnoteReference"/>
          <w:rFonts w:ascii="Times New Roman" w:hAnsi="Times New Roman"/>
          <w:sz w:val="16"/>
          <w:szCs w:val="16"/>
        </w:rPr>
        <w:footnoteRef/>
      </w:r>
      <w:r w:rsidRPr="009819D6">
        <w:rPr>
          <w:rFonts w:ascii="Times New Roman" w:hAnsi="Times New Roman"/>
          <w:sz w:val="16"/>
          <w:szCs w:val="16"/>
        </w:rPr>
        <w:t xml:space="preserve"> Bosnia and Herzegovina Mine Action Centre </w:t>
      </w:r>
      <w:r>
        <w:rPr>
          <w:rFonts w:ascii="Times New Roman" w:hAnsi="Times New Roman"/>
          <w:sz w:val="16"/>
          <w:szCs w:val="16"/>
        </w:rPr>
        <w:t>(</w:t>
      </w:r>
      <w:hyperlink r:id="rId4" w:history="1">
        <w:r w:rsidRPr="0096494E">
          <w:rPr>
            <w:rStyle w:val="Hyperlink"/>
            <w:rFonts w:ascii="Times New Roman" w:hAnsi="Times New Roman"/>
            <w:sz w:val="16"/>
            <w:szCs w:val="16"/>
          </w:rPr>
          <w:t>http://www.bhmac.org/?page_id=747&amp;lang=en</w:t>
        </w:r>
      </w:hyperlink>
      <w:r>
        <w:rPr>
          <w:rFonts w:ascii="Times New Roman" w:hAnsi="Times New Roman"/>
          <w:sz w:val="16"/>
          <w:szCs w:val="16"/>
        </w:rPr>
        <w:t>).</w:t>
      </w:r>
    </w:p>
  </w:footnote>
  <w:footnote w:id="15">
    <w:p w14:paraId="1AEA67E2" w14:textId="3465BB68" w:rsidR="00264C2D" w:rsidRPr="009819D6" w:rsidRDefault="00264C2D" w:rsidP="0034740F">
      <w:pPr>
        <w:pStyle w:val="FootnoteText"/>
        <w:jc w:val="both"/>
        <w:rPr>
          <w:rFonts w:ascii="Times New Roman" w:hAnsi="Times New Roman"/>
          <w:sz w:val="16"/>
          <w:szCs w:val="16"/>
        </w:rPr>
      </w:pPr>
      <w:r w:rsidRPr="009819D6">
        <w:rPr>
          <w:rStyle w:val="FootnoteReference"/>
          <w:rFonts w:ascii="Times New Roman" w:hAnsi="Times New Roman"/>
          <w:sz w:val="16"/>
          <w:szCs w:val="16"/>
        </w:rPr>
        <w:footnoteRef/>
      </w:r>
      <w:r w:rsidRPr="009819D6">
        <w:rPr>
          <w:rFonts w:ascii="Times New Roman" w:hAnsi="Times New Roman"/>
          <w:sz w:val="16"/>
          <w:szCs w:val="16"/>
        </w:rPr>
        <w:t xml:space="preserve"> After </w:t>
      </w:r>
      <w:r>
        <w:rPr>
          <w:rFonts w:ascii="Times New Roman" w:hAnsi="Times New Roman"/>
          <w:sz w:val="16"/>
          <w:szCs w:val="16"/>
        </w:rPr>
        <w:t>a</w:t>
      </w:r>
      <w:r w:rsidRPr="009819D6">
        <w:rPr>
          <w:rFonts w:ascii="Times New Roman" w:hAnsi="Times New Roman"/>
          <w:sz w:val="16"/>
          <w:szCs w:val="16"/>
        </w:rPr>
        <w:t xml:space="preserve">ction </w:t>
      </w:r>
      <w:r>
        <w:rPr>
          <w:rFonts w:ascii="Times New Roman" w:hAnsi="Times New Roman"/>
          <w:sz w:val="16"/>
          <w:szCs w:val="16"/>
        </w:rPr>
        <w:t>r</w:t>
      </w:r>
      <w:r w:rsidRPr="009819D6">
        <w:rPr>
          <w:rFonts w:ascii="Times New Roman" w:hAnsi="Times New Roman"/>
          <w:sz w:val="16"/>
          <w:szCs w:val="16"/>
        </w:rPr>
        <w:t xml:space="preserve">eview of UNDP </w:t>
      </w:r>
      <w:r>
        <w:rPr>
          <w:rFonts w:ascii="Times New Roman" w:hAnsi="Times New Roman"/>
          <w:sz w:val="16"/>
          <w:szCs w:val="16"/>
        </w:rPr>
        <w:t>r</w:t>
      </w:r>
      <w:r w:rsidRPr="009819D6">
        <w:rPr>
          <w:rFonts w:ascii="Times New Roman" w:hAnsi="Times New Roman"/>
          <w:sz w:val="16"/>
          <w:szCs w:val="16"/>
        </w:rPr>
        <w:t>esponse</w:t>
      </w:r>
      <w:r>
        <w:rPr>
          <w:rFonts w:ascii="Times New Roman" w:hAnsi="Times New Roman"/>
          <w:sz w:val="16"/>
          <w:szCs w:val="16"/>
        </w:rPr>
        <w:t xml:space="preserve"> to </w:t>
      </w:r>
      <w:r w:rsidRPr="009819D6">
        <w:rPr>
          <w:rFonts w:ascii="Times New Roman" w:hAnsi="Times New Roman"/>
          <w:sz w:val="16"/>
          <w:szCs w:val="16"/>
        </w:rPr>
        <w:t>Bosnia and Herzegovina 2014</w:t>
      </w:r>
      <w:r>
        <w:rPr>
          <w:rFonts w:ascii="Times New Roman" w:hAnsi="Times New Roman"/>
          <w:sz w:val="16"/>
          <w:szCs w:val="16"/>
        </w:rPr>
        <w:t xml:space="preserve"> f</w:t>
      </w:r>
      <w:r w:rsidRPr="009819D6">
        <w:rPr>
          <w:rFonts w:ascii="Times New Roman" w:hAnsi="Times New Roman"/>
          <w:sz w:val="16"/>
          <w:szCs w:val="16"/>
        </w:rPr>
        <w:t>loods, 2016.</w:t>
      </w:r>
    </w:p>
  </w:footnote>
  <w:footnote w:id="16">
    <w:p w14:paraId="2D9FFA1B" w14:textId="4414046B" w:rsidR="00264C2D" w:rsidRPr="009819D6" w:rsidRDefault="00264C2D" w:rsidP="0034740F">
      <w:pPr>
        <w:pStyle w:val="FootnoteText"/>
        <w:jc w:val="both"/>
        <w:rPr>
          <w:rFonts w:ascii="Times New Roman" w:hAnsi="Times New Roman"/>
          <w:sz w:val="16"/>
          <w:szCs w:val="16"/>
        </w:rPr>
      </w:pPr>
      <w:r w:rsidRPr="009819D6">
        <w:rPr>
          <w:rStyle w:val="FootnoteReference"/>
          <w:rFonts w:ascii="Times New Roman" w:hAnsi="Times New Roman"/>
          <w:sz w:val="16"/>
          <w:szCs w:val="16"/>
        </w:rPr>
        <w:footnoteRef/>
      </w:r>
      <w:r w:rsidRPr="009819D6">
        <w:rPr>
          <w:rFonts w:ascii="Times New Roman" w:hAnsi="Times New Roman"/>
          <w:sz w:val="16"/>
          <w:szCs w:val="16"/>
        </w:rPr>
        <w:t xml:space="preserve"> Sense</w:t>
      </w:r>
      <w:r>
        <w:rPr>
          <w:rFonts w:ascii="Times New Roman" w:hAnsi="Times New Roman"/>
          <w:sz w:val="16"/>
          <w:szCs w:val="16"/>
        </w:rPr>
        <w:t>-</w:t>
      </w:r>
      <w:r w:rsidRPr="009819D6">
        <w:rPr>
          <w:rFonts w:ascii="Times New Roman" w:hAnsi="Times New Roman"/>
          <w:sz w:val="16"/>
          <w:szCs w:val="16"/>
        </w:rPr>
        <w:t xml:space="preserve">making </w:t>
      </w:r>
      <w:r>
        <w:rPr>
          <w:rFonts w:ascii="Times New Roman" w:hAnsi="Times New Roman"/>
          <w:sz w:val="16"/>
          <w:szCs w:val="16"/>
        </w:rPr>
        <w:t>p</w:t>
      </w:r>
      <w:r w:rsidRPr="009819D6">
        <w:rPr>
          <w:rFonts w:ascii="Times New Roman" w:hAnsi="Times New Roman"/>
          <w:sz w:val="16"/>
          <w:szCs w:val="16"/>
        </w:rPr>
        <w:t xml:space="preserve">rotocol </w:t>
      </w:r>
      <w:r>
        <w:rPr>
          <w:rFonts w:ascii="Times New Roman" w:hAnsi="Times New Roman"/>
          <w:sz w:val="16"/>
          <w:szCs w:val="16"/>
        </w:rPr>
        <w:t>i</w:t>
      </w:r>
      <w:r w:rsidRPr="009819D6">
        <w:rPr>
          <w:rFonts w:ascii="Times New Roman" w:hAnsi="Times New Roman"/>
          <w:sz w:val="16"/>
          <w:szCs w:val="16"/>
        </w:rPr>
        <w:t xml:space="preserve">ntelligence </w:t>
      </w:r>
      <w:r>
        <w:rPr>
          <w:rFonts w:ascii="Times New Roman" w:hAnsi="Times New Roman"/>
          <w:sz w:val="16"/>
          <w:szCs w:val="16"/>
        </w:rPr>
        <w:t>r</w:t>
      </w:r>
      <w:r w:rsidRPr="009819D6">
        <w:rPr>
          <w:rFonts w:ascii="Times New Roman" w:hAnsi="Times New Roman"/>
          <w:sz w:val="16"/>
          <w:szCs w:val="16"/>
        </w:rPr>
        <w:t>eport, UNDP in Bosnia and Herzegovina, 2019.</w:t>
      </w:r>
    </w:p>
  </w:footnote>
  <w:footnote w:id="17">
    <w:p w14:paraId="42CCE215" w14:textId="0CC9DFE7" w:rsidR="00264C2D" w:rsidRPr="007367CD" w:rsidRDefault="00264C2D" w:rsidP="00D1201C">
      <w:pPr>
        <w:pStyle w:val="FootnoteText"/>
        <w:jc w:val="both"/>
        <w:rPr>
          <w:rFonts w:ascii="Times New Roman" w:hAnsi="Times New Roman"/>
          <w:sz w:val="14"/>
          <w:szCs w:val="14"/>
        </w:rPr>
      </w:pPr>
      <w:r w:rsidRPr="007E104F">
        <w:rPr>
          <w:rStyle w:val="FootnoteReference"/>
          <w:rFonts w:ascii="Times New Roman" w:hAnsi="Times New Roman"/>
          <w:sz w:val="16"/>
          <w:szCs w:val="16"/>
        </w:rPr>
        <w:footnoteRef/>
      </w:r>
      <w:r w:rsidRPr="007679A6">
        <w:rPr>
          <w:rStyle w:val="FootnoteReference"/>
        </w:rPr>
        <w:t xml:space="preserve"> </w:t>
      </w:r>
      <w:r w:rsidRPr="00536984">
        <w:rPr>
          <w:rFonts w:ascii="Times New Roman" w:hAnsi="Times New Roman"/>
          <w:sz w:val="16"/>
          <w:szCs w:val="16"/>
        </w:rPr>
        <w:t xml:space="preserve">The baseline was calculated based on the </w:t>
      </w:r>
      <w:hyperlink r:id="rId5" w:history="1">
        <w:r>
          <w:rPr>
            <w:rFonts w:ascii="Times New Roman" w:hAnsi="Times New Roman"/>
            <w:sz w:val="16"/>
            <w:szCs w:val="16"/>
          </w:rPr>
          <w:t>t</w:t>
        </w:r>
        <w:r w:rsidRPr="00536984">
          <w:rPr>
            <w:rFonts w:ascii="Times New Roman" w:hAnsi="Times New Roman"/>
            <w:sz w:val="16"/>
            <w:szCs w:val="16"/>
          </w:rPr>
          <w:t xml:space="preserve">ypology of </w:t>
        </w:r>
        <w:r>
          <w:rPr>
            <w:rFonts w:ascii="Times New Roman" w:hAnsi="Times New Roman"/>
            <w:sz w:val="16"/>
            <w:szCs w:val="16"/>
          </w:rPr>
          <w:t>p</w:t>
        </w:r>
        <w:r w:rsidRPr="00536984">
          <w:rPr>
            <w:rFonts w:ascii="Times New Roman" w:hAnsi="Times New Roman"/>
            <w:sz w:val="16"/>
            <w:szCs w:val="16"/>
          </w:rPr>
          <w:t xml:space="preserve">ublic </w:t>
        </w:r>
        <w:r>
          <w:rPr>
            <w:rFonts w:ascii="Times New Roman" w:hAnsi="Times New Roman"/>
            <w:sz w:val="16"/>
            <w:szCs w:val="16"/>
          </w:rPr>
          <w:t>b</w:t>
        </w:r>
        <w:r w:rsidRPr="00536984">
          <w:rPr>
            <w:rFonts w:ascii="Times New Roman" w:hAnsi="Times New Roman"/>
            <w:sz w:val="16"/>
            <w:szCs w:val="16"/>
          </w:rPr>
          <w:t>uildings in Bosnia and Herzegovina.</w:t>
        </w:r>
      </w:hyperlink>
    </w:p>
  </w:footnote>
  <w:footnote w:id="18">
    <w:p w14:paraId="21EA9481" w14:textId="74C08C05" w:rsidR="00264C2D" w:rsidRPr="00202F70" w:rsidRDefault="00264C2D" w:rsidP="00D1201C">
      <w:pPr>
        <w:pStyle w:val="FootnoteText"/>
        <w:rPr>
          <w:rFonts w:ascii="Times New Roman" w:hAnsi="Times New Roman"/>
          <w:sz w:val="16"/>
          <w:szCs w:val="16"/>
        </w:rPr>
      </w:pPr>
      <w:r w:rsidRPr="00202F70">
        <w:rPr>
          <w:rFonts w:ascii="Times New Roman" w:hAnsi="Times New Roman"/>
          <w:sz w:val="16"/>
          <w:szCs w:val="16"/>
          <w:vertAlign w:val="superscript"/>
        </w:rPr>
        <w:footnoteRef/>
      </w:r>
      <w:r w:rsidRPr="00202F70">
        <w:rPr>
          <w:rFonts w:ascii="Times New Roman" w:hAnsi="Times New Roman"/>
          <w:sz w:val="16"/>
          <w:szCs w:val="16"/>
        </w:rPr>
        <w:t xml:space="preserve"> Transparency International, Perceptions of </w:t>
      </w:r>
      <w:r>
        <w:rPr>
          <w:rFonts w:ascii="Times New Roman" w:hAnsi="Times New Roman"/>
          <w:sz w:val="16"/>
          <w:szCs w:val="16"/>
        </w:rPr>
        <w:t>p</w:t>
      </w:r>
      <w:r w:rsidRPr="00202F70">
        <w:rPr>
          <w:rFonts w:ascii="Times New Roman" w:hAnsi="Times New Roman"/>
          <w:sz w:val="16"/>
          <w:szCs w:val="16"/>
        </w:rPr>
        <w:t xml:space="preserve">ublic </w:t>
      </w:r>
      <w:r>
        <w:rPr>
          <w:rFonts w:ascii="Times New Roman" w:hAnsi="Times New Roman"/>
          <w:sz w:val="16"/>
          <w:szCs w:val="16"/>
        </w:rPr>
        <w:t>a</w:t>
      </w:r>
      <w:r w:rsidRPr="00202F70">
        <w:rPr>
          <w:rFonts w:ascii="Times New Roman" w:hAnsi="Times New Roman"/>
          <w:sz w:val="16"/>
          <w:szCs w:val="16"/>
        </w:rPr>
        <w:t xml:space="preserve">dministration Bosnia and Herzegovina, 2017. </w:t>
      </w:r>
    </w:p>
  </w:footnote>
  <w:footnote w:id="19">
    <w:p w14:paraId="74254E5A" w14:textId="2ED42424" w:rsidR="00264C2D" w:rsidRPr="00F406B4" w:rsidRDefault="00264C2D" w:rsidP="00202F70">
      <w:pPr>
        <w:pStyle w:val="FootnoteText"/>
        <w:jc w:val="both"/>
        <w:rPr>
          <w:rFonts w:ascii="Times New Roman" w:hAnsi="Times New Roman"/>
          <w:sz w:val="16"/>
          <w:szCs w:val="16"/>
        </w:rPr>
      </w:pPr>
      <w:r w:rsidRPr="00C13C81">
        <w:rPr>
          <w:rStyle w:val="FootnoteReference"/>
          <w:rFonts w:ascii="Times New Roman" w:hAnsi="Times New Roman"/>
          <w:sz w:val="16"/>
          <w:szCs w:val="16"/>
        </w:rPr>
        <w:footnoteRef/>
      </w:r>
      <w:r w:rsidRPr="00C13C81">
        <w:rPr>
          <w:rFonts w:ascii="Times New Roman" w:hAnsi="Times New Roman"/>
          <w:sz w:val="16"/>
          <w:szCs w:val="16"/>
        </w:rPr>
        <w:t xml:space="preserve"> The targets for 2025 are set relatively close to the baseline, still with an expected positive change. In the past several years, the findings showed negative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64C2D" w:rsidRPr="00757F48" w14:paraId="14FADD85" w14:textId="77777777" w:rsidTr="00157EE2">
      <w:trPr>
        <w:trHeight w:hRule="exact" w:val="864"/>
      </w:trPr>
      <w:tc>
        <w:tcPr>
          <w:tcW w:w="4838" w:type="dxa"/>
          <w:shd w:val="clear" w:color="auto" w:fill="auto"/>
          <w:vAlign w:val="bottom"/>
        </w:tcPr>
        <w:p w14:paraId="648CFC4B" w14:textId="7DBEE2D3" w:rsidR="00264C2D" w:rsidRPr="00757F48" w:rsidRDefault="00264C2D" w:rsidP="0071084A">
          <w:pPr>
            <w:tabs>
              <w:tab w:val="center" w:pos="4320"/>
              <w:tab w:val="right" w:pos="8640"/>
            </w:tabs>
            <w:spacing w:after="80"/>
            <w:rPr>
              <w:rFonts w:eastAsiaTheme="minorHAnsi"/>
              <w:b/>
              <w:noProof/>
              <w:sz w:val="17"/>
            </w:rPr>
          </w:pPr>
          <w:r>
            <w:rPr>
              <w:rFonts w:eastAsiaTheme="minorHAnsi"/>
              <w:b/>
              <w:noProof/>
              <w:sz w:val="17"/>
            </w:rPr>
            <w:t>DP/DCP/BIH/4</w:t>
          </w:r>
        </w:p>
      </w:tc>
      <w:tc>
        <w:tcPr>
          <w:tcW w:w="5028" w:type="dxa"/>
          <w:shd w:val="clear" w:color="auto" w:fill="auto"/>
          <w:vAlign w:val="bottom"/>
        </w:tcPr>
        <w:p w14:paraId="0FB7B080" w14:textId="77777777" w:rsidR="00264C2D" w:rsidRPr="00757F48" w:rsidRDefault="00264C2D" w:rsidP="0071084A">
          <w:pPr>
            <w:tabs>
              <w:tab w:val="center" w:pos="4320"/>
              <w:tab w:val="right" w:pos="8640"/>
            </w:tabs>
            <w:rPr>
              <w:rFonts w:eastAsiaTheme="minorHAnsi"/>
              <w:noProof/>
              <w:sz w:val="17"/>
            </w:rPr>
          </w:pPr>
        </w:p>
      </w:tc>
    </w:tr>
  </w:tbl>
  <w:p w14:paraId="1402BE5D" w14:textId="77777777" w:rsidR="00264C2D" w:rsidRDefault="00264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64C2D" w:rsidRPr="00F7731C" w14:paraId="0B41C2D1" w14:textId="77777777" w:rsidTr="00157EE2">
      <w:trPr>
        <w:trHeight w:hRule="exact" w:val="864"/>
      </w:trPr>
      <w:tc>
        <w:tcPr>
          <w:tcW w:w="4838" w:type="dxa"/>
          <w:shd w:val="clear" w:color="auto" w:fill="auto"/>
          <w:vAlign w:val="bottom"/>
        </w:tcPr>
        <w:p w14:paraId="7CE21A3A" w14:textId="77777777" w:rsidR="00264C2D" w:rsidRPr="00F7731C" w:rsidRDefault="00264C2D" w:rsidP="0071084A">
          <w:pPr>
            <w:tabs>
              <w:tab w:val="center" w:pos="4320"/>
              <w:tab w:val="right" w:pos="8640"/>
            </w:tabs>
            <w:rPr>
              <w:rFonts w:eastAsiaTheme="minorHAnsi"/>
              <w:noProof/>
              <w:sz w:val="17"/>
            </w:rPr>
          </w:pPr>
        </w:p>
      </w:tc>
      <w:tc>
        <w:tcPr>
          <w:tcW w:w="5028" w:type="dxa"/>
          <w:shd w:val="clear" w:color="auto" w:fill="auto"/>
          <w:vAlign w:val="bottom"/>
        </w:tcPr>
        <w:p w14:paraId="09152539" w14:textId="2C4074D0" w:rsidR="00264C2D" w:rsidRPr="00F7731C" w:rsidRDefault="00264C2D" w:rsidP="0071084A">
          <w:pPr>
            <w:tabs>
              <w:tab w:val="center" w:pos="4320"/>
              <w:tab w:val="right" w:pos="8640"/>
            </w:tabs>
            <w:spacing w:after="80"/>
            <w:jc w:val="right"/>
            <w:rPr>
              <w:rFonts w:eastAsiaTheme="minorHAnsi"/>
              <w:b/>
              <w:noProof/>
              <w:sz w:val="17"/>
            </w:rPr>
          </w:pPr>
          <w:r>
            <w:rPr>
              <w:rFonts w:eastAsiaTheme="minorHAnsi"/>
              <w:b/>
              <w:noProof/>
              <w:sz w:val="17"/>
            </w:rPr>
            <w:t>DP/DCP/BIH/4</w:t>
          </w:r>
        </w:p>
      </w:tc>
    </w:tr>
  </w:tbl>
  <w:p w14:paraId="4EA1CC1B" w14:textId="77777777" w:rsidR="00264C2D" w:rsidRDefault="00264C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64C2D" w:rsidRPr="00121451" w14:paraId="181F7F6D" w14:textId="77777777" w:rsidTr="00157EE2">
      <w:trPr>
        <w:trHeight w:hRule="exact" w:val="864"/>
      </w:trPr>
      <w:tc>
        <w:tcPr>
          <w:tcW w:w="1267" w:type="dxa"/>
          <w:tcBorders>
            <w:bottom w:val="single" w:sz="4" w:space="0" w:color="auto"/>
          </w:tcBorders>
          <w:shd w:val="clear" w:color="auto" w:fill="auto"/>
          <w:vAlign w:val="bottom"/>
        </w:tcPr>
        <w:p w14:paraId="7E37E31A" w14:textId="77777777" w:rsidR="00264C2D" w:rsidRPr="00121451" w:rsidRDefault="00264C2D" w:rsidP="00FB08E5">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41104EDC" w14:textId="77777777" w:rsidR="00264C2D" w:rsidRPr="00121451" w:rsidRDefault="00264C2D" w:rsidP="00FB08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121451">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29AE35D9" w14:textId="77777777" w:rsidR="00264C2D" w:rsidRPr="00121451" w:rsidRDefault="00264C2D" w:rsidP="00FB08E5">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1B549D33" w14:textId="6DCDC355" w:rsidR="00264C2D" w:rsidRPr="00121451" w:rsidRDefault="00264C2D" w:rsidP="00FB08E5">
          <w:pPr>
            <w:suppressAutoHyphens/>
            <w:spacing w:after="80"/>
            <w:jc w:val="right"/>
            <w:rPr>
              <w:rFonts w:eastAsiaTheme="minorHAnsi"/>
              <w:spacing w:val="4"/>
              <w:w w:val="103"/>
              <w:kern w:val="14"/>
              <w:position w:val="-4"/>
              <w:lang w:val="en-GB"/>
            </w:rPr>
          </w:pPr>
          <w:r w:rsidRPr="00121451">
            <w:rPr>
              <w:rFonts w:eastAsiaTheme="minorHAnsi"/>
              <w:spacing w:val="4"/>
              <w:w w:val="103"/>
              <w:kern w:val="14"/>
              <w:position w:val="-4"/>
              <w:sz w:val="40"/>
              <w:lang w:val="en-GB"/>
            </w:rPr>
            <w:t>DP</w:t>
          </w:r>
          <w:r w:rsidRPr="00121451">
            <w:rPr>
              <w:rFonts w:eastAsiaTheme="minorHAnsi"/>
              <w:spacing w:val="4"/>
              <w:w w:val="103"/>
              <w:kern w:val="14"/>
              <w:position w:val="-4"/>
              <w:lang w:val="en-GB"/>
            </w:rPr>
            <w:t>/DCP/</w:t>
          </w:r>
          <w:r>
            <w:rPr>
              <w:rFonts w:eastAsiaTheme="minorHAnsi"/>
              <w:spacing w:val="4"/>
              <w:w w:val="103"/>
              <w:kern w:val="14"/>
              <w:position w:val="-4"/>
              <w:lang w:val="en-GB"/>
            </w:rPr>
            <w:t>BIH</w:t>
          </w:r>
          <w:r w:rsidRPr="00121451">
            <w:rPr>
              <w:rFonts w:eastAsiaTheme="minorHAnsi"/>
              <w:spacing w:val="4"/>
              <w:w w:val="103"/>
              <w:kern w:val="14"/>
              <w:position w:val="-4"/>
              <w:lang w:val="en-GB"/>
            </w:rPr>
            <w:t>/</w:t>
          </w:r>
          <w:r>
            <w:rPr>
              <w:rFonts w:eastAsiaTheme="minorHAnsi"/>
              <w:spacing w:val="4"/>
              <w:w w:val="103"/>
              <w:kern w:val="14"/>
              <w:position w:val="-4"/>
              <w:lang w:val="en-GB"/>
            </w:rPr>
            <w:t>4</w:t>
          </w:r>
        </w:p>
      </w:tc>
    </w:tr>
    <w:tr w:rsidR="00264C2D" w:rsidRPr="00121451" w14:paraId="1A6A932F" w14:textId="77777777" w:rsidTr="00157EE2">
      <w:trPr>
        <w:gridAfter w:val="1"/>
        <w:wAfter w:w="28" w:type="dxa"/>
        <w:trHeight w:hRule="exact" w:val="2880"/>
      </w:trPr>
      <w:tc>
        <w:tcPr>
          <w:tcW w:w="1267" w:type="dxa"/>
          <w:tcBorders>
            <w:top w:val="single" w:sz="4" w:space="0" w:color="auto"/>
            <w:bottom w:val="single" w:sz="12" w:space="0" w:color="auto"/>
          </w:tcBorders>
          <w:shd w:val="clear" w:color="auto" w:fill="auto"/>
        </w:tcPr>
        <w:p w14:paraId="0B684088" w14:textId="77777777" w:rsidR="00264C2D" w:rsidRPr="00121451" w:rsidRDefault="00264C2D" w:rsidP="00FB08E5">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059D2FBE" wp14:editId="7A3D52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BB8923" w14:textId="77777777" w:rsidR="00264C2D" w:rsidRPr="001544C3" w:rsidRDefault="00264C2D" w:rsidP="00DE7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544C3">
            <w:rPr>
              <w:b/>
              <w:sz w:val="34"/>
            </w:rPr>
            <w:t>Executive Board of the</w:t>
          </w:r>
          <w:r w:rsidRPr="001544C3">
            <w:rPr>
              <w:b/>
              <w:sz w:val="34"/>
            </w:rPr>
            <w:br/>
            <w:t>United Nations Development</w:t>
          </w:r>
          <w:r w:rsidRPr="001544C3">
            <w:rPr>
              <w:b/>
              <w:sz w:val="34"/>
            </w:rPr>
            <w:br/>
            <w:t>Programme, the United Nations Population Fund and the United Nations Office for Project Services</w:t>
          </w:r>
        </w:p>
        <w:p w14:paraId="39806345" w14:textId="33E8AE1C" w:rsidR="00264C2D" w:rsidRPr="00121451" w:rsidRDefault="00264C2D" w:rsidP="00FB08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p>
      </w:tc>
      <w:tc>
        <w:tcPr>
          <w:tcW w:w="245" w:type="dxa"/>
          <w:tcBorders>
            <w:top w:val="single" w:sz="4" w:space="0" w:color="auto"/>
            <w:bottom w:val="single" w:sz="12" w:space="0" w:color="auto"/>
          </w:tcBorders>
          <w:shd w:val="clear" w:color="auto" w:fill="auto"/>
        </w:tcPr>
        <w:p w14:paraId="0D6D1AF2" w14:textId="77777777" w:rsidR="00264C2D" w:rsidRPr="00121451" w:rsidRDefault="00264C2D" w:rsidP="00FB08E5">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2DAF7754" w14:textId="77777777" w:rsidR="00264C2D" w:rsidRPr="00121451" w:rsidRDefault="00264C2D" w:rsidP="00FB08E5">
          <w:pPr>
            <w:spacing w:before="240"/>
            <w:rPr>
              <w:rFonts w:eastAsiaTheme="minorHAnsi"/>
              <w:color w:val="010000"/>
              <w:spacing w:val="4"/>
              <w:w w:val="103"/>
              <w:kern w:val="14"/>
              <w:lang w:val="en-GB"/>
            </w:rPr>
          </w:pPr>
          <w:r w:rsidRPr="00121451">
            <w:rPr>
              <w:rFonts w:eastAsiaTheme="minorHAnsi"/>
              <w:color w:val="010000"/>
              <w:spacing w:val="4"/>
              <w:w w:val="103"/>
              <w:kern w:val="14"/>
              <w:lang w:val="en-GB"/>
            </w:rPr>
            <w:t>Distr.: General</w:t>
          </w:r>
        </w:p>
        <w:p w14:paraId="3F819AF2" w14:textId="1E8A6E1A" w:rsidR="00264C2D" w:rsidRPr="00121451" w:rsidRDefault="00D4239C" w:rsidP="00FB08E5">
          <w:pPr>
            <w:rPr>
              <w:rFonts w:eastAsiaTheme="minorHAnsi"/>
              <w:color w:val="010000"/>
              <w:spacing w:val="4"/>
              <w:w w:val="103"/>
              <w:kern w:val="14"/>
              <w:lang w:val="en-GB"/>
            </w:rPr>
          </w:pPr>
          <w:r>
            <w:rPr>
              <w:rFonts w:eastAsiaTheme="minorHAnsi"/>
              <w:color w:val="010000"/>
              <w:spacing w:val="4"/>
              <w:w w:val="103"/>
              <w:kern w:val="14"/>
              <w:lang w:val="en-GB"/>
            </w:rPr>
            <w:t>8</w:t>
          </w:r>
          <w:r w:rsidR="00264C2D">
            <w:rPr>
              <w:rFonts w:eastAsiaTheme="minorHAnsi"/>
              <w:color w:val="010000"/>
              <w:spacing w:val="4"/>
              <w:w w:val="103"/>
              <w:kern w:val="14"/>
              <w:lang w:val="en-GB"/>
            </w:rPr>
            <w:t xml:space="preserve"> </w:t>
          </w:r>
          <w:r w:rsidR="004E7373">
            <w:rPr>
              <w:rFonts w:eastAsiaTheme="minorHAnsi"/>
              <w:color w:val="010000"/>
              <w:spacing w:val="4"/>
              <w:w w:val="103"/>
              <w:kern w:val="14"/>
              <w:lang w:val="en-GB"/>
            </w:rPr>
            <w:t xml:space="preserve">June </w:t>
          </w:r>
          <w:r w:rsidR="00264C2D" w:rsidRPr="00121451">
            <w:rPr>
              <w:rFonts w:eastAsiaTheme="minorHAnsi"/>
              <w:color w:val="010000"/>
              <w:spacing w:val="4"/>
              <w:w w:val="103"/>
              <w:kern w:val="14"/>
              <w:lang w:val="en-GB"/>
            </w:rPr>
            <w:t>20</w:t>
          </w:r>
          <w:r w:rsidR="00264C2D">
            <w:rPr>
              <w:rFonts w:eastAsiaTheme="minorHAnsi"/>
              <w:color w:val="010000"/>
              <w:spacing w:val="4"/>
              <w:w w:val="103"/>
              <w:kern w:val="14"/>
              <w:lang w:val="en-GB"/>
            </w:rPr>
            <w:t>20</w:t>
          </w:r>
        </w:p>
        <w:p w14:paraId="6A22100D" w14:textId="77777777" w:rsidR="00264C2D" w:rsidRPr="00121451" w:rsidRDefault="00264C2D" w:rsidP="00FB08E5">
          <w:pPr>
            <w:suppressAutoHyphens/>
            <w:spacing w:line="240" w:lineRule="exact"/>
            <w:rPr>
              <w:rFonts w:eastAsiaTheme="minorHAnsi"/>
              <w:spacing w:val="4"/>
              <w:w w:val="103"/>
              <w:kern w:val="14"/>
              <w:lang w:val="en-GB"/>
            </w:rPr>
          </w:pPr>
        </w:p>
        <w:p w14:paraId="37CEB045" w14:textId="77777777" w:rsidR="00264C2D" w:rsidRPr="00121451" w:rsidRDefault="00264C2D" w:rsidP="00FB08E5">
          <w:pPr>
            <w:rPr>
              <w:rFonts w:eastAsiaTheme="minorHAnsi"/>
              <w:color w:val="010000"/>
              <w:spacing w:val="4"/>
              <w:w w:val="103"/>
              <w:kern w:val="14"/>
              <w:lang w:val="en-GB"/>
            </w:rPr>
          </w:pPr>
          <w:r w:rsidRPr="00121451">
            <w:rPr>
              <w:rFonts w:eastAsiaTheme="minorHAnsi"/>
              <w:color w:val="010000"/>
              <w:spacing w:val="4"/>
              <w:w w:val="103"/>
              <w:kern w:val="14"/>
              <w:lang w:val="en-GB"/>
            </w:rPr>
            <w:t>Original: English</w:t>
          </w:r>
        </w:p>
        <w:p w14:paraId="0F4D0FFA" w14:textId="77777777" w:rsidR="00264C2D" w:rsidRPr="00121451" w:rsidRDefault="00264C2D" w:rsidP="00FB08E5">
          <w:pPr>
            <w:suppressAutoHyphens/>
            <w:spacing w:line="240" w:lineRule="exact"/>
            <w:rPr>
              <w:rFonts w:eastAsiaTheme="minorHAnsi"/>
              <w:spacing w:val="4"/>
              <w:w w:val="103"/>
              <w:kern w:val="14"/>
              <w:lang w:val="en-GB"/>
            </w:rPr>
          </w:pPr>
        </w:p>
      </w:tc>
    </w:tr>
  </w:tbl>
  <w:p w14:paraId="21875E90" w14:textId="77777777" w:rsidR="00264C2D" w:rsidRPr="00264C2D" w:rsidRDefault="00264C2D">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264C2D" w:rsidRDefault="00264C2D">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116F7470">
              <wp:simplePos x="0" y="0"/>
              <wp:positionH relativeFrom="column">
                <wp:posOffset>20955</wp:posOffset>
              </wp:positionH>
              <wp:positionV relativeFrom="paragraph">
                <wp:posOffset>-304800</wp:posOffset>
              </wp:positionV>
              <wp:extent cx="825817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64C2D" w:rsidRPr="005841A3" w14:paraId="2440D571" w14:textId="77777777">
                            <w:trPr>
                              <w:trHeight w:hRule="exact" w:val="864"/>
                            </w:trPr>
                            <w:tc>
                              <w:tcPr>
                                <w:tcW w:w="4838" w:type="dxa"/>
                                <w:tcBorders>
                                  <w:bottom w:val="single" w:sz="4" w:space="0" w:color="auto"/>
                                </w:tcBorders>
                                <w:vAlign w:val="bottom"/>
                              </w:tcPr>
                              <w:p w14:paraId="2440D56F" w14:textId="563C5B52" w:rsidR="00264C2D" w:rsidRPr="007C6F85" w:rsidRDefault="00264C2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BIH/4</w:t>
                                </w:r>
                              </w:p>
                            </w:tc>
                            <w:tc>
                              <w:tcPr>
                                <w:tcW w:w="8276" w:type="dxa"/>
                                <w:tcBorders>
                                  <w:bottom w:val="single" w:sz="4" w:space="0" w:color="auto"/>
                                </w:tcBorders>
                                <w:vAlign w:val="bottom"/>
                              </w:tcPr>
                              <w:p w14:paraId="2440D570" w14:textId="77777777" w:rsidR="00264C2D" w:rsidRPr="007C6F85" w:rsidRDefault="00264C2D">
                                <w:pPr>
                                  <w:pStyle w:val="Header"/>
                                  <w:rPr>
                                    <w:rFonts w:ascii="Times New Roman" w:hAnsi="Times New Roman"/>
                                    <w:sz w:val="17"/>
                                    <w:szCs w:val="17"/>
                                    <w:lang w:val="en-US" w:eastAsia="en-US"/>
                                  </w:rPr>
                                </w:pPr>
                              </w:p>
                            </w:tc>
                          </w:tr>
                        </w:tbl>
                        <w:p w14:paraId="2440D572" w14:textId="77777777" w:rsidR="00264C2D" w:rsidRDefault="00264C2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65pt;margin-top:-24pt;width:650.2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64C2D" w:rsidRPr="005841A3" w14:paraId="2440D571" w14:textId="77777777">
                      <w:trPr>
                        <w:trHeight w:hRule="exact" w:val="864"/>
                      </w:trPr>
                      <w:tc>
                        <w:tcPr>
                          <w:tcW w:w="4838" w:type="dxa"/>
                          <w:tcBorders>
                            <w:bottom w:val="single" w:sz="4" w:space="0" w:color="auto"/>
                          </w:tcBorders>
                          <w:vAlign w:val="bottom"/>
                        </w:tcPr>
                        <w:p w14:paraId="2440D56F" w14:textId="563C5B52" w:rsidR="00264C2D" w:rsidRPr="007C6F85" w:rsidRDefault="00264C2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BIH/4</w:t>
                          </w:r>
                        </w:p>
                      </w:tc>
                      <w:tc>
                        <w:tcPr>
                          <w:tcW w:w="8276" w:type="dxa"/>
                          <w:tcBorders>
                            <w:bottom w:val="single" w:sz="4" w:space="0" w:color="auto"/>
                          </w:tcBorders>
                          <w:vAlign w:val="bottom"/>
                        </w:tcPr>
                        <w:p w14:paraId="2440D570" w14:textId="77777777" w:rsidR="00264C2D" w:rsidRPr="007C6F85" w:rsidRDefault="00264C2D">
                          <w:pPr>
                            <w:pStyle w:val="Header"/>
                            <w:rPr>
                              <w:rFonts w:ascii="Times New Roman" w:hAnsi="Times New Roman"/>
                              <w:sz w:val="17"/>
                              <w:szCs w:val="17"/>
                              <w:lang w:val="en-US" w:eastAsia="en-US"/>
                            </w:rPr>
                          </w:pPr>
                        </w:p>
                      </w:tc>
                    </w:tr>
                  </w:tbl>
                  <w:p w14:paraId="2440D572" w14:textId="77777777" w:rsidR="00264C2D" w:rsidRDefault="00264C2D"/>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264C2D" w:rsidRPr="00F7731C" w14:paraId="12DB72DB" w14:textId="77777777" w:rsidTr="0071084A">
      <w:trPr>
        <w:trHeight w:hRule="exact" w:val="864"/>
      </w:trPr>
      <w:tc>
        <w:tcPr>
          <w:tcW w:w="4838" w:type="dxa"/>
          <w:shd w:val="clear" w:color="auto" w:fill="auto"/>
          <w:vAlign w:val="bottom"/>
        </w:tcPr>
        <w:p w14:paraId="3561E056" w14:textId="77777777" w:rsidR="00264C2D" w:rsidRPr="00F7731C" w:rsidRDefault="00264C2D" w:rsidP="0071084A">
          <w:pPr>
            <w:tabs>
              <w:tab w:val="center" w:pos="4320"/>
              <w:tab w:val="right" w:pos="8640"/>
            </w:tabs>
            <w:rPr>
              <w:rFonts w:eastAsiaTheme="minorHAnsi"/>
              <w:noProof/>
              <w:sz w:val="17"/>
            </w:rPr>
          </w:pPr>
        </w:p>
      </w:tc>
      <w:tc>
        <w:tcPr>
          <w:tcW w:w="8212" w:type="dxa"/>
          <w:shd w:val="clear" w:color="auto" w:fill="auto"/>
          <w:vAlign w:val="bottom"/>
        </w:tcPr>
        <w:p w14:paraId="06E824E1" w14:textId="77777777" w:rsidR="00264C2D" w:rsidRPr="00F7731C" w:rsidRDefault="00264C2D" w:rsidP="0071084A">
          <w:pPr>
            <w:tabs>
              <w:tab w:val="center" w:pos="4320"/>
              <w:tab w:val="right" w:pos="8640"/>
            </w:tabs>
            <w:spacing w:after="80"/>
            <w:jc w:val="right"/>
            <w:rPr>
              <w:rFonts w:eastAsiaTheme="minorHAnsi"/>
              <w:b/>
              <w:noProof/>
              <w:sz w:val="17"/>
            </w:rPr>
          </w:pPr>
          <w:r>
            <w:rPr>
              <w:rFonts w:eastAsiaTheme="minorHAnsi"/>
              <w:b/>
              <w:noProof/>
              <w:sz w:val="17"/>
            </w:rPr>
            <w:t>DP/DCP/BIH/4</w:t>
          </w:r>
        </w:p>
      </w:tc>
    </w:tr>
  </w:tbl>
  <w:p w14:paraId="07D1E7FF" w14:textId="77777777" w:rsidR="00264C2D" w:rsidRDefault="00264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91192"/>
    <w:multiLevelType w:val="hybridMultilevel"/>
    <w:tmpl w:val="9DAEBFF8"/>
    <w:lvl w:ilvl="0" w:tplc="4EA2202C">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646810"/>
    <w:multiLevelType w:val="hybridMultilevel"/>
    <w:tmpl w:val="3AE262FC"/>
    <w:lvl w:ilvl="0" w:tplc="5E3C7F5A">
      <w:start w:val="1"/>
      <w:numFmt w:val="decimal"/>
      <w:suff w:val="space"/>
      <w:lvlText w:val="%1."/>
      <w:lvlJc w:val="left"/>
      <w:pPr>
        <w:ind w:left="2487" w:hanging="360"/>
      </w:pPr>
      <w:rPr>
        <w:rFonts w:hint="default"/>
        <w:b w:val="0"/>
        <w:bCs w:val="0"/>
        <w:sz w:val="20"/>
        <w:szCs w:val="20"/>
      </w:rPr>
    </w:lvl>
    <w:lvl w:ilvl="1" w:tplc="04090019" w:tentative="1">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193"/>
    <w:rsid w:val="00001D97"/>
    <w:rsid w:val="000027D2"/>
    <w:rsid w:val="0000312F"/>
    <w:rsid w:val="00003E8B"/>
    <w:rsid w:val="00004AE0"/>
    <w:rsid w:val="00005E26"/>
    <w:rsid w:val="00006E59"/>
    <w:rsid w:val="00012FE9"/>
    <w:rsid w:val="0001309E"/>
    <w:rsid w:val="00014B2B"/>
    <w:rsid w:val="000153EB"/>
    <w:rsid w:val="00015FDE"/>
    <w:rsid w:val="00016217"/>
    <w:rsid w:val="00016861"/>
    <w:rsid w:val="00017D05"/>
    <w:rsid w:val="000200CF"/>
    <w:rsid w:val="000205F1"/>
    <w:rsid w:val="00022047"/>
    <w:rsid w:val="00023AEE"/>
    <w:rsid w:val="000274B9"/>
    <w:rsid w:val="0002758B"/>
    <w:rsid w:val="000276A0"/>
    <w:rsid w:val="00030FFF"/>
    <w:rsid w:val="0003257C"/>
    <w:rsid w:val="000330DB"/>
    <w:rsid w:val="0003429F"/>
    <w:rsid w:val="0003562A"/>
    <w:rsid w:val="00036095"/>
    <w:rsid w:val="000367E0"/>
    <w:rsid w:val="00036AF4"/>
    <w:rsid w:val="00041C10"/>
    <w:rsid w:val="00043804"/>
    <w:rsid w:val="000441A1"/>
    <w:rsid w:val="00050869"/>
    <w:rsid w:val="00051E3C"/>
    <w:rsid w:val="00055596"/>
    <w:rsid w:val="00056014"/>
    <w:rsid w:val="000561C1"/>
    <w:rsid w:val="00056204"/>
    <w:rsid w:val="00056D7C"/>
    <w:rsid w:val="000570D1"/>
    <w:rsid w:val="000571A9"/>
    <w:rsid w:val="00060290"/>
    <w:rsid w:val="00060475"/>
    <w:rsid w:val="000611AB"/>
    <w:rsid w:val="000639E5"/>
    <w:rsid w:val="00063E24"/>
    <w:rsid w:val="00072229"/>
    <w:rsid w:val="000728F8"/>
    <w:rsid w:val="00073CF1"/>
    <w:rsid w:val="00074BD0"/>
    <w:rsid w:val="00074D9A"/>
    <w:rsid w:val="00074DB9"/>
    <w:rsid w:val="000753C4"/>
    <w:rsid w:val="00075DF0"/>
    <w:rsid w:val="000762CA"/>
    <w:rsid w:val="000803A4"/>
    <w:rsid w:val="000806E3"/>
    <w:rsid w:val="00082EA0"/>
    <w:rsid w:val="0008339E"/>
    <w:rsid w:val="00090AD1"/>
    <w:rsid w:val="00090F4F"/>
    <w:rsid w:val="00091476"/>
    <w:rsid w:val="00091984"/>
    <w:rsid w:val="00092879"/>
    <w:rsid w:val="00094E87"/>
    <w:rsid w:val="000963B2"/>
    <w:rsid w:val="00097FB2"/>
    <w:rsid w:val="000A151D"/>
    <w:rsid w:val="000A24C5"/>
    <w:rsid w:val="000A30A1"/>
    <w:rsid w:val="000A3A38"/>
    <w:rsid w:val="000A3F7F"/>
    <w:rsid w:val="000A47FD"/>
    <w:rsid w:val="000A7192"/>
    <w:rsid w:val="000A7A65"/>
    <w:rsid w:val="000B0228"/>
    <w:rsid w:val="000B2E16"/>
    <w:rsid w:val="000B3A13"/>
    <w:rsid w:val="000B4BB2"/>
    <w:rsid w:val="000B6379"/>
    <w:rsid w:val="000C4E54"/>
    <w:rsid w:val="000C76B0"/>
    <w:rsid w:val="000C7BBE"/>
    <w:rsid w:val="000D2475"/>
    <w:rsid w:val="000D442C"/>
    <w:rsid w:val="000D4DC4"/>
    <w:rsid w:val="000E55D6"/>
    <w:rsid w:val="000E612D"/>
    <w:rsid w:val="000E6AB1"/>
    <w:rsid w:val="000E745A"/>
    <w:rsid w:val="000E7E9E"/>
    <w:rsid w:val="000F0044"/>
    <w:rsid w:val="000F0E95"/>
    <w:rsid w:val="000F0EFD"/>
    <w:rsid w:val="000F5541"/>
    <w:rsid w:val="000F703B"/>
    <w:rsid w:val="000F72ED"/>
    <w:rsid w:val="000F7A4C"/>
    <w:rsid w:val="00103698"/>
    <w:rsid w:val="00106122"/>
    <w:rsid w:val="00106EF8"/>
    <w:rsid w:val="001079CD"/>
    <w:rsid w:val="001101A2"/>
    <w:rsid w:val="00111489"/>
    <w:rsid w:val="00111792"/>
    <w:rsid w:val="00111797"/>
    <w:rsid w:val="00111B19"/>
    <w:rsid w:val="00114A64"/>
    <w:rsid w:val="00115F59"/>
    <w:rsid w:val="00116C1A"/>
    <w:rsid w:val="00121554"/>
    <w:rsid w:val="00121F3E"/>
    <w:rsid w:val="0012229E"/>
    <w:rsid w:val="00122D63"/>
    <w:rsid w:val="00123849"/>
    <w:rsid w:val="00123A5E"/>
    <w:rsid w:val="00125010"/>
    <w:rsid w:val="00125146"/>
    <w:rsid w:val="001251C8"/>
    <w:rsid w:val="00125266"/>
    <w:rsid w:val="00125B82"/>
    <w:rsid w:val="001305E6"/>
    <w:rsid w:val="001315CD"/>
    <w:rsid w:val="0013239A"/>
    <w:rsid w:val="00132D93"/>
    <w:rsid w:val="001334D3"/>
    <w:rsid w:val="0013761A"/>
    <w:rsid w:val="001406FA"/>
    <w:rsid w:val="0014423A"/>
    <w:rsid w:val="00146480"/>
    <w:rsid w:val="00147042"/>
    <w:rsid w:val="001471A7"/>
    <w:rsid w:val="001506F6"/>
    <w:rsid w:val="001508E6"/>
    <w:rsid w:val="00154032"/>
    <w:rsid w:val="001547D3"/>
    <w:rsid w:val="001559BD"/>
    <w:rsid w:val="00156DF4"/>
    <w:rsid w:val="00157EE2"/>
    <w:rsid w:val="00157F09"/>
    <w:rsid w:val="00157F79"/>
    <w:rsid w:val="00160184"/>
    <w:rsid w:val="00163E84"/>
    <w:rsid w:val="00165A12"/>
    <w:rsid w:val="001668AA"/>
    <w:rsid w:val="001675B1"/>
    <w:rsid w:val="0016789D"/>
    <w:rsid w:val="00167C87"/>
    <w:rsid w:val="00171F01"/>
    <w:rsid w:val="00172EE3"/>
    <w:rsid w:val="00174F19"/>
    <w:rsid w:val="00175F27"/>
    <w:rsid w:val="00177E7E"/>
    <w:rsid w:val="00180BB5"/>
    <w:rsid w:val="0018210C"/>
    <w:rsid w:val="0018356F"/>
    <w:rsid w:val="001874A7"/>
    <w:rsid w:val="001876C5"/>
    <w:rsid w:val="00187D68"/>
    <w:rsid w:val="00190155"/>
    <w:rsid w:val="001906B5"/>
    <w:rsid w:val="001913A7"/>
    <w:rsid w:val="00191D2A"/>
    <w:rsid w:val="00192198"/>
    <w:rsid w:val="00194163"/>
    <w:rsid w:val="00194359"/>
    <w:rsid w:val="0019438A"/>
    <w:rsid w:val="00194FEB"/>
    <w:rsid w:val="001970A4"/>
    <w:rsid w:val="00197AD1"/>
    <w:rsid w:val="001A17DA"/>
    <w:rsid w:val="001B0020"/>
    <w:rsid w:val="001B3F87"/>
    <w:rsid w:val="001B4026"/>
    <w:rsid w:val="001B598C"/>
    <w:rsid w:val="001B6419"/>
    <w:rsid w:val="001B76A6"/>
    <w:rsid w:val="001C07F8"/>
    <w:rsid w:val="001C1147"/>
    <w:rsid w:val="001C2D7D"/>
    <w:rsid w:val="001C2F59"/>
    <w:rsid w:val="001C6C08"/>
    <w:rsid w:val="001D0646"/>
    <w:rsid w:val="001D1B55"/>
    <w:rsid w:val="001D2056"/>
    <w:rsid w:val="001D220F"/>
    <w:rsid w:val="001D42D1"/>
    <w:rsid w:val="001D547F"/>
    <w:rsid w:val="001D5F99"/>
    <w:rsid w:val="001D64E5"/>
    <w:rsid w:val="001D6EB8"/>
    <w:rsid w:val="001E05EC"/>
    <w:rsid w:val="001E1003"/>
    <w:rsid w:val="001E2165"/>
    <w:rsid w:val="001E2C6B"/>
    <w:rsid w:val="001E4809"/>
    <w:rsid w:val="001E4F4F"/>
    <w:rsid w:val="001F27F4"/>
    <w:rsid w:val="001F3DC0"/>
    <w:rsid w:val="001F4C5A"/>
    <w:rsid w:val="001F4EA9"/>
    <w:rsid w:val="001F4F73"/>
    <w:rsid w:val="001F611A"/>
    <w:rsid w:val="001F6425"/>
    <w:rsid w:val="001F6772"/>
    <w:rsid w:val="001F7421"/>
    <w:rsid w:val="00200195"/>
    <w:rsid w:val="00200213"/>
    <w:rsid w:val="00200B5F"/>
    <w:rsid w:val="00201EEF"/>
    <w:rsid w:val="00202476"/>
    <w:rsid w:val="00202B58"/>
    <w:rsid w:val="00202F70"/>
    <w:rsid w:val="002047C8"/>
    <w:rsid w:val="00204F71"/>
    <w:rsid w:val="002052B3"/>
    <w:rsid w:val="00205453"/>
    <w:rsid w:val="002058F9"/>
    <w:rsid w:val="0020650A"/>
    <w:rsid w:val="00207F32"/>
    <w:rsid w:val="00212B1F"/>
    <w:rsid w:val="00213340"/>
    <w:rsid w:val="00213D7C"/>
    <w:rsid w:val="00214513"/>
    <w:rsid w:val="002155B7"/>
    <w:rsid w:val="0021766A"/>
    <w:rsid w:val="00220C88"/>
    <w:rsid w:val="002225D3"/>
    <w:rsid w:val="00222A35"/>
    <w:rsid w:val="0022301D"/>
    <w:rsid w:val="002236F0"/>
    <w:rsid w:val="00224B2C"/>
    <w:rsid w:val="00225A8A"/>
    <w:rsid w:val="00226F3A"/>
    <w:rsid w:val="002272E2"/>
    <w:rsid w:val="00227E55"/>
    <w:rsid w:val="00232AA0"/>
    <w:rsid w:val="00234CDF"/>
    <w:rsid w:val="00236B91"/>
    <w:rsid w:val="00236BF6"/>
    <w:rsid w:val="002424C0"/>
    <w:rsid w:val="00242617"/>
    <w:rsid w:val="00242CAA"/>
    <w:rsid w:val="00243F22"/>
    <w:rsid w:val="0024503B"/>
    <w:rsid w:val="0024573D"/>
    <w:rsid w:val="00245D74"/>
    <w:rsid w:val="002463E6"/>
    <w:rsid w:val="00246D03"/>
    <w:rsid w:val="00246DDF"/>
    <w:rsid w:val="002573CC"/>
    <w:rsid w:val="002574B8"/>
    <w:rsid w:val="00260FAA"/>
    <w:rsid w:val="00262338"/>
    <w:rsid w:val="00263694"/>
    <w:rsid w:val="00263938"/>
    <w:rsid w:val="002646D7"/>
    <w:rsid w:val="00264990"/>
    <w:rsid w:val="00264C2D"/>
    <w:rsid w:val="002671D7"/>
    <w:rsid w:val="0027259C"/>
    <w:rsid w:val="00273543"/>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71D6"/>
    <w:rsid w:val="002A2F08"/>
    <w:rsid w:val="002A3641"/>
    <w:rsid w:val="002A495F"/>
    <w:rsid w:val="002A4CE1"/>
    <w:rsid w:val="002A4EA7"/>
    <w:rsid w:val="002A706F"/>
    <w:rsid w:val="002A70EA"/>
    <w:rsid w:val="002A7363"/>
    <w:rsid w:val="002A7F43"/>
    <w:rsid w:val="002B2060"/>
    <w:rsid w:val="002B20A9"/>
    <w:rsid w:val="002B365E"/>
    <w:rsid w:val="002B3E6C"/>
    <w:rsid w:val="002B489A"/>
    <w:rsid w:val="002B6341"/>
    <w:rsid w:val="002B7B40"/>
    <w:rsid w:val="002C031A"/>
    <w:rsid w:val="002C0526"/>
    <w:rsid w:val="002C0E7C"/>
    <w:rsid w:val="002C27A8"/>
    <w:rsid w:val="002C333E"/>
    <w:rsid w:val="002C36C8"/>
    <w:rsid w:val="002C51A0"/>
    <w:rsid w:val="002C57E0"/>
    <w:rsid w:val="002C5F40"/>
    <w:rsid w:val="002C7971"/>
    <w:rsid w:val="002D0584"/>
    <w:rsid w:val="002D1E5A"/>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5BB"/>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513C"/>
    <w:rsid w:val="00306D24"/>
    <w:rsid w:val="00307712"/>
    <w:rsid w:val="0031404A"/>
    <w:rsid w:val="00314B7C"/>
    <w:rsid w:val="00314E49"/>
    <w:rsid w:val="00315445"/>
    <w:rsid w:val="00317183"/>
    <w:rsid w:val="003202C1"/>
    <w:rsid w:val="003204AE"/>
    <w:rsid w:val="003208EF"/>
    <w:rsid w:val="00321F64"/>
    <w:rsid w:val="00323C95"/>
    <w:rsid w:val="00323D35"/>
    <w:rsid w:val="003243CC"/>
    <w:rsid w:val="00324846"/>
    <w:rsid w:val="00324ABD"/>
    <w:rsid w:val="00324D9B"/>
    <w:rsid w:val="0032587B"/>
    <w:rsid w:val="003272A6"/>
    <w:rsid w:val="003273CB"/>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BA7"/>
    <w:rsid w:val="0034740F"/>
    <w:rsid w:val="0034782B"/>
    <w:rsid w:val="00351E5C"/>
    <w:rsid w:val="00351F5A"/>
    <w:rsid w:val="003538F7"/>
    <w:rsid w:val="0035580F"/>
    <w:rsid w:val="00357CB4"/>
    <w:rsid w:val="003604EE"/>
    <w:rsid w:val="0036286B"/>
    <w:rsid w:val="00363371"/>
    <w:rsid w:val="00363EED"/>
    <w:rsid w:val="00364989"/>
    <w:rsid w:val="003656DB"/>
    <w:rsid w:val="003664C0"/>
    <w:rsid w:val="00366769"/>
    <w:rsid w:val="00367A28"/>
    <w:rsid w:val="00367E04"/>
    <w:rsid w:val="0037055F"/>
    <w:rsid w:val="00373C40"/>
    <w:rsid w:val="003761F2"/>
    <w:rsid w:val="00376A05"/>
    <w:rsid w:val="003774FE"/>
    <w:rsid w:val="00387343"/>
    <w:rsid w:val="00387CC5"/>
    <w:rsid w:val="00390E30"/>
    <w:rsid w:val="00392823"/>
    <w:rsid w:val="003938AC"/>
    <w:rsid w:val="00393ABE"/>
    <w:rsid w:val="0039458D"/>
    <w:rsid w:val="00394D61"/>
    <w:rsid w:val="00395201"/>
    <w:rsid w:val="003A05FC"/>
    <w:rsid w:val="003A1F5A"/>
    <w:rsid w:val="003A20C4"/>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C76E4"/>
    <w:rsid w:val="003C775E"/>
    <w:rsid w:val="003D1D4D"/>
    <w:rsid w:val="003D2D68"/>
    <w:rsid w:val="003D3682"/>
    <w:rsid w:val="003D37DD"/>
    <w:rsid w:val="003D45DF"/>
    <w:rsid w:val="003D47C6"/>
    <w:rsid w:val="003D707C"/>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5878"/>
    <w:rsid w:val="003F625A"/>
    <w:rsid w:val="003F6AA4"/>
    <w:rsid w:val="003F6EA1"/>
    <w:rsid w:val="003F72ED"/>
    <w:rsid w:val="00400E4A"/>
    <w:rsid w:val="004015A4"/>
    <w:rsid w:val="004028E7"/>
    <w:rsid w:val="00402E9A"/>
    <w:rsid w:val="00403FA8"/>
    <w:rsid w:val="00404040"/>
    <w:rsid w:val="00404213"/>
    <w:rsid w:val="004048AC"/>
    <w:rsid w:val="00404B8E"/>
    <w:rsid w:val="004068C2"/>
    <w:rsid w:val="00406E61"/>
    <w:rsid w:val="00407DD6"/>
    <w:rsid w:val="00412559"/>
    <w:rsid w:val="004145AF"/>
    <w:rsid w:val="004145F0"/>
    <w:rsid w:val="00414D79"/>
    <w:rsid w:val="00415E7F"/>
    <w:rsid w:val="00420288"/>
    <w:rsid w:val="00421C78"/>
    <w:rsid w:val="004224CE"/>
    <w:rsid w:val="00423160"/>
    <w:rsid w:val="00423D5E"/>
    <w:rsid w:val="00424A78"/>
    <w:rsid w:val="004254DB"/>
    <w:rsid w:val="00427EEA"/>
    <w:rsid w:val="00430120"/>
    <w:rsid w:val="00431836"/>
    <w:rsid w:val="00431D27"/>
    <w:rsid w:val="004321E6"/>
    <w:rsid w:val="0043278E"/>
    <w:rsid w:val="004332A4"/>
    <w:rsid w:val="004360AC"/>
    <w:rsid w:val="00436B83"/>
    <w:rsid w:val="0044095D"/>
    <w:rsid w:val="00441061"/>
    <w:rsid w:val="0044560C"/>
    <w:rsid w:val="004471AA"/>
    <w:rsid w:val="004501C9"/>
    <w:rsid w:val="00450C70"/>
    <w:rsid w:val="00453344"/>
    <w:rsid w:val="00454E76"/>
    <w:rsid w:val="00457080"/>
    <w:rsid w:val="00460891"/>
    <w:rsid w:val="00464FB2"/>
    <w:rsid w:val="004662A8"/>
    <w:rsid w:val="00466CDC"/>
    <w:rsid w:val="0046745E"/>
    <w:rsid w:val="004717B9"/>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5F4F"/>
    <w:rsid w:val="004A76FF"/>
    <w:rsid w:val="004A7810"/>
    <w:rsid w:val="004A7E93"/>
    <w:rsid w:val="004B021E"/>
    <w:rsid w:val="004B0D34"/>
    <w:rsid w:val="004B3026"/>
    <w:rsid w:val="004B3CFB"/>
    <w:rsid w:val="004B5D6B"/>
    <w:rsid w:val="004B76F8"/>
    <w:rsid w:val="004C1FA6"/>
    <w:rsid w:val="004C2869"/>
    <w:rsid w:val="004C348B"/>
    <w:rsid w:val="004C581E"/>
    <w:rsid w:val="004C5CFD"/>
    <w:rsid w:val="004D12C0"/>
    <w:rsid w:val="004D18EA"/>
    <w:rsid w:val="004D2B29"/>
    <w:rsid w:val="004D3713"/>
    <w:rsid w:val="004D4AD4"/>
    <w:rsid w:val="004D6254"/>
    <w:rsid w:val="004D70FD"/>
    <w:rsid w:val="004D7E99"/>
    <w:rsid w:val="004E00CE"/>
    <w:rsid w:val="004E2AFA"/>
    <w:rsid w:val="004E2BDB"/>
    <w:rsid w:val="004E307B"/>
    <w:rsid w:val="004E7373"/>
    <w:rsid w:val="004F0966"/>
    <w:rsid w:val="004F107B"/>
    <w:rsid w:val="004F406B"/>
    <w:rsid w:val="004F50AF"/>
    <w:rsid w:val="004F681D"/>
    <w:rsid w:val="004F6E14"/>
    <w:rsid w:val="0050228C"/>
    <w:rsid w:val="00502857"/>
    <w:rsid w:val="005044A9"/>
    <w:rsid w:val="00504F68"/>
    <w:rsid w:val="005054DC"/>
    <w:rsid w:val="00505994"/>
    <w:rsid w:val="00505FD4"/>
    <w:rsid w:val="005062F0"/>
    <w:rsid w:val="00506E25"/>
    <w:rsid w:val="00507A41"/>
    <w:rsid w:val="00507BAC"/>
    <w:rsid w:val="0051132C"/>
    <w:rsid w:val="005119D0"/>
    <w:rsid w:val="00513483"/>
    <w:rsid w:val="005144C5"/>
    <w:rsid w:val="00514A55"/>
    <w:rsid w:val="00514EF5"/>
    <w:rsid w:val="0051782D"/>
    <w:rsid w:val="0052087E"/>
    <w:rsid w:val="0052315E"/>
    <w:rsid w:val="00523B73"/>
    <w:rsid w:val="00530ED3"/>
    <w:rsid w:val="00533D2D"/>
    <w:rsid w:val="0053438E"/>
    <w:rsid w:val="005343E5"/>
    <w:rsid w:val="005346B7"/>
    <w:rsid w:val="00534E4B"/>
    <w:rsid w:val="005355EE"/>
    <w:rsid w:val="00535B16"/>
    <w:rsid w:val="005366D0"/>
    <w:rsid w:val="00537E27"/>
    <w:rsid w:val="00540B4D"/>
    <w:rsid w:val="00540FFA"/>
    <w:rsid w:val="00542930"/>
    <w:rsid w:val="005435B3"/>
    <w:rsid w:val="00545568"/>
    <w:rsid w:val="00550849"/>
    <w:rsid w:val="00550866"/>
    <w:rsid w:val="005548AF"/>
    <w:rsid w:val="00554BF3"/>
    <w:rsid w:val="0055655F"/>
    <w:rsid w:val="0055657D"/>
    <w:rsid w:val="005579B9"/>
    <w:rsid w:val="00560D0D"/>
    <w:rsid w:val="005632F1"/>
    <w:rsid w:val="005644AD"/>
    <w:rsid w:val="00565FB1"/>
    <w:rsid w:val="005662FB"/>
    <w:rsid w:val="00567781"/>
    <w:rsid w:val="00567ECC"/>
    <w:rsid w:val="0057019C"/>
    <w:rsid w:val="005713B1"/>
    <w:rsid w:val="0057363E"/>
    <w:rsid w:val="0057372A"/>
    <w:rsid w:val="0057624B"/>
    <w:rsid w:val="0057644D"/>
    <w:rsid w:val="0057649A"/>
    <w:rsid w:val="00580E30"/>
    <w:rsid w:val="00583090"/>
    <w:rsid w:val="005835F4"/>
    <w:rsid w:val="0058395C"/>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4BD"/>
    <w:rsid w:val="00597A78"/>
    <w:rsid w:val="00597DC7"/>
    <w:rsid w:val="005A16A3"/>
    <w:rsid w:val="005A1C48"/>
    <w:rsid w:val="005A253A"/>
    <w:rsid w:val="005A2AD8"/>
    <w:rsid w:val="005A3152"/>
    <w:rsid w:val="005A40AF"/>
    <w:rsid w:val="005A64BF"/>
    <w:rsid w:val="005A7AA6"/>
    <w:rsid w:val="005B0565"/>
    <w:rsid w:val="005B15B7"/>
    <w:rsid w:val="005B4421"/>
    <w:rsid w:val="005B513F"/>
    <w:rsid w:val="005B551C"/>
    <w:rsid w:val="005B7483"/>
    <w:rsid w:val="005B7929"/>
    <w:rsid w:val="005C0643"/>
    <w:rsid w:val="005C23AF"/>
    <w:rsid w:val="005C25D1"/>
    <w:rsid w:val="005C35A9"/>
    <w:rsid w:val="005C464B"/>
    <w:rsid w:val="005C4E5F"/>
    <w:rsid w:val="005C74A0"/>
    <w:rsid w:val="005D052C"/>
    <w:rsid w:val="005D16FE"/>
    <w:rsid w:val="005D4084"/>
    <w:rsid w:val="005D4777"/>
    <w:rsid w:val="005D4C2B"/>
    <w:rsid w:val="005D5784"/>
    <w:rsid w:val="005E22CD"/>
    <w:rsid w:val="005E3862"/>
    <w:rsid w:val="005E6B93"/>
    <w:rsid w:val="005E7953"/>
    <w:rsid w:val="005E7E82"/>
    <w:rsid w:val="005F2C42"/>
    <w:rsid w:val="005F4068"/>
    <w:rsid w:val="005F6BAB"/>
    <w:rsid w:val="005F6C28"/>
    <w:rsid w:val="005F7AB6"/>
    <w:rsid w:val="005F7E3C"/>
    <w:rsid w:val="00600FA8"/>
    <w:rsid w:val="00601924"/>
    <w:rsid w:val="006063DA"/>
    <w:rsid w:val="00606CD0"/>
    <w:rsid w:val="00606CE3"/>
    <w:rsid w:val="00611DD3"/>
    <w:rsid w:val="00611EE4"/>
    <w:rsid w:val="00611EF0"/>
    <w:rsid w:val="00612219"/>
    <w:rsid w:val="00612E04"/>
    <w:rsid w:val="006173A4"/>
    <w:rsid w:val="00617C44"/>
    <w:rsid w:val="00620086"/>
    <w:rsid w:val="00620817"/>
    <w:rsid w:val="00622074"/>
    <w:rsid w:val="00622CE4"/>
    <w:rsid w:val="006234A7"/>
    <w:rsid w:val="00623F8E"/>
    <w:rsid w:val="00625917"/>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60279"/>
    <w:rsid w:val="006604A1"/>
    <w:rsid w:val="00660A94"/>
    <w:rsid w:val="006622B9"/>
    <w:rsid w:val="00662E1E"/>
    <w:rsid w:val="0066371E"/>
    <w:rsid w:val="0066455B"/>
    <w:rsid w:val="00667F51"/>
    <w:rsid w:val="00670BC4"/>
    <w:rsid w:val="006718ED"/>
    <w:rsid w:val="006724AD"/>
    <w:rsid w:val="00672BAB"/>
    <w:rsid w:val="0067314A"/>
    <w:rsid w:val="00673D1E"/>
    <w:rsid w:val="0067557E"/>
    <w:rsid w:val="00675E9D"/>
    <w:rsid w:val="006779CF"/>
    <w:rsid w:val="00677A8F"/>
    <w:rsid w:val="00677D63"/>
    <w:rsid w:val="00677F8A"/>
    <w:rsid w:val="006805DD"/>
    <w:rsid w:val="006821E3"/>
    <w:rsid w:val="0068261F"/>
    <w:rsid w:val="00683AD6"/>
    <w:rsid w:val="006842AE"/>
    <w:rsid w:val="006875BA"/>
    <w:rsid w:val="0069097D"/>
    <w:rsid w:val="00690A37"/>
    <w:rsid w:val="00693FEA"/>
    <w:rsid w:val="00694C68"/>
    <w:rsid w:val="006A4204"/>
    <w:rsid w:val="006A5773"/>
    <w:rsid w:val="006A5804"/>
    <w:rsid w:val="006A58F0"/>
    <w:rsid w:val="006A5F9B"/>
    <w:rsid w:val="006A6262"/>
    <w:rsid w:val="006B0372"/>
    <w:rsid w:val="006B0764"/>
    <w:rsid w:val="006B081C"/>
    <w:rsid w:val="006B1E4E"/>
    <w:rsid w:val="006B4467"/>
    <w:rsid w:val="006B6C46"/>
    <w:rsid w:val="006B6E78"/>
    <w:rsid w:val="006B7970"/>
    <w:rsid w:val="006C0039"/>
    <w:rsid w:val="006C1927"/>
    <w:rsid w:val="006C2585"/>
    <w:rsid w:val="006C4008"/>
    <w:rsid w:val="006C4E2C"/>
    <w:rsid w:val="006C5931"/>
    <w:rsid w:val="006C73EF"/>
    <w:rsid w:val="006D1723"/>
    <w:rsid w:val="006D2EAF"/>
    <w:rsid w:val="006D5D3F"/>
    <w:rsid w:val="006D60ED"/>
    <w:rsid w:val="006E1166"/>
    <w:rsid w:val="006E24D9"/>
    <w:rsid w:val="006E25BA"/>
    <w:rsid w:val="006E596E"/>
    <w:rsid w:val="006E65E0"/>
    <w:rsid w:val="006F033F"/>
    <w:rsid w:val="006F24D8"/>
    <w:rsid w:val="006F33B8"/>
    <w:rsid w:val="006F4860"/>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084A"/>
    <w:rsid w:val="0071277A"/>
    <w:rsid w:val="00712EE5"/>
    <w:rsid w:val="00713493"/>
    <w:rsid w:val="00713494"/>
    <w:rsid w:val="00713A28"/>
    <w:rsid w:val="00713EA7"/>
    <w:rsid w:val="00714031"/>
    <w:rsid w:val="0071466E"/>
    <w:rsid w:val="00714A6C"/>
    <w:rsid w:val="00714CD3"/>
    <w:rsid w:val="0071582C"/>
    <w:rsid w:val="00716174"/>
    <w:rsid w:val="007203D8"/>
    <w:rsid w:val="007206A8"/>
    <w:rsid w:val="00721018"/>
    <w:rsid w:val="0072116D"/>
    <w:rsid w:val="0072226F"/>
    <w:rsid w:val="00725B78"/>
    <w:rsid w:val="007260EC"/>
    <w:rsid w:val="00727082"/>
    <w:rsid w:val="0073233C"/>
    <w:rsid w:val="00732D0C"/>
    <w:rsid w:val="00733EAD"/>
    <w:rsid w:val="00734F54"/>
    <w:rsid w:val="00736D93"/>
    <w:rsid w:val="00737C04"/>
    <w:rsid w:val="00737F64"/>
    <w:rsid w:val="007422C9"/>
    <w:rsid w:val="00744110"/>
    <w:rsid w:val="00744595"/>
    <w:rsid w:val="0074695A"/>
    <w:rsid w:val="00747A52"/>
    <w:rsid w:val="00750F1E"/>
    <w:rsid w:val="00751C12"/>
    <w:rsid w:val="00752691"/>
    <w:rsid w:val="007528F2"/>
    <w:rsid w:val="007575C4"/>
    <w:rsid w:val="00757D63"/>
    <w:rsid w:val="0076176A"/>
    <w:rsid w:val="00762A1B"/>
    <w:rsid w:val="00762D6D"/>
    <w:rsid w:val="00763700"/>
    <w:rsid w:val="0076427C"/>
    <w:rsid w:val="00765217"/>
    <w:rsid w:val="007659AA"/>
    <w:rsid w:val="00765E87"/>
    <w:rsid w:val="00766334"/>
    <w:rsid w:val="00767AA2"/>
    <w:rsid w:val="0077266C"/>
    <w:rsid w:val="00772802"/>
    <w:rsid w:val="00775066"/>
    <w:rsid w:val="00776406"/>
    <w:rsid w:val="0077709F"/>
    <w:rsid w:val="0078005A"/>
    <w:rsid w:val="00780A00"/>
    <w:rsid w:val="0078152B"/>
    <w:rsid w:val="00781B6F"/>
    <w:rsid w:val="00781F9C"/>
    <w:rsid w:val="007820ED"/>
    <w:rsid w:val="00782DFD"/>
    <w:rsid w:val="00784424"/>
    <w:rsid w:val="00785474"/>
    <w:rsid w:val="0078772C"/>
    <w:rsid w:val="00787B99"/>
    <w:rsid w:val="00787CC4"/>
    <w:rsid w:val="007907C8"/>
    <w:rsid w:val="007925B6"/>
    <w:rsid w:val="007934F5"/>
    <w:rsid w:val="0079421C"/>
    <w:rsid w:val="0079526D"/>
    <w:rsid w:val="00795A2C"/>
    <w:rsid w:val="0079693F"/>
    <w:rsid w:val="00797309"/>
    <w:rsid w:val="00797390"/>
    <w:rsid w:val="007A05B6"/>
    <w:rsid w:val="007A1C0A"/>
    <w:rsid w:val="007A1C59"/>
    <w:rsid w:val="007A4397"/>
    <w:rsid w:val="007A5B41"/>
    <w:rsid w:val="007A5EA7"/>
    <w:rsid w:val="007B002C"/>
    <w:rsid w:val="007B31BE"/>
    <w:rsid w:val="007B3428"/>
    <w:rsid w:val="007B3A76"/>
    <w:rsid w:val="007B5792"/>
    <w:rsid w:val="007C2934"/>
    <w:rsid w:val="007C31E2"/>
    <w:rsid w:val="007C5CE1"/>
    <w:rsid w:val="007C6F85"/>
    <w:rsid w:val="007D0569"/>
    <w:rsid w:val="007D16B1"/>
    <w:rsid w:val="007D1955"/>
    <w:rsid w:val="007D19E4"/>
    <w:rsid w:val="007D2001"/>
    <w:rsid w:val="007D7400"/>
    <w:rsid w:val="007D7761"/>
    <w:rsid w:val="007D79FF"/>
    <w:rsid w:val="007E00CE"/>
    <w:rsid w:val="007E02A7"/>
    <w:rsid w:val="007E0C0A"/>
    <w:rsid w:val="007E104F"/>
    <w:rsid w:val="007E2ECA"/>
    <w:rsid w:val="007E3F62"/>
    <w:rsid w:val="007E4602"/>
    <w:rsid w:val="007E468A"/>
    <w:rsid w:val="007E51A5"/>
    <w:rsid w:val="007E5629"/>
    <w:rsid w:val="007E7F4C"/>
    <w:rsid w:val="007F2EC6"/>
    <w:rsid w:val="007F3018"/>
    <w:rsid w:val="007F6862"/>
    <w:rsid w:val="008013FC"/>
    <w:rsid w:val="008037EA"/>
    <w:rsid w:val="008060C3"/>
    <w:rsid w:val="008063A1"/>
    <w:rsid w:val="00806AE1"/>
    <w:rsid w:val="00807F00"/>
    <w:rsid w:val="00812095"/>
    <w:rsid w:val="00812B03"/>
    <w:rsid w:val="008134BD"/>
    <w:rsid w:val="008139A5"/>
    <w:rsid w:val="00814656"/>
    <w:rsid w:val="00815DF7"/>
    <w:rsid w:val="00816968"/>
    <w:rsid w:val="00820E45"/>
    <w:rsid w:val="00821E2C"/>
    <w:rsid w:val="00822835"/>
    <w:rsid w:val="0082459B"/>
    <w:rsid w:val="00826758"/>
    <w:rsid w:val="008313D1"/>
    <w:rsid w:val="00833261"/>
    <w:rsid w:val="008353E0"/>
    <w:rsid w:val="008365F0"/>
    <w:rsid w:val="00841534"/>
    <w:rsid w:val="008462F1"/>
    <w:rsid w:val="00846930"/>
    <w:rsid w:val="00850FDE"/>
    <w:rsid w:val="0085105C"/>
    <w:rsid w:val="00852876"/>
    <w:rsid w:val="008543F5"/>
    <w:rsid w:val="00855004"/>
    <w:rsid w:val="008572C4"/>
    <w:rsid w:val="0085733E"/>
    <w:rsid w:val="0085765A"/>
    <w:rsid w:val="008604A8"/>
    <w:rsid w:val="00860E64"/>
    <w:rsid w:val="00861189"/>
    <w:rsid w:val="008616F7"/>
    <w:rsid w:val="00861AFA"/>
    <w:rsid w:val="00863C61"/>
    <w:rsid w:val="00865522"/>
    <w:rsid w:val="00865ADF"/>
    <w:rsid w:val="0086644C"/>
    <w:rsid w:val="008666B5"/>
    <w:rsid w:val="008703B3"/>
    <w:rsid w:val="00871F13"/>
    <w:rsid w:val="00876985"/>
    <w:rsid w:val="008771AF"/>
    <w:rsid w:val="008808E6"/>
    <w:rsid w:val="00883780"/>
    <w:rsid w:val="00883B99"/>
    <w:rsid w:val="00885066"/>
    <w:rsid w:val="00885F85"/>
    <w:rsid w:val="0088665E"/>
    <w:rsid w:val="00887F48"/>
    <w:rsid w:val="008923C8"/>
    <w:rsid w:val="008924B5"/>
    <w:rsid w:val="00893260"/>
    <w:rsid w:val="008932A8"/>
    <w:rsid w:val="00893756"/>
    <w:rsid w:val="008939FC"/>
    <w:rsid w:val="00894A9E"/>
    <w:rsid w:val="008950F6"/>
    <w:rsid w:val="00896815"/>
    <w:rsid w:val="008A0744"/>
    <w:rsid w:val="008A0A6E"/>
    <w:rsid w:val="008A0D0F"/>
    <w:rsid w:val="008A1721"/>
    <w:rsid w:val="008A2FB3"/>
    <w:rsid w:val="008A398B"/>
    <w:rsid w:val="008A5601"/>
    <w:rsid w:val="008A59AD"/>
    <w:rsid w:val="008B0EEB"/>
    <w:rsid w:val="008B1F91"/>
    <w:rsid w:val="008B431D"/>
    <w:rsid w:val="008B51FD"/>
    <w:rsid w:val="008B6269"/>
    <w:rsid w:val="008B6766"/>
    <w:rsid w:val="008B70F5"/>
    <w:rsid w:val="008B7186"/>
    <w:rsid w:val="008B7192"/>
    <w:rsid w:val="008C1939"/>
    <w:rsid w:val="008C3396"/>
    <w:rsid w:val="008C4E3F"/>
    <w:rsid w:val="008C621C"/>
    <w:rsid w:val="008C697C"/>
    <w:rsid w:val="008C7448"/>
    <w:rsid w:val="008C75ED"/>
    <w:rsid w:val="008C7649"/>
    <w:rsid w:val="008E03B0"/>
    <w:rsid w:val="008E0991"/>
    <w:rsid w:val="008E338E"/>
    <w:rsid w:val="008E57FE"/>
    <w:rsid w:val="008F03FB"/>
    <w:rsid w:val="008F1818"/>
    <w:rsid w:val="008F2665"/>
    <w:rsid w:val="008F507E"/>
    <w:rsid w:val="008F5251"/>
    <w:rsid w:val="008F6376"/>
    <w:rsid w:val="00900CC2"/>
    <w:rsid w:val="00901770"/>
    <w:rsid w:val="009019FB"/>
    <w:rsid w:val="00902AA5"/>
    <w:rsid w:val="009052B7"/>
    <w:rsid w:val="00905B05"/>
    <w:rsid w:val="0090753C"/>
    <w:rsid w:val="0090759D"/>
    <w:rsid w:val="0091156F"/>
    <w:rsid w:val="00911B66"/>
    <w:rsid w:val="00912A7E"/>
    <w:rsid w:val="00915330"/>
    <w:rsid w:val="00916E69"/>
    <w:rsid w:val="00917525"/>
    <w:rsid w:val="0091777D"/>
    <w:rsid w:val="00917C39"/>
    <w:rsid w:val="0092057D"/>
    <w:rsid w:val="0092113B"/>
    <w:rsid w:val="009218DE"/>
    <w:rsid w:val="00922D00"/>
    <w:rsid w:val="009233CC"/>
    <w:rsid w:val="00923F17"/>
    <w:rsid w:val="009266DA"/>
    <w:rsid w:val="00927F35"/>
    <w:rsid w:val="00930DE8"/>
    <w:rsid w:val="009318DD"/>
    <w:rsid w:val="009352C3"/>
    <w:rsid w:val="00935413"/>
    <w:rsid w:val="00935F5D"/>
    <w:rsid w:val="0093669F"/>
    <w:rsid w:val="009368E0"/>
    <w:rsid w:val="009378F1"/>
    <w:rsid w:val="0094260B"/>
    <w:rsid w:val="00942661"/>
    <w:rsid w:val="00945307"/>
    <w:rsid w:val="0094558D"/>
    <w:rsid w:val="0094697C"/>
    <w:rsid w:val="00946FCE"/>
    <w:rsid w:val="009515BC"/>
    <w:rsid w:val="009527FF"/>
    <w:rsid w:val="0095349A"/>
    <w:rsid w:val="00953B5B"/>
    <w:rsid w:val="00953ED0"/>
    <w:rsid w:val="0095492E"/>
    <w:rsid w:val="00955F7D"/>
    <w:rsid w:val="009561AB"/>
    <w:rsid w:val="009604E9"/>
    <w:rsid w:val="0096242F"/>
    <w:rsid w:val="00962E3B"/>
    <w:rsid w:val="00962FF5"/>
    <w:rsid w:val="0096494E"/>
    <w:rsid w:val="00964A4E"/>
    <w:rsid w:val="00965B02"/>
    <w:rsid w:val="00965C07"/>
    <w:rsid w:val="00965D2D"/>
    <w:rsid w:val="00970A16"/>
    <w:rsid w:val="00971847"/>
    <w:rsid w:val="00972964"/>
    <w:rsid w:val="0097345B"/>
    <w:rsid w:val="0097762F"/>
    <w:rsid w:val="00977C0A"/>
    <w:rsid w:val="009816B8"/>
    <w:rsid w:val="009819D6"/>
    <w:rsid w:val="00983B45"/>
    <w:rsid w:val="00983B5C"/>
    <w:rsid w:val="0098486A"/>
    <w:rsid w:val="0098766F"/>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A80"/>
    <w:rsid w:val="009C41EC"/>
    <w:rsid w:val="009C5238"/>
    <w:rsid w:val="009D12B4"/>
    <w:rsid w:val="009D1E70"/>
    <w:rsid w:val="009D2135"/>
    <w:rsid w:val="009D2FA7"/>
    <w:rsid w:val="009D2FEF"/>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E6CC5"/>
    <w:rsid w:val="009F04C3"/>
    <w:rsid w:val="009F0760"/>
    <w:rsid w:val="009F3B29"/>
    <w:rsid w:val="009F4860"/>
    <w:rsid w:val="00A00057"/>
    <w:rsid w:val="00A00485"/>
    <w:rsid w:val="00A0064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4F34"/>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B8F"/>
    <w:rsid w:val="00A3640F"/>
    <w:rsid w:val="00A37ECF"/>
    <w:rsid w:val="00A40CE2"/>
    <w:rsid w:val="00A42FAE"/>
    <w:rsid w:val="00A43553"/>
    <w:rsid w:val="00A47176"/>
    <w:rsid w:val="00A475C5"/>
    <w:rsid w:val="00A4768C"/>
    <w:rsid w:val="00A50A68"/>
    <w:rsid w:val="00A50D3B"/>
    <w:rsid w:val="00A50E38"/>
    <w:rsid w:val="00A510C6"/>
    <w:rsid w:val="00A518AA"/>
    <w:rsid w:val="00A525E7"/>
    <w:rsid w:val="00A52869"/>
    <w:rsid w:val="00A52F9E"/>
    <w:rsid w:val="00A539ED"/>
    <w:rsid w:val="00A56348"/>
    <w:rsid w:val="00A5703F"/>
    <w:rsid w:val="00A57D39"/>
    <w:rsid w:val="00A61825"/>
    <w:rsid w:val="00A6316B"/>
    <w:rsid w:val="00A63E57"/>
    <w:rsid w:val="00A65316"/>
    <w:rsid w:val="00A674FF"/>
    <w:rsid w:val="00A70F69"/>
    <w:rsid w:val="00A72611"/>
    <w:rsid w:val="00A73ABB"/>
    <w:rsid w:val="00A751A1"/>
    <w:rsid w:val="00A76D2C"/>
    <w:rsid w:val="00A77746"/>
    <w:rsid w:val="00A806AA"/>
    <w:rsid w:val="00A83BF6"/>
    <w:rsid w:val="00A84BAC"/>
    <w:rsid w:val="00A87B4F"/>
    <w:rsid w:val="00A87F31"/>
    <w:rsid w:val="00A90D27"/>
    <w:rsid w:val="00A9103B"/>
    <w:rsid w:val="00A91284"/>
    <w:rsid w:val="00A918A7"/>
    <w:rsid w:val="00A92871"/>
    <w:rsid w:val="00A94AB7"/>
    <w:rsid w:val="00A94D10"/>
    <w:rsid w:val="00A955EB"/>
    <w:rsid w:val="00A9591E"/>
    <w:rsid w:val="00AA1F49"/>
    <w:rsid w:val="00AA3A2E"/>
    <w:rsid w:val="00AA4099"/>
    <w:rsid w:val="00AA4D5A"/>
    <w:rsid w:val="00AA6913"/>
    <w:rsid w:val="00AB2190"/>
    <w:rsid w:val="00AB39EB"/>
    <w:rsid w:val="00AB3F27"/>
    <w:rsid w:val="00AB3FD9"/>
    <w:rsid w:val="00AB7DE7"/>
    <w:rsid w:val="00AC01D4"/>
    <w:rsid w:val="00AC03AB"/>
    <w:rsid w:val="00AC0650"/>
    <w:rsid w:val="00AC1BE7"/>
    <w:rsid w:val="00AC275F"/>
    <w:rsid w:val="00AC3654"/>
    <w:rsid w:val="00AC3EE4"/>
    <w:rsid w:val="00AC50A4"/>
    <w:rsid w:val="00AC5A95"/>
    <w:rsid w:val="00AC6074"/>
    <w:rsid w:val="00AC6471"/>
    <w:rsid w:val="00AD1407"/>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5209"/>
    <w:rsid w:val="00AE7D4F"/>
    <w:rsid w:val="00AE7FE4"/>
    <w:rsid w:val="00AF0117"/>
    <w:rsid w:val="00AF17D3"/>
    <w:rsid w:val="00AF1D77"/>
    <w:rsid w:val="00AF1E50"/>
    <w:rsid w:val="00AF38BA"/>
    <w:rsid w:val="00AF4F67"/>
    <w:rsid w:val="00AF5811"/>
    <w:rsid w:val="00AF6509"/>
    <w:rsid w:val="00B00BBE"/>
    <w:rsid w:val="00B0456E"/>
    <w:rsid w:val="00B06953"/>
    <w:rsid w:val="00B06A05"/>
    <w:rsid w:val="00B06BF6"/>
    <w:rsid w:val="00B06F7F"/>
    <w:rsid w:val="00B100F0"/>
    <w:rsid w:val="00B1402E"/>
    <w:rsid w:val="00B142FD"/>
    <w:rsid w:val="00B14865"/>
    <w:rsid w:val="00B1722F"/>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37103"/>
    <w:rsid w:val="00B42C2A"/>
    <w:rsid w:val="00B42E27"/>
    <w:rsid w:val="00B44CFB"/>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310D"/>
    <w:rsid w:val="00B831B9"/>
    <w:rsid w:val="00B8576A"/>
    <w:rsid w:val="00B86EF1"/>
    <w:rsid w:val="00B90674"/>
    <w:rsid w:val="00B91FFF"/>
    <w:rsid w:val="00B934E3"/>
    <w:rsid w:val="00B94323"/>
    <w:rsid w:val="00B94444"/>
    <w:rsid w:val="00B9566B"/>
    <w:rsid w:val="00B95F92"/>
    <w:rsid w:val="00B961B7"/>
    <w:rsid w:val="00B963D4"/>
    <w:rsid w:val="00B9772B"/>
    <w:rsid w:val="00BA25D4"/>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4879"/>
    <w:rsid w:val="00BB52A5"/>
    <w:rsid w:val="00BB5893"/>
    <w:rsid w:val="00BB6740"/>
    <w:rsid w:val="00BB7EA1"/>
    <w:rsid w:val="00BB7F81"/>
    <w:rsid w:val="00BC0F59"/>
    <w:rsid w:val="00BC269B"/>
    <w:rsid w:val="00BC27D2"/>
    <w:rsid w:val="00BC299D"/>
    <w:rsid w:val="00BC6D0F"/>
    <w:rsid w:val="00BD29FB"/>
    <w:rsid w:val="00BD2BCC"/>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0756"/>
    <w:rsid w:val="00C01083"/>
    <w:rsid w:val="00C02F76"/>
    <w:rsid w:val="00C0480F"/>
    <w:rsid w:val="00C04C9A"/>
    <w:rsid w:val="00C1043C"/>
    <w:rsid w:val="00C10D83"/>
    <w:rsid w:val="00C10D90"/>
    <w:rsid w:val="00C12A51"/>
    <w:rsid w:val="00C12C65"/>
    <w:rsid w:val="00C12CD1"/>
    <w:rsid w:val="00C13C81"/>
    <w:rsid w:val="00C15494"/>
    <w:rsid w:val="00C15550"/>
    <w:rsid w:val="00C1591E"/>
    <w:rsid w:val="00C15D76"/>
    <w:rsid w:val="00C173EE"/>
    <w:rsid w:val="00C20D36"/>
    <w:rsid w:val="00C21038"/>
    <w:rsid w:val="00C2286B"/>
    <w:rsid w:val="00C2396B"/>
    <w:rsid w:val="00C26865"/>
    <w:rsid w:val="00C2785F"/>
    <w:rsid w:val="00C30BA6"/>
    <w:rsid w:val="00C31467"/>
    <w:rsid w:val="00C33F0C"/>
    <w:rsid w:val="00C34CCB"/>
    <w:rsid w:val="00C34D57"/>
    <w:rsid w:val="00C35515"/>
    <w:rsid w:val="00C3562D"/>
    <w:rsid w:val="00C35807"/>
    <w:rsid w:val="00C35A4B"/>
    <w:rsid w:val="00C35CED"/>
    <w:rsid w:val="00C360E9"/>
    <w:rsid w:val="00C36696"/>
    <w:rsid w:val="00C36720"/>
    <w:rsid w:val="00C36777"/>
    <w:rsid w:val="00C36D74"/>
    <w:rsid w:val="00C37518"/>
    <w:rsid w:val="00C37F00"/>
    <w:rsid w:val="00C41FB1"/>
    <w:rsid w:val="00C421C9"/>
    <w:rsid w:val="00C42A3A"/>
    <w:rsid w:val="00C437C6"/>
    <w:rsid w:val="00C4517F"/>
    <w:rsid w:val="00C45232"/>
    <w:rsid w:val="00C46E94"/>
    <w:rsid w:val="00C4713F"/>
    <w:rsid w:val="00C51509"/>
    <w:rsid w:val="00C52097"/>
    <w:rsid w:val="00C52BA5"/>
    <w:rsid w:val="00C52F47"/>
    <w:rsid w:val="00C53323"/>
    <w:rsid w:val="00C54D8C"/>
    <w:rsid w:val="00C57493"/>
    <w:rsid w:val="00C605E6"/>
    <w:rsid w:val="00C626D4"/>
    <w:rsid w:val="00C63207"/>
    <w:rsid w:val="00C64D07"/>
    <w:rsid w:val="00C66CEF"/>
    <w:rsid w:val="00C670FE"/>
    <w:rsid w:val="00C71087"/>
    <w:rsid w:val="00C719EA"/>
    <w:rsid w:val="00C71E3C"/>
    <w:rsid w:val="00C73C17"/>
    <w:rsid w:val="00C74413"/>
    <w:rsid w:val="00C75492"/>
    <w:rsid w:val="00C77C78"/>
    <w:rsid w:val="00C8146C"/>
    <w:rsid w:val="00C821D5"/>
    <w:rsid w:val="00C8231E"/>
    <w:rsid w:val="00C8242F"/>
    <w:rsid w:val="00C82662"/>
    <w:rsid w:val="00C846DD"/>
    <w:rsid w:val="00C85CA6"/>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F01"/>
    <w:rsid w:val="00CC586C"/>
    <w:rsid w:val="00CC6453"/>
    <w:rsid w:val="00CC7524"/>
    <w:rsid w:val="00CD2D8A"/>
    <w:rsid w:val="00CD31EA"/>
    <w:rsid w:val="00CD4B6F"/>
    <w:rsid w:val="00CD692F"/>
    <w:rsid w:val="00CE0392"/>
    <w:rsid w:val="00CE2303"/>
    <w:rsid w:val="00CE5481"/>
    <w:rsid w:val="00CE5866"/>
    <w:rsid w:val="00CF003F"/>
    <w:rsid w:val="00CF0045"/>
    <w:rsid w:val="00CF7194"/>
    <w:rsid w:val="00CF74AE"/>
    <w:rsid w:val="00CF7C90"/>
    <w:rsid w:val="00CF7EA0"/>
    <w:rsid w:val="00D00600"/>
    <w:rsid w:val="00D00A29"/>
    <w:rsid w:val="00D02612"/>
    <w:rsid w:val="00D0329F"/>
    <w:rsid w:val="00D04372"/>
    <w:rsid w:val="00D04F9C"/>
    <w:rsid w:val="00D05DB1"/>
    <w:rsid w:val="00D06299"/>
    <w:rsid w:val="00D1045D"/>
    <w:rsid w:val="00D1201C"/>
    <w:rsid w:val="00D133AA"/>
    <w:rsid w:val="00D13B0B"/>
    <w:rsid w:val="00D13CCF"/>
    <w:rsid w:val="00D14CF7"/>
    <w:rsid w:val="00D1576E"/>
    <w:rsid w:val="00D15BBC"/>
    <w:rsid w:val="00D15E67"/>
    <w:rsid w:val="00D16CF9"/>
    <w:rsid w:val="00D20ABB"/>
    <w:rsid w:val="00D24AEE"/>
    <w:rsid w:val="00D25315"/>
    <w:rsid w:val="00D26A33"/>
    <w:rsid w:val="00D3073E"/>
    <w:rsid w:val="00D31676"/>
    <w:rsid w:val="00D316C8"/>
    <w:rsid w:val="00D31728"/>
    <w:rsid w:val="00D337D5"/>
    <w:rsid w:val="00D33FB9"/>
    <w:rsid w:val="00D34817"/>
    <w:rsid w:val="00D365BB"/>
    <w:rsid w:val="00D3795A"/>
    <w:rsid w:val="00D37AB5"/>
    <w:rsid w:val="00D40C74"/>
    <w:rsid w:val="00D4239C"/>
    <w:rsid w:val="00D43282"/>
    <w:rsid w:val="00D43EA4"/>
    <w:rsid w:val="00D44508"/>
    <w:rsid w:val="00D47810"/>
    <w:rsid w:val="00D5128E"/>
    <w:rsid w:val="00D52FD0"/>
    <w:rsid w:val="00D54385"/>
    <w:rsid w:val="00D606D9"/>
    <w:rsid w:val="00D6259C"/>
    <w:rsid w:val="00D63B91"/>
    <w:rsid w:val="00D64A4A"/>
    <w:rsid w:val="00D6679C"/>
    <w:rsid w:val="00D72F5D"/>
    <w:rsid w:val="00D7370C"/>
    <w:rsid w:val="00D73EE6"/>
    <w:rsid w:val="00D73F66"/>
    <w:rsid w:val="00D742D2"/>
    <w:rsid w:val="00D744DC"/>
    <w:rsid w:val="00D74556"/>
    <w:rsid w:val="00D75CF7"/>
    <w:rsid w:val="00D75F59"/>
    <w:rsid w:val="00D76EE8"/>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352A"/>
    <w:rsid w:val="00D95903"/>
    <w:rsid w:val="00D95D78"/>
    <w:rsid w:val="00D9753E"/>
    <w:rsid w:val="00D97C3F"/>
    <w:rsid w:val="00DA0810"/>
    <w:rsid w:val="00DA3FCE"/>
    <w:rsid w:val="00DA4B42"/>
    <w:rsid w:val="00DA771C"/>
    <w:rsid w:val="00DB2945"/>
    <w:rsid w:val="00DB2BE7"/>
    <w:rsid w:val="00DB38F1"/>
    <w:rsid w:val="00DB4203"/>
    <w:rsid w:val="00DB5D28"/>
    <w:rsid w:val="00DB6B88"/>
    <w:rsid w:val="00DB7CA1"/>
    <w:rsid w:val="00DC094F"/>
    <w:rsid w:val="00DC24B5"/>
    <w:rsid w:val="00DC25DA"/>
    <w:rsid w:val="00DC3324"/>
    <w:rsid w:val="00DC4325"/>
    <w:rsid w:val="00DC4915"/>
    <w:rsid w:val="00DC4C59"/>
    <w:rsid w:val="00DC5149"/>
    <w:rsid w:val="00DC5B77"/>
    <w:rsid w:val="00DC68E1"/>
    <w:rsid w:val="00DC7FCE"/>
    <w:rsid w:val="00DD0452"/>
    <w:rsid w:val="00DD1B88"/>
    <w:rsid w:val="00DD334C"/>
    <w:rsid w:val="00DD3C08"/>
    <w:rsid w:val="00DE0476"/>
    <w:rsid w:val="00DE1B2F"/>
    <w:rsid w:val="00DE1C5A"/>
    <w:rsid w:val="00DE2AAC"/>
    <w:rsid w:val="00DE46DB"/>
    <w:rsid w:val="00DE5A6A"/>
    <w:rsid w:val="00DE5E04"/>
    <w:rsid w:val="00DE6634"/>
    <w:rsid w:val="00DE7DBC"/>
    <w:rsid w:val="00DF1125"/>
    <w:rsid w:val="00DF22E5"/>
    <w:rsid w:val="00DF27AC"/>
    <w:rsid w:val="00DF28E7"/>
    <w:rsid w:val="00DF2FD1"/>
    <w:rsid w:val="00DF399A"/>
    <w:rsid w:val="00DF447B"/>
    <w:rsid w:val="00DF4DC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621B"/>
    <w:rsid w:val="00E21114"/>
    <w:rsid w:val="00E22B84"/>
    <w:rsid w:val="00E25E8A"/>
    <w:rsid w:val="00E26045"/>
    <w:rsid w:val="00E26BDB"/>
    <w:rsid w:val="00E27304"/>
    <w:rsid w:val="00E304D5"/>
    <w:rsid w:val="00E33084"/>
    <w:rsid w:val="00E337F5"/>
    <w:rsid w:val="00E339E4"/>
    <w:rsid w:val="00E34EBC"/>
    <w:rsid w:val="00E3529F"/>
    <w:rsid w:val="00E352D0"/>
    <w:rsid w:val="00E3617A"/>
    <w:rsid w:val="00E37211"/>
    <w:rsid w:val="00E37848"/>
    <w:rsid w:val="00E40180"/>
    <w:rsid w:val="00E4034D"/>
    <w:rsid w:val="00E404B3"/>
    <w:rsid w:val="00E41EE7"/>
    <w:rsid w:val="00E42084"/>
    <w:rsid w:val="00E44854"/>
    <w:rsid w:val="00E4540D"/>
    <w:rsid w:val="00E47598"/>
    <w:rsid w:val="00E50B82"/>
    <w:rsid w:val="00E50F1C"/>
    <w:rsid w:val="00E51630"/>
    <w:rsid w:val="00E539D3"/>
    <w:rsid w:val="00E552CC"/>
    <w:rsid w:val="00E55808"/>
    <w:rsid w:val="00E559EA"/>
    <w:rsid w:val="00E5696D"/>
    <w:rsid w:val="00E56E45"/>
    <w:rsid w:val="00E6161C"/>
    <w:rsid w:val="00E62DEC"/>
    <w:rsid w:val="00E63233"/>
    <w:rsid w:val="00E63C54"/>
    <w:rsid w:val="00E63FE6"/>
    <w:rsid w:val="00E65960"/>
    <w:rsid w:val="00E65F8A"/>
    <w:rsid w:val="00E66ECB"/>
    <w:rsid w:val="00E67486"/>
    <w:rsid w:val="00E727CE"/>
    <w:rsid w:val="00E73D84"/>
    <w:rsid w:val="00E749E1"/>
    <w:rsid w:val="00E8007A"/>
    <w:rsid w:val="00E80578"/>
    <w:rsid w:val="00E80B43"/>
    <w:rsid w:val="00E833CB"/>
    <w:rsid w:val="00E83995"/>
    <w:rsid w:val="00E83CBA"/>
    <w:rsid w:val="00E83D2E"/>
    <w:rsid w:val="00E83FB2"/>
    <w:rsid w:val="00E844D4"/>
    <w:rsid w:val="00E90615"/>
    <w:rsid w:val="00E90BA3"/>
    <w:rsid w:val="00E91FE0"/>
    <w:rsid w:val="00E92CD1"/>
    <w:rsid w:val="00E93647"/>
    <w:rsid w:val="00E95AC2"/>
    <w:rsid w:val="00E95B7C"/>
    <w:rsid w:val="00E97167"/>
    <w:rsid w:val="00E97787"/>
    <w:rsid w:val="00E97DBB"/>
    <w:rsid w:val="00EA0169"/>
    <w:rsid w:val="00EA093A"/>
    <w:rsid w:val="00EA3781"/>
    <w:rsid w:val="00EA5023"/>
    <w:rsid w:val="00EA65B2"/>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38BF"/>
    <w:rsid w:val="00ED5DB2"/>
    <w:rsid w:val="00ED5EC2"/>
    <w:rsid w:val="00EE0151"/>
    <w:rsid w:val="00EE0DF2"/>
    <w:rsid w:val="00EE1124"/>
    <w:rsid w:val="00EE21DD"/>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58A"/>
    <w:rsid w:val="00F166CE"/>
    <w:rsid w:val="00F17762"/>
    <w:rsid w:val="00F23C5A"/>
    <w:rsid w:val="00F23E91"/>
    <w:rsid w:val="00F261BC"/>
    <w:rsid w:val="00F277D4"/>
    <w:rsid w:val="00F30A70"/>
    <w:rsid w:val="00F31104"/>
    <w:rsid w:val="00F33E65"/>
    <w:rsid w:val="00F34E93"/>
    <w:rsid w:val="00F3735F"/>
    <w:rsid w:val="00F406B4"/>
    <w:rsid w:val="00F43F5A"/>
    <w:rsid w:val="00F44511"/>
    <w:rsid w:val="00F4474B"/>
    <w:rsid w:val="00F50695"/>
    <w:rsid w:val="00F5097D"/>
    <w:rsid w:val="00F50C75"/>
    <w:rsid w:val="00F513E5"/>
    <w:rsid w:val="00F5219B"/>
    <w:rsid w:val="00F527A6"/>
    <w:rsid w:val="00F53138"/>
    <w:rsid w:val="00F534C0"/>
    <w:rsid w:val="00F54930"/>
    <w:rsid w:val="00F5523B"/>
    <w:rsid w:val="00F623B6"/>
    <w:rsid w:val="00F6280F"/>
    <w:rsid w:val="00F62819"/>
    <w:rsid w:val="00F6394B"/>
    <w:rsid w:val="00F64D0D"/>
    <w:rsid w:val="00F6653B"/>
    <w:rsid w:val="00F708D9"/>
    <w:rsid w:val="00F720FB"/>
    <w:rsid w:val="00F721C2"/>
    <w:rsid w:val="00F80602"/>
    <w:rsid w:val="00F81376"/>
    <w:rsid w:val="00F814DF"/>
    <w:rsid w:val="00F81B7C"/>
    <w:rsid w:val="00F81E48"/>
    <w:rsid w:val="00F8293B"/>
    <w:rsid w:val="00F83775"/>
    <w:rsid w:val="00F84C20"/>
    <w:rsid w:val="00F85CB4"/>
    <w:rsid w:val="00F87614"/>
    <w:rsid w:val="00F92112"/>
    <w:rsid w:val="00F9230A"/>
    <w:rsid w:val="00F92366"/>
    <w:rsid w:val="00F92753"/>
    <w:rsid w:val="00F9598E"/>
    <w:rsid w:val="00F96B32"/>
    <w:rsid w:val="00F9735A"/>
    <w:rsid w:val="00FA42F4"/>
    <w:rsid w:val="00FA54AC"/>
    <w:rsid w:val="00FA6502"/>
    <w:rsid w:val="00FA7B72"/>
    <w:rsid w:val="00FB0730"/>
    <w:rsid w:val="00FB08E5"/>
    <w:rsid w:val="00FB0BC1"/>
    <w:rsid w:val="00FB14A0"/>
    <w:rsid w:val="00FB34A3"/>
    <w:rsid w:val="00FB4E4A"/>
    <w:rsid w:val="00FB59BF"/>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3049"/>
    <w:rsid w:val="00FD4AB4"/>
    <w:rsid w:val="00FD5177"/>
    <w:rsid w:val="00FD5398"/>
    <w:rsid w:val="00FD79EB"/>
    <w:rsid w:val="00FD7A31"/>
    <w:rsid w:val="00FE35E1"/>
    <w:rsid w:val="00FE3AFC"/>
    <w:rsid w:val="00FE6D86"/>
    <w:rsid w:val="00FE7FB0"/>
    <w:rsid w:val="00FF0DA7"/>
    <w:rsid w:val="00FF23E4"/>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qFormat/>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UnresolvedMention">
    <w:name w:val="Unresolved Mention"/>
    <w:basedOn w:val="DefaultParagraphFont"/>
    <w:rsid w:val="0034740F"/>
    <w:rPr>
      <w:color w:val="605E5C"/>
      <w:shd w:val="clear" w:color="auto" w:fill="E1DFDD"/>
    </w:rPr>
  </w:style>
  <w:style w:type="paragraph" w:customStyle="1" w:styleId="Char2">
    <w:name w:val="Char2"/>
    <w:basedOn w:val="Normal"/>
    <w:link w:val="FootnoteReference"/>
    <w:uiPriority w:val="99"/>
    <w:rsid w:val="0034740F"/>
    <w:pPr>
      <w:spacing w:after="160" w:line="240" w:lineRule="exact"/>
    </w:pPr>
    <w:rPr>
      <w:vertAlign w:val="superscript"/>
      <w:lang w:val="en-GB" w:eastAsia="en-GB"/>
    </w:rPr>
  </w:style>
  <w:style w:type="character" w:customStyle="1" w:styleId="Heading2Char">
    <w:name w:val="Heading 2 Char"/>
    <w:basedOn w:val="DefaultParagraphFont"/>
    <w:link w:val="Heading2"/>
    <w:rsid w:val="0034740F"/>
    <w:rPr>
      <w:rFonts w:ascii="Arial" w:hAnsi="Arial"/>
      <w:b/>
      <w:sz w:val="28"/>
      <w:lang w:val="en-US" w:eastAsia="en-US"/>
    </w:rPr>
  </w:style>
  <w:style w:type="paragraph" w:styleId="NoSpacing">
    <w:name w:val="No Spacing"/>
    <w:link w:val="NoSpacingChar"/>
    <w:uiPriority w:val="1"/>
    <w:qFormat/>
    <w:rsid w:val="00D1201C"/>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D1201C"/>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locked/>
    <w:rsid w:val="00D1201C"/>
    <w:rPr>
      <w:rFonts w:cs="Times New Roman"/>
      <w:b/>
    </w:rPr>
  </w:style>
  <w:style w:type="character" w:customStyle="1" w:styleId="normaltextrun">
    <w:name w:val="normaltextrun"/>
    <w:basedOn w:val="DefaultParagraphFont"/>
    <w:rsid w:val="0019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ndp.org/content/undp/en/home/2030-agenda-for-sustainable-development/planet/environment-and-natural-capital/biodiversity-and-ecosystems-management/biodiversity-mainstreaming.html"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who.int%2Fgho%2Fphe%2Foutdoor_air_pollution%2Fexposure%2Fen%2F&amp;data=02%7C01%7Camra.zorlak%40undp.org%7Cc3eff7b483254fa5450a08d7a334f55a%7Cb3e5db5e2944483799f57488ace54319%7C0%7C0%7C637157320155520943&amp;sdata=b0YdR%2B8rkEaPK3jLwPlHHpevypx9flmIFblb6VKc%2B7o%3D&amp;reserved=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qair.com/us/world-most-polluted-cities?continent=59af92ac3e70001c1bd78e52&amp;country=&amp;state=&amp;page=1&amp;perPage=50&amp;cities=" TargetMode="External"/><Relationship Id="rId2" Type="http://schemas.openxmlformats.org/officeDocument/2006/relationships/hyperlink" Target="https://data.worldbank.org/indicator/NY.GDP.MKTP.KD.ZG?locations=BA" TargetMode="External"/><Relationship Id="rId1" Type="http://schemas.openxmlformats.org/officeDocument/2006/relationships/hyperlink" Target="http://fragilestatesindex.org/wp-content/uploads/2019/03/9511904-fragilestatesindex.pdf" TargetMode="External"/><Relationship Id="rId5" Type="http://schemas.openxmlformats.org/officeDocument/2006/relationships/hyperlink" Target="https://www.ba.undp.org/content/bosnia_and_herzegovina/bs/home/library/energija-i-okolis/tipologija-javnih-zgrada-u-bosni-i-hercegovni--.html" TargetMode="External"/><Relationship Id="rId4" Type="http://schemas.openxmlformats.org/officeDocument/2006/relationships/hyperlink" Target="http://www.bhmac.org/?page_id=747&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3C4E6C62-5ABD-48AC-8C2D-B58BCF2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2D339-64EA-4C3D-8ACC-EAE71B27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6336</Words>
  <Characters>36119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42371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2014-09-16T19:01:00Z</cp:lastPrinted>
  <dcterms:created xsi:type="dcterms:W3CDTF">2020-06-06T19:21:00Z</dcterms:created>
  <dcterms:modified xsi:type="dcterms:W3CDTF">2020-06-06T19:22:00Z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bd04bf0a-da36-4279-be8e-20d706bfac82</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y fmtid="{D5CDD505-2E9C-101B-9397-08002B2CF9AE}" pid="11" name="_AdHocReviewCycleID">
    <vt:i4>-1734132859</vt:i4>
  </property>
  <property fmtid="{D5CDD505-2E9C-101B-9397-08002B2CF9AE}" pid="12" name="_NewReviewCycle">
    <vt:lpwstr/>
  </property>
  <property fmtid="{D5CDD505-2E9C-101B-9397-08002B2CF9AE}" pid="13" name="_EmailSubject">
    <vt:lpwstr>Edited CPD B&amp;H</vt:lpwstr>
  </property>
  <property fmtid="{D5CDD505-2E9C-101B-9397-08002B2CF9AE}" pid="14" name="_AuthorEmail">
    <vt:lpwstr>ekaterina.paniklova@undp.org</vt:lpwstr>
  </property>
  <property fmtid="{D5CDD505-2E9C-101B-9397-08002B2CF9AE}" pid="15" name="_AuthorEmailDisplayName">
    <vt:lpwstr>Ekaterina Paniklova</vt:lpwstr>
  </property>
  <property fmtid="{D5CDD505-2E9C-101B-9397-08002B2CF9AE}" pid="16" name="_ReviewingToolsShownOnce">
    <vt:lpwstr/>
  </property>
</Properties>
</file>