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474" w:rsidRPr="003F1B50" w:rsidRDefault="00F0264E" w:rsidP="00A56348">
      <w:pPr>
        <w:rPr>
          <w:b/>
          <w:i/>
          <w:color w:val="000000"/>
          <w:sz w:val="16"/>
          <w:szCs w:val="16"/>
        </w:rPr>
      </w:pPr>
      <w:r w:rsidRPr="003F1B50">
        <w:rPr>
          <w:b/>
          <w:bCs/>
          <w:color w:val="000000"/>
          <w:sz w:val="16"/>
          <w:szCs w:val="16"/>
        </w:rPr>
        <w:t>ANNEX</w:t>
      </w:r>
      <w:r w:rsidRPr="003F1B50">
        <w:rPr>
          <w:bCs/>
          <w:color w:val="000000"/>
          <w:sz w:val="16"/>
          <w:szCs w:val="16"/>
        </w:rPr>
        <w:t xml:space="preserve">. </w:t>
      </w:r>
      <w:r w:rsidR="00CB2FE7" w:rsidRPr="003F1B50">
        <w:rPr>
          <w:b/>
          <w:bCs/>
          <w:color w:val="000000"/>
          <w:sz w:val="16"/>
          <w:szCs w:val="16"/>
        </w:rPr>
        <w:t>FULLY-</w:t>
      </w:r>
      <w:r w:rsidR="00785474" w:rsidRPr="003F1B50">
        <w:rPr>
          <w:b/>
          <w:color w:val="000000"/>
          <w:sz w:val="16"/>
          <w:szCs w:val="16"/>
        </w:rPr>
        <w:t xml:space="preserve">COSTED EVALUATION PLAN </w:t>
      </w:r>
    </w:p>
    <w:p w:rsidR="00785474" w:rsidRPr="003F1B50" w:rsidRDefault="00785474" w:rsidP="00A56348">
      <w:pPr>
        <w:rPr>
          <w:color w:val="000000"/>
          <w:sz w:val="16"/>
          <w:szCs w:val="16"/>
        </w:rPr>
      </w:pPr>
    </w:p>
    <w:tbl>
      <w:tblPr>
        <w:tblpPr w:leftFromText="180" w:rightFromText="180" w:vertAnchor="text" w:horzAnchor="margin" w:tblpXSpec="center" w:tblpY="143"/>
        <w:tblW w:w="54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2690"/>
        <w:gridCol w:w="2725"/>
        <w:gridCol w:w="995"/>
        <w:gridCol w:w="1190"/>
        <w:gridCol w:w="942"/>
        <w:gridCol w:w="1286"/>
        <w:gridCol w:w="924"/>
        <w:gridCol w:w="1277"/>
      </w:tblGrid>
      <w:tr w:rsidR="00FB0994" w:rsidRPr="003F1B50" w:rsidTr="00966862">
        <w:trPr>
          <w:trHeight w:val="20"/>
          <w:tblHeader/>
        </w:trPr>
        <w:tc>
          <w:tcPr>
            <w:tcW w:w="913" w:type="pct"/>
            <w:shd w:val="clear" w:color="auto" w:fill="DBE5F1" w:themeFill="accent1" w:themeFillTint="33"/>
            <w:tcMar>
              <w:top w:w="58" w:type="dxa"/>
              <w:left w:w="115" w:type="dxa"/>
              <w:bottom w:w="58" w:type="dxa"/>
              <w:right w:w="115" w:type="dxa"/>
            </w:tcMar>
            <w:vAlign w:val="center"/>
          </w:tcPr>
          <w:p w:rsidR="00B961B7" w:rsidRPr="003F1B50" w:rsidRDefault="00B961B7" w:rsidP="009D7760">
            <w:pPr>
              <w:jc w:val="center"/>
              <w:rPr>
                <w:b/>
                <w:bCs/>
                <w:sz w:val="16"/>
                <w:szCs w:val="16"/>
              </w:rPr>
            </w:pPr>
            <w:r w:rsidRPr="003F1B50">
              <w:rPr>
                <w:b/>
                <w:bCs/>
                <w:sz w:val="16"/>
                <w:szCs w:val="16"/>
              </w:rPr>
              <w:t>UNDAF</w:t>
            </w:r>
            <w:r w:rsidR="003761F2" w:rsidRPr="003F1B50">
              <w:rPr>
                <w:b/>
                <w:bCs/>
                <w:sz w:val="16"/>
                <w:szCs w:val="16"/>
              </w:rPr>
              <w:t xml:space="preserve"> (or </w:t>
            </w:r>
            <w:r w:rsidR="00092879" w:rsidRPr="003F1B50">
              <w:rPr>
                <w:b/>
                <w:bCs/>
                <w:sz w:val="16"/>
                <w:szCs w:val="16"/>
              </w:rPr>
              <w:t>equivalent</w:t>
            </w:r>
            <w:r w:rsidR="003761F2" w:rsidRPr="003F1B50">
              <w:rPr>
                <w:b/>
                <w:bCs/>
                <w:sz w:val="16"/>
                <w:szCs w:val="16"/>
              </w:rPr>
              <w:t>)</w:t>
            </w:r>
          </w:p>
          <w:p w:rsidR="00B961B7" w:rsidRPr="003F1B50" w:rsidRDefault="00B961B7" w:rsidP="009D7760">
            <w:pPr>
              <w:jc w:val="center"/>
              <w:rPr>
                <w:b/>
                <w:bCs/>
                <w:sz w:val="16"/>
                <w:szCs w:val="16"/>
              </w:rPr>
            </w:pPr>
            <w:r w:rsidRPr="003F1B50">
              <w:rPr>
                <w:b/>
                <w:bCs/>
                <w:sz w:val="16"/>
                <w:szCs w:val="16"/>
              </w:rPr>
              <w:t>Outcome</w:t>
            </w:r>
            <w:r w:rsidR="00A10A30" w:rsidRPr="003F1B50">
              <w:rPr>
                <w:b/>
                <w:bCs/>
                <w:sz w:val="16"/>
                <w:szCs w:val="16"/>
              </w:rPr>
              <w:t xml:space="preserve"> </w:t>
            </w:r>
          </w:p>
        </w:tc>
        <w:tc>
          <w:tcPr>
            <w:tcW w:w="914" w:type="pct"/>
            <w:shd w:val="clear" w:color="auto" w:fill="DBE5F1" w:themeFill="accent1" w:themeFillTint="33"/>
            <w:tcMar>
              <w:top w:w="58" w:type="dxa"/>
              <w:left w:w="115" w:type="dxa"/>
              <w:bottom w:w="58" w:type="dxa"/>
              <w:right w:w="115" w:type="dxa"/>
            </w:tcMar>
            <w:vAlign w:val="center"/>
          </w:tcPr>
          <w:p w:rsidR="00B961B7" w:rsidRPr="003F1B50" w:rsidRDefault="00092879" w:rsidP="001F7AEE">
            <w:pPr>
              <w:jc w:val="center"/>
              <w:rPr>
                <w:b/>
                <w:bCs/>
                <w:sz w:val="16"/>
                <w:szCs w:val="16"/>
              </w:rPr>
            </w:pPr>
            <w:r w:rsidRPr="003F1B50">
              <w:rPr>
                <w:b/>
                <w:bCs/>
                <w:sz w:val="16"/>
                <w:szCs w:val="16"/>
              </w:rPr>
              <w:t xml:space="preserve">UNDP </w:t>
            </w:r>
            <w:r w:rsidR="00B961B7" w:rsidRPr="003F1B50">
              <w:rPr>
                <w:b/>
                <w:bCs/>
                <w:sz w:val="16"/>
                <w:szCs w:val="16"/>
              </w:rPr>
              <w:t xml:space="preserve">Strategic Plan </w:t>
            </w:r>
            <w:r w:rsidR="00A76D2C" w:rsidRPr="003F1B50">
              <w:rPr>
                <w:b/>
                <w:bCs/>
                <w:sz w:val="16"/>
                <w:szCs w:val="16"/>
              </w:rPr>
              <w:t>Outcome</w:t>
            </w:r>
          </w:p>
        </w:tc>
        <w:tc>
          <w:tcPr>
            <w:tcW w:w="926" w:type="pct"/>
            <w:shd w:val="clear" w:color="auto" w:fill="DBE5F1" w:themeFill="accent1" w:themeFillTint="33"/>
            <w:tcMar>
              <w:top w:w="58" w:type="dxa"/>
              <w:left w:w="115" w:type="dxa"/>
              <w:bottom w:w="58" w:type="dxa"/>
              <w:right w:w="115" w:type="dxa"/>
            </w:tcMar>
            <w:vAlign w:val="center"/>
          </w:tcPr>
          <w:p w:rsidR="00B961B7" w:rsidRPr="003F1B50" w:rsidRDefault="00B961B7" w:rsidP="009D7760">
            <w:pPr>
              <w:jc w:val="center"/>
              <w:rPr>
                <w:b/>
                <w:bCs/>
                <w:sz w:val="16"/>
                <w:szCs w:val="16"/>
              </w:rPr>
            </w:pPr>
            <w:r w:rsidRPr="003F1B50">
              <w:rPr>
                <w:b/>
                <w:bCs/>
                <w:sz w:val="16"/>
                <w:szCs w:val="16"/>
              </w:rPr>
              <w:t>Evaluation Title</w:t>
            </w:r>
          </w:p>
        </w:tc>
        <w:tc>
          <w:tcPr>
            <w:tcW w:w="338" w:type="pct"/>
            <w:shd w:val="clear" w:color="auto" w:fill="DBE5F1" w:themeFill="accent1" w:themeFillTint="33"/>
            <w:tcMar>
              <w:top w:w="58" w:type="dxa"/>
              <w:left w:w="115" w:type="dxa"/>
              <w:bottom w:w="58" w:type="dxa"/>
              <w:right w:w="115" w:type="dxa"/>
            </w:tcMar>
            <w:vAlign w:val="center"/>
          </w:tcPr>
          <w:p w:rsidR="00B961B7" w:rsidRPr="003F1B50" w:rsidDel="00BA628C" w:rsidRDefault="00B961B7" w:rsidP="009D7760">
            <w:pPr>
              <w:jc w:val="center"/>
              <w:rPr>
                <w:b/>
                <w:bCs/>
                <w:sz w:val="16"/>
                <w:szCs w:val="16"/>
              </w:rPr>
            </w:pPr>
            <w:r w:rsidRPr="003F1B50">
              <w:rPr>
                <w:b/>
                <w:bCs/>
                <w:sz w:val="16"/>
                <w:szCs w:val="16"/>
              </w:rPr>
              <w:t>Partners (joint evaluation)</w:t>
            </w:r>
          </w:p>
        </w:tc>
        <w:tc>
          <w:tcPr>
            <w:tcW w:w="404" w:type="pct"/>
            <w:shd w:val="clear" w:color="auto" w:fill="DBE5F1" w:themeFill="accent1" w:themeFillTint="33"/>
            <w:tcMar>
              <w:top w:w="58" w:type="dxa"/>
              <w:left w:w="115" w:type="dxa"/>
              <w:bottom w:w="58" w:type="dxa"/>
              <w:right w:w="115" w:type="dxa"/>
            </w:tcMar>
            <w:vAlign w:val="center"/>
          </w:tcPr>
          <w:p w:rsidR="00B961B7" w:rsidRPr="003F1B50" w:rsidRDefault="00B961B7" w:rsidP="009D7760">
            <w:pPr>
              <w:jc w:val="center"/>
              <w:rPr>
                <w:b/>
                <w:bCs/>
                <w:sz w:val="16"/>
                <w:szCs w:val="16"/>
              </w:rPr>
            </w:pPr>
            <w:r w:rsidRPr="003F1B50">
              <w:rPr>
                <w:b/>
                <w:bCs/>
                <w:sz w:val="16"/>
                <w:szCs w:val="16"/>
              </w:rPr>
              <w:t>Evaluation commissioned by (if not UNDP)</w:t>
            </w:r>
          </w:p>
        </w:tc>
        <w:tc>
          <w:tcPr>
            <w:tcW w:w="320" w:type="pct"/>
            <w:shd w:val="clear" w:color="auto" w:fill="DBE5F1" w:themeFill="accent1" w:themeFillTint="33"/>
            <w:tcMar>
              <w:top w:w="58" w:type="dxa"/>
              <w:left w:w="115" w:type="dxa"/>
              <w:bottom w:w="58" w:type="dxa"/>
              <w:right w:w="115" w:type="dxa"/>
            </w:tcMar>
            <w:vAlign w:val="center"/>
          </w:tcPr>
          <w:p w:rsidR="00B961B7" w:rsidRPr="003F1B50" w:rsidRDefault="00B961B7" w:rsidP="009D7760">
            <w:pPr>
              <w:jc w:val="center"/>
              <w:rPr>
                <w:b/>
                <w:bCs/>
                <w:sz w:val="16"/>
                <w:szCs w:val="16"/>
              </w:rPr>
            </w:pPr>
            <w:r w:rsidRPr="003F1B50">
              <w:rPr>
                <w:b/>
                <w:bCs/>
                <w:sz w:val="16"/>
                <w:szCs w:val="16"/>
              </w:rPr>
              <w:t>Type of evaluation</w:t>
            </w:r>
          </w:p>
        </w:tc>
        <w:tc>
          <w:tcPr>
            <w:tcW w:w="437" w:type="pct"/>
            <w:shd w:val="clear" w:color="auto" w:fill="DBE5F1" w:themeFill="accent1" w:themeFillTint="33"/>
            <w:tcMar>
              <w:top w:w="58" w:type="dxa"/>
              <w:left w:w="115" w:type="dxa"/>
              <w:bottom w:w="58" w:type="dxa"/>
              <w:right w:w="115" w:type="dxa"/>
            </w:tcMar>
            <w:vAlign w:val="center"/>
          </w:tcPr>
          <w:p w:rsidR="00B961B7" w:rsidRPr="003F1B50" w:rsidRDefault="00E5696D" w:rsidP="009D7760">
            <w:pPr>
              <w:jc w:val="center"/>
              <w:rPr>
                <w:b/>
                <w:bCs/>
                <w:sz w:val="16"/>
                <w:szCs w:val="16"/>
              </w:rPr>
            </w:pPr>
            <w:r w:rsidRPr="003F1B50">
              <w:rPr>
                <w:b/>
                <w:bCs/>
                <w:sz w:val="16"/>
                <w:szCs w:val="16"/>
              </w:rPr>
              <w:t>Planned Evaluation</w:t>
            </w:r>
            <w:r w:rsidR="00B961B7" w:rsidRPr="003F1B50">
              <w:rPr>
                <w:b/>
                <w:bCs/>
                <w:sz w:val="16"/>
                <w:szCs w:val="16"/>
              </w:rPr>
              <w:t xml:space="preserve"> Completion Date</w:t>
            </w:r>
          </w:p>
        </w:tc>
        <w:tc>
          <w:tcPr>
            <w:tcW w:w="314" w:type="pct"/>
            <w:shd w:val="clear" w:color="auto" w:fill="DBE5F1" w:themeFill="accent1" w:themeFillTint="33"/>
            <w:tcMar>
              <w:top w:w="58" w:type="dxa"/>
              <w:left w:w="115" w:type="dxa"/>
              <w:bottom w:w="58" w:type="dxa"/>
              <w:right w:w="115" w:type="dxa"/>
            </w:tcMar>
            <w:vAlign w:val="center"/>
          </w:tcPr>
          <w:p w:rsidR="00B961B7" w:rsidRPr="003F1B50" w:rsidRDefault="00B961B7" w:rsidP="009D7760">
            <w:pPr>
              <w:jc w:val="center"/>
              <w:rPr>
                <w:b/>
                <w:bCs/>
                <w:sz w:val="16"/>
                <w:szCs w:val="16"/>
              </w:rPr>
            </w:pPr>
            <w:r w:rsidRPr="003F1B50">
              <w:rPr>
                <w:b/>
                <w:bCs/>
                <w:sz w:val="16"/>
                <w:szCs w:val="16"/>
              </w:rPr>
              <w:t>Estimated Cost</w:t>
            </w:r>
          </w:p>
        </w:tc>
        <w:tc>
          <w:tcPr>
            <w:tcW w:w="434" w:type="pct"/>
            <w:shd w:val="clear" w:color="auto" w:fill="DBE5F1" w:themeFill="accent1" w:themeFillTint="33"/>
            <w:tcMar>
              <w:top w:w="58" w:type="dxa"/>
              <w:left w:w="115" w:type="dxa"/>
              <w:bottom w:w="58" w:type="dxa"/>
              <w:right w:w="115" w:type="dxa"/>
            </w:tcMar>
            <w:vAlign w:val="center"/>
          </w:tcPr>
          <w:p w:rsidR="00B961B7" w:rsidRPr="003F1B50" w:rsidRDefault="00B961B7" w:rsidP="009D7760">
            <w:pPr>
              <w:jc w:val="center"/>
              <w:rPr>
                <w:b/>
                <w:bCs/>
                <w:sz w:val="16"/>
                <w:szCs w:val="16"/>
              </w:rPr>
            </w:pPr>
            <w:r w:rsidRPr="003F1B50">
              <w:rPr>
                <w:b/>
                <w:bCs/>
                <w:sz w:val="16"/>
                <w:szCs w:val="16"/>
              </w:rPr>
              <w:t>Provisional Source of Funding</w:t>
            </w:r>
          </w:p>
        </w:tc>
      </w:tr>
      <w:tr w:rsidR="00FB0994" w:rsidRPr="003F1B50" w:rsidTr="00966862">
        <w:trPr>
          <w:trHeight w:val="20"/>
        </w:trPr>
        <w:tc>
          <w:tcPr>
            <w:tcW w:w="913" w:type="pct"/>
            <w:tcMar>
              <w:top w:w="58" w:type="dxa"/>
              <w:left w:w="115" w:type="dxa"/>
              <w:bottom w:w="58" w:type="dxa"/>
              <w:right w:w="115" w:type="dxa"/>
            </w:tcMar>
          </w:tcPr>
          <w:p w:rsidR="003F1B50" w:rsidRPr="003F1B50" w:rsidRDefault="003F1B50" w:rsidP="003F1B50">
            <w:pPr>
              <w:rPr>
                <w:sz w:val="16"/>
                <w:szCs w:val="16"/>
                <w:lang w:val="fr-FR"/>
              </w:rPr>
            </w:pPr>
            <w:r w:rsidRPr="003F1B50">
              <w:rPr>
                <w:sz w:val="16"/>
                <w:szCs w:val="16"/>
                <w:lang w:val="fr-FR"/>
              </w:rPr>
              <w:t>UNSDF 2017-2021 – Effet 1</w:t>
            </w:r>
            <w:r w:rsidRPr="003F1B50">
              <w:rPr>
                <w:color w:val="000000"/>
                <w:sz w:val="16"/>
                <w:szCs w:val="16"/>
                <w:lang w:val="fr-FR" w:eastAsia="fr-FR"/>
              </w:rPr>
              <w:t>. La population, particulièrement les plus vulnérables, a un accès équitable aux moyens de subsistance, aux emplois décents et verts, et aux ressources productives, pour réduire la pauvreté sous toutes ses formes, dans un environnement socio-économique et culturel favorable et inclusif.</w:t>
            </w:r>
          </w:p>
        </w:tc>
        <w:tc>
          <w:tcPr>
            <w:tcW w:w="914" w:type="pct"/>
            <w:tcMar>
              <w:top w:w="58" w:type="dxa"/>
              <w:left w:w="115" w:type="dxa"/>
              <w:bottom w:w="58" w:type="dxa"/>
              <w:right w:w="115" w:type="dxa"/>
            </w:tcMar>
          </w:tcPr>
          <w:p w:rsidR="003F1B50" w:rsidRPr="003F1B50" w:rsidRDefault="003F1B50" w:rsidP="001F7AEE">
            <w:pPr>
              <w:rPr>
                <w:sz w:val="16"/>
                <w:szCs w:val="16"/>
                <w:lang w:val="fr-FR"/>
              </w:rPr>
            </w:pPr>
            <w:r w:rsidRPr="003F1B50">
              <w:rPr>
                <w:sz w:val="16"/>
                <w:szCs w:val="16"/>
                <w:lang w:val="fr-FR"/>
              </w:rPr>
              <w:t>Résultat 1 : La croissance et le développement sont inclusifs et durables, générant les capacités de production nécessaires pour créer des emplois et des moyens d’existence pour les pauvres et les exclus</w:t>
            </w:r>
          </w:p>
        </w:tc>
        <w:tc>
          <w:tcPr>
            <w:tcW w:w="926" w:type="pct"/>
            <w:tcMar>
              <w:top w:w="58" w:type="dxa"/>
              <w:left w:w="115" w:type="dxa"/>
              <w:bottom w:w="58" w:type="dxa"/>
              <w:right w:w="115" w:type="dxa"/>
            </w:tcMar>
          </w:tcPr>
          <w:p w:rsidR="00FB0994" w:rsidRPr="00FB0994" w:rsidRDefault="003F1B50" w:rsidP="003F1B50">
            <w:pPr>
              <w:rPr>
                <w:i/>
                <w:sz w:val="16"/>
                <w:szCs w:val="16"/>
                <w:lang w:val="fr-FR"/>
              </w:rPr>
            </w:pPr>
            <w:r w:rsidRPr="003F1B50">
              <w:rPr>
                <w:sz w:val="16"/>
                <w:szCs w:val="16"/>
                <w:lang w:val="fr-FR"/>
              </w:rPr>
              <w:t xml:space="preserve">Évaluation du Programme devant contribuer à l’effet </w:t>
            </w:r>
            <w:r w:rsidR="00FB0994">
              <w:rPr>
                <w:sz w:val="16"/>
                <w:szCs w:val="16"/>
                <w:lang w:val="fr-FR"/>
              </w:rPr>
              <w:t>l’E</w:t>
            </w:r>
            <w:r w:rsidRPr="003F1B50">
              <w:rPr>
                <w:sz w:val="16"/>
                <w:szCs w:val="16"/>
                <w:lang w:val="fr-FR"/>
              </w:rPr>
              <w:t xml:space="preserve">ffet 1 de l’UNSDF/CPD : </w:t>
            </w:r>
            <w:r w:rsidRPr="00FB0994">
              <w:rPr>
                <w:i/>
                <w:sz w:val="16"/>
                <w:szCs w:val="16"/>
                <w:lang w:val="fr-FR"/>
              </w:rPr>
              <w:t>«</w:t>
            </w:r>
            <w:r w:rsidRPr="00FB0994">
              <w:rPr>
                <w:i/>
                <w:color w:val="000000"/>
                <w:sz w:val="16"/>
                <w:szCs w:val="16"/>
                <w:lang w:val="fr-FR" w:eastAsia="fr-FR"/>
              </w:rPr>
              <w:t xml:space="preserve"> La population, particulièrement les plus vulnérables, a un accès équitable aux moyens de subsistance, aux emplois décents et verts, et aux ressources productives, pour réduire la pauvreté sous toutes ses formes, dans un environnement socio-économique et culturel favorable et inclusif.</w:t>
            </w:r>
            <w:r w:rsidRPr="00FB0994">
              <w:rPr>
                <w:i/>
                <w:sz w:val="16"/>
                <w:szCs w:val="16"/>
                <w:lang w:val="fr-FR"/>
              </w:rPr>
              <w:t>»</w:t>
            </w:r>
          </w:p>
        </w:tc>
        <w:tc>
          <w:tcPr>
            <w:tcW w:w="338" w:type="pct"/>
            <w:tcMar>
              <w:top w:w="58" w:type="dxa"/>
              <w:left w:w="115" w:type="dxa"/>
              <w:bottom w:w="58" w:type="dxa"/>
              <w:right w:w="115" w:type="dxa"/>
            </w:tcMar>
          </w:tcPr>
          <w:p w:rsidR="003F1B50" w:rsidRPr="003F1B50" w:rsidRDefault="003F1B50" w:rsidP="003F1B50">
            <w:pPr>
              <w:jc w:val="center"/>
              <w:rPr>
                <w:sz w:val="16"/>
                <w:szCs w:val="16"/>
                <w:lang w:val="fr-FR"/>
              </w:rPr>
            </w:pPr>
          </w:p>
        </w:tc>
        <w:tc>
          <w:tcPr>
            <w:tcW w:w="404" w:type="pct"/>
            <w:tcMar>
              <w:top w:w="58" w:type="dxa"/>
              <w:left w:w="115" w:type="dxa"/>
              <w:bottom w:w="58" w:type="dxa"/>
              <w:right w:w="115" w:type="dxa"/>
            </w:tcMar>
          </w:tcPr>
          <w:p w:rsidR="003F1B50" w:rsidRPr="003F1B50" w:rsidRDefault="003F1B50" w:rsidP="003F1B50">
            <w:pPr>
              <w:jc w:val="center"/>
              <w:rPr>
                <w:sz w:val="16"/>
                <w:szCs w:val="16"/>
              </w:rPr>
            </w:pPr>
            <w:r w:rsidRPr="003F1B50">
              <w:rPr>
                <w:sz w:val="16"/>
                <w:szCs w:val="16"/>
              </w:rPr>
              <w:t>UNDP</w:t>
            </w:r>
          </w:p>
        </w:tc>
        <w:tc>
          <w:tcPr>
            <w:tcW w:w="320" w:type="pct"/>
            <w:tcMar>
              <w:top w:w="58" w:type="dxa"/>
              <w:left w:w="115" w:type="dxa"/>
              <w:bottom w:w="58" w:type="dxa"/>
              <w:right w:w="115" w:type="dxa"/>
            </w:tcMar>
          </w:tcPr>
          <w:p w:rsidR="003F1B50" w:rsidRPr="003F1B50" w:rsidRDefault="003F1B50" w:rsidP="003F1B50">
            <w:pPr>
              <w:jc w:val="center"/>
              <w:rPr>
                <w:sz w:val="16"/>
                <w:szCs w:val="16"/>
              </w:rPr>
            </w:pPr>
            <w:r w:rsidRPr="003F1B50">
              <w:rPr>
                <w:sz w:val="16"/>
                <w:szCs w:val="16"/>
              </w:rPr>
              <w:t>Effet</w:t>
            </w:r>
          </w:p>
        </w:tc>
        <w:tc>
          <w:tcPr>
            <w:tcW w:w="437" w:type="pct"/>
            <w:tcMar>
              <w:top w:w="58" w:type="dxa"/>
              <w:left w:w="115" w:type="dxa"/>
              <w:bottom w:w="58" w:type="dxa"/>
              <w:right w:w="115" w:type="dxa"/>
            </w:tcMar>
          </w:tcPr>
          <w:p w:rsidR="003F1B50" w:rsidRPr="003F1B50" w:rsidRDefault="003F1B50" w:rsidP="003F1B50">
            <w:pPr>
              <w:spacing w:before="40" w:after="40"/>
              <w:jc w:val="center"/>
              <w:rPr>
                <w:sz w:val="16"/>
                <w:szCs w:val="16"/>
              </w:rPr>
            </w:pPr>
            <w:r w:rsidRPr="003F1B50">
              <w:rPr>
                <w:sz w:val="16"/>
                <w:szCs w:val="16"/>
              </w:rPr>
              <w:t>30 juin 2017</w:t>
            </w:r>
          </w:p>
        </w:tc>
        <w:tc>
          <w:tcPr>
            <w:tcW w:w="314" w:type="pct"/>
            <w:tcMar>
              <w:top w:w="58" w:type="dxa"/>
              <w:left w:w="115" w:type="dxa"/>
              <w:bottom w:w="58" w:type="dxa"/>
              <w:right w:w="115" w:type="dxa"/>
            </w:tcMar>
          </w:tcPr>
          <w:p w:rsidR="003F1B50" w:rsidRPr="003F1B50" w:rsidRDefault="003F1B50" w:rsidP="003F1B50">
            <w:pPr>
              <w:jc w:val="center"/>
              <w:rPr>
                <w:sz w:val="16"/>
                <w:szCs w:val="16"/>
              </w:rPr>
            </w:pPr>
            <w:r w:rsidRPr="003F1B50">
              <w:rPr>
                <w:sz w:val="16"/>
                <w:szCs w:val="16"/>
              </w:rPr>
              <w:t>45,000</w:t>
            </w:r>
          </w:p>
        </w:tc>
        <w:tc>
          <w:tcPr>
            <w:tcW w:w="434" w:type="pct"/>
            <w:tcMar>
              <w:top w:w="58" w:type="dxa"/>
              <w:left w:w="115" w:type="dxa"/>
              <w:bottom w:w="58" w:type="dxa"/>
              <w:right w:w="115" w:type="dxa"/>
            </w:tcMar>
          </w:tcPr>
          <w:p w:rsidR="003F1B50" w:rsidRPr="003F1B50" w:rsidRDefault="003F1B50" w:rsidP="003F1B50">
            <w:pPr>
              <w:jc w:val="center"/>
              <w:rPr>
                <w:rStyle w:val="CommentReference"/>
                <w:sz w:val="16"/>
                <w:szCs w:val="16"/>
                <w:lang w:eastAsia="uk-UA"/>
              </w:rPr>
            </w:pPr>
            <w:r w:rsidRPr="003F1B50">
              <w:rPr>
                <w:rStyle w:val="CommentReference"/>
                <w:sz w:val="16"/>
                <w:szCs w:val="16"/>
                <w:lang w:eastAsia="uk-UA"/>
              </w:rPr>
              <w:t>Projet</w:t>
            </w:r>
          </w:p>
        </w:tc>
      </w:tr>
      <w:tr w:rsidR="0082143E" w:rsidRPr="003F1B50" w:rsidTr="00966862">
        <w:trPr>
          <w:trHeight w:val="20"/>
        </w:trPr>
        <w:tc>
          <w:tcPr>
            <w:tcW w:w="913" w:type="pct"/>
            <w:tcMar>
              <w:top w:w="58" w:type="dxa"/>
              <w:left w:w="115" w:type="dxa"/>
              <w:bottom w:w="58" w:type="dxa"/>
              <w:right w:w="115" w:type="dxa"/>
            </w:tcMar>
          </w:tcPr>
          <w:p w:rsidR="0082143E" w:rsidRPr="003F1B50" w:rsidRDefault="0082143E" w:rsidP="0082143E">
            <w:pPr>
              <w:rPr>
                <w:sz w:val="16"/>
                <w:szCs w:val="16"/>
                <w:lang w:val="fr-FR"/>
              </w:rPr>
            </w:pPr>
            <w:r w:rsidRPr="003F1B50">
              <w:rPr>
                <w:sz w:val="16"/>
                <w:szCs w:val="16"/>
                <w:lang w:val="fr-FR"/>
              </w:rPr>
              <w:t xml:space="preserve">UNSDF 2017-2021 – Effet 3.  Les institutions publiques et la société civile améliorent l’Etat de droit et la décentralisation pour une bonne gouvernance à tous les niveaux de prise de décision. </w:t>
            </w:r>
          </w:p>
        </w:tc>
        <w:tc>
          <w:tcPr>
            <w:tcW w:w="914" w:type="pct"/>
            <w:tcMar>
              <w:top w:w="58" w:type="dxa"/>
              <w:left w:w="115" w:type="dxa"/>
              <w:bottom w:w="58" w:type="dxa"/>
              <w:right w:w="115" w:type="dxa"/>
            </w:tcMar>
          </w:tcPr>
          <w:p w:rsidR="0082143E" w:rsidRPr="003F1B50" w:rsidRDefault="0082143E" w:rsidP="0082143E">
            <w:pPr>
              <w:rPr>
                <w:sz w:val="16"/>
                <w:szCs w:val="16"/>
                <w:lang w:val="fr-FR"/>
              </w:rPr>
            </w:pPr>
            <w:r w:rsidRPr="003F1B50">
              <w:rPr>
                <w:sz w:val="16"/>
                <w:szCs w:val="16"/>
                <w:lang w:val="fr-FR"/>
              </w:rPr>
              <w:t>Résultat 2 : Il est répondu aux attentes des citoyens, notamment en matière de liberté d’expression, de développement, de primauté du droit et de redevabilité, grâce à des systèmes plus solides de gouvernance démocratique</w:t>
            </w:r>
          </w:p>
        </w:tc>
        <w:tc>
          <w:tcPr>
            <w:tcW w:w="926" w:type="pct"/>
            <w:tcMar>
              <w:top w:w="58" w:type="dxa"/>
              <w:left w:w="115" w:type="dxa"/>
              <w:bottom w:w="58" w:type="dxa"/>
              <w:right w:w="115" w:type="dxa"/>
            </w:tcMar>
          </w:tcPr>
          <w:p w:rsidR="0082143E" w:rsidRPr="003F1B50" w:rsidRDefault="0082143E" w:rsidP="0082143E">
            <w:pPr>
              <w:rPr>
                <w:sz w:val="16"/>
                <w:szCs w:val="16"/>
              </w:rPr>
            </w:pPr>
            <w:r w:rsidRPr="003F1B50">
              <w:rPr>
                <w:sz w:val="16"/>
                <w:szCs w:val="16"/>
              </w:rPr>
              <w:t>Evaluation du « Joint Interim Rule of Law Programme in Haiti”</w:t>
            </w:r>
          </w:p>
        </w:tc>
        <w:tc>
          <w:tcPr>
            <w:tcW w:w="338" w:type="pct"/>
            <w:tcMar>
              <w:top w:w="58" w:type="dxa"/>
              <w:left w:w="115" w:type="dxa"/>
              <w:bottom w:w="58" w:type="dxa"/>
              <w:right w:w="115" w:type="dxa"/>
            </w:tcMar>
          </w:tcPr>
          <w:p w:rsidR="0082143E" w:rsidRPr="003F1B50" w:rsidRDefault="0082143E" w:rsidP="0082143E">
            <w:pPr>
              <w:jc w:val="center"/>
              <w:rPr>
                <w:sz w:val="16"/>
                <w:szCs w:val="16"/>
              </w:rPr>
            </w:pPr>
          </w:p>
        </w:tc>
        <w:tc>
          <w:tcPr>
            <w:tcW w:w="404" w:type="pct"/>
            <w:tcMar>
              <w:top w:w="58" w:type="dxa"/>
              <w:left w:w="115" w:type="dxa"/>
              <w:bottom w:w="58" w:type="dxa"/>
              <w:right w:w="115" w:type="dxa"/>
            </w:tcMar>
          </w:tcPr>
          <w:p w:rsidR="0082143E" w:rsidRPr="003F1B50" w:rsidRDefault="0082143E" w:rsidP="0082143E">
            <w:pPr>
              <w:jc w:val="center"/>
              <w:rPr>
                <w:sz w:val="16"/>
                <w:szCs w:val="16"/>
              </w:rPr>
            </w:pPr>
            <w:r w:rsidRPr="003F1B50">
              <w:rPr>
                <w:sz w:val="16"/>
                <w:szCs w:val="16"/>
              </w:rPr>
              <w:t>UNDP</w:t>
            </w:r>
          </w:p>
        </w:tc>
        <w:tc>
          <w:tcPr>
            <w:tcW w:w="320" w:type="pct"/>
            <w:tcMar>
              <w:top w:w="58" w:type="dxa"/>
              <w:left w:w="115" w:type="dxa"/>
              <w:bottom w:w="58" w:type="dxa"/>
              <w:right w:w="115" w:type="dxa"/>
            </w:tcMar>
          </w:tcPr>
          <w:p w:rsidR="0082143E" w:rsidRPr="003F1B50" w:rsidRDefault="0082143E" w:rsidP="0082143E">
            <w:pPr>
              <w:jc w:val="center"/>
              <w:rPr>
                <w:sz w:val="16"/>
                <w:szCs w:val="16"/>
              </w:rPr>
            </w:pPr>
            <w:r w:rsidRPr="003F1B50">
              <w:rPr>
                <w:sz w:val="16"/>
                <w:szCs w:val="16"/>
              </w:rPr>
              <w:t>Projet</w:t>
            </w:r>
          </w:p>
        </w:tc>
        <w:tc>
          <w:tcPr>
            <w:tcW w:w="437" w:type="pct"/>
            <w:tcMar>
              <w:top w:w="58" w:type="dxa"/>
              <w:left w:w="115" w:type="dxa"/>
              <w:bottom w:w="58" w:type="dxa"/>
              <w:right w:w="115" w:type="dxa"/>
            </w:tcMar>
          </w:tcPr>
          <w:p w:rsidR="0082143E" w:rsidRPr="003F1B50" w:rsidRDefault="0082143E" w:rsidP="0082143E">
            <w:pPr>
              <w:spacing w:before="40" w:after="40"/>
              <w:jc w:val="center"/>
              <w:rPr>
                <w:sz w:val="16"/>
                <w:szCs w:val="16"/>
              </w:rPr>
            </w:pPr>
            <w:r w:rsidRPr="003F1B50">
              <w:rPr>
                <w:sz w:val="16"/>
                <w:szCs w:val="16"/>
              </w:rPr>
              <w:t xml:space="preserve">31 </w:t>
            </w:r>
            <w:r>
              <w:rPr>
                <w:sz w:val="16"/>
                <w:szCs w:val="16"/>
              </w:rPr>
              <w:t>août</w:t>
            </w:r>
            <w:r w:rsidRPr="003F1B50">
              <w:rPr>
                <w:sz w:val="16"/>
                <w:szCs w:val="16"/>
              </w:rPr>
              <w:t xml:space="preserve"> 2017</w:t>
            </w:r>
          </w:p>
        </w:tc>
        <w:tc>
          <w:tcPr>
            <w:tcW w:w="314" w:type="pct"/>
            <w:tcMar>
              <w:top w:w="58" w:type="dxa"/>
              <w:left w:w="115" w:type="dxa"/>
              <w:bottom w:w="58" w:type="dxa"/>
              <w:right w:w="115" w:type="dxa"/>
            </w:tcMar>
          </w:tcPr>
          <w:p w:rsidR="0082143E" w:rsidRPr="003F1B50" w:rsidRDefault="0082143E" w:rsidP="0082143E">
            <w:pPr>
              <w:jc w:val="center"/>
              <w:rPr>
                <w:sz w:val="16"/>
                <w:szCs w:val="16"/>
              </w:rPr>
            </w:pPr>
            <w:r w:rsidRPr="003F1B50">
              <w:rPr>
                <w:sz w:val="16"/>
                <w:szCs w:val="16"/>
              </w:rPr>
              <w:t>35,000</w:t>
            </w:r>
          </w:p>
        </w:tc>
        <w:tc>
          <w:tcPr>
            <w:tcW w:w="434" w:type="pct"/>
            <w:tcMar>
              <w:top w:w="58" w:type="dxa"/>
              <w:left w:w="115" w:type="dxa"/>
              <w:bottom w:w="58" w:type="dxa"/>
              <w:right w:w="115" w:type="dxa"/>
            </w:tcMar>
          </w:tcPr>
          <w:p w:rsidR="0082143E" w:rsidRPr="003F1B50" w:rsidRDefault="0082143E" w:rsidP="0082143E">
            <w:pPr>
              <w:jc w:val="center"/>
              <w:rPr>
                <w:rStyle w:val="CommentReference"/>
                <w:sz w:val="16"/>
                <w:szCs w:val="16"/>
                <w:lang w:eastAsia="uk-UA"/>
              </w:rPr>
            </w:pPr>
            <w:r w:rsidRPr="003F1B50">
              <w:rPr>
                <w:rStyle w:val="CommentReference"/>
                <w:sz w:val="16"/>
                <w:szCs w:val="16"/>
                <w:lang w:eastAsia="uk-UA"/>
              </w:rPr>
              <w:t>Projet</w:t>
            </w:r>
          </w:p>
        </w:tc>
      </w:tr>
      <w:tr w:rsidR="0082143E" w:rsidRPr="003F1B50" w:rsidTr="00966862">
        <w:trPr>
          <w:trHeight w:val="20"/>
        </w:trPr>
        <w:tc>
          <w:tcPr>
            <w:tcW w:w="913" w:type="pct"/>
            <w:tcMar>
              <w:top w:w="58" w:type="dxa"/>
              <w:left w:w="115" w:type="dxa"/>
              <w:bottom w:w="58" w:type="dxa"/>
              <w:right w:w="115" w:type="dxa"/>
            </w:tcMar>
          </w:tcPr>
          <w:p w:rsidR="0082143E" w:rsidRDefault="0082143E" w:rsidP="0082143E">
            <w:pPr>
              <w:rPr>
                <w:sz w:val="16"/>
                <w:szCs w:val="16"/>
                <w:lang w:val="fr-FR"/>
              </w:rPr>
            </w:pPr>
            <w:r w:rsidRPr="003F1B50">
              <w:rPr>
                <w:sz w:val="16"/>
                <w:szCs w:val="16"/>
                <w:lang w:val="fr-FR"/>
              </w:rPr>
              <w:t>UNSDF 2017-2021 – Effet 5. Les institutions nationales, régionales et locales, et la société civile, améliorent la gestion de l’espace rural et urbain, de l’agriculture et de l’environnement, et les mécanismes de prévention et de réduction des risques pour améliorer la résilience de la population aux catastrophes naturelles et au changement climatique.</w:t>
            </w:r>
          </w:p>
          <w:p w:rsidR="0082143E" w:rsidRPr="003F1B50" w:rsidRDefault="0082143E" w:rsidP="0082143E">
            <w:pPr>
              <w:rPr>
                <w:sz w:val="16"/>
                <w:szCs w:val="16"/>
                <w:lang w:val="fr-FR"/>
              </w:rPr>
            </w:pPr>
          </w:p>
        </w:tc>
        <w:tc>
          <w:tcPr>
            <w:tcW w:w="914" w:type="pct"/>
            <w:tcMar>
              <w:top w:w="58" w:type="dxa"/>
              <w:left w:w="115" w:type="dxa"/>
              <w:bottom w:w="58" w:type="dxa"/>
              <w:right w:w="115" w:type="dxa"/>
            </w:tcMar>
          </w:tcPr>
          <w:p w:rsidR="0082143E" w:rsidRPr="003F1B50" w:rsidRDefault="0082143E" w:rsidP="0082143E">
            <w:pPr>
              <w:rPr>
                <w:sz w:val="16"/>
                <w:szCs w:val="16"/>
                <w:lang w:val="fr-FR"/>
              </w:rPr>
            </w:pPr>
            <w:r w:rsidRPr="003F1B50">
              <w:rPr>
                <w:sz w:val="16"/>
                <w:szCs w:val="16"/>
                <w:lang w:val="fr-FR"/>
              </w:rPr>
              <w:t xml:space="preserve">Résultat 5 : Les pays sont à même de réduire les risques de conflits et de catastrophes naturelles, notamment ceux liés aux changements climatiques  </w:t>
            </w:r>
          </w:p>
        </w:tc>
        <w:tc>
          <w:tcPr>
            <w:tcW w:w="926" w:type="pct"/>
            <w:tcMar>
              <w:top w:w="58" w:type="dxa"/>
              <w:left w:w="115" w:type="dxa"/>
              <w:bottom w:w="58" w:type="dxa"/>
              <w:right w:w="115" w:type="dxa"/>
            </w:tcMar>
          </w:tcPr>
          <w:p w:rsidR="0082143E" w:rsidRPr="003F1B50" w:rsidRDefault="0082143E" w:rsidP="0082143E">
            <w:pPr>
              <w:rPr>
                <w:sz w:val="16"/>
                <w:szCs w:val="16"/>
                <w:lang w:val="fr-FR"/>
              </w:rPr>
            </w:pPr>
            <w:r w:rsidRPr="003F1B50">
              <w:rPr>
                <w:sz w:val="16"/>
                <w:szCs w:val="16"/>
                <w:lang w:val="fr-FR"/>
              </w:rPr>
              <w:t xml:space="preserve">Evaluation </w:t>
            </w:r>
            <w:r>
              <w:rPr>
                <w:sz w:val="16"/>
                <w:szCs w:val="16"/>
                <w:lang w:val="fr-FR"/>
              </w:rPr>
              <w:t>à</w:t>
            </w:r>
            <w:r w:rsidRPr="003F1B50">
              <w:rPr>
                <w:sz w:val="16"/>
                <w:szCs w:val="16"/>
                <w:lang w:val="fr-FR"/>
              </w:rPr>
              <w:t xml:space="preserve"> mi-parcours du projet </w:t>
            </w:r>
            <w:r>
              <w:rPr>
                <w:sz w:val="16"/>
                <w:szCs w:val="16"/>
                <w:lang w:val="fr-FR"/>
              </w:rPr>
              <w:t>« </w:t>
            </w:r>
            <w:r w:rsidRPr="003F1B50">
              <w:rPr>
                <w:sz w:val="16"/>
                <w:szCs w:val="16"/>
                <w:lang w:val="fr-FR"/>
              </w:rPr>
              <w:t>Adapt</w:t>
            </w:r>
            <w:r>
              <w:rPr>
                <w:sz w:val="16"/>
                <w:szCs w:val="16"/>
                <w:lang w:val="fr-FR"/>
              </w:rPr>
              <w:t>ation basée sur les écosystèmes »</w:t>
            </w:r>
          </w:p>
        </w:tc>
        <w:tc>
          <w:tcPr>
            <w:tcW w:w="338" w:type="pct"/>
            <w:tcMar>
              <w:top w:w="58" w:type="dxa"/>
              <w:left w:w="115" w:type="dxa"/>
              <w:bottom w:w="58" w:type="dxa"/>
              <w:right w:w="115" w:type="dxa"/>
            </w:tcMar>
          </w:tcPr>
          <w:p w:rsidR="0082143E" w:rsidRPr="003F1B50" w:rsidRDefault="0082143E" w:rsidP="0082143E">
            <w:pPr>
              <w:jc w:val="center"/>
              <w:rPr>
                <w:sz w:val="16"/>
                <w:szCs w:val="16"/>
                <w:lang w:val="fr-FR"/>
              </w:rPr>
            </w:pPr>
          </w:p>
        </w:tc>
        <w:tc>
          <w:tcPr>
            <w:tcW w:w="404" w:type="pct"/>
            <w:tcMar>
              <w:top w:w="58" w:type="dxa"/>
              <w:left w:w="115" w:type="dxa"/>
              <w:bottom w:w="58" w:type="dxa"/>
              <w:right w:w="115" w:type="dxa"/>
            </w:tcMar>
          </w:tcPr>
          <w:p w:rsidR="0082143E" w:rsidRPr="003F1B50" w:rsidRDefault="0082143E" w:rsidP="0082143E">
            <w:pPr>
              <w:jc w:val="center"/>
              <w:rPr>
                <w:sz w:val="16"/>
                <w:szCs w:val="16"/>
              </w:rPr>
            </w:pPr>
            <w:r w:rsidRPr="003F1B50">
              <w:rPr>
                <w:sz w:val="16"/>
                <w:szCs w:val="16"/>
              </w:rPr>
              <w:t>UNDP</w:t>
            </w:r>
          </w:p>
        </w:tc>
        <w:tc>
          <w:tcPr>
            <w:tcW w:w="320" w:type="pct"/>
            <w:tcMar>
              <w:top w:w="58" w:type="dxa"/>
              <w:left w:w="115" w:type="dxa"/>
              <w:bottom w:w="58" w:type="dxa"/>
              <w:right w:w="115" w:type="dxa"/>
            </w:tcMar>
          </w:tcPr>
          <w:p w:rsidR="0082143E" w:rsidRPr="003F1B50" w:rsidRDefault="0082143E" w:rsidP="0082143E">
            <w:pPr>
              <w:jc w:val="center"/>
              <w:rPr>
                <w:sz w:val="16"/>
                <w:szCs w:val="16"/>
              </w:rPr>
            </w:pPr>
            <w:r w:rsidRPr="003F1B50">
              <w:rPr>
                <w:sz w:val="16"/>
                <w:szCs w:val="16"/>
              </w:rPr>
              <w:t>Projet</w:t>
            </w:r>
          </w:p>
        </w:tc>
        <w:tc>
          <w:tcPr>
            <w:tcW w:w="437" w:type="pct"/>
            <w:tcMar>
              <w:top w:w="58" w:type="dxa"/>
              <w:left w:w="115" w:type="dxa"/>
              <w:bottom w:w="58" w:type="dxa"/>
              <w:right w:w="115" w:type="dxa"/>
            </w:tcMar>
          </w:tcPr>
          <w:p w:rsidR="0082143E" w:rsidRPr="003F1B50" w:rsidRDefault="0082143E" w:rsidP="0082143E">
            <w:pPr>
              <w:spacing w:before="40" w:after="40"/>
              <w:jc w:val="center"/>
              <w:rPr>
                <w:sz w:val="16"/>
                <w:szCs w:val="16"/>
              </w:rPr>
            </w:pPr>
            <w:r w:rsidRPr="003F1B50">
              <w:rPr>
                <w:sz w:val="16"/>
                <w:szCs w:val="16"/>
              </w:rPr>
              <w:t>30 juin 2018</w:t>
            </w:r>
          </w:p>
        </w:tc>
        <w:tc>
          <w:tcPr>
            <w:tcW w:w="314" w:type="pct"/>
            <w:tcMar>
              <w:top w:w="58" w:type="dxa"/>
              <w:left w:w="115" w:type="dxa"/>
              <w:bottom w:w="58" w:type="dxa"/>
              <w:right w:w="115" w:type="dxa"/>
            </w:tcMar>
          </w:tcPr>
          <w:p w:rsidR="0082143E" w:rsidRPr="003F1B50" w:rsidRDefault="0082143E" w:rsidP="0082143E">
            <w:pPr>
              <w:jc w:val="center"/>
              <w:rPr>
                <w:sz w:val="16"/>
                <w:szCs w:val="16"/>
              </w:rPr>
            </w:pPr>
            <w:r w:rsidRPr="003F1B50">
              <w:rPr>
                <w:sz w:val="16"/>
                <w:szCs w:val="16"/>
              </w:rPr>
              <w:t>$30,000</w:t>
            </w:r>
          </w:p>
        </w:tc>
        <w:tc>
          <w:tcPr>
            <w:tcW w:w="434" w:type="pct"/>
            <w:tcMar>
              <w:top w:w="58" w:type="dxa"/>
              <w:left w:w="115" w:type="dxa"/>
              <w:bottom w:w="58" w:type="dxa"/>
              <w:right w:w="115" w:type="dxa"/>
            </w:tcMar>
          </w:tcPr>
          <w:p w:rsidR="0082143E" w:rsidRPr="003F1B50" w:rsidRDefault="0082143E" w:rsidP="0082143E">
            <w:pPr>
              <w:jc w:val="center"/>
              <w:rPr>
                <w:rStyle w:val="CommentReference"/>
                <w:sz w:val="16"/>
                <w:szCs w:val="16"/>
                <w:lang w:eastAsia="uk-UA"/>
              </w:rPr>
            </w:pPr>
            <w:r w:rsidRPr="003F1B50">
              <w:rPr>
                <w:rStyle w:val="CommentReference"/>
                <w:sz w:val="16"/>
                <w:szCs w:val="16"/>
                <w:lang w:eastAsia="uk-UA"/>
              </w:rPr>
              <w:t>GEF</w:t>
            </w:r>
          </w:p>
        </w:tc>
      </w:tr>
      <w:tr w:rsidR="0082143E" w:rsidRPr="003F1B50" w:rsidTr="00966862">
        <w:trPr>
          <w:trHeight w:val="20"/>
        </w:trPr>
        <w:tc>
          <w:tcPr>
            <w:tcW w:w="913" w:type="pct"/>
            <w:tcMar>
              <w:top w:w="58" w:type="dxa"/>
              <w:left w:w="115" w:type="dxa"/>
              <w:bottom w:w="58" w:type="dxa"/>
              <w:right w:w="115" w:type="dxa"/>
            </w:tcMar>
          </w:tcPr>
          <w:p w:rsidR="0082143E" w:rsidRDefault="0082143E" w:rsidP="0082143E">
            <w:pPr>
              <w:rPr>
                <w:sz w:val="16"/>
                <w:szCs w:val="16"/>
                <w:lang w:val="fr-FR"/>
              </w:rPr>
            </w:pPr>
            <w:r w:rsidRPr="003F1B50">
              <w:rPr>
                <w:sz w:val="16"/>
                <w:szCs w:val="16"/>
                <w:lang w:val="fr-FR"/>
              </w:rPr>
              <w:t xml:space="preserve">UNSDF 2017-2021 – Effet 5. Les institutions nationales, régionales et locales, et la société civile, améliorent la gestion de l’espace rural et urbain, de l’agriculture et de l’environnement, et les mécanismes de prévention et de réduction des risques pour améliorer la résilience de la population aux catastrophes </w:t>
            </w:r>
            <w:r w:rsidRPr="003F1B50">
              <w:rPr>
                <w:sz w:val="16"/>
                <w:szCs w:val="16"/>
                <w:lang w:val="fr-FR"/>
              </w:rPr>
              <w:lastRenderedPageBreak/>
              <w:t>naturelles et au changement climatique.</w:t>
            </w:r>
          </w:p>
          <w:p w:rsidR="0082143E" w:rsidRPr="003F1B50" w:rsidRDefault="0082143E" w:rsidP="0082143E">
            <w:pPr>
              <w:rPr>
                <w:sz w:val="16"/>
                <w:szCs w:val="16"/>
                <w:lang w:val="fr-FR"/>
              </w:rPr>
            </w:pPr>
          </w:p>
        </w:tc>
        <w:tc>
          <w:tcPr>
            <w:tcW w:w="914" w:type="pct"/>
            <w:tcMar>
              <w:top w:w="58" w:type="dxa"/>
              <w:left w:w="115" w:type="dxa"/>
              <w:bottom w:w="58" w:type="dxa"/>
              <w:right w:w="115" w:type="dxa"/>
            </w:tcMar>
          </w:tcPr>
          <w:p w:rsidR="0082143E" w:rsidRPr="003F1B50" w:rsidRDefault="0082143E" w:rsidP="0082143E">
            <w:pPr>
              <w:rPr>
                <w:sz w:val="16"/>
                <w:szCs w:val="16"/>
                <w:lang w:val="fr-FR"/>
              </w:rPr>
            </w:pPr>
            <w:r w:rsidRPr="003F1B50">
              <w:rPr>
                <w:sz w:val="16"/>
                <w:szCs w:val="16"/>
                <w:lang w:val="fr-FR"/>
              </w:rPr>
              <w:lastRenderedPageBreak/>
              <w:t xml:space="preserve">Résultat 5 : Les pays sont à même de réduire les risques de conflits et de catastrophes naturelles, notamment ceux liés aux changements climatiques  </w:t>
            </w:r>
          </w:p>
        </w:tc>
        <w:tc>
          <w:tcPr>
            <w:tcW w:w="926" w:type="pct"/>
            <w:tcMar>
              <w:top w:w="58" w:type="dxa"/>
              <w:left w:w="115" w:type="dxa"/>
              <w:bottom w:w="58" w:type="dxa"/>
              <w:right w:w="115" w:type="dxa"/>
            </w:tcMar>
          </w:tcPr>
          <w:p w:rsidR="0082143E" w:rsidRPr="003F1B50" w:rsidRDefault="0082143E" w:rsidP="0082143E">
            <w:pPr>
              <w:rPr>
                <w:sz w:val="16"/>
                <w:szCs w:val="16"/>
                <w:lang w:val="fr-FR"/>
              </w:rPr>
            </w:pPr>
            <w:r w:rsidRPr="003F1B50">
              <w:rPr>
                <w:sz w:val="16"/>
                <w:szCs w:val="16"/>
                <w:lang w:val="fr-FR"/>
              </w:rPr>
              <w:t xml:space="preserve">Evaluation finale du projet « Accroitre la sécurité humaine face aux risques de catastrophes en Haïti. » </w:t>
            </w:r>
          </w:p>
        </w:tc>
        <w:tc>
          <w:tcPr>
            <w:tcW w:w="338" w:type="pct"/>
            <w:tcMar>
              <w:top w:w="58" w:type="dxa"/>
              <w:left w:w="115" w:type="dxa"/>
              <w:bottom w:w="58" w:type="dxa"/>
              <w:right w:w="115" w:type="dxa"/>
            </w:tcMar>
          </w:tcPr>
          <w:p w:rsidR="0082143E" w:rsidRPr="003F1B50" w:rsidRDefault="0082143E" w:rsidP="0082143E">
            <w:pPr>
              <w:jc w:val="center"/>
              <w:rPr>
                <w:sz w:val="16"/>
                <w:szCs w:val="16"/>
                <w:lang w:val="fr-FR"/>
              </w:rPr>
            </w:pPr>
          </w:p>
        </w:tc>
        <w:tc>
          <w:tcPr>
            <w:tcW w:w="404" w:type="pct"/>
            <w:tcMar>
              <w:top w:w="58" w:type="dxa"/>
              <w:left w:w="115" w:type="dxa"/>
              <w:bottom w:w="58" w:type="dxa"/>
              <w:right w:w="115" w:type="dxa"/>
            </w:tcMar>
          </w:tcPr>
          <w:p w:rsidR="0082143E" w:rsidRPr="003F1B50" w:rsidRDefault="0082143E" w:rsidP="0082143E">
            <w:pPr>
              <w:jc w:val="center"/>
              <w:rPr>
                <w:sz w:val="16"/>
                <w:szCs w:val="16"/>
              </w:rPr>
            </w:pPr>
            <w:r w:rsidRPr="003F1B50">
              <w:rPr>
                <w:sz w:val="16"/>
                <w:szCs w:val="16"/>
              </w:rPr>
              <w:t>UNDP</w:t>
            </w:r>
          </w:p>
        </w:tc>
        <w:tc>
          <w:tcPr>
            <w:tcW w:w="320" w:type="pct"/>
            <w:tcMar>
              <w:top w:w="58" w:type="dxa"/>
              <w:left w:w="115" w:type="dxa"/>
              <w:bottom w:w="58" w:type="dxa"/>
              <w:right w:w="115" w:type="dxa"/>
            </w:tcMar>
          </w:tcPr>
          <w:p w:rsidR="0082143E" w:rsidRPr="003F1B50" w:rsidRDefault="0082143E" w:rsidP="0082143E">
            <w:pPr>
              <w:jc w:val="center"/>
              <w:rPr>
                <w:sz w:val="16"/>
                <w:szCs w:val="16"/>
              </w:rPr>
            </w:pPr>
            <w:r w:rsidRPr="003F1B50">
              <w:rPr>
                <w:sz w:val="16"/>
                <w:szCs w:val="16"/>
              </w:rPr>
              <w:t>Projet</w:t>
            </w:r>
          </w:p>
        </w:tc>
        <w:tc>
          <w:tcPr>
            <w:tcW w:w="437" w:type="pct"/>
            <w:tcMar>
              <w:top w:w="58" w:type="dxa"/>
              <w:left w:w="115" w:type="dxa"/>
              <w:bottom w:w="58" w:type="dxa"/>
              <w:right w:w="115" w:type="dxa"/>
            </w:tcMar>
          </w:tcPr>
          <w:p w:rsidR="0082143E" w:rsidRPr="003F1B50" w:rsidRDefault="0082143E" w:rsidP="0082143E">
            <w:pPr>
              <w:spacing w:before="40" w:after="40"/>
              <w:jc w:val="center"/>
              <w:rPr>
                <w:sz w:val="16"/>
                <w:szCs w:val="16"/>
              </w:rPr>
            </w:pPr>
            <w:r w:rsidRPr="003F1B50">
              <w:rPr>
                <w:sz w:val="16"/>
                <w:szCs w:val="16"/>
              </w:rPr>
              <w:t>30 juin 2018</w:t>
            </w:r>
          </w:p>
        </w:tc>
        <w:tc>
          <w:tcPr>
            <w:tcW w:w="314" w:type="pct"/>
            <w:tcMar>
              <w:top w:w="58" w:type="dxa"/>
              <w:left w:w="115" w:type="dxa"/>
              <w:bottom w:w="58" w:type="dxa"/>
              <w:right w:w="115" w:type="dxa"/>
            </w:tcMar>
          </w:tcPr>
          <w:p w:rsidR="0082143E" w:rsidRPr="003F1B50" w:rsidRDefault="0082143E" w:rsidP="0082143E">
            <w:pPr>
              <w:jc w:val="center"/>
              <w:rPr>
                <w:sz w:val="16"/>
                <w:szCs w:val="16"/>
              </w:rPr>
            </w:pPr>
            <w:r w:rsidRPr="003F1B50">
              <w:rPr>
                <w:sz w:val="16"/>
                <w:szCs w:val="16"/>
              </w:rPr>
              <w:t>$30,000</w:t>
            </w:r>
          </w:p>
        </w:tc>
        <w:tc>
          <w:tcPr>
            <w:tcW w:w="434" w:type="pct"/>
            <w:tcMar>
              <w:top w:w="58" w:type="dxa"/>
              <w:left w:w="115" w:type="dxa"/>
              <w:bottom w:w="58" w:type="dxa"/>
              <w:right w:w="115" w:type="dxa"/>
            </w:tcMar>
          </w:tcPr>
          <w:p w:rsidR="0082143E" w:rsidRPr="003F1B50" w:rsidRDefault="0082143E" w:rsidP="0082143E">
            <w:pPr>
              <w:jc w:val="center"/>
              <w:rPr>
                <w:rStyle w:val="CommentReference"/>
                <w:sz w:val="16"/>
                <w:szCs w:val="16"/>
                <w:lang w:eastAsia="uk-UA"/>
              </w:rPr>
            </w:pPr>
            <w:r w:rsidRPr="003F1B50">
              <w:rPr>
                <w:rStyle w:val="CommentReference"/>
                <w:sz w:val="16"/>
                <w:szCs w:val="16"/>
                <w:lang w:eastAsia="uk-UA"/>
              </w:rPr>
              <w:t>Human Security Trust Fund</w:t>
            </w:r>
          </w:p>
        </w:tc>
      </w:tr>
      <w:tr w:rsidR="0082143E" w:rsidRPr="003F1B50" w:rsidTr="00966862">
        <w:trPr>
          <w:trHeight w:val="20"/>
        </w:trPr>
        <w:tc>
          <w:tcPr>
            <w:tcW w:w="913" w:type="pct"/>
            <w:tcMar>
              <w:top w:w="58" w:type="dxa"/>
              <w:left w:w="115" w:type="dxa"/>
              <w:bottom w:w="58" w:type="dxa"/>
              <w:right w:w="115" w:type="dxa"/>
            </w:tcMar>
          </w:tcPr>
          <w:p w:rsidR="0082143E" w:rsidRPr="003F1B50" w:rsidRDefault="0082143E" w:rsidP="0082143E">
            <w:pPr>
              <w:rPr>
                <w:sz w:val="16"/>
                <w:szCs w:val="16"/>
                <w:lang w:val="fr-FR"/>
              </w:rPr>
            </w:pPr>
            <w:r w:rsidRPr="003F1B50">
              <w:rPr>
                <w:sz w:val="16"/>
                <w:szCs w:val="16"/>
                <w:lang w:val="fr-FR"/>
              </w:rPr>
              <w:t xml:space="preserve">UNSDF 2017-2021 – Effet 3.  Les institutions publiques et la société civile améliorent l’Etat de droit et la décentralisation pour une bonne gouvernance à tous les niveaux de prise de décision. </w:t>
            </w:r>
          </w:p>
        </w:tc>
        <w:tc>
          <w:tcPr>
            <w:tcW w:w="914" w:type="pct"/>
            <w:tcMar>
              <w:top w:w="58" w:type="dxa"/>
              <w:left w:w="115" w:type="dxa"/>
              <w:bottom w:w="58" w:type="dxa"/>
              <w:right w:w="115" w:type="dxa"/>
            </w:tcMar>
          </w:tcPr>
          <w:p w:rsidR="0082143E" w:rsidRPr="003F1B50" w:rsidRDefault="0082143E" w:rsidP="0082143E">
            <w:pPr>
              <w:rPr>
                <w:sz w:val="16"/>
                <w:szCs w:val="16"/>
                <w:lang w:val="fr-FR"/>
              </w:rPr>
            </w:pPr>
            <w:r w:rsidRPr="003F1B50">
              <w:rPr>
                <w:sz w:val="16"/>
                <w:szCs w:val="16"/>
                <w:lang w:val="fr-FR"/>
              </w:rPr>
              <w:t>Résultat 2 : Il est répondu aux attentes des citoyens, notamment en matière de liberté d’expression, de développement, de primauté du droit et de redevabilité, grâce à des systèmes plus solides de gouvernance démocratique</w:t>
            </w:r>
          </w:p>
        </w:tc>
        <w:tc>
          <w:tcPr>
            <w:tcW w:w="926" w:type="pct"/>
            <w:tcMar>
              <w:top w:w="58" w:type="dxa"/>
              <w:left w:w="115" w:type="dxa"/>
              <w:bottom w:w="58" w:type="dxa"/>
              <w:right w:w="115" w:type="dxa"/>
            </w:tcMar>
          </w:tcPr>
          <w:p w:rsidR="0082143E" w:rsidRPr="003F1B50" w:rsidRDefault="0082143E" w:rsidP="0082143E">
            <w:pPr>
              <w:rPr>
                <w:sz w:val="16"/>
                <w:szCs w:val="16"/>
                <w:lang w:val="fr-FR"/>
              </w:rPr>
            </w:pPr>
            <w:r w:rsidRPr="003F1B50">
              <w:rPr>
                <w:sz w:val="16"/>
                <w:szCs w:val="16"/>
                <w:lang w:val="fr-FR"/>
              </w:rPr>
              <w:t>Evaluation de la contribution du PNUD à l’effet 3 de l’UNSDF/CPD</w:t>
            </w:r>
            <w:r>
              <w:rPr>
                <w:sz w:val="16"/>
                <w:szCs w:val="16"/>
                <w:lang w:val="fr-FR"/>
              </w:rPr>
              <w:t xml:space="preserve"> : </w:t>
            </w:r>
            <w:r w:rsidRPr="00FB0994">
              <w:rPr>
                <w:i/>
                <w:sz w:val="16"/>
                <w:szCs w:val="16"/>
                <w:lang w:val="fr-FR"/>
              </w:rPr>
              <w:t>« Les institutions publiques et la société civile améliorent l’Etat de droit et la décentralisation pour une bonne gouvernance à tous les niveaux de prise de décision.</w:t>
            </w:r>
            <w:r>
              <w:rPr>
                <w:i/>
                <w:sz w:val="16"/>
                <w:szCs w:val="16"/>
                <w:lang w:val="fr-FR"/>
              </w:rPr>
              <w:t> »</w:t>
            </w:r>
            <w:r w:rsidRPr="00FB0994">
              <w:rPr>
                <w:i/>
                <w:sz w:val="16"/>
                <w:szCs w:val="16"/>
                <w:lang w:val="fr-FR"/>
              </w:rPr>
              <w:t xml:space="preserve"> </w:t>
            </w:r>
            <w:r w:rsidRPr="003F1B50">
              <w:rPr>
                <w:sz w:val="16"/>
                <w:szCs w:val="16"/>
                <w:lang w:val="fr-FR"/>
              </w:rPr>
              <w:t xml:space="preserve">   </w:t>
            </w:r>
          </w:p>
        </w:tc>
        <w:tc>
          <w:tcPr>
            <w:tcW w:w="338" w:type="pct"/>
            <w:tcMar>
              <w:top w:w="58" w:type="dxa"/>
              <w:left w:w="115" w:type="dxa"/>
              <w:bottom w:w="58" w:type="dxa"/>
              <w:right w:w="115" w:type="dxa"/>
            </w:tcMar>
          </w:tcPr>
          <w:p w:rsidR="0082143E" w:rsidRPr="003F1B50" w:rsidRDefault="0082143E" w:rsidP="0082143E">
            <w:pPr>
              <w:jc w:val="center"/>
              <w:rPr>
                <w:sz w:val="16"/>
                <w:szCs w:val="16"/>
                <w:lang w:val="fr-FR"/>
              </w:rPr>
            </w:pPr>
          </w:p>
        </w:tc>
        <w:tc>
          <w:tcPr>
            <w:tcW w:w="404" w:type="pct"/>
            <w:tcMar>
              <w:top w:w="58" w:type="dxa"/>
              <w:left w:w="115" w:type="dxa"/>
              <w:bottom w:w="58" w:type="dxa"/>
              <w:right w:w="115" w:type="dxa"/>
            </w:tcMar>
          </w:tcPr>
          <w:p w:rsidR="0082143E" w:rsidRPr="003F1B50" w:rsidRDefault="0082143E" w:rsidP="0082143E">
            <w:pPr>
              <w:jc w:val="center"/>
              <w:rPr>
                <w:sz w:val="16"/>
                <w:szCs w:val="16"/>
              </w:rPr>
            </w:pPr>
            <w:r w:rsidRPr="003F1B50">
              <w:rPr>
                <w:sz w:val="16"/>
                <w:szCs w:val="16"/>
              </w:rPr>
              <w:t>UNDP</w:t>
            </w:r>
          </w:p>
        </w:tc>
        <w:tc>
          <w:tcPr>
            <w:tcW w:w="320" w:type="pct"/>
            <w:tcMar>
              <w:top w:w="58" w:type="dxa"/>
              <w:left w:w="115" w:type="dxa"/>
              <w:bottom w:w="58" w:type="dxa"/>
              <w:right w:w="115" w:type="dxa"/>
            </w:tcMar>
          </w:tcPr>
          <w:p w:rsidR="0082143E" w:rsidRPr="003F1B50" w:rsidRDefault="0082143E" w:rsidP="0082143E">
            <w:pPr>
              <w:jc w:val="center"/>
              <w:rPr>
                <w:sz w:val="16"/>
                <w:szCs w:val="16"/>
              </w:rPr>
            </w:pPr>
            <w:r w:rsidRPr="003F1B50">
              <w:rPr>
                <w:sz w:val="16"/>
                <w:szCs w:val="16"/>
              </w:rPr>
              <w:t>Effet</w:t>
            </w:r>
          </w:p>
        </w:tc>
        <w:tc>
          <w:tcPr>
            <w:tcW w:w="437" w:type="pct"/>
            <w:tcMar>
              <w:top w:w="58" w:type="dxa"/>
              <w:left w:w="115" w:type="dxa"/>
              <w:bottom w:w="58" w:type="dxa"/>
              <w:right w:w="115" w:type="dxa"/>
            </w:tcMar>
          </w:tcPr>
          <w:p w:rsidR="0082143E" w:rsidRPr="003F1B50" w:rsidRDefault="0082143E" w:rsidP="0082143E">
            <w:pPr>
              <w:spacing w:before="40" w:after="40"/>
              <w:jc w:val="center"/>
              <w:rPr>
                <w:sz w:val="16"/>
                <w:szCs w:val="16"/>
              </w:rPr>
            </w:pPr>
            <w:r>
              <w:rPr>
                <w:sz w:val="16"/>
                <w:szCs w:val="16"/>
              </w:rPr>
              <w:t>30 j</w:t>
            </w:r>
            <w:r w:rsidRPr="003F1B50">
              <w:rPr>
                <w:sz w:val="16"/>
                <w:szCs w:val="16"/>
              </w:rPr>
              <w:t>uin 2020</w:t>
            </w:r>
          </w:p>
        </w:tc>
        <w:tc>
          <w:tcPr>
            <w:tcW w:w="314" w:type="pct"/>
            <w:tcMar>
              <w:top w:w="58" w:type="dxa"/>
              <w:left w:w="115" w:type="dxa"/>
              <w:bottom w:w="58" w:type="dxa"/>
              <w:right w:w="115" w:type="dxa"/>
            </w:tcMar>
          </w:tcPr>
          <w:p w:rsidR="0082143E" w:rsidRPr="003F1B50" w:rsidRDefault="0082143E" w:rsidP="0082143E">
            <w:pPr>
              <w:jc w:val="center"/>
              <w:rPr>
                <w:sz w:val="16"/>
                <w:szCs w:val="16"/>
              </w:rPr>
            </w:pPr>
            <w:r w:rsidRPr="003F1B50">
              <w:rPr>
                <w:sz w:val="16"/>
                <w:szCs w:val="16"/>
              </w:rPr>
              <w:t>45,000</w:t>
            </w:r>
          </w:p>
        </w:tc>
        <w:tc>
          <w:tcPr>
            <w:tcW w:w="434" w:type="pct"/>
            <w:tcMar>
              <w:top w:w="58" w:type="dxa"/>
              <w:left w:w="115" w:type="dxa"/>
              <w:bottom w:w="58" w:type="dxa"/>
              <w:right w:w="115" w:type="dxa"/>
            </w:tcMar>
          </w:tcPr>
          <w:p w:rsidR="0082143E" w:rsidRPr="003F1B50" w:rsidRDefault="0082143E" w:rsidP="0082143E">
            <w:pPr>
              <w:jc w:val="center"/>
              <w:rPr>
                <w:rStyle w:val="CommentReference"/>
                <w:sz w:val="16"/>
                <w:szCs w:val="16"/>
                <w:lang w:eastAsia="uk-UA"/>
              </w:rPr>
            </w:pPr>
            <w:r w:rsidRPr="003F1B50">
              <w:rPr>
                <w:rStyle w:val="CommentReference"/>
                <w:sz w:val="16"/>
                <w:szCs w:val="16"/>
                <w:lang w:eastAsia="uk-UA"/>
              </w:rPr>
              <w:t>Projet</w:t>
            </w:r>
          </w:p>
        </w:tc>
      </w:tr>
      <w:tr w:rsidR="0082143E" w:rsidRPr="003F1B50" w:rsidTr="00966862">
        <w:trPr>
          <w:trHeight w:val="20"/>
        </w:trPr>
        <w:tc>
          <w:tcPr>
            <w:tcW w:w="913" w:type="pct"/>
            <w:tcMar>
              <w:top w:w="58" w:type="dxa"/>
              <w:left w:w="115" w:type="dxa"/>
              <w:bottom w:w="58" w:type="dxa"/>
              <w:right w:w="115" w:type="dxa"/>
            </w:tcMar>
          </w:tcPr>
          <w:p w:rsidR="0082143E" w:rsidRDefault="0082143E" w:rsidP="0082143E">
            <w:pPr>
              <w:rPr>
                <w:sz w:val="16"/>
                <w:szCs w:val="16"/>
                <w:lang w:val="fr-FR"/>
              </w:rPr>
            </w:pPr>
            <w:r w:rsidRPr="003F1B50">
              <w:rPr>
                <w:sz w:val="16"/>
                <w:szCs w:val="16"/>
                <w:lang w:val="fr-FR"/>
              </w:rPr>
              <w:t>UNSDF 2017-2021 – Effet 5. Les institutions nationales, régionales et locales, et la société civile, améliorent la gestion de l’espace rural et urbain, de l’agriculture et de l’environnement, et les mécanismes de prévention et de réduction des risques pour améliorer la résilience de la population aux catastrophes naturelles et au changement climatique.</w:t>
            </w:r>
          </w:p>
          <w:p w:rsidR="0082143E" w:rsidRPr="003F1B50" w:rsidRDefault="0082143E" w:rsidP="0082143E">
            <w:pPr>
              <w:rPr>
                <w:sz w:val="16"/>
                <w:szCs w:val="16"/>
                <w:lang w:val="fr-FR"/>
              </w:rPr>
            </w:pPr>
          </w:p>
        </w:tc>
        <w:tc>
          <w:tcPr>
            <w:tcW w:w="914" w:type="pct"/>
            <w:tcMar>
              <w:top w:w="58" w:type="dxa"/>
              <w:left w:w="115" w:type="dxa"/>
              <w:bottom w:w="58" w:type="dxa"/>
              <w:right w:w="115" w:type="dxa"/>
            </w:tcMar>
          </w:tcPr>
          <w:p w:rsidR="0082143E" w:rsidRPr="003F1B50" w:rsidRDefault="0082143E" w:rsidP="0082143E">
            <w:pPr>
              <w:rPr>
                <w:sz w:val="16"/>
                <w:szCs w:val="16"/>
                <w:lang w:val="fr-FR"/>
              </w:rPr>
            </w:pPr>
            <w:r w:rsidRPr="003F1B50">
              <w:rPr>
                <w:sz w:val="16"/>
                <w:szCs w:val="16"/>
                <w:lang w:val="fr-FR"/>
              </w:rPr>
              <w:t xml:space="preserve">Résultat 5 : Les pays sont à même de réduire les risques de conflits et de catastrophes naturelles, notamment ceux liés aux changements climatiques  </w:t>
            </w:r>
          </w:p>
        </w:tc>
        <w:tc>
          <w:tcPr>
            <w:tcW w:w="926" w:type="pct"/>
            <w:tcMar>
              <w:top w:w="58" w:type="dxa"/>
              <w:left w:w="115" w:type="dxa"/>
              <w:bottom w:w="58" w:type="dxa"/>
              <w:right w:w="115" w:type="dxa"/>
            </w:tcMar>
          </w:tcPr>
          <w:p w:rsidR="0082143E" w:rsidRPr="003F1B50" w:rsidRDefault="0082143E" w:rsidP="0082143E">
            <w:pPr>
              <w:rPr>
                <w:sz w:val="16"/>
                <w:szCs w:val="16"/>
                <w:lang w:val="fr-FR"/>
              </w:rPr>
            </w:pPr>
            <w:r w:rsidRPr="003F1B50">
              <w:rPr>
                <w:sz w:val="16"/>
                <w:szCs w:val="16"/>
                <w:lang w:val="fr-FR"/>
              </w:rPr>
              <w:t xml:space="preserve">Evaluation finale du projet </w:t>
            </w:r>
            <w:r>
              <w:rPr>
                <w:sz w:val="16"/>
                <w:szCs w:val="16"/>
                <w:lang w:val="fr-FR"/>
              </w:rPr>
              <w:t>« </w:t>
            </w:r>
            <w:r w:rsidRPr="003F1B50">
              <w:rPr>
                <w:sz w:val="16"/>
                <w:szCs w:val="16"/>
                <w:lang w:val="fr-FR"/>
              </w:rPr>
              <w:t>Adaptation basée sur les écosystèmes</w:t>
            </w:r>
            <w:r>
              <w:rPr>
                <w:sz w:val="16"/>
                <w:szCs w:val="16"/>
                <w:lang w:val="fr-FR"/>
              </w:rPr>
              <w:t> »</w:t>
            </w:r>
          </w:p>
        </w:tc>
        <w:tc>
          <w:tcPr>
            <w:tcW w:w="338" w:type="pct"/>
            <w:tcMar>
              <w:top w:w="58" w:type="dxa"/>
              <w:left w:w="115" w:type="dxa"/>
              <w:bottom w:w="58" w:type="dxa"/>
              <w:right w:w="115" w:type="dxa"/>
            </w:tcMar>
          </w:tcPr>
          <w:p w:rsidR="0082143E" w:rsidRPr="003F1B50" w:rsidRDefault="0082143E" w:rsidP="0082143E">
            <w:pPr>
              <w:jc w:val="center"/>
              <w:rPr>
                <w:sz w:val="16"/>
                <w:szCs w:val="16"/>
                <w:lang w:val="fr-FR"/>
              </w:rPr>
            </w:pPr>
          </w:p>
        </w:tc>
        <w:tc>
          <w:tcPr>
            <w:tcW w:w="404" w:type="pct"/>
            <w:tcMar>
              <w:top w:w="58" w:type="dxa"/>
              <w:left w:w="115" w:type="dxa"/>
              <w:bottom w:w="58" w:type="dxa"/>
              <w:right w:w="115" w:type="dxa"/>
            </w:tcMar>
          </w:tcPr>
          <w:p w:rsidR="0082143E" w:rsidRPr="003F1B50" w:rsidRDefault="0082143E" w:rsidP="0082143E">
            <w:pPr>
              <w:jc w:val="center"/>
              <w:rPr>
                <w:sz w:val="16"/>
                <w:szCs w:val="16"/>
              </w:rPr>
            </w:pPr>
            <w:r w:rsidRPr="003F1B50">
              <w:rPr>
                <w:sz w:val="16"/>
                <w:szCs w:val="16"/>
              </w:rPr>
              <w:t>UNDP</w:t>
            </w:r>
          </w:p>
        </w:tc>
        <w:tc>
          <w:tcPr>
            <w:tcW w:w="320" w:type="pct"/>
            <w:tcMar>
              <w:top w:w="58" w:type="dxa"/>
              <w:left w:w="115" w:type="dxa"/>
              <w:bottom w:w="58" w:type="dxa"/>
              <w:right w:w="115" w:type="dxa"/>
            </w:tcMar>
          </w:tcPr>
          <w:p w:rsidR="0082143E" w:rsidRPr="003F1B50" w:rsidRDefault="0082143E" w:rsidP="0082143E">
            <w:pPr>
              <w:jc w:val="center"/>
              <w:rPr>
                <w:sz w:val="16"/>
                <w:szCs w:val="16"/>
              </w:rPr>
            </w:pPr>
            <w:r w:rsidRPr="003F1B50">
              <w:rPr>
                <w:sz w:val="16"/>
                <w:szCs w:val="16"/>
              </w:rPr>
              <w:t>Projet</w:t>
            </w:r>
          </w:p>
        </w:tc>
        <w:tc>
          <w:tcPr>
            <w:tcW w:w="437" w:type="pct"/>
            <w:tcMar>
              <w:top w:w="58" w:type="dxa"/>
              <w:left w:w="115" w:type="dxa"/>
              <w:bottom w:w="58" w:type="dxa"/>
              <w:right w:w="115" w:type="dxa"/>
            </w:tcMar>
          </w:tcPr>
          <w:p w:rsidR="0082143E" w:rsidRPr="003F1B50" w:rsidRDefault="0082143E" w:rsidP="0082143E">
            <w:pPr>
              <w:spacing w:before="40" w:after="40"/>
              <w:jc w:val="center"/>
              <w:rPr>
                <w:sz w:val="16"/>
                <w:szCs w:val="16"/>
              </w:rPr>
            </w:pPr>
            <w:r w:rsidRPr="003F1B50">
              <w:rPr>
                <w:sz w:val="16"/>
                <w:szCs w:val="16"/>
              </w:rPr>
              <w:t>31 juillet 2020</w:t>
            </w:r>
          </w:p>
        </w:tc>
        <w:tc>
          <w:tcPr>
            <w:tcW w:w="314" w:type="pct"/>
            <w:tcMar>
              <w:top w:w="58" w:type="dxa"/>
              <w:left w:w="115" w:type="dxa"/>
              <w:bottom w:w="58" w:type="dxa"/>
              <w:right w:w="115" w:type="dxa"/>
            </w:tcMar>
          </w:tcPr>
          <w:p w:rsidR="0082143E" w:rsidRPr="003F1B50" w:rsidRDefault="0082143E" w:rsidP="0082143E">
            <w:pPr>
              <w:jc w:val="center"/>
              <w:rPr>
                <w:sz w:val="16"/>
                <w:szCs w:val="16"/>
              </w:rPr>
            </w:pPr>
            <w:r w:rsidRPr="003F1B50">
              <w:rPr>
                <w:sz w:val="16"/>
                <w:szCs w:val="16"/>
              </w:rPr>
              <w:t>$45,000</w:t>
            </w:r>
          </w:p>
        </w:tc>
        <w:tc>
          <w:tcPr>
            <w:tcW w:w="434" w:type="pct"/>
            <w:tcMar>
              <w:top w:w="58" w:type="dxa"/>
              <w:left w:w="115" w:type="dxa"/>
              <w:bottom w:w="58" w:type="dxa"/>
              <w:right w:w="115" w:type="dxa"/>
            </w:tcMar>
          </w:tcPr>
          <w:p w:rsidR="0082143E" w:rsidRPr="003F1B50" w:rsidRDefault="0082143E" w:rsidP="0082143E">
            <w:pPr>
              <w:jc w:val="center"/>
              <w:rPr>
                <w:rStyle w:val="CommentReference"/>
                <w:sz w:val="16"/>
                <w:szCs w:val="16"/>
                <w:lang w:eastAsia="uk-UA"/>
              </w:rPr>
            </w:pPr>
            <w:r w:rsidRPr="003F1B50">
              <w:rPr>
                <w:rStyle w:val="CommentReference"/>
                <w:sz w:val="16"/>
                <w:szCs w:val="16"/>
                <w:lang w:eastAsia="uk-UA"/>
              </w:rPr>
              <w:t>GEF</w:t>
            </w:r>
          </w:p>
        </w:tc>
      </w:tr>
      <w:tr w:rsidR="0082143E" w:rsidRPr="003F1B50" w:rsidTr="00966862">
        <w:trPr>
          <w:trHeight w:val="20"/>
        </w:trPr>
        <w:tc>
          <w:tcPr>
            <w:tcW w:w="913" w:type="pct"/>
            <w:tcMar>
              <w:top w:w="58" w:type="dxa"/>
              <w:left w:w="115" w:type="dxa"/>
              <w:bottom w:w="58" w:type="dxa"/>
              <w:right w:w="115" w:type="dxa"/>
            </w:tcMar>
          </w:tcPr>
          <w:p w:rsidR="0082143E" w:rsidRPr="003F1B50" w:rsidRDefault="0082143E" w:rsidP="0082143E">
            <w:pPr>
              <w:rPr>
                <w:sz w:val="16"/>
                <w:szCs w:val="16"/>
                <w:lang w:val="fr-FR"/>
              </w:rPr>
            </w:pPr>
            <w:r w:rsidRPr="003F1B50">
              <w:rPr>
                <w:sz w:val="16"/>
                <w:szCs w:val="16"/>
                <w:lang w:val="fr-FR"/>
              </w:rPr>
              <w:t>UNSDF 2017-2021 – Effet 5. Les institutions nationales, régionales et locales, et la société civile, améliorent la gestion de l’espace rural et urbain, de l’agriculture et de l’environnement, et les mécanismes de prévention et de réduction des risques pour améliorer la résilience de la population aux catastrophes naturelles et au changement climatique.</w:t>
            </w:r>
          </w:p>
        </w:tc>
        <w:tc>
          <w:tcPr>
            <w:tcW w:w="914" w:type="pct"/>
            <w:tcMar>
              <w:top w:w="58" w:type="dxa"/>
              <w:left w:w="115" w:type="dxa"/>
              <w:bottom w:w="58" w:type="dxa"/>
              <w:right w:w="115" w:type="dxa"/>
            </w:tcMar>
          </w:tcPr>
          <w:p w:rsidR="0082143E" w:rsidRPr="003F1B50" w:rsidRDefault="0082143E" w:rsidP="0082143E">
            <w:pPr>
              <w:rPr>
                <w:sz w:val="16"/>
                <w:szCs w:val="16"/>
                <w:lang w:val="fr-FR"/>
              </w:rPr>
            </w:pPr>
            <w:r w:rsidRPr="003F1B50">
              <w:rPr>
                <w:sz w:val="16"/>
                <w:szCs w:val="16"/>
                <w:lang w:val="fr-FR"/>
              </w:rPr>
              <w:t xml:space="preserve">Résultat 5 : Les pays sont à même de réduire les risques de conflits et de catastrophes naturelles, notamment ceux liés aux changements climatiques  </w:t>
            </w:r>
          </w:p>
        </w:tc>
        <w:tc>
          <w:tcPr>
            <w:tcW w:w="926" w:type="pct"/>
            <w:tcMar>
              <w:top w:w="58" w:type="dxa"/>
              <w:left w:w="115" w:type="dxa"/>
              <w:bottom w:w="58" w:type="dxa"/>
              <w:right w:w="115" w:type="dxa"/>
            </w:tcMar>
          </w:tcPr>
          <w:p w:rsidR="0082143E" w:rsidRDefault="0082143E" w:rsidP="0082143E">
            <w:pPr>
              <w:rPr>
                <w:sz w:val="16"/>
                <w:szCs w:val="16"/>
                <w:lang w:val="fr-FR"/>
              </w:rPr>
            </w:pPr>
            <w:r w:rsidRPr="003F1B50">
              <w:rPr>
                <w:sz w:val="16"/>
                <w:szCs w:val="16"/>
                <w:lang w:val="fr-FR"/>
              </w:rPr>
              <w:t>Evaluation de la contribu</w:t>
            </w:r>
            <w:r>
              <w:rPr>
                <w:sz w:val="16"/>
                <w:szCs w:val="16"/>
                <w:lang w:val="fr-FR"/>
              </w:rPr>
              <w:t>tion du PNUD à l’E</w:t>
            </w:r>
            <w:r w:rsidRPr="003F1B50">
              <w:rPr>
                <w:sz w:val="16"/>
                <w:szCs w:val="16"/>
                <w:lang w:val="fr-FR"/>
              </w:rPr>
              <w:t>ffet 5 de l’UNSDF/CPD</w:t>
            </w:r>
            <w:r>
              <w:rPr>
                <w:sz w:val="16"/>
                <w:szCs w:val="16"/>
                <w:lang w:val="fr-FR"/>
              </w:rPr>
              <w:t> :</w:t>
            </w:r>
          </w:p>
          <w:p w:rsidR="0082143E" w:rsidRPr="00FB0994" w:rsidRDefault="0082143E" w:rsidP="0082143E">
            <w:pPr>
              <w:rPr>
                <w:i/>
                <w:sz w:val="16"/>
                <w:szCs w:val="16"/>
                <w:lang w:val="fr-FR"/>
              </w:rPr>
            </w:pPr>
            <w:r w:rsidRPr="00FB0994">
              <w:rPr>
                <w:i/>
                <w:sz w:val="16"/>
                <w:szCs w:val="16"/>
                <w:lang w:val="fr-FR"/>
              </w:rPr>
              <w:t>« Les institutions nationales, régionales et locales, et la société civile, améliorent la gestion de l’espace rural et urbain, de l’agriculture et de l’environnement, et les mécanismes de prévention et de réduction des risques pour améliorer la résilience de la population aux catastrophes naturelles et au changement climatique.</w:t>
            </w:r>
            <w:r>
              <w:rPr>
                <w:i/>
                <w:sz w:val="16"/>
                <w:szCs w:val="16"/>
                <w:lang w:val="fr-FR"/>
              </w:rPr>
              <w:t> »</w:t>
            </w:r>
          </w:p>
        </w:tc>
        <w:tc>
          <w:tcPr>
            <w:tcW w:w="338" w:type="pct"/>
            <w:tcMar>
              <w:top w:w="58" w:type="dxa"/>
              <w:left w:w="115" w:type="dxa"/>
              <w:bottom w:w="58" w:type="dxa"/>
              <w:right w:w="115" w:type="dxa"/>
            </w:tcMar>
          </w:tcPr>
          <w:p w:rsidR="0082143E" w:rsidRPr="003F1B50" w:rsidRDefault="0082143E" w:rsidP="0082143E">
            <w:pPr>
              <w:jc w:val="center"/>
              <w:rPr>
                <w:sz w:val="16"/>
                <w:szCs w:val="16"/>
                <w:lang w:val="fr-FR"/>
              </w:rPr>
            </w:pPr>
          </w:p>
        </w:tc>
        <w:tc>
          <w:tcPr>
            <w:tcW w:w="404" w:type="pct"/>
            <w:tcMar>
              <w:top w:w="58" w:type="dxa"/>
              <w:left w:w="115" w:type="dxa"/>
              <w:bottom w:w="58" w:type="dxa"/>
              <w:right w:w="115" w:type="dxa"/>
            </w:tcMar>
          </w:tcPr>
          <w:p w:rsidR="0082143E" w:rsidRPr="003F1B50" w:rsidRDefault="0082143E" w:rsidP="0082143E">
            <w:pPr>
              <w:jc w:val="center"/>
              <w:rPr>
                <w:sz w:val="16"/>
                <w:szCs w:val="16"/>
              </w:rPr>
            </w:pPr>
            <w:r w:rsidRPr="003F1B50">
              <w:rPr>
                <w:sz w:val="16"/>
                <w:szCs w:val="16"/>
              </w:rPr>
              <w:t>UNDP</w:t>
            </w:r>
          </w:p>
        </w:tc>
        <w:tc>
          <w:tcPr>
            <w:tcW w:w="320" w:type="pct"/>
            <w:tcMar>
              <w:top w:w="58" w:type="dxa"/>
              <w:left w:w="115" w:type="dxa"/>
              <w:bottom w:w="58" w:type="dxa"/>
              <w:right w:w="115" w:type="dxa"/>
            </w:tcMar>
          </w:tcPr>
          <w:p w:rsidR="0082143E" w:rsidRPr="003F1B50" w:rsidRDefault="0082143E" w:rsidP="0082143E">
            <w:pPr>
              <w:jc w:val="center"/>
              <w:rPr>
                <w:sz w:val="16"/>
                <w:szCs w:val="16"/>
              </w:rPr>
            </w:pPr>
            <w:r w:rsidRPr="003F1B50">
              <w:rPr>
                <w:sz w:val="16"/>
                <w:szCs w:val="16"/>
              </w:rPr>
              <w:t>Effet</w:t>
            </w:r>
          </w:p>
        </w:tc>
        <w:tc>
          <w:tcPr>
            <w:tcW w:w="437" w:type="pct"/>
            <w:tcMar>
              <w:top w:w="58" w:type="dxa"/>
              <w:left w:w="115" w:type="dxa"/>
              <w:bottom w:w="58" w:type="dxa"/>
              <w:right w:w="115" w:type="dxa"/>
            </w:tcMar>
          </w:tcPr>
          <w:p w:rsidR="0082143E" w:rsidRPr="003F1B50" w:rsidRDefault="0082143E" w:rsidP="0082143E">
            <w:pPr>
              <w:spacing w:before="40" w:after="40"/>
              <w:jc w:val="center"/>
              <w:rPr>
                <w:sz w:val="16"/>
                <w:szCs w:val="16"/>
              </w:rPr>
            </w:pPr>
            <w:r w:rsidRPr="003F1B50">
              <w:rPr>
                <w:sz w:val="16"/>
                <w:szCs w:val="16"/>
              </w:rPr>
              <w:t>31 juillet 2020</w:t>
            </w:r>
          </w:p>
        </w:tc>
        <w:tc>
          <w:tcPr>
            <w:tcW w:w="314" w:type="pct"/>
            <w:tcMar>
              <w:top w:w="58" w:type="dxa"/>
              <w:left w:w="115" w:type="dxa"/>
              <w:bottom w:w="58" w:type="dxa"/>
              <w:right w:w="115" w:type="dxa"/>
            </w:tcMar>
          </w:tcPr>
          <w:p w:rsidR="0082143E" w:rsidRPr="003F1B50" w:rsidRDefault="0082143E" w:rsidP="0082143E">
            <w:pPr>
              <w:jc w:val="center"/>
              <w:rPr>
                <w:sz w:val="16"/>
                <w:szCs w:val="16"/>
              </w:rPr>
            </w:pPr>
            <w:r w:rsidRPr="003F1B50">
              <w:rPr>
                <w:sz w:val="16"/>
                <w:szCs w:val="16"/>
              </w:rPr>
              <w:t>60,000</w:t>
            </w:r>
          </w:p>
        </w:tc>
        <w:tc>
          <w:tcPr>
            <w:tcW w:w="434" w:type="pct"/>
            <w:tcMar>
              <w:top w:w="58" w:type="dxa"/>
              <w:left w:w="115" w:type="dxa"/>
              <w:bottom w:w="58" w:type="dxa"/>
              <w:right w:w="115" w:type="dxa"/>
            </w:tcMar>
          </w:tcPr>
          <w:p w:rsidR="0082143E" w:rsidRPr="003F1B50" w:rsidRDefault="0082143E" w:rsidP="0082143E">
            <w:pPr>
              <w:jc w:val="center"/>
              <w:rPr>
                <w:rStyle w:val="CommentReference"/>
                <w:sz w:val="16"/>
                <w:szCs w:val="16"/>
                <w:lang w:eastAsia="uk-UA"/>
              </w:rPr>
            </w:pPr>
            <w:r w:rsidRPr="003F1B50">
              <w:rPr>
                <w:rStyle w:val="CommentReference"/>
                <w:sz w:val="16"/>
                <w:szCs w:val="16"/>
                <w:lang w:eastAsia="uk-UA"/>
              </w:rPr>
              <w:t>Projet</w:t>
            </w:r>
          </w:p>
        </w:tc>
      </w:tr>
    </w:tbl>
    <w:p w:rsidR="00D6679C" w:rsidRPr="003F1B50" w:rsidRDefault="00D6679C" w:rsidP="003F1B50">
      <w:pPr>
        <w:pStyle w:val="Subtitle"/>
        <w:jc w:val="left"/>
        <w:rPr>
          <w:rFonts w:ascii="Times New Roman" w:hAnsi="Times New Roman" w:cs="Times New Roman"/>
          <w:color w:val="000000"/>
          <w:sz w:val="16"/>
          <w:szCs w:val="16"/>
        </w:rPr>
      </w:pPr>
      <w:bookmarkStart w:id="0" w:name="_GoBack"/>
      <w:bookmarkEnd w:id="0"/>
    </w:p>
    <w:sectPr w:rsidR="00D6679C" w:rsidRPr="003F1B50" w:rsidSect="003F1B50">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95A" w:rsidRDefault="00D1495A" w:rsidP="00441061">
      <w:r>
        <w:separator/>
      </w:r>
    </w:p>
  </w:endnote>
  <w:endnote w:type="continuationSeparator" w:id="0">
    <w:p w:rsidR="00D1495A" w:rsidRDefault="00D1495A"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95A" w:rsidRDefault="00D1495A" w:rsidP="00441061">
      <w:r>
        <w:separator/>
      </w:r>
    </w:p>
  </w:footnote>
  <w:footnote w:type="continuationSeparator" w:id="0">
    <w:p w:rsidR="00D1495A" w:rsidRDefault="00D1495A" w:rsidP="00441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5"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9"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4"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3"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25"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26"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28"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9"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30"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4"/>
  </w:num>
  <w:num w:numId="2">
    <w:abstractNumId w:val="23"/>
  </w:num>
  <w:num w:numId="3">
    <w:abstractNumId w:val="18"/>
  </w:num>
  <w:num w:numId="4">
    <w:abstractNumId w:val="27"/>
  </w:num>
  <w:num w:numId="5">
    <w:abstractNumId w:val="19"/>
  </w:num>
  <w:num w:numId="6">
    <w:abstractNumId w:val="0"/>
  </w:num>
  <w:num w:numId="7">
    <w:abstractNumId w:val="12"/>
  </w:num>
  <w:num w:numId="8">
    <w:abstractNumId w:val="24"/>
  </w:num>
  <w:num w:numId="9">
    <w:abstractNumId w:val="33"/>
  </w:num>
  <w:num w:numId="10">
    <w:abstractNumId w:val="26"/>
  </w:num>
  <w:num w:numId="11">
    <w:abstractNumId w:val="32"/>
  </w:num>
  <w:num w:numId="12">
    <w:abstractNumId w:val="16"/>
  </w:num>
  <w:num w:numId="13">
    <w:abstractNumId w:val="4"/>
  </w:num>
  <w:num w:numId="14">
    <w:abstractNumId w:val="11"/>
  </w:num>
  <w:num w:numId="15">
    <w:abstractNumId w:val="29"/>
  </w:num>
  <w:num w:numId="16">
    <w:abstractNumId w:val="7"/>
  </w:num>
  <w:num w:numId="17">
    <w:abstractNumId w:val="9"/>
  </w:num>
  <w:num w:numId="18">
    <w:abstractNumId w:val="13"/>
  </w:num>
  <w:num w:numId="19">
    <w:abstractNumId w:val="31"/>
  </w:num>
  <w:num w:numId="20">
    <w:abstractNumId w:val="6"/>
  </w:num>
  <w:num w:numId="21">
    <w:abstractNumId w:val="5"/>
  </w:num>
  <w:num w:numId="22">
    <w:abstractNumId w:val="30"/>
  </w:num>
  <w:num w:numId="23">
    <w:abstractNumId w:val="10"/>
  </w:num>
  <w:num w:numId="24">
    <w:abstractNumId w:val="2"/>
  </w:num>
  <w:num w:numId="25">
    <w:abstractNumId w:val="28"/>
  </w:num>
  <w:num w:numId="26">
    <w:abstractNumId w:val="25"/>
  </w:num>
  <w:num w:numId="27">
    <w:abstractNumId w:val="21"/>
  </w:num>
  <w:num w:numId="28">
    <w:abstractNumId w:val="1"/>
  </w:num>
  <w:num w:numId="29">
    <w:abstractNumId w:val="17"/>
  </w:num>
  <w:num w:numId="30">
    <w:abstractNumId w:val="20"/>
  </w:num>
  <w:num w:numId="31">
    <w:abstractNumId w:val="8"/>
  </w:num>
  <w:num w:numId="32">
    <w:abstractNumId w:val="3"/>
  </w:num>
  <w:num w:numId="33">
    <w:abstractNumId w:val="15"/>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10B5"/>
    <w:rsid w:val="000027D2"/>
    <w:rsid w:val="00005E26"/>
    <w:rsid w:val="00015FDE"/>
    <w:rsid w:val="00016217"/>
    <w:rsid w:val="00016861"/>
    <w:rsid w:val="000200CF"/>
    <w:rsid w:val="000205F1"/>
    <w:rsid w:val="00022047"/>
    <w:rsid w:val="000274B9"/>
    <w:rsid w:val="0002758B"/>
    <w:rsid w:val="000276A0"/>
    <w:rsid w:val="000330DB"/>
    <w:rsid w:val="0003429F"/>
    <w:rsid w:val="0003562A"/>
    <w:rsid w:val="00036095"/>
    <w:rsid w:val="00036AF4"/>
    <w:rsid w:val="00041C10"/>
    <w:rsid w:val="00043804"/>
    <w:rsid w:val="000441A1"/>
    <w:rsid w:val="00050869"/>
    <w:rsid w:val="000561C1"/>
    <w:rsid w:val="00056204"/>
    <w:rsid w:val="000570D1"/>
    <w:rsid w:val="000571A9"/>
    <w:rsid w:val="00060290"/>
    <w:rsid w:val="00063E24"/>
    <w:rsid w:val="00072229"/>
    <w:rsid w:val="00073CF1"/>
    <w:rsid w:val="00074BD0"/>
    <w:rsid w:val="00074D9A"/>
    <w:rsid w:val="00074DB9"/>
    <w:rsid w:val="000753C4"/>
    <w:rsid w:val="00075DF0"/>
    <w:rsid w:val="000762CA"/>
    <w:rsid w:val="000803A4"/>
    <w:rsid w:val="000806E3"/>
    <w:rsid w:val="0008339E"/>
    <w:rsid w:val="00090AD1"/>
    <w:rsid w:val="00090F4F"/>
    <w:rsid w:val="00091476"/>
    <w:rsid w:val="00092879"/>
    <w:rsid w:val="00094E87"/>
    <w:rsid w:val="00097FB2"/>
    <w:rsid w:val="000A151D"/>
    <w:rsid w:val="000A24C5"/>
    <w:rsid w:val="000A3F7F"/>
    <w:rsid w:val="000B3A13"/>
    <w:rsid w:val="000B4BB2"/>
    <w:rsid w:val="000C76B0"/>
    <w:rsid w:val="000C7BBE"/>
    <w:rsid w:val="000D2475"/>
    <w:rsid w:val="000D442C"/>
    <w:rsid w:val="000D4DC4"/>
    <w:rsid w:val="000E214E"/>
    <w:rsid w:val="000E612D"/>
    <w:rsid w:val="000E745A"/>
    <w:rsid w:val="000E7E9E"/>
    <w:rsid w:val="000F0044"/>
    <w:rsid w:val="000F703B"/>
    <w:rsid w:val="00106EF8"/>
    <w:rsid w:val="001101A2"/>
    <w:rsid w:val="00111489"/>
    <w:rsid w:val="00111797"/>
    <w:rsid w:val="00111B19"/>
    <w:rsid w:val="00114A64"/>
    <w:rsid w:val="00115F59"/>
    <w:rsid w:val="00116C1A"/>
    <w:rsid w:val="00121F3E"/>
    <w:rsid w:val="0012229E"/>
    <w:rsid w:val="00123849"/>
    <w:rsid w:val="00123A5E"/>
    <w:rsid w:val="00125010"/>
    <w:rsid w:val="00125266"/>
    <w:rsid w:val="00125B82"/>
    <w:rsid w:val="001305E6"/>
    <w:rsid w:val="0013239A"/>
    <w:rsid w:val="0013761A"/>
    <w:rsid w:val="0014423A"/>
    <w:rsid w:val="00147042"/>
    <w:rsid w:val="001471A7"/>
    <w:rsid w:val="001506F6"/>
    <w:rsid w:val="00154032"/>
    <w:rsid w:val="001547D3"/>
    <w:rsid w:val="001559BD"/>
    <w:rsid w:val="00157F79"/>
    <w:rsid w:val="00163E84"/>
    <w:rsid w:val="001668AA"/>
    <w:rsid w:val="001675B1"/>
    <w:rsid w:val="0016789D"/>
    <w:rsid w:val="00167C87"/>
    <w:rsid w:val="00172EE3"/>
    <w:rsid w:val="00177E7E"/>
    <w:rsid w:val="0018356F"/>
    <w:rsid w:val="001876C5"/>
    <w:rsid w:val="00187D68"/>
    <w:rsid w:val="00190155"/>
    <w:rsid w:val="001906B5"/>
    <w:rsid w:val="00194163"/>
    <w:rsid w:val="00194FEB"/>
    <w:rsid w:val="001970A4"/>
    <w:rsid w:val="00197AD1"/>
    <w:rsid w:val="001B0020"/>
    <w:rsid w:val="001B3F87"/>
    <w:rsid w:val="001B4026"/>
    <w:rsid w:val="001B598C"/>
    <w:rsid w:val="001B76A6"/>
    <w:rsid w:val="001C07F8"/>
    <w:rsid w:val="001C2F59"/>
    <w:rsid w:val="001C6C08"/>
    <w:rsid w:val="001D2056"/>
    <w:rsid w:val="001D42D1"/>
    <w:rsid w:val="001D64E5"/>
    <w:rsid w:val="001D6EB8"/>
    <w:rsid w:val="001E05EC"/>
    <w:rsid w:val="001E4809"/>
    <w:rsid w:val="001E4F4F"/>
    <w:rsid w:val="001F27F4"/>
    <w:rsid w:val="001F3DC0"/>
    <w:rsid w:val="001F4C5A"/>
    <w:rsid w:val="001F4EA9"/>
    <w:rsid w:val="001F4F73"/>
    <w:rsid w:val="001F6425"/>
    <w:rsid w:val="001F6772"/>
    <w:rsid w:val="001F7421"/>
    <w:rsid w:val="001F7AEE"/>
    <w:rsid w:val="00200195"/>
    <w:rsid w:val="00200B5F"/>
    <w:rsid w:val="00201EEF"/>
    <w:rsid w:val="002047C8"/>
    <w:rsid w:val="002052B3"/>
    <w:rsid w:val="002058F9"/>
    <w:rsid w:val="00212B1F"/>
    <w:rsid w:val="00213D7C"/>
    <w:rsid w:val="00214513"/>
    <w:rsid w:val="002155B7"/>
    <w:rsid w:val="0021766A"/>
    <w:rsid w:val="002225D3"/>
    <w:rsid w:val="00222A35"/>
    <w:rsid w:val="0022301D"/>
    <w:rsid w:val="00224B2C"/>
    <w:rsid w:val="00227E55"/>
    <w:rsid w:val="00232AA0"/>
    <w:rsid w:val="00234CDF"/>
    <w:rsid w:val="00236B91"/>
    <w:rsid w:val="0024107C"/>
    <w:rsid w:val="002424C0"/>
    <w:rsid w:val="00242CAA"/>
    <w:rsid w:val="00245D74"/>
    <w:rsid w:val="00246D03"/>
    <w:rsid w:val="00246DDF"/>
    <w:rsid w:val="002573CC"/>
    <w:rsid w:val="00260FAA"/>
    <w:rsid w:val="00262338"/>
    <w:rsid w:val="00263938"/>
    <w:rsid w:val="002646D7"/>
    <w:rsid w:val="002671D7"/>
    <w:rsid w:val="0027259C"/>
    <w:rsid w:val="00273543"/>
    <w:rsid w:val="00274C82"/>
    <w:rsid w:val="0027654D"/>
    <w:rsid w:val="002810DF"/>
    <w:rsid w:val="002812AB"/>
    <w:rsid w:val="002816D8"/>
    <w:rsid w:val="00282A8C"/>
    <w:rsid w:val="002854EE"/>
    <w:rsid w:val="0028565C"/>
    <w:rsid w:val="002875DE"/>
    <w:rsid w:val="00287E07"/>
    <w:rsid w:val="00290EB3"/>
    <w:rsid w:val="00292846"/>
    <w:rsid w:val="00292A90"/>
    <w:rsid w:val="002971D6"/>
    <w:rsid w:val="002A2574"/>
    <w:rsid w:val="002A2F08"/>
    <w:rsid w:val="002A3641"/>
    <w:rsid w:val="002A495F"/>
    <w:rsid w:val="002A706F"/>
    <w:rsid w:val="002A70EA"/>
    <w:rsid w:val="002A7363"/>
    <w:rsid w:val="002A7F43"/>
    <w:rsid w:val="002B365E"/>
    <w:rsid w:val="002B489A"/>
    <w:rsid w:val="002B6341"/>
    <w:rsid w:val="002C0526"/>
    <w:rsid w:val="002C27A8"/>
    <w:rsid w:val="002C333E"/>
    <w:rsid w:val="002C36C8"/>
    <w:rsid w:val="002C51A0"/>
    <w:rsid w:val="002C7971"/>
    <w:rsid w:val="002D0584"/>
    <w:rsid w:val="002D2E2A"/>
    <w:rsid w:val="002D4274"/>
    <w:rsid w:val="002D5295"/>
    <w:rsid w:val="002D52BF"/>
    <w:rsid w:val="002D68FA"/>
    <w:rsid w:val="002D7ECA"/>
    <w:rsid w:val="002E0141"/>
    <w:rsid w:val="002E0B5D"/>
    <w:rsid w:val="002E0B76"/>
    <w:rsid w:val="002E1495"/>
    <w:rsid w:val="002E2900"/>
    <w:rsid w:val="002E3C0D"/>
    <w:rsid w:val="002E43EC"/>
    <w:rsid w:val="002E5B3C"/>
    <w:rsid w:val="002E7A79"/>
    <w:rsid w:val="002F2C6E"/>
    <w:rsid w:val="002F3C88"/>
    <w:rsid w:val="002F4067"/>
    <w:rsid w:val="002F47EB"/>
    <w:rsid w:val="002F7339"/>
    <w:rsid w:val="002F7461"/>
    <w:rsid w:val="003025E2"/>
    <w:rsid w:val="00306D24"/>
    <w:rsid w:val="00307712"/>
    <w:rsid w:val="0031404A"/>
    <w:rsid w:val="00314B7C"/>
    <w:rsid w:val="00314E49"/>
    <w:rsid w:val="00315445"/>
    <w:rsid w:val="00317183"/>
    <w:rsid w:val="003204AE"/>
    <w:rsid w:val="003208EF"/>
    <w:rsid w:val="00324846"/>
    <w:rsid w:val="00324ABD"/>
    <w:rsid w:val="00324D9B"/>
    <w:rsid w:val="003272A6"/>
    <w:rsid w:val="003273CB"/>
    <w:rsid w:val="0033125E"/>
    <w:rsid w:val="00336913"/>
    <w:rsid w:val="0033718C"/>
    <w:rsid w:val="00337407"/>
    <w:rsid w:val="00340E02"/>
    <w:rsid w:val="00343E6E"/>
    <w:rsid w:val="003450C8"/>
    <w:rsid w:val="0034782B"/>
    <w:rsid w:val="00351E5C"/>
    <w:rsid w:val="0035580F"/>
    <w:rsid w:val="00357CB4"/>
    <w:rsid w:val="003604EE"/>
    <w:rsid w:val="0036286B"/>
    <w:rsid w:val="00363371"/>
    <w:rsid w:val="00364989"/>
    <w:rsid w:val="003664C0"/>
    <w:rsid w:val="00366769"/>
    <w:rsid w:val="00367E04"/>
    <w:rsid w:val="003761F2"/>
    <w:rsid w:val="00376A05"/>
    <w:rsid w:val="003774FE"/>
    <w:rsid w:val="00390E30"/>
    <w:rsid w:val="00393ABE"/>
    <w:rsid w:val="0039458D"/>
    <w:rsid w:val="00394D61"/>
    <w:rsid w:val="003A1F5A"/>
    <w:rsid w:val="003A2ECE"/>
    <w:rsid w:val="003A4252"/>
    <w:rsid w:val="003A539A"/>
    <w:rsid w:val="003A62A4"/>
    <w:rsid w:val="003A7476"/>
    <w:rsid w:val="003A7D86"/>
    <w:rsid w:val="003B0AA1"/>
    <w:rsid w:val="003B243D"/>
    <w:rsid w:val="003B304F"/>
    <w:rsid w:val="003B5D18"/>
    <w:rsid w:val="003B795D"/>
    <w:rsid w:val="003C26A6"/>
    <w:rsid w:val="003C26C1"/>
    <w:rsid w:val="003C5C11"/>
    <w:rsid w:val="003C6A5A"/>
    <w:rsid w:val="003C6AAD"/>
    <w:rsid w:val="003D1D4D"/>
    <w:rsid w:val="003D37DD"/>
    <w:rsid w:val="003D45DF"/>
    <w:rsid w:val="003D47C6"/>
    <w:rsid w:val="003D7E38"/>
    <w:rsid w:val="003D7EAC"/>
    <w:rsid w:val="003E379A"/>
    <w:rsid w:val="003E52B0"/>
    <w:rsid w:val="003E64DC"/>
    <w:rsid w:val="003E7A43"/>
    <w:rsid w:val="003F0B58"/>
    <w:rsid w:val="003F0D40"/>
    <w:rsid w:val="003F1B50"/>
    <w:rsid w:val="003F2236"/>
    <w:rsid w:val="003F27B7"/>
    <w:rsid w:val="003F4051"/>
    <w:rsid w:val="003F5812"/>
    <w:rsid w:val="003F6AA4"/>
    <w:rsid w:val="003F6EA1"/>
    <w:rsid w:val="00400E4A"/>
    <w:rsid w:val="00402E9A"/>
    <w:rsid w:val="00403FA8"/>
    <w:rsid w:val="00404040"/>
    <w:rsid w:val="00404213"/>
    <w:rsid w:val="004048AC"/>
    <w:rsid w:val="00404B8E"/>
    <w:rsid w:val="004068C2"/>
    <w:rsid w:val="004134BB"/>
    <w:rsid w:val="00415E7F"/>
    <w:rsid w:val="00420288"/>
    <w:rsid w:val="00421C78"/>
    <w:rsid w:val="004224CE"/>
    <w:rsid w:val="00424A78"/>
    <w:rsid w:val="004254DB"/>
    <w:rsid w:val="00427EEA"/>
    <w:rsid w:val="00431836"/>
    <w:rsid w:val="004321E6"/>
    <w:rsid w:val="0043278E"/>
    <w:rsid w:val="004360AC"/>
    <w:rsid w:val="00436B83"/>
    <w:rsid w:val="00436F7C"/>
    <w:rsid w:val="00441061"/>
    <w:rsid w:val="00450C70"/>
    <w:rsid w:val="00453344"/>
    <w:rsid w:val="00454E76"/>
    <w:rsid w:val="00457080"/>
    <w:rsid w:val="00460891"/>
    <w:rsid w:val="004621B7"/>
    <w:rsid w:val="00464FB2"/>
    <w:rsid w:val="00466CDC"/>
    <w:rsid w:val="0046745E"/>
    <w:rsid w:val="004736BE"/>
    <w:rsid w:val="0047556D"/>
    <w:rsid w:val="00475789"/>
    <w:rsid w:val="00476170"/>
    <w:rsid w:val="004820B0"/>
    <w:rsid w:val="00482E2F"/>
    <w:rsid w:val="004859B4"/>
    <w:rsid w:val="00486ACD"/>
    <w:rsid w:val="00492C65"/>
    <w:rsid w:val="0049403F"/>
    <w:rsid w:val="00494323"/>
    <w:rsid w:val="00494349"/>
    <w:rsid w:val="00494485"/>
    <w:rsid w:val="004A0F27"/>
    <w:rsid w:val="004A0F37"/>
    <w:rsid w:val="004A0F68"/>
    <w:rsid w:val="004A3608"/>
    <w:rsid w:val="004A4FBD"/>
    <w:rsid w:val="004A7810"/>
    <w:rsid w:val="004A7E93"/>
    <w:rsid w:val="004B3CFB"/>
    <w:rsid w:val="004B5D6B"/>
    <w:rsid w:val="004B76F8"/>
    <w:rsid w:val="004C1FA6"/>
    <w:rsid w:val="004C5CFD"/>
    <w:rsid w:val="004D12C0"/>
    <w:rsid w:val="004D18EA"/>
    <w:rsid w:val="004D3713"/>
    <w:rsid w:val="004D6254"/>
    <w:rsid w:val="004D7E99"/>
    <w:rsid w:val="004E00CE"/>
    <w:rsid w:val="004E2BDB"/>
    <w:rsid w:val="004F50AF"/>
    <w:rsid w:val="004F681D"/>
    <w:rsid w:val="004F6E14"/>
    <w:rsid w:val="0050228C"/>
    <w:rsid w:val="00502857"/>
    <w:rsid w:val="005044A9"/>
    <w:rsid w:val="00505994"/>
    <w:rsid w:val="00505FD4"/>
    <w:rsid w:val="00506E25"/>
    <w:rsid w:val="0051132C"/>
    <w:rsid w:val="00513483"/>
    <w:rsid w:val="00514A55"/>
    <w:rsid w:val="00514EF5"/>
    <w:rsid w:val="0051782D"/>
    <w:rsid w:val="0052087E"/>
    <w:rsid w:val="005227DF"/>
    <w:rsid w:val="0052315E"/>
    <w:rsid w:val="00530ED3"/>
    <w:rsid w:val="0053438E"/>
    <w:rsid w:val="005355EE"/>
    <w:rsid w:val="00535B16"/>
    <w:rsid w:val="005366D0"/>
    <w:rsid w:val="00537E27"/>
    <w:rsid w:val="00540B4D"/>
    <w:rsid w:val="00540FFA"/>
    <w:rsid w:val="00542930"/>
    <w:rsid w:val="005435B3"/>
    <w:rsid w:val="00550849"/>
    <w:rsid w:val="00554BF3"/>
    <w:rsid w:val="0055655F"/>
    <w:rsid w:val="0055657D"/>
    <w:rsid w:val="00560D0D"/>
    <w:rsid w:val="00565FB1"/>
    <w:rsid w:val="005662FB"/>
    <w:rsid w:val="00567781"/>
    <w:rsid w:val="00567ECC"/>
    <w:rsid w:val="005713B1"/>
    <w:rsid w:val="00583090"/>
    <w:rsid w:val="005835F4"/>
    <w:rsid w:val="00583EFE"/>
    <w:rsid w:val="005841A3"/>
    <w:rsid w:val="00590EAE"/>
    <w:rsid w:val="0059112A"/>
    <w:rsid w:val="00593216"/>
    <w:rsid w:val="00594BC3"/>
    <w:rsid w:val="00596CA7"/>
    <w:rsid w:val="00596DC8"/>
    <w:rsid w:val="00596E16"/>
    <w:rsid w:val="005A16A3"/>
    <w:rsid w:val="005A1C48"/>
    <w:rsid w:val="005A253A"/>
    <w:rsid w:val="005B4421"/>
    <w:rsid w:val="005B7929"/>
    <w:rsid w:val="005C25D1"/>
    <w:rsid w:val="005C35A9"/>
    <w:rsid w:val="005C464B"/>
    <w:rsid w:val="005C74A0"/>
    <w:rsid w:val="005D052C"/>
    <w:rsid w:val="005D16FE"/>
    <w:rsid w:val="005D4084"/>
    <w:rsid w:val="005D4777"/>
    <w:rsid w:val="005D4C2B"/>
    <w:rsid w:val="005E7953"/>
    <w:rsid w:val="005E7E82"/>
    <w:rsid w:val="005F6C28"/>
    <w:rsid w:val="005F7AB6"/>
    <w:rsid w:val="005F7E3C"/>
    <w:rsid w:val="00600FA8"/>
    <w:rsid w:val="006063DA"/>
    <w:rsid w:val="00606CE3"/>
    <w:rsid w:val="00611DD3"/>
    <w:rsid w:val="00611EF0"/>
    <w:rsid w:val="00612219"/>
    <w:rsid w:val="00612E04"/>
    <w:rsid w:val="006173A4"/>
    <w:rsid w:val="00617C44"/>
    <w:rsid w:val="00622CE4"/>
    <w:rsid w:val="006234A7"/>
    <w:rsid w:val="00625917"/>
    <w:rsid w:val="0062789F"/>
    <w:rsid w:val="006301BE"/>
    <w:rsid w:val="006303FA"/>
    <w:rsid w:val="0063096E"/>
    <w:rsid w:val="00633349"/>
    <w:rsid w:val="00633D61"/>
    <w:rsid w:val="0063402B"/>
    <w:rsid w:val="00636570"/>
    <w:rsid w:val="00637901"/>
    <w:rsid w:val="00637E1B"/>
    <w:rsid w:val="006402DF"/>
    <w:rsid w:val="0064164B"/>
    <w:rsid w:val="00644468"/>
    <w:rsid w:val="00645F5E"/>
    <w:rsid w:val="00647B1E"/>
    <w:rsid w:val="00647C55"/>
    <w:rsid w:val="0065008B"/>
    <w:rsid w:val="00653A3B"/>
    <w:rsid w:val="00653FD9"/>
    <w:rsid w:val="00654D42"/>
    <w:rsid w:val="00656328"/>
    <w:rsid w:val="00660279"/>
    <w:rsid w:val="006622B9"/>
    <w:rsid w:val="00662E1E"/>
    <w:rsid w:val="0066371E"/>
    <w:rsid w:val="006724AD"/>
    <w:rsid w:val="00672BAB"/>
    <w:rsid w:val="0067314A"/>
    <w:rsid w:val="00673D1E"/>
    <w:rsid w:val="006779CF"/>
    <w:rsid w:val="00677A8F"/>
    <w:rsid w:val="00677F8A"/>
    <w:rsid w:val="006821E3"/>
    <w:rsid w:val="00683AD6"/>
    <w:rsid w:val="006842AE"/>
    <w:rsid w:val="0069097D"/>
    <w:rsid w:val="006A5773"/>
    <w:rsid w:val="006A5804"/>
    <w:rsid w:val="006A58F0"/>
    <w:rsid w:val="006B0372"/>
    <w:rsid w:val="006B0764"/>
    <w:rsid w:val="006B4467"/>
    <w:rsid w:val="006B6C46"/>
    <w:rsid w:val="006B6E78"/>
    <w:rsid w:val="006C0039"/>
    <w:rsid w:val="006C1927"/>
    <w:rsid w:val="006C2585"/>
    <w:rsid w:val="006C4008"/>
    <w:rsid w:val="006C5931"/>
    <w:rsid w:val="006C73EF"/>
    <w:rsid w:val="006D1723"/>
    <w:rsid w:val="006D5D3F"/>
    <w:rsid w:val="006D60ED"/>
    <w:rsid w:val="006E1166"/>
    <w:rsid w:val="006E596E"/>
    <w:rsid w:val="006F033F"/>
    <w:rsid w:val="006F24D8"/>
    <w:rsid w:val="006F33B8"/>
    <w:rsid w:val="006F4C9C"/>
    <w:rsid w:val="006F640F"/>
    <w:rsid w:val="006F762A"/>
    <w:rsid w:val="00701B6B"/>
    <w:rsid w:val="0070384F"/>
    <w:rsid w:val="00703A9E"/>
    <w:rsid w:val="00703D6D"/>
    <w:rsid w:val="00704152"/>
    <w:rsid w:val="00704FB5"/>
    <w:rsid w:val="00706B71"/>
    <w:rsid w:val="0071277A"/>
    <w:rsid w:val="00712EE5"/>
    <w:rsid w:val="00713493"/>
    <w:rsid w:val="00713494"/>
    <w:rsid w:val="00714031"/>
    <w:rsid w:val="0071466E"/>
    <w:rsid w:val="00714A6C"/>
    <w:rsid w:val="00714CD3"/>
    <w:rsid w:val="007206A8"/>
    <w:rsid w:val="0072116D"/>
    <w:rsid w:val="0072226F"/>
    <w:rsid w:val="00725B78"/>
    <w:rsid w:val="00727082"/>
    <w:rsid w:val="0073233C"/>
    <w:rsid w:val="00732D0C"/>
    <w:rsid w:val="00733EAD"/>
    <w:rsid w:val="00734F54"/>
    <w:rsid w:val="00737C04"/>
    <w:rsid w:val="00744110"/>
    <w:rsid w:val="00744595"/>
    <w:rsid w:val="00747A52"/>
    <w:rsid w:val="00750F1E"/>
    <w:rsid w:val="00751C12"/>
    <w:rsid w:val="00752691"/>
    <w:rsid w:val="007528F2"/>
    <w:rsid w:val="007575C4"/>
    <w:rsid w:val="00763700"/>
    <w:rsid w:val="0076427C"/>
    <w:rsid w:val="00765217"/>
    <w:rsid w:val="007659AA"/>
    <w:rsid w:val="0077266C"/>
    <w:rsid w:val="00772802"/>
    <w:rsid w:val="00775066"/>
    <w:rsid w:val="00776406"/>
    <w:rsid w:val="0078005A"/>
    <w:rsid w:val="00781B6F"/>
    <w:rsid w:val="00781F9C"/>
    <w:rsid w:val="00782DFD"/>
    <w:rsid w:val="00784424"/>
    <w:rsid w:val="00785474"/>
    <w:rsid w:val="00787B99"/>
    <w:rsid w:val="0079421C"/>
    <w:rsid w:val="0079526D"/>
    <w:rsid w:val="00795A2C"/>
    <w:rsid w:val="00797390"/>
    <w:rsid w:val="007A05B6"/>
    <w:rsid w:val="007A1C0A"/>
    <w:rsid w:val="007A1C59"/>
    <w:rsid w:val="007A5B41"/>
    <w:rsid w:val="007B5792"/>
    <w:rsid w:val="007C31E2"/>
    <w:rsid w:val="007C5CE1"/>
    <w:rsid w:val="007C6F85"/>
    <w:rsid w:val="007D0569"/>
    <w:rsid w:val="007D16B1"/>
    <w:rsid w:val="007D19E4"/>
    <w:rsid w:val="007D7400"/>
    <w:rsid w:val="007D7761"/>
    <w:rsid w:val="007D79FF"/>
    <w:rsid w:val="007E02A7"/>
    <w:rsid w:val="007E468A"/>
    <w:rsid w:val="007E51A5"/>
    <w:rsid w:val="007E7F4C"/>
    <w:rsid w:val="007F3018"/>
    <w:rsid w:val="008060C3"/>
    <w:rsid w:val="008063A1"/>
    <w:rsid w:val="00807F00"/>
    <w:rsid w:val="00812095"/>
    <w:rsid w:val="008134BD"/>
    <w:rsid w:val="00814656"/>
    <w:rsid w:val="00820E45"/>
    <w:rsid w:val="0082143E"/>
    <w:rsid w:val="00821E2C"/>
    <w:rsid w:val="00822835"/>
    <w:rsid w:val="00826758"/>
    <w:rsid w:val="008353E0"/>
    <w:rsid w:val="008365F0"/>
    <w:rsid w:val="00841534"/>
    <w:rsid w:val="008462F1"/>
    <w:rsid w:val="00846930"/>
    <w:rsid w:val="00850FDE"/>
    <w:rsid w:val="00852876"/>
    <w:rsid w:val="008543F5"/>
    <w:rsid w:val="00855004"/>
    <w:rsid w:val="008572C4"/>
    <w:rsid w:val="0085733E"/>
    <w:rsid w:val="008604A8"/>
    <w:rsid w:val="00861AFA"/>
    <w:rsid w:val="00863C61"/>
    <w:rsid w:val="00865522"/>
    <w:rsid w:val="00865ADF"/>
    <w:rsid w:val="0086644C"/>
    <w:rsid w:val="008666B5"/>
    <w:rsid w:val="008703B3"/>
    <w:rsid w:val="00876985"/>
    <w:rsid w:val="00883780"/>
    <w:rsid w:val="00883B99"/>
    <w:rsid w:val="00885066"/>
    <w:rsid w:val="00885F85"/>
    <w:rsid w:val="0088665E"/>
    <w:rsid w:val="008923C8"/>
    <w:rsid w:val="00893260"/>
    <w:rsid w:val="008932A8"/>
    <w:rsid w:val="00893756"/>
    <w:rsid w:val="00894A9E"/>
    <w:rsid w:val="008950F6"/>
    <w:rsid w:val="00896815"/>
    <w:rsid w:val="008A0744"/>
    <w:rsid w:val="008A0A6E"/>
    <w:rsid w:val="008A0D0F"/>
    <w:rsid w:val="008A2FB3"/>
    <w:rsid w:val="008A398B"/>
    <w:rsid w:val="008A5601"/>
    <w:rsid w:val="008A59AD"/>
    <w:rsid w:val="008B0EEB"/>
    <w:rsid w:val="008B431D"/>
    <w:rsid w:val="008B51FD"/>
    <w:rsid w:val="008B7186"/>
    <w:rsid w:val="008C1939"/>
    <w:rsid w:val="008C3396"/>
    <w:rsid w:val="008C621C"/>
    <w:rsid w:val="008C697C"/>
    <w:rsid w:val="008C75ED"/>
    <w:rsid w:val="008C7649"/>
    <w:rsid w:val="008E0991"/>
    <w:rsid w:val="008E23BF"/>
    <w:rsid w:val="008E338E"/>
    <w:rsid w:val="008E57FE"/>
    <w:rsid w:val="008F2665"/>
    <w:rsid w:val="008F507E"/>
    <w:rsid w:val="008F6376"/>
    <w:rsid w:val="00900CC2"/>
    <w:rsid w:val="009019FB"/>
    <w:rsid w:val="00905B05"/>
    <w:rsid w:val="0090753C"/>
    <w:rsid w:val="00911B66"/>
    <w:rsid w:val="00912A7E"/>
    <w:rsid w:val="00915330"/>
    <w:rsid w:val="00916E69"/>
    <w:rsid w:val="00917525"/>
    <w:rsid w:val="0091777D"/>
    <w:rsid w:val="0092057D"/>
    <w:rsid w:val="009218DE"/>
    <w:rsid w:val="00922D00"/>
    <w:rsid w:val="00923F17"/>
    <w:rsid w:val="009266DA"/>
    <w:rsid w:val="00930DE8"/>
    <w:rsid w:val="009318DD"/>
    <w:rsid w:val="00935413"/>
    <w:rsid w:val="00935F5D"/>
    <w:rsid w:val="009368E0"/>
    <w:rsid w:val="0094260B"/>
    <w:rsid w:val="00942661"/>
    <w:rsid w:val="00945307"/>
    <w:rsid w:val="0094558D"/>
    <w:rsid w:val="00946FCE"/>
    <w:rsid w:val="009515BC"/>
    <w:rsid w:val="00953ED0"/>
    <w:rsid w:val="0095492E"/>
    <w:rsid w:val="00955F7D"/>
    <w:rsid w:val="0096242F"/>
    <w:rsid w:val="00962E3B"/>
    <w:rsid w:val="00962FF5"/>
    <w:rsid w:val="00964A4E"/>
    <w:rsid w:val="00965B02"/>
    <w:rsid w:val="00965C07"/>
    <w:rsid w:val="00965D2D"/>
    <w:rsid w:val="00966862"/>
    <w:rsid w:val="00971847"/>
    <w:rsid w:val="00972964"/>
    <w:rsid w:val="0097762F"/>
    <w:rsid w:val="009816B8"/>
    <w:rsid w:val="00983B45"/>
    <w:rsid w:val="0098766F"/>
    <w:rsid w:val="00993912"/>
    <w:rsid w:val="00994050"/>
    <w:rsid w:val="009962CF"/>
    <w:rsid w:val="009969D6"/>
    <w:rsid w:val="009A4543"/>
    <w:rsid w:val="009A5DB1"/>
    <w:rsid w:val="009A7C5A"/>
    <w:rsid w:val="009A7E51"/>
    <w:rsid w:val="009B21B9"/>
    <w:rsid w:val="009B4CD0"/>
    <w:rsid w:val="009B4DA7"/>
    <w:rsid w:val="009C21C6"/>
    <w:rsid w:val="009C383B"/>
    <w:rsid w:val="009C3A80"/>
    <w:rsid w:val="009C5238"/>
    <w:rsid w:val="009D12B4"/>
    <w:rsid w:val="009D1E70"/>
    <w:rsid w:val="009D2135"/>
    <w:rsid w:val="009D2FA7"/>
    <w:rsid w:val="009D4CAE"/>
    <w:rsid w:val="009D55F9"/>
    <w:rsid w:val="009D5A11"/>
    <w:rsid w:val="009D7760"/>
    <w:rsid w:val="009E16E6"/>
    <w:rsid w:val="009E2953"/>
    <w:rsid w:val="009E30CE"/>
    <w:rsid w:val="009E495B"/>
    <w:rsid w:val="009F04C3"/>
    <w:rsid w:val="009F0760"/>
    <w:rsid w:val="009F3B29"/>
    <w:rsid w:val="009F4860"/>
    <w:rsid w:val="00A00057"/>
    <w:rsid w:val="00A00485"/>
    <w:rsid w:val="00A01A5F"/>
    <w:rsid w:val="00A02C96"/>
    <w:rsid w:val="00A02E65"/>
    <w:rsid w:val="00A0340A"/>
    <w:rsid w:val="00A0440C"/>
    <w:rsid w:val="00A0585F"/>
    <w:rsid w:val="00A0694A"/>
    <w:rsid w:val="00A10A30"/>
    <w:rsid w:val="00A1137C"/>
    <w:rsid w:val="00A113D7"/>
    <w:rsid w:val="00A11F0F"/>
    <w:rsid w:val="00A16126"/>
    <w:rsid w:val="00A166F7"/>
    <w:rsid w:val="00A24133"/>
    <w:rsid w:val="00A262BF"/>
    <w:rsid w:val="00A27809"/>
    <w:rsid w:val="00A30533"/>
    <w:rsid w:val="00A317B0"/>
    <w:rsid w:val="00A34591"/>
    <w:rsid w:val="00A34E44"/>
    <w:rsid w:val="00A3640F"/>
    <w:rsid w:val="00A40CE2"/>
    <w:rsid w:val="00A47176"/>
    <w:rsid w:val="00A475C5"/>
    <w:rsid w:val="00A4768C"/>
    <w:rsid w:val="00A50A68"/>
    <w:rsid w:val="00A50D3B"/>
    <w:rsid w:val="00A518AA"/>
    <w:rsid w:val="00A56348"/>
    <w:rsid w:val="00A5703F"/>
    <w:rsid w:val="00A57D39"/>
    <w:rsid w:val="00A6316B"/>
    <w:rsid w:val="00A65316"/>
    <w:rsid w:val="00A674FF"/>
    <w:rsid w:val="00A70F69"/>
    <w:rsid w:val="00A72611"/>
    <w:rsid w:val="00A73ABB"/>
    <w:rsid w:val="00A76D2C"/>
    <w:rsid w:val="00A77746"/>
    <w:rsid w:val="00A806AA"/>
    <w:rsid w:val="00A83BF6"/>
    <w:rsid w:val="00A87F31"/>
    <w:rsid w:val="00A90D27"/>
    <w:rsid w:val="00A9103B"/>
    <w:rsid w:val="00A91284"/>
    <w:rsid w:val="00A918A7"/>
    <w:rsid w:val="00A92871"/>
    <w:rsid w:val="00A955EB"/>
    <w:rsid w:val="00AA1F49"/>
    <w:rsid w:val="00AA3A2E"/>
    <w:rsid w:val="00AA4099"/>
    <w:rsid w:val="00AA6913"/>
    <w:rsid w:val="00AB2190"/>
    <w:rsid w:val="00AB39EB"/>
    <w:rsid w:val="00AB3F27"/>
    <w:rsid w:val="00AB3FD9"/>
    <w:rsid w:val="00AB7DE7"/>
    <w:rsid w:val="00AC1BE7"/>
    <w:rsid w:val="00AC275F"/>
    <w:rsid w:val="00AC50A4"/>
    <w:rsid w:val="00AC5A95"/>
    <w:rsid w:val="00AC6074"/>
    <w:rsid w:val="00AC6471"/>
    <w:rsid w:val="00AD1751"/>
    <w:rsid w:val="00AD2B6E"/>
    <w:rsid w:val="00AD3443"/>
    <w:rsid w:val="00AD4B3C"/>
    <w:rsid w:val="00AD68A5"/>
    <w:rsid w:val="00AE185D"/>
    <w:rsid w:val="00AE1BFE"/>
    <w:rsid w:val="00AE3842"/>
    <w:rsid w:val="00AE3D83"/>
    <w:rsid w:val="00AE4374"/>
    <w:rsid w:val="00AE485C"/>
    <w:rsid w:val="00AE7D4F"/>
    <w:rsid w:val="00AE7FE4"/>
    <w:rsid w:val="00AF17D3"/>
    <w:rsid w:val="00AF1D77"/>
    <w:rsid w:val="00AF38BA"/>
    <w:rsid w:val="00AF4F67"/>
    <w:rsid w:val="00AF5811"/>
    <w:rsid w:val="00AF6509"/>
    <w:rsid w:val="00B00BBE"/>
    <w:rsid w:val="00B0456E"/>
    <w:rsid w:val="00B06A05"/>
    <w:rsid w:val="00B06BF6"/>
    <w:rsid w:val="00B06F7F"/>
    <w:rsid w:val="00B100F0"/>
    <w:rsid w:val="00B1402E"/>
    <w:rsid w:val="00B14865"/>
    <w:rsid w:val="00B21D50"/>
    <w:rsid w:val="00B22F9B"/>
    <w:rsid w:val="00B23747"/>
    <w:rsid w:val="00B24090"/>
    <w:rsid w:val="00B257E3"/>
    <w:rsid w:val="00B260C7"/>
    <w:rsid w:val="00B27494"/>
    <w:rsid w:val="00B279B9"/>
    <w:rsid w:val="00B27BFD"/>
    <w:rsid w:val="00B34F48"/>
    <w:rsid w:val="00B51BA0"/>
    <w:rsid w:val="00B535BD"/>
    <w:rsid w:val="00B53701"/>
    <w:rsid w:val="00B56A26"/>
    <w:rsid w:val="00B6110A"/>
    <w:rsid w:val="00B6176A"/>
    <w:rsid w:val="00B6301A"/>
    <w:rsid w:val="00B64CAD"/>
    <w:rsid w:val="00B66751"/>
    <w:rsid w:val="00B67AA6"/>
    <w:rsid w:val="00B7066C"/>
    <w:rsid w:val="00B717D8"/>
    <w:rsid w:val="00B72DF3"/>
    <w:rsid w:val="00B74146"/>
    <w:rsid w:val="00B76F6C"/>
    <w:rsid w:val="00B8080B"/>
    <w:rsid w:val="00B811EF"/>
    <w:rsid w:val="00B86EF1"/>
    <w:rsid w:val="00B90674"/>
    <w:rsid w:val="00B934E3"/>
    <w:rsid w:val="00B94323"/>
    <w:rsid w:val="00B9566B"/>
    <w:rsid w:val="00B961B7"/>
    <w:rsid w:val="00B963D4"/>
    <w:rsid w:val="00B9772B"/>
    <w:rsid w:val="00BA2DEF"/>
    <w:rsid w:val="00BA42FB"/>
    <w:rsid w:val="00BA4768"/>
    <w:rsid w:val="00BA516F"/>
    <w:rsid w:val="00BA628C"/>
    <w:rsid w:val="00BA7059"/>
    <w:rsid w:val="00BB0051"/>
    <w:rsid w:val="00BB02C6"/>
    <w:rsid w:val="00BB0D3E"/>
    <w:rsid w:val="00BB1082"/>
    <w:rsid w:val="00BB2127"/>
    <w:rsid w:val="00BB3805"/>
    <w:rsid w:val="00BB52A5"/>
    <w:rsid w:val="00BB6740"/>
    <w:rsid w:val="00BB7EA1"/>
    <w:rsid w:val="00BB7F81"/>
    <w:rsid w:val="00BC269B"/>
    <w:rsid w:val="00BC27D2"/>
    <w:rsid w:val="00BC5D13"/>
    <w:rsid w:val="00BD35E1"/>
    <w:rsid w:val="00BD54FC"/>
    <w:rsid w:val="00BD63C3"/>
    <w:rsid w:val="00BD67CE"/>
    <w:rsid w:val="00BD76A4"/>
    <w:rsid w:val="00BE1C8A"/>
    <w:rsid w:val="00BE4857"/>
    <w:rsid w:val="00BE5847"/>
    <w:rsid w:val="00BE5BE0"/>
    <w:rsid w:val="00BE70E8"/>
    <w:rsid w:val="00BF0E76"/>
    <w:rsid w:val="00BF19DC"/>
    <w:rsid w:val="00BF2B3E"/>
    <w:rsid w:val="00BF2DAF"/>
    <w:rsid w:val="00BF4E1B"/>
    <w:rsid w:val="00C0480F"/>
    <w:rsid w:val="00C1043C"/>
    <w:rsid w:val="00C12A51"/>
    <w:rsid w:val="00C12CD1"/>
    <w:rsid w:val="00C1591E"/>
    <w:rsid w:val="00C20D36"/>
    <w:rsid w:val="00C21038"/>
    <w:rsid w:val="00C2396B"/>
    <w:rsid w:val="00C2785F"/>
    <w:rsid w:val="00C30BA6"/>
    <w:rsid w:val="00C31467"/>
    <w:rsid w:val="00C34CCB"/>
    <w:rsid w:val="00C34D57"/>
    <w:rsid w:val="00C35515"/>
    <w:rsid w:val="00C35807"/>
    <w:rsid w:val="00C35A4B"/>
    <w:rsid w:val="00C36696"/>
    <w:rsid w:val="00C36720"/>
    <w:rsid w:val="00C37518"/>
    <w:rsid w:val="00C37F00"/>
    <w:rsid w:val="00C421C9"/>
    <w:rsid w:val="00C42A3A"/>
    <w:rsid w:val="00C4517F"/>
    <w:rsid w:val="00C45232"/>
    <w:rsid w:val="00C46E94"/>
    <w:rsid w:val="00C52BA5"/>
    <w:rsid w:val="00C53323"/>
    <w:rsid w:val="00C54D8C"/>
    <w:rsid w:val="00C66CEF"/>
    <w:rsid w:val="00C670FE"/>
    <w:rsid w:val="00C71087"/>
    <w:rsid w:val="00C71E3C"/>
    <w:rsid w:val="00C75492"/>
    <w:rsid w:val="00C77C78"/>
    <w:rsid w:val="00C8146C"/>
    <w:rsid w:val="00C846DD"/>
    <w:rsid w:val="00C85CA6"/>
    <w:rsid w:val="00C9147E"/>
    <w:rsid w:val="00C925ED"/>
    <w:rsid w:val="00C9339F"/>
    <w:rsid w:val="00C96A10"/>
    <w:rsid w:val="00C9753B"/>
    <w:rsid w:val="00CA0C87"/>
    <w:rsid w:val="00CA19CD"/>
    <w:rsid w:val="00CA4A62"/>
    <w:rsid w:val="00CA561E"/>
    <w:rsid w:val="00CA659E"/>
    <w:rsid w:val="00CB23DD"/>
    <w:rsid w:val="00CB2757"/>
    <w:rsid w:val="00CB2FE7"/>
    <w:rsid w:val="00CB3B57"/>
    <w:rsid w:val="00CB42AE"/>
    <w:rsid w:val="00CB6768"/>
    <w:rsid w:val="00CC17DB"/>
    <w:rsid w:val="00CC2F01"/>
    <w:rsid w:val="00CC6453"/>
    <w:rsid w:val="00CD2D8A"/>
    <w:rsid w:val="00CD31EA"/>
    <w:rsid w:val="00CD692F"/>
    <w:rsid w:val="00CE0392"/>
    <w:rsid w:val="00CE5481"/>
    <w:rsid w:val="00CE5866"/>
    <w:rsid w:val="00CF0045"/>
    <w:rsid w:val="00CF7194"/>
    <w:rsid w:val="00CF7C90"/>
    <w:rsid w:val="00CF7EA0"/>
    <w:rsid w:val="00D00600"/>
    <w:rsid w:val="00D0329F"/>
    <w:rsid w:val="00D06299"/>
    <w:rsid w:val="00D06CBA"/>
    <w:rsid w:val="00D1045D"/>
    <w:rsid w:val="00D133AA"/>
    <w:rsid w:val="00D13B0B"/>
    <w:rsid w:val="00D13CCF"/>
    <w:rsid w:val="00D1495A"/>
    <w:rsid w:val="00D14CF7"/>
    <w:rsid w:val="00D15E67"/>
    <w:rsid w:val="00D20ABB"/>
    <w:rsid w:val="00D24AEE"/>
    <w:rsid w:val="00D26A33"/>
    <w:rsid w:val="00D3073E"/>
    <w:rsid w:val="00D31676"/>
    <w:rsid w:val="00D316C8"/>
    <w:rsid w:val="00D337D5"/>
    <w:rsid w:val="00D34817"/>
    <w:rsid w:val="00D365BB"/>
    <w:rsid w:val="00D3795A"/>
    <w:rsid w:val="00D37AB5"/>
    <w:rsid w:val="00D40C74"/>
    <w:rsid w:val="00D43282"/>
    <w:rsid w:val="00D43EA4"/>
    <w:rsid w:val="00D44508"/>
    <w:rsid w:val="00D47810"/>
    <w:rsid w:val="00D5128E"/>
    <w:rsid w:val="00D52FD0"/>
    <w:rsid w:val="00D54385"/>
    <w:rsid w:val="00D6259C"/>
    <w:rsid w:val="00D63B91"/>
    <w:rsid w:val="00D64A4A"/>
    <w:rsid w:val="00D6679C"/>
    <w:rsid w:val="00D73EE6"/>
    <w:rsid w:val="00D742D2"/>
    <w:rsid w:val="00D744DC"/>
    <w:rsid w:val="00D75CF7"/>
    <w:rsid w:val="00D75F59"/>
    <w:rsid w:val="00D776C3"/>
    <w:rsid w:val="00D80153"/>
    <w:rsid w:val="00D81AC7"/>
    <w:rsid w:val="00D8495C"/>
    <w:rsid w:val="00D86737"/>
    <w:rsid w:val="00D8696A"/>
    <w:rsid w:val="00D9153B"/>
    <w:rsid w:val="00D95903"/>
    <w:rsid w:val="00D95D78"/>
    <w:rsid w:val="00DA0810"/>
    <w:rsid w:val="00DA3FCE"/>
    <w:rsid w:val="00DB4203"/>
    <w:rsid w:val="00DB7CA1"/>
    <w:rsid w:val="00DC25DA"/>
    <w:rsid w:val="00DC4C59"/>
    <w:rsid w:val="00DC5149"/>
    <w:rsid w:val="00DD1B88"/>
    <w:rsid w:val="00DD3C08"/>
    <w:rsid w:val="00DE0476"/>
    <w:rsid w:val="00DE2AAC"/>
    <w:rsid w:val="00DF1125"/>
    <w:rsid w:val="00DF27AC"/>
    <w:rsid w:val="00DF28E7"/>
    <w:rsid w:val="00DF399A"/>
    <w:rsid w:val="00DF6280"/>
    <w:rsid w:val="00DF7B14"/>
    <w:rsid w:val="00E00009"/>
    <w:rsid w:val="00E01EF4"/>
    <w:rsid w:val="00E02CF2"/>
    <w:rsid w:val="00E04947"/>
    <w:rsid w:val="00E069F7"/>
    <w:rsid w:val="00E06C35"/>
    <w:rsid w:val="00E0710D"/>
    <w:rsid w:val="00E07F71"/>
    <w:rsid w:val="00E114D8"/>
    <w:rsid w:val="00E1347F"/>
    <w:rsid w:val="00E1621B"/>
    <w:rsid w:val="00E21114"/>
    <w:rsid w:val="00E22B84"/>
    <w:rsid w:val="00E26045"/>
    <w:rsid w:val="00E26BDB"/>
    <w:rsid w:val="00E27304"/>
    <w:rsid w:val="00E337F5"/>
    <w:rsid w:val="00E339E4"/>
    <w:rsid w:val="00E34EBC"/>
    <w:rsid w:val="00E37211"/>
    <w:rsid w:val="00E37848"/>
    <w:rsid w:val="00E4034D"/>
    <w:rsid w:val="00E404B3"/>
    <w:rsid w:val="00E41EE7"/>
    <w:rsid w:val="00E42084"/>
    <w:rsid w:val="00E44854"/>
    <w:rsid w:val="00E55808"/>
    <w:rsid w:val="00E559EA"/>
    <w:rsid w:val="00E5696D"/>
    <w:rsid w:val="00E56E45"/>
    <w:rsid w:val="00E6161C"/>
    <w:rsid w:val="00E62DEC"/>
    <w:rsid w:val="00E63233"/>
    <w:rsid w:val="00E65F8A"/>
    <w:rsid w:val="00E66ECB"/>
    <w:rsid w:val="00E67486"/>
    <w:rsid w:val="00E727CE"/>
    <w:rsid w:val="00E749E1"/>
    <w:rsid w:val="00E8007A"/>
    <w:rsid w:val="00E80578"/>
    <w:rsid w:val="00E80B43"/>
    <w:rsid w:val="00E833CB"/>
    <w:rsid w:val="00E83995"/>
    <w:rsid w:val="00E83CBA"/>
    <w:rsid w:val="00E83D2E"/>
    <w:rsid w:val="00E83FB2"/>
    <w:rsid w:val="00E90615"/>
    <w:rsid w:val="00E91FE0"/>
    <w:rsid w:val="00E95AC2"/>
    <w:rsid w:val="00E97167"/>
    <w:rsid w:val="00E97DBB"/>
    <w:rsid w:val="00EA0169"/>
    <w:rsid w:val="00EA3781"/>
    <w:rsid w:val="00EA5023"/>
    <w:rsid w:val="00EA7061"/>
    <w:rsid w:val="00EB13FE"/>
    <w:rsid w:val="00EB254B"/>
    <w:rsid w:val="00EB39F1"/>
    <w:rsid w:val="00EB472E"/>
    <w:rsid w:val="00EB5434"/>
    <w:rsid w:val="00EB5D6C"/>
    <w:rsid w:val="00EB6A9B"/>
    <w:rsid w:val="00EB76D6"/>
    <w:rsid w:val="00EC0178"/>
    <w:rsid w:val="00EC049F"/>
    <w:rsid w:val="00ED024E"/>
    <w:rsid w:val="00ED11E0"/>
    <w:rsid w:val="00ED194C"/>
    <w:rsid w:val="00ED2C26"/>
    <w:rsid w:val="00ED3898"/>
    <w:rsid w:val="00ED5EC2"/>
    <w:rsid w:val="00EE0DF2"/>
    <w:rsid w:val="00EE21DD"/>
    <w:rsid w:val="00EE40FC"/>
    <w:rsid w:val="00EE56DF"/>
    <w:rsid w:val="00EF1A24"/>
    <w:rsid w:val="00EF1BF1"/>
    <w:rsid w:val="00EF71E1"/>
    <w:rsid w:val="00F01BD5"/>
    <w:rsid w:val="00F0264E"/>
    <w:rsid w:val="00F05EAF"/>
    <w:rsid w:val="00F06D7C"/>
    <w:rsid w:val="00F1049D"/>
    <w:rsid w:val="00F119F0"/>
    <w:rsid w:val="00F147FD"/>
    <w:rsid w:val="00F15FC1"/>
    <w:rsid w:val="00F17762"/>
    <w:rsid w:val="00F23C5A"/>
    <w:rsid w:val="00F23E91"/>
    <w:rsid w:val="00F277D4"/>
    <w:rsid w:val="00F31104"/>
    <w:rsid w:val="00F33E65"/>
    <w:rsid w:val="00F34E93"/>
    <w:rsid w:val="00F4474B"/>
    <w:rsid w:val="00F4585A"/>
    <w:rsid w:val="00F513E5"/>
    <w:rsid w:val="00F5219B"/>
    <w:rsid w:val="00F53138"/>
    <w:rsid w:val="00F534C0"/>
    <w:rsid w:val="00F54930"/>
    <w:rsid w:val="00F5523B"/>
    <w:rsid w:val="00F623B6"/>
    <w:rsid w:val="00F6280F"/>
    <w:rsid w:val="00F62819"/>
    <w:rsid w:val="00F6394B"/>
    <w:rsid w:val="00F6653B"/>
    <w:rsid w:val="00F708D9"/>
    <w:rsid w:val="00F720FB"/>
    <w:rsid w:val="00F721C2"/>
    <w:rsid w:val="00F80602"/>
    <w:rsid w:val="00F81376"/>
    <w:rsid w:val="00F84C20"/>
    <w:rsid w:val="00F92112"/>
    <w:rsid w:val="00F9230A"/>
    <w:rsid w:val="00F92366"/>
    <w:rsid w:val="00F92753"/>
    <w:rsid w:val="00F9598E"/>
    <w:rsid w:val="00F96B32"/>
    <w:rsid w:val="00F9735A"/>
    <w:rsid w:val="00FA42F4"/>
    <w:rsid w:val="00FA6502"/>
    <w:rsid w:val="00FB0730"/>
    <w:rsid w:val="00FB0994"/>
    <w:rsid w:val="00FB0BC1"/>
    <w:rsid w:val="00FB14A0"/>
    <w:rsid w:val="00FB4E4A"/>
    <w:rsid w:val="00FB6D3A"/>
    <w:rsid w:val="00FB7924"/>
    <w:rsid w:val="00FB7F35"/>
    <w:rsid w:val="00FC11D6"/>
    <w:rsid w:val="00FC48DD"/>
    <w:rsid w:val="00FC569E"/>
    <w:rsid w:val="00FC67E5"/>
    <w:rsid w:val="00FC6BFF"/>
    <w:rsid w:val="00FD04EB"/>
    <w:rsid w:val="00FD1036"/>
    <w:rsid w:val="00FD131D"/>
    <w:rsid w:val="00FD5177"/>
    <w:rsid w:val="00FE35E1"/>
    <w:rsid w:val="00FE6D86"/>
    <w:rsid w:val="00FF0DA7"/>
    <w:rsid w:val="00FF3276"/>
    <w:rsid w:val="00FF5B26"/>
    <w:rsid w:val="00FF6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semiHidden/>
    <w:rsid w:val="00D6679C"/>
    <w:rPr>
      <w:rFonts w:ascii="Courier" w:hAnsi="Courier"/>
      <w:lang w:val="en-US" w:eastAsia="en-US"/>
    </w:rPr>
  </w:style>
  <w:style w:type="character" w:customStyle="1" w:styleId="ListParagraphChar">
    <w:name w:val="List Paragraph Char"/>
    <w:aliases w:val="List Paragraph (numbered (a)) Char"/>
    <w:link w:val="ListParagraph"/>
    <w:locked/>
    <w:rsid w:val="009A4543"/>
    <w:rPr>
      <w:lang w:val="en-US" w:eastAsia="en-US"/>
    </w:rPr>
  </w:style>
  <w:style w:type="paragraph" w:styleId="Revision">
    <w:name w:val="Revision"/>
    <w:hidden/>
    <w:uiPriority w:val="99"/>
    <w:semiHidden/>
    <w:rsid w:val="0050228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635339544817937460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635339544817937460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635339544817937460</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2C6960C2B0B3B4392DD30112A048442" ma:contentTypeVersion="4" ma:contentTypeDescription="Create a new document." ma:contentTypeScope="" ma:versionID="f89bcd13d2be42376b8553d453c1c771">
  <xsd:schema xmlns:xsd="http://www.w3.org/2001/XMLSchema" xmlns:xs="http://www.w3.org/2001/XMLSchema" xmlns:p="http://schemas.microsoft.com/office/2006/metadata/properties" xmlns:ns1="http://schemas.microsoft.com/sharepoint/v3" xmlns:ns2="83ed2304-0f0e-45ba-b0cc-7d360cbc1769" targetNamespace="http://schemas.microsoft.com/office/2006/metadata/properties" ma:root="true" ma:fieldsID="7f57ce010183d29ec4c3ac89d598b456" ns1:_="" ns2:_="">
    <xsd:import namespace="http://schemas.microsoft.com/sharepoint/v3"/>
    <xsd:import namespace="83ed2304-0f0e-45ba-b0cc-7d360cbc176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3ed2304-0f0e-45ba-b0cc-7d360cbc1769">UNDPGBL-215-16</_dlc_DocId>
    <_dlc_DocIdUrl xmlns="83ed2304-0f0e-45ba-b0cc-7d360cbc1769">
      <Url>https://intranet.undp.org/global/popp/ppm/_layouts/DocIdRedir.aspx?ID=UNDPGBL-215-16</Url>
      <Description>UNDPGBL-215-16</Description>
    </_dlc_DocIdUrl>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2.xml><?xml version="1.0" encoding="utf-8"?>
<ds:datastoreItem xmlns:ds="http://schemas.openxmlformats.org/officeDocument/2006/customXml" ds:itemID="{CC03198C-404B-4569-8039-53349554159F}">
  <ds:schemaRefs>
    <ds:schemaRef ds:uri="http://schemas.microsoft.com/sharepoint/events"/>
  </ds:schemaRefs>
</ds:datastoreItem>
</file>

<file path=customXml/itemProps3.xml><?xml version="1.0" encoding="utf-8"?>
<ds:datastoreItem xmlns:ds="http://schemas.openxmlformats.org/officeDocument/2006/customXml" ds:itemID="{27AFC791-6A36-432B-A331-D6F4A311A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83ed2304-0f0e-45ba-b0cc-7d360cbc1769"/>
    <ds:schemaRef ds:uri="http://schemas.microsoft.com/sharepoint/v3"/>
  </ds:schemaRefs>
</ds:datastoreItem>
</file>

<file path=customXml/itemProps5.xml><?xml version="1.0" encoding="utf-8"?>
<ds:datastoreItem xmlns:ds="http://schemas.openxmlformats.org/officeDocument/2006/customXml" ds:itemID="{AD7F98A8-93CD-4AB4-AFBF-5D19020B8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5275</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2</cp:revision>
  <cp:lastPrinted>2014-09-16T19:01:00Z</cp:lastPrinted>
  <dcterms:created xsi:type="dcterms:W3CDTF">2016-10-20T20:46:00Z</dcterms:created>
  <dcterms:modified xsi:type="dcterms:W3CDTF">2016-10-20T20:46:00Z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0x01010022C6960C2B0B3B4392DD30112A048442</vt:lpwstr>
  </property>
  <property fmtid="{D5CDD505-2E9C-101B-9397-08002B2CF9AE}" pid="3" name="_dlc_DocIdItemGuid">
    <vt:lpwstr>ec8770f7-d39f-4b82-a4e4-abd52114ba5e</vt:lpwstr>
  </property>
</Properties>
</file>