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A0" w:rsidRPr="000B51A0" w:rsidRDefault="000B51A0" w:rsidP="000B51A0">
      <w:pPr>
        <w:jc w:val="center"/>
        <w:rPr>
          <w:rFonts w:ascii="Calibri" w:hAnsi="Calibri" w:cs="Times New Roman"/>
          <w:color w:val="000000"/>
          <w:sz w:val="22"/>
          <w:szCs w:val="22"/>
          <w:lang w:val="en-US"/>
        </w:rPr>
      </w:pPr>
      <w:r w:rsidRPr="000B51A0">
        <w:rPr>
          <w:rFonts w:ascii="Times New Roman" w:hAnsi="Times New Roman" w:cs="Times New Roman"/>
          <w:b/>
          <w:bCs/>
          <w:color w:val="000000"/>
        </w:rPr>
        <w:t xml:space="preserve">Tabulated Response to </w:t>
      </w:r>
      <w:r w:rsidR="00D412F0">
        <w:rPr>
          <w:rFonts w:ascii="Times New Roman" w:hAnsi="Times New Roman" w:cs="Times New Roman"/>
          <w:b/>
          <w:bCs/>
          <w:color w:val="000000"/>
        </w:rPr>
        <w:t xml:space="preserve">Member State </w:t>
      </w:r>
      <w:r w:rsidRPr="000B51A0">
        <w:rPr>
          <w:rFonts w:ascii="Times New Roman" w:hAnsi="Times New Roman" w:cs="Times New Roman"/>
          <w:b/>
          <w:bCs/>
          <w:color w:val="000000"/>
        </w:rPr>
        <w:t xml:space="preserve">Comments on the Draft CPD </w:t>
      </w:r>
      <w:r>
        <w:rPr>
          <w:rFonts w:ascii="Times New Roman" w:hAnsi="Times New Roman" w:cs="Times New Roman"/>
          <w:b/>
          <w:bCs/>
          <w:color w:val="000000"/>
        </w:rPr>
        <w:t>for Jordan</w:t>
      </w:r>
      <w:r w:rsidRPr="000B51A0">
        <w:rPr>
          <w:rFonts w:ascii="Times New Roman" w:hAnsi="Times New Roman" w:cs="Times New Roman"/>
          <w:b/>
          <w:bCs/>
          <w:color w:val="000000"/>
        </w:rPr>
        <w:t xml:space="preserve"> (</w:t>
      </w:r>
      <w:r>
        <w:rPr>
          <w:rFonts w:ascii="Times New Roman" w:hAnsi="Times New Roman" w:cs="Times New Roman"/>
          <w:b/>
          <w:bCs/>
          <w:color w:val="000000"/>
        </w:rPr>
        <w:t>2018-2022</w:t>
      </w:r>
      <w:r w:rsidRPr="000B51A0">
        <w:rPr>
          <w:rFonts w:ascii="Times New Roman" w:hAnsi="Times New Roman" w:cs="Times New Roman"/>
          <w:b/>
          <w:bCs/>
          <w:color w:val="000000"/>
        </w:rPr>
        <w:t>)</w:t>
      </w:r>
    </w:p>
    <w:p w:rsidR="000B51A0" w:rsidRPr="000B51A0" w:rsidRDefault="00D412F0" w:rsidP="000B51A0">
      <w:pPr>
        <w:jc w:val="center"/>
        <w:rPr>
          <w:rFonts w:ascii="Calibri" w:hAnsi="Calibri" w:cs="Times New Roman"/>
          <w:color w:val="000000"/>
          <w:sz w:val="22"/>
          <w:szCs w:val="22"/>
          <w:lang w:val="en-US"/>
        </w:rPr>
      </w:pPr>
      <w:r>
        <w:rPr>
          <w:rFonts w:ascii="Times New Roman" w:hAnsi="Times New Roman" w:cs="Times New Roman"/>
          <w:b/>
          <w:bCs/>
          <w:color w:val="000000"/>
        </w:rPr>
        <w:t>21</w:t>
      </w:r>
      <w:r w:rsidR="000B51A0">
        <w:rPr>
          <w:rFonts w:ascii="Times New Roman" w:hAnsi="Times New Roman" w:cs="Times New Roman"/>
          <w:b/>
          <w:bCs/>
          <w:color w:val="000000"/>
        </w:rPr>
        <w:t xml:space="preserve"> November 2017</w:t>
      </w:r>
    </w:p>
    <w:p w:rsidR="000B51A0" w:rsidRDefault="000B51A0"/>
    <w:tbl>
      <w:tblPr>
        <w:tblStyle w:val="TableGrid"/>
        <w:tblW w:w="0" w:type="auto"/>
        <w:tblLook w:val="04A0" w:firstRow="1" w:lastRow="0" w:firstColumn="1" w:lastColumn="0" w:noHBand="0" w:noVBand="1"/>
      </w:tblPr>
      <w:tblGrid>
        <w:gridCol w:w="6629"/>
        <w:gridCol w:w="1701"/>
        <w:gridCol w:w="6458"/>
      </w:tblGrid>
      <w:tr w:rsidR="00B42D8C" w:rsidRPr="00AD61EC" w:rsidTr="0094663A">
        <w:tc>
          <w:tcPr>
            <w:tcW w:w="6629" w:type="dxa"/>
          </w:tcPr>
          <w:p w:rsidR="00B42D8C" w:rsidRPr="00AD61EC" w:rsidRDefault="00B42D8C">
            <w:pPr>
              <w:rPr>
                <w:rFonts w:ascii="Times New Roman" w:hAnsi="Times New Roman" w:cs="Times New Roman"/>
                <w:b/>
                <w:sz w:val="22"/>
                <w:szCs w:val="22"/>
              </w:rPr>
            </w:pPr>
            <w:r w:rsidRPr="00AD61EC">
              <w:rPr>
                <w:rFonts w:ascii="Times New Roman" w:hAnsi="Times New Roman" w:cs="Times New Roman"/>
                <w:b/>
                <w:sz w:val="22"/>
                <w:szCs w:val="22"/>
              </w:rPr>
              <w:t>Canadian comments</w:t>
            </w:r>
          </w:p>
        </w:tc>
        <w:tc>
          <w:tcPr>
            <w:tcW w:w="1701" w:type="dxa"/>
          </w:tcPr>
          <w:p w:rsidR="00B42D8C" w:rsidRPr="00AD61EC" w:rsidRDefault="00220B25">
            <w:pPr>
              <w:rPr>
                <w:rFonts w:ascii="Times New Roman" w:hAnsi="Times New Roman" w:cs="Times New Roman"/>
                <w:b/>
                <w:sz w:val="22"/>
                <w:szCs w:val="22"/>
              </w:rPr>
            </w:pPr>
            <w:r w:rsidRPr="00AD61EC">
              <w:rPr>
                <w:rFonts w:ascii="Times New Roman" w:hAnsi="Times New Roman" w:cs="Times New Roman"/>
                <w:b/>
                <w:sz w:val="22"/>
                <w:szCs w:val="22"/>
              </w:rPr>
              <w:t>Status</w:t>
            </w:r>
          </w:p>
        </w:tc>
        <w:tc>
          <w:tcPr>
            <w:tcW w:w="6458" w:type="dxa"/>
          </w:tcPr>
          <w:p w:rsidR="00B42D8C" w:rsidRPr="00AD61EC" w:rsidRDefault="00220B25">
            <w:pPr>
              <w:rPr>
                <w:rFonts w:ascii="Times New Roman" w:hAnsi="Times New Roman" w:cs="Times New Roman"/>
                <w:b/>
                <w:sz w:val="22"/>
                <w:szCs w:val="22"/>
              </w:rPr>
            </w:pPr>
            <w:r w:rsidRPr="00AD61EC">
              <w:rPr>
                <w:rFonts w:ascii="Times New Roman" w:hAnsi="Times New Roman" w:cs="Times New Roman"/>
                <w:b/>
                <w:sz w:val="22"/>
                <w:szCs w:val="22"/>
              </w:rPr>
              <w:t>Country Office remarks</w:t>
            </w:r>
          </w:p>
        </w:tc>
      </w:tr>
      <w:tr w:rsidR="00B42D8C" w:rsidRPr="008739CA" w:rsidTr="0094663A">
        <w:tc>
          <w:tcPr>
            <w:tcW w:w="6629" w:type="dxa"/>
          </w:tcPr>
          <w:p w:rsidR="00B42D8C" w:rsidRPr="0094663A" w:rsidRDefault="00D412F0">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In</w:t>
            </w:r>
            <w:r w:rsidR="0094663A">
              <w:rPr>
                <w:rFonts w:ascii="Times New Roman" w:eastAsia="Times New Roman" w:hAnsi="Times New Roman" w:cs="Times New Roman"/>
                <w:color w:val="000000"/>
                <w:sz w:val="22"/>
                <w:szCs w:val="22"/>
              </w:rPr>
              <w:t xml:space="preserve"> paragraph 26, </w:t>
            </w:r>
            <w:r w:rsidR="00B42D8C" w:rsidRPr="0094663A">
              <w:rPr>
                <w:rFonts w:ascii="Times New Roman" w:eastAsia="Times New Roman" w:hAnsi="Times New Roman" w:cs="Times New Roman"/>
                <w:color w:val="000000"/>
                <w:sz w:val="22"/>
                <w:szCs w:val="22"/>
              </w:rPr>
              <w:t>UNDP has made a commitment to allocate 15% of its programme budget to “gender-responsive programming”.   Gender-responsive refers to an approach to programs, policies, budgets that assess and responds to the different needs and interests of women and men, girls and boys, as well as the differentiated impact of initiatives. Therefore, we would expect the majority of UNDP programming</w:t>
            </w:r>
            <w:r w:rsidR="0094663A">
              <w:rPr>
                <w:rFonts w:ascii="Times New Roman" w:eastAsia="Times New Roman" w:hAnsi="Times New Roman" w:cs="Times New Roman"/>
                <w:color w:val="000000"/>
                <w:sz w:val="22"/>
                <w:szCs w:val="22"/>
              </w:rPr>
              <w:t xml:space="preserve"> to be “gender-responsive”.   </w:t>
            </w:r>
            <w:r w:rsidR="00B42D8C" w:rsidRPr="0094663A">
              <w:rPr>
                <w:rFonts w:ascii="Times New Roman" w:eastAsia="Times New Roman" w:hAnsi="Times New Roman" w:cs="Times New Roman"/>
                <w:color w:val="000000"/>
                <w:sz w:val="22"/>
                <w:szCs w:val="22"/>
              </w:rPr>
              <w:t>Is it gender-specific programming that is intended</w:t>
            </w:r>
            <w:r w:rsidR="00B54623" w:rsidRPr="0094663A">
              <w:rPr>
                <w:rFonts w:ascii="Times New Roman" w:eastAsia="Times New Roman" w:hAnsi="Times New Roman" w:cs="Times New Roman"/>
                <w:color w:val="000000"/>
                <w:sz w:val="22"/>
                <w:szCs w:val="22"/>
              </w:rPr>
              <w:t>?</w:t>
            </w:r>
          </w:p>
        </w:tc>
        <w:tc>
          <w:tcPr>
            <w:tcW w:w="1701" w:type="dxa"/>
          </w:tcPr>
          <w:p w:rsidR="00B42D8C" w:rsidRPr="0094663A" w:rsidRDefault="00D412F0">
            <w:pPr>
              <w:rPr>
                <w:rFonts w:ascii="Times New Roman" w:hAnsi="Times New Roman" w:cs="Times New Roman"/>
                <w:sz w:val="22"/>
                <w:szCs w:val="22"/>
              </w:rPr>
            </w:pPr>
            <w:r>
              <w:rPr>
                <w:rFonts w:ascii="Times New Roman" w:hAnsi="Times New Roman" w:cs="Times New Roman"/>
                <w:sz w:val="22"/>
                <w:szCs w:val="22"/>
              </w:rPr>
              <w:t>Revision</w:t>
            </w:r>
            <w:r w:rsidR="0094663A">
              <w:rPr>
                <w:rFonts w:ascii="Times New Roman" w:hAnsi="Times New Roman" w:cs="Times New Roman"/>
                <w:sz w:val="22"/>
                <w:szCs w:val="22"/>
              </w:rPr>
              <w:t xml:space="preserve"> incorporated into CPD</w:t>
            </w:r>
          </w:p>
        </w:tc>
        <w:tc>
          <w:tcPr>
            <w:tcW w:w="6458" w:type="dxa"/>
          </w:tcPr>
          <w:p w:rsidR="00B42D8C" w:rsidRPr="0094663A" w:rsidRDefault="00167158" w:rsidP="00A4313E">
            <w:pPr>
              <w:rPr>
                <w:rFonts w:ascii="Times New Roman" w:hAnsi="Times New Roman" w:cs="Times New Roman"/>
                <w:sz w:val="22"/>
                <w:szCs w:val="22"/>
              </w:rPr>
            </w:pPr>
            <w:r>
              <w:rPr>
                <w:rFonts w:ascii="Times New Roman" w:hAnsi="Times New Roman" w:cs="Times New Roman"/>
                <w:sz w:val="22"/>
                <w:szCs w:val="22"/>
              </w:rPr>
              <w:t>As</w:t>
            </w:r>
            <w:r w:rsidR="00C07232">
              <w:rPr>
                <w:rFonts w:ascii="Times New Roman" w:hAnsi="Times New Roman" w:cs="Times New Roman"/>
                <w:sz w:val="22"/>
                <w:szCs w:val="22"/>
              </w:rPr>
              <w:t xml:space="preserve"> described </w:t>
            </w:r>
            <w:r w:rsidR="00336F05">
              <w:rPr>
                <w:rFonts w:ascii="Times New Roman" w:hAnsi="Times New Roman" w:cs="Times New Roman"/>
                <w:sz w:val="22"/>
                <w:szCs w:val="22"/>
              </w:rPr>
              <w:t>across</w:t>
            </w:r>
            <w:r w:rsidR="00C07232">
              <w:rPr>
                <w:rFonts w:ascii="Times New Roman" w:hAnsi="Times New Roman" w:cs="Times New Roman"/>
                <w:sz w:val="22"/>
                <w:szCs w:val="22"/>
              </w:rPr>
              <w:t xml:space="preserve"> in the CPD (e.g. </w:t>
            </w:r>
            <w:r w:rsidR="00A4313E">
              <w:rPr>
                <w:rFonts w:ascii="Times New Roman" w:hAnsi="Times New Roman" w:cs="Times New Roman"/>
                <w:sz w:val="22"/>
                <w:szCs w:val="22"/>
              </w:rPr>
              <w:t xml:space="preserve">in </w:t>
            </w:r>
            <w:r w:rsidR="00C07232">
              <w:rPr>
                <w:rFonts w:ascii="Times New Roman" w:hAnsi="Times New Roman" w:cs="Times New Roman"/>
                <w:sz w:val="22"/>
                <w:szCs w:val="22"/>
              </w:rPr>
              <w:t>paragraphs 13, 14, 15</w:t>
            </w:r>
            <w:r w:rsidR="00336F05">
              <w:rPr>
                <w:rFonts w:ascii="Times New Roman" w:hAnsi="Times New Roman" w:cs="Times New Roman"/>
                <w:sz w:val="22"/>
                <w:szCs w:val="22"/>
              </w:rPr>
              <w:t>, 16 and 19)</w:t>
            </w:r>
            <w:r w:rsidR="00A4313E">
              <w:rPr>
                <w:rFonts w:ascii="Times New Roman" w:hAnsi="Times New Roman" w:cs="Times New Roman"/>
                <w:sz w:val="22"/>
                <w:szCs w:val="22"/>
              </w:rPr>
              <w:t>,</w:t>
            </w:r>
            <w:r w:rsidR="00336F05">
              <w:rPr>
                <w:rFonts w:ascii="Times New Roman" w:hAnsi="Times New Roman" w:cs="Times New Roman"/>
                <w:sz w:val="22"/>
                <w:szCs w:val="22"/>
              </w:rPr>
              <w:t xml:space="preserve"> UNDP programming </w:t>
            </w:r>
            <w:r w:rsidR="00A4313E">
              <w:rPr>
                <w:rFonts w:ascii="Times New Roman" w:hAnsi="Times New Roman" w:cs="Times New Roman"/>
                <w:sz w:val="22"/>
                <w:szCs w:val="22"/>
              </w:rPr>
              <w:t>aims to</w:t>
            </w:r>
            <w:r w:rsidR="00336F05">
              <w:rPr>
                <w:rFonts w:ascii="Times New Roman" w:hAnsi="Times New Roman" w:cs="Times New Roman"/>
                <w:sz w:val="22"/>
                <w:szCs w:val="22"/>
              </w:rPr>
              <w:t xml:space="preserve"> be fully </w:t>
            </w:r>
            <w:r>
              <w:rPr>
                <w:rFonts w:ascii="Times New Roman" w:hAnsi="Times New Roman" w:cs="Times New Roman"/>
                <w:sz w:val="22"/>
                <w:szCs w:val="22"/>
              </w:rPr>
              <w:t>gender-responsive</w:t>
            </w:r>
            <w:r w:rsidR="008771A7">
              <w:rPr>
                <w:rFonts w:ascii="Times New Roman" w:hAnsi="Times New Roman" w:cs="Times New Roman"/>
                <w:sz w:val="22"/>
                <w:szCs w:val="22"/>
              </w:rPr>
              <w:t xml:space="preserve"> in its approach</w:t>
            </w:r>
            <w:r>
              <w:rPr>
                <w:rFonts w:ascii="Times New Roman" w:hAnsi="Times New Roman" w:cs="Times New Roman"/>
                <w:sz w:val="22"/>
                <w:szCs w:val="22"/>
              </w:rPr>
              <w:t xml:space="preserve">. </w:t>
            </w:r>
            <w:r w:rsidR="005E53A4">
              <w:rPr>
                <w:rFonts w:ascii="Times New Roman" w:hAnsi="Times New Roman" w:cs="Times New Roman"/>
                <w:sz w:val="22"/>
                <w:szCs w:val="22"/>
              </w:rPr>
              <w:t xml:space="preserve"> However, UNDP also commits to ensuring that at least 15 per cent of its budget wi</w:t>
            </w:r>
            <w:r w:rsidR="00AD61EC">
              <w:rPr>
                <w:rFonts w:ascii="Times New Roman" w:hAnsi="Times New Roman" w:cs="Times New Roman"/>
                <w:sz w:val="22"/>
                <w:szCs w:val="22"/>
              </w:rPr>
              <w:t>l</w:t>
            </w:r>
            <w:r w:rsidR="005E53A4">
              <w:rPr>
                <w:rFonts w:ascii="Times New Roman" w:hAnsi="Times New Roman" w:cs="Times New Roman"/>
                <w:sz w:val="22"/>
                <w:szCs w:val="22"/>
              </w:rPr>
              <w:t>l be allocated</w:t>
            </w:r>
            <w:r w:rsidR="00AD61EC">
              <w:rPr>
                <w:rFonts w:ascii="Times New Roman" w:hAnsi="Times New Roman" w:cs="Times New Roman"/>
                <w:sz w:val="22"/>
                <w:szCs w:val="22"/>
              </w:rPr>
              <w:t xml:space="preserve"> </w:t>
            </w:r>
            <w:r w:rsidR="008D3AFB">
              <w:rPr>
                <w:rFonts w:ascii="Times New Roman" w:hAnsi="Times New Roman" w:cs="Times New Roman"/>
                <w:sz w:val="22"/>
                <w:szCs w:val="22"/>
              </w:rPr>
              <w:t>to gender-specific programming</w:t>
            </w:r>
            <w:r w:rsidR="00AD61EC">
              <w:rPr>
                <w:rFonts w:ascii="Times New Roman" w:hAnsi="Times New Roman" w:cs="Times New Roman"/>
                <w:sz w:val="22"/>
                <w:szCs w:val="22"/>
              </w:rPr>
              <w:t>. The text of paragraph 26 has been revised accordingly.</w:t>
            </w:r>
            <w:r w:rsidR="008D3AFB">
              <w:rPr>
                <w:rFonts w:ascii="Times New Roman" w:hAnsi="Times New Roman" w:cs="Times New Roman"/>
                <w:sz w:val="22"/>
                <w:szCs w:val="22"/>
              </w:rPr>
              <w:t xml:space="preserve"> </w:t>
            </w:r>
          </w:p>
        </w:tc>
      </w:tr>
      <w:tr w:rsidR="00AD61EC" w:rsidRPr="00176A75" w:rsidTr="0094663A">
        <w:tc>
          <w:tcPr>
            <w:tcW w:w="6629" w:type="dxa"/>
          </w:tcPr>
          <w:p w:rsidR="00AD61EC" w:rsidRPr="00176A75" w:rsidRDefault="00AD61EC">
            <w:pPr>
              <w:rPr>
                <w:rFonts w:ascii="Times New Roman" w:hAnsi="Times New Roman" w:cs="Times New Roman"/>
                <w:b/>
                <w:sz w:val="22"/>
                <w:szCs w:val="22"/>
              </w:rPr>
            </w:pPr>
            <w:r w:rsidRPr="00176A75">
              <w:rPr>
                <w:rFonts w:ascii="Times New Roman" w:hAnsi="Times New Roman" w:cs="Times New Roman"/>
                <w:b/>
                <w:sz w:val="22"/>
                <w:szCs w:val="22"/>
              </w:rPr>
              <w:t>Denmark comments</w:t>
            </w:r>
          </w:p>
        </w:tc>
        <w:tc>
          <w:tcPr>
            <w:tcW w:w="1701" w:type="dxa"/>
          </w:tcPr>
          <w:p w:rsidR="00AD61EC" w:rsidRPr="00176A75" w:rsidRDefault="00AD61EC" w:rsidP="00AD61EC">
            <w:pPr>
              <w:rPr>
                <w:rFonts w:ascii="Times New Roman" w:hAnsi="Times New Roman" w:cs="Times New Roman"/>
                <w:b/>
                <w:sz w:val="22"/>
                <w:szCs w:val="22"/>
              </w:rPr>
            </w:pPr>
            <w:r w:rsidRPr="00176A75">
              <w:rPr>
                <w:rFonts w:ascii="Times New Roman" w:hAnsi="Times New Roman" w:cs="Times New Roman"/>
                <w:b/>
                <w:sz w:val="22"/>
                <w:szCs w:val="22"/>
              </w:rPr>
              <w:t>Status</w:t>
            </w:r>
          </w:p>
        </w:tc>
        <w:tc>
          <w:tcPr>
            <w:tcW w:w="6458" w:type="dxa"/>
          </w:tcPr>
          <w:p w:rsidR="00AD61EC" w:rsidRPr="00176A75" w:rsidRDefault="00AD61EC" w:rsidP="00AD61EC">
            <w:pPr>
              <w:rPr>
                <w:rFonts w:ascii="Times New Roman" w:hAnsi="Times New Roman" w:cs="Times New Roman"/>
                <w:b/>
                <w:sz w:val="22"/>
                <w:szCs w:val="22"/>
              </w:rPr>
            </w:pPr>
            <w:r w:rsidRPr="00176A75">
              <w:rPr>
                <w:rFonts w:ascii="Times New Roman" w:hAnsi="Times New Roman" w:cs="Times New Roman"/>
                <w:b/>
                <w:sz w:val="22"/>
                <w:szCs w:val="22"/>
              </w:rPr>
              <w:t>Country Office remarks</w:t>
            </w:r>
          </w:p>
        </w:tc>
      </w:tr>
      <w:tr w:rsidR="00AD61EC" w:rsidRPr="008739CA" w:rsidTr="0094663A">
        <w:tc>
          <w:tcPr>
            <w:tcW w:w="6629" w:type="dxa"/>
          </w:tcPr>
          <w:p w:rsidR="00AD61EC" w:rsidRPr="0094663A" w:rsidRDefault="00AD61EC">
            <w:pPr>
              <w:rPr>
                <w:rFonts w:ascii="Times New Roman" w:eastAsia="Times New Roman" w:hAnsi="Times New Roman" w:cs="Times New Roman"/>
                <w:sz w:val="22"/>
                <w:szCs w:val="22"/>
              </w:rPr>
            </w:pPr>
            <w:r w:rsidRPr="0094663A">
              <w:rPr>
                <w:rFonts w:ascii="Times New Roman" w:eastAsia="Times New Roman" w:hAnsi="Times New Roman" w:cs="Times New Roman"/>
                <w:color w:val="000000"/>
                <w:sz w:val="22"/>
                <w:szCs w:val="22"/>
              </w:rPr>
              <w:t>It could be further exemplified how UNDP plans to reach the marginalized/excluded groups who according to UNDP, are crucial for strengthening social cohesion. The proposed activities will have to involve already established structures such as civil society organizations. Yet, these organisations are now experiencing an increased control, e.g. registration of all new organizations, which generally is very challenging for t</w:t>
            </w:r>
            <w:bookmarkStart w:id="0" w:name="_GoBack"/>
            <w:bookmarkEnd w:id="0"/>
            <w:r w:rsidRPr="0094663A">
              <w:rPr>
                <w:rFonts w:ascii="Times New Roman" w:eastAsia="Times New Roman" w:hAnsi="Times New Roman" w:cs="Times New Roman"/>
                <w:color w:val="000000"/>
                <w:sz w:val="22"/>
                <w:szCs w:val="22"/>
              </w:rPr>
              <w:t>heir work.</w:t>
            </w:r>
          </w:p>
        </w:tc>
        <w:tc>
          <w:tcPr>
            <w:tcW w:w="1701" w:type="dxa"/>
          </w:tcPr>
          <w:p w:rsidR="00AD61EC" w:rsidRPr="0094663A" w:rsidRDefault="003A0EE3">
            <w:pPr>
              <w:rPr>
                <w:rFonts w:ascii="Times New Roman" w:hAnsi="Times New Roman" w:cs="Times New Roman"/>
                <w:sz w:val="22"/>
                <w:szCs w:val="22"/>
              </w:rPr>
            </w:pPr>
            <w:r>
              <w:rPr>
                <w:rFonts w:ascii="Times New Roman" w:hAnsi="Times New Roman" w:cs="Times New Roman"/>
                <w:sz w:val="22"/>
                <w:szCs w:val="22"/>
              </w:rPr>
              <w:t>No need for further reference in CPD.</w:t>
            </w:r>
          </w:p>
        </w:tc>
        <w:tc>
          <w:tcPr>
            <w:tcW w:w="6458" w:type="dxa"/>
          </w:tcPr>
          <w:p w:rsidR="00AD61EC" w:rsidRPr="0094663A" w:rsidRDefault="00D90F0B" w:rsidP="003A0EE3">
            <w:pPr>
              <w:rPr>
                <w:rFonts w:ascii="Times New Roman" w:hAnsi="Times New Roman" w:cs="Times New Roman"/>
                <w:sz w:val="22"/>
                <w:szCs w:val="22"/>
              </w:rPr>
            </w:pPr>
            <w:r>
              <w:rPr>
                <w:rFonts w:ascii="Times New Roman" w:hAnsi="Times New Roman" w:cs="Times New Roman"/>
                <w:sz w:val="22"/>
                <w:szCs w:val="22"/>
              </w:rPr>
              <w:t>As out</w:t>
            </w:r>
            <w:r w:rsidR="003A0EE3">
              <w:rPr>
                <w:rFonts w:ascii="Times New Roman" w:hAnsi="Times New Roman" w:cs="Times New Roman"/>
                <w:sz w:val="22"/>
                <w:szCs w:val="22"/>
              </w:rPr>
              <w:t>lined in the CPD paragraph 12, UNDP</w:t>
            </w:r>
            <w:r w:rsidR="004E3FE6">
              <w:rPr>
                <w:rFonts w:ascii="Times New Roman" w:hAnsi="Times New Roman" w:cs="Times New Roman"/>
                <w:sz w:val="22"/>
                <w:szCs w:val="22"/>
              </w:rPr>
              <w:t xml:space="preserve"> programming on social cohesion envisages </w:t>
            </w:r>
            <w:r w:rsidR="004E64CA">
              <w:rPr>
                <w:rFonts w:ascii="Times New Roman" w:hAnsi="Times New Roman" w:cs="Times New Roman"/>
                <w:sz w:val="22"/>
                <w:szCs w:val="22"/>
              </w:rPr>
              <w:t xml:space="preserve">will continue its </w:t>
            </w:r>
            <w:r w:rsidR="008771A7">
              <w:rPr>
                <w:rFonts w:ascii="Times New Roman" w:hAnsi="Times New Roman" w:cs="Times New Roman"/>
                <w:sz w:val="22"/>
                <w:szCs w:val="22"/>
              </w:rPr>
              <w:t>close</w:t>
            </w:r>
            <w:r w:rsidR="004E64CA">
              <w:rPr>
                <w:rFonts w:ascii="Times New Roman" w:hAnsi="Times New Roman" w:cs="Times New Roman"/>
                <w:sz w:val="22"/>
                <w:szCs w:val="22"/>
              </w:rPr>
              <w:t xml:space="preserve"> collaboration</w:t>
            </w:r>
            <w:r w:rsidR="008771A7">
              <w:rPr>
                <w:rFonts w:ascii="Times New Roman" w:hAnsi="Times New Roman" w:cs="Times New Roman"/>
                <w:sz w:val="22"/>
                <w:szCs w:val="22"/>
              </w:rPr>
              <w:t xml:space="preserve"> with civil society</w:t>
            </w:r>
            <w:r>
              <w:rPr>
                <w:rFonts w:ascii="Times New Roman" w:hAnsi="Times New Roman" w:cs="Times New Roman"/>
                <w:sz w:val="22"/>
                <w:szCs w:val="22"/>
              </w:rPr>
              <w:t xml:space="preserve"> (including </w:t>
            </w:r>
            <w:r w:rsidR="001C481B">
              <w:rPr>
                <w:rFonts w:ascii="Times New Roman" w:hAnsi="Times New Roman" w:cs="Times New Roman"/>
                <w:sz w:val="22"/>
                <w:szCs w:val="22"/>
              </w:rPr>
              <w:t xml:space="preserve">community based organisation </w:t>
            </w:r>
            <w:r w:rsidR="004E3FE6">
              <w:rPr>
                <w:rFonts w:ascii="Times New Roman" w:hAnsi="Times New Roman" w:cs="Times New Roman"/>
                <w:sz w:val="22"/>
                <w:szCs w:val="22"/>
              </w:rPr>
              <w:t xml:space="preserve">and other </w:t>
            </w:r>
            <w:r>
              <w:rPr>
                <w:rFonts w:ascii="Times New Roman" w:hAnsi="Times New Roman" w:cs="Times New Roman"/>
                <w:sz w:val="22"/>
                <w:szCs w:val="22"/>
              </w:rPr>
              <w:t>groups</w:t>
            </w:r>
            <w:r w:rsidR="004E3FE6">
              <w:rPr>
                <w:rFonts w:ascii="Times New Roman" w:hAnsi="Times New Roman" w:cs="Times New Roman"/>
                <w:sz w:val="22"/>
                <w:szCs w:val="22"/>
              </w:rPr>
              <w:t xml:space="preserve"> representing vulnerable communities </w:t>
            </w:r>
            <w:r w:rsidR="006865A7">
              <w:rPr>
                <w:rFonts w:ascii="Times New Roman" w:hAnsi="Times New Roman" w:cs="Times New Roman"/>
                <w:sz w:val="22"/>
                <w:szCs w:val="22"/>
              </w:rPr>
              <w:t xml:space="preserve">and marginalised or </w:t>
            </w:r>
            <w:r w:rsidR="001C481B">
              <w:rPr>
                <w:rFonts w:ascii="Times New Roman" w:hAnsi="Times New Roman" w:cs="Times New Roman"/>
                <w:sz w:val="22"/>
                <w:szCs w:val="22"/>
              </w:rPr>
              <w:t>excluded groups</w:t>
            </w:r>
            <w:r>
              <w:rPr>
                <w:rFonts w:ascii="Times New Roman" w:hAnsi="Times New Roman" w:cs="Times New Roman"/>
                <w:sz w:val="22"/>
                <w:szCs w:val="22"/>
              </w:rPr>
              <w:t>) as well as other formal and informal actors</w:t>
            </w:r>
            <w:r w:rsidR="001C481B">
              <w:rPr>
                <w:rFonts w:ascii="Times New Roman" w:hAnsi="Times New Roman" w:cs="Times New Roman"/>
                <w:sz w:val="22"/>
                <w:szCs w:val="22"/>
              </w:rPr>
              <w:t xml:space="preserve">. </w:t>
            </w:r>
            <w:r w:rsidR="00D366E5">
              <w:rPr>
                <w:rFonts w:ascii="Times New Roman" w:hAnsi="Times New Roman" w:cs="Times New Roman"/>
                <w:sz w:val="22"/>
                <w:szCs w:val="22"/>
              </w:rPr>
              <w:t>In</w:t>
            </w:r>
            <w:r w:rsidR="006F6B2D">
              <w:rPr>
                <w:rFonts w:ascii="Times New Roman" w:hAnsi="Times New Roman" w:cs="Times New Roman"/>
                <w:sz w:val="22"/>
                <w:szCs w:val="22"/>
              </w:rPr>
              <w:t xml:space="preserve"> particular</w:t>
            </w:r>
            <w:r w:rsidR="000C3D79">
              <w:rPr>
                <w:rFonts w:ascii="Times New Roman" w:hAnsi="Times New Roman" w:cs="Times New Roman"/>
                <w:sz w:val="22"/>
                <w:szCs w:val="22"/>
              </w:rPr>
              <w:t xml:space="preserve">, </w:t>
            </w:r>
            <w:r w:rsidR="006F6B2D">
              <w:rPr>
                <w:rFonts w:ascii="Times New Roman" w:hAnsi="Times New Roman" w:cs="Times New Roman"/>
                <w:sz w:val="22"/>
                <w:szCs w:val="22"/>
              </w:rPr>
              <w:t>UNDP will seek to build capacities of critical partners</w:t>
            </w:r>
            <w:r w:rsidR="00D366E5">
              <w:rPr>
                <w:rFonts w:ascii="Times New Roman" w:hAnsi="Times New Roman" w:cs="Times New Roman"/>
                <w:sz w:val="22"/>
                <w:szCs w:val="22"/>
              </w:rPr>
              <w:t xml:space="preserve"> and to create</w:t>
            </w:r>
            <w:r w:rsidR="006F6B2D">
              <w:rPr>
                <w:rFonts w:ascii="Times New Roman" w:hAnsi="Times New Roman" w:cs="Times New Roman"/>
                <w:sz w:val="22"/>
                <w:szCs w:val="22"/>
              </w:rPr>
              <w:t xml:space="preserve"> an enabling space</w:t>
            </w:r>
            <w:r w:rsidR="00D366E5">
              <w:rPr>
                <w:rFonts w:ascii="Times New Roman" w:hAnsi="Times New Roman" w:cs="Times New Roman"/>
                <w:sz w:val="22"/>
                <w:szCs w:val="22"/>
              </w:rPr>
              <w:t xml:space="preserve"> for their inclusion </w:t>
            </w:r>
            <w:r w:rsidR="000C3D79">
              <w:rPr>
                <w:rFonts w:ascii="Times New Roman" w:hAnsi="Times New Roman" w:cs="Times New Roman"/>
                <w:sz w:val="22"/>
                <w:szCs w:val="22"/>
              </w:rPr>
              <w:t xml:space="preserve">so as to provide a voice for marginalised groups. </w:t>
            </w:r>
            <w:r w:rsidR="005E1426">
              <w:rPr>
                <w:rFonts w:ascii="Times New Roman" w:hAnsi="Times New Roman" w:cs="Times New Roman"/>
                <w:sz w:val="22"/>
                <w:szCs w:val="22"/>
              </w:rPr>
              <w:t>This work</w:t>
            </w:r>
            <w:r w:rsidR="005F1773">
              <w:rPr>
                <w:rFonts w:ascii="Times New Roman" w:hAnsi="Times New Roman" w:cs="Times New Roman"/>
                <w:sz w:val="22"/>
                <w:szCs w:val="22"/>
              </w:rPr>
              <w:t xml:space="preserve"> </w:t>
            </w:r>
            <w:r w:rsidR="000C3D79">
              <w:rPr>
                <w:rFonts w:ascii="Times New Roman" w:hAnsi="Times New Roman" w:cs="Times New Roman"/>
                <w:sz w:val="22"/>
                <w:szCs w:val="22"/>
              </w:rPr>
              <w:t>include</w:t>
            </w:r>
            <w:r w:rsidR="005E1426">
              <w:rPr>
                <w:rFonts w:ascii="Times New Roman" w:hAnsi="Times New Roman" w:cs="Times New Roman"/>
                <w:sz w:val="22"/>
                <w:szCs w:val="22"/>
              </w:rPr>
              <w:t>s</w:t>
            </w:r>
            <w:r w:rsidR="000C3D79">
              <w:rPr>
                <w:rFonts w:ascii="Times New Roman" w:hAnsi="Times New Roman" w:cs="Times New Roman"/>
                <w:sz w:val="22"/>
                <w:szCs w:val="22"/>
              </w:rPr>
              <w:t xml:space="preserve"> advocacy </w:t>
            </w:r>
            <w:r w:rsidR="005F1773">
              <w:rPr>
                <w:rFonts w:ascii="Times New Roman" w:hAnsi="Times New Roman" w:cs="Times New Roman"/>
                <w:sz w:val="22"/>
                <w:szCs w:val="22"/>
              </w:rPr>
              <w:t>and interventions to address legal</w:t>
            </w:r>
            <w:r w:rsidR="00576D98">
              <w:rPr>
                <w:rFonts w:ascii="Times New Roman" w:hAnsi="Times New Roman" w:cs="Times New Roman"/>
                <w:sz w:val="22"/>
                <w:szCs w:val="22"/>
              </w:rPr>
              <w:t xml:space="preserve">/procedural frameworks that arbitrarily or </w:t>
            </w:r>
            <w:r w:rsidR="00576D98" w:rsidRPr="003A0EE3">
              <w:rPr>
                <w:rFonts w:ascii="Times New Roman" w:hAnsi="Times New Roman" w:cs="Times New Roman"/>
                <w:sz w:val="22"/>
                <w:szCs w:val="22"/>
              </w:rPr>
              <w:t>inappropriately restrict the scope of critical partners. UNDP has accepted a recommendation from the 2016 Assessment of Development Results (ADR)</w:t>
            </w:r>
            <w:r w:rsidR="005E1426" w:rsidRPr="003A0EE3">
              <w:rPr>
                <w:rFonts w:ascii="Times New Roman" w:hAnsi="Times New Roman" w:cs="Times New Roman"/>
                <w:sz w:val="22"/>
                <w:szCs w:val="22"/>
              </w:rPr>
              <w:t xml:space="preserve"> to supporting advocacy on sensitive issues, such as the wider engagement of civil society (see paragraph 7).</w:t>
            </w:r>
          </w:p>
        </w:tc>
      </w:tr>
      <w:tr w:rsidR="00AD61EC" w:rsidRPr="008739CA" w:rsidTr="0094663A">
        <w:tc>
          <w:tcPr>
            <w:tcW w:w="6629" w:type="dxa"/>
          </w:tcPr>
          <w:p w:rsidR="00AD61EC" w:rsidRPr="0094663A" w:rsidRDefault="00AD61EC">
            <w:pPr>
              <w:rPr>
                <w:rFonts w:ascii="Times New Roman" w:eastAsia="Times New Roman" w:hAnsi="Times New Roman" w:cs="Times New Roman"/>
                <w:sz w:val="22"/>
                <w:szCs w:val="22"/>
              </w:rPr>
            </w:pPr>
            <w:r w:rsidRPr="0094663A">
              <w:rPr>
                <w:rFonts w:ascii="Times New Roman" w:eastAsia="Times New Roman" w:hAnsi="Times New Roman" w:cs="Times New Roman"/>
                <w:color w:val="000000"/>
                <w:sz w:val="22"/>
                <w:szCs w:val="22"/>
              </w:rPr>
              <w:t>Youth are identified as a main target group in the CPD. The Ministry of Youth in Jordan is currently developing a new youth strategy (seemingly with support from the royal family, in light of the Crown Prince's involvement with UN SCR 2250). It would be relevant for UNDP to cooperate with the Ministry of Youth and to refer to the youth strategy in the CPD.</w:t>
            </w:r>
          </w:p>
        </w:tc>
        <w:tc>
          <w:tcPr>
            <w:tcW w:w="1701" w:type="dxa"/>
          </w:tcPr>
          <w:p w:rsidR="00AD61EC" w:rsidRPr="0094663A" w:rsidRDefault="005B302C">
            <w:pPr>
              <w:rPr>
                <w:rFonts w:ascii="Times New Roman" w:hAnsi="Times New Roman" w:cs="Times New Roman"/>
                <w:sz w:val="22"/>
                <w:szCs w:val="22"/>
              </w:rPr>
            </w:pPr>
            <w:r>
              <w:rPr>
                <w:rFonts w:ascii="Times New Roman" w:hAnsi="Times New Roman" w:cs="Times New Roman"/>
                <w:sz w:val="22"/>
                <w:szCs w:val="22"/>
              </w:rPr>
              <w:t>Revision incorporated into CPD</w:t>
            </w:r>
          </w:p>
        </w:tc>
        <w:tc>
          <w:tcPr>
            <w:tcW w:w="6458" w:type="dxa"/>
          </w:tcPr>
          <w:p w:rsidR="005B302C" w:rsidRDefault="000E5516" w:rsidP="005B302C">
            <w:pPr>
              <w:rPr>
                <w:rFonts w:ascii="Times New Roman" w:hAnsi="Times New Roman" w:cs="Times New Roman"/>
                <w:sz w:val="22"/>
                <w:szCs w:val="22"/>
              </w:rPr>
            </w:pPr>
            <w:r>
              <w:rPr>
                <w:rFonts w:ascii="Times New Roman" w:hAnsi="Times New Roman" w:cs="Times New Roman"/>
                <w:sz w:val="22"/>
                <w:szCs w:val="22"/>
              </w:rPr>
              <w:t xml:space="preserve">The CO appreciates comment. </w:t>
            </w:r>
            <w:r w:rsidR="007F0724">
              <w:rPr>
                <w:rFonts w:ascii="Times New Roman" w:hAnsi="Times New Roman" w:cs="Times New Roman"/>
                <w:sz w:val="22"/>
                <w:szCs w:val="22"/>
              </w:rPr>
              <w:t xml:space="preserve">UNDP has played a role in the development of a youth strategy and envisages continued close cooperation with the Ministry of Youth, as well as other relevant actors (including the Crown Prince Foundation) in the implementation of the youth strategy. </w:t>
            </w:r>
          </w:p>
          <w:p w:rsidR="005B302C" w:rsidRDefault="00B8667A" w:rsidP="005B302C">
            <w:pPr>
              <w:rPr>
                <w:rFonts w:ascii="Times New Roman" w:hAnsi="Times New Roman" w:cs="Times New Roman"/>
                <w:sz w:val="22"/>
                <w:szCs w:val="22"/>
              </w:rPr>
            </w:pPr>
            <w:r>
              <w:rPr>
                <w:rFonts w:ascii="Times New Roman" w:hAnsi="Times New Roman" w:cs="Times New Roman"/>
                <w:sz w:val="22"/>
                <w:szCs w:val="22"/>
              </w:rPr>
              <w:t>T</w:t>
            </w:r>
            <w:r w:rsidR="00BE243D">
              <w:rPr>
                <w:rFonts w:ascii="Times New Roman" w:hAnsi="Times New Roman" w:cs="Times New Roman"/>
                <w:sz w:val="22"/>
                <w:szCs w:val="22"/>
              </w:rPr>
              <w:t xml:space="preserve">he CPD </w:t>
            </w:r>
            <w:r w:rsidR="00712FF2">
              <w:rPr>
                <w:rFonts w:ascii="Times New Roman" w:hAnsi="Times New Roman" w:cs="Times New Roman"/>
                <w:sz w:val="22"/>
                <w:szCs w:val="22"/>
              </w:rPr>
              <w:t>RRF (</w:t>
            </w:r>
            <w:r w:rsidR="00BE243D">
              <w:rPr>
                <w:rFonts w:ascii="Times New Roman" w:hAnsi="Times New Roman" w:cs="Times New Roman"/>
                <w:sz w:val="22"/>
                <w:szCs w:val="22"/>
              </w:rPr>
              <w:t xml:space="preserve">at page 9) </w:t>
            </w:r>
            <w:r w:rsidR="007F0724">
              <w:rPr>
                <w:rFonts w:ascii="Times New Roman" w:hAnsi="Times New Roman" w:cs="Times New Roman"/>
                <w:sz w:val="22"/>
                <w:szCs w:val="22"/>
              </w:rPr>
              <w:t xml:space="preserve">does </w:t>
            </w:r>
            <w:r w:rsidR="00BE243D">
              <w:rPr>
                <w:rFonts w:ascii="Times New Roman" w:hAnsi="Times New Roman" w:cs="Times New Roman"/>
                <w:sz w:val="22"/>
                <w:szCs w:val="22"/>
              </w:rPr>
              <w:t>identif</w:t>
            </w:r>
            <w:r w:rsidR="007F0724">
              <w:rPr>
                <w:rFonts w:ascii="Times New Roman" w:hAnsi="Times New Roman" w:cs="Times New Roman"/>
                <w:sz w:val="22"/>
                <w:szCs w:val="22"/>
              </w:rPr>
              <w:t xml:space="preserve">y </w:t>
            </w:r>
            <w:r w:rsidR="00BE243D">
              <w:rPr>
                <w:rFonts w:ascii="Times New Roman" w:hAnsi="Times New Roman" w:cs="Times New Roman"/>
                <w:sz w:val="22"/>
                <w:szCs w:val="22"/>
              </w:rPr>
              <w:t xml:space="preserve">the Ministry of Youth as a major partner for UNDP, especially in relation to its work on inclusive participation and social cohesion. </w:t>
            </w:r>
            <w:r w:rsidR="00BA00E9">
              <w:rPr>
                <w:rFonts w:ascii="Times New Roman" w:hAnsi="Times New Roman" w:cs="Times New Roman"/>
                <w:sz w:val="22"/>
                <w:szCs w:val="22"/>
              </w:rPr>
              <w:t xml:space="preserve">The </w:t>
            </w:r>
            <w:r w:rsidR="004A5790">
              <w:rPr>
                <w:rFonts w:ascii="Times New Roman" w:hAnsi="Times New Roman" w:cs="Times New Roman"/>
                <w:sz w:val="22"/>
                <w:szCs w:val="22"/>
              </w:rPr>
              <w:t xml:space="preserve">RRF has been </w:t>
            </w:r>
            <w:r w:rsidR="005B302C">
              <w:rPr>
                <w:rFonts w:ascii="Times New Roman" w:hAnsi="Times New Roman" w:cs="Times New Roman"/>
                <w:sz w:val="22"/>
                <w:szCs w:val="22"/>
              </w:rPr>
              <w:t>revised</w:t>
            </w:r>
            <w:r w:rsidR="004A5790">
              <w:rPr>
                <w:rFonts w:ascii="Times New Roman" w:hAnsi="Times New Roman" w:cs="Times New Roman"/>
                <w:sz w:val="22"/>
                <w:szCs w:val="22"/>
              </w:rPr>
              <w:t xml:space="preserve"> to add the </w:t>
            </w:r>
            <w:r w:rsidR="00BA00E9">
              <w:rPr>
                <w:rFonts w:ascii="Times New Roman" w:hAnsi="Times New Roman" w:cs="Times New Roman"/>
                <w:sz w:val="22"/>
                <w:szCs w:val="22"/>
              </w:rPr>
              <w:t xml:space="preserve">Crown Prince Foundation </w:t>
            </w:r>
            <w:r w:rsidR="004A5790">
              <w:rPr>
                <w:rFonts w:ascii="Times New Roman" w:hAnsi="Times New Roman" w:cs="Times New Roman"/>
                <w:sz w:val="22"/>
                <w:szCs w:val="22"/>
              </w:rPr>
              <w:t>as a major partner.</w:t>
            </w:r>
            <w:r w:rsidR="00273770">
              <w:rPr>
                <w:rFonts w:ascii="Times New Roman" w:hAnsi="Times New Roman" w:cs="Times New Roman"/>
                <w:sz w:val="22"/>
                <w:szCs w:val="22"/>
              </w:rPr>
              <w:t xml:space="preserve"> </w:t>
            </w:r>
          </w:p>
          <w:p w:rsidR="00AD61EC" w:rsidRPr="0094663A" w:rsidRDefault="00273770" w:rsidP="00A55810">
            <w:pPr>
              <w:rPr>
                <w:rFonts w:ascii="Times New Roman" w:hAnsi="Times New Roman" w:cs="Times New Roman"/>
                <w:sz w:val="22"/>
                <w:szCs w:val="22"/>
              </w:rPr>
            </w:pPr>
            <w:r>
              <w:rPr>
                <w:rFonts w:ascii="Times New Roman" w:hAnsi="Times New Roman" w:cs="Times New Roman"/>
                <w:sz w:val="22"/>
                <w:szCs w:val="22"/>
              </w:rPr>
              <w:t xml:space="preserve">The CPD has also been </w:t>
            </w:r>
            <w:r w:rsidR="005B302C">
              <w:rPr>
                <w:rFonts w:ascii="Times New Roman" w:hAnsi="Times New Roman" w:cs="Times New Roman"/>
                <w:sz w:val="22"/>
                <w:szCs w:val="22"/>
              </w:rPr>
              <w:t xml:space="preserve">revised to </w:t>
            </w:r>
            <w:r w:rsidR="00A55810">
              <w:rPr>
                <w:rFonts w:ascii="Times New Roman" w:hAnsi="Times New Roman" w:cs="Times New Roman"/>
                <w:sz w:val="22"/>
                <w:szCs w:val="22"/>
              </w:rPr>
              <w:t xml:space="preserve">specify </w:t>
            </w:r>
            <w:r w:rsidR="005B302C">
              <w:rPr>
                <w:rFonts w:ascii="Times New Roman" w:hAnsi="Times New Roman" w:cs="Times New Roman"/>
                <w:sz w:val="22"/>
                <w:szCs w:val="22"/>
              </w:rPr>
              <w:t xml:space="preserve">UNDP’s support to </w:t>
            </w:r>
            <w:r w:rsidR="005B302C">
              <w:rPr>
                <w:rFonts w:ascii="Times New Roman" w:hAnsi="Times New Roman" w:cs="Times New Roman"/>
                <w:sz w:val="22"/>
                <w:szCs w:val="22"/>
              </w:rPr>
              <w:lastRenderedPageBreak/>
              <w:t>implementation of the youth strategy</w:t>
            </w:r>
            <w:r w:rsidR="00A55810">
              <w:rPr>
                <w:rFonts w:ascii="Times New Roman" w:hAnsi="Times New Roman" w:cs="Times New Roman"/>
                <w:sz w:val="22"/>
                <w:szCs w:val="22"/>
              </w:rPr>
              <w:t xml:space="preserve"> (paragraph 19)</w:t>
            </w:r>
            <w:r w:rsidR="005B302C">
              <w:rPr>
                <w:rFonts w:ascii="Times New Roman" w:hAnsi="Times New Roman" w:cs="Times New Roman"/>
                <w:sz w:val="22"/>
                <w:szCs w:val="22"/>
              </w:rPr>
              <w:t>.</w:t>
            </w:r>
          </w:p>
        </w:tc>
      </w:tr>
      <w:tr w:rsidR="00895401" w:rsidRPr="008739CA" w:rsidTr="0094663A">
        <w:tc>
          <w:tcPr>
            <w:tcW w:w="6629" w:type="dxa"/>
          </w:tcPr>
          <w:p w:rsidR="00895401" w:rsidRPr="00AD61EC" w:rsidRDefault="00895401">
            <w:pPr>
              <w:rPr>
                <w:rFonts w:ascii="Times New Roman" w:eastAsia="Times New Roman" w:hAnsi="Times New Roman" w:cs="Times New Roman"/>
                <w:sz w:val="22"/>
                <w:szCs w:val="22"/>
              </w:rPr>
            </w:pPr>
            <w:r w:rsidRPr="0094663A">
              <w:rPr>
                <w:rFonts w:ascii="Times New Roman" w:eastAsia="Times New Roman" w:hAnsi="Times New Roman" w:cs="Times New Roman"/>
                <w:color w:val="000000"/>
                <w:sz w:val="22"/>
                <w:szCs w:val="22"/>
              </w:rPr>
              <w:lastRenderedPageBreak/>
              <w:t>Important for the analysis informing the CPD to recognize the challenges underpinning the development of a democratic and inclusive political system in Jordan that are based on political parties with e.g. constituencies, relevant by-laws, political programmes etc. The current systems in place where tribal relations hinder the further development of such a political system is the most critical aspect in this regard.</w:t>
            </w:r>
          </w:p>
        </w:tc>
        <w:tc>
          <w:tcPr>
            <w:tcW w:w="1701" w:type="dxa"/>
          </w:tcPr>
          <w:p w:rsidR="00895401" w:rsidRPr="0094663A" w:rsidRDefault="00895401" w:rsidP="00895401">
            <w:pPr>
              <w:rPr>
                <w:rFonts w:ascii="Times New Roman" w:hAnsi="Times New Roman" w:cs="Times New Roman"/>
                <w:sz w:val="22"/>
                <w:szCs w:val="22"/>
              </w:rPr>
            </w:pPr>
            <w:r>
              <w:rPr>
                <w:rFonts w:ascii="Times New Roman" w:hAnsi="Times New Roman" w:cs="Times New Roman"/>
                <w:sz w:val="22"/>
                <w:szCs w:val="22"/>
              </w:rPr>
              <w:t>No need for further reference in CPD.</w:t>
            </w:r>
          </w:p>
        </w:tc>
        <w:tc>
          <w:tcPr>
            <w:tcW w:w="6458" w:type="dxa"/>
          </w:tcPr>
          <w:p w:rsidR="00F57B96" w:rsidRPr="0094663A" w:rsidRDefault="00895401" w:rsidP="00F57B96">
            <w:pPr>
              <w:rPr>
                <w:rFonts w:ascii="Times New Roman" w:hAnsi="Times New Roman" w:cs="Times New Roman"/>
                <w:sz w:val="22"/>
                <w:szCs w:val="22"/>
              </w:rPr>
            </w:pPr>
            <w:r>
              <w:rPr>
                <w:rFonts w:ascii="Times New Roman" w:hAnsi="Times New Roman" w:cs="Times New Roman"/>
                <w:sz w:val="22"/>
                <w:szCs w:val="22"/>
              </w:rPr>
              <w:t xml:space="preserve">The CO appreciates this comment. Space limitations </w:t>
            </w:r>
            <w:r w:rsidR="00650A31">
              <w:rPr>
                <w:rFonts w:ascii="Times New Roman" w:hAnsi="Times New Roman" w:cs="Times New Roman"/>
                <w:sz w:val="22"/>
                <w:szCs w:val="22"/>
              </w:rPr>
              <w:t xml:space="preserve">with the CPD </w:t>
            </w:r>
            <w:r>
              <w:rPr>
                <w:rFonts w:ascii="Times New Roman" w:hAnsi="Times New Roman" w:cs="Times New Roman"/>
                <w:sz w:val="22"/>
                <w:szCs w:val="22"/>
              </w:rPr>
              <w:t xml:space="preserve">do not enable a more </w:t>
            </w:r>
            <w:r w:rsidR="00650A31">
              <w:rPr>
                <w:rFonts w:ascii="Times New Roman" w:hAnsi="Times New Roman" w:cs="Times New Roman"/>
                <w:sz w:val="22"/>
                <w:szCs w:val="22"/>
              </w:rPr>
              <w:t xml:space="preserve">comprehensive analysis of the </w:t>
            </w:r>
            <w:r w:rsidR="005247A8">
              <w:rPr>
                <w:rFonts w:ascii="Times New Roman" w:hAnsi="Times New Roman" w:cs="Times New Roman"/>
                <w:sz w:val="22"/>
                <w:szCs w:val="22"/>
              </w:rPr>
              <w:t>political system in Jordan</w:t>
            </w:r>
            <w:r w:rsidR="00E85218">
              <w:rPr>
                <w:rFonts w:ascii="Times New Roman" w:hAnsi="Times New Roman" w:cs="Times New Roman"/>
                <w:sz w:val="22"/>
                <w:szCs w:val="22"/>
              </w:rPr>
              <w:t xml:space="preserve">. </w:t>
            </w:r>
            <w:r w:rsidR="00AA399A">
              <w:rPr>
                <w:rFonts w:ascii="Times New Roman" w:hAnsi="Times New Roman" w:cs="Times New Roman"/>
                <w:sz w:val="22"/>
                <w:szCs w:val="22"/>
              </w:rPr>
              <w:t>While a</w:t>
            </w:r>
            <w:r w:rsidR="00475E40">
              <w:rPr>
                <w:rFonts w:ascii="Times New Roman" w:hAnsi="Times New Roman" w:cs="Times New Roman"/>
                <w:sz w:val="22"/>
                <w:szCs w:val="22"/>
              </w:rPr>
              <w:t xml:space="preserve"> strengthened role </w:t>
            </w:r>
            <w:r w:rsidR="00FD16BF">
              <w:rPr>
                <w:rFonts w:ascii="Times New Roman" w:hAnsi="Times New Roman" w:cs="Times New Roman"/>
                <w:sz w:val="22"/>
                <w:szCs w:val="22"/>
              </w:rPr>
              <w:t>f</w:t>
            </w:r>
            <w:r w:rsidR="00475E40">
              <w:rPr>
                <w:rFonts w:ascii="Times New Roman" w:hAnsi="Times New Roman" w:cs="Times New Roman"/>
                <w:sz w:val="22"/>
                <w:szCs w:val="22"/>
              </w:rPr>
              <w:t>or</w:t>
            </w:r>
            <w:r w:rsidR="00FD16BF">
              <w:rPr>
                <w:rFonts w:ascii="Times New Roman" w:hAnsi="Times New Roman" w:cs="Times New Roman"/>
                <w:sz w:val="22"/>
                <w:szCs w:val="22"/>
              </w:rPr>
              <w:t xml:space="preserve"> political parties</w:t>
            </w:r>
            <w:r w:rsidR="003C7E81">
              <w:rPr>
                <w:rFonts w:ascii="Times New Roman" w:hAnsi="Times New Roman" w:cs="Times New Roman"/>
                <w:sz w:val="22"/>
                <w:szCs w:val="22"/>
              </w:rPr>
              <w:t>, and the</w:t>
            </w:r>
            <w:r w:rsidR="00475E40">
              <w:rPr>
                <w:rFonts w:ascii="Times New Roman" w:hAnsi="Times New Roman" w:cs="Times New Roman"/>
                <w:sz w:val="22"/>
                <w:szCs w:val="22"/>
              </w:rPr>
              <w:t xml:space="preserve"> </w:t>
            </w:r>
            <w:r w:rsidR="00E85218">
              <w:rPr>
                <w:rFonts w:ascii="Times New Roman" w:hAnsi="Times New Roman" w:cs="Times New Roman"/>
                <w:sz w:val="22"/>
                <w:szCs w:val="22"/>
              </w:rPr>
              <w:t>challenge</w:t>
            </w:r>
            <w:r w:rsidR="00475E40">
              <w:rPr>
                <w:rFonts w:ascii="Times New Roman" w:hAnsi="Times New Roman" w:cs="Times New Roman"/>
                <w:sz w:val="22"/>
                <w:szCs w:val="22"/>
              </w:rPr>
              <w:t xml:space="preserve">s created by tribal </w:t>
            </w:r>
            <w:r w:rsidR="00E85218">
              <w:rPr>
                <w:rFonts w:ascii="Times New Roman" w:hAnsi="Times New Roman" w:cs="Times New Roman"/>
                <w:sz w:val="22"/>
                <w:szCs w:val="22"/>
              </w:rPr>
              <w:t>influence</w:t>
            </w:r>
            <w:r w:rsidR="00475E40">
              <w:rPr>
                <w:rFonts w:ascii="Times New Roman" w:hAnsi="Times New Roman" w:cs="Times New Roman"/>
                <w:sz w:val="22"/>
                <w:szCs w:val="22"/>
              </w:rPr>
              <w:t xml:space="preserve">, are </w:t>
            </w:r>
            <w:r w:rsidR="00E85218">
              <w:rPr>
                <w:rFonts w:ascii="Times New Roman" w:hAnsi="Times New Roman" w:cs="Times New Roman"/>
                <w:sz w:val="22"/>
                <w:szCs w:val="22"/>
              </w:rPr>
              <w:t>important</w:t>
            </w:r>
            <w:r w:rsidR="007E5BE2">
              <w:rPr>
                <w:rFonts w:ascii="Times New Roman" w:hAnsi="Times New Roman" w:cs="Times New Roman"/>
                <w:sz w:val="22"/>
                <w:szCs w:val="22"/>
              </w:rPr>
              <w:t xml:space="preserve"> aspects towards building a democratic and inclusive political system,</w:t>
            </w:r>
            <w:r w:rsidR="00AA399A">
              <w:rPr>
                <w:rFonts w:ascii="Times New Roman" w:hAnsi="Times New Roman" w:cs="Times New Roman"/>
                <w:sz w:val="22"/>
                <w:szCs w:val="22"/>
              </w:rPr>
              <w:t xml:space="preserve"> UNDP </w:t>
            </w:r>
            <w:r w:rsidR="007E5BE2">
              <w:rPr>
                <w:rFonts w:ascii="Times New Roman" w:hAnsi="Times New Roman" w:cs="Times New Roman"/>
                <w:sz w:val="22"/>
                <w:szCs w:val="22"/>
              </w:rPr>
              <w:t xml:space="preserve">has prioritised analysis that </w:t>
            </w:r>
            <w:r w:rsidR="002C79EA">
              <w:rPr>
                <w:rFonts w:ascii="Times New Roman" w:hAnsi="Times New Roman" w:cs="Times New Roman"/>
                <w:sz w:val="22"/>
                <w:szCs w:val="22"/>
              </w:rPr>
              <w:t>reflects</w:t>
            </w:r>
            <w:r w:rsidR="007E5BE2">
              <w:rPr>
                <w:rFonts w:ascii="Times New Roman" w:hAnsi="Times New Roman" w:cs="Times New Roman"/>
                <w:sz w:val="22"/>
                <w:szCs w:val="22"/>
              </w:rPr>
              <w:t xml:space="preserve"> the limited participation by citizens, especially women and youth, </w:t>
            </w:r>
            <w:r w:rsidR="002C79EA">
              <w:rPr>
                <w:rFonts w:ascii="Times New Roman" w:hAnsi="Times New Roman" w:cs="Times New Roman"/>
                <w:sz w:val="22"/>
                <w:szCs w:val="22"/>
              </w:rPr>
              <w:t xml:space="preserve">in decision-making processes, and the </w:t>
            </w:r>
            <w:r w:rsidR="007E5BE2">
              <w:rPr>
                <w:rFonts w:ascii="Times New Roman" w:hAnsi="Times New Roman" w:cs="Times New Roman"/>
                <w:sz w:val="22"/>
                <w:szCs w:val="22"/>
              </w:rPr>
              <w:t xml:space="preserve">indicators of citizen’s </w:t>
            </w:r>
            <w:r w:rsidR="002C79EA">
              <w:rPr>
                <w:rFonts w:ascii="Times New Roman" w:hAnsi="Times New Roman" w:cs="Times New Roman"/>
                <w:sz w:val="22"/>
                <w:szCs w:val="22"/>
              </w:rPr>
              <w:t xml:space="preserve">low levels of </w:t>
            </w:r>
            <w:r w:rsidR="007E5BE2">
              <w:rPr>
                <w:rFonts w:ascii="Times New Roman" w:hAnsi="Times New Roman" w:cs="Times New Roman"/>
                <w:sz w:val="22"/>
                <w:szCs w:val="22"/>
              </w:rPr>
              <w:t xml:space="preserve">confidence in the political process and democratic institutions.  </w:t>
            </w:r>
            <w:r w:rsidR="007C1EA3">
              <w:rPr>
                <w:rFonts w:ascii="Times New Roman" w:hAnsi="Times New Roman" w:cs="Times New Roman"/>
                <w:sz w:val="22"/>
                <w:szCs w:val="22"/>
              </w:rPr>
              <w:t xml:space="preserve">In its programming, UNDP </w:t>
            </w:r>
            <w:r w:rsidR="002C79EA">
              <w:rPr>
                <w:rFonts w:ascii="Times New Roman" w:hAnsi="Times New Roman" w:cs="Times New Roman"/>
                <w:sz w:val="22"/>
                <w:szCs w:val="22"/>
              </w:rPr>
              <w:t xml:space="preserve">will work with </w:t>
            </w:r>
            <w:r w:rsidR="007C1EA3">
              <w:rPr>
                <w:rFonts w:ascii="Times New Roman" w:hAnsi="Times New Roman" w:cs="Times New Roman"/>
                <w:sz w:val="22"/>
                <w:szCs w:val="22"/>
              </w:rPr>
              <w:t xml:space="preserve">relevant actors </w:t>
            </w:r>
            <w:r w:rsidR="002C79EA">
              <w:rPr>
                <w:rFonts w:ascii="Times New Roman" w:hAnsi="Times New Roman" w:cs="Times New Roman"/>
                <w:sz w:val="22"/>
                <w:szCs w:val="22"/>
              </w:rPr>
              <w:t>(such as the Ministry of Political and Parliamentary Affairs</w:t>
            </w:r>
            <w:r w:rsidR="00F57B96">
              <w:rPr>
                <w:rFonts w:ascii="Times New Roman" w:hAnsi="Times New Roman" w:cs="Times New Roman"/>
                <w:sz w:val="22"/>
                <w:szCs w:val="22"/>
              </w:rPr>
              <w:t xml:space="preserve"> and Parliament</w:t>
            </w:r>
            <w:r w:rsidR="002C79EA">
              <w:rPr>
                <w:rFonts w:ascii="Times New Roman" w:hAnsi="Times New Roman" w:cs="Times New Roman"/>
                <w:sz w:val="22"/>
                <w:szCs w:val="22"/>
              </w:rPr>
              <w:t xml:space="preserve">) in enabling an improved environment for </w:t>
            </w:r>
            <w:r w:rsidR="007C1EA3">
              <w:rPr>
                <w:rFonts w:ascii="Times New Roman" w:hAnsi="Times New Roman" w:cs="Times New Roman"/>
                <w:sz w:val="22"/>
                <w:szCs w:val="22"/>
              </w:rPr>
              <w:t xml:space="preserve">political </w:t>
            </w:r>
            <w:r w:rsidR="002C79EA">
              <w:rPr>
                <w:rFonts w:ascii="Times New Roman" w:hAnsi="Times New Roman" w:cs="Times New Roman"/>
                <w:sz w:val="22"/>
                <w:szCs w:val="22"/>
              </w:rPr>
              <w:t>parties’ participation in the political system</w:t>
            </w:r>
            <w:r w:rsidR="00F57B96">
              <w:rPr>
                <w:rFonts w:ascii="Times New Roman" w:hAnsi="Times New Roman" w:cs="Times New Roman"/>
                <w:sz w:val="22"/>
                <w:szCs w:val="22"/>
              </w:rPr>
              <w:t xml:space="preserve">, as well as working with political parties to promote their role in encouraging inclusive participation. </w:t>
            </w:r>
          </w:p>
        </w:tc>
      </w:tr>
    </w:tbl>
    <w:p w:rsidR="00742C45" w:rsidRPr="008739CA" w:rsidRDefault="00742C45">
      <w:pPr>
        <w:rPr>
          <w:rFonts w:ascii="Times New Roman" w:hAnsi="Times New Roman" w:cs="Times New Roman"/>
        </w:rPr>
      </w:pPr>
    </w:p>
    <w:sectPr w:rsidR="00742C45" w:rsidRPr="008739CA" w:rsidSect="00B42D8C">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8C"/>
    <w:rsid w:val="000946FB"/>
    <w:rsid w:val="000B51A0"/>
    <w:rsid w:val="000C3D79"/>
    <w:rsid w:val="000E5516"/>
    <w:rsid w:val="00167158"/>
    <w:rsid w:val="00176A75"/>
    <w:rsid w:val="001C481B"/>
    <w:rsid w:val="001D60BA"/>
    <w:rsid w:val="00220B25"/>
    <w:rsid w:val="00273770"/>
    <w:rsid w:val="002C79EA"/>
    <w:rsid w:val="002E69EF"/>
    <w:rsid w:val="00302814"/>
    <w:rsid w:val="00307488"/>
    <w:rsid w:val="00336F05"/>
    <w:rsid w:val="003A0EE3"/>
    <w:rsid w:val="003B250E"/>
    <w:rsid w:val="003C7E81"/>
    <w:rsid w:val="00475E40"/>
    <w:rsid w:val="004A5790"/>
    <w:rsid w:val="004B0C76"/>
    <w:rsid w:val="004B4E79"/>
    <w:rsid w:val="004E3FE6"/>
    <w:rsid w:val="004E64CA"/>
    <w:rsid w:val="005247A8"/>
    <w:rsid w:val="00525B55"/>
    <w:rsid w:val="00563E38"/>
    <w:rsid w:val="00576D98"/>
    <w:rsid w:val="005B302C"/>
    <w:rsid w:val="005E1426"/>
    <w:rsid w:val="005E53A4"/>
    <w:rsid w:val="005F1773"/>
    <w:rsid w:val="00650A31"/>
    <w:rsid w:val="006865A7"/>
    <w:rsid w:val="006F6B2D"/>
    <w:rsid w:val="00712FF2"/>
    <w:rsid w:val="00742C45"/>
    <w:rsid w:val="007C1EA3"/>
    <w:rsid w:val="007E5BE2"/>
    <w:rsid w:val="007F0724"/>
    <w:rsid w:val="00830A9D"/>
    <w:rsid w:val="00842EE6"/>
    <w:rsid w:val="008739CA"/>
    <w:rsid w:val="008771A7"/>
    <w:rsid w:val="00895401"/>
    <w:rsid w:val="008D3AFB"/>
    <w:rsid w:val="008D78B3"/>
    <w:rsid w:val="0094663A"/>
    <w:rsid w:val="00A4313E"/>
    <w:rsid w:val="00A55810"/>
    <w:rsid w:val="00AA399A"/>
    <w:rsid w:val="00AD1F7B"/>
    <w:rsid w:val="00AD61EC"/>
    <w:rsid w:val="00B42D8C"/>
    <w:rsid w:val="00B54623"/>
    <w:rsid w:val="00B8667A"/>
    <w:rsid w:val="00BA00E9"/>
    <w:rsid w:val="00BE243D"/>
    <w:rsid w:val="00C07232"/>
    <w:rsid w:val="00D366E5"/>
    <w:rsid w:val="00D412F0"/>
    <w:rsid w:val="00D8081A"/>
    <w:rsid w:val="00D90F0B"/>
    <w:rsid w:val="00E85218"/>
    <w:rsid w:val="00F14E67"/>
    <w:rsid w:val="00F4160B"/>
    <w:rsid w:val="00F57B96"/>
    <w:rsid w:val="00F760E8"/>
    <w:rsid w:val="00FD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9A28096-742B-408F-BB05-7259EAC1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2582">
      <w:bodyDiv w:val="1"/>
      <w:marLeft w:val="0"/>
      <w:marRight w:val="0"/>
      <w:marTop w:val="0"/>
      <w:marBottom w:val="0"/>
      <w:divBdr>
        <w:top w:val="none" w:sz="0" w:space="0" w:color="auto"/>
        <w:left w:val="none" w:sz="0" w:space="0" w:color="auto"/>
        <w:bottom w:val="none" w:sz="0" w:space="0" w:color="auto"/>
        <w:right w:val="none" w:sz="0" w:space="0" w:color="auto"/>
      </w:divBdr>
    </w:div>
    <w:div w:id="752967973">
      <w:bodyDiv w:val="1"/>
      <w:marLeft w:val="0"/>
      <w:marRight w:val="0"/>
      <w:marTop w:val="0"/>
      <w:marBottom w:val="0"/>
      <w:divBdr>
        <w:top w:val="none" w:sz="0" w:space="0" w:color="auto"/>
        <w:left w:val="none" w:sz="0" w:space="0" w:color="auto"/>
        <w:bottom w:val="none" w:sz="0" w:space="0" w:color="auto"/>
        <w:right w:val="none" w:sz="0" w:space="0" w:color="auto"/>
      </w:divBdr>
    </w:div>
    <w:div w:id="939533163">
      <w:bodyDiv w:val="1"/>
      <w:marLeft w:val="0"/>
      <w:marRight w:val="0"/>
      <w:marTop w:val="0"/>
      <w:marBottom w:val="0"/>
      <w:divBdr>
        <w:top w:val="none" w:sz="0" w:space="0" w:color="auto"/>
        <w:left w:val="none" w:sz="0" w:space="0" w:color="auto"/>
        <w:bottom w:val="none" w:sz="0" w:space="0" w:color="auto"/>
        <w:right w:val="none" w:sz="0" w:space="0" w:color="auto"/>
      </w:divBdr>
    </w:div>
    <w:div w:id="999885192">
      <w:bodyDiv w:val="1"/>
      <w:marLeft w:val="0"/>
      <w:marRight w:val="0"/>
      <w:marTop w:val="0"/>
      <w:marBottom w:val="0"/>
      <w:divBdr>
        <w:top w:val="none" w:sz="0" w:space="0" w:color="auto"/>
        <w:left w:val="none" w:sz="0" w:space="0" w:color="auto"/>
        <w:bottom w:val="none" w:sz="0" w:space="0" w:color="auto"/>
        <w:right w:val="none" w:sz="0" w:space="0" w:color="auto"/>
      </w:divBdr>
    </w:div>
    <w:div w:id="203715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4049</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Company>Support to Electoral Cycle in Jordan</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Chambers</dc:creator>
  <cp:keywords/>
  <dc:description/>
  <cp:lastModifiedBy>Svetlana Iazykova</cp:lastModifiedBy>
  <cp:revision>2</cp:revision>
  <dcterms:created xsi:type="dcterms:W3CDTF">2017-11-21T21:22:00Z</dcterms:created>
  <dcterms:modified xsi:type="dcterms:W3CDTF">2017-11-21T21:22:00Z</dcterms:modified>
</cp:coreProperties>
</file>