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2F2CF" w14:textId="77777777" w:rsidR="001159B4" w:rsidRDefault="003B0674" w:rsidP="003B0674">
      <w:pPr>
        <w:pStyle w:val="Heading1"/>
      </w:pPr>
      <w:bookmarkStart w:id="0" w:name="_Toc477867185"/>
      <w:r>
        <w:t>Anexo 1- Matriz de Resultados</w:t>
      </w:r>
      <w:bookmarkEnd w:id="0"/>
    </w:p>
    <w:tbl>
      <w:tblPr>
        <w:tblStyle w:val="TableGrid"/>
        <w:tblW w:w="15026" w:type="dxa"/>
        <w:tblInd w:w="-572" w:type="dxa"/>
        <w:tblLook w:val="04A0" w:firstRow="1" w:lastRow="0" w:firstColumn="1" w:lastColumn="0" w:noHBand="0" w:noVBand="1"/>
      </w:tblPr>
      <w:tblGrid>
        <w:gridCol w:w="2977"/>
        <w:gridCol w:w="4634"/>
        <w:gridCol w:w="1419"/>
        <w:gridCol w:w="1700"/>
        <w:gridCol w:w="1466"/>
        <w:gridCol w:w="1414"/>
        <w:gridCol w:w="1416"/>
      </w:tblGrid>
      <w:tr w:rsidR="009D570F" w:rsidRPr="004D4ACD" w14:paraId="3F4FD408" w14:textId="77777777" w:rsidTr="00552118">
        <w:tc>
          <w:tcPr>
            <w:tcW w:w="12196" w:type="dxa"/>
            <w:gridSpan w:val="5"/>
            <w:shd w:val="clear" w:color="auto" w:fill="2E74B5" w:themeFill="accent1" w:themeFillShade="BF"/>
          </w:tcPr>
          <w:p w14:paraId="2EB9CE83" w14:textId="77777777" w:rsidR="009D570F" w:rsidRPr="004D4ACD" w:rsidRDefault="009D570F" w:rsidP="002B0D9E">
            <w:pPr>
              <w:rPr>
                <w:b/>
              </w:rPr>
            </w:pPr>
            <w:r w:rsidRPr="004D4ACD">
              <w:rPr>
                <w:b/>
                <w:color w:val="FFFFFF" w:themeColor="background1"/>
              </w:rPr>
              <w:t>ÁREA 1. DESARROLLO SOCIAL INCLUSIVO HACIA UN SER HUMANO INTEGRAL</w:t>
            </w:r>
          </w:p>
        </w:tc>
        <w:tc>
          <w:tcPr>
            <w:tcW w:w="1414" w:type="dxa"/>
            <w:shd w:val="clear" w:color="auto" w:fill="2E74B5" w:themeFill="accent1" w:themeFillShade="BF"/>
          </w:tcPr>
          <w:p w14:paraId="293443DE" w14:textId="77777777" w:rsidR="009D570F" w:rsidRPr="004D4ACD" w:rsidRDefault="009D570F" w:rsidP="002B0D9E">
            <w:pPr>
              <w:rPr>
                <w:b/>
                <w:color w:val="FFFFFF" w:themeColor="background1"/>
              </w:rPr>
            </w:pPr>
          </w:p>
        </w:tc>
        <w:tc>
          <w:tcPr>
            <w:tcW w:w="1416" w:type="dxa"/>
            <w:shd w:val="clear" w:color="auto" w:fill="2E74B5" w:themeFill="accent1" w:themeFillShade="BF"/>
          </w:tcPr>
          <w:p w14:paraId="551C720A" w14:textId="77777777" w:rsidR="009D570F" w:rsidRPr="004D4ACD" w:rsidRDefault="009D570F" w:rsidP="002B0D9E">
            <w:pPr>
              <w:rPr>
                <w:b/>
                <w:color w:val="FFFFFF" w:themeColor="background1"/>
              </w:rPr>
            </w:pPr>
          </w:p>
        </w:tc>
      </w:tr>
      <w:tr w:rsidR="009D570F" w:rsidRPr="004D4ACD" w14:paraId="4132B2BB" w14:textId="77777777" w:rsidTr="00552118">
        <w:tc>
          <w:tcPr>
            <w:tcW w:w="2977" w:type="dxa"/>
            <w:shd w:val="clear" w:color="auto" w:fill="9CC2E5" w:themeFill="accent1" w:themeFillTint="99"/>
            <w:vAlign w:val="center"/>
          </w:tcPr>
          <w:p w14:paraId="74860E0C" w14:textId="77777777" w:rsidR="009D570F" w:rsidRPr="004D4ACD" w:rsidRDefault="003B555E" w:rsidP="003B555E">
            <w:pPr>
              <w:jc w:val="center"/>
              <w:rPr>
                <w:b/>
              </w:rPr>
            </w:pPr>
            <w:r w:rsidRPr="004D4ACD">
              <w:rPr>
                <w:b/>
              </w:rPr>
              <w:t>Efecto</w:t>
            </w:r>
          </w:p>
        </w:tc>
        <w:tc>
          <w:tcPr>
            <w:tcW w:w="4634" w:type="dxa"/>
            <w:shd w:val="clear" w:color="auto" w:fill="9CC2E5" w:themeFill="accent1" w:themeFillTint="99"/>
            <w:vAlign w:val="center"/>
          </w:tcPr>
          <w:p w14:paraId="55D5C5B7" w14:textId="77777777" w:rsidR="009D570F" w:rsidRPr="004D4ACD" w:rsidRDefault="009D570F" w:rsidP="009D570F">
            <w:pPr>
              <w:jc w:val="center"/>
              <w:rPr>
                <w:b/>
              </w:rPr>
            </w:pPr>
            <w:r w:rsidRPr="004D4ACD">
              <w:rPr>
                <w:b/>
              </w:rPr>
              <w:t>Indicadores</w:t>
            </w:r>
          </w:p>
        </w:tc>
        <w:tc>
          <w:tcPr>
            <w:tcW w:w="1419" w:type="dxa"/>
            <w:shd w:val="clear" w:color="auto" w:fill="9CC2E5" w:themeFill="accent1" w:themeFillTint="99"/>
            <w:vAlign w:val="center"/>
          </w:tcPr>
          <w:p w14:paraId="050ED1EE" w14:textId="77777777" w:rsidR="009D570F" w:rsidRPr="004D4ACD" w:rsidRDefault="009D570F" w:rsidP="009D570F">
            <w:pPr>
              <w:jc w:val="center"/>
              <w:rPr>
                <w:b/>
              </w:rPr>
            </w:pPr>
            <w:r w:rsidRPr="004D4ACD">
              <w:rPr>
                <w:b/>
              </w:rPr>
              <w:t>Línea de Base</w:t>
            </w:r>
          </w:p>
        </w:tc>
        <w:tc>
          <w:tcPr>
            <w:tcW w:w="1700" w:type="dxa"/>
            <w:shd w:val="clear" w:color="auto" w:fill="9CC2E5" w:themeFill="accent1" w:themeFillTint="99"/>
            <w:vAlign w:val="center"/>
          </w:tcPr>
          <w:p w14:paraId="24983FC6" w14:textId="77777777" w:rsidR="009D570F" w:rsidRPr="004D4ACD" w:rsidRDefault="009D570F" w:rsidP="009D570F">
            <w:pPr>
              <w:jc w:val="center"/>
              <w:rPr>
                <w:b/>
              </w:rPr>
            </w:pPr>
            <w:r w:rsidRPr="004D4ACD">
              <w:rPr>
                <w:b/>
              </w:rPr>
              <w:t>Metas</w:t>
            </w:r>
          </w:p>
        </w:tc>
        <w:tc>
          <w:tcPr>
            <w:tcW w:w="1466" w:type="dxa"/>
            <w:shd w:val="clear" w:color="auto" w:fill="9CC2E5" w:themeFill="accent1" w:themeFillTint="99"/>
            <w:vAlign w:val="center"/>
          </w:tcPr>
          <w:p w14:paraId="7FD35E20" w14:textId="77777777" w:rsidR="009D570F" w:rsidRPr="004D4ACD" w:rsidRDefault="009D570F" w:rsidP="009D570F">
            <w:pPr>
              <w:jc w:val="center"/>
              <w:rPr>
                <w:b/>
              </w:rPr>
            </w:pPr>
            <w:r w:rsidRPr="004D4ACD">
              <w:rPr>
                <w:b/>
              </w:rPr>
              <w:t>Fuentes de verificación</w:t>
            </w:r>
          </w:p>
        </w:tc>
        <w:tc>
          <w:tcPr>
            <w:tcW w:w="1414" w:type="dxa"/>
            <w:shd w:val="clear" w:color="auto" w:fill="9CC2E5" w:themeFill="accent1" w:themeFillTint="99"/>
            <w:vAlign w:val="center"/>
          </w:tcPr>
          <w:p w14:paraId="6ACEF19A" w14:textId="77777777" w:rsidR="009D570F" w:rsidRPr="004D4ACD" w:rsidRDefault="009D570F" w:rsidP="009D570F">
            <w:pPr>
              <w:jc w:val="center"/>
              <w:rPr>
                <w:b/>
              </w:rPr>
            </w:pPr>
            <w:r w:rsidRPr="004D4ACD">
              <w:rPr>
                <w:b/>
              </w:rPr>
              <w:t>PDES</w:t>
            </w:r>
          </w:p>
        </w:tc>
        <w:tc>
          <w:tcPr>
            <w:tcW w:w="1416" w:type="dxa"/>
            <w:shd w:val="clear" w:color="auto" w:fill="9CC2E5" w:themeFill="accent1" w:themeFillTint="99"/>
            <w:vAlign w:val="center"/>
          </w:tcPr>
          <w:p w14:paraId="20178414" w14:textId="77777777" w:rsidR="009D570F" w:rsidRPr="004D4ACD" w:rsidRDefault="009D570F" w:rsidP="009D570F">
            <w:pPr>
              <w:jc w:val="center"/>
              <w:rPr>
                <w:b/>
              </w:rPr>
            </w:pPr>
            <w:r w:rsidRPr="004D4ACD">
              <w:rPr>
                <w:b/>
              </w:rPr>
              <w:t>ODS</w:t>
            </w:r>
          </w:p>
        </w:tc>
      </w:tr>
      <w:tr w:rsidR="00655E9C" w:rsidRPr="004D4ACD" w14:paraId="3257F993" w14:textId="77777777" w:rsidTr="00552118">
        <w:tc>
          <w:tcPr>
            <w:tcW w:w="2977" w:type="dxa"/>
            <w:vMerge w:val="restart"/>
          </w:tcPr>
          <w:p w14:paraId="50FF8401" w14:textId="1F8A086C" w:rsidR="00655E9C" w:rsidRPr="004D4ACD" w:rsidRDefault="00655E9C" w:rsidP="00655E9C">
            <w:pPr>
              <w:rPr>
                <w:sz w:val="18"/>
                <w:szCs w:val="18"/>
              </w:rPr>
            </w:pPr>
            <w:r w:rsidRPr="004D4ACD">
              <w:rPr>
                <w:b/>
                <w:sz w:val="18"/>
                <w:szCs w:val="18"/>
                <w:lang w:val="sv-SE"/>
              </w:rPr>
              <w:t>1.</w:t>
            </w:r>
            <w:r w:rsidR="00E81021">
              <w:rPr>
                <w:b/>
                <w:sz w:val="18"/>
                <w:szCs w:val="18"/>
                <w:lang w:val="sv-SE"/>
              </w:rPr>
              <w:t>1</w:t>
            </w:r>
            <w:r w:rsidRPr="004D4ACD">
              <w:rPr>
                <w:sz w:val="18"/>
                <w:szCs w:val="18"/>
                <w:lang w:val="sv-SE"/>
              </w:rPr>
              <w:t xml:space="preserve"> Incrementado el acceso a servicios de calidad, sostenibles, asequibles e igualitarios en educación, salud, agua, saneamiento y promoción de higiene.</w:t>
            </w:r>
          </w:p>
        </w:tc>
        <w:tc>
          <w:tcPr>
            <w:tcW w:w="4634" w:type="dxa"/>
          </w:tcPr>
          <w:p w14:paraId="7577EC8F" w14:textId="01D740D0" w:rsidR="00655E9C" w:rsidRPr="004D4ACD" w:rsidRDefault="002D704D" w:rsidP="00655E9C">
            <w:pPr>
              <w:rPr>
                <w:sz w:val="18"/>
                <w:szCs w:val="18"/>
                <w:lang w:val="sv-SE"/>
              </w:rPr>
            </w:pPr>
            <w:r>
              <w:rPr>
                <w:sz w:val="18"/>
                <w:szCs w:val="18"/>
                <w:lang w:val="sv-SE"/>
              </w:rPr>
              <w:t xml:space="preserve">1. </w:t>
            </w:r>
            <w:r w:rsidR="00CF5331" w:rsidRPr="004D4ACD">
              <w:rPr>
                <w:sz w:val="18"/>
                <w:szCs w:val="18"/>
                <w:lang w:val="sv-SE"/>
              </w:rPr>
              <w:t>Porcentaje de Redes Funcionales Integradas de Salud que aplican los Ciclos de mejora Continua de la Calidad incluyendo la articulación con la medicina tradicional.</w:t>
            </w:r>
          </w:p>
        </w:tc>
        <w:tc>
          <w:tcPr>
            <w:tcW w:w="1419" w:type="dxa"/>
            <w:vAlign w:val="center"/>
          </w:tcPr>
          <w:p w14:paraId="14BB0DC2" w14:textId="77777777" w:rsidR="00655E9C" w:rsidRPr="004D4ACD" w:rsidRDefault="00655E9C" w:rsidP="004D4ACD">
            <w:pPr>
              <w:jc w:val="center"/>
              <w:rPr>
                <w:sz w:val="18"/>
                <w:szCs w:val="18"/>
              </w:rPr>
            </w:pPr>
            <w:r w:rsidRPr="004D4ACD">
              <w:rPr>
                <w:sz w:val="18"/>
                <w:szCs w:val="18"/>
              </w:rPr>
              <w:t>14</w:t>
            </w:r>
          </w:p>
        </w:tc>
        <w:tc>
          <w:tcPr>
            <w:tcW w:w="1700" w:type="dxa"/>
            <w:vAlign w:val="center"/>
          </w:tcPr>
          <w:p w14:paraId="670B7CDA" w14:textId="77777777" w:rsidR="00655E9C" w:rsidRPr="004D4ACD" w:rsidRDefault="00655E9C" w:rsidP="004D4ACD">
            <w:pPr>
              <w:jc w:val="center"/>
              <w:rPr>
                <w:sz w:val="18"/>
                <w:szCs w:val="18"/>
              </w:rPr>
            </w:pPr>
            <w:r w:rsidRPr="004D4ACD">
              <w:rPr>
                <w:sz w:val="18"/>
                <w:szCs w:val="18"/>
              </w:rPr>
              <w:t>102</w:t>
            </w:r>
          </w:p>
        </w:tc>
        <w:tc>
          <w:tcPr>
            <w:tcW w:w="1466" w:type="dxa"/>
            <w:vAlign w:val="center"/>
          </w:tcPr>
          <w:p w14:paraId="3EC1ABEF" w14:textId="77777777" w:rsidR="00655E9C" w:rsidRPr="004D4ACD" w:rsidRDefault="00655E9C" w:rsidP="004D4ACD">
            <w:pPr>
              <w:jc w:val="center"/>
              <w:rPr>
                <w:sz w:val="18"/>
                <w:szCs w:val="18"/>
              </w:rPr>
            </w:pPr>
            <w:r w:rsidRPr="004D4ACD">
              <w:rPr>
                <w:sz w:val="18"/>
                <w:szCs w:val="18"/>
              </w:rPr>
              <w:t>102 Planes de acción</w:t>
            </w:r>
          </w:p>
        </w:tc>
        <w:tc>
          <w:tcPr>
            <w:tcW w:w="1414" w:type="dxa"/>
            <w:vAlign w:val="center"/>
          </w:tcPr>
          <w:p w14:paraId="26EDC984" w14:textId="77777777" w:rsidR="00655E9C" w:rsidRPr="004D4ACD" w:rsidRDefault="00655E9C" w:rsidP="004D4ACD">
            <w:pPr>
              <w:jc w:val="center"/>
              <w:rPr>
                <w:sz w:val="18"/>
                <w:szCs w:val="18"/>
                <w:lang w:val="sv-SE"/>
              </w:rPr>
            </w:pPr>
            <w:r w:rsidRPr="004D4ACD">
              <w:rPr>
                <w:sz w:val="18"/>
                <w:szCs w:val="18"/>
                <w:lang w:val="sv-SE"/>
              </w:rPr>
              <w:t>Pilar 3</w:t>
            </w:r>
          </w:p>
          <w:p w14:paraId="0B5890B1" w14:textId="77777777" w:rsidR="00655E9C" w:rsidRPr="004D4ACD" w:rsidRDefault="00655E9C" w:rsidP="004D4ACD">
            <w:pPr>
              <w:jc w:val="center"/>
              <w:rPr>
                <w:sz w:val="18"/>
                <w:szCs w:val="18"/>
                <w:lang w:val="sv-SE"/>
              </w:rPr>
            </w:pPr>
            <w:r w:rsidRPr="004D4ACD">
              <w:rPr>
                <w:sz w:val="18"/>
                <w:szCs w:val="18"/>
                <w:lang w:val="sv-SE"/>
              </w:rPr>
              <w:t>Meta 1 R.1 R.3</w:t>
            </w:r>
          </w:p>
          <w:p w14:paraId="5FB39191" w14:textId="77777777" w:rsidR="00655E9C" w:rsidRPr="004D4ACD" w:rsidRDefault="00655E9C" w:rsidP="004D4ACD">
            <w:pPr>
              <w:jc w:val="center"/>
              <w:rPr>
                <w:sz w:val="18"/>
                <w:szCs w:val="18"/>
                <w:lang w:val="sv-SE"/>
              </w:rPr>
            </w:pPr>
            <w:r w:rsidRPr="004D4ACD">
              <w:rPr>
                <w:sz w:val="18"/>
                <w:szCs w:val="18"/>
                <w:lang w:val="sv-SE"/>
              </w:rPr>
              <w:t>Pilar 4 Meta 4</w:t>
            </w:r>
          </w:p>
          <w:p w14:paraId="06E45B85" w14:textId="77777777" w:rsidR="00655E9C" w:rsidRPr="004D4ACD" w:rsidRDefault="00655E9C" w:rsidP="004D4ACD">
            <w:pPr>
              <w:jc w:val="center"/>
              <w:rPr>
                <w:sz w:val="18"/>
                <w:szCs w:val="18"/>
                <w:lang w:val="sv-SE"/>
              </w:rPr>
            </w:pPr>
            <w:r w:rsidRPr="004D4ACD">
              <w:rPr>
                <w:sz w:val="18"/>
                <w:szCs w:val="18"/>
                <w:lang w:val="sv-SE"/>
              </w:rPr>
              <w:t>R. 1</w:t>
            </w:r>
          </w:p>
        </w:tc>
        <w:tc>
          <w:tcPr>
            <w:tcW w:w="1416" w:type="dxa"/>
            <w:vAlign w:val="center"/>
          </w:tcPr>
          <w:p w14:paraId="0197A9C1" w14:textId="77777777" w:rsidR="00655E9C" w:rsidRPr="004D4ACD" w:rsidRDefault="00655E9C" w:rsidP="004D4ACD">
            <w:pPr>
              <w:jc w:val="center"/>
              <w:rPr>
                <w:sz w:val="18"/>
                <w:szCs w:val="18"/>
                <w:lang w:val="sv-SE"/>
              </w:rPr>
            </w:pPr>
            <w:r w:rsidRPr="004D4ACD">
              <w:rPr>
                <w:sz w:val="18"/>
                <w:szCs w:val="18"/>
                <w:lang w:val="sv-SE"/>
              </w:rPr>
              <w:t>3.8 (relacionado)</w:t>
            </w:r>
          </w:p>
        </w:tc>
      </w:tr>
      <w:tr w:rsidR="00655E9C" w:rsidRPr="004D4ACD" w14:paraId="225C1A8A" w14:textId="77777777" w:rsidTr="00552118">
        <w:tc>
          <w:tcPr>
            <w:tcW w:w="2977" w:type="dxa"/>
            <w:vMerge/>
          </w:tcPr>
          <w:p w14:paraId="740E5989" w14:textId="77777777" w:rsidR="00655E9C" w:rsidRPr="004D4ACD" w:rsidRDefault="00655E9C" w:rsidP="00655E9C">
            <w:pPr>
              <w:rPr>
                <w:b/>
                <w:sz w:val="18"/>
                <w:szCs w:val="18"/>
                <w:lang w:val="sv-SE"/>
              </w:rPr>
            </w:pPr>
          </w:p>
        </w:tc>
        <w:tc>
          <w:tcPr>
            <w:tcW w:w="4634" w:type="dxa"/>
          </w:tcPr>
          <w:p w14:paraId="658DE001" w14:textId="2ABE4E24" w:rsidR="00655E9C" w:rsidRPr="004D4ACD" w:rsidRDefault="000F0ECB" w:rsidP="00655E9C">
            <w:pPr>
              <w:rPr>
                <w:sz w:val="18"/>
                <w:szCs w:val="18"/>
                <w:lang w:val="sv-SE"/>
              </w:rPr>
            </w:pPr>
            <w:r>
              <w:rPr>
                <w:sz w:val="18"/>
                <w:szCs w:val="18"/>
                <w:lang w:val="sv-SE"/>
              </w:rPr>
              <w:t xml:space="preserve">2. </w:t>
            </w:r>
            <w:r w:rsidR="00655E9C" w:rsidRPr="004D4ACD">
              <w:rPr>
                <w:sz w:val="18"/>
                <w:szCs w:val="18"/>
                <w:lang w:val="sv-SE"/>
              </w:rPr>
              <w:t>Tasa de fecundidad entre las adolescentes (de 10 a 14 años; de 15 a 19 años) por cada 1.000 mujeres de ese grupo de edad</w:t>
            </w:r>
          </w:p>
        </w:tc>
        <w:tc>
          <w:tcPr>
            <w:tcW w:w="1419" w:type="dxa"/>
            <w:vAlign w:val="center"/>
          </w:tcPr>
          <w:p w14:paraId="0ED778EF" w14:textId="77777777" w:rsidR="00655E9C" w:rsidRPr="004D4ACD" w:rsidRDefault="00655E9C" w:rsidP="004D4ACD">
            <w:pPr>
              <w:jc w:val="center"/>
              <w:rPr>
                <w:sz w:val="18"/>
                <w:szCs w:val="18"/>
              </w:rPr>
            </w:pPr>
            <w:r w:rsidRPr="004D4ACD">
              <w:rPr>
                <w:sz w:val="18"/>
                <w:szCs w:val="18"/>
              </w:rPr>
              <w:t>18% (180 x 1000nv)</w:t>
            </w:r>
          </w:p>
        </w:tc>
        <w:tc>
          <w:tcPr>
            <w:tcW w:w="1700" w:type="dxa"/>
            <w:vAlign w:val="center"/>
          </w:tcPr>
          <w:p w14:paraId="7B4711E2" w14:textId="1265BDDB" w:rsidR="00655E9C" w:rsidRPr="004D4ACD" w:rsidRDefault="00655E9C" w:rsidP="004D4ACD">
            <w:pPr>
              <w:jc w:val="center"/>
              <w:rPr>
                <w:sz w:val="18"/>
                <w:szCs w:val="18"/>
              </w:rPr>
            </w:pPr>
            <w:r w:rsidRPr="002D385F">
              <w:rPr>
                <w:sz w:val="18"/>
                <w:szCs w:val="18"/>
              </w:rPr>
              <w:t xml:space="preserve">disminuir el 50%(PPNEA) </w:t>
            </w:r>
          </w:p>
        </w:tc>
        <w:tc>
          <w:tcPr>
            <w:tcW w:w="1466" w:type="dxa"/>
            <w:vAlign w:val="center"/>
          </w:tcPr>
          <w:p w14:paraId="7085F99E" w14:textId="77777777" w:rsidR="00655E9C" w:rsidRPr="004D4ACD" w:rsidRDefault="00655E9C" w:rsidP="004D4ACD">
            <w:pPr>
              <w:jc w:val="center"/>
              <w:rPr>
                <w:sz w:val="18"/>
                <w:szCs w:val="18"/>
              </w:rPr>
            </w:pPr>
            <w:r w:rsidRPr="004D4ACD">
              <w:rPr>
                <w:sz w:val="18"/>
                <w:szCs w:val="18"/>
              </w:rPr>
              <w:t>EDSA 2021</w:t>
            </w:r>
          </w:p>
        </w:tc>
        <w:tc>
          <w:tcPr>
            <w:tcW w:w="1414" w:type="dxa"/>
            <w:vAlign w:val="center"/>
          </w:tcPr>
          <w:p w14:paraId="5EC61F9A" w14:textId="77777777" w:rsidR="00655E9C" w:rsidRPr="004D4ACD" w:rsidRDefault="00655E9C" w:rsidP="004D4ACD">
            <w:pPr>
              <w:jc w:val="center"/>
              <w:rPr>
                <w:sz w:val="18"/>
                <w:szCs w:val="18"/>
                <w:lang w:val="sv-SE"/>
              </w:rPr>
            </w:pPr>
            <w:r w:rsidRPr="004D4ACD">
              <w:rPr>
                <w:sz w:val="18"/>
                <w:szCs w:val="18"/>
                <w:lang w:val="sv-SE"/>
              </w:rPr>
              <w:t>Pilar 3</w:t>
            </w:r>
          </w:p>
          <w:p w14:paraId="71B744DD" w14:textId="77777777" w:rsidR="00655E9C" w:rsidRPr="004D4ACD" w:rsidRDefault="00655E9C" w:rsidP="004D4ACD">
            <w:pPr>
              <w:jc w:val="center"/>
              <w:rPr>
                <w:sz w:val="18"/>
                <w:szCs w:val="18"/>
                <w:lang w:val="sv-SE"/>
              </w:rPr>
            </w:pPr>
            <w:r w:rsidRPr="004D4ACD">
              <w:rPr>
                <w:sz w:val="18"/>
                <w:szCs w:val="18"/>
                <w:lang w:val="sv-SE"/>
              </w:rPr>
              <w:t>Meta 1 R. 8</w:t>
            </w:r>
          </w:p>
        </w:tc>
        <w:tc>
          <w:tcPr>
            <w:tcW w:w="1416" w:type="dxa"/>
            <w:vAlign w:val="center"/>
          </w:tcPr>
          <w:p w14:paraId="1ED9BE09" w14:textId="77777777" w:rsidR="00655E9C" w:rsidRPr="004D4ACD" w:rsidRDefault="00655E9C" w:rsidP="004D4ACD">
            <w:pPr>
              <w:jc w:val="center"/>
              <w:rPr>
                <w:sz w:val="18"/>
                <w:szCs w:val="18"/>
                <w:lang w:val="sv-SE"/>
              </w:rPr>
            </w:pPr>
            <w:r w:rsidRPr="004D4ACD">
              <w:rPr>
                <w:sz w:val="18"/>
                <w:szCs w:val="18"/>
                <w:lang w:val="sv-SE"/>
              </w:rPr>
              <w:t>3.7.2</w:t>
            </w:r>
          </w:p>
        </w:tc>
      </w:tr>
      <w:tr w:rsidR="009D570F" w:rsidRPr="004D4ACD" w14:paraId="043B5F46" w14:textId="77777777" w:rsidTr="00552118">
        <w:tc>
          <w:tcPr>
            <w:tcW w:w="2977" w:type="dxa"/>
            <w:vMerge/>
          </w:tcPr>
          <w:p w14:paraId="4272ED9C" w14:textId="77777777" w:rsidR="009D570F" w:rsidRPr="004D4ACD" w:rsidRDefault="009D570F" w:rsidP="009D570F">
            <w:pPr>
              <w:rPr>
                <w:b/>
                <w:sz w:val="18"/>
                <w:szCs w:val="18"/>
                <w:lang w:val="sv-SE"/>
              </w:rPr>
            </w:pPr>
          </w:p>
        </w:tc>
        <w:tc>
          <w:tcPr>
            <w:tcW w:w="4634" w:type="dxa"/>
          </w:tcPr>
          <w:p w14:paraId="4E124C78" w14:textId="570981B9" w:rsidR="009D570F" w:rsidRPr="004D4ACD" w:rsidRDefault="000F0ECB" w:rsidP="009D570F">
            <w:pPr>
              <w:rPr>
                <w:sz w:val="18"/>
                <w:szCs w:val="18"/>
                <w:lang w:val="sv-SE"/>
              </w:rPr>
            </w:pPr>
            <w:r>
              <w:rPr>
                <w:sz w:val="18"/>
                <w:szCs w:val="18"/>
                <w:lang w:val="sv-SE"/>
              </w:rPr>
              <w:t xml:space="preserve">3. </w:t>
            </w:r>
            <w:r w:rsidR="009D570F" w:rsidRPr="004D4ACD">
              <w:rPr>
                <w:sz w:val="18"/>
                <w:szCs w:val="18"/>
                <w:lang w:val="sv-SE"/>
              </w:rPr>
              <w:t>Razón de mortalidad materna y tasa de mortalidad neonatal (desagregado por áreas</w:t>
            </w:r>
            <w:r w:rsidR="00CF5331" w:rsidRPr="004D4ACD">
              <w:rPr>
                <w:sz w:val="18"/>
                <w:szCs w:val="18"/>
                <w:lang w:val="sv-SE"/>
              </w:rPr>
              <w:t>)</w:t>
            </w:r>
            <w:r w:rsidR="009D570F" w:rsidRPr="004D4ACD">
              <w:rPr>
                <w:sz w:val="18"/>
                <w:szCs w:val="18"/>
                <w:lang w:val="sv-SE"/>
              </w:rPr>
              <w:t xml:space="preserve"> </w:t>
            </w:r>
          </w:p>
        </w:tc>
        <w:tc>
          <w:tcPr>
            <w:tcW w:w="1419" w:type="dxa"/>
          </w:tcPr>
          <w:p w14:paraId="2F0C666B" w14:textId="77777777" w:rsidR="009D570F" w:rsidRPr="004D4ACD" w:rsidRDefault="009D570F" w:rsidP="004D4ACD">
            <w:pPr>
              <w:jc w:val="center"/>
              <w:rPr>
                <w:sz w:val="18"/>
                <w:szCs w:val="18"/>
              </w:rPr>
            </w:pPr>
          </w:p>
        </w:tc>
        <w:tc>
          <w:tcPr>
            <w:tcW w:w="1700" w:type="dxa"/>
          </w:tcPr>
          <w:p w14:paraId="09C1F403" w14:textId="77777777" w:rsidR="009D570F" w:rsidRPr="004D4ACD" w:rsidRDefault="009D570F" w:rsidP="004D4ACD">
            <w:pPr>
              <w:jc w:val="center"/>
              <w:rPr>
                <w:sz w:val="18"/>
                <w:szCs w:val="18"/>
              </w:rPr>
            </w:pPr>
          </w:p>
        </w:tc>
        <w:tc>
          <w:tcPr>
            <w:tcW w:w="1466" w:type="dxa"/>
          </w:tcPr>
          <w:p w14:paraId="70BAC219" w14:textId="77777777" w:rsidR="009D570F" w:rsidRPr="004D4ACD" w:rsidRDefault="009D570F" w:rsidP="004D4ACD">
            <w:pPr>
              <w:jc w:val="center"/>
              <w:rPr>
                <w:sz w:val="18"/>
                <w:szCs w:val="18"/>
              </w:rPr>
            </w:pPr>
          </w:p>
        </w:tc>
        <w:tc>
          <w:tcPr>
            <w:tcW w:w="1414" w:type="dxa"/>
            <w:vAlign w:val="center"/>
          </w:tcPr>
          <w:p w14:paraId="47B51CF6" w14:textId="77777777" w:rsidR="009D570F" w:rsidRPr="004D4ACD" w:rsidRDefault="009D570F" w:rsidP="004D4ACD">
            <w:pPr>
              <w:jc w:val="center"/>
              <w:rPr>
                <w:sz w:val="18"/>
                <w:szCs w:val="18"/>
                <w:lang w:val="sv-SE"/>
              </w:rPr>
            </w:pPr>
            <w:r w:rsidRPr="004D4ACD">
              <w:rPr>
                <w:sz w:val="18"/>
                <w:szCs w:val="18"/>
                <w:lang w:val="sv-SE"/>
              </w:rPr>
              <w:t>Pilar 3. Meta 1. R. 5 R.6</w:t>
            </w:r>
          </w:p>
        </w:tc>
        <w:tc>
          <w:tcPr>
            <w:tcW w:w="1416" w:type="dxa"/>
            <w:vAlign w:val="center"/>
          </w:tcPr>
          <w:p w14:paraId="0A24E828" w14:textId="77777777" w:rsidR="009D570F" w:rsidRPr="004D4ACD" w:rsidRDefault="009D570F" w:rsidP="004D4ACD">
            <w:pPr>
              <w:jc w:val="center"/>
              <w:rPr>
                <w:sz w:val="18"/>
                <w:szCs w:val="18"/>
                <w:lang w:val="sv-SE"/>
              </w:rPr>
            </w:pPr>
            <w:r w:rsidRPr="004D4ACD">
              <w:rPr>
                <w:sz w:val="18"/>
                <w:szCs w:val="18"/>
                <w:lang w:val="sv-SE"/>
              </w:rPr>
              <w:t>3.1.1/</w:t>
            </w:r>
          </w:p>
          <w:p w14:paraId="44EAF164" w14:textId="77777777" w:rsidR="009D570F" w:rsidRPr="004D4ACD" w:rsidRDefault="009D570F" w:rsidP="004D4ACD">
            <w:pPr>
              <w:jc w:val="center"/>
              <w:rPr>
                <w:sz w:val="18"/>
                <w:szCs w:val="18"/>
                <w:lang w:val="sv-SE"/>
              </w:rPr>
            </w:pPr>
            <w:r w:rsidRPr="004D4ACD">
              <w:rPr>
                <w:sz w:val="18"/>
                <w:szCs w:val="18"/>
                <w:lang w:val="sv-SE"/>
              </w:rPr>
              <w:t>3.2.2</w:t>
            </w:r>
          </w:p>
        </w:tc>
      </w:tr>
      <w:tr w:rsidR="009D570F" w:rsidRPr="004D4ACD" w14:paraId="3E2EB720" w14:textId="77777777" w:rsidTr="00552118">
        <w:tc>
          <w:tcPr>
            <w:tcW w:w="2977" w:type="dxa"/>
            <w:vMerge/>
          </w:tcPr>
          <w:p w14:paraId="74C2C104" w14:textId="77777777" w:rsidR="009D570F" w:rsidRPr="004D4ACD" w:rsidRDefault="009D570F" w:rsidP="009D570F">
            <w:pPr>
              <w:rPr>
                <w:b/>
                <w:sz w:val="18"/>
                <w:szCs w:val="18"/>
                <w:lang w:val="sv-SE"/>
              </w:rPr>
            </w:pPr>
          </w:p>
        </w:tc>
        <w:tc>
          <w:tcPr>
            <w:tcW w:w="4634" w:type="dxa"/>
          </w:tcPr>
          <w:p w14:paraId="6E73A652" w14:textId="022923DC" w:rsidR="009D570F" w:rsidRPr="000F0ECB" w:rsidRDefault="009D570F" w:rsidP="000F0ECB">
            <w:pPr>
              <w:pStyle w:val="ListParagraph"/>
              <w:numPr>
                <w:ilvl w:val="0"/>
                <w:numId w:val="18"/>
              </w:numPr>
              <w:tabs>
                <w:tab w:val="left" w:pos="180"/>
              </w:tabs>
              <w:ind w:left="0" w:firstLine="0"/>
              <w:rPr>
                <w:sz w:val="18"/>
                <w:szCs w:val="18"/>
                <w:lang w:val="sv-SE"/>
              </w:rPr>
            </w:pPr>
            <w:r w:rsidRPr="000F0ECB">
              <w:rPr>
                <w:sz w:val="18"/>
                <w:szCs w:val="18"/>
                <w:lang w:val="sv-SE"/>
              </w:rPr>
              <w:t>Incidencia de enfermedades transmisibles: Malaria, Tuberculosis, Dengue, Zika, Chikungunya, VIH, desagregado por edad y sexo</w:t>
            </w:r>
          </w:p>
        </w:tc>
        <w:tc>
          <w:tcPr>
            <w:tcW w:w="1419" w:type="dxa"/>
          </w:tcPr>
          <w:p w14:paraId="65C078F8" w14:textId="77777777" w:rsidR="009D570F" w:rsidRPr="004D4ACD" w:rsidRDefault="009D570F" w:rsidP="004D4ACD">
            <w:pPr>
              <w:jc w:val="center"/>
              <w:rPr>
                <w:sz w:val="18"/>
                <w:szCs w:val="18"/>
              </w:rPr>
            </w:pPr>
          </w:p>
        </w:tc>
        <w:tc>
          <w:tcPr>
            <w:tcW w:w="1700" w:type="dxa"/>
          </w:tcPr>
          <w:p w14:paraId="23EDB290" w14:textId="77777777" w:rsidR="009D570F" w:rsidRPr="004D4ACD" w:rsidRDefault="009D570F" w:rsidP="004D4ACD">
            <w:pPr>
              <w:jc w:val="center"/>
              <w:rPr>
                <w:sz w:val="18"/>
                <w:szCs w:val="18"/>
              </w:rPr>
            </w:pPr>
          </w:p>
        </w:tc>
        <w:tc>
          <w:tcPr>
            <w:tcW w:w="1466" w:type="dxa"/>
          </w:tcPr>
          <w:p w14:paraId="70E80A70" w14:textId="77777777" w:rsidR="009D570F" w:rsidRPr="004D4ACD" w:rsidRDefault="009D570F" w:rsidP="004D4ACD">
            <w:pPr>
              <w:jc w:val="center"/>
              <w:rPr>
                <w:sz w:val="18"/>
                <w:szCs w:val="18"/>
              </w:rPr>
            </w:pPr>
          </w:p>
        </w:tc>
        <w:tc>
          <w:tcPr>
            <w:tcW w:w="1414" w:type="dxa"/>
            <w:vAlign w:val="center"/>
          </w:tcPr>
          <w:p w14:paraId="10E55982" w14:textId="77777777" w:rsidR="009D570F" w:rsidRPr="004D4ACD" w:rsidRDefault="009D570F" w:rsidP="004D4ACD">
            <w:pPr>
              <w:jc w:val="center"/>
              <w:rPr>
                <w:sz w:val="18"/>
                <w:szCs w:val="18"/>
                <w:lang w:val="sv-SE"/>
              </w:rPr>
            </w:pPr>
            <w:r w:rsidRPr="004D4ACD">
              <w:rPr>
                <w:sz w:val="18"/>
                <w:szCs w:val="18"/>
                <w:lang w:val="sv-SE"/>
              </w:rPr>
              <w:t>Pilar 3. Meta 1. R.10</w:t>
            </w:r>
          </w:p>
        </w:tc>
        <w:tc>
          <w:tcPr>
            <w:tcW w:w="1416" w:type="dxa"/>
            <w:vAlign w:val="center"/>
          </w:tcPr>
          <w:p w14:paraId="49A79C94" w14:textId="77777777" w:rsidR="009D570F" w:rsidRPr="004D4ACD" w:rsidRDefault="009D570F" w:rsidP="004D4ACD">
            <w:pPr>
              <w:jc w:val="center"/>
              <w:rPr>
                <w:sz w:val="18"/>
                <w:szCs w:val="18"/>
                <w:lang w:val="sv-SE"/>
              </w:rPr>
            </w:pPr>
            <w:r w:rsidRPr="004D4ACD">
              <w:rPr>
                <w:sz w:val="18"/>
                <w:szCs w:val="18"/>
                <w:lang w:val="sv-SE"/>
              </w:rPr>
              <w:t>3.3.1/3.3.4</w:t>
            </w:r>
          </w:p>
        </w:tc>
      </w:tr>
      <w:tr w:rsidR="009D570F" w:rsidRPr="004D4ACD" w14:paraId="2684118D" w14:textId="77777777" w:rsidTr="00552118">
        <w:tc>
          <w:tcPr>
            <w:tcW w:w="2977" w:type="dxa"/>
            <w:vMerge/>
          </w:tcPr>
          <w:p w14:paraId="21342CE8" w14:textId="77777777" w:rsidR="009D570F" w:rsidRPr="004D4ACD" w:rsidRDefault="009D570F" w:rsidP="009D570F">
            <w:pPr>
              <w:rPr>
                <w:b/>
                <w:sz w:val="18"/>
                <w:szCs w:val="18"/>
                <w:lang w:val="sv-SE"/>
              </w:rPr>
            </w:pPr>
          </w:p>
        </w:tc>
        <w:tc>
          <w:tcPr>
            <w:tcW w:w="4634" w:type="dxa"/>
          </w:tcPr>
          <w:p w14:paraId="69AB716F" w14:textId="308C522D" w:rsidR="009D570F" w:rsidRPr="000F0ECB" w:rsidRDefault="009D570F" w:rsidP="000F0ECB">
            <w:pPr>
              <w:pStyle w:val="ListParagraph"/>
              <w:numPr>
                <w:ilvl w:val="0"/>
                <w:numId w:val="18"/>
              </w:numPr>
              <w:tabs>
                <w:tab w:val="left" w:pos="180"/>
              </w:tabs>
              <w:ind w:left="0" w:firstLine="0"/>
              <w:rPr>
                <w:sz w:val="18"/>
                <w:szCs w:val="18"/>
                <w:lang w:val="sv-SE"/>
              </w:rPr>
            </w:pPr>
            <w:r w:rsidRPr="000F0ECB">
              <w:rPr>
                <w:sz w:val="18"/>
                <w:szCs w:val="18"/>
                <w:lang w:val="sv-SE"/>
              </w:rPr>
              <w:t>Mortalidad por enfermedades no transmisibles: cardiovasculares, cáncer, diabetes y respiratorias crónicas, desagregado por edad y sexo</w:t>
            </w:r>
          </w:p>
        </w:tc>
        <w:tc>
          <w:tcPr>
            <w:tcW w:w="1419" w:type="dxa"/>
          </w:tcPr>
          <w:p w14:paraId="712B8F28" w14:textId="77777777" w:rsidR="009D570F" w:rsidRPr="004D4ACD" w:rsidRDefault="009D570F" w:rsidP="004D4ACD">
            <w:pPr>
              <w:jc w:val="center"/>
              <w:rPr>
                <w:sz w:val="18"/>
                <w:szCs w:val="18"/>
              </w:rPr>
            </w:pPr>
          </w:p>
        </w:tc>
        <w:tc>
          <w:tcPr>
            <w:tcW w:w="1700" w:type="dxa"/>
          </w:tcPr>
          <w:p w14:paraId="2F1FD796" w14:textId="77777777" w:rsidR="009D570F" w:rsidRPr="004D4ACD" w:rsidRDefault="009D570F" w:rsidP="004D4ACD">
            <w:pPr>
              <w:jc w:val="center"/>
              <w:rPr>
                <w:sz w:val="18"/>
                <w:szCs w:val="18"/>
              </w:rPr>
            </w:pPr>
          </w:p>
        </w:tc>
        <w:tc>
          <w:tcPr>
            <w:tcW w:w="1466" w:type="dxa"/>
          </w:tcPr>
          <w:p w14:paraId="739E5840" w14:textId="77777777" w:rsidR="009D570F" w:rsidRPr="004D4ACD" w:rsidRDefault="009D570F" w:rsidP="004D4ACD">
            <w:pPr>
              <w:jc w:val="center"/>
              <w:rPr>
                <w:sz w:val="18"/>
                <w:szCs w:val="18"/>
              </w:rPr>
            </w:pPr>
          </w:p>
        </w:tc>
        <w:tc>
          <w:tcPr>
            <w:tcW w:w="1414" w:type="dxa"/>
            <w:vAlign w:val="center"/>
          </w:tcPr>
          <w:p w14:paraId="1CAC8963" w14:textId="77777777" w:rsidR="009D570F" w:rsidRPr="004D4ACD" w:rsidRDefault="009D570F" w:rsidP="004D4ACD">
            <w:pPr>
              <w:tabs>
                <w:tab w:val="left" w:pos="2295"/>
              </w:tabs>
              <w:jc w:val="center"/>
              <w:rPr>
                <w:sz w:val="18"/>
                <w:szCs w:val="18"/>
                <w:lang w:val="sv-SE"/>
              </w:rPr>
            </w:pPr>
            <w:r w:rsidRPr="004D4ACD">
              <w:rPr>
                <w:sz w:val="18"/>
                <w:szCs w:val="18"/>
                <w:lang w:val="sv-SE"/>
              </w:rPr>
              <w:t>Pilar 3. Meta 1. R.11</w:t>
            </w:r>
          </w:p>
        </w:tc>
        <w:tc>
          <w:tcPr>
            <w:tcW w:w="1416" w:type="dxa"/>
            <w:vAlign w:val="center"/>
          </w:tcPr>
          <w:p w14:paraId="221F5171" w14:textId="77777777" w:rsidR="009D570F" w:rsidRPr="004D4ACD" w:rsidRDefault="009D570F" w:rsidP="004D4ACD">
            <w:pPr>
              <w:tabs>
                <w:tab w:val="left" w:pos="2295"/>
              </w:tabs>
              <w:jc w:val="center"/>
              <w:rPr>
                <w:sz w:val="18"/>
                <w:szCs w:val="18"/>
                <w:lang w:val="sv-SE"/>
              </w:rPr>
            </w:pPr>
            <w:r w:rsidRPr="004D4ACD">
              <w:rPr>
                <w:sz w:val="18"/>
                <w:szCs w:val="18"/>
                <w:lang w:val="sv-SE"/>
              </w:rPr>
              <w:t>3.4.1</w:t>
            </w:r>
          </w:p>
        </w:tc>
      </w:tr>
      <w:tr w:rsidR="00655E9C" w:rsidRPr="004D4ACD" w14:paraId="4FAF5E97" w14:textId="77777777" w:rsidTr="00552118">
        <w:tc>
          <w:tcPr>
            <w:tcW w:w="2977" w:type="dxa"/>
            <w:vMerge/>
          </w:tcPr>
          <w:p w14:paraId="33A21C39" w14:textId="77777777" w:rsidR="00655E9C" w:rsidRPr="004D4ACD" w:rsidRDefault="00655E9C" w:rsidP="00655E9C">
            <w:pPr>
              <w:rPr>
                <w:b/>
                <w:sz w:val="18"/>
                <w:szCs w:val="18"/>
                <w:lang w:val="sv-SE"/>
              </w:rPr>
            </w:pPr>
          </w:p>
        </w:tc>
        <w:tc>
          <w:tcPr>
            <w:tcW w:w="4634" w:type="dxa"/>
          </w:tcPr>
          <w:p w14:paraId="6D2193EA" w14:textId="63A2F66C" w:rsidR="00655E9C" w:rsidRPr="000F0ECB" w:rsidRDefault="00655E9C" w:rsidP="000F0ECB">
            <w:pPr>
              <w:pStyle w:val="ListParagraph"/>
              <w:numPr>
                <w:ilvl w:val="0"/>
                <w:numId w:val="18"/>
              </w:numPr>
              <w:tabs>
                <w:tab w:val="left" w:pos="180"/>
              </w:tabs>
              <w:ind w:left="0" w:firstLine="0"/>
              <w:rPr>
                <w:sz w:val="18"/>
                <w:szCs w:val="18"/>
                <w:lang w:val="sv-SE"/>
              </w:rPr>
            </w:pPr>
            <w:r w:rsidRPr="000F0ECB">
              <w:rPr>
                <w:sz w:val="18"/>
                <w:szCs w:val="18"/>
                <w:lang w:val="sv-SE"/>
              </w:rPr>
              <w:t>Tasa neta de cobertura (nivel inicial en familia comunitaria escolarizada (4 – 5 años), primario y secundario)  y término de educación  (primaria y secundaria) desagregado por sexo, área, edad</w:t>
            </w:r>
          </w:p>
        </w:tc>
        <w:tc>
          <w:tcPr>
            <w:tcW w:w="1419" w:type="dxa"/>
            <w:vAlign w:val="center"/>
          </w:tcPr>
          <w:p w14:paraId="3C3476B6" w14:textId="77777777" w:rsidR="00655E9C" w:rsidRPr="004D4ACD" w:rsidRDefault="00655E9C" w:rsidP="004D4ACD">
            <w:pPr>
              <w:jc w:val="center"/>
              <w:rPr>
                <w:sz w:val="18"/>
                <w:szCs w:val="18"/>
              </w:rPr>
            </w:pPr>
            <w:r w:rsidRPr="004D4ACD">
              <w:rPr>
                <w:sz w:val="18"/>
                <w:szCs w:val="18"/>
              </w:rPr>
              <w:t>62,33 (2012) Cobertura neta inicial</w:t>
            </w:r>
            <w:r w:rsidRPr="004D4ACD">
              <w:rPr>
                <w:sz w:val="18"/>
                <w:szCs w:val="18"/>
              </w:rPr>
              <w:br/>
              <w:t>72,59 (2012) Cobertura neta secundaria</w:t>
            </w:r>
            <w:r w:rsidRPr="004D4ACD">
              <w:rPr>
                <w:sz w:val="18"/>
                <w:szCs w:val="18"/>
              </w:rPr>
              <w:br/>
              <w:t>27,10  (2012) Tasa término secundaria</w:t>
            </w:r>
            <w:r w:rsidRPr="004D4ACD">
              <w:rPr>
                <w:sz w:val="18"/>
                <w:szCs w:val="18"/>
              </w:rPr>
              <w:br/>
              <w:t>(neta)</w:t>
            </w:r>
          </w:p>
        </w:tc>
        <w:tc>
          <w:tcPr>
            <w:tcW w:w="1700" w:type="dxa"/>
          </w:tcPr>
          <w:p w14:paraId="43BB03F3" w14:textId="77777777" w:rsidR="00CF5331" w:rsidRPr="004D4ACD" w:rsidRDefault="00655E9C" w:rsidP="004D4ACD">
            <w:pPr>
              <w:jc w:val="center"/>
              <w:rPr>
                <w:sz w:val="18"/>
                <w:szCs w:val="18"/>
              </w:rPr>
            </w:pPr>
            <w:r w:rsidRPr="004D4ACD">
              <w:rPr>
                <w:sz w:val="18"/>
                <w:szCs w:val="18"/>
              </w:rPr>
              <w:t>80%</w:t>
            </w:r>
            <w:r w:rsidRPr="004D4ACD">
              <w:rPr>
                <w:sz w:val="18"/>
                <w:szCs w:val="18"/>
              </w:rPr>
              <w:br/>
            </w:r>
          </w:p>
          <w:p w14:paraId="78936754" w14:textId="77777777" w:rsidR="00CF5331" w:rsidRPr="004D4ACD" w:rsidRDefault="00655E9C" w:rsidP="004D4ACD">
            <w:pPr>
              <w:jc w:val="center"/>
              <w:rPr>
                <w:sz w:val="18"/>
                <w:szCs w:val="18"/>
              </w:rPr>
            </w:pPr>
            <w:r w:rsidRPr="004D4ACD">
              <w:rPr>
                <w:sz w:val="18"/>
                <w:szCs w:val="18"/>
              </w:rPr>
              <w:br/>
              <w:t>85%</w:t>
            </w:r>
            <w:r w:rsidRPr="004D4ACD">
              <w:rPr>
                <w:sz w:val="18"/>
                <w:szCs w:val="18"/>
              </w:rPr>
              <w:br/>
            </w:r>
          </w:p>
          <w:p w14:paraId="49EFEA7D" w14:textId="77777777" w:rsidR="00655E9C" w:rsidRPr="004D4ACD" w:rsidRDefault="00655E9C" w:rsidP="004D4ACD">
            <w:pPr>
              <w:jc w:val="center"/>
              <w:rPr>
                <w:sz w:val="18"/>
                <w:szCs w:val="18"/>
              </w:rPr>
            </w:pPr>
            <w:r w:rsidRPr="004D4ACD">
              <w:rPr>
                <w:sz w:val="18"/>
                <w:szCs w:val="18"/>
              </w:rPr>
              <w:br/>
              <w:t>50%</w:t>
            </w:r>
          </w:p>
        </w:tc>
        <w:tc>
          <w:tcPr>
            <w:tcW w:w="1466" w:type="dxa"/>
            <w:vAlign w:val="center"/>
          </w:tcPr>
          <w:p w14:paraId="1403A9AF" w14:textId="1FACC73D" w:rsidR="00655E9C" w:rsidRPr="004D4ACD" w:rsidRDefault="00655E9C" w:rsidP="004D4ACD">
            <w:pPr>
              <w:jc w:val="center"/>
              <w:rPr>
                <w:sz w:val="18"/>
                <w:szCs w:val="18"/>
              </w:rPr>
            </w:pPr>
          </w:p>
        </w:tc>
        <w:tc>
          <w:tcPr>
            <w:tcW w:w="1414" w:type="dxa"/>
            <w:vAlign w:val="center"/>
          </w:tcPr>
          <w:p w14:paraId="6B91641B" w14:textId="77777777" w:rsidR="00655E9C" w:rsidRPr="004D4ACD" w:rsidRDefault="00655E9C" w:rsidP="004D4ACD">
            <w:pPr>
              <w:tabs>
                <w:tab w:val="left" w:pos="2295"/>
              </w:tabs>
              <w:jc w:val="center"/>
              <w:rPr>
                <w:sz w:val="18"/>
                <w:szCs w:val="18"/>
                <w:lang w:val="sv-SE"/>
              </w:rPr>
            </w:pPr>
            <w:r w:rsidRPr="004D4ACD">
              <w:rPr>
                <w:sz w:val="18"/>
                <w:szCs w:val="18"/>
                <w:lang w:val="sv-SE"/>
              </w:rPr>
              <w:t>Pilar 3. Meta 3</w:t>
            </w:r>
          </w:p>
          <w:p w14:paraId="43BA4F3A" w14:textId="77777777" w:rsidR="00655E9C" w:rsidRPr="004D4ACD" w:rsidRDefault="00655E9C" w:rsidP="004D4ACD">
            <w:pPr>
              <w:tabs>
                <w:tab w:val="left" w:pos="2295"/>
              </w:tabs>
              <w:jc w:val="center"/>
              <w:rPr>
                <w:sz w:val="18"/>
                <w:szCs w:val="18"/>
                <w:lang w:val="sv-SE"/>
              </w:rPr>
            </w:pPr>
            <w:r w:rsidRPr="004D4ACD">
              <w:rPr>
                <w:sz w:val="18"/>
                <w:szCs w:val="18"/>
                <w:lang w:val="sv-SE"/>
              </w:rPr>
              <w:t>R. 1 R. 4</w:t>
            </w:r>
          </w:p>
        </w:tc>
        <w:tc>
          <w:tcPr>
            <w:tcW w:w="1416" w:type="dxa"/>
            <w:vAlign w:val="center"/>
          </w:tcPr>
          <w:p w14:paraId="5D7E41CE" w14:textId="77777777" w:rsidR="00655E9C" w:rsidRPr="004D4ACD" w:rsidRDefault="00655E9C" w:rsidP="004D4ACD">
            <w:pPr>
              <w:tabs>
                <w:tab w:val="left" w:pos="2295"/>
              </w:tabs>
              <w:jc w:val="center"/>
              <w:rPr>
                <w:sz w:val="18"/>
                <w:szCs w:val="18"/>
                <w:lang w:val="sv-SE"/>
              </w:rPr>
            </w:pPr>
            <w:r w:rsidRPr="004D4ACD">
              <w:rPr>
                <w:sz w:val="18"/>
                <w:szCs w:val="18"/>
                <w:lang w:val="sv-SE"/>
              </w:rPr>
              <w:t>4.1.1</w:t>
            </w:r>
          </w:p>
        </w:tc>
      </w:tr>
      <w:tr w:rsidR="00655E9C" w:rsidRPr="004D4ACD" w14:paraId="2AC04F4A" w14:textId="77777777" w:rsidTr="00552118">
        <w:tc>
          <w:tcPr>
            <w:tcW w:w="2977" w:type="dxa"/>
            <w:vMerge/>
          </w:tcPr>
          <w:p w14:paraId="15CCB022" w14:textId="77777777" w:rsidR="00655E9C" w:rsidRPr="004D4ACD" w:rsidRDefault="00655E9C" w:rsidP="00655E9C">
            <w:pPr>
              <w:rPr>
                <w:b/>
                <w:sz w:val="18"/>
                <w:szCs w:val="18"/>
                <w:lang w:val="sv-SE"/>
              </w:rPr>
            </w:pPr>
          </w:p>
        </w:tc>
        <w:tc>
          <w:tcPr>
            <w:tcW w:w="4634" w:type="dxa"/>
          </w:tcPr>
          <w:p w14:paraId="688DC3B1" w14:textId="4D1368B3" w:rsidR="00655E9C" w:rsidRPr="002D385F" w:rsidRDefault="003A5BF9" w:rsidP="000F0ECB">
            <w:pPr>
              <w:pStyle w:val="ListParagraph"/>
              <w:numPr>
                <w:ilvl w:val="0"/>
                <w:numId w:val="18"/>
              </w:numPr>
              <w:tabs>
                <w:tab w:val="left" w:pos="180"/>
              </w:tabs>
              <w:ind w:left="0" w:firstLine="0"/>
              <w:rPr>
                <w:sz w:val="18"/>
                <w:szCs w:val="18"/>
                <w:lang w:val="sv-SE"/>
              </w:rPr>
            </w:pPr>
            <w:r w:rsidRPr="002D385F">
              <w:rPr>
                <w:sz w:val="18"/>
                <w:szCs w:val="18"/>
                <w:lang w:val="sv-SE"/>
              </w:rPr>
              <w:t>Nº de reportes oficiales del s</w:t>
            </w:r>
            <w:r w:rsidR="00655E9C" w:rsidRPr="002D385F">
              <w:rPr>
                <w:sz w:val="18"/>
                <w:szCs w:val="18"/>
                <w:lang w:val="sv-SE"/>
              </w:rPr>
              <w:t xml:space="preserve">istema </w:t>
            </w:r>
            <w:r w:rsidRPr="002D385F">
              <w:rPr>
                <w:sz w:val="18"/>
                <w:szCs w:val="18"/>
                <w:lang w:val="sv-SE"/>
              </w:rPr>
              <w:t xml:space="preserve">nacional </w:t>
            </w:r>
            <w:r w:rsidR="00655E9C" w:rsidRPr="002D385F">
              <w:rPr>
                <w:sz w:val="18"/>
                <w:szCs w:val="18"/>
                <w:lang w:val="sv-SE"/>
              </w:rPr>
              <w:t>de monitoreo y medición de la calidad educativa</w:t>
            </w:r>
            <w:r w:rsidRPr="002D385F">
              <w:rPr>
                <w:sz w:val="18"/>
                <w:szCs w:val="18"/>
                <w:lang w:val="sv-SE"/>
              </w:rPr>
              <w:t xml:space="preserve"> </w:t>
            </w:r>
          </w:p>
        </w:tc>
        <w:tc>
          <w:tcPr>
            <w:tcW w:w="1419" w:type="dxa"/>
            <w:vAlign w:val="center"/>
          </w:tcPr>
          <w:p w14:paraId="2199581C" w14:textId="64312989" w:rsidR="00655E9C" w:rsidRPr="002D385F" w:rsidRDefault="003A5BF9" w:rsidP="004D4ACD">
            <w:pPr>
              <w:jc w:val="center"/>
              <w:rPr>
                <w:rFonts w:ascii="Calibri" w:hAnsi="Calibri"/>
                <w:sz w:val="18"/>
                <w:szCs w:val="18"/>
              </w:rPr>
            </w:pPr>
            <w:r w:rsidRPr="002D385F">
              <w:rPr>
                <w:rFonts w:ascii="Calibri" w:hAnsi="Calibri"/>
                <w:sz w:val="18"/>
                <w:szCs w:val="18"/>
              </w:rPr>
              <w:t>NA</w:t>
            </w:r>
          </w:p>
        </w:tc>
        <w:tc>
          <w:tcPr>
            <w:tcW w:w="1700" w:type="dxa"/>
            <w:vAlign w:val="center"/>
          </w:tcPr>
          <w:p w14:paraId="12D5F8DA" w14:textId="77777777" w:rsidR="00655E9C" w:rsidRPr="002D385F" w:rsidRDefault="00655E9C" w:rsidP="004D4ACD">
            <w:pPr>
              <w:jc w:val="center"/>
              <w:rPr>
                <w:rFonts w:ascii="Calibri" w:hAnsi="Calibri"/>
                <w:sz w:val="18"/>
                <w:szCs w:val="18"/>
              </w:rPr>
            </w:pPr>
            <w:r w:rsidRPr="002D385F">
              <w:rPr>
                <w:rFonts w:ascii="Calibri" w:hAnsi="Calibri"/>
                <w:sz w:val="18"/>
                <w:szCs w:val="18"/>
              </w:rPr>
              <w:t>Sistema en funcionamiento.</w:t>
            </w:r>
          </w:p>
          <w:p w14:paraId="35B86C08" w14:textId="77777777" w:rsidR="003A5BF9" w:rsidRPr="002D385F" w:rsidRDefault="003A5BF9" w:rsidP="004D4ACD">
            <w:pPr>
              <w:jc w:val="center"/>
              <w:rPr>
                <w:rFonts w:ascii="Calibri" w:hAnsi="Calibri"/>
                <w:sz w:val="18"/>
                <w:szCs w:val="18"/>
              </w:rPr>
            </w:pPr>
            <w:r w:rsidRPr="002D385F">
              <w:rPr>
                <w:rFonts w:ascii="Calibri" w:hAnsi="Calibri"/>
                <w:sz w:val="18"/>
                <w:szCs w:val="18"/>
              </w:rPr>
              <w:t>Al menos 1 al año</w:t>
            </w:r>
          </w:p>
        </w:tc>
        <w:tc>
          <w:tcPr>
            <w:tcW w:w="1466" w:type="dxa"/>
            <w:vAlign w:val="center"/>
          </w:tcPr>
          <w:p w14:paraId="7F154884" w14:textId="77777777" w:rsidR="00655E9C" w:rsidRPr="004D4ACD" w:rsidRDefault="00655E9C" w:rsidP="004D4ACD">
            <w:pPr>
              <w:jc w:val="center"/>
              <w:rPr>
                <w:rFonts w:ascii="Calibri" w:hAnsi="Calibri"/>
                <w:color w:val="000000"/>
                <w:sz w:val="18"/>
                <w:szCs w:val="18"/>
              </w:rPr>
            </w:pPr>
            <w:r w:rsidRPr="004D4ACD">
              <w:rPr>
                <w:rFonts w:ascii="Calibri" w:hAnsi="Calibri"/>
                <w:color w:val="000000"/>
                <w:sz w:val="18"/>
                <w:szCs w:val="18"/>
              </w:rPr>
              <w:t>Estructura Sistema.</w:t>
            </w:r>
            <w:r w:rsidRPr="004D4ACD">
              <w:rPr>
                <w:rFonts w:ascii="Calibri" w:hAnsi="Calibri"/>
                <w:color w:val="000000"/>
                <w:sz w:val="18"/>
                <w:szCs w:val="18"/>
              </w:rPr>
              <w:br/>
              <w:t>Reportes Institucionales.</w:t>
            </w:r>
          </w:p>
        </w:tc>
        <w:tc>
          <w:tcPr>
            <w:tcW w:w="1414" w:type="dxa"/>
            <w:vAlign w:val="center"/>
          </w:tcPr>
          <w:p w14:paraId="6E8BF972" w14:textId="42642A21" w:rsidR="00655E9C" w:rsidRPr="004D4ACD" w:rsidRDefault="00655E9C" w:rsidP="004D4ACD">
            <w:pPr>
              <w:tabs>
                <w:tab w:val="left" w:pos="2295"/>
              </w:tabs>
              <w:jc w:val="center"/>
              <w:rPr>
                <w:sz w:val="18"/>
                <w:szCs w:val="18"/>
                <w:lang w:val="sv-SE"/>
              </w:rPr>
            </w:pPr>
            <w:r w:rsidRPr="004D4ACD">
              <w:rPr>
                <w:sz w:val="18"/>
                <w:szCs w:val="18"/>
                <w:lang w:val="sv-SE"/>
              </w:rPr>
              <w:t>Pilar 3 Meta 4</w:t>
            </w:r>
          </w:p>
          <w:p w14:paraId="0AED703F" w14:textId="77777777" w:rsidR="00655E9C" w:rsidRPr="004D4ACD" w:rsidRDefault="00655E9C" w:rsidP="004D4ACD">
            <w:pPr>
              <w:tabs>
                <w:tab w:val="left" w:pos="2295"/>
              </w:tabs>
              <w:jc w:val="center"/>
              <w:rPr>
                <w:sz w:val="18"/>
                <w:szCs w:val="18"/>
                <w:lang w:val="sv-SE"/>
              </w:rPr>
            </w:pPr>
            <w:r w:rsidRPr="004D4ACD">
              <w:rPr>
                <w:sz w:val="18"/>
                <w:szCs w:val="18"/>
                <w:lang w:val="sv-SE"/>
              </w:rPr>
              <w:t>R.1 R.2</w:t>
            </w:r>
          </w:p>
        </w:tc>
        <w:tc>
          <w:tcPr>
            <w:tcW w:w="1416" w:type="dxa"/>
            <w:vAlign w:val="center"/>
          </w:tcPr>
          <w:p w14:paraId="51F7CEAB" w14:textId="77777777" w:rsidR="00655E9C" w:rsidRPr="004D4ACD" w:rsidRDefault="00655E9C" w:rsidP="004D4ACD">
            <w:pPr>
              <w:tabs>
                <w:tab w:val="left" w:pos="2295"/>
              </w:tabs>
              <w:jc w:val="center"/>
              <w:rPr>
                <w:sz w:val="18"/>
                <w:szCs w:val="18"/>
                <w:lang w:val="sv-SE"/>
              </w:rPr>
            </w:pPr>
            <w:r w:rsidRPr="004D4ACD">
              <w:rPr>
                <w:sz w:val="18"/>
                <w:szCs w:val="18"/>
                <w:lang w:val="sv-SE"/>
              </w:rPr>
              <w:t>ODS 4</w:t>
            </w:r>
          </w:p>
        </w:tc>
      </w:tr>
      <w:tr w:rsidR="009D570F" w:rsidRPr="004D4ACD" w14:paraId="565A4132" w14:textId="77777777" w:rsidTr="00552118">
        <w:tc>
          <w:tcPr>
            <w:tcW w:w="2977" w:type="dxa"/>
            <w:vMerge/>
          </w:tcPr>
          <w:p w14:paraId="2EAE8334" w14:textId="77777777" w:rsidR="009D570F" w:rsidRPr="004D4ACD" w:rsidRDefault="009D570F" w:rsidP="009D570F">
            <w:pPr>
              <w:rPr>
                <w:b/>
                <w:sz w:val="18"/>
                <w:szCs w:val="18"/>
                <w:lang w:val="sv-SE"/>
              </w:rPr>
            </w:pPr>
          </w:p>
        </w:tc>
        <w:tc>
          <w:tcPr>
            <w:tcW w:w="4634" w:type="dxa"/>
          </w:tcPr>
          <w:p w14:paraId="77EC3A01" w14:textId="4A9E62F9" w:rsidR="008A24B8" w:rsidRPr="000F0ECB" w:rsidRDefault="00EC6DC5" w:rsidP="000F0ECB">
            <w:pPr>
              <w:pStyle w:val="ListParagraph"/>
              <w:numPr>
                <w:ilvl w:val="0"/>
                <w:numId w:val="18"/>
              </w:numPr>
              <w:tabs>
                <w:tab w:val="left" w:pos="180"/>
              </w:tabs>
              <w:ind w:left="0" w:firstLine="0"/>
              <w:rPr>
                <w:sz w:val="18"/>
                <w:szCs w:val="18"/>
                <w:lang w:val="sv-SE"/>
              </w:rPr>
            </w:pPr>
            <w:r w:rsidRPr="000F0ECB">
              <w:rPr>
                <w:sz w:val="18"/>
                <w:szCs w:val="18"/>
                <w:lang w:val="sv-SE"/>
              </w:rPr>
              <w:t>P</w:t>
            </w:r>
            <w:r w:rsidR="009D570F" w:rsidRPr="000F0ECB">
              <w:rPr>
                <w:sz w:val="18"/>
                <w:szCs w:val="18"/>
                <w:lang w:val="sv-SE"/>
              </w:rPr>
              <w:t>orcentaje de habitantes con acesso a servicios de agua y saneamiento de calidad, sostenible y mejorado (urbano, pequeñas comunidades, rural)</w:t>
            </w:r>
          </w:p>
        </w:tc>
        <w:tc>
          <w:tcPr>
            <w:tcW w:w="1419" w:type="dxa"/>
          </w:tcPr>
          <w:p w14:paraId="36832370" w14:textId="77777777" w:rsidR="008A24B8" w:rsidRPr="004D4ACD" w:rsidRDefault="008A24B8" w:rsidP="004D4ACD">
            <w:pPr>
              <w:jc w:val="center"/>
              <w:rPr>
                <w:sz w:val="18"/>
                <w:szCs w:val="18"/>
                <w:lang w:val="sv-SE"/>
              </w:rPr>
            </w:pPr>
            <w:r w:rsidRPr="004D4ACD">
              <w:rPr>
                <w:sz w:val="18"/>
                <w:szCs w:val="18"/>
                <w:lang w:val="sv-SE"/>
              </w:rPr>
              <w:t>Agua:</w:t>
            </w:r>
          </w:p>
          <w:p w14:paraId="5FF3473E" w14:textId="77777777" w:rsidR="008A24B8" w:rsidRPr="004D4ACD" w:rsidRDefault="008A24B8" w:rsidP="004D4ACD">
            <w:pPr>
              <w:jc w:val="center"/>
              <w:rPr>
                <w:sz w:val="18"/>
                <w:szCs w:val="18"/>
                <w:lang w:val="sv-SE"/>
              </w:rPr>
            </w:pPr>
            <w:r w:rsidRPr="004D4ACD">
              <w:rPr>
                <w:sz w:val="18"/>
                <w:szCs w:val="18"/>
                <w:lang w:val="sv-SE"/>
              </w:rPr>
              <w:t>Rural 66,3%</w:t>
            </w:r>
          </w:p>
          <w:p w14:paraId="13010146" w14:textId="77777777" w:rsidR="008A24B8" w:rsidRPr="004D4ACD" w:rsidRDefault="008A24B8" w:rsidP="004D4ACD">
            <w:pPr>
              <w:jc w:val="center"/>
              <w:rPr>
                <w:sz w:val="18"/>
                <w:szCs w:val="18"/>
                <w:lang w:val="sv-SE"/>
              </w:rPr>
            </w:pPr>
            <w:r w:rsidRPr="004D4ACD">
              <w:rPr>
                <w:sz w:val="18"/>
                <w:szCs w:val="18"/>
                <w:lang w:val="sv-SE"/>
              </w:rPr>
              <w:t>Pequenas comunidades 92,2%</w:t>
            </w:r>
          </w:p>
          <w:p w14:paraId="289A958D" w14:textId="77777777" w:rsidR="008A24B8" w:rsidRPr="004D4ACD" w:rsidRDefault="008A24B8" w:rsidP="004D4ACD">
            <w:pPr>
              <w:jc w:val="center"/>
              <w:rPr>
                <w:sz w:val="18"/>
                <w:szCs w:val="18"/>
                <w:lang w:val="sv-SE"/>
              </w:rPr>
            </w:pPr>
            <w:r w:rsidRPr="004D4ACD">
              <w:rPr>
                <w:sz w:val="18"/>
                <w:szCs w:val="18"/>
                <w:lang w:val="sv-SE"/>
              </w:rPr>
              <w:t>Urbana 93,8%</w:t>
            </w:r>
          </w:p>
          <w:p w14:paraId="4D6801C3" w14:textId="77777777" w:rsidR="008A24B8" w:rsidRPr="004D4ACD" w:rsidRDefault="008A24B8" w:rsidP="004D4ACD">
            <w:pPr>
              <w:jc w:val="center"/>
              <w:rPr>
                <w:sz w:val="18"/>
                <w:szCs w:val="18"/>
                <w:lang w:val="sv-SE"/>
              </w:rPr>
            </w:pPr>
            <w:r w:rsidRPr="004D4ACD">
              <w:rPr>
                <w:sz w:val="18"/>
                <w:szCs w:val="18"/>
                <w:lang w:val="sv-SE"/>
              </w:rPr>
              <w:t>Saneamiento:</w:t>
            </w:r>
          </w:p>
          <w:p w14:paraId="2A1870E1" w14:textId="77777777" w:rsidR="008A24B8" w:rsidRPr="004D4ACD" w:rsidRDefault="008A24B8" w:rsidP="004D4ACD">
            <w:pPr>
              <w:jc w:val="center"/>
              <w:rPr>
                <w:sz w:val="18"/>
                <w:szCs w:val="18"/>
                <w:lang w:val="sv-SE"/>
              </w:rPr>
            </w:pPr>
            <w:r w:rsidRPr="004D4ACD">
              <w:rPr>
                <w:sz w:val="18"/>
                <w:szCs w:val="18"/>
                <w:lang w:val="sv-SE"/>
              </w:rPr>
              <w:t>Rural 42,8%</w:t>
            </w:r>
          </w:p>
          <w:p w14:paraId="06AF35D1" w14:textId="77777777" w:rsidR="008A24B8" w:rsidRPr="004D4ACD" w:rsidRDefault="008A24B8" w:rsidP="004D4ACD">
            <w:pPr>
              <w:jc w:val="center"/>
              <w:rPr>
                <w:sz w:val="18"/>
                <w:szCs w:val="18"/>
                <w:lang w:val="sv-SE"/>
              </w:rPr>
            </w:pPr>
            <w:r w:rsidRPr="004D4ACD">
              <w:rPr>
                <w:sz w:val="18"/>
                <w:szCs w:val="18"/>
                <w:lang w:val="sv-SE"/>
              </w:rPr>
              <w:t>Pequenas comunidades 37,4%</w:t>
            </w:r>
          </w:p>
          <w:p w14:paraId="3C7A2995" w14:textId="0AB050BF" w:rsidR="008A24B8" w:rsidRPr="004D4ACD" w:rsidRDefault="008A24B8" w:rsidP="004D4ACD">
            <w:pPr>
              <w:jc w:val="center"/>
              <w:rPr>
                <w:color w:val="FF0000"/>
                <w:sz w:val="18"/>
                <w:szCs w:val="18"/>
                <w:lang w:val="sv-SE"/>
              </w:rPr>
            </w:pPr>
            <w:r w:rsidRPr="004D4ACD">
              <w:rPr>
                <w:sz w:val="18"/>
                <w:szCs w:val="18"/>
                <w:lang w:val="sv-SE"/>
              </w:rPr>
              <w:t>Urbana 67,2%</w:t>
            </w:r>
          </w:p>
        </w:tc>
        <w:tc>
          <w:tcPr>
            <w:tcW w:w="1700" w:type="dxa"/>
          </w:tcPr>
          <w:p w14:paraId="70F02D9E" w14:textId="77777777" w:rsidR="009D570F" w:rsidRPr="004D4ACD" w:rsidRDefault="009D570F" w:rsidP="004D4ACD">
            <w:pPr>
              <w:jc w:val="center"/>
              <w:rPr>
                <w:sz w:val="18"/>
                <w:szCs w:val="18"/>
                <w:lang w:val="sv-SE"/>
              </w:rPr>
            </w:pPr>
          </w:p>
          <w:p w14:paraId="59FDC81C" w14:textId="77777777" w:rsidR="008A24B8" w:rsidRPr="004D4ACD" w:rsidRDefault="008A24B8" w:rsidP="004D4ACD">
            <w:pPr>
              <w:jc w:val="center"/>
              <w:rPr>
                <w:sz w:val="18"/>
                <w:szCs w:val="18"/>
              </w:rPr>
            </w:pPr>
            <w:r w:rsidRPr="004D4ACD">
              <w:rPr>
                <w:sz w:val="18"/>
                <w:szCs w:val="18"/>
              </w:rPr>
              <w:t>Agua:</w:t>
            </w:r>
          </w:p>
          <w:p w14:paraId="77F2C1CB" w14:textId="77777777" w:rsidR="008A24B8" w:rsidRPr="004D4ACD" w:rsidRDefault="008A24B8" w:rsidP="004D4ACD">
            <w:pPr>
              <w:jc w:val="center"/>
              <w:rPr>
                <w:sz w:val="18"/>
                <w:szCs w:val="18"/>
              </w:rPr>
            </w:pPr>
            <w:r w:rsidRPr="004D4ACD">
              <w:rPr>
                <w:sz w:val="18"/>
                <w:szCs w:val="18"/>
              </w:rPr>
              <w:t>Rural 86%</w:t>
            </w:r>
          </w:p>
          <w:p w14:paraId="370190F7" w14:textId="2F3D4242" w:rsidR="008A24B8" w:rsidRPr="004D4ACD" w:rsidRDefault="004D4ACD" w:rsidP="004D4ACD">
            <w:pPr>
              <w:jc w:val="center"/>
              <w:rPr>
                <w:sz w:val="18"/>
                <w:szCs w:val="18"/>
              </w:rPr>
            </w:pPr>
            <w:r>
              <w:rPr>
                <w:sz w:val="18"/>
                <w:szCs w:val="18"/>
              </w:rPr>
              <w:t>Pequeñ</w:t>
            </w:r>
            <w:r w:rsidR="008A24B8" w:rsidRPr="004D4ACD">
              <w:rPr>
                <w:sz w:val="18"/>
                <w:szCs w:val="18"/>
              </w:rPr>
              <w:t>as comunidades 96%</w:t>
            </w:r>
          </w:p>
          <w:p w14:paraId="52233643" w14:textId="77777777" w:rsidR="008A24B8" w:rsidRPr="004D4ACD" w:rsidRDefault="008A24B8" w:rsidP="004D4ACD">
            <w:pPr>
              <w:jc w:val="center"/>
              <w:rPr>
                <w:sz w:val="18"/>
                <w:szCs w:val="18"/>
              </w:rPr>
            </w:pPr>
            <w:r w:rsidRPr="004D4ACD">
              <w:rPr>
                <w:sz w:val="18"/>
                <w:szCs w:val="18"/>
              </w:rPr>
              <w:t>Urbana 96%</w:t>
            </w:r>
          </w:p>
          <w:p w14:paraId="2BE57CB6" w14:textId="77777777" w:rsidR="008A24B8" w:rsidRPr="004D4ACD" w:rsidRDefault="008A24B8" w:rsidP="004D4ACD">
            <w:pPr>
              <w:jc w:val="center"/>
              <w:rPr>
                <w:sz w:val="18"/>
                <w:szCs w:val="18"/>
              </w:rPr>
            </w:pPr>
            <w:r w:rsidRPr="004D4ACD">
              <w:rPr>
                <w:sz w:val="18"/>
                <w:szCs w:val="18"/>
              </w:rPr>
              <w:t>Saneamiento:</w:t>
            </w:r>
          </w:p>
          <w:p w14:paraId="1DEE19D3" w14:textId="77777777" w:rsidR="008A24B8" w:rsidRPr="004D4ACD" w:rsidRDefault="008A24B8" w:rsidP="004D4ACD">
            <w:pPr>
              <w:jc w:val="center"/>
              <w:rPr>
                <w:sz w:val="18"/>
                <w:szCs w:val="18"/>
              </w:rPr>
            </w:pPr>
            <w:r w:rsidRPr="004D4ACD">
              <w:rPr>
                <w:sz w:val="18"/>
                <w:szCs w:val="18"/>
              </w:rPr>
              <w:t>Rural 60%</w:t>
            </w:r>
          </w:p>
          <w:p w14:paraId="526186F9" w14:textId="73D724D4" w:rsidR="008A24B8" w:rsidRPr="004D4ACD" w:rsidRDefault="004D4ACD" w:rsidP="004D4ACD">
            <w:pPr>
              <w:jc w:val="center"/>
              <w:rPr>
                <w:sz w:val="18"/>
                <w:szCs w:val="18"/>
              </w:rPr>
            </w:pPr>
            <w:r>
              <w:rPr>
                <w:sz w:val="18"/>
                <w:szCs w:val="18"/>
              </w:rPr>
              <w:t>Pequeñ</w:t>
            </w:r>
            <w:r w:rsidR="008A24B8" w:rsidRPr="004D4ACD">
              <w:rPr>
                <w:sz w:val="18"/>
                <w:szCs w:val="18"/>
              </w:rPr>
              <w:t>as comunidades 60%</w:t>
            </w:r>
          </w:p>
          <w:p w14:paraId="3599FE4A" w14:textId="0283D7B3" w:rsidR="008A24B8" w:rsidRPr="004D4ACD" w:rsidRDefault="008A24B8" w:rsidP="004D4ACD">
            <w:pPr>
              <w:jc w:val="center"/>
              <w:rPr>
                <w:sz w:val="18"/>
                <w:szCs w:val="18"/>
              </w:rPr>
            </w:pPr>
            <w:r w:rsidRPr="004D4ACD">
              <w:rPr>
                <w:sz w:val="18"/>
                <w:szCs w:val="18"/>
              </w:rPr>
              <w:t>Urbana 75%</w:t>
            </w:r>
          </w:p>
        </w:tc>
        <w:tc>
          <w:tcPr>
            <w:tcW w:w="1466" w:type="dxa"/>
          </w:tcPr>
          <w:p w14:paraId="6FBD2975" w14:textId="15CB14AF" w:rsidR="009D570F" w:rsidRPr="004D4ACD" w:rsidRDefault="008A24B8" w:rsidP="004D4ACD">
            <w:pPr>
              <w:jc w:val="center"/>
              <w:rPr>
                <w:sz w:val="18"/>
                <w:szCs w:val="18"/>
              </w:rPr>
            </w:pPr>
            <w:r w:rsidRPr="004D4ACD">
              <w:rPr>
                <w:sz w:val="18"/>
                <w:szCs w:val="18"/>
              </w:rPr>
              <w:t>Sistemas de Información del Ministerio de Media Ambiente y Agua</w:t>
            </w:r>
          </w:p>
        </w:tc>
        <w:tc>
          <w:tcPr>
            <w:tcW w:w="1414" w:type="dxa"/>
            <w:vAlign w:val="center"/>
          </w:tcPr>
          <w:p w14:paraId="46EC5FC5" w14:textId="77777777" w:rsidR="009D570F" w:rsidRPr="004D4ACD" w:rsidRDefault="009D570F" w:rsidP="004D4ACD">
            <w:pPr>
              <w:jc w:val="center"/>
              <w:rPr>
                <w:sz w:val="18"/>
                <w:szCs w:val="18"/>
                <w:lang w:val="sv-SE"/>
              </w:rPr>
            </w:pPr>
            <w:r w:rsidRPr="004D4ACD">
              <w:rPr>
                <w:sz w:val="18"/>
                <w:szCs w:val="18"/>
                <w:lang w:val="sv-SE"/>
              </w:rPr>
              <w:t>Pilar 2. Meta1. R.1 R 2 R.3 R4</w:t>
            </w:r>
          </w:p>
        </w:tc>
        <w:tc>
          <w:tcPr>
            <w:tcW w:w="1416" w:type="dxa"/>
            <w:vAlign w:val="center"/>
          </w:tcPr>
          <w:p w14:paraId="7522E28D" w14:textId="77777777" w:rsidR="009D570F" w:rsidRPr="004D4ACD" w:rsidRDefault="009D570F" w:rsidP="004D4ACD">
            <w:pPr>
              <w:jc w:val="center"/>
              <w:rPr>
                <w:sz w:val="18"/>
                <w:szCs w:val="18"/>
                <w:lang w:val="sv-SE"/>
              </w:rPr>
            </w:pPr>
            <w:r w:rsidRPr="004D4ACD">
              <w:rPr>
                <w:sz w:val="18"/>
                <w:szCs w:val="18"/>
                <w:lang w:val="sv-SE"/>
              </w:rPr>
              <w:t>6.2.1</w:t>
            </w:r>
          </w:p>
        </w:tc>
      </w:tr>
      <w:tr w:rsidR="00655E9C" w:rsidRPr="008B7F0A" w14:paraId="48687519" w14:textId="77777777" w:rsidTr="00552118">
        <w:tc>
          <w:tcPr>
            <w:tcW w:w="12196" w:type="dxa"/>
            <w:gridSpan w:val="5"/>
            <w:shd w:val="clear" w:color="auto" w:fill="2E74B5" w:themeFill="accent1" w:themeFillShade="BF"/>
          </w:tcPr>
          <w:p w14:paraId="5F83EC4F" w14:textId="77777777" w:rsidR="00655E9C" w:rsidRPr="008B7F0A" w:rsidRDefault="00655E9C" w:rsidP="00655E9C">
            <w:pPr>
              <w:rPr>
                <w:b/>
              </w:rPr>
            </w:pPr>
            <w:r w:rsidRPr="008B7F0A">
              <w:rPr>
                <w:b/>
                <w:color w:val="FFFFFF" w:themeColor="background1"/>
              </w:rPr>
              <w:t>ÁREA 2. DESARROLLO INTEGRAL Y ECONOMÍA PLURAL</w:t>
            </w:r>
          </w:p>
        </w:tc>
        <w:tc>
          <w:tcPr>
            <w:tcW w:w="1414" w:type="dxa"/>
            <w:shd w:val="clear" w:color="auto" w:fill="2E74B5" w:themeFill="accent1" w:themeFillShade="BF"/>
          </w:tcPr>
          <w:p w14:paraId="630D8809" w14:textId="77777777" w:rsidR="00655E9C" w:rsidRPr="008B7F0A" w:rsidRDefault="00655E9C" w:rsidP="00234D6E">
            <w:pPr>
              <w:rPr>
                <w:b/>
                <w:color w:val="FFFFFF" w:themeColor="background1"/>
              </w:rPr>
            </w:pPr>
          </w:p>
        </w:tc>
        <w:tc>
          <w:tcPr>
            <w:tcW w:w="1416" w:type="dxa"/>
            <w:shd w:val="clear" w:color="auto" w:fill="2E74B5" w:themeFill="accent1" w:themeFillShade="BF"/>
          </w:tcPr>
          <w:p w14:paraId="1928AC58" w14:textId="77777777" w:rsidR="00655E9C" w:rsidRPr="008B7F0A" w:rsidRDefault="00655E9C" w:rsidP="00234D6E">
            <w:pPr>
              <w:rPr>
                <w:b/>
                <w:color w:val="FFFFFF" w:themeColor="background1"/>
              </w:rPr>
            </w:pPr>
          </w:p>
        </w:tc>
      </w:tr>
      <w:tr w:rsidR="00655E9C" w:rsidRPr="008B7F0A" w14:paraId="05B866C5" w14:textId="77777777" w:rsidTr="00552118">
        <w:tc>
          <w:tcPr>
            <w:tcW w:w="2977" w:type="dxa"/>
            <w:shd w:val="clear" w:color="auto" w:fill="9CC2E5" w:themeFill="accent1" w:themeFillTint="99"/>
            <w:vAlign w:val="center"/>
          </w:tcPr>
          <w:p w14:paraId="6A6124B5" w14:textId="77777777" w:rsidR="00655E9C" w:rsidRPr="008B7F0A" w:rsidRDefault="003B555E" w:rsidP="00234D6E">
            <w:pPr>
              <w:jc w:val="center"/>
              <w:rPr>
                <w:b/>
              </w:rPr>
            </w:pPr>
            <w:r w:rsidRPr="008B7F0A">
              <w:rPr>
                <w:b/>
              </w:rPr>
              <w:t>Efecto</w:t>
            </w:r>
          </w:p>
        </w:tc>
        <w:tc>
          <w:tcPr>
            <w:tcW w:w="4634" w:type="dxa"/>
            <w:shd w:val="clear" w:color="auto" w:fill="9CC2E5" w:themeFill="accent1" w:themeFillTint="99"/>
            <w:vAlign w:val="center"/>
          </w:tcPr>
          <w:p w14:paraId="2BCA31C9" w14:textId="77777777" w:rsidR="00655E9C" w:rsidRPr="008B7F0A" w:rsidRDefault="00655E9C" w:rsidP="00234D6E">
            <w:pPr>
              <w:jc w:val="center"/>
              <w:rPr>
                <w:b/>
              </w:rPr>
            </w:pPr>
            <w:r w:rsidRPr="008B7F0A">
              <w:rPr>
                <w:b/>
              </w:rPr>
              <w:t>Indicadores</w:t>
            </w:r>
          </w:p>
        </w:tc>
        <w:tc>
          <w:tcPr>
            <w:tcW w:w="1419" w:type="dxa"/>
            <w:shd w:val="clear" w:color="auto" w:fill="9CC2E5" w:themeFill="accent1" w:themeFillTint="99"/>
            <w:vAlign w:val="center"/>
          </w:tcPr>
          <w:p w14:paraId="06E4B36E" w14:textId="77777777" w:rsidR="00655E9C" w:rsidRPr="008B7F0A" w:rsidRDefault="00655E9C" w:rsidP="00234D6E">
            <w:pPr>
              <w:jc w:val="center"/>
              <w:rPr>
                <w:b/>
              </w:rPr>
            </w:pPr>
            <w:r w:rsidRPr="008B7F0A">
              <w:rPr>
                <w:b/>
              </w:rPr>
              <w:t>Línea de Base</w:t>
            </w:r>
          </w:p>
        </w:tc>
        <w:tc>
          <w:tcPr>
            <w:tcW w:w="1700" w:type="dxa"/>
            <w:shd w:val="clear" w:color="auto" w:fill="9CC2E5" w:themeFill="accent1" w:themeFillTint="99"/>
            <w:vAlign w:val="center"/>
          </w:tcPr>
          <w:p w14:paraId="0EC43A69" w14:textId="77777777" w:rsidR="00655E9C" w:rsidRPr="008B7F0A" w:rsidRDefault="00655E9C" w:rsidP="00234D6E">
            <w:pPr>
              <w:jc w:val="center"/>
              <w:rPr>
                <w:b/>
              </w:rPr>
            </w:pPr>
            <w:r w:rsidRPr="008B7F0A">
              <w:rPr>
                <w:b/>
              </w:rPr>
              <w:t>Metas</w:t>
            </w:r>
          </w:p>
        </w:tc>
        <w:tc>
          <w:tcPr>
            <w:tcW w:w="1466" w:type="dxa"/>
            <w:shd w:val="clear" w:color="auto" w:fill="9CC2E5" w:themeFill="accent1" w:themeFillTint="99"/>
            <w:vAlign w:val="center"/>
          </w:tcPr>
          <w:p w14:paraId="19019182" w14:textId="77777777" w:rsidR="00655E9C" w:rsidRPr="008B7F0A" w:rsidRDefault="00655E9C" w:rsidP="00234D6E">
            <w:pPr>
              <w:jc w:val="center"/>
              <w:rPr>
                <w:b/>
              </w:rPr>
            </w:pPr>
            <w:r w:rsidRPr="008B7F0A">
              <w:rPr>
                <w:b/>
              </w:rPr>
              <w:t>Fuentes de verificación</w:t>
            </w:r>
          </w:p>
        </w:tc>
        <w:tc>
          <w:tcPr>
            <w:tcW w:w="1414" w:type="dxa"/>
            <w:shd w:val="clear" w:color="auto" w:fill="9CC2E5" w:themeFill="accent1" w:themeFillTint="99"/>
            <w:vAlign w:val="center"/>
          </w:tcPr>
          <w:p w14:paraId="6C37E704" w14:textId="77777777" w:rsidR="00655E9C" w:rsidRPr="008B7F0A" w:rsidRDefault="00655E9C" w:rsidP="00234D6E">
            <w:pPr>
              <w:jc w:val="center"/>
              <w:rPr>
                <w:b/>
              </w:rPr>
            </w:pPr>
            <w:r w:rsidRPr="008B7F0A">
              <w:rPr>
                <w:b/>
              </w:rPr>
              <w:t>PDES</w:t>
            </w:r>
          </w:p>
        </w:tc>
        <w:tc>
          <w:tcPr>
            <w:tcW w:w="1416" w:type="dxa"/>
            <w:shd w:val="clear" w:color="auto" w:fill="9CC2E5" w:themeFill="accent1" w:themeFillTint="99"/>
            <w:vAlign w:val="center"/>
          </w:tcPr>
          <w:p w14:paraId="37A66689" w14:textId="77777777" w:rsidR="00655E9C" w:rsidRPr="008B7F0A" w:rsidRDefault="00655E9C" w:rsidP="00234D6E">
            <w:pPr>
              <w:jc w:val="center"/>
              <w:rPr>
                <w:b/>
              </w:rPr>
            </w:pPr>
            <w:r w:rsidRPr="008B7F0A">
              <w:rPr>
                <w:b/>
              </w:rPr>
              <w:t>ODS</w:t>
            </w:r>
          </w:p>
        </w:tc>
      </w:tr>
      <w:tr w:rsidR="00EC6DC5" w:rsidRPr="008B7F0A" w14:paraId="28E05822" w14:textId="77777777" w:rsidTr="00552118">
        <w:tc>
          <w:tcPr>
            <w:tcW w:w="2977" w:type="dxa"/>
            <w:vMerge w:val="restart"/>
          </w:tcPr>
          <w:p w14:paraId="0E4B549C" w14:textId="6AF3D18B" w:rsidR="00EC6DC5" w:rsidRPr="008B7F0A" w:rsidRDefault="00E81021" w:rsidP="00EC6DC5">
            <w:pPr>
              <w:rPr>
                <w:sz w:val="18"/>
                <w:szCs w:val="18"/>
              </w:rPr>
            </w:pPr>
            <w:r>
              <w:rPr>
                <w:b/>
                <w:sz w:val="18"/>
                <w:szCs w:val="18"/>
                <w:lang w:val="sv-SE"/>
              </w:rPr>
              <w:t>2.</w:t>
            </w:r>
            <w:r w:rsidR="003B555E" w:rsidRPr="008B7F0A">
              <w:rPr>
                <w:b/>
                <w:sz w:val="18"/>
                <w:szCs w:val="18"/>
                <w:lang w:val="sv-SE"/>
              </w:rPr>
              <w:t>1</w:t>
            </w:r>
            <w:r w:rsidR="00EC6DC5" w:rsidRPr="008B7F0A">
              <w:rPr>
                <w:b/>
                <w:sz w:val="18"/>
                <w:szCs w:val="18"/>
                <w:lang w:val="sv-SE"/>
              </w:rPr>
              <w:t>.</w:t>
            </w:r>
            <w:r w:rsidR="00EC6DC5" w:rsidRPr="008B7F0A">
              <w:rPr>
                <w:sz w:val="18"/>
                <w:szCs w:val="18"/>
                <w:lang w:val="sv-SE"/>
              </w:rPr>
              <w:t xml:space="preserve"> Fortalecidos los sistemas productivos sostenibles, resilientes, inclusivos e igualitarios, que garantizan la seguridad y soberanía alimentaria y nutricional, basados en trabajo decente, desarrollo tecnológico y fortalecimiento de la economía plural, conservando y mejorando las funciones de la Madre Tierra: agua, suelos, bosques y biodiversidad, en el marco de los sistemas de vida.</w:t>
            </w:r>
          </w:p>
        </w:tc>
        <w:tc>
          <w:tcPr>
            <w:tcW w:w="4634" w:type="dxa"/>
          </w:tcPr>
          <w:p w14:paraId="7AF98B42" w14:textId="77777777" w:rsidR="00EC6DC5" w:rsidRPr="008B7F0A" w:rsidRDefault="00EC6DC5" w:rsidP="00EC6DC5">
            <w:pPr>
              <w:rPr>
                <w:rFonts w:ascii="Calibri" w:hAnsi="Calibri"/>
                <w:sz w:val="18"/>
                <w:szCs w:val="18"/>
              </w:rPr>
            </w:pPr>
            <w:r w:rsidRPr="008B7F0A">
              <w:rPr>
                <w:rFonts w:ascii="Calibri" w:hAnsi="Calibri"/>
                <w:sz w:val="18"/>
                <w:szCs w:val="18"/>
              </w:rPr>
              <w:t>Porcentaje de Entidades Territoriales Autónomas que implementan modelos de gestión de sistemas de vida sustentables, escalables, inclusivos e igualitarios, que incorporan medidas de adaptación al cambio climático y de reducción de riesgo de desastres.</w:t>
            </w:r>
          </w:p>
        </w:tc>
        <w:tc>
          <w:tcPr>
            <w:tcW w:w="1419" w:type="dxa"/>
            <w:vAlign w:val="center"/>
          </w:tcPr>
          <w:p w14:paraId="526051B8" w14:textId="77777777" w:rsidR="00EC6DC5" w:rsidRPr="008B7F0A" w:rsidRDefault="00EC6DC5" w:rsidP="00EC6DC5">
            <w:pPr>
              <w:rPr>
                <w:rFonts w:ascii="Calibri" w:hAnsi="Calibri"/>
                <w:sz w:val="18"/>
                <w:szCs w:val="18"/>
              </w:rPr>
            </w:pPr>
            <w:r w:rsidRPr="008B7F0A">
              <w:rPr>
                <w:rFonts w:ascii="Calibri" w:hAnsi="Calibri"/>
                <w:sz w:val="18"/>
                <w:szCs w:val="18"/>
              </w:rPr>
              <w:t>NA</w:t>
            </w:r>
          </w:p>
        </w:tc>
        <w:tc>
          <w:tcPr>
            <w:tcW w:w="1700" w:type="dxa"/>
            <w:vAlign w:val="center"/>
          </w:tcPr>
          <w:p w14:paraId="542BEBAA" w14:textId="77777777" w:rsidR="00EC6DC5" w:rsidRPr="008B7F0A" w:rsidRDefault="00EC6DC5" w:rsidP="00EC6DC5">
            <w:pPr>
              <w:rPr>
                <w:rFonts w:ascii="Calibri" w:hAnsi="Calibri"/>
                <w:sz w:val="18"/>
                <w:szCs w:val="18"/>
              </w:rPr>
            </w:pPr>
            <w:r w:rsidRPr="008B7F0A">
              <w:rPr>
                <w:rFonts w:ascii="Calibri" w:hAnsi="Calibri"/>
                <w:sz w:val="18"/>
                <w:szCs w:val="18"/>
              </w:rPr>
              <w:t xml:space="preserve"> 10% (Hasta el año 2022,  al menos)</w:t>
            </w:r>
          </w:p>
        </w:tc>
        <w:tc>
          <w:tcPr>
            <w:tcW w:w="1466" w:type="dxa"/>
            <w:vAlign w:val="center"/>
          </w:tcPr>
          <w:p w14:paraId="33FCC135" w14:textId="77777777" w:rsidR="00EC6DC5" w:rsidRPr="008B7F0A" w:rsidRDefault="00EC6DC5" w:rsidP="00EC6DC5">
            <w:pPr>
              <w:rPr>
                <w:rFonts w:ascii="Calibri" w:hAnsi="Calibri"/>
                <w:sz w:val="18"/>
                <w:szCs w:val="18"/>
              </w:rPr>
            </w:pPr>
            <w:r w:rsidRPr="008B7F0A">
              <w:rPr>
                <w:rFonts w:ascii="Calibri" w:hAnsi="Calibri"/>
                <w:sz w:val="18"/>
                <w:szCs w:val="18"/>
              </w:rPr>
              <w:t>Informes anuales de evaluación de los PTDI</w:t>
            </w:r>
          </w:p>
        </w:tc>
        <w:tc>
          <w:tcPr>
            <w:tcW w:w="1414" w:type="dxa"/>
            <w:vAlign w:val="center"/>
          </w:tcPr>
          <w:p w14:paraId="028CF00A"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9</w:t>
            </w:r>
          </w:p>
        </w:tc>
        <w:tc>
          <w:tcPr>
            <w:tcW w:w="1416" w:type="dxa"/>
            <w:vAlign w:val="center"/>
          </w:tcPr>
          <w:p w14:paraId="73E164AE" w14:textId="77777777" w:rsidR="00EC6DC5" w:rsidRPr="008B7F0A" w:rsidRDefault="00EC6DC5" w:rsidP="00EC6DC5">
            <w:pPr>
              <w:jc w:val="center"/>
              <w:rPr>
                <w:rFonts w:ascii="Calibri" w:hAnsi="Calibri"/>
                <w:sz w:val="18"/>
                <w:szCs w:val="18"/>
              </w:rPr>
            </w:pPr>
            <w:r w:rsidRPr="008B7F0A">
              <w:rPr>
                <w:rFonts w:ascii="Calibri" w:hAnsi="Calibri"/>
                <w:sz w:val="18"/>
                <w:szCs w:val="18"/>
              </w:rPr>
              <w:t>ODS17 /ODS 5</w:t>
            </w:r>
          </w:p>
        </w:tc>
      </w:tr>
      <w:tr w:rsidR="00EC6DC5" w:rsidRPr="008B7F0A" w14:paraId="43FD21CF" w14:textId="77777777" w:rsidTr="00552118">
        <w:tc>
          <w:tcPr>
            <w:tcW w:w="2977" w:type="dxa"/>
            <w:vMerge/>
          </w:tcPr>
          <w:p w14:paraId="41A1D091" w14:textId="77777777" w:rsidR="00EC6DC5" w:rsidRPr="008B7F0A" w:rsidRDefault="00EC6DC5" w:rsidP="00EC6DC5">
            <w:pPr>
              <w:rPr>
                <w:b/>
                <w:sz w:val="18"/>
                <w:szCs w:val="18"/>
                <w:lang w:val="sv-SE"/>
              </w:rPr>
            </w:pPr>
          </w:p>
        </w:tc>
        <w:tc>
          <w:tcPr>
            <w:tcW w:w="4634" w:type="dxa"/>
          </w:tcPr>
          <w:p w14:paraId="77CB17B3" w14:textId="77777777" w:rsidR="00EC6DC5" w:rsidRPr="008B7F0A" w:rsidRDefault="00EC6DC5" w:rsidP="00EC6DC5">
            <w:pPr>
              <w:rPr>
                <w:rFonts w:ascii="Calibri" w:hAnsi="Calibri"/>
                <w:sz w:val="18"/>
                <w:szCs w:val="18"/>
              </w:rPr>
            </w:pPr>
            <w:r w:rsidRPr="008B7F0A">
              <w:rPr>
                <w:rFonts w:ascii="Calibri" w:hAnsi="Calibri"/>
                <w:sz w:val="18"/>
                <w:szCs w:val="18"/>
              </w:rPr>
              <w:t>Número de organizaciones de la economía plural identificadas que acceden a servicios productivos a través de modelos de gestión inclusivos e igualitarios, sustentables, tecnológicamente innovadores, escalables y que incorporan medidas para la adaptación y mitigación del cambio climático</w:t>
            </w:r>
          </w:p>
        </w:tc>
        <w:tc>
          <w:tcPr>
            <w:tcW w:w="1419" w:type="dxa"/>
            <w:vAlign w:val="center"/>
          </w:tcPr>
          <w:p w14:paraId="455923BD" w14:textId="77777777" w:rsidR="00EC6DC5" w:rsidRPr="008B7F0A" w:rsidRDefault="00EC6DC5" w:rsidP="00EC6DC5">
            <w:pPr>
              <w:rPr>
                <w:rFonts w:ascii="Calibri" w:hAnsi="Calibri"/>
                <w:bCs/>
                <w:sz w:val="18"/>
                <w:szCs w:val="18"/>
              </w:rPr>
            </w:pPr>
            <w:r w:rsidRPr="008B7F0A">
              <w:rPr>
                <w:rFonts w:ascii="Calibri" w:hAnsi="Calibri"/>
                <w:bCs/>
                <w:sz w:val="18"/>
                <w:szCs w:val="18"/>
              </w:rPr>
              <w:t>77- PNUD</w:t>
            </w:r>
          </w:p>
          <w:p w14:paraId="07BCF14A" w14:textId="77777777" w:rsidR="00EC6DC5" w:rsidRPr="008B7F0A" w:rsidRDefault="00EC6DC5" w:rsidP="00EC6DC5">
            <w:pPr>
              <w:rPr>
                <w:rFonts w:eastAsia="Times New Roman" w:cs="Times New Roman"/>
                <w:sz w:val="18"/>
                <w:szCs w:val="18"/>
              </w:rPr>
            </w:pPr>
            <w:r w:rsidRPr="008B7F0A">
              <w:rPr>
                <w:rFonts w:ascii="Calibri" w:hAnsi="Calibri"/>
                <w:bCs/>
                <w:color w:val="000000"/>
                <w:sz w:val="18"/>
                <w:szCs w:val="18"/>
              </w:rPr>
              <w:t>Con enfoque de género: 1 (EBA)</w:t>
            </w:r>
          </w:p>
        </w:tc>
        <w:tc>
          <w:tcPr>
            <w:tcW w:w="1700" w:type="dxa"/>
            <w:vAlign w:val="center"/>
          </w:tcPr>
          <w:p w14:paraId="76815F5F" w14:textId="77777777" w:rsidR="00EC6DC5" w:rsidRPr="008B7F0A" w:rsidRDefault="00EC6DC5" w:rsidP="00EC6DC5">
            <w:pPr>
              <w:rPr>
                <w:rFonts w:ascii="Calibri" w:hAnsi="Calibri"/>
                <w:bCs/>
                <w:sz w:val="18"/>
                <w:szCs w:val="18"/>
              </w:rPr>
            </w:pPr>
            <w:r w:rsidRPr="008B7F0A">
              <w:rPr>
                <w:rFonts w:ascii="Calibri" w:hAnsi="Calibri"/>
                <w:bCs/>
                <w:sz w:val="18"/>
                <w:szCs w:val="18"/>
              </w:rPr>
              <w:t>127 (PNUD 50)</w:t>
            </w:r>
          </w:p>
          <w:p w14:paraId="5C34C841" w14:textId="77777777" w:rsidR="00EC6DC5" w:rsidRPr="008B7F0A" w:rsidRDefault="00EC6DC5" w:rsidP="00EC6DC5">
            <w:pPr>
              <w:rPr>
                <w:rFonts w:eastAsia="Times New Roman" w:cs="Times New Roman"/>
                <w:sz w:val="18"/>
                <w:szCs w:val="18"/>
                <w:highlight w:val="yellow"/>
              </w:rPr>
            </w:pPr>
            <w:r w:rsidRPr="008B7F0A">
              <w:rPr>
                <w:rFonts w:ascii="Calibri" w:hAnsi="Calibri"/>
                <w:bCs/>
                <w:sz w:val="18"/>
                <w:szCs w:val="18"/>
              </w:rPr>
              <w:t>EG- 10 (revisar línea base)</w:t>
            </w:r>
          </w:p>
        </w:tc>
        <w:tc>
          <w:tcPr>
            <w:tcW w:w="1466" w:type="dxa"/>
            <w:vAlign w:val="center"/>
          </w:tcPr>
          <w:p w14:paraId="6FF3527B" w14:textId="77777777" w:rsidR="00EC6DC5" w:rsidRPr="008B7F0A" w:rsidRDefault="00EC6DC5" w:rsidP="00EC6DC5">
            <w:pPr>
              <w:rPr>
                <w:sz w:val="18"/>
                <w:szCs w:val="18"/>
              </w:rPr>
            </w:pPr>
            <w:r w:rsidRPr="008B7F0A">
              <w:rPr>
                <w:sz w:val="18"/>
                <w:szCs w:val="18"/>
              </w:rPr>
              <w:t>INE</w:t>
            </w:r>
          </w:p>
          <w:p w14:paraId="64B035F6" w14:textId="77777777" w:rsidR="00EC6DC5" w:rsidRPr="008B7F0A" w:rsidRDefault="00EC6DC5" w:rsidP="00EC6DC5">
            <w:pPr>
              <w:rPr>
                <w:sz w:val="18"/>
                <w:szCs w:val="18"/>
              </w:rPr>
            </w:pPr>
            <w:r w:rsidRPr="008B7F0A">
              <w:rPr>
                <w:sz w:val="18"/>
                <w:szCs w:val="18"/>
              </w:rPr>
              <w:t>Anual (encuesta de hogares)</w:t>
            </w:r>
          </w:p>
          <w:p w14:paraId="5713132E" w14:textId="77777777" w:rsidR="00EC6DC5" w:rsidRPr="008B7F0A" w:rsidRDefault="00EC6DC5" w:rsidP="00EC6DC5">
            <w:pPr>
              <w:rPr>
                <w:sz w:val="18"/>
                <w:szCs w:val="18"/>
              </w:rPr>
            </w:pPr>
            <w:r w:rsidRPr="008B7F0A">
              <w:rPr>
                <w:sz w:val="18"/>
                <w:szCs w:val="18"/>
              </w:rPr>
              <w:t>Encuesta de Registro de Comercio</w:t>
            </w:r>
          </w:p>
          <w:p w14:paraId="11D3AC5F" w14:textId="77777777" w:rsidR="00EC6DC5" w:rsidRPr="008B7F0A" w:rsidRDefault="00EC6DC5" w:rsidP="00EC6DC5">
            <w:pPr>
              <w:rPr>
                <w:rFonts w:ascii="Calibri" w:hAnsi="Calibri"/>
                <w:bCs/>
                <w:sz w:val="18"/>
                <w:szCs w:val="18"/>
              </w:rPr>
            </w:pPr>
            <w:r w:rsidRPr="008B7F0A">
              <w:rPr>
                <w:sz w:val="18"/>
                <w:szCs w:val="18"/>
              </w:rPr>
              <w:t>Datos OAP – MDRYT</w:t>
            </w:r>
          </w:p>
        </w:tc>
        <w:tc>
          <w:tcPr>
            <w:tcW w:w="1414" w:type="dxa"/>
            <w:vAlign w:val="center"/>
          </w:tcPr>
          <w:p w14:paraId="00887821"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6</w:t>
            </w:r>
          </w:p>
        </w:tc>
        <w:tc>
          <w:tcPr>
            <w:tcW w:w="1416" w:type="dxa"/>
            <w:vAlign w:val="center"/>
          </w:tcPr>
          <w:p w14:paraId="0E7545A2" w14:textId="77777777" w:rsidR="00EC6DC5" w:rsidRPr="008B7F0A" w:rsidRDefault="00EC6DC5" w:rsidP="00EC6DC5">
            <w:pPr>
              <w:jc w:val="center"/>
              <w:rPr>
                <w:rFonts w:ascii="Calibri" w:hAnsi="Calibri"/>
                <w:sz w:val="18"/>
                <w:szCs w:val="18"/>
              </w:rPr>
            </w:pPr>
            <w:r w:rsidRPr="008B7F0A">
              <w:rPr>
                <w:rFonts w:ascii="Calibri" w:hAnsi="Calibri"/>
                <w:sz w:val="18"/>
                <w:szCs w:val="18"/>
              </w:rPr>
              <w:t>2.4</w:t>
            </w:r>
          </w:p>
        </w:tc>
      </w:tr>
      <w:tr w:rsidR="00EC6DC5" w:rsidRPr="008B7F0A" w14:paraId="14E33E6D" w14:textId="77777777" w:rsidTr="00552118">
        <w:tc>
          <w:tcPr>
            <w:tcW w:w="2977" w:type="dxa"/>
            <w:vMerge/>
          </w:tcPr>
          <w:p w14:paraId="6106CBE4" w14:textId="77777777" w:rsidR="00EC6DC5" w:rsidRPr="008B7F0A" w:rsidRDefault="00EC6DC5" w:rsidP="00EC6DC5">
            <w:pPr>
              <w:rPr>
                <w:b/>
                <w:sz w:val="18"/>
                <w:szCs w:val="18"/>
                <w:lang w:val="sv-SE"/>
              </w:rPr>
            </w:pPr>
          </w:p>
        </w:tc>
        <w:tc>
          <w:tcPr>
            <w:tcW w:w="4634" w:type="dxa"/>
          </w:tcPr>
          <w:p w14:paraId="5CC8C923" w14:textId="77777777" w:rsidR="00EC6DC5" w:rsidRPr="008B7F0A" w:rsidRDefault="00EC6DC5" w:rsidP="00EC6DC5">
            <w:pPr>
              <w:rPr>
                <w:rFonts w:ascii="Calibri" w:hAnsi="Calibri"/>
                <w:sz w:val="18"/>
                <w:szCs w:val="18"/>
              </w:rPr>
            </w:pPr>
            <w:r w:rsidRPr="008B7F0A">
              <w:rPr>
                <w:rFonts w:ascii="Calibri" w:hAnsi="Calibri"/>
                <w:sz w:val="18"/>
                <w:szCs w:val="18"/>
                <w:lang w:val="sv-SE"/>
              </w:rPr>
              <w:t>Porcentaje</w:t>
            </w:r>
            <w:r w:rsidRPr="008B7F0A">
              <w:rPr>
                <w:rFonts w:ascii="Calibri" w:hAnsi="Calibri"/>
                <w:sz w:val="18"/>
                <w:szCs w:val="18"/>
              </w:rPr>
              <w:t xml:space="preserve"> de población ocupada (formal e informal) que cuenta con seguridad social de corto y largo plazo (desagregado por rango de edad, sexo y área)</w:t>
            </w:r>
          </w:p>
        </w:tc>
        <w:tc>
          <w:tcPr>
            <w:tcW w:w="1419" w:type="dxa"/>
            <w:vAlign w:val="center"/>
          </w:tcPr>
          <w:p w14:paraId="1DD91F5B" w14:textId="7CA4857F" w:rsidR="00EC6DC5" w:rsidRPr="008B7F0A" w:rsidRDefault="00EC6DC5" w:rsidP="00EC6DC5">
            <w:pPr>
              <w:rPr>
                <w:rFonts w:eastAsia="Times New Roman" w:cs="Times New Roman"/>
                <w:sz w:val="18"/>
                <w:szCs w:val="18"/>
              </w:rPr>
            </w:pPr>
          </w:p>
        </w:tc>
        <w:tc>
          <w:tcPr>
            <w:tcW w:w="1700" w:type="dxa"/>
            <w:vAlign w:val="center"/>
          </w:tcPr>
          <w:p w14:paraId="2D949F28" w14:textId="77777777" w:rsidR="00EC6DC5" w:rsidRPr="008B7F0A" w:rsidRDefault="00EC6DC5" w:rsidP="00EC6DC5">
            <w:pPr>
              <w:rPr>
                <w:rFonts w:eastAsia="Times New Roman" w:cs="Times New Roman"/>
                <w:sz w:val="18"/>
                <w:szCs w:val="18"/>
              </w:rPr>
            </w:pPr>
            <w:r w:rsidRPr="00B50649">
              <w:rPr>
                <w:rFonts w:eastAsia="Times New Roman" w:cs="Times New Roman"/>
                <w:sz w:val="18"/>
                <w:szCs w:val="18"/>
              </w:rPr>
              <w:t>Por definir</w:t>
            </w:r>
          </w:p>
          <w:p w14:paraId="39AA84BE" w14:textId="77777777" w:rsidR="00EC6DC5" w:rsidRPr="008B7F0A" w:rsidRDefault="00EC6DC5" w:rsidP="00EC6DC5">
            <w:pPr>
              <w:rPr>
                <w:rFonts w:eastAsia="Times New Roman" w:cs="Times New Roman"/>
                <w:sz w:val="18"/>
                <w:szCs w:val="18"/>
                <w:highlight w:val="yellow"/>
              </w:rPr>
            </w:pPr>
          </w:p>
        </w:tc>
        <w:tc>
          <w:tcPr>
            <w:tcW w:w="1466" w:type="dxa"/>
            <w:vAlign w:val="center"/>
          </w:tcPr>
          <w:p w14:paraId="5DB3443D" w14:textId="77777777" w:rsidR="00EC6DC5" w:rsidRPr="008B7F0A" w:rsidRDefault="00EC6DC5" w:rsidP="00EC6DC5">
            <w:pPr>
              <w:rPr>
                <w:sz w:val="18"/>
                <w:szCs w:val="18"/>
              </w:rPr>
            </w:pPr>
            <w:r w:rsidRPr="008B7F0A">
              <w:rPr>
                <w:sz w:val="18"/>
                <w:szCs w:val="18"/>
              </w:rPr>
              <w:t>INE (Encuesta de hogares – anual)</w:t>
            </w:r>
          </w:p>
          <w:p w14:paraId="414DC27C" w14:textId="77777777" w:rsidR="00EC6DC5" w:rsidRPr="008B7F0A" w:rsidRDefault="00EC6DC5" w:rsidP="00EC6DC5">
            <w:pPr>
              <w:rPr>
                <w:sz w:val="18"/>
                <w:szCs w:val="18"/>
              </w:rPr>
            </w:pPr>
            <w:r w:rsidRPr="008B7F0A">
              <w:rPr>
                <w:sz w:val="18"/>
                <w:szCs w:val="18"/>
              </w:rPr>
              <w:t>APS (anual)</w:t>
            </w:r>
          </w:p>
          <w:p w14:paraId="5F2ADF38" w14:textId="77777777" w:rsidR="00EC6DC5" w:rsidRPr="008B7F0A" w:rsidRDefault="00EC6DC5" w:rsidP="00EC6DC5">
            <w:pPr>
              <w:rPr>
                <w:sz w:val="18"/>
                <w:szCs w:val="18"/>
              </w:rPr>
            </w:pPr>
            <w:r w:rsidRPr="008B7F0A">
              <w:rPr>
                <w:sz w:val="18"/>
                <w:szCs w:val="18"/>
              </w:rPr>
              <w:t>UDAPE (dossier anual)</w:t>
            </w:r>
          </w:p>
          <w:p w14:paraId="0AC24ED3" w14:textId="77777777" w:rsidR="00EC6DC5" w:rsidRPr="008B7F0A" w:rsidRDefault="00EC6DC5" w:rsidP="00EC6DC5">
            <w:pPr>
              <w:rPr>
                <w:rFonts w:ascii="Calibri" w:hAnsi="Calibri"/>
                <w:bCs/>
                <w:sz w:val="18"/>
                <w:szCs w:val="18"/>
              </w:rPr>
            </w:pPr>
          </w:p>
        </w:tc>
        <w:tc>
          <w:tcPr>
            <w:tcW w:w="1414" w:type="dxa"/>
            <w:vAlign w:val="center"/>
          </w:tcPr>
          <w:p w14:paraId="5B56A235"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6. Meta 10. R2</w:t>
            </w:r>
          </w:p>
        </w:tc>
        <w:tc>
          <w:tcPr>
            <w:tcW w:w="1416" w:type="dxa"/>
            <w:vAlign w:val="center"/>
          </w:tcPr>
          <w:p w14:paraId="2599B5E1" w14:textId="77777777" w:rsidR="00EC6DC5" w:rsidRPr="008B7F0A" w:rsidRDefault="00EC6DC5" w:rsidP="00EC6DC5">
            <w:pPr>
              <w:jc w:val="center"/>
              <w:rPr>
                <w:rFonts w:ascii="Calibri" w:hAnsi="Calibri"/>
                <w:sz w:val="18"/>
                <w:szCs w:val="18"/>
              </w:rPr>
            </w:pPr>
            <w:r w:rsidRPr="008B7F0A">
              <w:rPr>
                <w:rFonts w:ascii="Calibri" w:hAnsi="Calibri"/>
                <w:sz w:val="18"/>
                <w:szCs w:val="18"/>
              </w:rPr>
              <w:t>ODS 8</w:t>
            </w:r>
          </w:p>
        </w:tc>
      </w:tr>
      <w:tr w:rsidR="00EC6DC5" w:rsidRPr="008B7F0A" w14:paraId="467488C7" w14:textId="77777777" w:rsidTr="00552118">
        <w:tc>
          <w:tcPr>
            <w:tcW w:w="2977" w:type="dxa"/>
            <w:vMerge/>
          </w:tcPr>
          <w:p w14:paraId="6CDE8C39" w14:textId="77777777" w:rsidR="00EC6DC5" w:rsidRPr="008B7F0A" w:rsidRDefault="00EC6DC5" w:rsidP="00EC6DC5">
            <w:pPr>
              <w:rPr>
                <w:b/>
                <w:sz w:val="18"/>
                <w:szCs w:val="18"/>
                <w:lang w:val="sv-SE"/>
              </w:rPr>
            </w:pPr>
          </w:p>
        </w:tc>
        <w:tc>
          <w:tcPr>
            <w:tcW w:w="4634" w:type="dxa"/>
          </w:tcPr>
          <w:p w14:paraId="30B6627D" w14:textId="77777777" w:rsidR="00EC6DC5" w:rsidRPr="008B7F0A" w:rsidRDefault="00EC6DC5" w:rsidP="00EC6DC5">
            <w:pPr>
              <w:rPr>
                <w:rFonts w:ascii="Calibri" w:hAnsi="Calibri"/>
                <w:sz w:val="18"/>
                <w:szCs w:val="18"/>
              </w:rPr>
            </w:pPr>
            <w:r w:rsidRPr="008B7F0A">
              <w:rPr>
                <w:rFonts w:ascii="Calibri" w:hAnsi="Calibri"/>
                <w:sz w:val="18"/>
                <w:szCs w:val="18"/>
              </w:rPr>
              <w:t xml:space="preserve">Número de planes sectoriales departamentales y municipales para la atención de desastres y emergencias </w:t>
            </w:r>
            <w:r w:rsidRPr="008B7F0A">
              <w:rPr>
                <w:rFonts w:ascii="Calibri" w:hAnsi="Calibri"/>
                <w:sz w:val="18"/>
                <w:szCs w:val="18"/>
              </w:rPr>
              <w:lastRenderedPageBreak/>
              <w:t>que contribuyen al incremento de la resiliencia bajo un enfoque de protección</w:t>
            </w:r>
          </w:p>
        </w:tc>
        <w:tc>
          <w:tcPr>
            <w:tcW w:w="1419" w:type="dxa"/>
            <w:vAlign w:val="center"/>
          </w:tcPr>
          <w:p w14:paraId="5FED31F2" w14:textId="77777777" w:rsidR="00EC6DC5" w:rsidRPr="008B7F0A" w:rsidRDefault="00EC6DC5" w:rsidP="00EC6DC5">
            <w:pPr>
              <w:rPr>
                <w:rFonts w:ascii="Calibri" w:hAnsi="Calibri"/>
                <w:bCs/>
                <w:color w:val="000000"/>
                <w:sz w:val="18"/>
                <w:szCs w:val="18"/>
                <w:highlight w:val="yellow"/>
              </w:rPr>
            </w:pPr>
            <w:r w:rsidRPr="008B7F0A">
              <w:rPr>
                <w:rFonts w:ascii="Calibri" w:hAnsi="Calibri"/>
                <w:color w:val="000000"/>
                <w:sz w:val="18"/>
                <w:szCs w:val="18"/>
              </w:rPr>
              <w:lastRenderedPageBreak/>
              <w:t xml:space="preserve">0 /0 </w:t>
            </w:r>
          </w:p>
        </w:tc>
        <w:tc>
          <w:tcPr>
            <w:tcW w:w="1700" w:type="dxa"/>
            <w:vAlign w:val="center"/>
          </w:tcPr>
          <w:p w14:paraId="29A1F745" w14:textId="77777777" w:rsidR="00EC6DC5" w:rsidRPr="008B7F0A" w:rsidRDefault="00EC6DC5" w:rsidP="00EC6DC5">
            <w:pPr>
              <w:rPr>
                <w:rFonts w:ascii="Calibri" w:hAnsi="Calibri"/>
                <w:b/>
                <w:bCs/>
                <w:color w:val="000000"/>
                <w:sz w:val="18"/>
                <w:szCs w:val="18"/>
                <w:highlight w:val="yellow"/>
              </w:rPr>
            </w:pPr>
            <w:r w:rsidRPr="008B7F0A">
              <w:rPr>
                <w:rFonts w:ascii="Calibri" w:hAnsi="Calibri"/>
                <w:color w:val="000000"/>
                <w:sz w:val="18"/>
                <w:szCs w:val="18"/>
              </w:rPr>
              <w:t xml:space="preserve">Al menos 1 plan departamental y municipal por </w:t>
            </w:r>
            <w:r w:rsidRPr="008B7F0A">
              <w:rPr>
                <w:rFonts w:ascii="Calibri" w:hAnsi="Calibri"/>
                <w:color w:val="000000"/>
                <w:sz w:val="18"/>
                <w:szCs w:val="18"/>
              </w:rPr>
              <w:lastRenderedPageBreak/>
              <w:t xml:space="preserve">municipio y  departamento al año y </w:t>
            </w:r>
          </w:p>
        </w:tc>
        <w:tc>
          <w:tcPr>
            <w:tcW w:w="1466" w:type="dxa"/>
            <w:vAlign w:val="center"/>
          </w:tcPr>
          <w:p w14:paraId="4597CA30" w14:textId="77777777" w:rsidR="00EC6DC5" w:rsidRPr="008B7F0A" w:rsidRDefault="00EC6DC5" w:rsidP="00EC6DC5">
            <w:pPr>
              <w:rPr>
                <w:rFonts w:ascii="Calibri" w:hAnsi="Calibri"/>
                <w:bCs/>
                <w:sz w:val="18"/>
                <w:szCs w:val="18"/>
              </w:rPr>
            </w:pPr>
            <w:r w:rsidRPr="008B7F0A">
              <w:rPr>
                <w:rFonts w:ascii="Calibri" w:hAnsi="Calibri"/>
                <w:sz w:val="18"/>
                <w:szCs w:val="18"/>
              </w:rPr>
              <w:lastRenderedPageBreak/>
              <w:t xml:space="preserve">Informes anuales de </w:t>
            </w:r>
            <w:r w:rsidRPr="008B7F0A">
              <w:rPr>
                <w:rFonts w:ascii="Calibri" w:hAnsi="Calibri"/>
                <w:sz w:val="18"/>
                <w:szCs w:val="18"/>
              </w:rPr>
              <w:lastRenderedPageBreak/>
              <w:t>evaluación de los PTDI</w:t>
            </w:r>
          </w:p>
        </w:tc>
        <w:tc>
          <w:tcPr>
            <w:tcW w:w="1414" w:type="dxa"/>
            <w:vAlign w:val="center"/>
          </w:tcPr>
          <w:p w14:paraId="6B346F26" w14:textId="77777777" w:rsidR="00EC6DC5" w:rsidRPr="008B7F0A" w:rsidRDefault="00EC6DC5" w:rsidP="00EC6DC5">
            <w:pPr>
              <w:jc w:val="center"/>
              <w:rPr>
                <w:rFonts w:ascii="Calibri" w:hAnsi="Calibri"/>
                <w:sz w:val="18"/>
                <w:szCs w:val="18"/>
              </w:rPr>
            </w:pPr>
            <w:r w:rsidRPr="008B7F0A">
              <w:rPr>
                <w:rFonts w:ascii="Calibri" w:hAnsi="Calibri"/>
                <w:sz w:val="18"/>
                <w:szCs w:val="18"/>
              </w:rPr>
              <w:lastRenderedPageBreak/>
              <w:t>Pilar 9/</w:t>
            </w:r>
          </w:p>
          <w:p w14:paraId="5598EB3B"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11</w:t>
            </w:r>
          </w:p>
        </w:tc>
        <w:tc>
          <w:tcPr>
            <w:tcW w:w="1416" w:type="dxa"/>
            <w:vAlign w:val="center"/>
          </w:tcPr>
          <w:p w14:paraId="66851BF6" w14:textId="77777777" w:rsidR="00EC6DC5" w:rsidRPr="008B7F0A" w:rsidRDefault="00EC6DC5" w:rsidP="00EC6DC5">
            <w:pPr>
              <w:jc w:val="center"/>
              <w:rPr>
                <w:rFonts w:ascii="Calibri" w:hAnsi="Calibri"/>
                <w:sz w:val="18"/>
                <w:szCs w:val="18"/>
              </w:rPr>
            </w:pPr>
            <w:r w:rsidRPr="008B7F0A">
              <w:rPr>
                <w:rFonts w:ascii="Calibri" w:hAnsi="Calibri"/>
                <w:sz w:val="18"/>
                <w:szCs w:val="18"/>
              </w:rPr>
              <w:t>ODS11/</w:t>
            </w:r>
          </w:p>
          <w:p w14:paraId="1B8E8AEE" w14:textId="77777777" w:rsidR="00EC6DC5" w:rsidRPr="008B7F0A" w:rsidRDefault="00EC6DC5" w:rsidP="00EC6DC5">
            <w:pPr>
              <w:jc w:val="center"/>
              <w:rPr>
                <w:rFonts w:ascii="Calibri" w:hAnsi="Calibri"/>
                <w:sz w:val="18"/>
                <w:szCs w:val="18"/>
              </w:rPr>
            </w:pPr>
            <w:r w:rsidRPr="008B7F0A">
              <w:rPr>
                <w:rFonts w:ascii="Calibri" w:hAnsi="Calibri"/>
                <w:sz w:val="18"/>
                <w:szCs w:val="18"/>
              </w:rPr>
              <w:t>ODS13</w:t>
            </w:r>
          </w:p>
        </w:tc>
      </w:tr>
      <w:tr w:rsidR="00EC6DC5" w:rsidRPr="008B7F0A" w14:paraId="18D04210" w14:textId="77777777" w:rsidTr="00552118">
        <w:tc>
          <w:tcPr>
            <w:tcW w:w="2977" w:type="dxa"/>
            <w:vMerge/>
          </w:tcPr>
          <w:p w14:paraId="7FB01C98" w14:textId="77777777" w:rsidR="00EC6DC5" w:rsidRPr="008B7F0A" w:rsidRDefault="00EC6DC5" w:rsidP="00EC6DC5">
            <w:pPr>
              <w:rPr>
                <w:b/>
                <w:sz w:val="18"/>
                <w:szCs w:val="18"/>
                <w:lang w:val="sv-SE"/>
              </w:rPr>
            </w:pPr>
          </w:p>
        </w:tc>
        <w:tc>
          <w:tcPr>
            <w:tcW w:w="4634" w:type="dxa"/>
          </w:tcPr>
          <w:p w14:paraId="2245FF69" w14:textId="77777777" w:rsidR="00EC6DC5" w:rsidRPr="008B7F0A" w:rsidRDefault="00EC6DC5" w:rsidP="00EC6DC5">
            <w:pPr>
              <w:rPr>
                <w:rFonts w:ascii="Calibri" w:hAnsi="Calibri"/>
                <w:sz w:val="18"/>
                <w:szCs w:val="18"/>
              </w:rPr>
            </w:pPr>
            <w:r w:rsidRPr="008B7F0A">
              <w:rPr>
                <w:rFonts w:ascii="Calibri" w:hAnsi="Calibri"/>
                <w:sz w:val="18"/>
                <w:szCs w:val="18"/>
              </w:rPr>
              <w:t xml:space="preserve">Emisiones al medio ambiente GEIS (en Ton métricas equivalentes de CO2); </w:t>
            </w:r>
            <w:proofErr w:type="spellStart"/>
            <w:r w:rsidRPr="008B7F0A">
              <w:rPr>
                <w:rFonts w:ascii="Calibri" w:hAnsi="Calibri"/>
                <w:sz w:val="18"/>
                <w:szCs w:val="18"/>
              </w:rPr>
              <w:t>SAOs</w:t>
            </w:r>
            <w:proofErr w:type="spellEnd"/>
            <w:r w:rsidRPr="008B7F0A">
              <w:rPr>
                <w:rFonts w:ascii="Calibri" w:hAnsi="Calibri"/>
                <w:sz w:val="18"/>
                <w:szCs w:val="18"/>
              </w:rPr>
              <w:t xml:space="preserve"> (en Ton PAO), </w:t>
            </w:r>
            <w:proofErr w:type="spellStart"/>
            <w:r w:rsidRPr="008B7F0A">
              <w:rPr>
                <w:rFonts w:ascii="Calibri" w:hAnsi="Calibri"/>
                <w:sz w:val="18"/>
                <w:szCs w:val="18"/>
              </w:rPr>
              <w:t>COPs</w:t>
            </w:r>
            <w:proofErr w:type="spellEnd"/>
            <w:r w:rsidRPr="008B7F0A">
              <w:rPr>
                <w:rFonts w:ascii="Calibri" w:hAnsi="Calibri"/>
                <w:sz w:val="18"/>
                <w:szCs w:val="18"/>
              </w:rPr>
              <w:t xml:space="preserve"> agrícolas e industriales (en Ton Métricas) y otros contaminantes tóxicos (en sus correspondientes unidades)</w:t>
            </w:r>
          </w:p>
        </w:tc>
        <w:tc>
          <w:tcPr>
            <w:tcW w:w="1419" w:type="dxa"/>
            <w:vAlign w:val="center"/>
          </w:tcPr>
          <w:p w14:paraId="72643349" w14:textId="77777777" w:rsidR="00EC6DC5" w:rsidRPr="008B7F0A" w:rsidRDefault="00EC6DC5" w:rsidP="00EC6DC5">
            <w:pPr>
              <w:rPr>
                <w:rFonts w:eastAsia="Times New Roman" w:cs="Times New Roman"/>
                <w:sz w:val="18"/>
                <w:szCs w:val="18"/>
              </w:rPr>
            </w:pPr>
            <w:r w:rsidRPr="008B7F0A">
              <w:rPr>
                <w:rFonts w:eastAsia="Times New Roman" w:cs="Times New Roman"/>
                <w:sz w:val="18"/>
                <w:szCs w:val="18"/>
              </w:rPr>
              <w:t xml:space="preserve">CO2: 1,9 (en toneladas métricas per </w:t>
            </w:r>
            <w:proofErr w:type="spellStart"/>
            <w:r w:rsidRPr="008B7F0A">
              <w:rPr>
                <w:rFonts w:eastAsia="Times New Roman" w:cs="Times New Roman"/>
                <w:sz w:val="18"/>
                <w:szCs w:val="18"/>
              </w:rPr>
              <w:t>capita</w:t>
            </w:r>
            <w:proofErr w:type="spellEnd"/>
            <w:r w:rsidRPr="008B7F0A">
              <w:rPr>
                <w:rFonts w:eastAsia="Times New Roman" w:cs="Times New Roman"/>
                <w:sz w:val="18"/>
                <w:szCs w:val="18"/>
              </w:rPr>
              <w:t>) (2013)</w:t>
            </w:r>
          </w:p>
          <w:p w14:paraId="0910770D" w14:textId="77777777" w:rsidR="00EC6DC5" w:rsidRPr="008B7F0A" w:rsidRDefault="00EC6DC5" w:rsidP="00EC6DC5">
            <w:pPr>
              <w:rPr>
                <w:rFonts w:eastAsia="Times New Roman" w:cs="Times New Roman"/>
                <w:sz w:val="18"/>
                <w:szCs w:val="18"/>
              </w:rPr>
            </w:pPr>
          </w:p>
          <w:p w14:paraId="57B3E731" w14:textId="77777777" w:rsidR="00EC6DC5" w:rsidRPr="008B7F0A" w:rsidRDefault="00EC6DC5" w:rsidP="00EC6DC5">
            <w:pPr>
              <w:rPr>
                <w:rFonts w:eastAsia="Times New Roman" w:cs="Times New Roman"/>
                <w:sz w:val="18"/>
                <w:szCs w:val="18"/>
              </w:rPr>
            </w:pPr>
            <w:r w:rsidRPr="008B7F0A">
              <w:rPr>
                <w:rFonts w:eastAsia="Times New Roman" w:cs="Times New Roman"/>
                <w:sz w:val="18"/>
                <w:szCs w:val="18"/>
              </w:rPr>
              <w:t>SAO: 6.1 (Ton PAO) (2011)</w:t>
            </w:r>
          </w:p>
          <w:p w14:paraId="2BB928DB" w14:textId="77777777" w:rsidR="00EC6DC5" w:rsidRPr="008B7F0A" w:rsidRDefault="00EC6DC5" w:rsidP="00EC6DC5">
            <w:pPr>
              <w:rPr>
                <w:rFonts w:eastAsia="Times New Roman" w:cs="Times New Roman"/>
                <w:sz w:val="18"/>
                <w:szCs w:val="18"/>
              </w:rPr>
            </w:pPr>
          </w:p>
          <w:p w14:paraId="79611C2B" w14:textId="77777777" w:rsidR="00EC6DC5" w:rsidRPr="008B7F0A" w:rsidRDefault="00EC6DC5" w:rsidP="00EC6DC5">
            <w:pPr>
              <w:rPr>
                <w:rFonts w:eastAsia="Times New Roman" w:cs="Times New Roman"/>
                <w:sz w:val="18"/>
                <w:szCs w:val="18"/>
              </w:rPr>
            </w:pPr>
          </w:p>
          <w:p w14:paraId="1D8289D2" w14:textId="77777777" w:rsidR="00EC6DC5" w:rsidRPr="008B7F0A" w:rsidRDefault="00EC6DC5" w:rsidP="00EC6DC5">
            <w:pPr>
              <w:rPr>
                <w:rFonts w:ascii="Calibri" w:hAnsi="Calibri"/>
                <w:bCs/>
                <w:color w:val="000000"/>
                <w:sz w:val="18"/>
                <w:szCs w:val="18"/>
              </w:rPr>
            </w:pPr>
            <w:r w:rsidRPr="008B7F0A">
              <w:rPr>
                <w:sz w:val="18"/>
                <w:szCs w:val="18"/>
                <w:lang w:val="es-ES"/>
              </w:rPr>
              <w:t xml:space="preserve">COPS (agrícolas e industriales): </w:t>
            </w:r>
            <w:r w:rsidRPr="008B7F0A">
              <w:rPr>
                <w:rFonts w:eastAsia="Times New Roman" w:cs="Times New Roman"/>
                <w:sz w:val="18"/>
                <w:szCs w:val="18"/>
              </w:rPr>
              <w:t>0</w:t>
            </w:r>
          </w:p>
        </w:tc>
        <w:tc>
          <w:tcPr>
            <w:tcW w:w="1700" w:type="dxa"/>
            <w:vAlign w:val="center"/>
          </w:tcPr>
          <w:p w14:paraId="33EDFBDB" w14:textId="77777777" w:rsidR="00EC6DC5" w:rsidRPr="008B7F0A" w:rsidRDefault="00EC6DC5" w:rsidP="00EC6DC5">
            <w:pPr>
              <w:rPr>
                <w:rFonts w:eastAsia="Times New Roman" w:cs="Times New Roman"/>
                <w:sz w:val="18"/>
                <w:szCs w:val="18"/>
              </w:rPr>
            </w:pPr>
            <w:r w:rsidRPr="00B50649">
              <w:rPr>
                <w:rFonts w:eastAsia="Times New Roman" w:cs="Times New Roman"/>
                <w:sz w:val="18"/>
                <w:szCs w:val="18"/>
              </w:rPr>
              <w:t>Por definir</w:t>
            </w:r>
          </w:p>
          <w:p w14:paraId="4BE3CDBC" w14:textId="77777777" w:rsidR="00EC6DC5" w:rsidRPr="008B7F0A" w:rsidRDefault="00EC6DC5" w:rsidP="00EC6DC5">
            <w:pPr>
              <w:rPr>
                <w:rFonts w:eastAsia="Times New Roman" w:cs="Times New Roman"/>
                <w:sz w:val="18"/>
                <w:szCs w:val="18"/>
              </w:rPr>
            </w:pPr>
          </w:p>
          <w:p w14:paraId="7D588294" w14:textId="77777777" w:rsidR="00EC6DC5" w:rsidRPr="008B7F0A" w:rsidRDefault="00EC6DC5" w:rsidP="00EC6DC5">
            <w:pPr>
              <w:rPr>
                <w:rFonts w:eastAsia="Times New Roman" w:cs="Times New Roman"/>
                <w:sz w:val="18"/>
                <w:szCs w:val="18"/>
              </w:rPr>
            </w:pPr>
          </w:p>
          <w:p w14:paraId="47966D70" w14:textId="77777777" w:rsidR="00EC6DC5" w:rsidRPr="008B7F0A" w:rsidRDefault="00EC6DC5" w:rsidP="00EC6DC5">
            <w:pPr>
              <w:rPr>
                <w:rFonts w:eastAsia="Times New Roman" w:cs="Times New Roman"/>
                <w:sz w:val="18"/>
                <w:szCs w:val="18"/>
              </w:rPr>
            </w:pPr>
            <w:r w:rsidRPr="008B7F0A">
              <w:rPr>
                <w:rFonts w:eastAsia="Times New Roman" w:cs="Times New Roman"/>
                <w:sz w:val="18"/>
                <w:szCs w:val="18"/>
              </w:rPr>
              <w:t>35% (2022)</w:t>
            </w:r>
          </w:p>
          <w:p w14:paraId="70F13D52" w14:textId="77777777" w:rsidR="00EC6DC5" w:rsidRPr="008B7F0A" w:rsidRDefault="00EC6DC5" w:rsidP="00EC6DC5">
            <w:pPr>
              <w:rPr>
                <w:rFonts w:eastAsia="Times New Roman" w:cs="Times New Roman"/>
                <w:sz w:val="18"/>
                <w:szCs w:val="18"/>
              </w:rPr>
            </w:pPr>
          </w:p>
          <w:p w14:paraId="71CA789C" w14:textId="77777777" w:rsidR="00EC6DC5" w:rsidRPr="008B7F0A" w:rsidRDefault="00EC6DC5" w:rsidP="00EC6DC5">
            <w:pPr>
              <w:rPr>
                <w:rFonts w:eastAsia="Times New Roman" w:cs="Times New Roman"/>
                <w:sz w:val="18"/>
                <w:szCs w:val="18"/>
              </w:rPr>
            </w:pPr>
          </w:p>
          <w:p w14:paraId="7F81E264" w14:textId="77777777" w:rsidR="00EC6DC5" w:rsidRPr="008B7F0A" w:rsidRDefault="00EC6DC5" w:rsidP="00EC6DC5">
            <w:pPr>
              <w:rPr>
                <w:rFonts w:eastAsia="Times New Roman" w:cs="Times New Roman"/>
                <w:sz w:val="18"/>
                <w:szCs w:val="18"/>
              </w:rPr>
            </w:pPr>
            <w:r w:rsidRPr="008B7F0A">
              <w:rPr>
                <w:rFonts w:eastAsia="Times New Roman" w:cs="Times New Roman"/>
                <w:sz w:val="18"/>
                <w:szCs w:val="18"/>
              </w:rPr>
              <w:t>- 400 ton</w:t>
            </w:r>
          </w:p>
          <w:p w14:paraId="34D721EC" w14:textId="77777777" w:rsidR="00EC6DC5" w:rsidRPr="008B7F0A" w:rsidRDefault="00EC6DC5" w:rsidP="00EC6DC5">
            <w:pPr>
              <w:rPr>
                <w:rFonts w:ascii="Calibri" w:hAnsi="Calibri"/>
                <w:sz w:val="18"/>
                <w:szCs w:val="18"/>
              </w:rPr>
            </w:pPr>
            <w:r w:rsidRPr="008B7F0A">
              <w:rPr>
                <w:rFonts w:eastAsia="Times New Roman" w:cs="Times New Roman"/>
                <w:sz w:val="18"/>
                <w:szCs w:val="18"/>
              </w:rPr>
              <w:t>(2022)</w:t>
            </w:r>
          </w:p>
        </w:tc>
        <w:tc>
          <w:tcPr>
            <w:tcW w:w="1466" w:type="dxa"/>
            <w:vAlign w:val="center"/>
          </w:tcPr>
          <w:p w14:paraId="3C3D1D7F" w14:textId="77777777" w:rsidR="00EC6DC5" w:rsidRPr="008B7F0A" w:rsidRDefault="00EC6DC5" w:rsidP="00EC6DC5">
            <w:pPr>
              <w:rPr>
                <w:sz w:val="18"/>
                <w:szCs w:val="18"/>
                <w:lang w:val="es-ES"/>
              </w:rPr>
            </w:pPr>
            <w:r w:rsidRPr="008B7F0A">
              <w:rPr>
                <w:sz w:val="18"/>
                <w:szCs w:val="18"/>
                <w:lang w:val="es-ES"/>
              </w:rPr>
              <w:t xml:space="preserve">Reportes Especiales que genera el Estado Plurinacional de Bolivia con periodicidad anual </w:t>
            </w:r>
          </w:p>
          <w:p w14:paraId="0FA164E9" w14:textId="77777777" w:rsidR="00EC6DC5" w:rsidRPr="008B7F0A" w:rsidRDefault="00EC6DC5" w:rsidP="00EC6DC5">
            <w:pPr>
              <w:rPr>
                <w:rFonts w:ascii="Calibri" w:hAnsi="Calibri"/>
                <w:bCs/>
                <w:color w:val="000000"/>
                <w:sz w:val="18"/>
                <w:szCs w:val="18"/>
              </w:rPr>
            </w:pPr>
          </w:p>
        </w:tc>
        <w:tc>
          <w:tcPr>
            <w:tcW w:w="1414" w:type="dxa"/>
            <w:vAlign w:val="center"/>
          </w:tcPr>
          <w:p w14:paraId="3DA8F4F8" w14:textId="77777777" w:rsidR="00EC6DC5" w:rsidRPr="008B7F0A" w:rsidRDefault="00EC6DC5" w:rsidP="00EC6DC5">
            <w:pPr>
              <w:jc w:val="center"/>
              <w:rPr>
                <w:rFonts w:ascii="Calibri" w:hAnsi="Calibri"/>
                <w:sz w:val="18"/>
                <w:szCs w:val="18"/>
              </w:rPr>
            </w:pPr>
            <w:r w:rsidRPr="008B7F0A">
              <w:rPr>
                <w:rFonts w:ascii="Calibri" w:hAnsi="Calibri"/>
                <w:sz w:val="18"/>
                <w:szCs w:val="18"/>
              </w:rPr>
              <w:t>-</w:t>
            </w:r>
          </w:p>
        </w:tc>
        <w:tc>
          <w:tcPr>
            <w:tcW w:w="1416" w:type="dxa"/>
            <w:vAlign w:val="center"/>
          </w:tcPr>
          <w:p w14:paraId="15CA9C06" w14:textId="77777777" w:rsidR="00EC6DC5" w:rsidRPr="008B7F0A" w:rsidRDefault="00EC6DC5" w:rsidP="00EC6DC5">
            <w:pPr>
              <w:jc w:val="center"/>
              <w:rPr>
                <w:rFonts w:ascii="Calibri" w:hAnsi="Calibri"/>
                <w:sz w:val="18"/>
                <w:szCs w:val="18"/>
              </w:rPr>
            </w:pPr>
            <w:r w:rsidRPr="008B7F0A">
              <w:rPr>
                <w:rFonts w:ascii="Calibri" w:hAnsi="Calibri"/>
                <w:sz w:val="18"/>
                <w:szCs w:val="18"/>
              </w:rPr>
              <w:t>9.4.1.</w:t>
            </w:r>
          </w:p>
        </w:tc>
      </w:tr>
      <w:tr w:rsidR="00EC6DC5" w:rsidRPr="008B7F0A" w14:paraId="38E6F2DD" w14:textId="77777777" w:rsidTr="00552118">
        <w:tc>
          <w:tcPr>
            <w:tcW w:w="2977" w:type="dxa"/>
            <w:vMerge/>
          </w:tcPr>
          <w:p w14:paraId="088315EA" w14:textId="77777777" w:rsidR="00EC6DC5" w:rsidRPr="008B7F0A" w:rsidRDefault="00EC6DC5" w:rsidP="00EC6DC5">
            <w:pPr>
              <w:rPr>
                <w:b/>
                <w:sz w:val="18"/>
                <w:szCs w:val="18"/>
                <w:lang w:val="sv-SE"/>
              </w:rPr>
            </w:pPr>
          </w:p>
        </w:tc>
        <w:tc>
          <w:tcPr>
            <w:tcW w:w="4634" w:type="dxa"/>
          </w:tcPr>
          <w:p w14:paraId="27EC6B08" w14:textId="77777777" w:rsidR="00EC6DC5" w:rsidRPr="008B7F0A" w:rsidRDefault="00EC6DC5" w:rsidP="00EC6DC5">
            <w:pPr>
              <w:rPr>
                <w:rFonts w:ascii="Calibri" w:hAnsi="Calibri"/>
                <w:sz w:val="18"/>
                <w:szCs w:val="18"/>
              </w:rPr>
            </w:pPr>
            <w:r w:rsidRPr="008B7F0A">
              <w:rPr>
                <w:rFonts w:ascii="Calibri" w:hAnsi="Calibri"/>
                <w:sz w:val="18"/>
                <w:szCs w:val="18"/>
              </w:rPr>
              <w:t>Prevalencia de desnutrición crónica en menores de 5 años (desagregado por área, edad, sexo)</w:t>
            </w:r>
          </w:p>
        </w:tc>
        <w:tc>
          <w:tcPr>
            <w:tcW w:w="1419" w:type="dxa"/>
            <w:vAlign w:val="center"/>
          </w:tcPr>
          <w:p w14:paraId="33D2CE26" w14:textId="77777777" w:rsidR="00EC6DC5" w:rsidRPr="008B7F0A" w:rsidRDefault="00EC6DC5" w:rsidP="00EC6DC5">
            <w:pPr>
              <w:rPr>
                <w:rFonts w:ascii="Calibri" w:hAnsi="Calibri"/>
                <w:sz w:val="18"/>
                <w:szCs w:val="18"/>
              </w:rPr>
            </w:pPr>
            <w:r w:rsidRPr="008B7F0A">
              <w:rPr>
                <w:rFonts w:ascii="Calibri" w:hAnsi="Calibri"/>
                <w:sz w:val="18"/>
                <w:szCs w:val="18"/>
              </w:rPr>
              <w:t xml:space="preserve">- Desnutrición crónica en menores de 5 años: </w:t>
            </w:r>
          </w:p>
          <w:p w14:paraId="393B6325" w14:textId="77777777" w:rsidR="00EC6DC5" w:rsidRPr="008B7F0A" w:rsidRDefault="00EC6DC5" w:rsidP="00EC6DC5">
            <w:pPr>
              <w:rPr>
                <w:rFonts w:eastAsia="Times New Roman" w:cs="Times New Roman"/>
                <w:bCs/>
                <w:sz w:val="18"/>
                <w:szCs w:val="18"/>
              </w:rPr>
            </w:pPr>
            <w:r w:rsidRPr="008B7F0A">
              <w:rPr>
                <w:rFonts w:eastAsia="Times New Roman" w:cs="Times New Roman"/>
                <w:bCs/>
                <w:sz w:val="18"/>
                <w:szCs w:val="18"/>
              </w:rPr>
              <w:t>Área rural 25%</w:t>
            </w:r>
          </w:p>
          <w:p w14:paraId="36574607" w14:textId="77777777" w:rsidR="00EC6DC5" w:rsidRPr="008B7F0A" w:rsidRDefault="00EC6DC5" w:rsidP="00EC6DC5">
            <w:pPr>
              <w:rPr>
                <w:rFonts w:eastAsia="Times New Roman" w:cs="Times New Roman"/>
                <w:bCs/>
                <w:sz w:val="18"/>
                <w:szCs w:val="18"/>
              </w:rPr>
            </w:pPr>
            <w:r w:rsidRPr="008B7F0A">
              <w:rPr>
                <w:rFonts w:eastAsia="Times New Roman" w:cs="Times New Roman"/>
                <w:bCs/>
                <w:sz w:val="18"/>
                <w:szCs w:val="18"/>
              </w:rPr>
              <w:t>Área urbana: 14 %</w:t>
            </w:r>
          </w:p>
          <w:p w14:paraId="4D264E3D" w14:textId="77777777" w:rsidR="00EC6DC5" w:rsidRPr="008B7F0A" w:rsidRDefault="00EC6DC5" w:rsidP="00EC6DC5">
            <w:pPr>
              <w:rPr>
                <w:rFonts w:eastAsia="Times New Roman" w:cs="Times New Roman"/>
                <w:bCs/>
                <w:sz w:val="18"/>
                <w:szCs w:val="18"/>
              </w:rPr>
            </w:pPr>
            <w:r w:rsidRPr="008B7F0A">
              <w:rPr>
                <w:rFonts w:eastAsia="Times New Roman" w:cs="Times New Roman"/>
                <w:bCs/>
                <w:sz w:val="18"/>
                <w:szCs w:val="18"/>
              </w:rPr>
              <w:t>Índice nacional: 18,1%</w:t>
            </w:r>
          </w:p>
          <w:p w14:paraId="51944FE1" w14:textId="77777777" w:rsidR="00EC6DC5" w:rsidRPr="008B7F0A" w:rsidRDefault="00EC6DC5" w:rsidP="00EC6DC5">
            <w:pPr>
              <w:rPr>
                <w:rFonts w:ascii="Calibri" w:hAnsi="Calibri"/>
                <w:sz w:val="18"/>
                <w:szCs w:val="18"/>
              </w:rPr>
            </w:pPr>
          </w:p>
          <w:p w14:paraId="41C93CC9" w14:textId="77777777" w:rsidR="00EC6DC5" w:rsidRPr="008B7F0A" w:rsidRDefault="00EC6DC5" w:rsidP="00EC6DC5">
            <w:pPr>
              <w:rPr>
                <w:rFonts w:ascii="Calibri" w:hAnsi="Calibri"/>
                <w:b/>
                <w:bCs/>
                <w:color w:val="000000"/>
                <w:sz w:val="18"/>
                <w:szCs w:val="18"/>
              </w:rPr>
            </w:pPr>
            <w:r w:rsidRPr="008B7F0A">
              <w:rPr>
                <w:rFonts w:ascii="Calibri" w:hAnsi="Calibri"/>
                <w:sz w:val="18"/>
                <w:szCs w:val="18"/>
              </w:rPr>
              <w:t>- Desnutrición crónica en menores de 3 años: 18.5%</w:t>
            </w:r>
          </w:p>
        </w:tc>
        <w:tc>
          <w:tcPr>
            <w:tcW w:w="1700" w:type="dxa"/>
          </w:tcPr>
          <w:p w14:paraId="602DC0E3" w14:textId="77777777" w:rsidR="00EC6DC5" w:rsidRPr="008B7F0A" w:rsidRDefault="00EC6DC5" w:rsidP="00EC6DC5">
            <w:pPr>
              <w:rPr>
                <w:rFonts w:ascii="Calibri" w:hAnsi="Calibri"/>
                <w:sz w:val="18"/>
                <w:szCs w:val="18"/>
              </w:rPr>
            </w:pPr>
            <w:r w:rsidRPr="008B7F0A">
              <w:rPr>
                <w:rFonts w:ascii="Calibri" w:hAnsi="Calibri"/>
                <w:sz w:val="18"/>
                <w:szCs w:val="18"/>
              </w:rPr>
              <w:t> </w:t>
            </w:r>
            <w:r w:rsidRPr="008B7F0A">
              <w:rPr>
                <w:rFonts w:eastAsia="Times New Roman" w:cs="Times New Roman"/>
                <w:bCs/>
                <w:sz w:val="18"/>
                <w:szCs w:val="18"/>
              </w:rPr>
              <w:t>Reducción del índice nacional a un 12% (en base de ESNUT y PDES, que pone un 9% como resultado para el 2025)</w:t>
            </w:r>
          </w:p>
          <w:p w14:paraId="564DA472" w14:textId="77777777" w:rsidR="00EC6DC5" w:rsidRPr="008B7F0A" w:rsidRDefault="00EC6DC5" w:rsidP="00EC6DC5">
            <w:pPr>
              <w:rPr>
                <w:rFonts w:ascii="Calibri" w:hAnsi="Calibri"/>
                <w:sz w:val="18"/>
                <w:szCs w:val="18"/>
              </w:rPr>
            </w:pPr>
          </w:p>
          <w:p w14:paraId="7BAA9D66" w14:textId="77777777" w:rsidR="00EC6DC5" w:rsidRPr="008B7F0A" w:rsidRDefault="00EC6DC5" w:rsidP="00EC6DC5">
            <w:pPr>
              <w:rPr>
                <w:rFonts w:ascii="Calibri" w:hAnsi="Calibri"/>
                <w:bCs/>
                <w:color w:val="000000"/>
                <w:sz w:val="18"/>
                <w:szCs w:val="18"/>
              </w:rPr>
            </w:pPr>
          </w:p>
          <w:p w14:paraId="5B655926" w14:textId="77777777" w:rsidR="00EC6DC5" w:rsidRPr="008B7F0A" w:rsidRDefault="00EC6DC5" w:rsidP="00EC6DC5">
            <w:pPr>
              <w:rPr>
                <w:rFonts w:ascii="Calibri" w:hAnsi="Calibri"/>
                <w:bCs/>
                <w:color w:val="000000"/>
                <w:sz w:val="18"/>
                <w:szCs w:val="18"/>
              </w:rPr>
            </w:pPr>
          </w:p>
        </w:tc>
        <w:tc>
          <w:tcPr>
            <w:tcW w:w="1466" w:type="dxa"/>
          </w:tcPr>
          <w:p w14:paraId="5A19F3D3" w14:textId="77777777" w:rsidR="00EC6DC5" w:rsidRPr="008B7F0A" w:rsidRDefault="00EC6DC5" w:rsidP="00EC6DC5">
            <w:pPr>
              <w:rPr>
                <w:sz w:val="18"/>
                <w:szCs w:val="18"/>
              </w:rPr>
            </w:pPr>
            <w:r w:rsidRPr="008B7F0A">
              <w:rPr>
                <w:sz w:val="18"/>
                <w:szCs w:val="18"/>
              </w:rPr>
              <w:t>EDSA (cada 5 años)</w:t>
            </w:r>
          </w:p>
          <w:p w14:paraId="30ABCA82" w14:textId="77777777" w:rsidR="00EC6DC5" w:rsidRPr="008B7F0A" w:rsidRDefault="00EC6DC5" w:rsidP="00EC6DC5">
            <w:pPr>
              <w:rPr>
                <w:sz w:val="18"/>
                <w:szCs w:val="18"/>
              </w:rPr>
            </w:pPr>
            <w:r w:rsidRPr="008B7F0A">
              <w:rPr>
                <w:sz w:val="18"/>
                <w:szCs w:val="18"/>
              </w:rPr>
              <w:t>Para monitoreo: SNIS (anual)</w:t>
            </w:r>
          </w:p>
          <w:p w14:paraId="4984A36F" w14:textId="77777777" w:rsidR="00EC6DC5" w:rsidRPr="008B7F0A" w:rsidRDefault="00EC6DC5" w:rsidP="00EC6DC5">
            <w:pPr>
              <w:rPr>
                <w:rFonts w:ascii="Calibri" w:hAnsi="Calibri"/>
                <w:sz w:val="18"/>
                <w:szCs w:val="18"/>
              </w:rPr>
            </w:pPr>
          </w:p>
          <w:p w14:paraId="007EBABC" w14:textId="77777777" w:rsidR="00EC6DC5" w:rsidRPr="008B7F0A" w:rsidRDefault="00EC6DC5" w:rsidP="00EC6DC5">
            <w:pPr>
              <w:rPr>
                <w:rFonts w:ascii="Calibri" w:hAnsi="Calibri"/>
                <w:sz w:val="18"/>
                <w:szCs w:val="18"/>
              </w:rPr>
            </w:pPr>
          </w:p>
          <w:p w14:paraId="18CE76DF" w14:textId="77777777" w:rsidR="00EC6DC5" w:rsidRPr="008B7F0A" w:rsidRDefault="00EC6DC5" w:rsidP="00EC6DC5">
            <w:pPr>
              <w:rPr>
                <w:rFonts w:ascii="Calibri" w:hAnsi="Calibri"/>
                <w:sz w:val="18"/>
                <w:szCs w:val="18"/>
              </w:rPr>
            </w:pPr>
          </w:p>
          <w:p w14:paraId="43B301CF" w14:textId="77777777" w:rsidR="00EC6DC5" w:rsidRPr="008B7F0A" w:rsidRDefault="00EC6DC5" w:rsidP="00EC6DC5">
            <w:pPr>
              <w:rPr>
                <w:rFonts w:ascii="Calibri" w:hAnsi="Calibri"/>
                <w:sz w:val="18"/>
                <w:szCs w:val="18"/>
              </w:rPr>
            </w:pPr>
          </w:p>
          <w:p w14:paraId="45593B67" w14:textId="77777777" w:rsidR="00EC6DC5" w:rsidRPr="008B7F0A" w:rsidRDefault="00EC6DC5" w:rsidP="00EC6DC5">
            <w:pPr>
              <w:rPr>
                <w:rFonts w:ascii="Calibri" w:hAnsi="Calibri"/>
                <w:sz w:val="18"/>
                <w:szCs w:val="18"/>
              </w:rPr>
            </w:pPr>
          </w:p>
          <w:p w14:paraId="0B48AE72" w14:textId="77777777" w:rsidR="00EC6DC5" w:rsidRPr="008B7F0A" w:rsidRDefault="00EC6DC5" w:rsidP="00EC6DC5">
            <w:pPr>
              <w:rPr>
                <w:rFonts w:ascii="Calibri" w:hAnsi="Calibri"/>
                <w:sz w:val="18"/>
                <w:szCs w:val="18"/>
              </w:rPr>
            </w:pPr>
          </w:p>
          <w:p w14:paraId="7E58FE96" w14:textId="77777777" w:rsidR="00EC6DC5" w:rsidRPr="008B7F0A" w:rsidRDefault="00EC6DC5" w:rsidP="00EC6DC5">
            <w:pPr>
              <w:rPr>
                <w:rFonts w:ascii="Calibri" w:hAnsi="Calibri"/>
                <w:sz w:val="18"/>
                <w:szCs w:val="18"/>
              </w:rPr>
            </w:pPr>
          </w:p>
          <w:p w14:paraId="372BC305" w14:textId="77777777" w:rsidR="00EC6DC5" w:rsidRPr="008B7F0A" w:rsidRDefault="00EC6DC5" w:rsidP="00EC6DC5">
            <w:pPr>
              <w:rPr>
                <w:rFonts w:ascii="Calibri" w:hAnsi="Calibri"/>
                <w:sz w:val="18"/>
                <w:szCs w:val="18"/>
              </w:rPr>
            </w:pPr>
          </w:p>
          <w:p w14:paraId="24E55A7B" w14:textId="77777777" w:rsidR="00EC6DC5" w:rsidRPr="008B7F0A" w:rsidRDefault="00EC6DC5" w:rsidP="00EC6DC5">
            <w:pPr>
              <w:rPr>
                <w:rFonts w:ascii="Calibri" w:hAnsi="Calibri"/>
                <w:b/>
                <w:bCs/>
                <w:color w:val="000000"/>
                <w:sz w:val="18"/>
                <w:szCs w:val="18"/>
              </w:rPr>
            </w:pPr>
          </w:p>
        </w:tc>
        <w:tc>
          <w:tcPr>
            <w:tcW w:w="1414" w:type="dxa"/>
            <w:vAlign w:val="center"/>
          </w:tcPr>
          <w:p w14:paraId="0DCCD4FD"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8. Meta 1</w:t>
            </w:r>
          </w:p>
        </w:tc>
        <w:tc>
          <w:tcPr>
            <w:tcW w:w="1416" w:type="dxa"/>
            <w:vAlign w:val="center"/>
          </w:tcPr>
          <w:p w14:paraId="06139926" w14:textId="77777777" w:rsidR="00EC6DC5" w:rsidRPr="008B7F0A" w:rsidRDefault="00EC6DC5" w:rsidP="00EC6DC5">
            <w:pPr>
              <w:jc w:val="center"/>
              <w:rPr>
                <w:rFonts w:ascii="Calibri" w:hAnsi="Calibri"/>
                <w:sz w:val="18"/>
                <w:szCs w:val="18"/>
              </w:rPr>
            </w:pPr>
            <w:r w:rsidRPr="008B7F0A">
              <w:rPr>
                <w:rFonts w:ascii="Calibri" w:hAnsi="Calibri"/>
                <w:sz w:val="18"/>
                <w:szCs w:val="18"/>
              </w:rPr>
              <w:t>2.2.2.</w:t>
            </w:r>
          </w:p>
        </w:tc>
      </w:tr>
      <w:tr w:rsidR="00EC6DC5" w:rsidRPr="008B7F0A" w14:paraId="14254BB4" w14:textId="77777777" w:rsidTr="00552118">
        <w:tc>
          <w:tcPr>
            <w:tcW w:w="2977" w:type="dxa"/>
            <w:vMerge/>
          </w:tcPr>
          <w:p w14:paraId="0EFFDAA2" w14:textId="77777777" w:rsidR="00EC6DC5" w:rsidRPr="008B7F0A" w:rsidRDefault="00EC6DC5" w:rsidP="00EC6DC5">
            <w:pPr>
              <w:rPr>
                <w:b/>
                <w:sz w:val="18"/>
                <w:szCs w:val="18"/>
                <w:lang w:val="sv-SE"/>
              </w:rPr>
            </w:pPr>
          </w:p>
        </w:tc>
        <w:tc>
          <w:tcPr>
            <w:tcW w:w="4634" w:type="dxa"/>
          </w:tcPr>
          <w:p w14:paraId="0873443C" w14:textId="77777777" w:rsidR="00EC6DC5" w:rsidRPr="008B7F0A" w:rsidRDefault="00EC6DC5" w:rsidP="00EC6DC5">
            <w:pPr>
              <w:rPr>
                <w:rFonts w:ascii="Calibri" w:hAnsi="Calibri"/>
                <w:sz w:val="18"/>
                <w:szCs w:val="18"/>
              </w:rPr>
            </w:pPr>
            <w:r w:rsidRPr="008B7F0A">
              <w:rPr>
                <w:rFonts w:ascii="Calibri" w:hAnsi="Calibri"/>
                <w:sz w:val="18"/>
                <w:szCs w:val="18"/>
              </w:rPr>
              <w:t>Número de Ha. de bosque con manejo integral y sustentable</w:t>
            </w:r>
          </w:p>
          <w:p w14:paraId="490D5AEF" w14:textId="77777777" w:rsidR="00EC6DC5" w:rsidRPr="008B7F0A" w:rsidRDefault="00EC6DC5" w:rsidP="00EC6DC5">
            <w:pPr>
              <w:ind w:left="360"/>
              <w:rPr>
                <w:rFonts w:ascii="Calibri" w:hAnsi="Calibri"/>
                <w:sz w:val="18"/>
                <w:szCs w:val="18"/>
              </w:rPr>
            </w:pPr>
          </w:p>
        </w:tc>
        <w:tc>
          <w:tcPr>
            <w:tcW w:w="1419" w:type="dxa"/>
            <w:vAlign w:val="center"/>
          </w:tcPr>
          <w:p w14:paraId="206651F3" w14:textId="4EA25D9C" w:rsidR="00EC6DC5" w:rsidRPr="008B7F0A" w:rsidRDefault="00EC6DC5" w:rsidP="00EC6DC5">
            <w:pPr>
              <w:rPr>
                <w:rFonts w:eastAsia="Times New Roman" w:cs="Times New Roman"/>
                <w:sz w:val="18"/>
                <w:szCs w:val="18"/>
              </w:rPr>
            </w:pPr>
          </w:p>
        </w:tc>
        <w:tc>
          <w:tcPr>
            <w:tcW w:w="1700" w:type="dxa"/>
            <w:vAlign w:val="center"/>
          </w:tcPr>
          <w:p w14:paraId="1062A9ED" w14:textId="77777777" w:rsidR="00EC6DC5" w:rsidRPr="00B50649" w:rsidRDefault="00EC6DC5" w:rsidP="00EC6DC5">
            <w:pPr>
              <w:rPr>
                <w:rFonts w:eastAsia="Times New Roman" w:cs="Times New Roman"/>
                <w:sz w:val="18"/>
                <w:szCs w:val="18"/>
              </w:rPr>
            </w:pPr>
            <w:r w:rsidRPr="00B50649">
              <w:rPr>
                <w:rFonts w:eastAsia="Times New Roman" w:cs="Times New Roman"/>
                <w:sz w:val="18"/>
                <w:szCs w:val="18"/>
              </w:rPr>
              <w:t>Por definir</w:t>
            </w:r>
          </w:p>
          <w:p w14:paraId="341DA9FD" w14:textId="77777777" w:rsidR="00EC6DC5" w:rsidRPr="00B50649" w:rsidRDefault="00EC6DC5" w:rsidP="00EC6DC5">
            <w:pPr>
              <w:rPr>
                <w:rFonts w:eastAsia="Times New Roman" w:cs="Times New Roman"/>
                <w:sz w:val="18"/>
                <w:szCs w:val="18"/>
              </w:rPr>
            </w:pPr>
          </w:p>
        </w:tc>
        <w:tc>
          <w:tcPr>
            <w:tcW w:w="1466" w:type="dxa"/>
            <w:vAlign w:val="center"/>
          </w:tcPr>
          <w:p w14:paraId="710F0DEC" w14:textId="77777777" w:rsidR="00EC6DC5" w:rsidRPr="008B7F0A" w:rsidRDefault="00EC6DC5" w:rsidP="00EC6DC5">
            <w:pPr>
              <w:rPr>
                <w:sz w:val="18"/>
                <w:szCs w:val="18"/>
                <w:lang w:val="es-ES"/>
              </w:rPr>
            </w:pPr>
            <w:r w:rsidRPr="008B7F0A">
              <w:rPr>
                <w:sz w:val="18"/>
                <w:szCs w:val="18"/>
                <w:lang w:val="es-ES"/>
              </w:rPr>
              <w:t>Reportes del Viceministerio de Medio Ambiente</w:t>
            </w:r>
          </w:p>
          <w:p w14:paraId="69960DB8" w14:textId="77777777" w:rsidR="00EC6DC5" w:rsidRPr="008B7F0A" w:rsidRDefault="00EC6DC5" w:rsidP="00EC6DC5">
            <w:pPr>
              <w:rPr>
                <w:sz w:val="18"/>
                <w:szCs w:val="18"/>
                <w:lang w:val="es-ES"/>
              </w:rPr>
            </w:pPr>
            <w:r w:rsidRPr="008B7F0A">
              <w:rPr>
                <w:sz w:val="18"/>
                <w:szCs w:val="18"/>
                <w:lang w:val="es-ES"/>
              </w:rPr>
              <w:t>(periodicidad a revisar)</w:t>
            </w:r>
          </w:p>
        </w:tc>
        <w:tc>
          <w:tcPr>
            <w:tcW w:w="1414" w:type="dxa"/>
            <w:vAlign w:val="center"/>
          </w:tcPr>
          <w:p w14:paraId="3C9936C4"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9. Meta 6, R.2</w:t>
            </w:r>
          </w:p>
          <w:p w14:paraId="5CD6DEC2"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6. Meta 6, R.2</w:t>
            </w:r>
          </w:p>
        </w:tc>
        <w:tc>
          <w:tcPr>
            <w:tcW w:w="1416" w:type="dxa"/>
            <w:vAlign w:val="center"/>
          </w:tcPr>
          <w:p w14:paraId="3A2CA559" w14:textId="77777777" w:rsidR="00EC6DC5" w:rsidRPr="008B7F0A" w:rsidRDefault="00EC6DC5" w:rsidP="00EC6DC5">
            <w:pPr>
              <w:jc w:val="center"/>
              <w:rPr>
                <w:rFonts w:ascii="Calibri" w:hAnsi="Calibri"/>
                <w:sz w:val="18"/>
                <w:szCs w:val="18"/>
              </w:rPr>
            </w:pPr>
            <w:r w:rsidRPr="008B7F0A">
              <w:rPr>
                <w:rFonts w:ascii="Calibri" w:hAnsi="Calibri"/>
                <w:sz w:val="18"/>
                <w:szCs w:val="18"/>
              </w:rPr>
              <w:t>15</w:t>
            </w:r>
          </w:p>
          <w:p w14:paraId="5DD01E3F" w14:textId="77777777" w:rsidR="00EC6DC5" w:rsidRPr="008B7F0A" w:rsidRDefault="00EC6DC5" w:rsidP="00EC6DC5">
            <w:pPr>
              <w:jc w:val="center"/>
              <w:rPr>
                <w:rFonts w:ascii="Calibri" w:hAnsi="Calibri"/>
                <w:sz w:val="18"/>
                <w:szCs w:val="18"/>
              </w:rPr>
            </w:pPr>
          </w:p>
        </w:tc>
      </w:tr>
      <w:tr w:rsidR="00EC6DC5" w:rsidRPr="008B7F0A" w14:paraId="498076B8" w14:textId="77777777" w:rsidTr="00552118">
        <w:tc>
          <w:tcPr>
            <w:tcW w:w="2977" w:type="dxa"/>
            <w:vMerge/>
          </w:tcPr>
          <w:p w14:paraId="75D5F2AF" w14:textId="77777777" w:rsidR="00EC6DC5" w:rsidRPr="008B7F0A" w:rsidRDefault="00EC6DC5" w:rsidP="00EC6DC5">
            <w:pPr>
              <w:rPr>
                <w:b/>
                <w:sz w:val="18"/>
                <w:szCs w:val="18"/>
                <w:lang w:val="sv-SE"/>
              </w:rPr>
            </w:pPr>
          </w:p>
        </w:tc>
        <w:tc>
          <w:tcPr>
            <w:tcW w:w="4634" w:type="dxa"/>
          </w:tcPr>
          <w:p w14:paraId="2BCC098E" w14:textId="77777777" w:rsidR="00EC6DC5" w:rsidRPr="008B7F0A" w:rsidRDefault="00EC6DC5" w:rsidP="00EC6DC5">
            <w:pPr>
              <w:rPr>
                <w:rFonts w:ascii="Calibri" w:hAnsi="Calibri"/>
                <w:sz w:val="18"/>
                <w:szCs w:val="18"/>
              </w:rPr>
            </w:pPr>
            <w:r w:rsidRPr="008B7F0A">
              <w:rPr>
                <w:rFonts w:ascii="Calibri" w:hAnsi="Calibri"/>
                <w:sz w:val="18"/>
                <w:szCs w:val="18"/>
              </w:rPr>
              <w:t>Número de micro-cuencas con enfoque de manejo integral de cuencas</w:t>
            </w:r>
          </w:p>
        </w:tc>
        <w:tc>
          <w:tcPr>
            <w:tcW w:w="1419" w:type="dxa"/>
            <w:vAlign w:val="center"/>
          </w:tcPr>
          <w:p w14:paraId="4D97484E" w14:textId="45EE08E8" w:rsidR="00EC6DC5" w:rsidRPr="008B7F0A" w:rsidRDefault="00EC6DC5" w:rsidP="00EC6DC5">
            <w:pPr>
              <w:rPr>
                <w:rFonts w:eastAsia="Times New Roman" w:cs="Times New Roman"/>
                <w:sz w:val="18"/>
                <w:szCs w:val="18"/>
              </w:rPr>
            </w:pPr>
          </w:p>
        </w:tc>
        <w:tc>
          <w:tcPr>
            <w:tcW w:w="1700" w:type="dxa"/>
            <w:vAlign w:val="center"/>
          </w:tcPr>
          <w:p w14:paraId="3FBDA942" w14:textId="77777777" w:rsidR="00EC6DC5" w:rsidRPr="00B50649" w:rsidRDefault="00EC6DC5" w:rsidP="00EC6DC5">
            <w:pPr>
              <w:rPr>
                <w:rFonts w:eastAsia="Times New Roman" w:cs="Times New Roman"/>
                <w:sz w:val="18"/>
                <w:szCs w:val="18"/>
              </w:rPr>
            </w:pPr>
            <w:r w:rsidRPr="00B50649">
              <w:rPr>
                <w:rFonts w:eastAsia="Times New Roman" w:cs="Times New Roman"/>
                <w:sz w:val="18"/>
                <w:szCs w:val="18"/>
              </w:rPr>
              <w:t>Por definir</w:t>
            </w:r>
          </w:p>
          <w:p w14:paraId="6A132968" w14:textId="77777777" w:rsidR="00EC6DC5" w:rsidRPr="00B50649" w:rsidRDefault="00EC6DC5" w:rsidP="00EC6DC5">
            <w:pPr>
              <w:rPr>
                <w:rFonts w:eastAsia="Times New Roman" w:cs="Times New Roman"/>
                <w:sz w:val="18"/>
                <w:szCs w:val="18"/>
              </w:rPr>
            </w:pPr>
          </w:p>
        </w:tc>
        <w:tc>
          <w:tcPr>
            <w:tcW w:w="1466" w:type="dxa"/>
            <w:vAlign w:val="center"/>
          </w:tcPr>
          <w:p w14:paraId="7C287237" w14:textId="77777777" w:rsidR="00EC6DC5" w:rsidRPr="008B7F0A" w:rsidRDefault="00EC6DC5" w:rsidP="00EC6DC5">
            <w:pPr>
              <w:rPr>
                <w:sz w:val="18"/>
                <w:szCs w:val="18"/>
                <w:lang w:val="es-ES"/>
              </w:rPr>
            </w:pPr>
            <w:r w:rsidRPr="008B7F0A">
              <w:rPr>
                <w:sz w:val="18"/>
                <w:szCs w:val="18"/>
                <w:lang w:val="es-ES"/>
              </w:rPr>
              <w:t>A revisar</w:t>
            </w:r>
          </w:p>
        </w:tc>
        <w:tc>
          <w:tcPr>
            <w:tcW w:w="1414" w:type="dxa"/>
            <w:vAlign w:val="center"/>
          </w:tcPr>
          <w:p w14:paraId="36B2965A" w14:textId="77777777" w:rsidR="00EC6DC5" w:rsidRPr="008B7F0A" w:rsidRDefault="00EC6DC5" w:rsidP="00EC6DC5">
            <w:pPr>
              <w:jc w:val="center"/>
              <w:rPr>
                <w:rFonts w:ascii="Calibri" w:hAnsi="Calibri"/>
                <w:sz w:val="18"/>
                <w:szCs w:val="18"/>
              </w:rPr>
            </w:pPr>
            <w:r w:rsidRPr="008B7F0A">
              <w:rPr>
                <w:rFonts w:ascii="Calibri" w:hAnsi="Calibri"/>
                <w:sz w:val="18"/>
                <w:szCs w:val="18"/>
              </w:rPr>
              <w:t>Pilar 6. Meta 6, R.2</w:t>
            </w:r>
          </w:p>
        </w:tc>
        <w:tc>
          <w:tcPr>
            <w:tcW w:w="1416" w:type="dxa"/>
            <w:vAlign w:val="center"/>
          </w:tcPr>
          <w:p w14:paraId="7C3EC399" w14:textId="77777777" w:rsidR="00EC6DC5" w:rsidRPr="008B7F0A" w:rsidRDefault="00EC6DC5" w:rsidP="00EC6DC5">
            <w:pPr>
              <w:jc w:val="center"/>
              <w:rPr>
                <w:sz w:val="18"/>
                <w:szCs w:val="18"/>
                <w:lang w:val="sv-SE"/>
              </w:rPr>
            </w:pPr>
          </w:p>
          <w:p w14:paraId="0EE2BAAC" w14:textId="77777777" w:rsidR="00EC6DC5" w:rsidRPr="008B7F0A" w:rsidRDefault="00EC6DC5" w:rsidP="00EC6DC5">
            <w:pPr>
              <w:jc w:val="center"/>
              <w:rPr>
                <w:sz w:val="18"/>
                <w:szCs w:val="18"/>
                <w:lang w:val="sv-SE"/>
              </w:rPr>
            </w:pPr>
          </w:p>
          <w:p w14:paraId="08FE9C74" w14:textId="77777777" w:rsidR="00EC6DC5" w:rsidRPr="008B7F0A" w:rsidRDefault="00EC6DC5" w:rsidP="00EC6DC5">
            <w:pPr>
              <w:jc w:val="center"/>
              <w:rPr>
                <w:sz w:val="18"/>
                <w:szCs w:val="18"/>
                <w:lang w:val="sv-SE"/>
              </w:rPr>
            </w:pPr>
          </w:p>
          <w:p w14:paraId="2AC4D027" w14:textId="77777777" w:rsidR="00EC6DC5" w:rsidRPr="008B7F0A" w:rsidRDefault="00EC6DC5" w:rsidP="00EC6DC5">
            <w:pPr>
              <w:jc w:val="center"/>
              <w:rPr>
                <w:sz w:val="18"/>
                <w:szCs w:val="18"/>
                <w:lang w:val="sv-SE"/>
              </w:rPr>
            </w:pPr>
          </w:p>
          <w:p w14:paraId="5B7242FB" w14:textId="77777777" w:rsidR="00EC6DC5" w:rsidRPr="008B7F0A" w:rsidRDefault="00EC6DC5" w:rsidP="00EC6DC5">
            <w:pPr>
              <w:jc w:val="center"/>
              <w:rPr>
                <w:sz w:val="18"/>
                <w:szCs w:val="18"/>
                <w:lang w:val="sv-SE"/>
              </w:rPr>
            </w:pPr>
          </w:p>
        </w:tc>
      </w:tr>
      <w:tr w:rsidR="00655E9C" w:rsidRPr="008B7F0A" w14:paraId="7B29EEA3" w14:textId="77777777" w:rsidTr="00552118">
        <w:tc>
          <w:tcPr>
            <w:tcW w:w="12196" w:type="dxa"/>
            <w:gridSpan w:val="5"/>
            <w:shd w:val="clear" w:color="auto" w:fill="2E74B5" w:themeFill="accent1" w:themeFillShade="BF"/>
          </w:tcPr>
          <w:p w14:paraId="60573B05" w14:textId="77777777" w:rsidR="00655E9C" w:rsidRPr="008B7F0A" w:rsidRDefault="00655E9C" w:rsidP="00655E9C">
            <w:pPr>
              <w:rPr>
                <w:b/>
              </w:rPr>
            </w:pPr>
            <w:r w:rsidRPr="008B7F0A">
              <w:rPr>
                <w:b/>
                <w:color w:val="FFFFFF" w:themeColor="background1"/>
              </w:rPr>
              <w:lastRenderedPageBreak/>
              <w:t xml:space="preserve">ÁREA </w:t>
            </w:r>
            <w:r w:rsidR="003B555E" w:rsidRPr="008B7F0A">
              <w:rPr>
                <w:b/>
                <w:color w:val="FFFFFF" w:themeColor="background1"/>
              </w:rPr>
              <w:t>3</w:t>
            </w:r>
            <w:r w:rsidRPr="008B7F0A">
              <w:rPr>
                <w:b/>
                <w:color w:val="FFFFFF" w:themeColor="background1"/>
              </w:rPr>
              <w:t xml:space="preserve">. GESTIÓN PÚBLICA Y JUSTICIA </w:t>
            </w:r>
            <w:r w:rsidR="003B555E" w:rsidRPr="008B7F0A">
              <w:rPr>
                <w:b/>
                <w:color w:val="FFFFFF" w:themeColor="background1"/>
              </w:rPr>
              <w:t>PLURAL</w:t>
            </w:r>
          </w:p>
        </w:tc>
        <w:tc>
          <w:tcPr>
            <w:tcW w:w="1414" w:type="dxa"/>
            <w:shd w:val="clear" w:color="auto" w:fill="2E74B5" w:themeFill="accent1" w:themeFillShade="BF"/>
          </w:tcPr>
          <w:p w14:paraId="0D802847" w14:textId="77777777" w:rsidR="00655E9C" w:rsidRPr="008B7F0A" w:rsidRDefault="00655E9C" w:rsidP="00234D6E">
            <w:pPr>
              <w:rPr>
                <w:b/>
                <w:color w:val="FFFFFF" w:themeColor="background1"/>
              </w:rPr>
            </w:pPr>
          </w:p>
        </w:tc>
        <w:tc>
          <w:tcPr>
            <w:tcW w:w="1416" w:type="dxa"/>
            <w:shd w:val="clear" w:color="auto" w:fill="2E74B5" w:themeFill="accent1" w:themeFillShade="BF"/>
          </w:tcPr>
          <w:p w14:paraId="0895F022" w14:textId="77777777" w:rsidR="00655E9C" w:rsidRPr="008B7F0A" w:rsidRDefault="00655E9C" w:rsidP="00234D6E">
            <w:pPr>
              <w:rPr>
                <w:b/>
                <w:color w:val="FFFFFF" w:themeColor="background1"/>
              </w:rPr>
            </w:pPr>
          </w:p>
        </w:tc>
      </w:tr>
      <w:tr w:rsidR="00655E9C" w:rsidRPr="008B7F0A" w14:paraId="3EEF6884" w14:textId="77777777" w:rsidTr="00552118">
        <w:tc>
          <w:tcPr>
            <w:tcW w:w="2977" w:type="dxa"/>
            <w:shd w:val="clear" w:color="auto" w:fill="9CC2E5" w:themeFill="accent1" w:themeFillTint="99"/>
            <w:vAlign w:val="center"/>
          </w:tcPr>
          <w:p w14:paraId="12B4DC74" w14:textId="77777777" w:rsidR="00655E9C" w:rsidRPr="008B7F0A" w:rsidRDefault="003B555E" w:rsidP="00234D6E">
            <w:pPr>
              <w:jc w:val="center"/>
              <w:rPr>
                <w:b/>
              </w:rPr>
            </w:pPr>
            <w:r w:rsidRPr="008B7F0A">
              <w:rPr>
                <w:b/>
              </w:rPr>
              <w:t>Efecto</w:t>
            </w:r>
          </w:p>
        </w:tc>
        <w:tc>
          <w:tcPr>
            <w:tcW w:w="4634" w:type="dxa"/>
            <w:shd w:val="clear" w:color="auto" w:fill="9CC2E5" w:themeFill="accent1" w:themeFillTint="99"/>
            <w:vAlign w:val="center"/>
          </w:tcPr>
          <w:p w14:paraId="3F79FDB8" w14:textId="77777777" w:rsidR="00655E9C" w:rsidRPr="008B7F0A" w:rsidRDefault="00655E9C" w:rsidP="00234D6E">
            <w:pPr>
              <w:jc w:val="center"/>
              <w:rPr>
                <w:b/>
              </w:rPr>
            </w:pPr>
            <w:r w:rsidRPr="008B7F0A">
              <w:rPr>
                <w:b/>
              </w:rPr>
              <w:t>Indicadores</w:t>
            </w:r>
          </w:p>
        </w:tc>
        <w:tc>
          <w:tcPr>
            <w:tcW w:w="1419" w:type="dxa"/>
            <w:shd w:val="clear" w:color="auto" w:fill="9CC2E5" w:themeFill="accent1" w:themeFillTint="99"/>
            <w:vAlign w:val="center"/>
          </w:tcPr>
          <w:p w14:paraId="460762CC" w14:textId="77777777" w:rsidR="00655E9C" w:rsidRPr="008B7F0A" w:rsidRDefault="00655E9C" w:rsidP="00234D6E">
            <w:pPr>
              <w:jc w:val="center"/>
              <w:rPr>
                <w:b/>
              </w:rPr>
            </w:pPr>
            <w:r w:rsidRPr="008B7F0A">
              <w:rPr>
                <w:b/>
              </w:rPr>
              <w:t>Línea de Base</w:t>
            </w:r>
          </w:p>
        </w:tc>
        <w:tc>
          <w:tcPr>
            <w:tcW w:w="1700" w:type="dxa"/>
            <w:shd w:val="clear" w:color="auto" w:fill="9CC2E5" w:themeFill="accent1" w:themeFillTint="99"/>
            <w:vAlign w:val="center"/>
          </w:tcPr>
          <w:p w14:paraId="2465F59E" w14:textId="77777777" w:rsidR="00655E9C" w:rsidRPr="008B7F0A" w:rsidRDefault="00655E9C" w:rsidP="00234D6E">
            <w:pPr>
              <w:jc w:val="center"/>
              <w:rPr>
                <w:b/>
              </w:rPr>
            </w:pPr>
            <w:r w:rsidRPr="008B7F0A">
              <w:rPr>
                <w:b/>
              </w:rPr>
              <w:t>Metas</w:t>
            </w:r>
          </w:p>
        </w:tc>
        <w:tc>
          <w:tcPr>
            <w:tcW w:w="1466" w:type="dxa"/>
            <w:shd w:val="clear" w:color="auto" w:fill="9CC2E5" w:themeFill="accent1" w:themeFillTint="99"/>
            <w:vAlign w:val="center"/>
          </w:tcPr>
          <w:p w14:paraId="768C6924" w14:textId="77777777" w:rsidR="00655E9C" w:rsidRPr="008B7F0A" w:rsidRDefault="00655E9C" w:rsidP="00234D6E">
            <w:pPr>
              <w:jc w:val="center"/>
              <w:rPr>
                <w:b/>
              </w:rPr>
            </w:pPr>
            <w:r w:rsidRPr="008B7F0A">
              <w:rPr>
                <w:b/>
              </w:rPr>
              <w:t>Fuentes de verificación</w:t>
            </w:r>
          </w:p>
        </w:tc>
        <w:tc>
          <w:tcPr>
            <w:tcW w:w="1414" w:type="dxa"/>
            <w:shd w:val="clear" w:color="auto" w:fill="9CC2E5" w:themeFill="accent1" w:themeFillTint="99"/>
            <w:vAlign w:val="center"/>
          </w:tcPr>
          <w:p w14:paraId="03AA7382" w14:textId="77777777" w:rsidR="00655E9C" w:rsidRPr="008B7F0A" w:rsidRDefault="00655E9C" w:rsidP="00234D6E">
            <w:pPr>
              <w:jc w:val="center"/>
              <w:rPr>
                <w:b/>
              </w:rPr>
            </w:pPr>
            <w:r w:rsidRPr="008B7F0A">
              <w:rPr>
                <w:b/>
              </w:rPr>
              <w:t>PDES</w:t>
            </w:r>
          </w:p>
        </w:tc>
        <w:tc>
          <w:tcPr>
            <w:tcW w:w="1416" w:type="dxa"/>
            <w:shd w:val="clear" w:color="auto" w:fill="9CC2E5" w:themeFill="accent1" w:themeFillTint="99"/>
            <w:vAlign w:val="center"/>
          </w:tcPr>
          <w:p w14:paraId="3D1DE538" w14:textId="77777777" w:rsidR="00655E9C" w:rsidRPr="008B7F0A" w:rsidRDefault="00655E9C" w:rsidP="00234D6E">
            <w:pPr>
              <w:jc w:val="center"/>
              <w:rPr>
                <w:b/>
              </w:rPr>
            </w:pPr>
            <w:r w:rsidRPr="008B7F0A">
              <w:rPr>
                <w:b/>
              </w:rPr>
              <w:t>ODS</w:t>
            </w:r>
          </w:p>
        </w:tc>
      </w:tr>
      <w:tr w:rsidR="00343A46" w14:paraId="20457005" w14:textId="77777777" w:rsidTr="00552118">
        <w:tc>
          <w:tcPr>
            <w:tcW w:w="2977" w:type="dxa"/>
            <w:vMerge w:val="restart"/>
          </w:tcPr>
          <w:p w14:paraId="01895B43" w14:textId="657F4D6D" w:rsidR="00343A46" w:rsidRPr="008B7F0A" w:rsidRDefault="00E81021" w:rsidP="00343A46">
            <w:pPr>
              <w:rPr>
                <w:sz w:val="18"/>
                <w:szCs w:val="18"/>
              </w:rPr>
            </w:pPr>
            <w:r>
              <w:rPr>
                <w:b/>
                <w:sz w:val="18"/>
                <w:szCs w:val="18"/>
                <w:lang w:val="sv-SE"/>
              </w:rPr>
              <w:t>3</w:t>
            </w:r>
            <w:r w:rsidR="00343A46" w:rsidRPr="008B7F0A">
              <w:rPr>
                <w:b/>
                <w:sz w:val="18"/>
                <w:szCs w:val="18"/>
                <w:lang w:val="sv-SE"/>
              </w:rPr>
              <w:t>.</w:t>
            </w:r>
            <w:r>
              <w:rPr>
                <w:b/>
                <w:sz w:val="18"/>
                <w:szCs w:val="18"/>
                <w:lang w:val="sv-SE"/>
              </w:rPr>
              <w:t>1</w:t>
            </w:r>
            <w:r w:rsidR="00343A46" w:rsidRPr="008B7F0A">
              <w:rPr>
                <w:sz w:val="18"/>
                <w:szCs w:val="18"/>
                <w:lang w:val="sv-SE"/>
              </w:rPr>
              <w:t xml:space="preserve"> </w:t>
            </w:r>
            <w:r w:rsidR="00343A46" w:rsidRPr="008B7F0A">
              <w:rPr>
                <w:rFonts w:ascii="Calibri" w:hAnsi="Calibri"/>
                <w:bCs/>
                <w:sz w:val="18"/>
                <w:szCs w:val="18"/>
              </w:rPr>
              <w:t>Las instituciones del Estado han diseñado y aplicado políticas eficientes y efectivas</w:t>
            </w:r>
            <w:r w:rsidR="00552118" w:rsidRPr="008B7F0A">
              <w:rPr>
                <w:rFonts w:ascii="Calibri" w:hAnsi="Calibri"/>
                <w:bCs/>
                <w:sz w:val="18"/>
                <w:szCs w:val="18"/>
              </w:rPr>
              <w:t xml:space="preserve">, basadas en evidencia, </w:t>
            </w:r>
            <w:r w:rsidR="00343A46" w:rsidRPr="008B7F0A">
              <w:rPr>
                <w:rFonts w:ascii="Calibri" w:hAnsi="Calibri"/>
                <w:bCs/>
                <w:sz w:val="18"/>
                <w:szCs w:val="18"/>
              </w:rPr>
              <w:t>orientadas a una agenda de derechos y protección social que promueven una convivencia sin violencia, una democracia intercultural y paritaria en igualdad de condiciones con acceso a servicios públicos de justicia, seguridad ciudadana y sectoriales de calidad, en diálogo permanente y participación efectiva de la sociedad civil</w:t>
            </w:r>
          </w:p>
        </w:tc>
        <w:tc>
          <w:tcPr>
            <w:tcW w:w="4634" w:type="dxa"/>
            <w:vAlign w:val="center"/>
          </w:tcPr>
          <w:p w14:paraId="0D7EBB83" w14:textId="77777777" w:rsidR="00343A46" w:rsidRPr="008B7F0A" w:rsidRDefault="00343A46" w:rsidP="00343A46">
            <w:pPr>
              <w:rPr>
                <w:sz w:val="18"/>
                <w:szCs w:val="18"/>
                <w:lang w:val="sv-SE"/>
              </w:rPr>
            </w:pPr>
            <w:r w:rsidRPr="008B7F0A">
              <w:rPr>
                <w:rFonts w:ascii="Calibri" w:hAnsi="Calibri"/>
                <w:bCs/>
                <w:sz w:val="18"/>
                <w:szCs w:val="18"/>
              </w:rPr>
              <w:t>1. Tasa de incidencia de la pobreza extrema y tasa de la incidencia de la pobreza moderada + pobreza social y espiritual (desagregado por edad, sexo, zona geográfica)</w:t>
            </w:r>
          </w:p>
        </w:tc>
        <w:tc>
          <w:tcPr>
            <w:tcW w:w="1419" w:type="dxa"/>
            <w:vAlign w:val="center"/>
          </w:tcPr>
          <w:p w14:paraId="51EC3D79" w14:textId="77777777" w:rsidR="00343A46" w:rsidRPr="008B7F0A" w:rsidRDefault="00343A46" w:rsidP="00343A46">
            <w:pPr>
              <w:rPr>
                <w:rFonts w:ascii="Calibri" w:hAnsi="Calibri"/>
                <w:bCs/>
                <w:color w:val="000000"/>
                <w:sz w:val="18"/>
                <w:szCs w:val="18"/>
                <w:highlight w:val="yellow"/>
              </w:rPr>
            </w:pPr>
            <w:r w:rsidRPr="008B7F0A">
              <w:rPr>
                <w:rFonts w:ascii="Calibri" w:hAnsi="Calibri"/>
                <w:color w:val="000000"/>
                <w:sz w:val="18"/>
                <w:szCs w:val="18"/>
              </w:rPr>
              <w:t>38% (2015)</w:t>
            </w:r>
          </w:p>
        </w:tc>
        <w:tc>
          <w:tcPr>
            <w:tcW w:w="1700" w:type="dxa"/>
            <w:vAlign w:val="center"/>
          </w:tcPr>
          <w:p w14:paraId="6EFF28BA" w14:textId="77777777" w:rsidR="00343A46" w:rsidRPr="008B7F0A" w:rsidRDefault="00343A46" w:rsidP="00343A46">
            <w:pPr>
              <w:rPr>
                <w:rFonts w:ascii="Calibri" w:hAnsi="Calibri"/>
                <w:b/>
                <w:bCs/>
                <w:color w:val="000000"/>
                <w:sz w:val="18"/>
                <w:szCs w:val="18"/>
                <w:highlight w:val="yellow"/>
              </w:rPr>
            </w:pPr>
            <w:r w:rsidRPr="008B7F0A">
              <w:rPr>
                <w:rFonts w:ascii="Calibri" w:hAnsi="Calibri"/>
                <w:color w:val="000000"/>
                <w:sz w:val="18"/>
                <w:szCs w:val="18"/>
              </w:rPr>
              <w:t> </w:t>
            </w:r>
          </w:p>
        </w:tc>
        <w:tc>
          <w:tcPr>
            <w:tcW w:w="1466" w:type="dxa"/>
            <w:vAlign w:val="center"/>
          </w:tcPr>
          <w:p w14:paraId="4DCA60F4" w14:textId="77777777" w:rsidR="00343A46" w:rsidRPr="008B7F0A" w:rsidRDefault="00343A46" w:rsidP="00343A46">
            <w:pPr>
              <w:rPr>
                <w:rFonts w:ascii="Calibri" w:hAnsi="Calibri"/>
                <w:bCs/>
                <w:sz w:val="18"/>
                <w:szCs w:val="18"/>
              </w:rPr>
            </w:pPr>
            <w:r w:rsidRPr="008B7F0A">
              <w:rPr>
                <w:rFonts w:ascii="Calibri" w:hAnsi="Calibri"/>
                <w:color w:val="000000"/>
                <w:sz w:val="18"/>
                <w:szCs w:val="18"/>
              </w:rPr>
              <w:t>Encuestas de Hogares INE</w:t>
            </w:r>
          </w:p>
        </w:tc>
        <w:tc>
          <w:tcPr>
            <w:tcW w:w="1414" w:type="dxa"/>
            <w:vAlign w:val="center"/>
          </w:tcPr>
          <w:p w14:paraId="67F6545E" w14:textId="77777777" w:rsidR="00343A46" w:rsidRPr="008B7F0A" w:rsidRDefault="00343A46" w:rsidP="00343A46">
            <w:pPr>
              <w:jc w:val="center"/>
              <w:rPr>
                <w:sz w:val="18"/>
                <w:szCs w:val="18"/>
                <w:lang w:val="sv-SE"/>
              </w:rPr>
            </w:pPr>
            <w:r w:rsidRPr="008B7F0A">
              <w:rPr>
                <w:sz w:val="18"/>
                <w:szCs w:val="18"/>
                <w:lang w:val="sv-SE"/>
              </w:rPr>
              <w:t>Pilar 1</w:t>
            </w:r>
          </w:p>
        </w:tc>
        <w:tc>
          <w:tcPr>
            <w:tcW w:w="1416" w:type="dxa"/>
            <w:vAlign w:val="center"/>
          </w:tcPr>
          <w:p w14:paraId="700F9148" w14:textId="77777777" w:rsidR="00343A46" w:rsidRPr="008B7F0A" w:rsidRDefault="00343A46" w:rsidP="00343A46">
            <w:pPr>
              <w:rPr>
                <w:sz w:val="18"/>
                <w:szCs w:val="18"/>
                <w:lang w:val="sv-SE"/>
              </w:rPr>
            </w:pPr>
            <w:r w:rsidRPr="008B7F0A">
              <w:rPr>
                <w:sz w:val="18"/>
                <w:szCs w:val="18"/>
                <w:lang w:val="sv-SE"/>
              </w:rPr>
              <w:t>1.1., 1.2. y 1.3.1.</w:t>
            </w:r>
          </w:p>
        </w:tc>
      </w:tr>
      <w:tr w:rsidR="00343A46" w14:paraId="6D87D02D" w14:textId="77777777" w:rsidTr="00552118">
        <w:trPr>
          <w:trHeight w:val="5064"/>
        </w:trPr>
        <w:tc>
          <w:tcPr>
            <w:tcW w:w="2977" w:type="dxa"/>
            <w:vMerge/>
          </w:tcPr>
          <w:p w14:paraId="22E722D8" w14:textId="77777777" w:rsidR="00343A46" w:rsidRPr="008B7F0A" w:rsidRDefault="00343A46" w:rsidP="00343A46">
            <w:pPr>
              <w:rPr>
                <w:b/>
                <w:sz w:val="18"/>
                <w:szCs w:val="18"/>
                <w:lang w:val="sv-SE"/>
              </w:rPr>
            </w:pPr>
          </w:p>
        </w:tc>
        <w:tc>
          <w:tcPr>
            <w:tcW w:w="4634" w:type="dxa"/>
            <w:vAlign w:val="center"/>
          </w:tcPr>
          <w:p w14:paraId="183086B2" w14:textId="77777777" w:rsidR="00343A46" w:rsidRPr="008B7F0A" w:rsidRDefault="00343A46" w:rsidP="00343A46">
            <w:pPr>
              <w:rPr>
                <w:sz w:val="18"/>
                <w:szCs w:val="18"/>
                <w:lang w:val="sv-SE"/>
              </w:rPr>
            </w:pPr>
            <w:r w:rsidRPr="008B7F0A">
              <w:rPr>
                <w:rFonts w:ascii="Calibri" w:hAnsi="Calibri"/>
                <w:bCs/>
                <w:sz w:val="18"/>
                <w:szCs w:val="18"/>
              </w:rPr>
              <w:t>2. Número de Entidades Territoriales Autónomas con procesos de planificación integral de desarrollo humano sostenible con enfoque de género y generacional, con procesos de monitoreo a la ejecución de sus planes territoriales formulados en consulta con la sociedad civil que reportan a los sistemas nacionales vinculados (formulado en línea con el SPIE)</w:t>
            </w:r>
          </w:p>
        </w:tc>
        <w:tc>
          <w:tcPr>
            <w:tcW w:w="1419" w:type="dxa"/>
            <w:vAlign w:val="center"/>
          </w:tcPr>
          <w:p w14:paraId="18AC266B" w14:textId="77777777" w:rsidR="00343A46" w:rsidRPr="008B7F0A" w:rsidRDefault="00343A46" w:rsidP="00343A46">
            <w:pPr>
              <w:rPr>
                <w:rFonts w:ascii="Calibri" w:hAnsi="Calibri"/>
                <w:bCs/>
                <w:color w:val="000000"/>
                <w:sz w:val="18"/>
                <w:szCs w:val="18"/>
                <w:lang w:val="es-ES"/>
              </w:rPr>
            </w:pPr>
            <w:r w:rsidRPr="008B7F0A">
              <w:rPr>
                <w:rFonts w:ascii="Calibri" w:hAnsi="Calibri"/>
                <w:color w:val="000000"/>
                <w:sz w:val="18"/>
                <w:szCs w:val="18"/>
              </w:rPr>
              <w:t>0</w:t>
            </w:r>
          </w:p>
        </w:tc>
        <w:tc>
          <w:tcPr>
            <w:tcW w:w="1700" w:type="dxa"/>
            <w:vAlign w:val="center"/>
          </w:tcPr>
          <w:p w14:paraId="1F4AA2DA" w14:textId="77777777" w:rsidR="00343A46" w:rsidRPr="00B50649" w:rsidRDefault="00343A46" w:rsidP="00343A46">
            <w:pPr>
              <w:jc w:val="both"/>
              <w:rPr>
                <w:rFonts w:ascii="Calibri" w:hAnsi="Calibri"/>
                <w:color w:val="000000"/>
                <w:sz w:val="18"/>
                <w:szCs w:val="18"/>
              </w:rPr>
            </w:pPr>
            <w:r w:rsidRPr="00B50649">
              <w:rPr>
                <w:rFonts w:ascii="Calibri" w:hAnsi="Calibri"/>
                <w:color w:val="000000"/>
                <w:sz w:val="18"/>
                <w:szCs w:val="18"/>
              </w:rPr>
              <w:t xml:space="preserve">5 PNUD, que incluya municipios          23 ONU MUJERES y </w:t>
            </w:r>
          </w:p>
          <w:p w14:paraId="0D563FB8" w14:textId="77777777" w:rsidR="00343A46" w:rsidRPr="00B50649" w:rsidRDefault="00343A46" w:rsidP="00343A46">
            <w:pPr>
              <w:jc w:val="both"/>
              <w:rPr>
                <w:rFonts w:ascii="Calibri" w:hAnsi="Calibri"/>
                <w:color w:val="000000"/>
                <w:sz w:val="18"/>
                <w:szCs w:val="18"/>
              </w:rPr>
            </w:pPr>
          </w:p>
          <w:p w14:paraId="40D72400" w14:textId="77777777" w:rsidR="00343A46" w:rsidRPr="00B50649" w:rsidRDefault="00343A46" w:rsidP="00343A46">
            <w:pPr>
              <w:jc w:val="both"/>
              <w:rPr>
                <w:rFonts w:ascii="Calibri" w:hAnsi="Calibri"/>
                <w:bCs/>
                <w:sz w:val="18"/>
                <w:szCs w:val="18"/>
              </w:rPr>
            </w:pPr>
            <w:r w:rsidRPr="00B50649">
              <w:rPr>
                <w:rFonts w:ascii="Calibri" w:hAnsi="Calibri"/>
                <w:bCs/>
                <w:sz w:val="18"/>
                <w:szCs w:val="18"/>
              </w:rPr>
              <w:t xml:space="preserve">UNFPA 17                (Camargo, </w:t>
            </w:r>
            <w:proofErr w:type="spellStart"/>
            <w:r w:rsidRPr="00B50649">
              <w:rPr>
                <w:rFonts w:ascii="Calibri" w:hAnsi="Calibri"/>
                <w:bCs/>
                <w:sz w:val="18"/>
                <w:szCs w:val="18"/>
              </w:rPr>
              <w:t>Tomina</w:t>
            </w:r>
            <w:proofErr w:type="spellEnd"/>
            <w:r w:rsidRPr="00B50649">
              <w:rPr>
                <w:rFonts w:ascii="Calibri" w:hAnsi="Calibri"/>
                <w:bCs/>
                <w:sz w:val="18"/>
                <w:szCs w:val="18"/>
              </w:rPr>
              <w:t xml:space="preserve">, </w:t>
            </w:r>
            <w:proofErr w:type="spellStart"/>
            <w:r w:rsidRPr="00B50649">
              <w:rPr>
                <w:rFonts w:ascii="Calibri" w:hAnsi="Calibri"/>
                <w:bCs/>
                <w:sz w:val="18"/>
                <w:szCs w:val="18"/>
              </w:rPr>
              <w:t>Sopachuy</w:t>
            </w:r>
            <w:proofErr w:type="spellEnd"/>
            <w:r w:rsidRPr="00B50649">
              <w:rPr>
                <w:rFonts w:ascii="Calibri" w:hAnsi="Calibri"/>
                <w:bCs/>
                <w:sz w:val="18"/>
                <w:szCs w:val="18"/>
              </w:rPr>
              <w:t xml:space="preserve">, San Lucas, Sucre, </w:t>
            </w:r>
            <w:proofErr w:type="spellStart"/>
            <w:r w:rsidRPr="00B50649">
              <w:rPr>
                <w:rFonts w:ascii="Calibri" w:hAnsi="Calibri"/>
                <w:bCs/>
                <w:sz w:val="18"/>
                <w:szCs w:val="18"/>
              </w:rPr>
              <w:t>Llallagua</w:t>
            </w:r>
            <w:proofErr w:type="spellEnd"/>
            <w:r w:rsidRPr="00B50649">
              <w:rPr>
                <w:rFonts w:ascii="Calibri" w:hAnsi="Calibri"/>
                <w:bCs/>
                <w:sz w:val="18"/>
                <w:szCs w:val="18"/>
              </w:rPr>
              <w:t xml:space="preserve">, Uncía, Tupiza, Potosí, </w:t>
            </w:r>
            <w:proofErr w:type="spellStart"/>
            <w:r w:rsidRPr="00B50649">
              <w:rPr>
                <w:rFonts w:ascii="Calibri" w:hAnsi="Calibri"/>
                <w:bCs/>
                <w:sz w:val="18"/>
                <w:szCs w:val="18"/>
              </w:rPr>
              <w:t>Tiquipaya</w:t>
            </w:r>
            <w:proofErr w:type="spellEnd"/>
            <w:r w:rsidRPr="00B50649">
              <w:rPr>
                <w:rFonts w:ascii="Calibri" w:hAnsi="Calibri"/>
                <w:bCs/>
                <w:sz w:val="18"/>
                <w:szCs w:val="18"/>
              </w:rPr>
              <w:t>, Punata, Cercado, Viacha, La Paz, Cobija, San Lorenzo, Gonzalo Moreno)</w:t>
            </w:r>
          </w:p>
          <w:p w14:paraId="70EC2A04" w14:textId="77777777" w:rsidR="00343A46" w:rsidRPr="00B50649" w:rsidRDefault="00343A46" w:rsidP="00B50649">
            <w:pPr>
              <w:jc w:val="both"/>
              <w:rPr>
                <w:rFonts w:ascii="Calibri" w:hAnsi="Calibri"/>
                <w:sz w:val="18"/>
                <w:szCs w:val="18"/>
              </w:rPr>
            </w:pPr>
          </w:p>
        </w:tc>
        <w:tc>
          <w:tcPr>
            <w:tcW w:w="1466" w:type="dxa"/>
            <w:vAlign w:val="center"/>
          </w:tcPr>
          <w:p w14:paraId="2F14DBCF" w14:textId="77777777" w:rsidR="00343A46" w:rsidRPr="00B50649" w:rsidRDefault="00343A46" w:rsidP="00343A46">
            <w:pPr>
              <w:rPr>
                <w:rFonts w:ascii="Calibri" w:hAnsi="Calibri"/>
                <w:bCs/>
                <w:color w:val="000000"/>
                <w:sz w:val="18"/>
                <w:szCs w:val="18"/>
              </w:rPr>
            </w:pPr>
            <w:r w:rsidRPr="00B50649">
              <w:rPr>
                <w:rFonts w:ascii="Calibri" w:hAnsi="Calibri"/>
                <w:sz w:val="18"/>
                <w:szCs w:val="18"/>
              </w:rPr>
              <w:t>ROAR P</w:t>
            </w:r>
            <w:r w:rsidRPr="00B50649">
              <w:rPr>
                <w:rFonts w:ascii="Calibri" w:hAnsi="Calibri"/>
                <w:color w:val="000000"/>
                <w:sz w:val="18"/>
                <w:szCs w:val="18"/>
              </w:rPr>
              <w:t>NUD      ACOBOL</w:t>
            </w:r>
          </w:p>
        </w:tc>
        <w:tc>
          <w:tcPr>
            <w:tcW w:w="1414" w:type="dxa"/>
            <w:vAlign w:val="center"/>
          </w:tcPr>
          <w:p w14:paraId="4E414D85" w14:textId="77777777" w:rsidR="00343A46" w:rsidRPr="008B7F0A" w:rsidRDefault="00343A46" w:rsidP="00343A46">
            <w:pPr>
              <w:rPr>
                <w:sz w:val="18"/>
                <w:szCs w:val="18"/>
                <w:lang w:val="sv-SE"/>
              </w:rPr>
            </w:pPr>
            <w:r w:rsidRPr="008B7F0A">
              <w:rPr>
                <w:sz w:val="18"/>
                <w:szCs w:val="18"/>
                <w:lang w:val="sv-SE"/>
              </w:rPr>
              <w:t>SPIE</w:t>
            </w:r>
          </w:p>
        </w:tc>
        <w:tc>
          <w:tcPr>
            <w:tcW w:w="1416" w:type="dxa"/>
            <w:vAlign w:val="center"/>
          </w:tcPr>
          <w:p w14:paraId="3A47BF6F" w14:textId="77777777" w:rsidR="00343A46" w:rsidRPr="008B7F0A" w:rsidRDefault="00343A46" w:rsidP="00343A46">
            <w:pPr>
              <w:jc w:val="center"/>
              <w:rPr>
                <w:sz w:val="18"/>
                <w:szCs w:val="18"/>
                <w:lang w:val="sv-SE"/>
              </w:rPr>
            </w:pPr>
            <w:r w:rsidRPr="008B7F0A">
              <w:rPr>
                <w:sz w:val="18"/>
                <w:szCs w:val="18"/>
                <w:lang w:val="sv-SE"/>
              </w:rPr>
              <w:t>-</w:t>
            </w:r>
          </w:p>
        </w:tc>
      </w:tr>
      <w:tr w:rsidR="00343A46" w14:paraId="1145D6CA" w14:textId="77777777" w:rsidTr="00552118">
        <w:tc>
          <w:tcPr>
            <w:tcW w:w="2977" w:type="dxa"/>
            <w:vMerge/>
          </w:tcPr>
          <w:p w14:paraId="0E4A39CC" w14:textId="77777777" w:rsidR="00343A46" w:rsidRPr="008B7F0A" w:rsidRDefault="00343A46" w:rsidP="00343A46">
            <w:pPr>
              <w:rPr>
                <w:b/>
                <w:sz w:val="18"/>
                <w:szCs w:val="18"/>
                <w:lang w:val="sv-SE"/>
              </w:rPr>
            </w:pPr>
          </w:p>
        </w:tc>
        <w:tc>
          <w:tcPr>
            <w:tcW w:w="4634" w:type="dxa"/>
            <w:vAlign w:val="bottom"/>
          </w:tcPr>
          <w:p w14:paraId="7456399D" w14:textId="77777777" w:rsidR="00343A46" w:rsidRPr="008B7F0A" w:rsidRDefault="00343A46" w:rsidP="00343A46">
            <w:pPr>
              <w:rPr>
                <w:sz w:val="18"/>
                <w:szCs w:val="18"/>
                <w:lang w:val="sv-SE"/>
              </w:rPr>
            </w:pPr>
            <w:r w:rsidRPr="008B7F0A">
              <w:rPr>
                <w:sz w:val="18"/>
                <w:szCs w:val="18"/>
                <w:lang w:val="sv-SE"/>
              </w:rPr>
              <w:t xml:space="preserve">3. Porcentaje de la inversión de política pública  dedicado a programas de reduccción de pobreza u otros programas de protección social. </w:t>
            </w:r>
          </w:p>
          <w:p w14:paraId="50980CDE" w14:textId="37A948AF" w:rsidR="00A57171" w:rsidRPr="008B7F0A" w:rsidRDefault="00A57171" w:rsidP="00343A46">
            <w:pPr>
              <w:rPr>
                <w:sz w:val="18"/>
                <w:szCs w:val="18"/>
                <w:lang w:val="sv-SE"/>
              </w:rPr>
            </w:pPr>
          </w:p>
        </w:tc>
        <w:tc>
          <w:tcPr>
            <w:tcW w:w="1419" w:type="dxa"/>
          </w:tcPr>
          <w:p w14:paraId="74327E9B" w14:textId="77777777" w:rsidR="00343A46" w:rsidRPr="008B7F0A" w:rsidRDefault="00343A46" w:rsidP="00343A46">
            <w:pPr>
              <w:rPr>
                <w:sz w:val="18"/>
                <w:szCs w:val="18"/>
              </w:rPr>
            </w:pPr>
          </w:p>
        </w:tc>
        <w:tc>
          <w:tcPr>
            <w:tcW w:w="1700" w:type="dxa"/>
          </w:tcPr>
          <w:p w14:paraId="502FF7F8" w14:textId="77777777" w:rsidR="00343A46" w:rsidRPr="008B7F0A" w:rsidRDefault="00343A46" w:rsidP="00343A46">
            <w:pPr>
              <w:rPr>
                <w:sz w:val="18"/>
                <w:szCs w:val="18"/>
              </w:rPr>
            </w:pPr>
          </w:p>
        </w:tc>
        <w:tc>
          <w:tcPr>
            <w:tcW w:w="1466" w:type="dxa"/>
          </w:tcPr>
          <w:p w14:paraId="5B48C214" w14:textId="77777777" w:rsidR="00343A46" w:rsidRPr="008B7F0A" w:rsidRDefault="00343A46" w:rsidP="00343A46">
            <w:pPr>
              <w:rPr>
                <w:sz w:val="18"/>
                <w:szCs w:val="18"/>
              </w:rPr>
            </w:pPr>
          </w:p>
        </w:tc>
        <w:tc>
          <w:tcPr>
            <w:tcW w:w="1414" w:type="dxa"/>
            <w:vAlign w:val="center"/>
          </w:tcPr>
          <w:p w14:paraId="114A6311" w14:textId="77777777" w:rsidR="00343A46" w:rsidRPr="008B7F0A" w:rsidRDefault="00343A46" w:rsidP="00343A46">
            <w:pPr>
              <w:ind w:left="360"/>
              <w:jc w:val="center"/>
              <w:rPr>
                <w:sz w:val="18"/>
                <w:szCs w:val="18"/>
                <w:lang w:val="sv-SE"/>
              </w:rPr>
            </w:pPr>
            <w:r w:rsidRPr="008B7F0A">
              <w:rPr>
                <w:sz w:val="18"/>
                <w:szCs w:val="18"/>
                <w:lang w:val="sv-SE"/>
              </w:rPr>
              <w:t>PDES</w:t>
            </w:r>
          </w:p>
        </w:tc>
        <w:tc>
          <w:tcPr>
            <w:tcW w:w="1416" w:type="dxa"/>
            <w:vAlign w:val="center"/>
          </w:tcPr>
          <w:p w14:paraId="6DC748EE" w14:textId="77777777" w:rsidR="00343A46" w:rsidRPr="008B7F0A" w:rsidRDefault="00343A46" w:rsidP="00343A46">
            <w:pPr>
              <w:ind w:left="360"/>
              <w:jc w:val="center"/>
              <w:rPr>
                <w:sz w:val="18"/>
                <w:szCs w:val="18"/>
                <w:lang w:val="sv-SE"/>
              </w:rPr>
            </w:pPr>
            <w:r w:rsidRPr="008B7F0A">
              <w:rPr>
                <w:sz w:val="18"/>
                <w:szCs w:val="18"/>
                <w:lang w:val="sv-SE"/>
              </w:rPr>
              <w:t>1.1, 1.2</w:t>
            </w:r>
          </w:p>
        </w:tc>
      </w:tr>
      <w:tr w:rsidR="00343A46" w14:paraId="59E26A10" w14:textId="77777777" w:rsidTr="00552118">
        <w:tc>
          <w:tcPr>
            <w:tcW w:w="2977" w:type="dxa"/>
            <w:vMerge/>
          </w:tcPr>
          <w:p w14:paraId="3F4DAE78" w14:textId="77777777" w:rsidR="00343A46" w:rsidRPr="008B7F0A" w:rsidRDefault="00343A46" w:rsidP="00343A46">
            <w:pPr>
              <w:rPr>
                <w:b/>
                <w:sz w:val="18"/>
                <w:szCs w:val="18"/>
                <w:lang w:val="sv-SE"/>
              </w:rPr>
            </w:pPr>
          </w:p>
        </w:tc>
        <w:tc>
          <w:tcPr>
            <w:tcW w:w="4634" w:type="dxa"/>
            <w:vAlign w:val="center"/>
          </w:tcPr>
          <w:p w14:paraId="222AF615" w14:textId="0FAD29C1" w:rsidR="00343A46" w:rsidRPr="008B7F0A" w:rsidRDefault="00552118" w:rsidP="00552118">
            <w:pPr>
              <w:rPr>
                <w:sz w:val="18"/>
                <w:szCs w:val="18"/>
                <w:lang w:val="sv-SE"/>
              </w:rPr>
            </w:pPr>
            <w:r w:rsidRPr="008B7F0A">
              <w:rPr>
                <w:sz w:val="18"/>
                <w:szCs w:val="18"/>
                <w:bdr w:val="none" w:sz="0" w:space="0" w:color="auto" w:frame="1"/>
                <w:lang w:val="sv-SE"/>
              </w:rPr>
              <w:t>4.</w:t>
            </w:r>
            <w:r w:rsidRPr="008B7F0A">
              <w:rPr>
                <w:sz w:val="18"/>
                <w:szCs w:val="18"/>
                <w:bdr w:val="none" w:sz="0" w:space="0" w:color="auto" w:frame="1"/>
                <w:lang w:val="es-ES"/>
              </w:rPr>
              <w:t xml:space="preserve"># de planes de política criminal y de seguridad ciudadana integral y preventiva diseñados y aprobados por las </w:t>
            </w:r>
            <w:r w:rsidRPr="008B7F0A">
              <w:rPr>
                <w:sz w:val="18"/>
                <w:szCs w:val="18"/>
                <w:bdr w:val="none" w:sz="0" w:space="0" w:color="auto" w:frame="1"/>
                <w:lang w:val="es-ES"/>
              </w:rPr>
              <w:lastRenderedPageBreak/>
              <w:t>entidades estatales competentes y basados en evidencias, en fenómenos delictivos acordados*.</w:t>
            </w:r>
          </w:p>
        </w:tc>
        <w:tc>
          <w:tcPr>
            <w:tcW w:w="1419" w:type="dxa"/>
          </w:tcPr>
          <w:p w14:paraId="652F37DA" w14:textId="77777777" w:rsidR="00343A46" w:rsidRPr="008B7F0A" w:rsidRDefault="00343A46" w:rsidP="00343A46">
            <w:pPr>
              <w:rPr>
                <w:sz w:val="18"/>
                <w:szCs w:val="18"/>
              </w:rPr>
            </w:pPr>
            <w:r w:rsidRPr="008B7F0A">
              <w:rPr>
                <w:sz w:val="18"/>
                <w:szCs w:val="18"/>
              </w:rPr>
              <w:lastRenderedPageBreak/>
              <w:t>0</w:t>
            </w:r>
          </w:p>
        </w:tc>
        <w:tc>
          <w:tcPr>
            <w:tcW w:w="1700" w:type="dxa"/>
          </w:tcPr>
          <w:p w14:paraId="5F7E9730" w14:textId="77777777" w:rsidR="00343A46" w:rsidRPr="008B7F0A" w:rsidRDefault="00343A46" w:rsidP="00343A46">
            <w:pPr>
              <w:rPr>
                <w:sz w:val="18"/>
                <w:szCs w:val="18"/>
              </w:rPr>
            </w:pPr>
            <w:r w:rsidRPr="008B7F0A">
              <w:rPr>
                <w:sz w:val="18"/>
                <w:szCs w:val="18"/>
              </w:rPr>
              <w:t xml:space="preserve">5 </w:t>
            </w:r>
          </w:p>
        </w:tc>
        <w:tc>
          <w:tcPr>
            <w:tcW w:w="1466" w:type="dxa"/>
          </w:tcPr>
          <w:p w14:paraId="62D77B70" w14:textId="77777777" w:rsidR="00552118" w:rsidRPr="008B7F0A" w:rsidRDefault="00552118" w:rsidP="00552118">
            <w:pPr>
              <w:rPr>
                <w:rFonts w:ascii="Calibri" w:hAnsi="Calibri"/>
                <w:bCs/>
                <w:sz w:val="18"/>
                <w:szCs w:val="18"/>
              </w:rPr>
            </w:pPr>
            <w:r w:rsidRPr="008B7F0A">
              <w:rPr>
                <w:rFonts w:ascii="Calibri" w:hAnsi="Calibri"/>
                <w:bCs/>
                <w:sz w:val="18"/>
                <w:szCs w:val="18"/>
              </w:rPr>
              <w:t xml:space="preserve">Reportes de Grupos de </w:t>
            </w:r>
            <w:r w:rsidRPr="008B7F0A">
              <w:rPr>
                <w:rFonts w:ascii="Calibri" w:hAnsi="Calibri"/>
                <w:bCs/>
                <w:sz w:val="18"/>
                <w:szCs w:val="18"/>
              </w:rPr>
              <w:lastRenderedPageBreak/>
              <w:t>Trabajo - MPD/SNU</w:t>
            </w:r>
          </w:p>
          <w:p w14:paraId="167AE2FC" w14:textId="7FA76FB8" w:rsidR="00343A46" w:rsidRPr="008B7F0A" w:rsidRDefault="00552118" w:rsidP="00552118">
            <w:pPr>
              <w:rPr>
                <w:sz w:val="18"/>
                <w:szCs w:val="18"/>
              </w:rPr>
            </w:pPr>
            <w:r w:rsidRPr="008B7F0A">
              <w:rPr>
                <w:rFonts w:ascii="Calibri" w:hAnsi="Calibri"/>
                <w:bCs/>
                <w:sz w:val="18"/>
                <w:szCs w:val="18"/>
              </w:rPr>
              <w:t>A futuro: Consejo Nacional de Política Criminal (Plan Sectorial Justicia)</w:t>
            </w:r>
          </w:p>
        </w:tc>
        <w:tc>
          <w:tcPr>
            <w:tcW w:w="1414" w:type="dxa"/>
            <w:vAlign w:val="center"/>
          </w:tcPr>
          <w:p w14:paraId="03628929" w14:textId="77777777" w:rsidR="00343A46" w:rsidRPr="008B7F0A" w:rsidRDefault="00343A46" w:rsidP="00343A46">
            <w:pPr>
              <w:rPr>
                <w:sz w:val="18"/>
                <w:szCs w:val="18"/>
                <w:lang w:val="sv-SE"/>
              </w:rPr>
            </w:pPr>
            <w:r w:rsidRPr="008B7F0A">
              <w:rPr>
                <w:sz w:val="18"/>
                <w:szCs w:val="18"/>
                <w:lang w:val="sv-SE"/>
              </w:rPr>
              <w:lastRenderedPageBreak/>
              <w:t xml:space="preserve">Pilar 11. Metas 2. R1.  </w:t>
            </w:r>
            <w:r w:rsidRPr="008B7F0A">
              <w:rPr>
                <w:sz w:val="18"/>
                <w:szCs w:val="18"/>
                <w:lang w:val="sv-SE"/>
              </w:rPr>
              <w:lastRenderedPageBreak/>
              <w:t>(conclusiones cumbre de justicia)</w:t>
            </w:r>
          </w:p>
        </w:tc>
        <w:tc>
          <w:tcPr>
            <w:tcW w:w="1416" w:type="dxa"/>
            <w:vAlign w:val="center"/>
          </w:tcPr>
          <w:p w14:paraId="7634926E" w14:textId="77777777" w:rsidR="00343A46" w:rsidRPr="008B7F0A" w:rsidRDefault="00343A46" w:rsidP="00343A46">
            <w:pPr>
              <w:jc w:val="center"/>
              <w:rPr>
                <w:sz w:val="18"/>
                <w:szCs w:val="18"/>
                <w:lang w:val="sv-SE"/>
              </w:rPr>
            </w:pPr>
          </w:p>
        </w:tc>
      </w:tr>
      <w:tr w:rsidR="00343A46" w14:paraId="216ED773" w14:textId="77777777" w:rsidTr="00552118">
        <w:tc>
          <w:tcPr>
            <w:tcW w:w="2977" w:type="dxa"/>
            <w:vMerge/>
          </w:tcPr>
          <w:p w14:paraId="5E0BDB6D" w14:textId="77777777" w:rsidR="00343A46" w:rsidRPr="008B7F0A" w:rsidRDefault="00343A46" w:rsidP="00343A46">
            <w:pPr>
              <w:rPr>
                <w:b/>
                <w:sz w:val="18"/>
                <w:szCs w:val="18"/>
                <w:lang w:val="sv-SE"/>
              </w:rPr>
            </w:pPr>
          </w:p>
        </w:tc>
        <w:tc>
          <w:tcPr>
            <w:tcW w:w="4634" w:type="dxa"/>
          </w:tcPr>
          <w:p w14:paraId="3B58FFF9" w14:textId="632A8B5C" w:rsidR="00343A46" w:rsidRPr="008B7F0A" w:rsidRDefault="00552118" w:rsidP="00552118">
            <w:pPr>
              <w:rPr>
                <w:sz w:val="18"/>
                <w:szCs w:val="18"/>
                <w:lang w:val="sv-SE"/>
              </w:rPr>
            </w:pPr>
            <w:r w:rsidRPr="008B7F0A">
              <w:rPr>
                <w:sz w:val="18"/>
                <w:szCs w:val="18"/>
                <w:lang w:val="sv-SE"/>
              </w:rPr>
              <w:t xml:space="preserve">5. </w:t>
            </w:r>
            <w:r w:rsidRPr="008B7F0A">
              <w:rPr>
                <w:sz w:val="18"/>
                <w:szCs w:val="18"/>
                <w:lang w:val="es-ES"/>
              </w:rPr>
              <w:t>Relación porcentual de sentencias respecto a los juicios iniciados en materia penal.</w:t>
            </w:r>
          </w:p>
        </w:tc>
        <w:tc>
          <w:tcPr>
            <w:tcW w:w="1419" w:type="dxa"/>
          </w:tcPr>
          <w:p w14:paraId="6060C86D" w14:textId="77777777" w:rsidR="00343A46" w:rsidRPr="008B7F0A" w:rsidRDefault="00343A46" w:rsidP="00343A46">
            <w:pPr>
              <w:rPr>
                <w:sz w:val="18"/>
                <w:szCs w:val="18"/>
              </w:rPr>
            </w:pPr>
          </w:p>
        </w:tc>
        <w:tc>
          <w:tcPr>
            <w:tcW w:w="1700" w:type="dxa"/>
          </w:tcPr>
          <w:p w14:paraId="7BF5D6AF" w14:textId="77777777" w:rsidR="00343A46" w:rsidRPr="008B7F0A" w:rsidRDefault="00343A46" w:rsidP="00343A46">
            <w:pPr>
              <w:rPr>
                <w:sz w:val="18"/>
                <w:szCs w:val="18"/>
              </w:rPr>
            </w:pPr>
          </w:p>
        </w:tc>
        <w:tc>
          <w:tcPr>
            <w:tcW w:w="1466" w:type="dxa"/>
          </w:tcPr>
          <w:p w14:paraId="182B367C" w14:textId="77777777" w:rsidR="00552118" w:rsidRPr="008B7F0A" w:rsidRDefault="00552118" w:rsidP="00552118">
            <w:pPr>
              <w:rPr>
                <w:sz w:val="18"/>
                <w:szCs w:val="18"/>
              </w:rPr>
            </w:pPr>
            <w:r w:rsidRPr="008B7F0A">
              <w:rPr>
                <w:sz w:val="18"/>
                <w:szCs w:val="18"/>
              </w:rPr>
              <w:t>Consejo de la Magistratura: resolución judicial.</w:t>
            </w:r>
          </w:p>
          <w:p w14:paraId="2139F6A8" w14:textId="4CD6040B" w:rsidR="00343A46" w:rsidRPr="008B7F0A" w:rsidRDefault="00552118" w:rsidP="00552118">
            <w:pPr>
              <w:rPr>
                <w:sz w:val="18"/>
                <w:szCs w:val="18"/>
              </w:rPr>
            </w:pPr>
            <w:r w:rsidRPr="008B7F0A">
              <w:rPr>
                <w:sz w:val="18"/>
                <w:szCs w:val="18"/>
              </w:rPr>
              <w:t>Ministerio de Justicia y Transparencia</w:t>
            </w:r>
          </w:p>
        </w:tc>
        <w:tc>
          <w:tcPr>
            <w:tcW w:w="1414" w:type="dxa"/>
            <w:vAlign w:val="center"/>
          </w:tcPr>
          <w:p w14:paraId="47B840E8" w14:textId="77777777" w:rsidR="00343A46" w:rsidRPr="008B7F0A" w:rsidRDefault="00343A46" w:rsidP="00343A46">
            <w:pPr>
              <w:rPr>
                <w:sz w:val="18"/>
                <w:szCs w:val="18"/>
                <w:lang w:val="sv-SE"/>
              </w:rPr>
            </w:pPr>
            <w:r w:rsidRPr="008B7F0A">
              <w:rPr>
                <w:sz w:val="18"/>
                <w:szCs w:val="18"/>
                <w:lang w:val="sv-SE"/>
              </w:rPr>
              <w:t>11.3</w:t>
            </w:r>
          </w:p>
        </w:tc>
        <w:tc>
          <w:tcPr>
            <w:tcW w:w="1416" w:type="dxa"/>
            <w:vAlign w:val="center"/>
          </w:tcPr>
          <w:p w14:paraId="029ECEC4" w14:textId="77777777" w:rsidR="00343A46" w:rsidRPr="008B7F0A" w:rsidRDefault="00343A46" w:rsidP="00343A46">
            <w:pPr>
              <w:jc w:val="center"/>
              <w:rPr>
                <w:sz w:val="18"/>
                <w:szCs w:val="18"/>
                <w:lang w:val="sv-SE"/>
              </w:rPr>
            </w:pPr>
            <w:r w:rsidRPr="008B7F0A">
              <w:rPr>
                <w:sz w:val="18"/>
                <w:szCs w:val="18"/>
                <w:lang w:val="sv-SE"/>
              </w:rPr>
              <w:t>-</w:t>
            </w:r>
          </w:p>
        </w:tc>
      </w:tr>
      <w:tr w:rsidR="00343A46" w14:paraId="578E64A8" w14:textId="77777777" w:rsidTr="00552118">
        <w:tc>
          <w:tcPr>
            <w:tcW w:w="2977" w:type="dxa"/>
            <w:vMerge/>
          </w:tcPr>
          <w:p w14:paraId="344C0AA2" w14:textId="77777777" w:rsidR="00343A46" w:rsidRPr="008B7F0A" w:rsidRDefault="00343A46" w:rsidP="00343A46">
            <w:pPr>
              <w:rPr>
                <w:b/>
                <w:sz w:val="18"/>
                <w:szCs w:val="18"/>
                <w:lang w:val="sv-SE"/>
              </w:rPr>
            </w:pPr>
          </w:p>
        </w:tc>
        <w:tc>
          <w:tcPr>
            <w:tcW w:w="4634" w:type="dxa"/>
          </w:tcPr>
          <w:p w14:paraId="66E287DF" w14:textId="77777777" w:rsidR="00343A46" w:rsidRPr="008B7F0A" w:rsidRDefault="00343A46" w:rsidP="00343A46">
            <w:pPr>
              <w:rPr>
                <w:sz w:val="18"/>
                <w:szCs w:val="18"/>
                <w:bdr w:val="none" w:sz="0" w:space="0" w:color="auto" w:frame="1"/>
                <w:lang w:val="es-ES"/>
              </w:rPr>
            </w:pPr>
            <w:r w:rsidRPr="008B7F0A">
              <w:rPr>
                <w:sz w:val="18"/>
                <w:szCs w:val="18"/>
                <w:bdr w:val="none" w:sz="0" w:space="0" w:color="auto" w:frame="1"/>
                <w:lang w:val="es-ES"/>
              </w:rPr>
              <w:t xml:space="preserve">6. </w:t>
            </w:r>
            <w:r w:rsidR="00552118" w:rsidRPr="008B7F0A">
              <w:rPr>
                <w:sz w:val="18"/>
                <w:szCs w:val="18"/>
                <w:bdr w:val="none" w:sz="0" w:space="0" w:color="auto" w:frame="1"/>
                <w:lang w:val="es-ES"/>
              </w:rPr>
              <w:t>Relación porcentual de casos resueltos por tipo de resolución fiscal durante la etapa preparatoria respecto al total de casos ingresados.</w:t>
            </w:r>
          </w:p>
          <w:p w14:paraId="6440A7A4" w14:textId="2AED2649" w:rsidR="00A57171" w:rsidRPr="008B7F0A" w:rsidRDefault="00A57171" w:rsidP="00343A46">
            <w:pPr>
              <w:rPr>
                <w:rFonts w:ascii="Calibri" w:hAnsi="Calibri"/>
                <w:bCs/>
                <w:sz w:val="18"/>
                <w:szCs w:val="18"/>
                <w:lang w:val="es-ES"/>
              </w:rPr>
            </w:pPr>
          </w:p>
        </w:tc>
        <w:tc>
          <w:tcPr>
            <w:tcW w:w="1419" w:type="dxa"/>
            <w:vAlign w:val="center"/>
          </w:tcPr>
          <w:p w14:paraId="6963D5A4" w14:textId="77777777" w:rsidR="00343A46" w:rsidRPr="008B7F0A" w:rsidRDefault="00343A46" w:rsidP="00343A46">
            <w:pPr>
              <w:rPr>
                <w:rFonts w:ascii="Calibri" w:hAnsi="Calibri"/>
                <w:bCs/>
                <w:sz w:val="18"/>
                <w:szCs w:val="18"/>
              </w:rPr>
            </w:pPr>
          </w:p>
        </w:tc>
        <w:tc>
          <w:tcPr>
            <w:tcW w:w="1700" w:type="dxa"/>
            <w:vAlign w:val="center"/>
          </w:tcPr>
          <w:p w14:paraId="27359DC7" w14:textId="5A8567EF" w:rsidR="00343A46" w:rsidRPr="008B7F0A" w:rsidRDefault="00343A46" w:rsidP="00343A46">
            <w:pPr>
              <w:rPr>
                <w:rFonts w:ascii="Calibri" w:hAnsi="Calibri"/>
                <w:bCs/>
                <w:sz w:val="18"/>
                <w:szCs w:val="18"/>
              </w:rPr>
            </w:pPr>
          </w:p>
        </w:tc>
        <w:tc>
          <w:tcPr>
            <w:tcW w:w="1466" w:type="dxa"/>
            <w:vAlign w:val="center"/>
          </w:tcPr>
          <w:p w14:paraId="4EF2B4E8" w14:textId="046D9796" w:rsidR="00343A46" w:rsidRPr="008B7F0A" w:rsidRDefault="00552118" w:rsidP="00343A46">
            <w:pPr>
              <w:rPr>
                <w:rFonts w:ascii="Calibri" w:hAnsi="Calibri"/>
                <w:bCs/>
                <w:sz w:val="18"/>
                <w:szCs w:val="18"/>
              </w:rPr>
            </w:pPr>
            <w:r w:rsidRPr="008B7F0A">
              <w:rPr>
                <w:rFonts w:ascii="Calibri" w:hAnsi="Calibri"/>
                <w:bCs/>
                <w:sz w:val="18"/>
                <w:szCs w:val="18"/>
              </w:rPr>
              <w:t xml:space="preserve">Ministerio Público </w:t>
            </w:r>
          </w:p>
        </w:tc>
        <w:tc>
          <w:tcPr>
            <w:tcW w:w="1414" w:type="dxa"/>
            <w:vAlign w:val="center"/>
          </w:tcPr>
          <w:p w14:paraId="50130B69" w14:textId="6F803F92" w:rsidR="00343A46" w:rsidRPr="008B7F0A" w:rsidRDefault="00343A46" w:rsidP="00343A46">
            <w:pPr>
              <w:rPr>
                <w:sz w:val="18"/>
                <w:szCs w:val="18"/>
                <w:lang w:val="sv-SE"/>
              </w:rPr>
            </w:pPr>
          </w:p>
        </w:tc>
        <w:tc>
          <w:tcPr>
            <w:tcW w:w="1416" w:type="dxa"/>
            <w:vAlign w:val="center"/>
          </w:tcPr>
          <w:p w14:paraId="05A9A0E7" w14:textId="14BE9C56" w:rsidR="00343A46" w:rsidRPr="008B7F0A" w:rsidRDefault="00343A46" w:rsidP="00343A46">
            <w:pPr>
              <w:jc w:val="center"/>
              <w:rPr>
                <w:sz w:val="18"/>
                <w:szCs w:val="18"/>
                <w:lang w:val="sv-SE"/>
              </w:rPr>
            </w:pPr>
          </w:p>
        </w:tc>
      </w:tr>
      <w:tr w:rsidR="00552118" w14:paraId="00A71D11" w14:textId="77777777" w:rsidTr="00552118">
        <w:tc>
          <w:tcPr>
            <w:tcW w:w="2977" w:type="dxa"/>
            <w:vMerge/>
          </w:tcPr>
          <w:p w14:paraId="0CB8575A" w14:textId="77777777" w:rsidR="00552118" w:rsidRPr="008B7F0A" w:rsidRDefault="00552118" w:rsidP="00552118">
            <w:pPr>
              <w:rPr>
                <w:b/>
                <w:sz w:val="18"/>
                <w:szCs w:val="18"/>
                <w:lang w:val="sv-SE"/>
              </w:rPr>
            </w:pPr>
          </w:p>
        </w:tc>
        <w:tc>
          <w:tcPr>
            <w:tcW w:w="4634" w:type="dxa"/>
          </w:tcPr>
          <w:p w14:paraId="04B4D0C4" w14:textId="7220A99D" w:rsidR="00552118" w:rsidRPr="008B7F0A" w:rsidRDefault="00552118" w:rsidP="00552118">
            <w:pPr>
              <w:rPr>
                <w:sz w:val="18"/>
                <w:szCs w:val="18"/>
                <w:lang w:val="sv-SE"/>
              </w:rPr>
            </w:pPr>
            <w:r w:rsidRPr="008B7F0A">
              <w:rPr>
                <w:sz w:val="18"/>
                <w:szCs w:val="18"/>
              </w:rPr>
              <w:t xml:space="preserve">7. </w:t>
            </w:r>
            <w:r w:rsidRPr="008B7F0A">
              <w:rPr>
                <w:rFonts w:cs="Cambria"/>
                <w:sz w:val="18"/>
                <w:szCs w:val="18"/>
              </w:rPr>
              <w:t>Relación porcentual de detenidos preventivos.</w:t>
            </w:r>
          </w:p>
        </w:tc>
        <w:tc>
          <w:tcPr>
            <w:tcW w:w="1419" w:type="dxa"/>
            <w:vAlign w:val="center"/>
          </w:tcPr>
          <w:p w14:paraId="337B0672" w14:textId="61433B15" w:rsidR="00552118" w:rsidRPr="008B7F0A" w:rsidRDefault="00552118" w:rsidP="005F6216">
            <w:pPr>
              <w:rPr>
                <w:rFonts w:ascii="Calibri" w:hAnsi="Calibri"/>
                <w:bCs/>
                <w:sz w:val="18"/>
                <w:szCs w:val="18"/>
              </w:rPr>
            </w:pPr>
            <w:r w:rsidRPr="008B7F0A">
              <w:rPr>
                <w:rFonts w:ascii="Calibri" w:hAnsi="Calibri"/>
                <w:bCs/>
                <w:sz w:val="18"/>
                <w:szCs w:val="18"/>
              </w:rPr>
              <w:t xml:space="preserve">68% </w:t>
            </w:r>
          </w:p>
          <w:p w14:paraId="11B30641" w14:textId="77777777" w:rsidR="00552118" w:rsidRPr="008B7F0A" w:rsidRDefault="00552118" w:rsidP="00552118">
            <w:pPr>
              <w:rPr>
                <w:rFonts w:ascii="Calibri" w:hAnsi="Calibri"/>
                <w:bCs/>
                <w:sz w:val="18"/>
                <w:szCs w:val="18"/>
              </w:rPr>
            </w:pPr>
          </w:p>
          <w:p w14:paraId="27B9B351" w14:textId="77777777" w:rsidR="00552118" w:rsidRPr="008B7F0A" w:rsidRDefault="00552118" w:rsidP="00552118">
            <w:pPr>
              <w:rPr>
                <w:rFonts w:ascii="Calibri" w:hAnsi="Calibri"/>
                <w:color w:val="000000"/>
                <w:sz w:val="18"/>
                <w:szCs w:val="18"/>
              </w:rPr>
            </w:pPr>
          </w:p>
        </w:tc>
        <w:tc>
          <w:tcPr>
            <w:tcW w:w="1700" w:type="dxa"/>
            <w:vAlign w:val="center"/>
          </w:tcPr>
          <w:p w14:paraId="1A20E22D" w14:textId="57D880F3" w:rsidR="00552118" w:rsidRPr="008B7F0A" w:rsidRDefault="00552118" w:rsidP="00552118">
            <w:pPr>
              <w:rPr>
                <w:rFonts w:ascii="Calibri" w:hAnsi="Calibri"/>
                <w:color w:val="000000"/>
                <w:sz w:val="18"/>
                <w:szCs w:val="18"/>
              </w:rPr>
            </w:pPr>
            <w:r w:rsidRPr="00B50649">
              <w:rPr>
                <w:rFonts w:ascii="Calibri" w:hAnsi="Calibri"/>
                <w:bCs/>
                <w:sz w:val="18"/>
                <w:szCs w:val="18"/>
              </w:rPr>
              <w:t>49%</w:t>
            </w:r>
          </w:p>
        </w:tc>
        <w:tc>
          <w:tcPr>
            <w:tcW w:w="1466" w:type="dxa"/>
            <w:vAlign w:val="center"/>
          </w:tcPr>
          <w:p w14:paraId="3CDEFE21" w14:textId="77777777" w:rsidR="00552118" w:rsidRPr="008B7F0A" w:rsidRDefault="00552118" w:rsidP="00552118">
            <w:pPr>
              <w:rPr>
                <w:rFonts w:ascii="Calibri" w:hAnsi="Calibri"/>
                <w:bCs/>
                <w:sz w:val="18"/>
                <w:szCs w:val="18"/>
              </w:rPr>
            </w:pPr>
            <w:r w:rsidRPr="008B7F0A">
              <w:rPr>
                <w:rFonts w:ascii="Calibri" w:hAnsi="Calibri"/>
                <w:bCs/>
                <w:sz w:val="18"/>
                <w:szCs w:val="18"/>
              </w:rPr>
              <w:t>Dirección General de Régimen Penitenciario</w:t>
            </w:r>
          </w:p>
          <w:p w14:paraId="51C80071" w14:textId="77777777" w:rsidR="00552118" w:rsidRPr="008B7F0A" w:rsidRDefault="00552118" w:rsidP="00552118">
            <w:pPr>
              <w:rPr>
                <w:rFonts w:ascii="Calibri" w:hAnsi="Calibri"/>
                <w:bCs/>
                <w:sz w:val="18"/>
                <w:szCs w:val="18"/>
              </w:rPr>
            </w:pPr>
          </w:p>
          <w:p w14:paraId="00C5E1B2" w14:textId="77777777" w:rsidR="00552118" w:rsidRPr="008B7F0A" w:rsidRDefault="00552118" w:rsidP="00552118">
            <w:pPr>
              <w:rPr>
                <w:rFonts w:ascii="Calibri" w:hAnsi="Calibri"/>
                <w:bCs/>
                <w:sz w:val="18"/>
                <w:szCs w:val="18"/>
              </w:rPr>
            </w:pPr>
            <w:r w:rsidRPr="008B7F0A">
              <w:rPr>
                <w:rFonts w:ascii="Calibri" w:hAnsi="Calibri"/>
                <w:bCs/>
                <w:sz w:val="18"/>
                <w:szCs w:val="18"/>
              </w:rPr>
              <w:t>Ministerio de Justicia y Transparencia Institucional</w:t>
            </w:r>
          </w:p>
          <w:p w14:paraId="427019B1" w14:textId="77777777" w:rsidR="00552118" w:rsidRPr="008B7F0A" w:rsidRDefault="00552118" w:rsidP="00552118">
            <w:pPr>
              <w:rPr>
                <w:rFonts w:ascii="Calibri" w:hAnsi="Calibri"/>
                <w:bCs/>
                <w:sz w:val="18"/>
                <w:szCs w:val="18"/>
              </w:rPr>
            </w:pPr>
          </w:p>
          <w:p w14:paraId="7A919137" w14:textId="619685B3" w:rsidR="00552118" w:rsidRPr="008B7F0A" w:rsidRDefault="00552118" w:rsidP="00552118">
            <w:pPr>
              <w:rPr>
                <w:rFonts w:ascii="Calibri" w:hAnsi="Calibri"/>
                <w:color w:val="000000"/>
                <w:sz w:val="18"/>
                <w:szCs w:val="18"/>
              </w:rPr>
            </w:pPr>
            <w:r w:rsidRPr="008B7F0A">
              <w:rPr>
                <w:rFonts w:ascii="Calibri" w:hAnsi="Calibri"/>
                <w:bCs/>
                <w:sz w:val="18"/>
                <w:szCs w:val="18"/>
              </w:rPr>
              <w:t>Gobernaciones</w:t>
            </w:r>
          </w:p>
        </w:tc>
        <w:tc>
          <w:tcPr>
            <w:tcW w:w="1414" w:type="dxa"/>
            <w:vAlign w:val="center"/>
          </w:tcPr>
          <w:p w14:paraId="3D7CE603" w14:textId="52F8442D" w:rsidR="00552118" w:rsidRPr="008B7F0A" w:rsidRDefault="00552118" w:rsidP="00552118">
            <w:pPr>
              <w:rPr>
                <w:sz w:val="18"/>
                <w:szCs w:val="18"/>
                <w:lang w:val="sv-SE"/>
              </w:rPr>
            </w:pPr>
            <w:r w:rsidRPr="008B7F0A">
              <w:rPr>
                <w:sz w:val="18"/>
                <w:szCs w:val="18"/>
                <w:lang w:val="sv-SE"/>
              </w:rPr>
              <w:t>Pliar 11. Meta 1</w:t>
            </w:r>
          </w:p>
        </w:tc>
        <w:tc>
          <w:tcPr>
            <w:tcW w:w="1416" w:type="dxa"/>
            <w:vAlign w:val="center"/>
          </w:tcPr>
          <w:p w14:paraId="7B90E4D1" w14:textId="03906E60" w:rsidR="00552118" w:rsidRPr="008B7F0A" w:rsidRDefault="00552118" w:rsidP="00552118">
            <w:pPr>
              <w:rPr>
                <w:sz w:val="18"/>
                <w:szCs w:val="18"/>
                <w:lang w:val="sv-SE"/>
              </w:rPr>
            </w:pPr>
            <w:r w:rsidRPr="008B7F0A">
              <w:rPr>
                <w:sz w:val="18"/>
                <w:szCs w:val="18"/>
                <w:lang w:val="sv-SE"/>
              </w:rPr>
              <w:t>ODS 5</w:t>
            </w:r>
          </w:p>
        </w:tc>
      </w:tr>
      <w:tr w:rsidR="00343A46" w14:paraId="1EAC9D21" w14:textId="77777777" w:rsidTr="00552118">
        <w:tc>
          <w:tcPr>
            <w:tcW w:w="2977" w:type="dxa"/>
            <w:vMerge/>
          </w:tcPr>
          <w:p w14:paraId="2612C176" w14:textId="77777777" w:rsidR="00343A46" w:rsidRPr="008B7F0A" w:rsidRDefault="00343A46" w:rsidP="00343A46">
            <w:pPr>
              <w:rPr>
                <w:b/>
                <w:sz w:val="18"/>
                <w:szCs w:val="18"/>
                <w:lang w:val="sv-SE"/>
              </w:rPr>
            </w:pPr>
          </w:p>
        </w:tc>
        <w:tc>
          <w:tcPr>
            <w:tcW w:w="4634" w:type="dxa"/>
          </w:tcPr>
          <w:p w14:paraId="241F25CD" w14:textId="77777777" w:rsidR="00343A46" w:rsidRPr="008B7F0A" w:rsidRDefault="00876067" w:rsidP="00343A46">
            <w:pPr>
              <w:rPr>
                <w:sz w:val="18"/>
                <w:szCs w:val="18"/>
                <w:bdr w:val="none" w:sz="0" w:space="0" w:color="auto" w:frame="1"/>
              </w:rPr>
            </w:pPr>
            <w:r w:rsidRPr="008B7F0A">
              <w:rPr>
                <w:sz w:val="18"/>
                <w:szCs w:val="18"/>
                <w:bdr w:val="none" w:sz="0" w:space="0" w:color="auto" w:frame="1"/>
              </w:rPr>
              <w:t xml:space="preserve">8. </w:t>
            </w:r>
            <w:r w:rsidR="00552118" w:rsidRPr="008B7F0A">
              <w:rPr>
                <w:sz w:val="18"/>
                <w:szCs w:val="18"/>
                <w:bdr w:val="none" w:sz="0" w:space="0" w:color="auto" w:frame="1"/>
              </w:rPr>
              <w:t>Número de informes-país vinculados a los DDHH presentados por el Estado ante los comités internacionales en el marco de los convenios que Bolivia ha ratificado.</w:t>
            </w:r>
          </w:p>
          <w:p w14:paraId="38948CC2" w14:textId="41F5D00B" w:rsidR="00A57171" w:rsidRPr="008B7F0A" w:rsidRDefault="00A57171" w:rsidP="00B50649">
            <w:pPr>
              <w:rPr>
                <w:sz w:val="18"/>
                <w:szCs w:val="18"/>
                <w:lang w:val="sv-SE"/>
              </w:rPr>
            </w:pPr>
          </w:p>
        </w:tc>
        <w:tc>
          <w:tcPr>
            <w:tcW w:w="1419" w:type="dxa"/>
          </w:tcPr>
          <w:p w14:paraId="35E8B8FE" w14:textId="77777777" w:rsidR="00343A46" w:rsidRPr="008B7F0A" w:rsidRDefault="00343A46" w:rsidP="00343A46">
            <w:pPr>
              <w:rPr>
                <w:sz w:val="18"/>
                <w:szCs w:val="18"/>
              </w:rPr>
            </w:pPr>
          </w:p>
        </w:tc>
        <w:tc>
          <w:tcPr>
            <w:tcW w:w="1700" w:type="dxa"/>
          </w:tcPr>
          <w:p w14:paraId="3C0DC795" w14:textId="77777777" w:rsidR="00343A46" w:rsidRPr="008B7F0A" w:rsidRDefault="00343A46" w:rsidP="00343A46">
            <w:pPr>
              <w:rPr>
                <w:sz w:val="18"/>
                <w:szCs w:val="18"/>
              </w:rPr>
            </w:pPr>
          </w:p>
        </w:tc>
        <w:tc>
          <w:tcPr>
            <w:tcW w:w="1466" w:type="dxa"/>
          </w:tcPr>
          <w:p w14:paraId="1D4148AA" w14:textId="77777777" w:rsidR="00552118" w:rsidRPr="008B7F0A" w:rsidRDefault="00552118" w:rsidP="00552118">
            <w:pPr>
              <w:rPr>
                <w:sz w:val="18"/>
                <w:szCs w:val="18"/>
              </w:rPr>
            </w:pPr>
            <w:r w:rsidRPr="008B7F0A">
              <w:rPr>
                <w:sz w:val="18"/>
                <w:szCs w:val="18"/>
              </w:rPr>
              <w:t>Cancillería</w:t>
            </w:r>
          </w:p>
          <w:p w14:paraId="77AE7AC3" w14:textId="6C8D511C" w:rsidR="00343A46" w:rsidRPr="008B7F0A" w:rsidRDefault="00552118" w:rsidP="00552118">
            <w:pPr>
              <w:rPr>
                <w:sz w:val="18"/>
                <w:szCs w:val="18"/>
              </w:rPr>
            </w:pPr>
            <w:r w:rsidRPr="008B7F0A">
              <w:rPr>
                <w:sz w:val="18"/>
                <w:szCs w:val="18"/>
              </w:rPr>
              <w:t>Comité Interinstitucional</w:t>
            </w:r>
          </w:p>
        </w:tc>
        <w:tc>
          <w:tcPr>
            <w:tcW w:w="1414" w:type="dxa"/>
          </w:tcPr>
          <w:p w14:paraId="7BA890A9" w14:textId="77777777" w:rsidR="00343A46" w:rsidRPr="008B7F0A" w:rsidRDefault="00343A46" w:rsidP="00343A46">
            <w:pPr>
              <w:ind w:left="360"/>
              <w:jc w:val="center"/>
              <w:rPr>
                <w:sz w:val="18"/>
                <w:szCs w:val="18"/>
                <w:lang w:val="sv-SE"/>
              </w:rPr>
            </w:pPr>
            <w:r w:rsidRPr="008B7F0A">
              <w:rPr>
                <w:sz w:val="18"/>
                <w:szCs w:val="18"/>
                <w:lang w:val="sv-SE"/>
              </w:rPr>
              <w:t>-</w:t>
            </w:r>
          </w:p>
        </w:tc>
        <w:tc>
          <w:tcPr>
            <w:tcW w:w="1416" w:type="dxa"/>
          </w:tcPr>
          <w:p w14:paraId="0CC28D1F" w14:textId="77777777" w:rsidR="00343A46" w:rsidRPr="008B7F0A" w:rsidRDefault="00343A46" w:rsidP="00343A46">
            <w:pPr>
              <w:ind w:left="360"/>
              <w:jc w:val="center"/>
              <w:rPr>
                <w:sz w:val="18"/>
                <w:szCs w:val="18"/>
                <w:lang w:val="sv-SE"/>
              </w:rPr>
            </w:pPr>
            <w:r w:rsidRPr="008B7F0A">
              <w:rPr>
                <w:sz w:val="18"/>
                <w:szCs w:val="18"/>
                <w:lang w:val="sv-SE"/>
              </w:rPr>
              <w:t>-</w:t>
            </w:r>
          </w:p>
        </w:tc>
      </w:tr>
    </w:tbl>
    <w:p w14:paraId="53E02138" w14:textId="15EAE74C" w:rsidR="00DE3C64" w:rsidRPr="00552118" w:rsidRDefault="00552118" w:rsidP="00552118">
      <w:pPr>
        <w:jc w:val="both"/>
        <w:rPr>
          <w:sz w:val="16"/>
        </w:rPr>
      </w:pPr>
      <w:r w:rsidRPr="00552118">
        <w:t>*</w:t>
      </w:r>
      <w:r w:rsidRPr="00552118">
        <w:rPr>
          <w:sz w:val="16"/>
        </w:rPr>
        <w:t xml:space="preserve">Nota aclaratoria: Se contabilizarán únicamente los planes de política criminal y de seguridad ciudadana desarrollados por el Estado Plurinacional de Bolivia con el apoyo de agencias, fondos y programas de las Naciones Unidas. Por “integrales y preventivos” se refiere al hecho de que los planes abarquen la prevención, disuasión y lucha contra los fenómenos delictivos e involucren a los principales actores institucionales y sociales de esta cadena (incluyendo los tres niveles de gobierno y los tres poderes del Estado). Los planes que no cumplen estas características no serán contabilizados dentro del indicador.  </w:t>
      </w:r>
    </w:p>
    <w:p w14:paraId="5867558E" w14:textId="77777777" w:rsidR="00DE3C64" w:rsidRDefault="00DE3C64" w:rsidP="00DE3C64"/>
    <w:tbl>
      <w:tblPr>
        <w:tblStyle w:val="TableGrid"/>
        <w:tblW w:w="15026" w:type="dxa"/>
        <w:tblInd w:w="-572" w:type="dxa"/>
        <w:tblLook w:val="04A0" w:firstRow="1" w:lastRow="0" w:firstColumn="1" w:lastColumn="0" w:noHBand="0" w:noVBand="1"/>
      </w:tblPr>
      <w:tblGrid>
        <w:gridCol w:w="2266"/>
        <w:gridCol w:w="3098"/>
        <w:gridCol w:w="2677"/>
        <w:gridCol w:w="1661"/>
        <w:gridCol w:w="1906"/>
        <w:gridCol w:w="1981"/>
        <w:gridCol w:w="1437"/>
      </w:tblGrid>
      <w:tr w:rsidR="005F3BE8" w:rsidRPr="008B7F0A" w14:paraId="57F3AAF4" w14:textId="77777777" w:rsidTr="008C0A70">
        <w:tc>
          <w:tcPr>
            <w:tcW w:w="11608" w:type="dxa"/>
            <w:gridSpan w:val="5"/>
            <w:shd w:val="clear" w:color="auto" w:fill="2E74B5" w:themeFill="accent1" w:themeFillShade="BF"/>
          </w:tcPr>
          <w:p w14:paraId="0F4A1E3A" w14:textId="77777777" w:rsidR="005F3BE8" w:rsidRPr="008B7F0A" w:rsidRDefault="005F3BE8" w:rsidP="00DE3C64">
            <w:pPr>
              <w:tabs>
                <w:tab w:val="left" w:pos="2430"/>
              </w:tabs>
              <w:rPr>
                <w:b/>
              </w:rPr>
            </w:pPr>
            <w:r w:rsidRPr="008B7F0A">
              <w:rPr>
                <w:b/>
                <w:color w:val="FFFFFF" w:themeColor="background1"/>
              </w:rPr>
              <w:t xml:space="preserve">ÁREA 4. DESCOLONIZACIÓN Y DESPATRIARCALIZACIÓN </w:t>
            </w:r>
          </w:p>
        </w:tc>
        <w:tc>
          <w:tcPr>
            <w:tcW w:w="1981" w:type="dxa"/>
            <w:shd w:val="clear" w:color="auto" w:fill="2E74B5" w:themeFill="accent1" w:themeFillShade="BF"/>
          </w:tcPr>
          <w:p w14:paraId="2976514B" w14:textId="77777777" w:rsidR="005F3BE8" w:rsidRPr="008B7F0A" w:rsidRDefault="005F3BE8" w:rsidP="00DE3C64">
            <w:pPr>
              <w:tabs>
                <w:tab w:val="left" w:pos="2430"/>
              </w:tabs>
              <w:rPr>
                <w:b/>
                <w:color w:val="FFFFFF" w:themeColor="background1"/>
              </w:rPr>
            </w:pPr>
          </w:p>
        </w:tc>
        <w:tc>
          <w:tcPr>
            <w:tcW w:w="1437" w:type="dxa"/>
            <w:shd w:val="clear" w:color="auto" w:fill="2E74B5" w:themeFill="accent1" w:themeFillShade="BF"/>
          </w:tcPr>
          <w:p w14:paraId="3B1962E4" w14:textId="77777777" w:rsidR="005F3BE8" w:rsidRPr="008B7F0A" w:rsidRDefault="005F3BE8" w:rsidP="00DE3C64">
            <w:pPr>
              <w:tabs>
                <w:tab w:val="left" w:pos="2430"/>
              </w:tabs>
              <w:rPr>
                <w:b/>
                <w:color w:val="FFFFFF" w:themeColor="background1"/>
              </w:rPr>
            </w:pPr>
          </w:p>
        </w:tc>
      </w:tr>
      <w:tr w:rsidR="00E81021" w:rsidRPr="008B7F0A" w14:paraId="46180CD0" w14:textId="77777777" w:rsidTr="007E0141">
        <w:tc>
          <w:tcPr>
            <w:tcW w:w="2266" w:type="dxa"/>
            <w:shd w:val="clear" w:color="auto" w:fill="9CC2E5" w:themeFill="accent1" w:themeFillTint="99"/>
            <w:vAlign w:val="center"/>
          </w:tcPr>
          <w:p w14:paraId="39F24296" w14:textId="65B73CDB" w:rsidR="00E81021" w:rsidRPr="008B7F0A" w:rsidRDefault="00E81021" w:rsidP="00E81021">
            <w:r w:rsidRPr="008B7F0A">
              <w:rPr>
                <w:b/>
              </w:rPr>
              <w:t>Efecto</w:t>
            </w:r>
          </w:p>
        </w:tc>
        <w:tc>
          <w:tcPr>
            <w:tcW w:w="3098" w:type="dxa"/>
            <w:shd w:val="clear" w:color="auto" w:fill="9CC2E5" w:themeFill="accent1" w:themeFillTint="99"/>
            <w:vAlign w:val="center"/>
          </w:tcPr>
          <w:p w14:paraId="1DF13635" w14:textId="2D78509D" w:rsidR="00E81021" w:rsidRPr="008B7F0A" w:rsidRDefault="00E81021" w:rsidP="00E81021">
            <w:r w:rsidRPr="008B7F0A">
              <w:rPr>
                <w:b/>
              </w:rPr>
              <w:t>Indicadores</w:t>
            </w:r>
          </w:p>
        </w:tc>
        <w:tc>
          <w:tcPr>
            <w:tcW w:w="2677" w:type="dxa"/>
            <w:shd w:val="clear" w:color="auto" w:fill="9CC2E5" w:themeFill="accent1" w:themeFillTint="99"/>
            <w:vAlign w:val="center"/>
          </w:tcPr>
          <w:p w14:paraId="49B94E32" w14:textId="0F552ACA" w:rsidR="00E81021" w:rsidRPr="008B7F0A" w:rsidRDefault="00E81021" w:rsidP="00E81021">
            <w:r w:rsidRPr="008B7F0A">
              <w:rPr>
                <w:b/>
              </w:rPr>
              <w:t>Línea de Base</w:t>
            </w:r>
          </w:p>
        </w:tc>
        <w:tc>
          <w:tcPr>
            <w:tcW w:w="1661" w:type="dxa"/>
            <w:shd w:val="clear" w:color="auto" w:fill="9CC2E5" w:themeFill="accent1" w:themeFillTint="99"/>
            <w:vAlign w:val="center"/>
          </w:tcPr>
          <w:p w14:paraId="64F99DD1" w14:textId="1C234875" w:rsidR="00E81021" w:rsidRPr="008B7F0A" w:rsidRDefault="00E81021" w:rsidP="00E81021">
            <w:r w:rsidRPr="008B7F0A">
              <w:rPr>
                <w:b/>
              </w:rPr>
              <w:t>Metas</w:t>
            </w:r>
          </w:p>
        </w:tc>
        <w:tc>
          <w:tcPr>
            <w:tcW w:w="1906" w:type="dxa"/>
            <w:shd w:val="clear" w:color="auto" w:fill="9CC2E5" w:themeFill="accent1" w:themeFillTint="99"/>
            <w:vAlign w:val="center"/>
          </w:tcPr>
          <w:p w14:paraId="572849F8" w14:textId="4E4F9FE8" w:rsidR="00E81021" w:rsidRPr="008B7F0A" w:rsidRDefault="00E81021" w:rsidP="00E81021">
            <w:r w:rsidRPr="008B7F0A">
              <w:rPr>
                <w:b/>
              </w:rPr>
              <w:t>Fuentes de verificación</w:t>
            </w:r>
          </w:p>
        </w:tc>
        <w:tc>
          <w:tcPr>
            <w:tcW w:w="1981" w:type="dxa"/>
            <w:shd w:val="clear" w:color="auto" w:fill="9CC2E5" w:themeFill="accent1" w:themeFillTint="99"/>
            <w:vAlign w:val="center"/>
          </w:tcPr>
          <w:p w14:paraId="3FAA9047" w14:textId="72FDB0D4" w:rsidR="00E81021" w:rsidRPr="008B7F0A" w:rsidRDefault="00E81021" w:rsidP="00E81021">
            <w:r w:rsidRPr="008B7F0A">
              <w:rPr>
                <w:b/>
              </w:rPr>
              <w:t>PDES</w:t>
            </w:r>
          </w:p>
        </w:tc>
        <w:tc>
          <w:tcPr>
            <w:tcW w:w="1437" w:type="dxa"/>
            <w:shd w:val="clear" w:color="auto" w:fill="9CC2E5" w:themeFill="accent1" w:themeFillTint="99"/>
            <w:vAlign w:val="center"/>
          </w:tcPr>
          <w:p w14:paraId="0D6DBDD3" w14:textId="0051DE27" w:rsidR="00E81021" w:rsidRPr="008B7F0A" w:rsidRDefault="00E81021" w:rsidP="00E81021">
            <w:r w:rsidRPr="008B7F0A">
              <w:rPr>
                <w:b/>
              </w:rPr>
              <w:t>ODS</w:t>
            </w:r>
          </w:p>
        </w:tc>
      </w:tr>
      <w:tr w:rsidR="008C0A70" w:rsidRPr="008B7F0A" w14:paraId="02206478" w14:textId="77777777" w:rsidTr="008C0A70">
        <w:trPr>
          <w:trHeight w:val="475"/>
        </w:trPr>
        <w:tc>
          <w:tcPr>
            <w:tcW w:w="2266" w:type="dxa"/>
            <w:vMerge w:val="restart"/>
          </w:tcPr>
          <w:p w14:paraId="23B05424" w14:textId="65EDBA57" w:rsidR="008C0A70" w:rsidRPr="008B7F0A" w:rsidRDefault="00A57171" w:rsidP="008C0A70">
            <w:pPr>
              <w:rPr>
                <w:sz w:val="18"/>
                <w:szCs w:val="18"/>
              </w:rPr>
            </w:pPr>
            <w:r w:rsidRPr="008B7F0A">
              <w:rPr>
                <w:b/>
                <w:sz w:val="18"/>
                <w:szCs w:val="18"/>
              </w:rPr>
              <w:t>R.4.1.</w:t>
            </w:r>
            <w:r w:rsidRPr="008B7F0A">
              <w:rPr>
                <w:sz w:val="18"/>
                <w:szCs w:val="18"/>
              </w:rPr>
              <w:t xml:space="preserve"> </w:t>
            </w:r>
            <w:r w:rsidR="00134827">
              <w:rPr>
                <w:sz w:val="20"/>
                <w:szCs w:val="20"/>
                <w:lang w:val="sv-SE"/>
              </w:rPr>
              <w:t xml:space="preserve">Se ha contribuido al ejercicio efectivo de derechos individuales y colectivos de los </w:t>
            </w:r>
            <w:r w:rsidR="00134827">
              <w:rPr>
                <w:sz w:val="20"/>
                <w:szCs w:val="20"/>
              </w:rPr>
              <w:t xml:space="preserve">pueblos indígena originario campesinos y comunidades  interculturales y </w:t>
            </w:r>
            <w:proofErr w:type="spellStart"/>
            <w:r w:rsidR="00134827">
              <w:rPr>
                <w:sz w:val="20"/>
                <w:szCs w:val="20"/>
              </w:rPr>
              <w:t>afrobolivianas</w:t>
            </w:r>
            <w:proofErr w:type="spellEnd"/>
            <w:r w:rsidR="00134827">
              <w:rPr>
                <w:sz w:val="20"/>
                <w:szCs w:val="20"/>
              </w:rPr>
              <w:t xml:space="preserve"> </w:t>
            </w:r>
            <w:r w:rsidR="00134827">
              <w:rPr>
                <w:sz w:val="20"/>
                <w:szCs w:val="20"/>
                <w:lang w:val="sv-SE"/>
              </w:rPr>
              <w:t>de acuerdo a sus instituciones, saberes, conocimientos, normas y procedimientos propios en el marco de la democracia intercultural para el Vivir Bien.</w:t>
            </w:r>
          </w:p>
        </w:tc>
        <w:tc>
          <w:tcPr>
            <w:tcW w:w="3098" w:type="dxa"/>
            <w:vAlign w:val="center"/>
          </w:tcPr>
          <w:p w14:paraId="3E98B4FB" w14:textId="37605E06" w:rsidR="008C0A70" w:rsidRPr="008B7F0A" w:rsidRDefault="00A57171" w:rsidP="00A57171">
            <w:pPr>
              <w:rPr>
                <w:sz w:val="18"/>
                <w:szCs w:val="18"/>
                <w:lang w:val="sv-SE"/>
              </w:rPr>
            </w:pPr>
            <w:r w:rsidRPr="008B7F0A">
              <w:rPr>
                <w:sz w:val="18"/>
                <w:szCs w:val="18"/>
                <w:lang w:val="sv-SE"/>
              </w:rPr>
              <w:t>1. # GAIOCs que implementan políticas públicas para el ejercicio de sus competencias exclusivas.</w:t>
            </w:r>
          </w:p>
        </w:tc>
        <w:tc>
          <w:tcPr>
            <w:tcW w:w="2677" w:type="dxa"/>
          </w:tcPr>
          <w:p w14:paraId="6782C357" w14:textId="77777777" w:rsidR="00A57171" w:rsidRPr="008B7F0A" w:rsidRDefault="00A57171" w:rsidP="00A57171">
            <w:pPr>
              <w:jc w:val="center"/>
              <w:rPr>
                <w:sz w:val="18"/>
                <w:szCs w:val="18"/>
                <w:lang w:val="sv-SE"/>
              </w:rPr>
            </w:pPr>
          </w:p>
          <w:p w14:paraId="47717D55" w14:textId="77777777" w:rsidR="00A57171" w:rsidRPr="008B7F0A" w:rsidRDefault="00A57171" w:rsidP="00A57171">
            <w:pPr>
              <w:jc w:val="center"/>
              <w:rPr>
                <w:sz w:val="18"/>
                <w:szCs w:val="18"/>
                <w:lang w:val="sv-SE"/>
              </w:rPr>
            </w:pPr>
          </w:p>
          <w:p w14:paraId="6463E448" w14:textId="77777777" w:rsidR="00A57171" w:rsidRPr="008B7F0A" w:rsidRDefault="00A57171" w:rsidP="00A57171">
            <w:pPr>
              <w:jc w:val="center"/>
              <w:rPr>
                <w:sz w:val="18"/>
                <w:szCs w:val="18"/>
                <w:lang w:val="sv-SE"/>
              </w:rPr>
            </w:pPr>
          </w:p>
          <w:p w14:paraId="247ACF44" w14:textId="77777777" w:rsidR="00A57171" w:rsidRPr="008B7F0A" w:rsidRDefault="00A57171" w:rsidP="00A57171">
            <w:pPr>
              <w:jc w:val="center"/>
              <w:rPr>
                <w:sz w:val="18"/>
                <w:szCs w:val="18"/>
                <w:lang w:val="sv-SE"/>
              </w:rPr>
            </w:pPr>
          </w:p>
          <w:p w14:paraId="0363DB1A" w14:textId="6739839B" w:rsidR="008C0A70" w:rsidRPr="008B7F0A" w:rsidRDefault="00A57171" w:rsidP="00A57171">
            <w:pPr>
              <w:jc w:val="center"/>
              <w:rPr>
                <w:sz w:val="18"/>
                <w:szCs w:val="18"/>
                <w:lang w:val="sv-SE"/>
              </w:rPr>
            </w:pPr>
            <w:r w:rsidRPr="008B7F0A">
              <w:rPr>
                <w:sz w:val="18"/>
                <w:szCs w:val="18"/>
                <w:lang w:val="sv-SE"/>
              </w:rPr>
              <w:t>No aplica</w:t>
            </w:r>
          </w:p>
        </w:tc>
        <w:tc>
          <w:tcPr>
            <w:tcW w:w="1661" w:type="dxa"/>
            <w:vAlign w:val="center"/>
          </w:tcPr>
          <w:p w14:paraId="28D926B9" w14:textId="768579A3"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4</w:t>
            </w:r>
          </w:p>
        </w:tc>
        <w:tc>
          <w:tcPr>
            <w:tcW w:w="1906" w:type="dxa"/>
            <w:vAlign w:val="center"/>
          </w:tcPr>
          <w:p w14:paraId="4E877402" w14:textId="77777777" w:rsidR="00A57171"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Informes técnicos de los GAIOC.</w:t>
            </w:r>
          </w:p>
          <w:p w14:paraId="3D7A4D6A" w14:textId="77777777" w:rsidR="00A57171" w:rsidRPr="008B7F0A" w:rsidRDefault="00A57171" w:rsidP="00A57171">
            <w:pPr>
              <w:jc w:val="center"/>
              <w:rPr>
                <w:rFonts w:ascii="Calibri" w:hAnsi="Calibri" w:cs="Calibri"/>
                <w:color w:val="000000"/>
                <w:sz w:val="18"/>
                <w:szCs w:val="18"/>
              </w:rPr>
            </w:pPr>
          </w:p>
          <w:p w14:paraId="17F8A970" w14:textId="77777777" w:rsidR="00A57171" w:rsidRPr="008B7F0A" w:rsidRDefault="00A57171" w:rsidP="00A57171">
            <w:pPr>
              <w:jc w:val="center"/>
              <w:rPr>
                <w:rFonts w:ascii="Calibri" w:hAnsi="Calibri" w:cs="Calibri"/>
                <w:color w:val="000000"/>
                <w:sz w:val="18"/>
                <w:szCs w:val="18"/>
              </w:rPr>
            </w:pPr>
          </w:p>
          <w:p w14:paraId="2DAF5C7A" w14:textId="3988DD91"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Ministerio de Planificación / Viceministerio de Autonomías (Servicio Estatal de Autonomías)</w:t>
            </w:r>
          </w:p>
        </w:tc>
        <w:tc>
          <w:tcPr>
            <w:tcW w:w="1981" w:type="dxa"/>
            <w:vAlign w:val="center"/>
          </w:tcPr>
          <w:p w14:paraId="3B7B82EC" w14:textId="471C6DEA" w:rsidR="008C0A70" w:rsidRPr="008B7F0A" w:rsidRDefault="008C0A70" w:rsidP="008C0A70">
            <w:pPr>
              <w:rPr>
                <w:sz w:val="18"/>
                <w:szCs w:val="18"/>
                <w:lang w:val="sv-SE"/>
              </w:rPr>
            </w:pPr>
          </w:p>
        </w:tc>
        <w:tc>
          <w:tcPr>
            <w:tcW w:w="1437" w:type="dxa"/>
            <w:vAlign w:val="center"/>
          </w:tcPr>
          <w:p w14:paraId="0C5A5FF8" w14:textId="5392F060" w:rsidR="008C0A70" w:rsidRPr="008B7F0A" w:rsidRDefault="008C0A70" w:rsidP="008C0A70">
            <w:pPr>
              <w:pStyle w:val="ListParagraph"/>
              <w:rPr>
                <w:sz w:val="18"/>
                <w:szCs w:val="18"/>
                <w:lang w:val="sv-SE"/>
              </w:rPr>
            </w:pPr>
          </w:p>
        </w:tc>
      </w:tr>
      <w:tr w:rsidR="008C0A70" w:rsidRPr="008B7F0A" w14:paraId="1C259A03" w14:textId="77777777" w:rsidTr="008C0A70">
        <w:trPr>
          <w:trHeight w:val="470"/>
        </w:trPr>
        <w:tc>
          <w:tcPr>
            <w:tcW w:w="2266" w:type="dxa"/>
            <w:vMerge/>
          </w:tcPr>
          <w:p w14:paraId="2FBB0BFD" w14:textId="77777777" w:rsidR="008C0A70" w:rsidRPr="008B7F0A" w:rsidRDefault="008C0A70" w:rsidP="008C0A70">
            <w:pPr>
              <w:rPr>
                <w:b/>
                <w:sz w:val="18"/>
                <w:szCs w:val="18"/>
                <w:lang w:val="sv-SE"/>
              </w:rPr>
            </w:pPr>
          </w:p>
        </w:tc>
        <w:tc>
          <w:tcPr>
            <w:tcW w:w="3098" w:type="dxa"/>
            <w:vAlign w:val="center"/>
          </w:tcPr>
          <w:p w14:paraId="35C7ABD3" w14:textId="7D68915B" w:rsidR="008C0A70" w:rsidRPr="008B7F0A" w:rsidRDefault="00A57171" w:rsidP="00A57171">
            <w:pPr>
              <w:rPr>
                <w:sz w:val="18"/>
                <w:szCs w:val="18"/>
                <w:lang w:val="sv-SE"/>
              </w:rPr>
            </w:pPr>
            <w:r w:rsidRPr="008B7F0A">
              <w:rPr>
                <w:sz w:val="18"/>
                <w:szCs w:val="18"/>
                <w:lang w:val="sv-SE"/>
              </w:rPr>
              <w:t>2. % de ministerios que implementan planes sectoriales que integran los derechos de los pueblos indígenas y afrobolivianos de conformidad con los estándares de derecho de los pueblos indígenas.</w:t>
            </w:r>
          </w:p>
        </w:tc>
        <w:tc>
          <w:tcPr>
            <w:tcW w:w="2677" w:type="dxa"/>
            <w:vAlign w:val="center"/>
          </w:tcPr>
          <w:p w14:paraId="48179000" w14:textId="2F09F345" w:rsidR="008C0A70" w:rsidRPr="008B7F0A" w:rsidRDefault="00A57171" w:rsidP="00A57171">
            <w:pPr>
              <w:jc w:val="center"/>
              <w:rPr>
                <w:rFonts w:ascii="Calibri" w:hAnsi="Calibri" w:cs="Calibri"/>
                <w:sz w:val="18"/>
                <w:szCs w:val="18"/>
              </w:rPr>
            </w:pPr>
            <w:r w:rsidRPr="008B7F0A">
              <w:rPr>
                <w:rFonts w:ascii="Calibri" w:hAnsi="Calibri" w:cs="Calibri"/>
                <w:sz w:val="18"/>
                <w:szCs w:val="18"/>
              </w:rPr>
              <w:t>25%</w:t>
            </w:r>
          </w:p>
        </w:tc>
        <w:tc>
          <w:tcPr>
            <w:tcW w:w="1661" w:type="dxa"/>
            <w:vAlign w:val="center"/>
          </w:tcPr>
          <w:p w14:paraId="4AFC1B61" w14:textId="3985343F" w:rsidR="008C0A70" w:rsidRPr="008B7F0A" w:rsidRDefault="00A57171" w:rsidP="00A57171">
            <w:pPr>
              <w:jc w:val="center"/>
              <w:rPr>
                <w:rFonts w:ascii="Calibri" w:hAnsi="Calibri" w:cs="Calibri"/>
                <w:sz w:val="18"/>
                <w:szCs w:val="18"/>
              </w:rPr>
            </w:pPr>
            <w:r w:rsidRPr="008B7F0A">
              <w:rPr>
                <w:rFonts w:ascii="Calibri" w:hAnsi="Calibri" w:cs="Calibri"/>
                <w:sz w:val="18"/>
                <w:szCs w:val="18"/>
              </w:rPr>
              <w:t>50%</w:t>
            </w:r>
          </w:p>
        </w:tc>
        <w:tc>
          <w:tcPr>
            <w:tcW w:w="1906" w:type="dxa"/>
            <w:vAlign w:val="center"/>
          </w:tcPr>
          <w:p w14:paraId="34E3A2CE" w14:textId="77777777" w:rsidR="00A57171"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Informes anuales de Ministerios.</w:t>
            </w:r>
          </w:p>
          <w:p w14:paraId="1BE97E86" w14:textId="77777777" w:rsidR="00A57171" w:rsidRPr="008B7F0A" w:rsidRDefault="00A57171" w:rsidP="00A57171">
            <w:pPr>
              <w:jc w:val="center"/>
              <w:rPr>
                <w:rFonts w:ascii="Calibri" w:hAnsi="Calibri" w:cs="Calibri"/>
                <w:color w:val="000000"/>
                <w:sz w:val="18"/>
                <w:szCs w:val="18"/>
              </w:rPr>
            </w:pPr>
          </w:p>
          <w:p w14:paraId="44B327BD" w14:textId="67A78B4E"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Informe de Estado a cargo del Ministerio de Relaciones Exteriores.</w:t>
            </w:r>
          </w:p>
        </w:tc>
        <w:tc>
          <w:tcPr>
            <w:tcW w:w="1981" w:type="dxa"/>
            <w:vAlign w:val="center"/>
          </w:tcPr>
          <w:p w14:paraId="28084CC9" w14:textId="504C6043" w:rsidR="008C0A70" w:rsidRPr="008B7F0A" w:rsidRDefault="008C0A70" w:rsidP="008C0A70">
            <w:pPr>
              <w:pStyle w:val="ListParagraph"/>
              <w:rPr>
                <w:sz w:val="18"/>
                <w:szCs w:val="18"/>
                <w:lang w:val="sv-SE"/>
              </w:rPr>
            </w:pPr>
          </w:p>
        </w:tc>
        <w:tc>
          <w:tcPr>
            <w:tcW w:w="1437" w:type="dxa"/>
            <w:vAlign w:val="center"/>
          </w:tcPr>
          <w:p w14:paraId="61768DAA" w14:textId="364D5897" w:rsidR="008C0A70" w:rsidRPr="008B7F0A" w:rsidRDefault="008C0A70" w:rsidP="008C0A70">
            <w:pPr>
              <w:ind w:left="360"/>
              <w:rPr>
                <w:sz w:val="18"/>
                <w:szCs w:val="18"/>
                <w:lang w:val="sv-SE"/>
              </w:rPr>
            </w:pPr>
          </w:p>
        </w:tc>
      </w:tr>
      <w:tr w:rsidR="008C0A70" w:rsidRPr="008B7F0A" w14:paraId="416EF689" w14:textId="77777777" w:rsidTr="008C0A70">
        <w:trPr>
          <w:trHeight w:val="470"/>
        </w:trPr>
        <w:tc>
          <w:tcPr>
            <w:tcW w:w="2266" w:type="dxa"/>
            <w:vMerge/>
          </w:tcPr>
          <w:p w14:paraId="6992241A" w14:textId="77777777" w:rsidR="008C0A70" w:rsidRPr="008B7F0A" w:rsidRDefault="008C0A70" w:rsidP="008C0A70">
            <w:pPr>
              <w:rPr>
                <w:b/>
                <w:sz w:val="18"/>
                <w:szCs w:val="18"/>
                <w:lang w:val="sv-SE"/>
              </w:rPr>
            </w:pPr>
          </w:p>
        </w:tc>
        <w:tc>
          <w:tcPr>
            <w:tcW w:w="3098" w:type="dxa"/>
            <w:vAlign w:val="center"/>
          </w:tcPr>
          <w:p w14:paraId="267FF06F" w14:textId="56AF4946" w:rsidR="008C0A70" w:rsidRPr="008B7F0A" w:rsidRDefault="00A57171" w:rsidP="008C0A70">
            <w:pPr>
              <w:rPr>
                <w:sz w:val="18"/>
                <w:szCs w:val="18"/>
                <w:lang w:val="sv-SE"/>
              </w:rPr>
            </w:pPr>
            <w:r w:rsidRPr="008B7F0A">
              <w:rPr>
                <w:sz w:val="18"/>
                <w:szCs w:val="18"/>
                <w:lang w:val="sv-SE"/>
              </w:rPr>
              <w:t>3. Número de políticas de protección y salvaguarda implementadas para pueblos o comunidades indígenas altamente vulnerables para el ejercicio de sus derechos.</w:t>
            </w:r>
          </w:p>
        </w:tc>
        <w:tc>
          <w:tcPr>
            <w:tcW w:w="2677" w:type="dxa"/>
            <w:vAlign w:val="center"/>
          </w:tcPr>
          <w:p w14:paraId="617D63B9" w14:textId="77777777" w:rsidR="00A57171"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CPE</w:t>
            </w:r>
          </w:p>
          <w:p w14:paraId="153796E3" w14:textId="22678B2C"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 xml:space="preserve">Ley de protección de </w:t>
            </w:r>
            <w:proofErr w:type="spellStart"/>
            <w:r w:rsidRPr="008B7F0A">
              <w:rPr>
                <w:rFonts w:ascii="Calibri" w:hAnsi="Calibri" w:cs="Calibri"/>
                <w:color w:val="000000"/>
                <w:sz w:val="18"/>
                <w:szCs w:val="18"/>
              </w:rPr>
              <w:t>PIAVs</w:t>
            </w:r>
            <w:proofErr w:type="spellEnd"/>
            <w:r w:rsidRPr="008B7F0A">
              <w:rPr>
                <w:rFonts w:ascii="Calibri" w:hAnsi="Calibri" w:cs="Calibri"/>
                <w:color w:val="000000"/>
                <w:sz w:val="18"/>
                <w:szCs w:val="18"/>
              </w:rPr>
              <w:t>.</w:t>
            </w:r>
          </w:p>
        </w:tc>
        <w:tc>
          <w:tcPr>
            <w:tcW w:w="1661" w:type="dxa"/>
            <w:vAlign w:val="center"/>
          </w:tcPr>
          <w:p w14:paraId="10A43DA9" w14:textId="7952DE17"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3</w:t>
            </w:r>
          </w:p>
        </w:tc>
        <w:tc>
          <w:tcPr>
            <w:tcW w:w="1906" w:type="dxa"/>
            <w:vAlign w:val="center"/>
          </w:tcPr>
          <w:p w14:paraId="14D5CF80" w14:textId="77777777" w:rsidR="00A57171"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Informes Sectoriales</w:t>
            </w:r>
          </w:p>
          <w:p w14:paraId="69861054" w14:textId="77777777" w:rsidR="00A57171"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Ministerio de Justicia</w:t>
            </w:r>
          </w:p>
          <w:p w14:paraId="07DE42E8" w14:textId="572D5482"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Ministerio de Relaciones Exteriores</w:t>
            </w:r>
          </w:p>
        </w:tc>
        <w:tc>
          <w:tcPr>
            <w:tcW w:w="1981" w:type="dxa"/>
            <w:vAlign w:val="center"/>
          </w:tcPr>
          <w:p w14:paraId="74B96ED5" w14:textId="490435A2" w:rsidR="008C0A70" w:rsidRPr="008B7F0A" w:rsidRDefault="008C0A70" w:rsidP="008C0A70">
            <w:pPr>
              <w:pStyle w:val="ListParagraph"/>
              <w:rPr>
                <w:sz w:val="18"/>
                <w:szCs w:val="18"/>
                <w:lang w:val="sv-SE"/>
              </w:rPr>
            </w:pPr>
          </w:p>
        </w:tc>
        <w:tc>
          <w:tcPr>
            <w:tcW w:w="1437" w:type="dxa"/>
            <w:vAlign w:val="center"/>
          </w:tcPr>
          <w:p w14:paraId="08DDD632" w14:textId="6D1490CF" w:rsidR="008C0A70" w:rsidRPr="008B7F0A" w:rsidRDefault="008C0A70" w:rsidP="008C0A70">
            <w:pPr>
              <w:pStyle w:val="ListParagraph"/>
              <w:rPr>
                <w:sz w:val="18"/>
                <w:szCs w:val="18"/>
                <w:lang w:val="sv-SE"/>
              </w:rPr>
            </w:pPr>
          </w:p>
        </w:tc>
      </w:tr>
      <w:tr w:rsidR="008C0A70" w:rsidRPr="008B7F0A" w14:paraId="5BE29D62" w14:textId="77777777" w:rsidTr="008C0A70">
        <w:trPr>
          <w:trHeight w:val="470"/>
        </w:trPr>
        <w:tc>
          <w:tcPr>
            <w:tcW w:w="2266" w:type="dxa"/>
            <w:vMerge/>
          </w:tcPr>
          <w:p w14:paraId="58F4AC5A" w14:textId="77777777" w:rsidR="008C0A70" w:rsidRPr="008B7F0A" w:rsidRDefault="008C0A70" w:rsidP="008C0A70">
            <w:pPr>
              <w:rPr>
                <w:b/>
                <w:sz w:val="18"/>
                <w:szCs w:val="18"/>
                <w:lang w:val="sv-SE"/>
              </w:rPr>
            </w:pPr>
          </w:p>
        </w:tc>
        <w:tc>
          <w:tcPr>
            <w:tcW w:w="3098" w:type="dxa"/>
            <w:vAlign w:val="center"/>
          </w:tcPr>
          <w:p w14:paraId="3D84D695" w14:textId="627D443B" w:rsidR="008C0A70" w:rsidRPr="008B7F0A" w:rsidRDefault="00A57171" w:rsidP="00A57171">
            <w:pPr>
              <w:pStyle w:val="ListParagraph"/>
              <w:numPr>
                <w:ilvl w:val="0"/>
                <w:numId w:val="17"/>
              </w:numPr>
              <w:tabs>
                <w:tab w:val="left" w:pos="324"/>
              </w:tabs>
              <w:ind w:left="40" w:firstLine="0"/>
              <w:rPr>
                <w:sz w:val="18"/>
                <w:szCs w:val="18"/>
                <w:lang w:val="sv-SE"/>
              </w:rPr>
            </w:pPr>
            <w:r w:rsidRPr="008B7F0A">
              <w:rPr>
                <w:sz w:val="18"/>
                <w:szCs w:val="18"/>
                <w:lang w:val="sv-SE"/>
              </w:rPr>
              <w:t>Número de sistemas de información oficiales que integran información desagregada por pertenencia étnica/pueblo indígena originario campesino y afroboliviano.</w:t>
            </w:r>
          </w:p>
        </w:tc>
        <w:tc>
          <w:tcPr>
            <w:tcW w:w="2677" w:type="dxa"/>
            <w:vAlign w:val="center"/>
          </w:tcPr>
          <w:p w14:paraId="2C28DC76" w14:textId="1AAFAEE5" w:rsidR="008C0A70" w:rsidRPr="008B7F0A" w:rsidRDefault="00A57171" w:rsidP="00A57171">
            <w:pPr>
              <w:jc w:val="center"/>
              <w:rPr>
                <w:rFonts w:ascii="Calibri" w:hAnsi="Calibri" w:cs="Calibri"/>
                <w:sz w:val="18"/>
                <w:szCs w:val="18"/>
              </w:rPr>
            </w:pPr>
            <w:r w:rsidRPr="008B7F0A">
              <w:rPr>
                <w:rFonts w:ascii="Calibri" w:hAnsi="Calibri" w:cs="Calibri"/>
                <w:sz w:val="18"/>
                <w:szCs w:val="18"/>
              </w:rPr>
              <w:t>1 (Censo de Población y Vivienda)</w:t>
            </w:r>
          </w:p>
        </w:tc>
        <w:tc>
          <w:tcPr>
            <w:tcW w:w="1661" w:type="dxa"/>
            <w:vAlign w:val="center"/>
          </w:tcPr>
          <w:p w14:paraId="73444B39" w14:textId="60D53C9D" w:rsidR="00115D8B" w:rsidRPr="008B7F0A" w:rsidRDefault="00A57171" w:rsidP="00A57171">
            <w:pPr>
              <w:jc w:val="center"/>
              <w:rPr>
                <w:rFonts w:ascii="Calibri" w:hAnsi="Calibri" w:cs="Calibri"/>
                <w:sz w:val="18"/>
                <w:szCs w:val="18"/>
              </w:rPr>
            </w:pPr>
            <w:r w:rsidRPr="008B7F0A">
              <w:rPr>
                <w:rFonts w:ascii="Calibri" w:hAnsi="Calibri" w:cs="Calibri"/>
                <w:sz w:val="18"/>
                <w:szCs w:val="18"/>
              </w:rPr>
              <w:t>4</w:t>
            </w:r>
          </w:p>
        </w:tc>
        <w:tc>
          <w:tcPr>
            <w:tcW w:w="1906" w:type="dxa"/>
            <w:vAlign w:val="center"/>
          </w:tcPr>
          <w:p w14:paraId="228F872A" w14:textId="77777777" w:rsidR="00A57171" w:rsidRPr="008B7F0A" w:rsidRDefault="00A57171" w:rsidP="00A57171">
            <w:pPr>
              <w:jc w:val="center"/>
              <w:rPr>
                <w:rFonts w:ascii="Calibri" w:hAnsi="Calibri" w:cs="Calibri"/>
                <w:sz w:val="18"/>
                <w:szCs w:val="18"/>
              </w:rPr>
            </w:pPr>
            <w:r w:rsidRPr="008B7F0A">
              <w:rPr>
                <w:rFonts w:ascii="Calibri" w:hAnsi="Calibri" w:cs="Calibri"/>
                <w:sz w:val="18"/>
                <w:szCs w:val="18"/>
              </w:rPr>
              <w:t>INE</w:t>
            </w:r>
          </w:p>
          <w:p w14:paraId="774129CD" w14:textId="77777777" w:rsidR="00A57171" w:rsidRPr="008B7F0A" w:rsidRDefault="00A57171" w:rsidP="00A57171">
            <w:pPr>
              <w:jc w:val="center"/>
              <w:rPr>
                <w:rFonts w:ascii="Calibri" w:hAnsi="Calibri" w:cs="Calibri"/>
                <w:sz w:val="18"/>
                <w:szCs w:val="18"/>
              </w:rPr>
            </w:pPr>
            <w:r w:rsidRPr="008B7F0A">
              <w:rPr>
                <w:rFonts w:ascii="Calibri" w:hAnsi="Calibri" w:cs="Calibri"/>
                <w:sz w:val="18"/>
                <w:szCs w:val="18"/>
              </w:rPr>
              <w:t>SNIS</w:t>
            </w:r>
          </w:p>
          <w:p w14:paraId="19ED8B9F" w14:textId="77777777" w:rsidR="00A57171" w:rsidRPr="008B7F0A" w:rsidRDefault="00A57171" w:rsidP="00A57171">
            <w:pPr>
              <w:jc w:val="center"/>
              <w:rPr>
                <w:rFonts w:ascii="Calibri" w:hAnsi="Calibri" w:cs="Calibri"/>
                <w:sz w:val="18"/>
                <w:szCs w:val="18"/>
              </w:rPr>
            </w:pPr>
            <w:r w:rsidRPr="008B7F0A">
              <w:rPr>
                <w:rFonts w:ascii="Calibri" w:hAnsi="Calibri" w:cs="Calibri"/>
                <w:sz w:val="18"/>
                <w:szCs w:val="18"/>
              </w:rPr>
              <w:t>SIE</w:t>
            </w:r>
          </w:p>
          <w:p w14:paraId="1E06BD79" w14:textId="491206D6" w:rsidR="008C0A70" w:rsidRPr="008B7F0A" w:rsidRDefault="00A57171" w:rsidP="00A57171">
            <w:pPr>
              <w:jc w:val="center"/>
              <w:rPr>
                <w:rFonts w:ascii="Calibri" w:hAnsi="Calibri" w:cs="Calibri"/>
                <w:sz w:val="18"/>
                <w:szCs w:val="18"/>
              </w:rPr>
            </w:pPr>
            <w:r w:rsidRPr="008B7F0A">
              <w:rPr>
                <w:rFonts w:ascii="Calibri" w:hAnsi="Calibri" w:cs="Calibri"/>
                <w:sz w:val="18"/>
                <w:szCs w:val="18"/>
              </w:rPr>
              <w:t>Registros administrativos</w:t>
            </w:r>
          </w:p>
        </w:tc>
        <w:tc>
          <w:tcPr>
            <w:tcW w:w="1981" w:type="dxa"/>
            <w:vAlign w:val="center"/>
          </w:tcPr>
          <w:p w14:paraId="039F96DD" w14:textId="2D528C21" w:rsidR="008C0A70" w:rsidRPr="008B7F0A" w:rsidRDefault="008C0A70" w:rsidP="008C0A70">
            <w:pPr>
              <w:pStyle w:val="ListParagraph"/>
              <w:rPr>
                <w:sz w:val="18"/>
                <w:szCs w:val="18"/>
                <w:lang w:val="sv-SE"/>
              </w:rPr>
            </w:pPr>
          </w:p>
        </w:tc>
        <w:tc>
          <w:tcPr>
            <w:tcW w:w="1437" w:type="dxa"/>
            <w:vAlign w:val="center"/>
          </w:tcPr>
          <w:p w14:paraId="1C6B4FD7" w14:textId="0154CD3F" w:rsidR="008C0A70" w:rsidRPr="008B7F0A" w:rsidRDefault="008C0A70" w:rsidP="008C0A70">
            <w:pPr>
              <w:pStyle w:val="ListParagraph"/>
              <w:rPr>
                <w:sz w:val="18"/>
                <w:szCs w:val="18"/>
                <w:lang w:val="sv-SE"/>
              </w:rPr>
            </w:pPr>
          </w:p>
        </w:tc>
      </w:tr>
      <w:tr w:rsidR="008C0A70" w:rsidRPr="008B7F0A" w14:paraId="3E377E1F" w14:textId="77777777" w:rsidTr="008C0A70">
        <w:trPr>
          <w:trHeight w:val="470"/>
        </w:trPr>
        <w:tc>
          <w:tcPr>
            <w:tcW w:w="2266" w:type="dxa"/>
            <w:vMerge/>
          </w:tcPr>
          <w:p w14:paraId="1FBC8DDF" w14:textId="77777777" w:rsidR="008C0A70" w:rsidRPr="008B7F0A" w:rsidRDefault="008C0A70" w:rsidP="008C0A70">
            <w:pPr>
              <w:rPr>
                <w:b/>
                <w:sz w:val="18"/>
                <w:szCs w:val="18"/>
                <w:lang w:val="sv-SE"/>
              </w:rPr>
            </w:pPr>
          </w:p>
        </w:tc>
        <w:tc>
          <w:tcPr>
            <w:tcW w:w="3098" w:type="dxa"/>
            <w:vAlign w:val="center"/>
          </w:tcPr>
          <w:p w14:paraId="1F9B729D" w14:textId="608CD95C" w:rsidR="008C0A70" w:rsidRPr="008B7F0A" w:rsidRDefault="00A57171" w:rsidP="00A57171">
            <w:pPr>
              <w:pStyle w:val="ListParagraph"/>
              <w:numPr>
                <w:ilvl w:val="0"/>
                <w:numId w:val="17"/>
              </w:numPr>
              <w:tabs>
                <w:tab w:val="left" w:pos="324"/>
              </w:tabs>
              <w:ind w:left="40" w:firstLine="0"/>
              <w:rPr>
                <w:sz w:val="18"/>
                <w:szCs w:val="18"/>
                <w:lang w:val="sv-SE"/>
              </w:rPr>
            </w:pPr>
            <w:r w:rsidRPr="008B7F0A">
              <w:rPr>
                <w:sz w:val="18"/>
                <w:szCs w:val="18"/>
                <w:lang w:val="sv-SE"/>
              </w:rPr>
              <w:t xml:space="preserve"># de Ministerios y Gobernaciones cuentan con instancias creadas para la lucha contra el racismo y toda forma de discriminación. </w:t>
            </w:r>
          </w:p>
        </w:tc>
        <w:tc>
          <w:tcPr>
            <w:tcW w:w="2677" w:type="dxa"/>
            <w:vAlign w:val="center"/>
          </w:tcPr>
          <w:p w14:paraId="2988B945" w14:textId="7C887F57"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5 Ministerios y 2 Gobernaciones cuentan con instancia oficial</w:t>
            </w:r>
          </w:p>
        </w:tc>
        <w:tc>
          <w:tcPr>
            <w:tcW w:w="1661" w:type="dxa"/>
            <w:vAlign w:val="center"/>
          </w:tcPr>
          <w:p w14:paraId="72800271" w14:textId="2967A939" w:rsidR="00115D8B"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10 Ministerios y 5 Gobernaciones cuentan con instancia oficial</w:t>
            </w:r>
          </w:p>
        </w:tc>
        <w:tc>
          <w:tcPr>
            <w:tcW w:w="1906" w:type="dxa"/>
            <w:vAlign w:val="center"/>
          </w:tcPr>
          <w:p w14:paraId="3FB365D8" w14:textId="77777777" w:rsidR="00A57171"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Memorias del Comité Nacional</w:t>
            </w:r>
          </w:p>
          <w:p w14:paraId="6056D680" w14:textId="77777777" w:rsidR="00A57171" w:rsidRPr="008B7F0A" w:rsidRDefault="00A57171" w:rsidP="00A57171">
            <w:pPr>
              <w:jc w:val="center"/>
              <w:rPr>
                <w:rFonts w:ascii="Calibri" w:hAnsi="Calibri" w:cs="Calibri"/>
                <w:color w:val="000000"/>
                <w:sz w:val="18"/>
                <w:szCs w:val="18"/>
              </w:rPr>
            </w:pPr>
          </w:p>
          <w:p w14:paraId="33EA927A" w14:textId="7E6FCDD4" w:rsidR="008C0A70" w:rsidRPr="008B7F0A" w:rsidRDefault="00A57171" w:rsidP="00A57171">
            <w:pPr>
              <w:jc w:val="center"/>
              <w:rPr>
                <w:rFonts w:ascii="Calibri" w:hAnsi="Calibri" w:cs="Calibri"/>
                <w:color w:val="000000"/>
                <w:sz w:val="18"/>
                <w:szCs w:val="18"/>
              </w:rPr>
            </w:pPr>
            <w:r w:rsidRPr="008B7F0A">
              <w:rPr>
                <w:rFonts w:ascii="Calibri" w:hAnsi="Calibri" w:cs="Calibri"/>
                <w:color w:val="000000"/>
                <w:sz w:val="18"/>
                <w:szCs w:val="18"/>
              </w:rPr>
              <w:t>Min. Culturas (Descolonización)</w:t>
            </w:r>
          </w:p>
        </w:tc>
        <w:tc>
          <w:tcPr>
            <w:tcW w:w="1981" w:type="dxa"/>
            <w:vAlign w:val="center"/>
          </w:tcPr>
          <w:p w14:paraId="49021BAD" w14:textId="76231FB0" w:rsidR="008C0A70" w:rsidRPr="008B7F0A" w:rsidRDefault="008C0A70" w:rsidP="008C0A70">
            <w:pPr>
              <w:rPr>
                <w:sz w:val="18"/>
                <w:szCs w:val="18"/>
                <w:lang w:val="sv-SE"/>
              </w:rPr>
            </w:pPr>
          </w:p>
        </w:tc>
        <w:tc>
          <w:tcPr>
            <w:tcW w:w="1437" w:type="dxa"/>
            <w:vAlign w:val="center"/>
          </w:tcPr>
          <w:p w14:paraId="70EC8F04" w14:textId="1AEFA1E9" w:rsidR="008C0A70" w:rsidRPr="008B7F0A" w:rsidRDefault="008C0A70" w:rsidP="008C0A70">
            <w:pPr>
              <w:pStyle w:val="ListParagraph"/>
              <w:rPr>
                <w:sz w:val="18"/>
                <w:szCs w:val="18"/>
                <w:lang w:val="sv-SE"/>
              </w:rPr>
            </w:pPr>
          </w:p>
        </w:tc>
      </w:tr>
      <w:tr w:rsidR="00950BA5" w:rsidRPr="008B7F0A" w14:paraId="1912728C" w14:textId="77777777" w:rsidTr="003A5BF9">
        <w:trPr>
          <w:trHeight w:val="654"/>
        </w:trPr>
        <w:tc>
          <w:tcPr>
            <w:tcW w:w="2266" w:type="dxa"/>
            <w:vMerge w:val="restart"/>
          </w:tcPr>
          <w:p w14:paraId="183889F4" w14:textId="1BA7D3D5" w:rsidR="00950BA5" w:rsidRPr="008B7F0A" w:rsidRDefault="00950BA5" w:rsidP="00950BA5">
            <w:pPr>
              <w:rPr>
                <w:sz w:val="18"/>
                <w:szCs w:val="18"/>
              </w:rPr>
            </w:pPr>
            <w:r w:rsidRPr="008B7F0A">
              <w:rPr>
                <w:b/>
                <w:sz w:val="18"/>
                <w:szCs w:val="18"/>
                <w:lang w:val="sv-SE"/>
              </w:rPr>
              <w:lastRenderedPageBreak/>
              <w:t>R.4.2.</w:t>
            </w:r>
            <w:r w:rsidRPr="008B7F0A">
              <w:rPr>
                <w:sz w:val="18"/>
                <w:szCs w:val="18"/>
                <w:lang w:val="sv-SE"/>
              </w:rPr>
              <w:t xml:space="preserve"> Se ha fortalecido la formulación e implementación de leyes, planes y políticas y la provisión de servicios y presupuestos sensibles a género acordes acorde con los compromisos internacionales que promueven los derechos de las mujeres para avanzar en la igualdad de género y la despatriarcalización</w:t>
            </w:r>
          </w:p>
        </w:tc>
        <w:tc>
          <w:tcPr>
            <w:tcW w:w="3098" w:type="dxa"/>
            <w:vAlign w:val="center"/>
          </w:tcPr>
          <w:p w14:paraId="4C1102AC" w14:textId="4AAF63AC"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 xml:space="preserve">1.Brecha de ingreso por sexo a nivel urbano y rural </w:t>
            </w:r>
          </w:p>
        </w:tc>
        <w:tc>
          <w:tcPr>
            <w:tcW w:w="2677" w:type="dxa"/>
            <w:vAlign w:val="bottom"/>
          </w:tcPr>
          <w:p w14:paraId="43A060B1" w14:textId="67D19883" w:rsidR="00950BA5" w:rsidRPr="008B7F0A" w:rsidRDefault="00950BA5" w:rsidP="00A57171">
            <w:pPr>
              <w:jc w:val="center"/>
              <w:rPr>
                <w:rFonts w:ascii="Calibri" w:hAnsi="Calibri" w:cs="Calibri"/>
                <w:color w:val="000000"/>
                <w:sz w:val="18"/>
                <w:szCs w:val="18"/>
              </w:rPr>
            </w:pPr>
          </w:p>
        </w:tc>
        <w:tc>
          <w:tcPr>
            <w:tcW w:w="1661" w:type="dxa"/>
            <w:vAlign w:val="bottom"/>
          </w:tcPr>
          <w:p w14:paraId="7AAA48D4" w14:textId="0689997A" w:rsidR="00950BA5" w:rsidRPr="008B7F0A" w:rsidRDefault="00950BA5" w:rsidP="00A57171">
            <w:pPr>
              <w:jc w:val="center"/>
              <w:rPr>
                <w:rFonts w:ascii="Calibri" w:hAnsi="Calibri" w:cs="Calibri"/>
                <w:color w:val="000000"/>
                <w:sz w:val="18"/>
                <w:szCs w:val="18"/>
              </w:rPr>
            </w:pPr>
          </w:p>
        </w:tc>
        <w:tc>
          <w:tcPr>
            <w:tcW w:w="1906" w:type="dxa"/>
            <w:vAlign w:val="bottom"/>
          </w:tcPr>
          <w:p w14:paraId="71B8E7BF" w14:textId="21EFC5F2" w:rsidR="00950BA5" w:rsidRPr="008B7F0A" w:rsidRDefault="00950BA5" w:rsidP="00950BA5">
            <w:pPr>
              <w:rPr>
                <w:rFonts w:ascii="Calibri" w:hAnsi="Calibri" w:cs="Calibri"/>
                <w:color w:val="000000"/>
                <w:sz w:val="18"/>
                <w:szCs w:val="18"/>
              </w:rPr>
            </w:pPr>
          </w:p>
        </w:tc>
        <w:tc>
          <w:tcPr>
            <w:tcW w:w="1981" w:type="dxa"/>
            <w:vAlign w:val="center"/>
          </w:tcPr>
          <w:p w14:paraId="5D9F789B" w14:textId="77777777" w:rsidR="00950BA5" w:rsidRPr="008B7F0A" w:rsidRDefault="00950BA5" w:rsidP="00950BA5">
            <w:pPr>
              <w:pStyle w:val="ListParagraph"/>
              <w:rPr>
                <w:sz w:val="18"/>
                <w:szCs w:val="18"/>
                <w:lang w:val="sv-SE"/>
              </w:rPr>
            </w:pPr>
            <w:r w:rsidRPr="008B7F0A">
              <w:rPr>
                <w:rFonts w:ascii="Arial" w:hAnsi="Arial" w:cs="Arial"/>
                <w:color w:val="000000"/>
                <w:sz w:val="18"/>
                <w:szCs w:val="18"/>
              </w:rPr>
              <w:t>Pilar 1</w:t>
            </w:r>
            <w:r w:rsidRPr="008B7F0A">
              <w:rPr>
                <w:rFonts w:ascii="Arial" w:hAnsi="Arial" w:cs="Arial"/>
                <w:color w:val="000000"/>
                <w:sz w:val="18"/>
                <w:szCs w:val="18"/>
              </w:rPr>
              <w:br/>
              <w:t>Meta 5: Combatir la</w:t>
            </w:r>
            <w:r w:rsidRPr="008B7F0A">
              <w:rPr>
                <w:rFonts w:ascii="Arial" w:hAnsi="Arial" w:cs="Arial"/>
                <w:color w:val="000000"/>
                <w:sz w:val="18"/>
                <w:szCs w:val="18"/>
              </w:rPr>
              <w:br/>
              <w:t>pobreza espiritual.</w:t>
            </w:r>
          </w:p>
        </w:tc>
        <w:tc>
          <w:tcPr>
            <w:tcW w:w="1437" w:type="dxa"/>
            <w:vAlign w:val="center"/>
          </w:tcPr>
          <w:p w14:paraId="49E2B3A4" w14:textId="77777777" w:rsidR="00950BA5" w:rsidRPr="008B7F0A" w:rsidRDefault="00950BA5" w:rsidP="00950BA5">
            <w:pPr>
              <w:ind w:left="360"/>
              <w:rPr>
                <w:sz w:val="18"/>
                <w:szCs w:val="18"/>
                <w:lang w:val="sv-SE"/>
              </w:rPr>
            </w:pPr>
            <w:r w:rsidRPr="008B7F0A">
              <w:rPr>
                <w:rFonts w:ascii="Arial" w:hAnsi="Arial" w:cs="Arial"/>
                <w:color w:val="000000"/>
                <w:sz w:val="18"/>
                <w:szCs w:val="18"/>
              </w:rPr>
              <w:t>5</w:t>
            </w:r>
          </w:p>
        </w:tc>
      </w:tr>
      <w:tr w:rsidR="00950BA5" w:rsidRPr="008B7F0A" w14:paraId="5200D2C5" w14:textId="77777777" w:rsidTr="003A5BF9">
        <w:trPr>
          <w:trHeight w:val="651"/>
        </w:trPr>
        <w:tc>
          <w:tcPr>
            <w:tcW w:w="2266" w:type="dxa"/>
            <w:vMerge/>
          </w:tcPr>
          <w:p w14:paraId="73C121C6" w14:textId="77777777" w:rsidR="00950BA5" w:rsidRPr="008B7F0A" w:rsidRDefault="00950BA5" w:rsidP="00950BA5">
            <w:pPr>
              <w:rPr>
                <w:b/>
                <w:sz w:val="18"/>
                <w:szCs w:val="18"/>
                <w:lang w:val="sv-SE"/>
              </w:rPr>
            </w:pPr>
          </w:p>
        </w:tc>
        <w:tc>
          <w:tcPr>
            <w:tcW w:w="3098" w:type="dxa"/>
            <w:vAlign w:val="center"/>
          </w:tcPr>
          <w:p w14:paraId="53399C9E" w14:textId="7A52AD91"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 xml:space="preserve">2. Brecha salarial por (rango de edad ) y sexo a nivel urbano y rural </w:t>
            </w:r>
          </w:p>
        </w:tc>
        <w:tc>
          <w:tcPr>
            <w:tcW w:w="2677" w:type="dxa"/>
            <w:vAlign w:val="bottom"/>
          </w:tcPr>
          <w:p w14:paraId="643A449E" w14:textId="77777777"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 xml:space="preserve">A 2014 los hombres perciben en promedio 46% más que el ingreso de las mujeres.  </w:t>
            </w:r>
          </w:p>
        </w:tc>
        <w:tc>
          <w:tcPr>
            <w:tcW w:w="1661" w:type="dxa"/>
            <w:vAlign w:val="bottom"/>
          </w:tcPr>
          <w:p w14:paraId="2A675ED4" w14:textId="77777777"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A 2021 los hombres perciben en promedio menos del 30% que el ingreso de las mujeres</w:t>
            </w:r>
          </w:p>
        </w:tc>
        <w:tc>
          <w:tcPr>
            <w:tcW w:w="1906" w:type="dxa"/>
            <w:vAlign w:val="bottom"/>
          </w:tcPr>
          <w:p w14:paraId="5AADC767" w14:textId="77777777"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UDAPE en base a encuestas de hogares</w:t>
            </w:r>
          </w:p>
        </w:tc>
        <w:tc>
          <w:tcPr>
            <w:tcW w:w="1981" w:type="dxa"/>
            <w:vAlign w:val="center"/>
          </w:tcPr>
          <w:p w14:paraId="57C792D5" w14:textId="77777777" w:rsidR="00950BA5" w:rsidRPr="008B7F0A" w:rsidRDefault="00950BA5" w:rsidP="00950BA5">
            <w:pPr>
              <w:pStyle w:val="ListParagraph"/>
              <w:rPr>
                <w:sz w:val="18"/>
                <w:szCs w:val="18"/>
                <w:lang w:val="sv-SE"/>
              </w:rPr>
            </w:pPr>
            <w:r w:rsidRPr="008B7F0A">
              <w:rPr>
                <w:rFonts w:ascii="Arial" w:hAnsi="Arial" w:cs="Arial"/>
                <w:color w:val="000000"/>
                <w:sz w:val="18"/>
                <w:szCs w:val="18"/>
              </w:rPr>
              <w:t>Pilar 1</w:t>
            </w:r>
          </w:p>
        </w:tc>
        <w:tc>
          <w:tcPr>
            <w:tcW w:w="1437" w:type="dxa"/>
            <w:vAlign w:val="center"/>
          </w:tcPr>
          <w:p w14:paraId="1E58DC1C" w14:textId="77777777" w:rsidR="00950BA5" w:rsidRPr="008B7F0A" w:rsidRDefault="00950BA5" w:rsidP="00950BA5">
            <w:pPr>
              <w:pStyle w:val="ListParagraph"/>
              <w:rPr>
                <w:sz w:val="18"/>
                <w:szCs w:val="18"/>
                <w:lang w:val="sv-SE"/>
              </w:rPr>
            </w:pPr>
            <w:r w:rsidRPr="008B7F0A">
              <w:rPr>
                <w:rFonts w:ascii="Arial" w:hAnsi="Arial" w:cs="Arial"/>
                <w:color w:val="000000"/>
                <w:sz w:val="18"/>
                <w:szCs w:val="18"/>
              </w:rPr>
              <w:t>5</w:t>
            </w:r>
          </w:p>
        </w:tc>
      </w:tr>
      <w:tr w:rsidR="00950BA5" w:rsidRPr="008B7F0A" w14:paraId="223AFC29" w14:textId="77777777" w:rsidTr="001A3FA6">
        <w:trPr>
          <w:trHeight w:val="651"/>
        </w:trPr>
        <w:tc>
          <w:tcPr>
            <w:tcW w:w="2266" w:type="dxa"/>
            <w:vMerge/>
          </w:tcPr>
          <w:p w14:paraId="04A2BD0A" w14:textId="77777777" w:rsidR="00950BA5" w:rsidRPr="008B7F0A" w:rsidRDefault="00950BA5" w:rsidP="00950BA5">
            <w:pPr>
              <w:rPr>
                <w:b/>
                <w:sz w:val="18"/>
                <w:szCs w:val="18"/>
                <w:lang w:val="sv-SE"/>
              </w:rPr>
            </w:pPr>
          </w:p>
        </w:tc>
        <w:tc>
          <w:tcPr>
            <w:tcW w:w="3098" w:type="dxa"/>
            <w:vAlign w:val="center"/>
          </w:tcPr>
          <w:p w14:paraId="723AEA91" w14:textId="3DC718F6"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3.</w:t>
            </w:r>
            <w:r w:rsidRPr="008B7F0A">
              <w:rPr>
                <w:color w:val="000000"/>
                <w:sz w:val="18"/>
                <w:szCs w:val="18"/>
              </w:rPr>
              <w:t xml:space="preserve">       </w:t>
            </w:r>
            <w:r w:rsidRPr="008B7F0A">
              <w:rPr>
                <w:rFonts w:ascii="Calibri" w:hAnsi="Calibri" w:cs="Calibri"/>
                <w:color w:val="000000"/>
                <w:sz w:val="18"/>
                <w:szCs w:val="18"/>
              </w:rPr>
              <w:t xml:space="preserve">Porcentaje de mujeres en puestos de representación a nivel nacional, departamental y municipal, en </w:t>
            </w:r>
            <w:proofErr w:type="spellStart"/>
            <w:r w:rsidRPr="008B7F0A">
              <w:rPr>
                <w:rFonts w:ascii="Calibri" w:hAnsi="Calibri" w:cs="Calibri"/>
                <w:color w:val="000000"/>
                <w:sz w:val="18"/>
                <w:szCs w:val="18"/>
              </w:rPr>
              <w:t>ETAs</w:t>
            </w:r>
            <w:proofErr w:type="spellEnd"/>
            <w:r w:rsidRPr="008B7F0A">
              <w:rPr>
                <w:rFonts w:ascii="Calibri" w:hAnsi="Calibri" w:cs="Calibri"/>
                <w:color w:val="000000"/>
                <w:sz w:val="18"/>
                <w:szCs w:val="18"/>
              </w:rPr>
              <w:t xml:space="preserve">, en el ejecutivo, legislativo y judicial + (policía); academia (rectoras universidades); organizaciones políticas; y directivas de la administración pública y empresas  </w:t>
            </w:r>
          </w:p>
        </w:tc>
        <w:tc>
          <w:tcPr>
            <w:tcW w:w="2677" w:type="dxa"/>
            <w:vAlign w:val="center"/>
          </w:tcPr>
          <w:p w14:paraId="5945B6E2" w14:textId="77777777"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Legislativo Nacional (2014): 51%;  (2015</w:t>
            </w:r>
            <w:proofErr w:type="gramStart"/>
            <w:r w:rsidRPr="008B7F0A">
              <w:rPr>
                <w:rFonts w:ascii="Calibri" w:hAnsi="Calibri" w:cs="Calibri"/>
                <w:color w:val="000000"/>
                <w:sz w:val="18"/>
                <w:szCs w:val="18"/>
              </w:rPr>
              <w:t>)Legislativo</w:t>
            </w:r>
            <w:proofErr w:type="gramEnd"/>
            <w:r w:rsidRPr="008B7F0A">
              <w:rPr>
                <w:rFonts w:ascii="Calibri" w:hAnsi="Calibri" w:cs="Calibri"/>
                <w:color w:val="000000"/>
                <w:sz w:val="18"/>
                <w:szCs w:val="18"/>
              </w:rPr>
              <w:t xml:space="preserve"> departamental: 46%; (2015)Legislativo municipal:50%.  (2017) Ejecutivo nacional: 20%;  (2015) ejecutivo departamental: 0%, (2015</w:t>
            </w:r>
            <w:proofErr w:type="gramStart"/>
            <w:r w:rsidRPr="008B7F0A">
              <w:rPr>
                <w:rFonts w:ascii="Calibri" w:hAnsi="Calibri" w:cs="Calibri"/>
                <w:color w:val="000000"/>
                <w:sz w:val="18"/>
                <w:szCs w:val="18"/>
              </w:rPr>
              <w:t>)Ejecutivo</w:t>
            </w:r>
            <w:proofErr w:type="gramEnd"/>
            <w:r w:rsidRPr="008B7F0A">
              <w:rPr>
                <w:rFonts w:ascii="Calibri" w:hAnsi="Calibri" w:cs="Calibri"/>
                <w:color w:val="000000"/>
                <w:sz w:val="18"/>
                <w:szCs w:val="18"/>
              </w:rPr>
              <w:t xml:space="preserve"> Municipal: 8%.  (2011) Órgano Judicial: 43%. (2016) Subcomandante general y Jefa del Estado </w:t>
            </w:r>
            <w:proofErr w:type="gramStart"/>
            <w:r w:rsidRPr="008B7F0A">
              <w:rPr>
                <w:rFonts w:ascii="Calibri" w:hAnsi="Calibri" w:cs="Calibri"/>
                <w:color w:val="000000"/>
                <w:sz w:val="18"/>
                <w:szCs w:val="18"/>
              </w:rPr>
              <w:t>Mayor .</w:t>
            </w:r>
            <w:proofErr w:type="gramEnd"/>
            <w:r w:rsidRPr="008B7F0A">
              <w:rPr>
                <w:rFonts w:ascii="Calibri" w:hAnsi="Calibri" w:cs="Calibri"/>
                <w:color w:val="000000"/>
                <w:sz w:val="18"/>
                <w:szCs w:val="18"/>
              </w:rPr>
              <w:t xml:space="preserve">  Alto Mando Policial</w:t>
            </w:r>
            <w:proofErr w:type="gramStart"/>
            <w:r w:rsidRPr="008B7F0A">
              <w:rPr>
                <w:rFonts w:ascii="Calibri" w:hAnsi="Calibri" w:cs="Calibri"/>
                <w:color w:val="000000"/>
                <w:sz w:val="18"/>
                <w:szCs w:val="18"/>
              </w:rPr>
              <w:t>:0</w:t>
            </w:r>
            <w:proofErr w:type="gramEnd"/>
            <w:r w:rsidRPr="008B7F0A">
              <w:rPr>
                <w:rFonts w:ascii="Calibri" w:hAnsi="Calibri" w:cs="Calibri"/>
                <w:color w:val="000000"/>
                <w:sz w:val="18"/>
                <w:szCs w:val="18"/>
              </w:rPr>
              <w:t xml:space="preserve">.  </w:t>
            </w:r>
            <w:proofErr w:type="gramStart"/>
            <w:r w:rsidRPr="008B7F0A">
              <w:rPr>
                <w:rFonts w:ascii="Calibri" w:hAnsi="Calibri" w:cs="Calibri"/>
                <w:color w:val="000000"/>
                <w:sz w:val="18"/>
                <w:szCs w:val="18"/>
              </w:rPr>
              <w:t>( 2016</w:t>
            </w:r>
            <w:proofErr w:type="gramEnd"/>
            <w:r w:rsidRPr="008B7F0A">
              <w:rPr>
                <w:rFonts w:ascii="Calibri" w:hAnsi="Calibri" w:cs="Calibri"/>
                <w:color w:val="000000"/>
                <w:sz w:val="18"/>
                <w:szCs w:val="18"/>
              </w:rPr>
              <w:t xml:space="preserve">) Universidades Puestos directivos: 37.95; </w:t>
            </w:r>
            <w:r w:rsidRPr="008B7F0A">
              <w:rPr>
                <w:rFonts w:ascii="Calibri" w:hAnsi="Calibri" w:cs="Calibri"/>
                <w:color w:val="000000"/>
                <w:sz w:val="18"/>
                <w:szCs w:val="18"/>
              </w:rPr>
              <w:br/>
              <w:t>Docentes: 28.36.      Directivas de la administración Pública y empresas</w:t>
            </w:r>
          </w:p>
        </w:tc>
        <w:tc>
          <w:tcPr>
            <w:tcW w:w="1661" w:type="dxa"/>
            <w:vAlign w:val="center"/>
          </w:tcPr>
          <w:p w14:paraId="6285DFD4" w14:textId="77777777"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Paridad o metas intermedias</w:t>
            </w:r>
            <w:proofErr w:type="gramStart"/>
            <w:r w:rsidRPr="008B7F0A">
              <w:rPr>
                <w:rFonts w:ascii="Calibri" w:hAnsi="Calibri" w:cs="Calibri"/>
                <w:color w:val="000000"/>
                <w:sz w:val="18"/>
                <w:szCs w:val="18"/>
              </w:rPr>
              <w:t>?</w:t>
            </w:r>
            <w:proofErr w:type="gramEnd"/>
          </w:p>
        </w:tc>
        <w:tc>
          <w:tcPr>
            <w:tcW w:w="1906" w:type="dxa"/>
            <w:vAlign w:val="center"/>
          </w:tcPr>
          <w:p w14:paraId="44E8BF27" w14:textId="77777777"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TSE</w:t>
            </w:r>
            <w:r w:rsidRPr="008B7F0A">
              <w:rPr>
                <w:rFonts w:ascii="Calibri" w:hAnsi="Calibri" w:cs="Calibri"/>
                <w:color w:val="000000"/>
                <w:sz w:val="18"/>
                <w:szCs w:val="18"/>
              </w:rPr>
              <w:br/>
              <w:t>Ministerio de la Presidencia</w:t>
            </w:r>
            <w:r w:rsidRPr="008B7F0A">
              <w:rPr>
                <w:rFonts w:ascii="Calibri" w:hAnsi="Calibri" w:cs="Calibri"/>
                <w:color w:val="000000"/>
                <w:sz w:val="18"/>
                <w:szCs w:val="18"/>
              </w:rPr>
              <w:br/>
              <w:t>Policía Boliviana</w:t>
            </w:r>
            <w:r w:rsidRPr="008B7F0A">
              <w:rPr>
                <w:rFonts w:ascii="Calibri" w:hAnsi="Calibri" w:cs="Calibri"/>
                <w:color w:val="000000"/>
                <w:sz w:val="18"/>
                <w:szCs w:val="18"/>
              </w:rPr>
              <w:br/>
              <w:t>Observatorio de género de la Universidad</w:t>
            </w:r>
          </w:p>
        </w:tc>
        <w:tc>
          <w:tcPr>
            <w:tcW w:w="1981" w:type="dxa"/>
            <w:vAlign w:val="center"/>
          </w:tcPr>
          <w:p w14:paraId="2FFA0DAA" w14:textId="77777777" w:rsidR="00950BA5" w:rsidRPr="008B7F0A" w:rsidRDefault="00950BA5" w:rsidP="00950BA5">
            <w:pPr>
              <w:pStyle w:val="ListParagraph"/>
              <w:jc w:val="center"/>
              <w:rPr>
                <w:rFonts w:ascii="Calibri" w:hAnsi="Calibri"/>
                <w:color w:val="000000"/>
                <w:sz w:val="18"/>
                <w:szCs w:val="18"/>
              </w:rPr>
            </w:pPr>
            <w:r w:rsidRPr="008B7F0A">
              <w:rPr>
                <w:rFonts w:ascii="Arial" w:hAnsi="Arial" w:cs="Arial"/>
                <w:color w:val="000000"/>
                <w:sz w:val="18"/>
                <w:szCs w:val="18"/>
              </w:rPr>
              <w:t>Pilar 1</w:t>
            </w:r>
          </w:p>
        </w:tc>
        <w:tc>
          <w:tcPr>
            <w:tcW w:w="1437" w:type="dxa"/>
            <w:vAlign w:val="center"/>
          </w:tcPr>
          <w:p w14:paraId="26EB0C13" w14:textId="77777777" w:rsidR="00950BA5" w:rsidRPr="008B7F0A" w:rsidRDefault="00950BA5" w:rsidP="00950BA5">
            <w:pPr>
              <w:pStyle w:val="ListParagraph"/>
              <w:jc w:val="center"/>
              <w:rPr>
                <w:rFonts w:ascii="Calibri" w:hAnsi="Calibri"/>
                <w:color w:val="000000"/>
                <w:sz w:val="18"/>
                <w:szCs w:val="18"/>
              </w:rPr>
            </w:pPr>
            <w:r w:rsidRPr="008B7F0A">
              <w:rPr>
                <w:rFonts w:ascii="Arial" w:hAnsi="Arial" w:cs="Arial"/>
                <w:color w:val="000000"/>
                <w:sz w:val="18"/>
                <w:szCs w:val="18"/>
              </w:rPr>
              <w:t>5</w:t>
            </w:r>
          </w:p>
        </w:tc>
      </w:tr>
      <w:tr w:rsidR="00950BA5" w:rsidRPr="008B7F0A" w14:paraId="280A6F38" w14:textId="77777777" w:rsidTr="00950BA5">
        <w:trPr>
          <w:trHeight w:val="651"/>
        </w:trPr>
        <w:tc>
          <w:tcPr>
            <w:tcW w:w="2266" w:type="dxa"/>
            <w:vMerge/>
          </w:tcPr>
          <w:p w14:paraId="4BE880C5" w14:textId="77777777" w:rsidR="00950BA5" w:rsidRPr="008B7F0A" w:rsidRDefault="00950BA5" w:rsidP="00950BA5">
            <w:pPr>
              <w:rPr>
                <w:b/>
                <w:sz w:val="18"/>
                <w:szCs w:val="18"/>
                <w:lang w:val="sv-SE"/>
              </w:rPr>
            </w:pPr>
          </w:p>
        </w:tc>
        <w:tc>
          <w:tcPr>
            <w:tcW w:w="3098" w:type="dxa"/>
            <w:vAlign w:val="center"/>
          </w:tcPr>
          <w:p w14:paraId="31A0D12C" w14:textId="16D318E3" w:rsidR="00950BA5" w:rsidRPr="008B7F0A" w:rsidRDefault="00950BA5" w:rsidP="00950BA5">
            <w:pPr>
              <w:rPr>
                <w:rFonts w:ascii="Calibri" w:hAnsi="Calibri" w:cs="Calibri"/>
                <w:color w:val="000000"/>
                <w:sz w:val="18"/>
                <w:szCs w:val="18"/>
              </w:rPr>
            </w:pPr>
            <w:r w:rsidRPr="008B7F0A">
              <w:rPr>
                <w:rFonts w:ascii="Calibri" w:hAnsi="Calibri" w:cs="Calibri"/>
                <w:b/>
                <w:bCs/>
                <w:color w:val="000000"/>
                <w:sz w:val="18"/>
                <w:szCs w:val="18"/>
              </w:rPr>
              <w:t>Nº 4:</w:t>
            </w:r>
            <w:r w:rsidRPr="008B7F0A">
              <w:rPr>
                <w:rFonts w:ascii="Calibri" w:hAnsi="Calibri" w:cs="Calibri"/>
                <w:color w:val="000000"/>
                <w:sz w:val="18"/>
                <w:szCs w:val="18"/>
              </w:rPr>
              <w:br/>
              <w:t xml:space="preserve"> Proporción de mujeres mayores de 15 años que han sido víctimas de violencia </w:t>
            </w:r>
            <w:r w:rsidR="008B7F0A">
              <w:rPr>
                <w:rFonts w:ascii="Calibri" w:hAnsi="Calibri" w:cs="Calibri"/>
                <w:color w:val="000000"/>
                <w:sz w:val="18"/>
                <w:szCs w:val="18"/>
              </w:rPr>
              <w:t xml:space="preserve">física, sexual y/o psicológica </w:t>
            </w:r>
            <w:r w:rsidRPr="008B7F0A">
              <w:rPr>
                <w:rFonts w:ascii="Calibri" w:hAnsi="Calibri" w:cs="Calibri"/>
                <w:color w:val="000000"/>
                <w:sz w:val="18"/>
                <w:szCs w:val="18"/>
              </w:rPr>
              <w:t xml:space="preserve">en los últimos 12 meses, por tipo de violencia  </w:t>
            </w:r>
          </w:p>
        </w:tc>
        <w:tc>
          <w:tcPr>
            <w:tcW w:w="2677" w:type="dxa"/>
            <w:vAlign w:val="center"/>
          </w:tcPr>
          <w:p w14:paraId="01854307" w14:textId="1E450006" w:rsidR="00950BA5" w:rsidRPr="008B7F0A" w:rsidRDefault="00B50649" w:rsidP="00950BA5">
            <w:pPr>
              <w:rPr>
                <w:rFonts w:ascii="Calibri" w:hAnsi="Calibri" w:cs="Calibri"/>
                <w:color w:val="000000"/>
                <w:sz w:val="18"/>
                <w:szCs w:val="18"/>
              </w:rPr>
            </w:pPr>
            <w:r w:rsidRPr="008B7F0A">
              <w:rPr>
                <w:rFonts w:ascii="Calibri" w:hAnsi="Calibri" w:cs="Calibri"/>
                <w:color w:val="000000"/>
                <w:sz w:val="18"/>
                <w:szCs w:val="18"/>
              </w:rPr>
              <w:t>Línea</w:t>
            </w:r>
            <w:r w:rsidR="00950BA5" w:rsidRPr="008B7F0A">
              <w:rPr>
                <w:rFonts w:ascii="Calibri" w:hAnsi="Calibri" w:cs="Calibri"/>
                <w:color w:val="000000"/>
                <w:sz w:val="18"/>
                <w:szCs w:val="18"/>
              </w:rPr>
              <w:t xml:space="preserve"> de base: Encuesta sobre Violenci</w:t>
            </w:r>
            <w:r w:rsidR="008B7F0A">
              <w:rPr>
                <w:rFonts w:ascii="Calibri" w:hAnsi="Calibri" w:cs="Calibri"/>
                <w:color w:val="000000"/>
                <w:sz w:val="18"/>
                <w:szCs w:val="18"/>
              </w:rPr>
              <w:t>a</w:t>
            </w:r>
          </w:p>
        </w:tc>
        <w:tc>
          <w:tcPr>
            <w:tcW w:w="1661" w:type="dxa"/>
            <w:vAlign w:val="center"/>
          </w:tcPr>
          <w:p w14:paraId="7069264D" w14:textId="5844B242"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UNICEF</w:t>
            </w:r>
          </w:p>
        </w:tc>
        <w:tc>
          <w:tcPr>
            <w:tcW w:w="1906" w:type="dxa"/>
            <w:vAlign w:val="center"/>
          </w:tcPr>
          <w:p w14:paraId="0CEF521C" w14:textId="5E777633" w:rsidR="00950BA5" w:rsidRPr="008B7F0A" w:rsidRDefault="00950BA5" w:rsidP="00950BA5">
            <w:pPr>
              <w:rPr>
                <w:rFonts w:ascii="Calibri" w:hAnsi="Calibri" w:cs="Calibri"/>
                <w:color w:val="000000"/>
                <w:sz w:val="18"/>
                <w:szCs w:val="18"/>
              </w:rPr>
            </w:pPr>
            <w:r w:rsidRPr="008B7F0A">
              <w:rPr>
                <w:rFonts w:ascii="Calibri" w:hAnsi="Calibri" w:cs="Calibri"/>
                <w:color w:val="000000"/>
                <w:sz w:val="18"/>
                <w:szCs w:val="18"/>
              </w:rPr>
              <w:t>INE+VIO, Encuesta sobre Violencia/ 5 años</w:t>
            </w:r>
          </w:p>
        </w:tc>
        <w:tc>
          <w:tcPr>
            <w:tcW w:w="1981" w:type="dxa"/>
            <w:vAlign w:val="center"/>
          </w:tcPr>
          <w:p w14:paraId="542DBE08" w14:textId="77777777" w:rsidR="00950BA5" w:rsidRPr="008B7F0A" w:rsidRDefault="00950BA5" w:rsidP="00950BA5">
            <w:pPr>
              <w:pStyle w:val="ListParagraph"/>
              <w:jc w:val="center"/>
              <w:rPr>
                <w:sz w:val="18"/>
                <w:szCs w:val="18"/>
                <w:lang w:val="sv-SE"/>
              </w:rPr>
            </w:pPr>
            <w:r w:rsidRPr="008B7F0A">
              <w:rPr>
                <w:rFonts w:ascii="Arial" w:hAnsi="Arial" w:cs="Arial"/>
                <w:color w:val="000000"/>
                <w:sz w:val="18"/>
                <w:szCs w:val="18"/>
              </w:rPr>
              <w:t>Pilar 1</w:t>
            </w:r>
          </w:p>
        </w:tc>
        <w:tc>
          <w:tcPr>
            <w:tcW w:w="1437" w:type="dxa"/>
            <w:vAlign w:val="center"/>
          </w:tcPr>
          <w:p w14:paraId="79E02C25" w14:textId="77777777" w:rsidR="00950BA5" w:rsidRPr="008B7F0A" w:rsidRDefault="00950BA5" w:rsidP="00950BA5">
            <w:pPr>
              <w:pStyle w:val="ListParagraph"/>
              <w:jc w:val="center"/>
              <w:rPr>
                <w:sz w:val="18"/>
                <w:szCs w:val="18"/>
                <w:lang w:val="sv-SE"/>
              </w:rPr>
            </w:pPr>
            <w:r w:rsidRPr="008B7F0A">
              <w:rPr>
                <w:rFonts w:ascii="Arial" w:hAnsi="Arial" w:cs="Arial"/>
                <w:color w:val="000000"/>
                <w:sz w:val="18"/>
                <w:szCs w:val="18"/>
              </w:rPr>
              <w:t>5</w:t>
            </w:r>
          </w:p>
        </w:tc>
      </w:tr>
      <w:tr w:rsidR="00950BA5" w:rsidRPr="008B7F0A" w14:paraId="673D5606" w14:textId="77777777" w:rsidTr="00262346">
        <w:trPr>
          <w:trHeight w:val="651"/>
        </w:trPr>
        <w:tc>
          <w:tcPr>
            <w:tcW w:w="2266" w:type="dxa"/>
            <w:vMerge/>
          </w:tcPr>
          <w:p w14:paraId="335980D9" w14:textId="77777777" w:rsidR="00950BA5" w:rsidRPr="008B7F0A" w:rsidRDefault="00950BA5" w:rsidP="00950BA5">
            <w:pPr>
              <w:rPr>
                <w:b/>
                <w:sz w:val="18"/>
                <w:szCs w:val="18"/>
                <w:lang w:val="sv-SE"/>
              </w:rPr>
            </w:pPr>
          </w:p>
        </w:tc>
        <w:tc>
          <w:tcPr>
            <w:tcW w:w="3098" w:type="dxa"/>
            <w:vAlign w:val="bottom"/>
          </w:tcPr>
          <w:p w14:paraId="0BB0E5F1" w14:textId="02F6A4BD" w:rsidR="00950BA5" w:rsidRPr="008B7F0A" w:rsidRDefault="00950BA5" w:rsidP="00950BA5">
            <w:pPr>
              <w:rPr>
                <w:rFonts w:ascii="Calibri" w:hAnsi="Calibri" w:cs="Calibri"/>
                <w:color w:val="000000"/>
                <w:sz w:val="18"/>
                <w:szCs w:val="18"/>
              </w:rPr>
            </w:pPr>
            <w:r w:rsidRPr="008B7F0A">
              <w:rPr>
                <w:rFonts w:ascii="Calibri" w:hAnsi="Calibri" w:cs="Calibri"/>
                <w:b/>
                <w:bCs/>
                <w:color w:val="000000"/>
                <w:sz w:val="18"/>
                <w:szCs w:val="18"/>
              </w:rPr>
              <w:t>Nº5</w:t>
            </w:r>
            <w:r w:rsidRPr="008B7F0A">
              <w:rPr>
                <w:rFonts w:ascii="Calibri" w:hAnsi="Calibri" w:cs="Calibri"/>
                <w:color w:val="000000"/>
                <w:sz w:val="18"/>
                <w:szCs w:val="18"/>
              </w:rPr>
              <w:t xml:space="preserve">: </w:t>
            </w:r>
            <w:r w:rsidRPr="008B7F0A">
              <w:rPr>
                <w:rFonts w:ascii="Calibri" w:hAnsi="Calibri" w:cs="Calibri"/>
                <w:color w:val="000000"/>
                <w:sz w:val="18"/>
                <w:szCs w:val="18"/>
              </w:rPr>
              <w:br/>
              <w:t xml:space="preserve">Porcentaje de la Inversión en políticas de igualdad de género como porcentaje de inversión total del gobierno a nivel nacional y </w:t>
            </w:r>
            <w:proofErr w:type="spellStart"/>
            <w:r w:rsidRPr="008B7F0A">
              <w:rPr>
                <w:rFonts w:ascii="Calibri" w:hAnsi="Calibri" w:cs="Calibri"/>
                <w:color w:val="000000"/>
                <w:sz w:val="18"/>
                <w:szCs w:val="18"/>
              </w:rPr>
              <w:t>ETAs</w:t>
            </w:r>
            <w:proofErr w:type="spellEnd"/>
            <w:r w:rsidRPr="008B7F0A">
              <w:rPr>
                <w:rFonts w:ascii="Calibri" w:hAnsi="Calibri" w:cs="Calibri"/>
                <w:color w:val="000000"/>
                <w:sz w:val="18"/>
                <w:szCs w:val="18"/>
              </w:rPr>
              <w:t xml:space="preserve">. </w:t>
            </w:r>
            <w:r w:rsidRPr="008B7F0A">
              <w:rPr>
                <w:rFonts w:ascii="Calibri" w:hAnsi="Calibri" w:cs="Calibri"/>
                <w:color w:val="000000"/>
                <w:sz w:val="18"/>
                <w:szCs w:val="18"/>
              </w:rPr>
              <w:br/>
              <w:t xml:space="preserve">Desagregado por inversión en: </w:t>
            </w:r>
            <w:r w:rsidRPr="008B7F0A">
              <w:rPr>
                <w:rFonts w:ascii="Calibri" w:hAnsi="Calibri" w:cs="Calibri"/>
                <w:color w:val="000000"/>
                <w:sz w:val="18"/>
                <w:szCs w:val="18"/>
              </w:rPr>
              <w:br/>
            </w:r>
            <w:r w:rsidRPr="008B7F0A">
              <w:rPr>
                <w:rFonts w:ascii="Calibri" w:hAnsi="Calibri" w:cs="Calibri"/>
                <w:color w:val="000000"/>
                <w:sz w:val="18"/>
                <w:szCs w:val="18"/>
              </w:rPr>
              <w:lastRenderedPageBreak/>
              <w:t xml:space="preserve">a. lucha contra la violencia de género y   generacional; </w:t>
            </w:r>
            <w:r w:rsidRPr="008B7F0A">
              <w:rPr>
                <w:rFonts w:ascii="Calibri" w:hAnsi="Calibri" w:cs="Calibri"/>
                <w:color w:val="000000"/>
                <w:sz w:val="18"/>
                <w:szCs w:val="18"/>
              </w:rPr>
              <w:br/>
              <w:t xml:space="preserve">b. reproducción de la vida; </w:t>
            </w:r>
            <w:r w:rsidRPr="008B7F0A">
              <w:rPr>
                <w:rFonts w:ascii="Calibri" w:hAnsi="Calibri" w:cs="Calibri"/>
                <w:color w:val="000000"/>
                <w:sz w:val="18"/>
                <w:szCs w:val="18"/>
              </w:rPr>
              <w:br/>
              <w:t xml:space="preserve">c. acciones afirmativas; </w:t>
            </w:r>
            <w:r w:rsidRPr="008B7F0A">
              <w:rPr>
                <w:rFonts w:ascii="Calibri" w:hAnsi="Calibri" w:cs="Calibri"/>
                <w:color w:val="000000"/>
                <w:sz w:val="18"/>
                <w:szCs w:val="18"/>
              </w:rPr>
              <w:br/>
              <w:t xml:space="preserve">y d. lucha contra los </w:t>
            </w:r>
            <w:r w:rsidR="00B50649" w:rsidRPr="008B7F0A">
              <w:rPr>
                <w:rFonts w:ascii="Calibri" w:hAnsi="Calibri" w:cs="Calibri"/>
                <w:color w:val="000000"/>
                <w:sz w:val="18"/>
                <w:szCs w:val="18"/>
              </w:rPr>
              <w:t>estereotipos</w:t>
            </w:r>
            <w:r w:rsidRPr="008B7F0A">
              <w:rPr>
                <w:rFonts w:ascii="Calibri" w:hAnsi="Calibri" w:cs="Calibri"/>
                <w:color w:val="000000"/>
                <w:sz w:val="18"/>
                <w:szCs w:val="18"/>
              </w:rPr>
              <w:t xml:space="preserve"> de género   </w:t>
            </w:r>
          </w:p>
        </w:tc>
        <w:tc>
          <w:tcPr>
            <w:tcW w:w="2677" w:type="dxa"/>
            <w:vAlign w:val="center"/>
          </w:tcPr>
          <w:p w14:paraId="1C72119D" w14:textId="5D2E7EC6"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lastRenderedPageBreak/>
              <w:t>LB: 1,91</w:t>
            </w:r>
          </w:p>
        </w:tc>
        <w:tc>
          <w:tcPr>
            <w:tcW w:w="1661" w:type="dxa"/>
            <w:vAlign w:val="center"/>
          </w:tcPr>
          <w:p w14:paraId="5F1A7D50" w14:textId="77777777"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UNFPA / UNODC</w:t>
            </w:r>
          </w:p>
        </w:tc>
        <w:tc>
          <w:tcPr>
            <w:tcW w:w="1906" w:type="dxa"/>
            <w:vAlign w:val="center"/>
          </w:tcPr>
          <w:p w14:paraId="54D94626" w14:textId="77777777"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 xml:space="preserve">Ministerio de economía/ anual </w:t>
            </w:r>
          </w:p>
          <w:p w14:paraId="164658A1" w14:textId="77777777" w:rsidR="00950BA5" w:rsidRPr="008B7F0A" w:rsidRDefault="00950BA5" w:rsidP="00950BA5">
            <w:pPr>
              <w:jc w:val="center"/>
              <w:rPr>
                <w:rFonts w:ascii="Calibri" w:hAnsi="Calibri" w:cs="Calibri"/>
                <w:color w:val="000000"/>
                <w:sz w:val="18"/>
                <w:szCs w:val="18"/>
              </w:rPr>
            </w:pPr>
          </w:p>
        </w:tc>
        <w:tc>
          <w:tcPr>
            <w:tcW w:w="1981" w:type="dxa"/>
            <w:vAlign w:val="center"/>
          </w:tcPr>
          <w:p w14:paraId="23C2E7EA" w14:textId="77777777" w:rsidR="00950BA5" w:rsidRPr="008B7F0A" w:rsidRDefault="00950BA5" w:rsidP="00950BA5">
            <w:pPr>
              <w:pStyle w:val="ListParagraph"/>
              <w:jc w:val="center"/>
              <w:rPr>
                <w:sz w:val="18"/>
                <w:szCs w:val="18"/>
                <w:lang w:val="sv-SE"/>
              </w:rPr>
            </w:pPr>
            <w:r w:rsidRPr="008B7F0A">
              <w:rPr>
                <w:rFonts w:ascii="Arial" w:hAnsi="Arial" w:cs="Arial"/>
                <w:color w:val="000000"/>
                <w:sz w:val="18"/>
                <w:szCs w:val="18"/>
              </w:rPr>
              <w:t>Pilar 1</w:t>
            </w:r>
          </w:p>
        </w:tc>
        <w:tc>
          <w:tcPr>
            <w:tcW w:w="1437" w:type="dxa"/>
            <w:vAlign w:val="center"/>
          </w:tcPr>
          <w:p w14:paraId="0747C42B" w14:textId="77777777" w:rsidR="00950BA5" w:rsidRPr="008B7F0A" w:rsidRDefault="00950BA5" w:rsidP="00950BA5">
            <w:pPr>
              <w:pStyle w:val="ListParagraph"/>
              <w:jc w:val="center"/>
              <w:rPr>
                <w:sz w:val="18"/>
                <w:szCs w:val="18"/>
                <w:lang w:val="sv-SE"/>
              </w:rPr>
            </w:pPr>
            <w:r w:rsidRPr="008B7F0A">
              <w:rPr>
                <w:rFonts w:ascii="Calibri" w:hAnsi="Calibri"/>
                <w:color w:val="000000"/>
                <w:sz w:val="18"/>
                <w:szCs w:val="18"/>
              </w:rPr>
              <w:t>5</w:t>
            </w:r>
          </w:p>
        </w:tc>
      </w:tr>
      <w:tr w:rsidR="00950BA5" w:rsidRPr="008B7F0A" w14:paraId="41B2C0DC" w14:textId="77777777" w:rsidTr="00262346">
        <w:trPr>
          <w:trHeight w:val="651"/>
        </w:trPr>
        <w:tc>
          <w:tcPr>
            <w:tcW w:w="2266" w:type="dxa"/>
          </w:tcPr>
          <w:p w14:paraId="3A88549E" w14:textId="77777777" w:rsidR="00950BA5" w:rsidRPr="008B7F0A" w:rsidRDefault="00950BA5" w:rsidP="00950BA5">
            <w:pPr>
              <w:rPr>
                <w:b/>
                <w:sz w:val="18"/>
                <w:szCs w:val="18"/>
                <w:lang w:val="sv-SE"/>
              </w:rPr>
            </w:pPr>
          </w:p>
        </w:tc>
        <w:tc>
          <w:tcPr>
            <w:tcW w:w="3098" w:type="dxa"/>
            <w:vAlign w:val="center"/>
          </w:tcPr>
          <w:p w14:paraId="1B22F3CA" w14:textId="0C1969A8" w:rsidR="00950BA5" w:rsidRPr="008B7F0A" w:rsidRDefault="00950BA5" w:rsidP="00950BA5">
            <w:pPr>
              <w:rPr>
                <w:rFonts w:ascii="Calibri" w:hAnsi="Calibri" w:cs="Calibri"/>
                <w:b/>
                <w:bCs/>
                <w:color w:val="000000"/>
                <w:sz w:val="18"/>
                <w:szCs w:val="18"/>
              </w:rPr>
            </w:pPr>
            <w:r w:rsidRPr="008B7F0A">
              <w:rPr>
                <w:rFonts w:ascii="Calibri" w:hAnsi="Calibri" w:cs="Calibri"/>
                <w:b/>
                <w:bCs/>
                <w:color w:val="000000"/>
                <w:sz w:val="18"/>
                <w:szCs w:val="18"/>
              </w:rPr>
              <w:t xml:space="preserve">Nº6: </w:t>
            </w:r>
            <w:r w:rsidRPr="008B7F0A">
              <w:rPr>
                <w:rFonts w:ascii="Calibri" w:hAnsi="Calibri" w:cs="Calibri"/>
                <w:color w:val="000000"/>
                <w:sz w:val="18"/>
                <w:szCs w:val="18"/>
              </w:rPr>
              <w:br/>
              <w:t>Porcentaje de inversión del PGE y presupuesto de los GAD y GAM en programas a favor de la niñez y adolescencia en el marco del CNNA</w:t>
            </w:r>
          </w:p>
        </w:tc>
        <w:tc>
          <w:tcPr>
            <w:tcW w:w="2677" w:type="dxa"/>
            <w:vAlign w:val="center"/>
          </w:tcPr>
          <w:p w14:paraId="26EF3D50" w14:textId="7BD9DA4C"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UNICEF</w:t>
            </w:r>
          </w:p>
        </w:tc>
        <w:tc>
          <w:tcPr>
            <w:tcW w:w="1661" w:type="dxa"/>
            <w:vAlign w:val="center"/>
          </w:tcPr>
          <w:p w14:paraId="430FF0FE" w14:textId="545D6DD1"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UNICEF</w:t>
            </w:r>
          </w:p>
        </w:tc>
        <w:tc>
          <w:tcPr>
            <w:tcW w:w="1906" w:type="dxa"/>
            <w:vAlign w:val="center"/>
          </w:tcPr>
          <w:p w14:paraId="141C3A30" w14:textId="1E7B9AC8" w:rsidR="00950BA5" w:rsidRPr="008B7F0A" w:rsidRDefault="00950BA5" w:rsidP="00950BA5">
            <w:pPr>
              <w:jc w:val="center"/>
              <w:rPr>
                <w:rFonts w:ascii="Calibri" w:hAnsi="Calibri" w:cs="Calibri"/>
                <w:color w:val="000000"/>
                <w:sz w:val="18"/>
                <w:szCs w:val="18"/>
              </w:rPr>
            </w:pPr>
            <w:r w:rsidRPr="008B7F0A">
              <w:rPr>
                <w:rFonts w:ascii="Calibri" w:hAnsi="Calibri" w:cs="Calibri"/>
                <w:color w:val="000000"/>
                <w:sz w:val="18"/>
                <w:szCs w:val="18"/>
              </w:rPr>
              <w:t xml:space="preserve">Datos oficiales: Ministerio de </w:t>
            </w:r>
            <w:r w:rsidR="00015B80" w:rsidRPr="008B7F0A">
              <w:rPr>
                <w:rFonts w:ascii="Calibri" w:hAnsi="Calibri" w:cs="Calibri"/>
                <w:color w:val="000000"/>
                <w:sz w:val="18"/>
                <w:szCs w:val="18"/>
              </w:rPr>
              <w:t>Economía</w:t>
            </w:r>
            <w:r w:rsidRPr="008B7F0A">
              <w:rPr>
                <w:rFonts w:ascii="Calibri" w:hAnsi="Calibri" w:cs="Calibri"/>
                <w:color w:val="000000"/>
                <w:sz w:val="18"/>
                <w:szCs w:val="18"/>
              </w:rPr>
              <w:t xml:space="preserve"> y </w:t>
            </w:r>
            <w:r w:rsidR="00015B80">
              <w:rPr>
                <w:rFonts w:ascii="Calibri" w:hAnsi="Calibri" w:cs="Calibri"/>
                <w:color w:val="000000"/>
                <w:sz w:val="18"/>
                <w:szCs w:val="18"/>
              </w:rPr>
              <w:t>F</w:t>
            </w:r>
            <w:r w:rsidR="00015B80" w:rsidRPr="008B7F0A">
              <w:rPr>
                <w:rFonts w:ascii="Calibri" w:hAnsi="Calibri" w:cs="Calibri"/>
                <w:color w:val="000000"/>
                <w:sz w:val="18"/>
                <w:szCs w:val="18"/>
              </w:rPr>
              <w:t>inanzas</w:t>
            </w:r>
            <w:r w:rsidRPr="008B7F0A">
              <w:rPr>
                <w:rFonts w:ascii="Calibri" w:hAnsi="Calibri" w:cs="Calibri"/>
                <w:color w:val="000000"/>
                <w:sz w:val="18"/>
                <w:szCs w:val="18"/>
              </w:rPr>
              <w:t>. Presupuestos municipales ejecutados 2016</w:t>
            </w:r>
          </w:p>
          <w:p w14:paraId="559D0C53" w14:textId="77777777" w:rsidR="00950BA5" w:rsidRPr="008B7F0A" w:rsidRDefault="00950BA5" w:rsidP="00950BA5">
            <w:pPr>
              <w:jc w:val="center"/>
              <w:rPr>
                <w:rFonts w:ascii="Calibri" w:hAnsi="Calibri" w:cs="Calibri"/>
                <w:color w:val="000000"/>
                <w:sz w:val="18"/>
                <w:szCs w:val="18"/>
              </w:rPr>
            </w:pPr>
          </w:p>
        </w:tc>
        <w:tc>
          <w:tcPr>
            <w:tcW w:w="1981" w:type="dxa"/>
            <w:vAlign w:val="center"/>
          </w:tcPr>
          <w:p w14:paraId="04EEB402" w14:textId="0127C5C9" w:rsidR="00950BA5" w:rsidRPr="008B7F0A" w:rsidRDefault="00950BA5" w:rsidP="00950BA5">
            <w:pPr>
              <w:pStyle w:val="ListParagraph"/>
              <w:jc w:val="center"/>
              <w:rPr>
                <w:rFonts w:ascii="Arial" w:hAnsi="Arial" w:cs="Arial"/>
                <w:color w:val="000000"/>
                <w:sz w:val="18"/>
                <w:szCs w:val="18"/>
              </w:rPr>
            </w:pPr>
            <w:r w:rsidRPr="008B7F0A">
              <w:rPr>
                <w:rFonts w:ascii="Arial" w:hAnsi="Arial" w:cs="Arial"/>
                <w:color w:val="000000"/>
                <w:sz w:val="18"/>
                <w:szCs w:val="18"/>
              </w:rPr>
              <w:t>Pilar 1</w:t>
            </w:r>
          </w:p>
        </w:tc>
        <w:tc>
          <w:tcPr>
            <w:tcW w:w="1437" w:type="dxa"/>
            <w:vAlign w:val="center"/>
          </w:tcPr>
          <w:p w14:paraId="547C5AC3" w14:textId="6DDB5748" w:rsidR="00950BA5" w:rsidRPr="008B7F0A" w:rsidRDefault="00950BA5" w:rsidP="00950BA5">
            <w:pPr>
              <w:pStyle w:val="ListParagraph"/>
              <w:jc w:val="center"/>
              <w:rPr>
                <w:rFonts w:ascii="Calibri" w:hAnsi="Calibri"/>
                <w:color w:val="000000"/>
                <w:sz w:val="18"/>
                <w:szCs w:val="18"/>
              </w:rPr>
            </w:pPr>
            <w:r w:rsidRPr="008B7F0A">
              <w:rPr>
                <w:rFonts w:ascii="Calibri" w:hAnsi="Calibri"/>
                <w:color w:val="000000"/>
                <w:sz w:val="18"/>
                <w:szCs w:val="18"/>
              </w:rPr>
              <w:t>5</w:t>
            </w:r>
          </w:p>
        </w:tc>
      </w:tr>
      <w:tr w:rsidR="00950BA5" w:rsidRPr="008B7F0A" w14:paraId="06BCE189" w14:textId="77777777" w:rsidTr="00262346">
        <w:trPr>
          <w:trHeight w:val="651"/>
        </w:trPr>
        <w:tc>
          <w:tcPr>
            <w:tcW w:w="2266" w:type="dxa"/>
          </w:tcPr>
          <w:p w14:paraId="648BF4D7" w14:textId="77777777" w:rsidR="00950BA5" w:rsidRPr="008B7F0A" w:rsidRDefault="00950BA5" w:rsidP="00950BA5">
            <w:pPr>
              <w:rPr>
                <w:b/>
                <w:sz w:val="18"/>
                <w:szCs w:val="18"/>
                <w:lang w:val="sv-SE"/>
              </w:rPr>
            </w:pPr>
          </w:p>
        </w:tc>
        <w:tc>
          <w:tcPr>
            <w:tcW w:w="3098" w:type="dxa"/>
            <w:vAlign w:val="center"/>
          </w:tcPr>
          <w:p w14:paraId="683CC7A0" w14:textId="45F6FAB8" w:rsidR="00950BA5" w:rsidRPr="008B7F0A" w:rsidRDefault="00950BA5" w:rsidP="00950BA5">
            <w:pPr>
              <w:rPr>
                <w:rFonts w:ascii="Calibri" w:hAnsi="Calibri" w:cs="Calibri"/>
                <w:b/>
                <w:bCs/>
                <w:color w:val="000000"/>
                <w:sz w:val="18"/>
                <w:szCs w:val="18"/>
              </w:rPr>
            </w:pPr>
            <w:r w:rsidRPr="008B7F0A">
              <w:rPr>
                <w:rFonts w:ascii="Calibri" w:hAnsi="Calibri" w:cs="Calibri"/>
                <w:b/>
                <w:bCs/>
                <w:color w:val="000000"/>
                <w:sz w:val="18"/>
                <w:szCs w:val="18"/>
              </w:rPr>
              <w:t xml:space="preserve">Nº7: </w:t>
            </w:r>
            <w:r w:rsidRPr="008B7F0A">
              <w:rPr>
                <w:rFonts w:ascii="Calibri" w:hAnsi="Calibri" w:cs="Calibri"/>
                <w:color w:val="000000"/>
                <w:sz w:val="18"/>
                <w:szCs w:val="18"/>
              </w:rPr>
              <w:br/>
              <w:t>El VIO propondrá indicador en base a la Ley 243</w:t>
            </w:r>
          </w:p>
        </w:tc>
        <w:tc>
          <w:tcPr>
            <w:tcW w:w="2677" w:type="dxa"/>
            <w:vAlign w:val="center"/>
          </w:tcPr>
          <w:p w14:paraId="7EC33810" w14:textId="77777777" w:rsidR="00950BA5" w:rsidRPr="008B7F0A" w:rsidRDefault="00950BA5" w:rsidP="00950BA5">
            <w:pPr>
              <w:jc w:val="center"/>
              <w:rPr>
                <w:rFonts w:ascii="Calibri" w:hAnsi="Calibri" w:cs="Calibri"/>
                <w:color w:val="000000"/>
                <w:sz w:val="18"/>
                <w:szCs w:val="18"/>
              </w:rPr>
            </w:pPr>
          </w:p>
        </w:tc>
        <w:tc>
          <w:tcPr>
            <w:tcW w:w="1661" w:type="dxa"/>
            <w:vAlign w:val="center"/>
          </w:tcPr>
          <w:p w14:paraId="224AB015" w14:textId="77777777" w:rsidR="00950BA5" w:rsidRPr="008B7F0A" w:rsidRDefault="00950BA5" w:rsidP="00950BA5">
            <w:pPr>
              <w:jc w:val="center"/>
              <w:rPr>
                <w:rFonts w:ascii="Calibri" w:hAnsi="Calibri" w:cs="Calibri"/>
                <w:color w:val="000000"/>
                <w:sz w:val="18"/>
                <w:szCs w:val="18"/>
              </w:rPr>
            </w:pPr>
          </w:p>
        </w:tc>
        <w:tc>
          <w:tcPr>
            <w:tcW w:w="1906" w:type="dxa"/>
            <w:vAlign w:val="center"/>
          </w:tcPr>
          <w:p w14:paraId="2651C942" w14:textId="77777777" w:rsidR="00950BA5" w:rsidRPr="008B7F0A" w:rsidRDefault="00950BA5" w:rsidP="00950BA5">
            <w:pPr>
              <w:jc w:val="center"/>
              <w:rPr>
                <w:rFonts w:ascii="Calibri" w:hAnsi="Calibri" w:cs="Calibri"/>
                <w:color w:val="000000"/>
                <w:sz w:val="18"/>
                <w:szCs w:val="18"/>
              </w:rPr>
            </w:pPr>
          </w:p>
        </w:tc>
        <w:tc>
          <w:tcPr>
            <w:tcW w:w="1981" w:type="dxa"/>
            <w:vAlign w:val="center"/>
          </w:tcPr>
          <w:p w14:paraId="2AA2A239" w14:textId="5E82CC84" w:rsidR="00950BA5" w:rsidRPr="008B7F0A" w:rsidRDefault="00950BA5" w:rsidP="00950BA5">
            <w:pPr>
              <w:pStyle w:val="ListParagraph"/>
              <w:jc w:val="center"/>
              <w:rPr>
                <w:rFonts w:ascii="Arial" w:hAnsi="Arial" w:cs="Arial"/>
                <w:color w:val="000000"/>
                <w:sz w:val="18"/>
                <w:szCs w:val="18"/>
              </w:rPr>
            </w:pPr>
            <w:r w:rsidRPr="008B7F0A">
              <w:rPr>
                <w:rFonts w:ascii="Arial" w:hAnsi="Arial" w:cs="Arial"/>
                <w:color w:val="000000"/>
                <w:sz w:val="18"/>
                <w:szCs w:val="18"/>
              </w:rPr>
              <w:t>Pilar 1</w:t>
            </w:r>
          </w:p>
        </w:tc>
        <w:tc>
          <w:tcPr>
            <w:tcW w:w="1437" w:type="dxa"/>
            <w:vAlign w:val="center"/>
          </w:tcPr>
          <w:p w14:paraId="3C3635DB" w14:textId="5AECDB76" w:rsidR="00950BA5" w:rsidRPr="008B7F0A" w:rsidRDefault="00950BA5" w:rsidP="00950BA5">
            <w:pPr>
              <w:pStyle w:val="ListParagraph"/>
              <w:jc w:val="center"/>
              <w:rPr>
                <w:rFonts w:ascii="Calibri" w:hAnsi="Calibri"/>
                <w:color w:val="000000"/>
                <w:sz w:val="18"/>
                <w:szCs w:val="18"/>
              </w:rPr>
            </w:pPr>
            <w:r w:rsidRPr="008B7F0A">
              <w:rPr>
                <w:rFonts w:ascii="Calibri" w:hAnsi="Calibri"/>
                <w:color w:val="000000"/>
                <w:sz w:val="18"/>
                <w:szCs w:val="18"/>
              </w:rPr>
              <w:t>5</w:t>
            </w:r>
          </w:p>
        </w:tc>
      </w:tr>
    </w:tbl>
    <w:p w14:paraId="31D11C2F" w14:textId="67E1A99D" w:rsidR="00E80C2A" w:rsidRDefault="00E80C2A">
      <w:pPr>
        <w:sectPr w:rsidR="00E80C2A" w:rsidSect="00E80C2A">
          <w:headerReference w:type="default" r:id="rId8"/>
          <w:footerReference w:type="first" r:id="rId9"/>
          <w:pgSz w:w="16838" w:h="11906" w:orient="landscape"/>
          <w:pgMar w:top="1701" w:right="1417" w:bottom="1701" w:left="1417" w:header="708" w:footer="708" w:gutter="0"/>
          <w:pgNumType w:start="0"/>
          <w:cols w:space="708"/>
          <w:titlePg/>
          <w:docGrid w:linePitch="360"/>
        </w:sectPr>
      </w:pPr>
      <w:bookmarkStart w:id="1" w:name="_GoBack"/>
      <w:bookmarkEnd w:id="1"/>
    </w:p>
    <w:p w14:paraId="157E9238" w14:textId="77777777" w:rsidR="001159B4" w:rsidRPr="001159B4" w:rsidRDefault="001159B4" w:rsidP="000208C2">
      <w:pPr>
        <w:pStyle w:val="Heading1"/>
      </w:pPr>
    </w:p>
    <w:sectPr w:rsidR="001159B4" w:rsidRPr="001159B4" w:rsidSect="00E80C2A">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470F3" w14:textId="77777777" w:rsidR="009F04F9" w:rsidRDefault="009F04F9" w:rsidP="005A451F">
      <w:pPr>
        <w:spacing w:after="0" w:line="240" w:lineRule="auto"/>
      </w:pPr>
      <w:r>
        <w:separator/>
      </w:r>
    </w:p>
  </w:endnote>
  <w:endnote w:type="continuationSeparator" w:id="0">
    <w:p w14:paraId="5AC353DE" w14:textId="77777777" w:rsidR="009F04F9" w:rsidRDefault="009F04F9" w:rsidP="005A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85D2" w14:textId="77777777" w:rsidR="00B60041" w:rsidRDefault="00B60041" w:rsidP="005F3BE8">
    <w:pPr>
      <w:pStyle w:val="Footer"/>
      <w:tabs>
        <w:tab w:val="clear" w:pos="4252"/>
        <w:tab w:val="clear" w:pos="8504"/>
        <w:tab w:val="left" w:pos="10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EFB5" w14:textId="77777777" w:rsidR="009F04F9" w:rsidRDefault="009F04F9" w:rsidP="005A451F">
      <w:pPr>
        <w:spacing w:after="0" w:line="240" w:lineRule="auto"/>
      </w:pPr>
      <w:r>
        <w:separator/>
      </w:r>
    </w:p>
  </w:footnote>
  <w:footnote w:type="continuationSeparator" w:id="0">
    <w:p w14:paraId="0F3D3DCD" w14:textId="77777777" w:rsidR="009F04F9" w:rsidRDefault="009F04F9" w:rsidP="005A4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4C86" w14:textId="77777777" w:rsidR="00B60041" w:rsidRPr="001159B4" w:rsidRDefault="00B60041">
    <w:pPr>
      <w:pStyle w:val="Header"/>
      <w:rPr>
        <w:i/>
        <w:sz w:val="20"/>
        <w:lang w:val="es-ES"/>
      </w:rPr>
    </w:pPr>
    <w:r w:rsidRPr="001159B4">
      <w:rPr>
        <w:i/>
        <w:noProof/>
        <w:sz w:val="20"/>
        <w:lang w:val="en-US"/>
      </w:rPr>
      <mc:AlternateContent>
        <mc:Choice Requires="wpg">
          <w:drawing>
            <wp:anchor distT="0" distB="0" distL="114300" distR="114300" simplePos="0" relativeHeight="251659264" behindDoc="0" locked="0" layoutInCell="1" allowOverlap="1" wp14:anchorId="6E8C6BAF" wp14:editId="1C0C19AE">
              <wp:simplePos x="0" y="0"/>
              <wp:positionH relativeFrom="column">
                <wp:posOffset>-232410</wp:posOffset>
              </wp:positionH>
              <wp:positionV relativeFrom="paragraph">
                <wp:posOffset>236220</wp:posOffset>
              </wp:positionV>
              <wp:extent cx="5934075" cy="108613"/>
              <wp:effectExtent l="0" t="0" r="9525" b="24765"/>
              <wp:wrapNone/>
              <wp:docPr id="5" name="Grupo 11"/>
              <wp:cNvGraphicFramePr/>
              <a:graphic xmlns:a="http://schemas.openxmlformats.org/drawingml/2006/main">
                <a:graphicData uri="http://schemas.microsoft.com/office/word/2010/wordprocessingGroup">
                  <wpg:wgp>
                    <wpg:cNvGrpSpPr/>
                    <wpg:grpSpPr bwMode="auto">
                      <a:xfrm>
                        <a:off x="0" y="0"/>
                        <a:ext cx="5934075" cy="108613"/>
                        <a:chOff x="0" y="0"/>
                        <a:chExt cx="10877673" cy="460821"/>
                      </a:xfrm>
                    </wpg:grpSpPr>
                    <wps:wsp>
                      <wps:cNvPr id="6" name="Rectangle 3"/>
                      <wps:cNvSpPr>
                        <a:spLocks noChangeArrowheads="1"/>
                      </wps:cNvSpPr>
                      <wps:spPr bwMode="auto">
                        <a:xfrm>
                          <a:off x="4233" y="12801"/>
                          <a:ext cx="302687" cy="102405"/>
                        </a:xfrm>
                        <a:prstGeom prst="rect">
                          <a:avLst/>
                        </a:prstGeom>
                        <a:solidFill>
                          <a:srgbClr val="914493"/>
                        </a:solidFill>
                        <a:ln w="25400" algn="ctr">
                          <a:solidFill>
                            <a:srgbClr val="914493"/>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7" name="Rectangle 4"/>
                      <wps:cNvSpPr>
                        <a:spLocks noChangeArrowheads="1"/>
                      </wps:cNvSpPr>
                      <wps:spPr bwMode="auto">
                        <a:xfrm>
                          <a:off x="4233" y="117765"/>
                          <a:ext cx="302687" cy="104966"/>
                        </a:xfrm>
                        <a:prstGeom prst="rect">
                          <a:avLst/>
                        </a:prstGeom>
                        <a:solidFill>
                          <a:srgbClr val="104E9B"/>
                        </a:solidFill>
                        <a:ln w="25400" algn="ctr">
                          <a:solidFill>
                            <a:srgbClr val="104E9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8" name="Rectangle 5"/>
                      <wps:cNvSpPr>
                        <a:spLocks noChangeArrowheads="1"/>
                      </wps:cNvSpPr>
                      <wps:spPr bwMode="auto">
                        <a:xfrm>
                          <a:off x="306921" y="12801"/>
                          <a:ext cx="302686" cy="102405"/>
                        </a:xfrm>
                        <a:prstGeom prst="rect">
                          <a:avLst/>
                        </a:prstGeom>
                        <a:solidFill>
                          <a:srgbClr val="104E9B"/>
                        </a:solidFill>
                        <a:ln w="25400" algn="ctr">
                          <a:solidFill>
                            <a:srgbClr val="104E9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9" name="Rectangle 6"/>
                      <wps:cNvSpPr>
                        <a:spLocks noChangeArrowheads="1"/>
                      </wps:cNvSpPr>
                      <wps:spPr bwMode="auto">
                        <a:xfrm>
                          <a:off x="618074" y="12801"/>
                          <a:ext cx="302687" cy="104964"/>
                        </a:xfrm>
                        <a:prstGeom prst="rect">
                          <a:avLst/>
                        </a:prstGeom>
                        <a:solidFill>
                          <a:srgbClr val="009C47"/>
                        </a:solidFill>
                        <a:ln w="25400" algn="ctr">
                          <a:solidFill>
                            <a:srgbClr val="009C47"/>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0" name="Rectangle 7"/>
                      <wps:cNvSpPr>
                        <a:spLocks noChangeArrowheads="1"/>
                      </wps:cNvSpPr>
                      <wps:spPr bwMode="auto">
                        <a:xfrm>
                          <a:off x="306921" y="120326"/>
                          <a:ext cx="302686" cy="104964"/>
                        </a:xfrm>
                        <a:prstGeom prst="rect">
                          <a:avLst/>
                        </a:prstGeom>
                        <a:solidFill>
                          <a:srgbClr val="009C47"/>
                        </a:solidFill>
                        <a:ln w="25400" algn="ctr">
                          <a:solidFill>
                            <a:srgbClr val="009C47"/>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1" name="Rectangle 8"/>
                      <wps:cNvSpPr>
                        <a:spLocks noChangeArrowheads="1"/>
                      </wps:cNvSpPr>
                      <wps:spPr bwMode="auto">
                        <a:xfrm>
                          <a:off x="4233" y="227851"/>
                          <a:ext cx="302687" cy="102405"/>
                        </a:xfrm>
                        <a:prstGeom prst="rect">
                          <a:avLst/>
                        </a:prstGeom>
                        <a:solidFill>
                          <a:srgbClr val="009C47"/>
                        </a:solidFill>
                        <a:ln w="25400" algn="ctr">
                          <a:solidFill>
                            <a:srgbClr val="009C47"/>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2" name="Rectangle 9"/>
                      <wps:cNvSpPr>
                        <a:spLocks noChangeArrowheads="1"/>
                      </wps:cNvSpPr>
                      <wps:spPr bwMode="auto">
                        <a:xfrm>
                          <a:off x="0" y="337935"/>
                          <a:ext cx="302687" cy="102405"/>
                        </a:xfrm>
                        <a:prstGeom prst="rect">
                          <a:avLst/>
                        </a:prstGeom>
                        <a:solidFill>
                          <a:srgbClr val="FFFFFF"/>
                        </a:solidFill>
                        <a:ln w="254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3" name="Rectangle 10"/>
                      <wps:cNvSpPr>
                        <a:spLocks noChangeArrowheads="1"/>
                      </wps:cNvSpPr>
                      <wps:spPr bwMode="auto">
                        <a:xfrm>
                          <a:off x="306921" y="227851"/>
                          <a:ext cx="302686" cy="104964"/>
                        </a:xfrm>
                        <a:prstGeom prst="rect">
                          <a:avLst/>
                        </a:prstGeom>
                        <a:solidFill>
                          <a:srgbClr val="FFFFFF"/>
                        </a:solidFill>
                        <a:ln w="254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4" name="Rectangle 11"/>
                      <wps:cNvSpPr>
                        <a:spLocks noChangeArrowheads="1"/>
                      </wps:cNvSpPr>
                      <wps:spPr bwMode="auto">
                        <a:xfrm>
                          <a:off x="624424" y="120326"/>
                          <a:ext cx="302686" cy="104964"/>
                        </a:xfrm>
                        <a:prstGeom prst="rect">
                          <a:avLst/>
                        </a:prstGeom>
                        <a:solidFill>
                          <a:srgbClr val="FFFFFF"/>
                        </a:solidFill>
                        <a:ln w="254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5" name="Rectangle 12"/>
                      <wps:cNvSpPr>
                        <a:spLocks noChangeArrowheads="1"/>
                      </wps:cNvSpPr>
                      <wps:spPr bwMode="auto">
                        <a:xfrm>
                          <a:off x="946161" y="12801"/>
                          <a:ext cx="302686" cy="102405"/>
                        </a:xfrm>
                        <a:prstGeom prst="rect">
                          <a:avLst/>
                        </a:prstGeom>
                        <a:solidFill>
                          <a:srgbClr val="FFFFFF"/>
                        </a:solidFill>
                        <a:ln w="254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6" name="Rectangle 13"/>
                      <wps:cNvSpPr>
                        <a:spLocks noChangeArrowheads="1"/>
                      </wps:cNvSpPr>
                      <wps:spPr bwMode="auto">
                        <a:xfrm>
                          <a:off x="313270" y="343056"/>
                          <a:ext cx="302687" cy="102405"/>
                        </a:xfrm>
                        <a:prstGeom prst="rect">
                          <a:avLst/>
                        </a:prstGeom>
                        <a:solidFill>
                          <a:srgbClr val="FFD91C"/>
                        </a:solidFill>
                        <a:ln w="25400" algn="ctr">
                          <a:solidFill>
                            <a:srgbClr val="FFD91C"/>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7" name="Rectangle 14"/>
                      <wps:cNvSpPr>
                        <a:spLocks noChangeArrowheads="1"/>
                      </wps:cNvSpPr>
                      <wps:spPr bwMode="auto">
                        <a:xfrm>
                          <a:off x="628658" y="232971"/>
                          <a:ext cx="302686" cy="104964"/>
                        </a:xfrm>
                        <a:prstGeom prst="rect">
                          <a:avLst/>
                        </a:prstGeom>
                        <a:solidFill>
                          <a:srgbClr val="FFD91C"/>
                        </a:solidFill>
                        <a:ln w="25400" algn="ctr">
                          <a:solidFill>
                            <a:srgbClr val="FFD91C"/>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8" name="Rectangle 15"/>
                      <wps:cNvSpPr>
                        <a:spLocks noChangeArrowheads="1"/>
                      </wps:cNvSpPr>
                      <wps:spPr bwMode="auto">
                        <a:xfrm>
                          <a:off x="944044" y="120326"/>
                          <a:ext cx="300570" cy="102405"/>
                        </a:xfrm>
                        <a:prstGeom prst="rect">
                          <a:avLst/>
                        </a:prstGeom>
                        <a:solidFill>
                          <a:srgbClr val="FFD91C"/>
                        </a:solidFill>
                        <a:ln w="25400" algn="ctr">
                          <a:solidFill>
                            <a:srgbClr val="FFD91C"/>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9" name="Rectangle 16"/>
                      <wps:cNvSpPr>
                        <a:spLocks noChangeArrowheads="1"/>
                      </wps:cNvSpPr>
                      <wps:spPr bwMode="auto">
                        <a:xfrm>
                          <a:off x="1259431" y="12801"/>
                          <a:ext cx="300570" cy="102405"/>
                        </a:xfrm>
                        <a:prstGeom prst="rect">
                          <a:avLst/>
                        </a:prstGeom>
                        <a:solidFill>
                          <a:srgbClr val="FFD91C"/>
                        </a:solidFill>
                        <a:ln w="25400" algn="ctr">
                          <a:solidFill>
                            <a:srgbClr val="FFD91C"/>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0" name="Rectangle 17"/>
                      <wps:cNvSpPr>
                        <a:spLocks noChangeArrowheads="1"/>
                      </wps:cNvSpPr>
                      <wps:spPr bwMode="auto">
                        <a:xfrm>
                          <a:off x="628658" y="343056"/>
                          <a:ext cx="302686" cy="104966"/>
                        </a:xfrm>
                        <a:prstGeom prst="rect">
                          <a:avLst/>
                        </a:prstGeom>
                        <a:solidFill>
                          <a:srgbClr val="F38428"/>
                        </a:solidFill>
                        <a:ln w="25400" algn="ctr">
                          <a:solidFill>
                            <a:srgbClr val="F38428"/>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1" name="Rectangle 18"/>
                      <wps:cNvSpPr>
                        <a:spLocks noChangeArrowheads="1"/>
                      </wps:cNvSpPr>
                      <wps:spPr bwMode="auto">
                        <a:xfrm>
                          <a:off x="944044" y="232971"/>
                          <a:ext cx="302687" cy="104964"/>
                        </a:xfrm>
                        <a:prstGeom prst="rect">
                          <a:avLst/>
                        </a:prstGeom>
                        <a:solidFill>
                          <a:srgbClr val="F38428"/>
                        </a:solidFill>
                        <a:ln w="25400" algn="ctr">
                          <a:solidFill>
                            <a:srgbClr val="F38428"/>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2" name="Rectangle 19"/>
                      <wps:cNvSpPr>
                        <a:spLocks noChangeArrowheads="1"/>
                      </wps:cNvSpPr>
                      <wps:spPr bwMode="auto">
                        <a:xfrm>
                          <a:off x="1261548" y="122886"/>
                          <a:ext cx="302687" cy="102405"/>
                        </a:xfrm>
                        <a:prstGeom prst="rect">
                          <a:avLst/>
                        </a:prstGeom>
                        <a:solidFill>
                          <a:srgbClr val="F38428"/>
                        </a:solidFill>
                        <a:ln w="25400" algn="ctr">
                          <a:solidFill>
                            <a:srgbClr val="F38428"/>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3" name="Rectangle 20"/>
                      <wps:cNvSpPr>
                        <a:spLocks noChangeArrowheads="1"/>
                      </wps:cNvSpPr>
                      <wps:spPr bwMode="auto">
                        <a:xfrm>
                          <a:off x="1579051" y="12801"/>
                          <a:ext cx="302687" cy="102405"/>
                        </a:xfrm>
                        <a:prstGeom prst="rect">
                          <a:avLst/>
                        </a:prstGeom>
                        <a:solidFill>
                          <a:srgbClr val="F38428"/>
                        </a:solidFill>
                        <a:ln w="25400" algn="ctr">
                          <a:solidFill>
                            <a:srgbClr val="F38428"/>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4" name="Rectangle 21"/>
                      <wps:cNvSpPr>
                        <a:spLocks noChangeArrowheads="1"/>
                      </wps:cNvSpPr>
                      <wps:spPr bwMode="auto">
                        <a:xfrm>
                          <a:off x="944044" y="343056"/>
                          <a:ext cx="302687" cy="104966"/>
                        </a:xfrm>
                        <a:prstGeom prst="rect">
                          <a:avLst/>
                        </a:prstGeom>
                        <a:solidFill>
                          <a:srgbClr val="E7192B"/>
                        </a:solidFill>
                        <a:ln w="25400" algn="ctr">
                          <a:solidFill>
                            <a:srgbClr val="E7192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5" name="Rectangle 22"/>
                      <wps:cNvSpPr>
                        <a:spLocks noChangeArrowheads="1"/>
                      </wps:cNvSpPr>
                      <wps:spPr bwMode="auto">
                        <a:xfrm>
                          <a:off x="1261548" y="232971"/>
                          <a:ext cx="302687" cy="102405"/>
                        </a:xfrm>
                        <a:prstGeom prst="rect">
                          <a:avLst/>
                        </a:prstGeom>
                        <a:solidFill>
                          <a:srgbClr val="E7192B"/>
                        </a:solidFill>
                        <a:ln w="25400" algn="ctr">
                          <a:solidFill>
                            <a:srgbClr val="E7192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6" name="Rectangle 23"/>
                      <wps:cNvSpPr>
                        <a:spLocks noChangeArrowheads="1"/>
                      </wps:cNvSpPr>
                      <wps:spPr bwMode="auto">
                        <a:xfrm>
                          <a:off x="1576935" y="122886"/>
                          <a:ext cx="302686" cy="102405"/>
                        </a:xfrm>
                        <a:prstGeom prst="rect">
                          <a:avLst/>
                        </a:prstGeom>
                        <a:solidFill>
                          <a:srgbClr val="E7192B"/>
                        </a:solidFill>
                        <a:ln w="25400" algn="ctr">
                          <a:solidFill>
                            <a:srgbClr val="E7192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7" name="Rectangle 24"/>
                      <wps:cNvSpPr>
                        <a:spLocks noChangeArrowheads="1"/>
                      </wps:cNvSpPr>
                      <wps:spPr bwMode="auto">
                        <a:xfrm>
                          <a:off x="1898672" y="12801"/>
                          <a:ext cx="302686" cy="102405"/>
                        </a:xfrm>
                        <a:prstGeom prst="rect">
                          <a:avLst/>
                        </a:prstGeom>
                        <a:solidFill>
                          <a:srgbClr val="E7192B"/>
                        </a:solidFill>
                        <a:ln w="25400" algn="ctr">
                          <a:solidFill>
                            <a:srgbClr val="E7192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8" name="Rectangle 25"/>
                      <wps:cNvSpPr>
                        <a:spLocks noChangeArrowheads="1"/>
                      </wps:cNvSpPr>
                      <wps:spPr bwMode="auto">
                        <a:xfrm>
                          <a:off x="1259431" y="343056"/>
                          <a:ext cx="300570" cy="104966"/>
                        </a:xfrm>
                        <a:prstGeom prst="rect">
                          <a:avLst/>
                        </a:prstGeom>
                        <a:solidFill>
                          <a:srgbClr val="914493"/>
                        </a:solidFill>
                        <a:ln w="25400" algn="ctr">
                          <a:solidFill>
                            <a:srgbClr val="914493"/>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29" name="Rectangle 26"/>
                      <wps:cNvSpPr>
                        <a:spLocks noChangeArrowheads="1"/>
                      </wps:cNvSpPr>
                      <wps:spPr bwMode="auto">
                        <a:xfrm>
                          <a:off x="1576935" y="232971"/>
                          <a:ext cx="302686" cy="104964"/>
                        </a:xfrm>
                        <a:prstGeom prst="rect">
                          <a:avLst/>
                        </a:prstGeom>
                        <a:solidFill>
                          <a:srgbClr val="914493"/>
                        </a:solidFill>
                        <a:ln w="25400" algn="ctr">
                          <a:solidFill>
                            <a:srgbClr val="914493"/>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30" name="Rectangle 27"/>
                      <wps:cNvSpPr>
                        <a:spLocks noChangeArrowheads="1"/>
                      </wps:cNvSpPr>
                      <wps:spPr bwMode="auto">
                        <a:xfrm>
                          <a:off x="1898672" y="120326"/>
                          <a:ext cx="302686" cy="104964"/>
                        </a:xfrm>
                        <a:prstGeom prst="rect">
                          <a:avLst/>
                        </a:prstGeom>
                        <a:solidFill>
                          <a:srgbClr val="914493"/>
                        </a:solidFill>
                        <a:ln w="25400" algn="ctr">
                          <a:solidFill>
                            <a:srgbClr val="914493"/>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31" name="Rectangle 28"/>
                      <wps:cNvSpPr>
                        <a:spLocks noChangeArrowheads="1"/>
                      </wps:cNvSpPr>
                      <wps:spPr bwMode="auto">
                        <a:xfrm>
                          <a:off x="1576935" y="343056"/>
                          <a:ext cx="302686" cy="104966"/>
                        </a:xfrm>
                        <a:prstGeom prst="rect">
                          <a:avLst/>
                        </a:prstGeom>
                        <a:solidFill>
                          <a:srgbClr val="104E9B"/>
                        </a:solidFill>
                        <a:ln w="25400" algn="ctr">
                          <a:solidFill>
                            <a:srgbClr val="104E9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28" name="Rectangle 29"/>
                      <wps:cNvSpPr>
                        <a:spLocks noChangeArrowheads="1"/>
                      </wps:cNvSpPr>
                      <wps:spPr bwMode="auto">
                        <a:xfrm>
                          <a:off x="1898672" y="232971"/>
                          <a:ext cx="302686" cy="102405"/>
                        </a:xfrm>
                        <a:prstGeom prst="rect">
                          <a:avLst/>
                        </a:prstGeom>
                        <a:solidFill>
                          <a:srgbClr val="104E9B"/>
                        </a:solidFill>
                        <a:ln w="25400" algn="ctr">
                          <a:solidFill>
                            <a:srgbClr val="104E9B"/>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29" name="Rectangle 30"/>
                      <wps:cNvSpPr>
                        <a:spLocks noChangeArrowheads="1"/>
                      </wps:cNvSpPr>
                      <wps:spPr bwMode="auto">
                        <a:xfrm>
                          <a:off x="1898672" y="343056"/>
                          <a:ext cx="302686" cy="102405"/>
                        </a:xfrm>
                        <a:prstGeom prst="rect">
                          <a:avLst/>
                        </a:prstGeom>
                        <a:solidFill>
                          <a:srgbClr val="009C47"/>
                        </a:solidFill>
                        <a:ln w="25400" algn="ctr">
                          <a:solidFill>
                            <a:srgbClr val="009C47"/>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30" name="Rectangle 31"/>
                      <wps:cNvSpPr>
                        <a:spLocks noChangeArrowheads="1"/>
                      </wps:cNvSpPr>
                      <wps:spPr bwMode="auto">
                        <a:xfrm>
                          <a:off x="2209825" y="0"/>
                          <a:ext cx="8667848" cy="145927"/>
                        </a:xfrm>
                        <a:prstGeom prst="rect">
                          <a:avLst/>
                        </a:prstGeom>
                        <a:gradFill rotWithShape="0">
                          <a:gsLst>
                            <a:gs pos="0">
                              <a:srgbClr val="E7192B"/>
                            </a:gs>
                            <a:gs pos="100000">
                              <a:srgbClr val="E7192B">
                                <a:gamma/>
                                <a:tint val="20000"/>
                                <a:invGamma/>
                              </a:srgbClr>
                            </a:gs>
                          </a:gsLst>
                          <a:lin ang="0" scaled="1"/>
                        </a:gradFill>
                        <a:ln>
                          <a:noFill/>
                        </a:ln>
                        <a:effectLst/>
                        <a:extLst>
                          <a:ext uri="{91240B29-F687-4F45-9708-019B960494DF}">
                            <a14:hiddenLine xmlns:a14="http://schemas.microsoft.com/office/drawing/2010/main" w="25400" algn="ctr">
                              <a:solidFill>
                                <a:srgbClr val="E7192B"/>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31" name="Rectangle 32"/>
                      <wps:cNvSpPr>
                        <a:spLocks noChangeArrowheads="1"/>
                      </wps:cNvSpPr>
                      <wps:spPr bwMode="auto">
                        <a:xfrm>
                          <a:off x="2209825" y="148487"/>
                          <a:ext cx="8661497" cy="156168"/>
                        </a:xfrm>
                        <a:prstGeom prst="rect">
                          <a:avLst/>
                        </a:prstGeom>
                        <a:gradFill rotWithShape="0">
                          <a:gsLst>
                            <a:gs pos="0">
                              <a:srgbClr val="FFD91C"/>
                            </a:gs>
                            <a:gs pos="100000">
                              <a:srgbClr val="FFD91C">
                                <a:gamma/>
                                <a:tint val="20000"/>
                                <a:invGamma/>
                              </a:srgbClr>
                            </a:gs>
                          </a:gsLst>
                          <a:lin ang="0" scaled="1"/>
                        </a:gradFill>
                        <a:ln>
                          <a:noFill/>
                        </a:ln>
                        <a:effectLst/>
                        <a:extLst>
                          <a:ext uri="{91240B29-F687-4F45-9708-019B960494DF}">
                            <a14:hiddenLine xmlns:a14="http://schemas.microsoft.com/office/drawing/2010/main" w="25400" algn="ctr">
                              <a:solidFill>
                                <a:srgbClr val="E7192B"/>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s:wsp>
                      <wps:cNvPr id="132" name="Rectangle 33"/>
                      <wps:cNvSpPr>
                        <a:spLocks noChangeArrowheads="1"/>
                      </wps:cNvSpPr>
                      <wps:spPr bwMode="auto">
                        <a:xfrm>
                          <a:off x="2209825" y="304655"/>
                          <a:ext cx="8657264" cy="156166"/>
                        </a:xfrm>
                        <a:prstGeom prst="rect">
                          <a:avLst/>
                        </a:prstGeom>
                        <a:gradFill rotWithShape="0">
                          <a:gsLst>
                            <a:gs pos="0">
                              <a:srgbClr val="007F43"/>
                            </a:gs>
                            <a:gs pos="100000">
                              <a:srgbClr val="007F43">
                                <a:gamma/>
                                <a:tint val="20000"/>
                                <a:invGamma/>
                              </a:srgbClr>
                            </a:gs>
                          </a:gsLst>
                          <a:lin ang="0" scaled="1"/>
                        </a:gradFill>
                        <a:ln>
                          <a:noFill/>
                        </a:ln>
                        <a:effectLst/>
                        <a:extLst>
                          <a:ext uri="{91240B29-F687-4F45-9708-019B960494DF}">
                            <a14:hiddenLine xmlns:a14="http://schemas.microsoft.com/office/drawing/2010/main" w="25400" algn="ctr">
                              <a:solidFill>
                                <a:srgbClr val="E7192B"/>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lIns="27432" tIns="27432" rIns="27432" bIns="27432"/>
                    </wps:wsp>
                  </wpg:wg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B1733B" id="Grupo 11" o:spid="_x0000_s1026" style="position:absolute;margin-left:-18.3pt;margin-top:18.6pt;width:467.25pt;height:8.55pt;z-index:251659264;mso-width-relative:margin;mso-height-relative:margin" coordsize="108776,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">
              <v:rect id="Rectangle 3" o:spid="_x0000_s1027" style="position:absolute;left:42;top:12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" fillcolor="#914493" strokecolor="#914493" strokeweight="2pt">
                <v:shadow color="black"/>
                <v:textbox inset="2.16pt,2.16pt,2.16pt,2.16pt"/>
              </v:rect>
              <v:rect id="Rectangle 4" o:spid="_x0000_s1028" style="position:absolute;left:42;top:1177;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" fillcolor="#104e9b" strokecolor="#104e9b" strokeweight="2pt">
                <v:shadow color="black"/>
                <v:textbox inset="2.16pt,2.16pt,2.16pt,2.16pt"/>
              </v:rect>
              <v:rect id="Rectangle 5" o:spid="_x0000_s1029" style="position:absolute;left:3069;top:12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" fillcolor="#104e9b" strokecolor="#104e9b" strokeweight="2pt">
                <v:shadow color="black"/>
                <v:textbox inset="2.16pt,2.16pt,2.16pt,2.16pt"/>
              </v:rect>
              <v:rect id="Rectangle 6" o:spid="_x0000_s1030" style="position:absolute;left:6180;top:128;width:3027;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" fillcolor="#009c47" strokecolor="#009c47" strokeweight="2pt">
                <v:shadow color="black"/>
                <v:textbox inset="2.16pt,2.16pt,2.16pt,2.16pt"/>
              </v:rect>
              <v:rect id="Rectangle 7" o:spid="_x0000_s1031" style="position:absolute;left:3069;top:1203;width:3027;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" fillcolor="#009c47" strokecolor="#009c47" strokeweight="2pt">
                <v:shadow color="black"/>
                <v:textbox inset="2.16pt,2.16pt,2.16pt,2.16pt"/>
              </v:rect>
              <v:rect id="Rectangle 8" o:spid="_x0000_s1032" style="position:absolute;left:42;top:227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" fillcolor="#009c47" strokecolor="#009c47" strokeweight="2pt">
                <v:shadow color="black"/>
                <v:textbox inset="2.16pt,2.16pt,2.16pt,2.16pt"/>
              </v:rect>
              <v:rect id="Rectangle 9" o:spid="_x0000_s1033" style="position:absolute;top:3379;width:3026;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" strokecolor="white" strokeweight="2pt">
                <v:shadow color="black"/>
                <v:textbox inset="2.16pt,2.16pt,2.16pt,2.16pt"/>
              </v:rect>
              <v:rect id="Rectangle 10" o:spid="_x0000_s1034" style="position:absolute;left:3069;top:2278;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" strokecolor="white" strokeweight="2pt">
                <v:shadow color="black"/>
                <v:textbox inset="2.16pt,2.16pt,2.16pt,2.16pt"/>
              </v:rect>
              <v:rect id="Rectangle 11" o:spid="_x0000_s1035" style="position:absolute;left:6244;top:1203;width:3027;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" strokecolor="white" strokeweight="2pt">
                <v:shadow color="black"/>
                <v:textbox inset="2.16pt,2.16pt,2.16pt,2.16pt"/>
              </v:rect>
              <v:rect id="Rectangle 12" o:spid="_x0000_s1036" style="position:absolute;left:9461;top:12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" strokecolor="white" strokeweight="2pt">
                <v:shadow color="black"/>
                <v:textbox inset="2.16pt,2.16pt,2.16pt,2.16pt"/>
              </v:rect>
              <v:rect id="Rectangle 13" o:spid="_x0000_s1037" style="position:absolute;left:3132;top:3430;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" fillcolor="#ffd91c" strokecolor="#ffd91c" strokeweight="2pt">
                <v:shadow color="black"/>
                <v:textbox inset="2.16pt,2.16pt,2.16pt,2.16pt"/>
              </v:rect>
              <v:rect id="Rectangle 14" o:spid="_x0000_s1038" style="position:absolute;left:6286;top:2329;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" fillcolor="#ffd91c" strokecolor="#ffd91c" strokeweight="2pt">
                <v:shadow color="black"/>
                <v:textbox inset="2.16pt,2.16pt,2.16pt,2.16pt"/>
              </v:rect>
              <v:rect id="Rectangle 15" o:spid="_x0000_s1039" style="position:absolute;left:9440;top:1203;width:3006;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" fillcolor="#ffd91c" strokecolor="#ffd91c" strokeweight="2pt">
                <v:shadow color="black"/>
                <v:textbox inset="2.16pt,2.16pt,2.16pt,2.16pt"/>
              </v:rect>
              <v:rect id="Rectangle 16" o:spid="_x0000_s1040" style="position:absolute;left:12594;top:128;width:3006;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" fillcolor="#ffd91c" strokecolor="#ffd91c" strokeweight="2pt">
                <v:shadow color="black"/>
                <v:textbox inset="2.16pt,2.16pt,2.16pt,2.16pt"/>
              </v:rect>
              <v:rect id="Rectangle 17" o:spid="_x0000_s1041" style="position:absolute;left:6286;top:3430;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" fillcolor="#f38428" strokecolor="#f38428" strokeweight="2pt">
                <v:shadow color="black"/>
                <v:textbox inset="2.16pt,2.16pt,2.16pt,2.16pt"/>
              </v:rect>
              <v:rect id="Rectangle 18" o:spid="_x0000_s1042" style="position:absolute;left:9440;top:2329;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" fillcolor="#f38428" strokecolor="#f38428" strokeweight="2pt">
                <v:shadow color="black"/>
                <v:textbox inset="2.16pt,2.16pt,2.16pt,2.16pt"/>
              </v:rect>
              <v:rect id="Rectangle 19" o:spid="_x0000_s1043" style="position:absolute;left:12615;top:122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" fillcolor="#f38428" strokecolor="#f38428" strokeweight="2pt">
                <v:shadow color="black"/>
                <v:textbox inset="2.16pt,2.16pt,2.16pt,2.16pt"/>
              </v:rect>
              <v:rect id="Rectangle 20" o:spid="_x0000_s1044" style="position:absolute;left:15790;top:12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" fillcolor="#f38428" strokecolor="#f38428" strokeweight="2pt">
                <v:shadow color="black"/>
                <v:textbox inset="2.16pt,2.16pt,2.16pt,2.16pt"/>
              </v:rect>
              <v:rect id="Rectangle 21" o:spid="_x0000_s1045" style="position:absolute;left:9440;top:3430;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" fillcolor="#e7192b" strokecolor="#e7192b" strokeweight="2pt">
                <v:shadow color="black"/>
                <v:textbox inset="2.16pt,2.16pt,2.16pt,2.16pt"/>
              </v:rect>
              <v:rect id="Rectangle 22" o:spid="_x0000_s1046" style="position:absolute;left:12615;top:2329;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" fillcolor="#e7192b" strokecolor="#e7192b" strokeweight="2pt">
                <v:shadow color="black"/>
                <v:textbox inset="2.16pt,2.16pt,2.16pt,2.16pt"/>
              </v:rect>
              <v:rect id="Rectangle 23" o:spid="_x0000_s1047" style="position:absolute;left:15769;top:122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" fillcolor="#e7192b" strokecolor="#e7192b" strokeweight="2pt">
                <v:shadow color="black"/>
                <v:textbox inset="2.16pt,2.16pt,2.16pt,2.16pt"/>
              </v:rect>
              <v:rect id="Rectangle 24" o:spid="_x0000_s1048" style="position:absolute;left:18986;top:128;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" fillcolor="#e7192b" strokecolor="#e7192b" strokeweight="2pt">
                <v:shadow color="black"/>
                <v:textbox inset="2.16pt,2.16pt,2.16pt,2.16pt"/>
              </v:rect>
              <v:rect id="Rectangle 25" o:spid="_x0000_s1049" style="position:absolute;left:12594;top:3430;width:3006;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" fillcolor="#914493" strokecolor="#914493" strokeweight="2pt">
                <v:shadow color="black"/>
                <v:textbox inset="2.16pt,2.16pt,2.16pt,2.16pt"/>
              </v:rect>
              <v:rect id="Rectangle 26" o:spid="_x0000_s1050" style="position:absolute;left:15769;top:2329;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" fillcolor="#914493" strokecolor="#914493" strokeweight="2pt">
                <v:shadow color="black"/>
                <v:textbox inset="2.16pt,2.16pt,2.16pt,2.16pt"/>
              </v:rect>
              <v:rect id="Rectangle 27" o:spid="_x0000_s1051" style="position:absolute;left:18986;top:1203;width:3027;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" fillcolor="#914493" strokecolor="#914493" strokeweight="2pt">
                <v:shadow color="black"/>
                <v:textbox inset="2.16pt,2.16pt,2.16pt,2.16pt"/>
              </v:rect>
              <v:rect id="Rectangle 28" o:spid="_x0000_s1052" style="position:absolute;left:15769;top:3430;width:3027;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" fillcolor="#104e9b" strokecolor="#104e9b" strokeweight="2pt">
                <v:shadow color="black"/>
                <v:textbox inset="2.16pt,2.16pt,2.16pt,2.16pt"/>
              </v:rect>
              <v:rect id="Rectangle 29" o:spid="_x0000_s1053" style="position:absolute;left:18986;top:2329;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" fillcolor="#104e9b" strokecolor="#104e9b" strokeweight="2pt">
                <v:shadow color="black"/>
                <v:textbox inset="2.16pt,2.16pt,2.16pt,2.16pt"/>
              </v:rect>
              <v:rect id="Rectangle 30" o:spid="_x0000_s1054" style="position:absolute;left:18986;top:3430;width:3027;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" fillcolor="#009c47" strokecolor="#009c47" strokeweight="2pt">
                <v:shadow color="black"/>
                <v:textbox inset="2.16pt,2.16pt,2.16pt,2.16pt"/>
              </v:rect>
              <v:rect id="Rectangle 31" o:spid="_x0000_s1055" style="position:absolute;left:22098;width:86678;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" fillcolor="#e7192b" stroked="f" strokecolor="#e7192b" strokeweight="2pt">
                <v:fill color2="#fad1d5" angle="90" focus="100%" type="gradient"/>
                <v:shadow color="black"/>
                <v:textbox inset="2.16pt,2.16pt,2.16pt,2.16pt"/>
              </v:rect>
              <v:rect id="Rectangle 32" o:spid="_x0000_s1056" style="position:absolute;left:22098;top:1484;width:8661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" fillcolor="#ffd91c" stroked="f" strokecolor="#e7192b" strokeweight="2pt">
                <v:fill color2="#fff7d2" angle="90" focus="100%" type="gradient"/>
                <v:shadow color="black"/>
                <v:textbox inset="2.16pt,2.16pt,2.16pt,2.16pt"/>
              </v:rect>
              <v:rect id="Rectangle 33" o:spid="_x0000_s1057" style="position:absolute;left:22098;top:3046;width:8657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" fillcolor="#007f43" stroked="f" strokecolor="#e7192b" strokeweight="2pt">
                <v:fill color2="#cce5d9" angle="90" focus="100%" type="gradient"/>
                <v:shadow color="black"/>
                <v:textbox inset="2.16pt,2.16pt,2.16pt,2.16pt"/>
              </v:rect>
            </v:group>
          </w:pict>
        </mc:Fallback>
      </mc:AlternateContent>
    </w:r>
    <w:r w:rsidRPr="001159B4">
      <w:rPr>
        <w:i/>
        <w:sz w:val="20"/>
        <w:lang w:val="es-ES"/>
      </w:rPr>
      <w:t>Marco de Complementariedad de Naciones Unidas para Vivir Bien en Bolivia 2018-2022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F35"/>
    <w:multiLevelType w:val="hybridMultilevel"/>
    <w:tmpl w:val="0B786832"/>
    <w:lvl w:ilvl="0" w:tplc="BDE6B2F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B03A14"/>
    <w:multiLevelType w:val="hybridMultilevel"/>
    <w:tmpl w:val="C448A092"/>
    <w:lvl w:ilvl="0" w:tplc="385CAE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7202E8"/>
    <w:multiLevelType w:val="hybridMultilevel"/>
    <w:tmpl w:val="DC9604F8"/>
    <w:lvl w:ilvl="0" w:tplc="F710D1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BA79BD"/>
    <w:multiLevelType w:val="hybridMultilevel"/>
    <w:tmpl w:val="3A38E4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F927D7"/>
    <w:multiLevelType w:val="hybridMultilevel"/>
    <w:tmpl w:val="4700417C"/>
    <w:lvl w:ilvl="0" w:tplc="40DE0AD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6A5726"/>
    <w:multiLevelType w:val="hybridMultilevel"/>
    <w:tmpl w:val="0778FBD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5524BC"/>
    <w:multiLevelType w:val="hybridMultilevel"/>
    <w:tmpl w:val="41A6FE80"/>
    <w:lvl w:ilvl="0" w:tplc="1B5C05F8">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58A0DD8"/>
    <w:multiLevelType w:val="hybridMultilevel"/>
    <w:tmpl w:val="A87636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AA0347"/>
    <w:multiLevelType w:val="hybridMultilevel"/>
    <w:tmpl w:val="C50CEF14"/>
    <w:lvl w:ilvl="0" w:tplc="DBDE79D8">
      <w:start w:val="7"/>
      <w:numFmt w:val="bullet"/>
      <w:lvlText w:val="-"/>
      <w:lvlJc w:val="left"/>
      <w:pPr>
        <w:ind w:left="720" w:hanging="360"/>
      </w:pPr>
      <w:rPr>
        <w:rFonts w:ascii="Calibri" w:eastAsia="Arial Unicode MS"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6012BE6"/>
    <w:multiLevelType w:val="hybridMultilevel"/>
    <w:tmpl w:val="AF26CA36"/>
    <w:lvl w:ilvl="0" w:tplc="18B2A4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60776F"/>
    <w:multiLevelType w:val="hybridMultilevel"/>
    <w:tmpl w:val="F9A49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880B87"/>
    <w:multiLevelType w:val="hybridMultilevel"/>
    <w:tmpl w:val="F19200BC"/>
    <w:lvl w:ilvl="0" w:tplc="8EE43FB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AD416E1"/>
    <w:multiLevelType w:val="hybridMultilevel"/>
    <w:tmpl w:val="E1CA878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6B7068ED"/>
    <w:multiLevelType w:val="hybridMultilevel"/>
    <w:tmpl w:val="C526E9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A0938"/>
    <w:multiLevelType w:val="hybridMultilevel"/>
    <w:tmpl w:val="62DC282C"/>
    <w:lvl w:ilvl="0" w:tplc="A0F4489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AE3764"/>
    <w:multiLevelType w:val="hybridMultilevel"/>
    <w:tmpl w:val="C87608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712B9"/>
    <w:multiLevelType w:val="hybridMultilevel"/>
    <w:tmpl w:val="A9E4133A"/>
    <w:lvl w:ilvl="0" w:tplc="9C70E13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5070B3"/>
    <w:multiLevelType w:val="hybridMultilevel"/>
    <w:tmpl w:val="7728A6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4"/>
  </w:num>
  <w:num w:numId="6">
    <w:abstractNumId w:val="11"/>
  </w:num>
  <w:num w:numId="7">
    <w:abstractNumId w:val="16"/>
  </w:num>
  <w:num w:numId="8">
    <w:abstractNumId w:val="14"/>
  </w:num>
  <w:num w:numId="9">
    <w:abstractNumId w:val="10"/>
  </w:num>
  <w:num w:numId="10">
    <w:abstractNumId w:val="12"/>
  </w:num>
  <w:num w:numId="11">
    <w:abstractNumId w:val="3"/>
  </w:num>
  <w:num w:numId="12">
    <w:abstractNumId w:val="7"/>
  </w:num>
  <w:num w:numId="13">
    <w:abstractNumId w:val="5"/>
  </w:num>
  <w:num w:numId="14">
    <w:abstractNumId w:val="6"/>
  </w:num>
  <w:num w:numId="15">
    <w:abstractNumId w:val="8"/>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F"/>
    <w:rsid w:val="0000074B"/>
    <w:rsid w:val="00015B80"/>
    <w:rsid w:val="000208C2"/>
    <w:rsid w:val="00043EDC"/>
    <w:rsid w:val="00050E5E"/>
    <w:rsid w:val="00070FFC"/>
    <w:rsid w:val="000712AA"/>
    <w:rsid w:val="00086B47"/>
    <w:rsid w:val="000945ED"/>
    <w:rsid w:val="000F0ECB"/>
    <w:rsid w:val="000F252B"/>
    <w:rsid w:val="000F2674"/>
    <w:rsid w:val="00112FD1"/>
    <w:rsid w:val="001159B4"/>
    <w:rsid w:val="00115D8B"/>
    <w:rsid w:val="00134827"/>
    <w:rsid w:val="00155B1C"/>
    <w:rsid w:val="001A3FA6"/>
    <w:rsid w:val="001E62D9"/>
    <w:rsid w:val="00211E1E"/>
    <w:rsid w:val="002164C1"/>
    <w:rsid w:val="00234D6E"/>
    <w:rsid w:val="00262346"/>
    <w:rsid w:val="00262FD9"/>
    <w:rsid w:val="0028713C"/>
    <w:rsid w:val="002B0D9E"/>
    <w:rsid w:val="002C1C17"/>
    <w:rsid w:val="002D385F"/>
    <w:rsid w:val="002D704D"/>
    <w:rsid w:val="002F0679"/>
    <w:rsid w:val="00300FBA"/>
    <w:rsid w:val="0031153E"/>
    <w:rsid w:val="00331AFE"/>
    <w:rsid w:val="00334D14"/>
    <w:rsid w:val="00343A46"/>
    <w:rsid w:val="00352EB1"/>
    <w:rsid w:val="00357209"/>
    <w:rsid w:val="00365B9E"/>
    <w:rsid w:val="00370EBD"/>
    <w:rsid w:val="003933B9"/>
    <w:rsid w:val="00397626"/>
    <w:rsid w:val="003A5BF9"/>
    <w:rsid w:val="003B0674"/>
    <w:rsid w:val="003B555E"/>
    <w:rsid w:val="003C65A0"/>
    <w:rsid w:val="003D5680"/>
    <w:rsid w:val="00415336"/>
    <w:rsid w:val="00457DB1"/>
    <w:rsid w:val="00463152"/>
    <w:rsid w:val="00483866"/>
    <w:rsid w:val="00485165"/>
    <w:rsid w:val="00490098"/>
    <w:rsid w:val="004B5E73"/>
    <w:rsid w:val="004D4ACD"/>
    <w:rsid w:val="004E5241"/>
    <w:rsid w:val="00507105"/>
    <w:rsid w:val="00512C81"/>
    <w:rsid w:val="005466B7"/>
    <w:rsid w:val="00552118"/>
    <w:rsid w:val="00590A1D"/>
    <w:rsid w:val="005A451F"/>
    <w:rsid w:val="005D0955"/>
    <w:rsid w:val="005F3BE8"/>
    <w:rsid w:val="005F6216"/>
    <w:rsid w:val="00655E9C"/>
    <w:rsid w:val="00656D62"/>
    <w:rsid w:val="00685953"/>
    <w:rsid w:val="006A3282"/>
    <w:rsid w:val="006C4601"/>
    <w:rsid w:val="00715331"/>
    <w:rsid w:val="00715344"/>
    <w:rsid w:val="00720F94"/>
    <w:rsid w:val="00744F3C"/>
    <w:rsid w:val="00770B04"/>
    <w:rsid w:val="00772840"/>
    <w:rsid w:val="00782CF6"/>
    <w:rsid w:val="0079133B"/>
    <w:rsid w:val="00796E06"/>
    <w:rsid w:val="007A10FF"/>
    <w:rsid w:val="007A5BC2"/>
    <w:rsid w:val="007B145B"/>
    <w:rsid w:val="00801565"/>
    <w:rsid w:val="00806181"/>
    <w:rsid w:val="0081548B"/>
    <w:rsid w:val="00817D9D"/>
    <w:rsid w:val="00842780"/>
    <w:rsid w:val="00876067"/>
    <w:rsid w:val="00877D94"/>
    <w:rsid w:val="00896ED2"/>
    <w:rsid w:val="008A24B8"/>
    <w:rsid w:val="008A6569"/>
    <w:rsid w:val="008B7F0A"/>
    <w:rsid w:val="008C0A70"/>
    <w:rsid w:val="008D7C93"/>
    <w:rsid w:val="008F2628"/>
    <w:rsid w:val="00940268"/>
    <w:rsid w:val="00950BA5"/>
    <w:rsid w:val="00952448"/>
    <w:rsid w:val="009714E3"/>
    <w:rsid w:val="0098276D"/>
    <w:rsid w:val="009A0A7C"/>
    <w:rsid w:val="009A37CE"/>
    <w:rsid w:val="009D570F"/>
    <w:rsid w:val="009F04F9"/>
    <w:rsid w:val="00A00A01"/>
    <w:rsid w:val="00A22806"/>
    <w:rsid w:val="00A57171"/>
    <w:rsid w:val="00A61F77"/>
    <w:rsid w:val="00A71C03"/>
    <w:rsid w:val="00AC26DF"/>
    <w:rsid w:val="00AF4970"/>
    <w:rsid w:val="00B13709"/>
    <w:rsid w:val="00B50649"/>
    <w:rsid w:val="00B537B1"/>
    <w:rsid w:val="00B60041"/>
    <w:rsid w:val="00B62179"/>
    <w:rsid w:val="00B7516A"/>
    <w:rsid w:val="00B95096"/>
    <w:rsid w:val="00BF0A8A"/>
    <w:rsid w:val="00BF5EDA"/>
    <w:rsid w:val="00BF6403"/>
    <w:rsid w:val="00C00C08"/>
    <w:rsid w:val="00C25E92"/>
    <w:rsid w:val="00C702CC"/>
    <w:rsid w:val="00C70CD1"/>
    <w:rsid w:val="00C81C15"/>
    <w:rsid w:val="00C917F8"/>
    <w:rsid w:val="00CC5E17"/>
    <w:rsid w:val="00CF05A6"/>
    <w:rsid w:val="00CF5331"/>
    <w:rsid w:val="00D21341"/>
    <w:rsid w:val="00D31DAF"/>
    <w:rsid w:val="00D46DA5"/>
    <w:rsid w:val="00D6272D"/>
    <w:rsid w:val="00D96208"/>
    <w:rsid w:val="00DA773E"/>
    <w:rsid w:val="00DB73CF"/>
    <w:rsid w:val="00DE3C64"/>
    <w:rsid w:val="00DF4A70"/>
    <w:rsid w:val="00E23C07"/>
    <w:rsid w:val="00E4744D"/>
    <w:rsid w:val="00E603E1"/>
    <w:rsid w:val="00E662EA"/>
    <w:rsid w:val="00E73872"/>
    <w:rsid w:val="00E80C2A"/>
    <w:rsid w:val="00E81021"/>
    <w:rsid w:val="00E87B73"/>
    <w:rsid w:val="00E93CF1"/>
    <w:rsid w:val="00EC6DC5"/>
    <w:rsid w:val="00ED4EFF"/>
    <w:rsid w:val="00F05287"/>
    <w:rsid w:val="00F625DF"/>
    <w:rsid w:val="00F76393"/>
    <w:rsid w:val="00F93B1F"/>
    <w:rsid w:val="00F9545A"/>
    <w:rsid w:val="00FC619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7C146"/>
  <w15:chartTrackingRefBased/>
  <w15:docId w15:val="{301D1FF6-AF3F-4440-BB5D-5EA81037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2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62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62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51F"/>
    <w:pPr>
      <w:tabs>
        <w:tab w:val="center" w:pos="4252"/>
        <w:tab w:val="right" w:pos="8504"/>
      </w:tabs>
      <w:spacing w:after="0" w:line="240" w:lineRule="auto"/>
    </w:pPr>
  </w:style>
  <w:style w:type="character" w:customStyle="1" w:styleId="HeaderChar">
    <w:name w:val="Header Char"/>
    <w:basedOn w:val="DefaultParagraphFont"/>
    <w:link w:val="Header"/>
    <w:uiPriority w:val="99"/>
    <w:rsid w:val="005A451F"/>
  </w:style>
  <w:style w:type="paragraph" w:styleId="Footer">
    <w:name w:val="footer"/>
    <w:basedOn w:val="Normal"/>
    <w:link w:val="FooterChar"/>
    <w:uiPriority w:val="99"/>
    <w:unhideWhenUsed/>
    <w:rsid w:val="005A451F"/>
    <w:pPr>
      <w:tabs>
        <w:tab w:val="center" w:pos="4252"/>
        <w:tab w:val="right" w:pos="8504"/>
      </w:tabs>
      <w:spacing w:after="0" w:line="240" w:lineRule="auto"/>
    </w:pPr>
  </w:style>
  <w:style w:type="character" w:customStyle="1" w:styleId="FooterChar">
    <w:name w:val="Footer Char"/>
    <w:basedOn w:val="DefaultParagraphFont"/>
    <w:link w:val="Footer"/>
    <w:uiPriority w:val="99"/>
    <w:rsid w:val="005A451F"/>
  </w:style>
  <w:style w:type="paragraph" w:styleId="NoSpacing">
    <w:name w:val="No Spacing"/>
    <w:link w:val="NoSpacingChar"/>
    <w:uiPriority w:val="1"/>
    <w:qFormat/>
    <w:rsid w:val="005A451F"/>
    <w:pPr>
      <w:spacing w:after="0" w:line="240" w:lineRule="auto"/>
    </w:pPr>
    <w:rPr>
      <w:rFonts w:eastAsiaTheme="minorEastAsia"/>
      <w:lang w:val="es-ES" w:eastAsia="es-ES"/>
    </w:rPr>
  </w:style>
  <w:style w:type="character" w:customStyle="1" w:styleId="NoSpacingChar">
    <w:name w:val="No Spacing Char"/>
    <w:basedOn w:val="DefaultParagraphFont"/>
    <w:link w:val="NoSpacing"/>
    <w:uiPriority w:val="1"/>
    <w:rsid w:val="005A451F"/>
    <w:rPr>
      <w:rFonts w:eastAsiaTheme="minorEastAsia"/>
      <w:lang w:val="es-ES" w:eastAsia="es-ES"/>
    </w:rPr>
  </w:style>
  <w:style w:type="character" w:customStyle="1" w:styleId="Heading1Char">
    <w:name w:val="Heading 1 Char"/>
    <w:basedOn w:val="DefaultParagraphFont"/>
    <w:link w:val="Heading1"/>
    <w:uiPriority w:val="9"/>
    <w:rsid w:val="001159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62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620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96208"/>
    <w:pPr>
      <w:ind w:left="720"/>
      <w:contextualSpacing/>
    </w:pPr>
  </w:style>
  <w:style w:type="character" w:customStyle="1" w:styleId="Heading4Char">
    <w:name w:val="Heading 4 Char"/>
    <w:basedOn w:val="DefaultParagraphFont"/>
    <w:link w:val="Heading4"/>
    <w:uiPriority w:val="9"/>
    <w:rsid w:val="00D9620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3B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74"/>
    <w:rPr>
      <w:rFonts w:ascii="Segoe UI" w:hAnsi="Segoe UI" w:cs="Segoe UI"/>
      <w:sz w:val="18"/>
      <w:szCs w:val="18"/>
    </w:rPr>
  </w:style>
  <w:style w:type="paragraph" w:styleId="TOCHeading">
    <w:name w:val="TOC Heading"/>
    <w:basedOn w:val="Heading1"/>
    <w:next w:val="Normal"/>
    <w:uiPriority w:val="39"/>
    <w:unhideWhenUsed/>
    <w:qFormat/>
    <w:rsid w:val="00BF6403"/>
    <w:pPr>
      <w:outlineLvl w:val="9"/>
    </w:pPr>
    <w:rPr>
      <w:lang w:val="es-ES" w:eastAsia="es-ES"/>
    </w:rPr>
  </w:style>
  <w:style w:type="paragraph" w:styleId="TOC1">
    <w:name w:val="toc 1"/>
    <w:basedOn w:val="Normal"/>
    <w:next w:val="Normal"/>
    <w:autoRedefine/>
    <w:uiPriority w:val="39"/>
    <w:unhideWhenUsed/>
    <w:rsid w:val="00BF6403"/>
    <w:pPr>
      <w:spacing w:after="100"/>
    </w:pPr>
  </w:style>
  <w:style w:type="paragraph" w:styleId="TOC2">
    <w:name w:val="toc 2"/>
    <w:basedOn w:val="Normal"/>
    <w:next w:val="Normal"/>
    <w:autoRedefine/>
    <w:uiPriority w:val="39"/>
    <w:unhideWhenUsed/>
    <w:rsid w:val="00BF6403"/>
    <w:pPr>
      <w:spacing w:after="100"/>
      <w:ind w:left="220"/>
    </w:pPr>
  </w:style>
  <w:style w:type="character" w:styleId="Hyperlink">
    <w:name w:val="Hyperlink"/>
    <w:basedOn w:val="DefaultParagraphFont"/>
    <w:uiPriority w:val="99"/>
    <w:unhideWhenUsed/>
    <w:rsid w:val="00BF6403"/>
    <w:rPr>
      <w:color w:val="0563C1" w:themeColor="hyperlink"/>
      <w:u w:val="single"/>
    </w:rPr>
  </w:style>
  <w:style w:type="table" w:styleId="TableGrid">
    <w:name w:val="Table Grid"/>
    <w:basedOn w:val="TableNormal"/>
    <w:uiPriority w:val="39"/>
    <w:rsid w:val="0087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C64"/>
    <w:rPr>
      <w:sz w:val="16"/>
      <w:szCs w:val="16"/>
    </w:rPr>
  </w:style>
  <w:style w:type="paragraph" w:styleId="CommentText">
    <w:name w:val="annotation text"/>
    <w:basedOn w:val="Normal"/>
    <w:link w:val="CommentTextChar"/>
    <w:uiPriority w:val="99"/>
    <w:unhideWhenUsed/>
    <w:rsid w:val="00DE3C64"/>
    <w:pPr>
      <w:spacing w:line="240" w:lineRule="auto"/>
    </w:pPr>
    <w:rPr>
      <w:sz w:val="20"/>
      <w:szCs w:val="20"/>
      <w:lang w:val="es-ES"/>
    </w:rPr>
  </w:style>
  <w:style w:type="character" w:customStyle="1" w:styleId="CommentTextChar">
    <w:name w:val="Comment Text Char"/>
    <w:basedOn w:val="DefaultParagraphFont"/>
    <w:link w:val="CommentText"/>
    <w:uiPriority w:val="99"/>
    <w:rsid w:val="00DE3C64"/>
    <w:rPr>
      <w:sz w:val="20"/>
      <w:szCs w:val="20"/>
      <w:lang w:val="es-ES"/>
    </w:rPr>
  </w:style>
  <w:style w:type="paragraph" w:customStyle="1" w:styleId="Default">
    <w:name w:val="Default"/>
    <w:rsid w:val="00507105"/>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0F252B"/>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TOC3">
    <w:name w:val="toc 3"/>
    <w:basedOn w:val="Normal"/>
    <w:next w:val="Normal"/>
    <w:autoRedefine/>
    <w:uiPriority w:val="39"/>
    <w:unhideWhenUsed/>
    <w:rsid w:val="000945ED"/>
    <w:pPr>
      <w:spacing w:after="100"/>
      <w:ind w:left="440"/>
    </w:pPr>
  </w:style>
  <w:style w:type="character" w:customStyle="1" w:styleId="st1">
    <w:name w:val="st1"/>
    <w:basedOn w:val="DefaultParagraphFont"/>
    <w:rsid w:val="00397626"/>
  </w:style>
  <w:style w:type="paragraph" w:styleId="CommentSubject">
    <w:name w:val="annotation subject"/>
    <w:basedOn w:val="CommentText"/>
    <w:next w:val="CommentText"/>
    <w:link w:val="CommentSubjectChar"/>
    <w:uiPriority w:val="99"/>
    <w:semiHidden/>
    <w:unhideWhenUsed/>
    <w:rsid w:val="00876067"/>
    <w:rPr>
      <w:b/>
      <w:bCs/>
      <w:lang w:val="es-BO"/>
    </w:rPr>
  </w:style>
  <w:style w:type="character" w:customStyle="1" w:styleId="CommentSubjectChar">
    <w:name w:val="Comment Subject Char"/>
    <w:basedOn w:val="CommentTextChar"/>
    <w:link w:val="CommentSubject"/>
    <w:uiPriority w:val="99"/>
    <w:semiHidden/>
    <w:rsid w:val="00876067"/>
    <w:rPr>
      <w:b/>
      <w:bCs/>
      <w:sz w:val="20"/>
      <w:szCs w:val="20"/>
      <w:lang w:val="es-ES"/>
    </w:rPr>
  </w:style>
  <w:style w:type="paragraph" w:styleId="FootnoteText">
    <w:name w:val="footnote text"/>
    <w:aliases w:val="5_G,Footnote Text Char Char Char Char,Footnote Text Char Char Char,Char,Footnote reference,FA Fu,Footnote Text Char Char Char Char Char,footnote text,Footnote Text Cha,FA Fußnotentext,FA Fuﬂnotentext,Footnote Text Char Char,ft,C, Car Car"/>
    <w:basedOn w:val="Normal"/>
    <w:link w:val="FootnoteTextChar"/>
    <w:uiPriority w:val="99"/>
    <w:unhideWhenUsed/>
    <w:qFormat/>
    <w:rsid w:val="00FC6198"/>
    <w:pPr>
      <w:spacing w:after="0" w:line="240" w:lineRule="auto"/>
    </w:pPr>
    <w:rPr>
      <w:sz w:val="20"/>
      <w:szCs w:val="20"/>
      <w:lang w:val="es-ES"/>
    </w:rPr>
  </w:style>
  <w:style w:type="character" w:customStyle="1" w:styleId="FootnoteTextChar">
    <w:name w:val="Footnote Text Char"/>
    <w:aliases w:val="5_G Char,Footnote Text Char Char Char Char Char1,Footnote Text Char Char Char Char1,Char Char,Footnote reference Char,FA Fu Char,Footnote Text Char Char Char Char Char Char,footnote text Char,Footnote Text Cha Char,ft Char,C Char"/>
    <w:basedOn w:val="DefaultParagraphFont"/>
    <w:link w:val="FootnoteText"/>
    <w:uiPriority w:val="99"/>
    <w:rsid w:val="00FC6198"/>
    <w:rPr>
      <w:sz w:val="20"/>
      <w:szCs w:val="20"/>
      <w:lang w:val="es-ES"/>
    </w:rPr>
  </w:style>
  <w:style w:type="character" w:styleId="FootnoteReference">
    <w:name w:val="footnote reference"/>
    <w:aliases w:val="4_G,Footnotes refss,Texto de nota al pie,referencia nota al pie,BVI fnr,Appel note de bas de page,Footnote number,Footnote symbol,Footnote,f,Ref. de nota al pie.,referencia nota al pi...,16 Point,Superscript 6 Point,Texto nota al pie"/>
    <w:basedOn w:val="DefaultParagraphFont"/>
    <w:link w:val="BVIfnrCarCar1CarCarCar"/>
    <w:uiPriority w:val="99"/>
    <w:unhideWhenUsed/>
    <w:qFormat/>
    <w:rsid w:val="00FC6198"/>
    <w:rPr>
      <w:vertAlign w:val="superscript"/>
    </w:rPr>
  </w:style>
  <w:style w:type="paragraph" w:customStyle="1" w:styleId="BVIfnrCarCar1CarCarCar">
    <w:name w:val="BVI fnr Car Car1 Car Car Car"/>
    <w:aliases w:val=" BVI fnr Car Car Car Car1 Car Car Car,BVI fnr Car Car Car Car1 Car1 Car, BVI fnr Car Car Car Car Car Car Car Car Car,BVI fnr Car Car Car Car1 Car Car Car Car Car,BVI fnr Car Car Car Car1 Car Car Car"/>
    <w:basedOn w:val="Normal"/>
    <w:link w:val="FootnoteReference"/>
    <w:uiPriority w:val="99"/>
    <w:rsid w:val="00FC6198"/>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986">
      <w:bodyDiv w:val="1"/>
      <w:marLeft w:val="0"/>
      <w:marRight w:val="0"/>
      <w:marTop w:val="0"/>
      <w:marBottom w:val="0"/>
      <w:divBdr>
        <w:top w:val="none" w:sz="0" w:space="0" w:color="auto"/>
        <w:left w:val="none" w:sz="0" w:space="0" w:color="auto"/>
        <w:bottom w:val="none" w:sz="0" w:space="0" w:color="auto"/>
        <w:right w:val="none" w:sz="0" w:space="0" w:color="auto"/>
      </w:divBdr>
    </w:div>
    <w:div w:id="348796559">
      <w:bodyDiv w:val="1"/>
      <w:marLeft w:val="0"/>
      <w:marRight w:val="0"/>
      <w:marTop w:val="0"/>
      <w:marBottom w:val="0"/>
      <w:divBdr>
        <w:top w:val="none" w:sz="0" w:space="0" w:color="auto"/>
        <w:left w:val="none" w:sz="0" w:space="0" w:color="auto"/>
        <w:bottom w:val="none" w:sz="0" w:space="0" w:color="auto"/>
        <w:right w:val="none" w:sz="0" w:space="0" w:color="auto"/>
      </w:divBdr>
    </w:div>
    <w:div w:id="372266443">
      <w:bodyDiv w:val="1"/>
      <w:marLeft w:val="0"/>
      <w:marRight w:val="0"/>
      <w:marTop w:val="0"/>
      <w:marBottom w:val="0"/>
      <w:divBdr>
        <w:top w:val="none" w:sz="0" w:space="0" w:color="auto"/>
        <w:left w:val="none" w:sz="0" w:space="0" w:color="auto"/>
        <w:bottom w:val="none" w:sz="0" w:space="0" w:color="auto"/>
        <w:right w:val="none" w:sz="0" w:space="0" w:color="auto"/>
      </w:divBdr>
    </w:div>
    <w:div w:id="404960716">
      <w:bodyDiv w:val="1"/>
      <w:marLeft w:val="0"/>
      <w:marRight w:val="0"/>
      <w:marTop w:val="0"/>
      <w:marBottom w:val="0"/>
      <w:divBdr>
        <w:top w:val="none" w:sz="0" w:space="0" w:color="auto"/>
        <w:left w:val="none" w:sz="0" w:space="0" w:color="auto"/>
        <w:bottom w:val="none" w:sz="0" w:space="0" w:color="auto"/>
        <w:right w:val="none" w:sz="0" w:space="0" w:color="auto"/>
      </w:divBdr>
    </w:div>
    <w:div w:id="575822758">
      <w:bodyDiv w:val="1"/>
      <w:marLeft w:val="0"/>
      <w:marRight w:val="0"/>
      <w:marTop w:val="0"/>
      <w:marBottom w:val="0"/>
      <w:divBdr>
        <w:top w:val="none" w:sz="0" w:space="0" w:color="auto"/>
        <w:left w:val="none" w:sz="0" w:space="0" w:color="auto"/>
        <w:bottom w:val="none" w:sz="0" w:space="0" w:color="auto"/>
        <w:right w:val="none" w:sz="0" w:space="0" w:color="auto"/>
      </w:divBdr>
    </w:div>
    <w:div w:id="656691114">
      <w:bodyDiv w:val="1"/>
      <w:marLeft w:val="0"/>
      <w:marRight w:val="0"/>
      <w:marTop w:val="0"/>
      <w:marBottom w:val="0"/>
      <w:divBdr>
        <w:top w:val="none" w:sz="0" w:space="0" w:color="auto"/>
        <w:left w:val="none" w:sz="0" w:space="0" w:color="auto"/>
        <w:bottom w:val="none" w:sz="0" w:space="0" w:color="auto"/>
        <w:right w:val="none" w:sz="0" w:space="0" w:color="auto"/>
      </w:divBdr>
    </w:div>
    <w:div w:id="799420891">
      <w:bodyDiv w:val="1"/>
      <w:marLeft w:val="0"/>
      <w:marRight w:val="0"/>
      <w:marTop w:val="0"/>
      <w:marBottom w:val="0"/>
      <w:divBdr>
        <w:top w:val="none" w:sz="0" w:space="0" w:color="auto"/>
        <w:left w:val="none" w:sz="0" w:space="0" w:color="auto"/>
        <w:bottom w:val="none" w:sz="0" w:space="0" w:color="auto"/>
        <w:right w:val="none" w:sz="0" w:space="0" w:color="auto"/>
      </w:divBdr>
    </w:div>
    <w:div w:id="887886420">
      <w:bodyDiv w:val="1"/>
      <w:marLeft w:val="0"/>
      <w:marRight w:val="0"/>
      <w:marTop w:val="0"/>
      <w:marBottom w:val="0"/>
      <w:divBdr>
        <w:top w:val="none" w:sz="0" w:space="0" w:color="auto"/>
        <w:left w:val="none" w:sz="0" w:space="0" w:color="auto"/>
        <w:bottom w:val="none" w:sz="0" w:space="0" w:color="auto"/>
        <w:right w:val="none" w:sz="0" w:space="0" w:color="auto"/>
      </w:divBdr>
    </w:div>
    <w:div w:id="928925237">
      <w:bodyDiv w:val="1"/>
      <w:marLeft w:val="0"/>
      <w:marRight w:val="0"/>
      <w:marTop w:val="0"/>
      <w:marBottom w:val="0"/>
      <w:divBdr>
        <w:top w:val="none" w:sz="0" w:space="0" w:color="auto"/>
        <w:left w:val="none" w:sz="0" w:space="0" w:color="auto"/>
        <w:bottom w:val="none" w:sz="0" w:space="0" w:color="auto"/>
        <w:right w:val="none" w:sz="0" w:space="0" w:color="auto"/>
      </w:divBdr>
    </w:div>
    <w:div w:id="978801707">
      <w:bodyDiv w:val="1"/>
      <w:marLeft w:val="0"/>
      <w:marRight w:val="0"/>
      <w:marTop w:val="0"/>
      <w:marBottom w:val="0"/>
      <w:divBdr>
        <w:top w:val="none" w:sz="0" w:space="0" w:color="auto"/>
        <w:left w:val="none" w:sz="0" w:space="0" w:color="auto"/>
        <w:bottom w:val="none" w:sz="0" w:space="0" w:color="auto"/>
        <w:right w:val="none" w:sz="0" w:space="0" w:color="auto"/>
      </w:divBdr>
    </w:div>
    <w:div w:id="1139612401">
      <w:bodyDiv w:val="1"/>
      <w:marLeft w:val="0"/>
      <w:marRight w:val="0"/>
      <w:marTop w:val="0"/>
      <w:marBottom w:val="0"/>
      <w:divBdr>
        <w:top w:val="none" w:sz="0" w:space="0" w:color="auto"/>
        <w:left w:val="none" w:sz="0" w:space="0" w:color="auto"/>
        <w:bottom w:val="none" w:sz="0" w:space="0" w:color="auto"/>
        <w:right w:val="none" w:sz="0" w:space="0" w:color="auto"/>
      </w:divBdr>
    </w:div>
    <w:div w:id="1148860079">
      <w:bodyDiv w:val="1"/>
      <w:marLeft w:val="0"/>
      <w:marRight w:val="0"/>
      <w:marTop w:val="0"/>
      <w:marBottom w:val="0"/>
      <w:divBdr>
        <w:top w:val="none" w:sz="0" w:space="0" w:color="auto"/>
        <w:left w:val="none" w:sz="0" w:space="0" w:color="auto"/>
        <w:bottom w:val="none" w:sz="0" w:space="0" w:color="auto"/>
        <w:right w:val="none" w:sz="0" w:space="0" w:color="auto"/>
      </w:divBdr>
    </w:div>
    <w:div w:id="1259560087">
      <w:bodyDiv w:val="1"/>
      <w:marLeft w:val="0"/>
      <w:marRight w:val="0"/>
      <w:marTop w:val="0"/>
      <w:marBottom w:val="0"/>
      <w:divBdr>
        <w:top w:val="none" w:sz="0" w:space="0" w:color="auto"/>
        <w:left w:val="none" w:sz="0" w:space="0" w:color="auto"/>
        <w:bottom w:val="none" w:sz="0" w:space="0" w:color="auto"/>
        <w:right w:val="none" w:sz="0" w:space="0" w:color="auto"/>
      </w:divBdr>
    </w:div>
    <w:div w:id="1326933348">
      <w:bodyDiv w:val="1"/>
      <w:marLeft w:val="0"/>
      <w:marRight w:val="0"/>
      <w:marTop w:val="0"/>
      <w:marBottom w:val="0"/>
      <w:divBdr>
        <w:top w:val="none" w:sz="0" w:space="0" w:color="auto"/>
        <w:left w:val="none" w:sz="0" w:space="0" w:color="auto"/>
        <w:bottom w:val="none" w:sz="0" w:space="0" w:color="auto"/>
        <w:right w:val="none" w:sz="0" w:space="0" w:color="auto"/>
      </w:divBdr>
    </w:div>
    <w:div w:id="1505365157">
      <w:bodyDiv w:val="1"/>
      <w:marLeft w:val="0"/>
      <w:marRight w:val="0"/>
      <w:marTop w:val="0"/>
      <w:marBottom w:val="0"/>
      <w:divBdr>
        <w:top w:val="none" w:sz="0" w:space="0" w:color="auto"/>
        <w:left w:val="none" w:sz="0" w:space="0" w:color="auto"/>
        <w:bottom w:val="none" w:sz="0" w:space="0" w:color="auto"/>
        <w:right w:val="none" w:sz="0" w:space="0" w:color="auto"/>
      </w:divBdr>
    </w:div>
    <w:div w:id="1761296337">
      <w:bodyDiv w:val="1"/>
      <w:marLeft w:val="0"/>
      <w:marRight w:val="0"/>
      <w:marTop w:val="0"/>
      <w:marBottom w:val="0"/>
      <w:divBdr>
        <w:top w:val="none" w:sz="0" w:space="0" w:color="auto"/>
        <w:left w:val="none" w:sz="0" w:space="0" w:color="auto"/>
        <w:bottom w:val="none" w:sz="0" w:space="0" w:color="auto"/>
        <w:right w:val="none" w:sz="0" w:space="0" w:color="auto"/>
      </w:divBdr>
    </w:div>
    <w:div w:id="1780493183">
      <w:bodyDiv w:val="1"/>
      <w:marLeft w:val="0"/>
      <w:marRight w:val="0"/>
      <w:marTop w:val="0"/>
      <w:marBottom w:val="0"/>
      <w:divBdr>
        <w:top w:val="none" w:sz="0" w:space="0" w:color="auto"/>
        <w:left w:val="none" w:sz="0" w:space="0" w:color="auto"/>
        <w:bottom w:val="none" w:sz="0" w:space="0" w:color="auto"/>
        <w:right w:val="none" w:sz="0" w:space="0" w:color="auto"/>
      </w:divBdr>
    </w:div>
    <w:div w:id="1810393673">
      <w:bodyDiv w:val="1"/>
      <w:marLeft w:val="0"/>
      <w:marRight w:val="0"/>
      <w:marTop w:val="0"/>
      <w:marBottom w:val="0"/>
      <w:divBdr>
        <w:top w:val="none" w:sz="0" w:space="0" w:color="auto"/>
        <w:left w:val="none" w:sz="0" w:space="0" w:color="auto"/>
        <w:bottom w:val="none" w:sz="0" w:space="0" w:color="auto"/>
        <w:right w:val="none" w:sz="0" w:space="0" w:color="auto"/>
      </w:divBdr>
    </w:div>
    <w:div w:id="1865945809">
      <w:bodyDiv w:val="1"/>
      <w:marLeft w:val="0"/>
      <w:marRight w:val="0"/>
      <w:marTop w:val="0"/>
      <w:marBottom w:val="0"/>
      <w:divBdr>
        <w:top w:val="none" w:sz="0" w:space="0" w:color="auto"/>
        <w:left w:val="none" w:sz="0" w:space="0" w:color="auto"/>
        <w:bottom w:val="none" w:sz="0" w:space="0" w:color="auto"/>
        <w:right w:val="none" w:sz="0" w:space="0" w:color="auto"/>
      </w:divBdr>
    </w:div>
    <w:div w:id="1979334779">
      <w:bodyDiv w:val="1"/>
      <w:marLeft w:val="0"/>
      <w:marRight w:val="0"/>
      <w:marTop w:val="0"/>
      <w:marBottom w:val="0"/>
      <w:divBdr>
        <w:top w:val="none" w:sz="0" w:space="0" w:color="auto"/>
        <w:left w:val="none" w:sz="0" w:space="0" w:color="auto"/>
        <w:bottom w:val="none" w:sz="0" w:space="0" w:color="auto"/>
        <w:right w:val="none" w:sz="0" w:space="0" w:color="auto"/>
      </w:divBdr>
    </w:div>
    <w:div w:id="2093428181">
      <w:bodyDiv w:val="1"/>
      <w:marLeft w:val="0"/>
      <w:marRight w:val="0"/>
      <w:marTop w:val="0"/>
      <w:marBottom w:val="0"/>
      <w:divBdr>
        <w:top w:val="none" w:sz="0" w:space="0" w:color="auto"/>
        <w:left w:val="none" w:sz="0" w:space="0" w:color="auto"/>
        <w:bottom w:val="none" w:sz="0" w:space="0" w:color="auto"/>
        <w:right w:val="none" w:sz="0" w:space="0" w:color="auto"/>
      </w:divBdr>
    </w:div>
    <w:div w:id="21302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E8BC-A78B-4D1F-AC40-6A0A38EB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11236</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Marco de Complementariedad de Naciones Unidas para el Vivir Bien en Bolivia 2018-2022</vt:lpstr>
      <vt:lpstr>Marco de Complementariedad de Naciones Unidas para el Vivir Bien en Bolivia 2018-2022</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de Complementariedad de Naciones Unidas para el Vivir Bien en Bolivia 2018-2022</dc:title>
  <dc:subject/>
  <dc:creator>Sistem</dc:creator>
  <cp:keywords/>
  <dc:description/>
  <cp:lastModifiedBy>Svetlana Iazykova</cp:lastModifiedBy>
  <cp:revision>2</cp:revision>
  <cp:lastPrinted>2017-02-21T21:37:00Z</cp:lastPrinted>
  <dcterms:created xsi:type="dcterms:W3CDTF">2017-06-13T14:48:00Z</dcterms:created>
  <dcterms:modified xsi:type="dcterms:W3CDTF">2017-06-13T14:48:00Z</dcterms:modified>
</cp:coreProperties>
</file>