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C9240" w14:textId="77777777" w:rsidR="00617558" w:rsidRPr="002B46EC" w:rsidRDefault="00617558" w:rsidP="002B46EC">
      <w:pPr>
        <w:numPr>
          <w:ilvl w:val="0"/>
          <w:numId w:val="0"/>
        </w:numPr>
        <w:ind w:left="720" w:hanging="360"/>
        <w:jc w:val="center"/>
        <w:rPr>
          <w:b/>
          <w:sz w:val="32"/>
          <w:szCs w:val="32"/>
        </w:rPr>
      </w:pPr>
      <w:bookmarkStart w:id="0" w:name="_GoBack"/>
      <w:bookmarkEnd w:id="0"/>
      <w:r w:rsidRPr="002B46EC">
        <w:rPr>
          <w:b/>
          <w:sz w:val="32"/>
          <w:szCs w:val="32"/>
        </w:rPr>
        <w:t>United Nations Office for Project Services (UNOPS)</w:t>
      </w:r>
    </w:p>
    <w:p w14:paraId="04363776" w14:textId="59478A20" w:rsidR="00617558" w:rsidRPr="002B46EC" w:rsidRDefault="00617558" w:rsidP="00943071">
      <w:pPr>
        <w:numPr>
          <w:ilvl w:val="0"/>
          <w:numId w:val="0"/>
        </w:numPr>
        <w:spacing w:before="0" w:after="40"/>
        <w:jc w:val="center"/>
        <w:rPr>
          <w:b/>
          <w:lang w:val="en-GB"/>
        </w:rPr>
      </w:pPr>
      <w:r w:rsidRPr="002B46EC">
        <w:rPr>
          <w:b/>
          <w:lang w:val="en-GB"/>
        </w:rPr>
        <w:t>UNOPS Management Response to</w:t>
      </w:r>
      <w:r w:rsidR="002B46EC" w:rsidRPr="002B46EC">
        <w:rPr>
          <w:b/>
          <w:lang w:val="en-GB"/>
        </w:rPr>
        <w:t xml:space="preserve"> the</w:t>
      </w:r>
      <w:r w:rsidR="00943071">
        <w:rPr>
          <w:b/>
          <w:lang w:val="en-GB"/>
        </w:rPr>
        <w:t xml:space="preserve"> </w:t>
      </w:r>
      <w:r w:rsidRPr="002B46EC">
        <w:rPr>
          <w:b/>
          <w:lang w:val="en-GB"/>
        </w:rPr>
        <w:t>Activity Report for 201</w:t>
      </w:r>
      <w:r w:rsidR="007345E0" w:rsidRPr="002B46EC">
        <w:rPr>
          <w:b/>
          <w:lang w:val="en-GB"/>
        </w:rPr>
        <w:t>7</w:t>
      </w:r>
      <w:r w:rsidRPr="002B46EC">
        <w:rPr>
          <w:b/>
          <w:lang w:val="en-GB"/>
        </w:rPr>
        <w:t xml:space="preserve"> of IAIG and the </w:t>
      </w:r>
      <w:r w:rsidR="002B46EC" w:rsidRPr="002B46EC">
        <w:rPr>
          <w:b/>
          <w:lang w:val="en-GB"/>
        </w:rPr>
        <w:t xml:space="preserve">report on </w:t>
      </w:r>
      <w:r w:rsidRPr="002B46EC">
        <w:rPr>
          <w:b/>
          <w:lang w:val="en-GB"/>
        </w:rPr>
        <w:t xml:space="preserve">Activities of the Ethics Officer in </w:t>
      </w:r>
      <w:r w:rsidR="007345E0" w:rsidRPr="002B46EC">
        <w:rPr>
          <w:b/>
          <w:lang w:val="en-GB"/>
        </w:rPr>
        <w:t>2017</w:t>
      </w:r>
    </w:p>
    <w:p w14:paraId="337C01E8" w14:textId="77777777" w:rsidR="002B46EC" w:rsidRPr="00AF5409" w:rsidRDefault="002B46EC" w:rsidP="002B46EC">
      <w:pPr>
        <w:numPr>
          <w:ilvl w:val="0"/>
          <w:numId w:val="0"/>
        </w:numPr>
        <w:spacing w:before="0" w:after="40"/>
        <w:ind w:left="357"/>
        <w:rPr>
          <w:lang w:val="en-GB"/>
        </w:rPr>
      </w:pPr>
    </w:p>
    <w:sdt>
      <w:sdtPr>
        <w:rPr>
          <w:b w:val="0"/>
          <w:bCs w:val="0"/>
          <w:iCs w:val="0"/>
          <w:noProof w:val="0"/>
          <w:sz w:val="24"/>
          <w:szCs w:val="20"/>
        </w:rPr>
        <w:id w:val="-966662466"/>
        <w:docPartObj>
          <w:docPartGallery w:val="Table of Contents"/>
          <w:docPartUnique/>
        </w:docPartObj>
      </w:sdtPr>
      <w:sdtEndPr/>
      <w:sdtContent>
        <w:p w14:paraId="28A24C95" w14:textId="71AD5080" w:rsidR="00680760" w:rsidRDefault="00104161">
          <w:pPr>
            <w:pStyle w:val="TOC1"/>
            <w:rPr>
              <w:rFonts w:asciiTheme="minorHAnsi" w:eastAsiaTheme="minorEastAsia" w:hAnsiTheme="minorHAnsi" w:cstheme="minorBidi"/>
              <w:b w:val="0"/>
              <w:bCs w:val="0"/>
              <w:iCs w:val="0"/>
            </w:rPr>
          </w:pPr>
          <w:r>
            <w:rPr>
              <w:b w:val="0"/>
              <w:lang w:val="en-GB"/>
            </w:rPr>
            <w:fldChar w:fldCharType="begin"/>
          </w:r>
          <w:r>
            <w:instrText xml:space="preserve"> TOC \o "1-3" \h \z \u </w:instrText>
          </w:r>
          <w:r>
            <w:rPr>
              <w:b w:val="0"/>
              <w:lang w:val="en-GB"/>
            </w:rPr>
            <w:fldChar w:fldCharType="separate"/>
          </w:r>
          <w:hyperlink w:anchor="_Toc512590046" w:history="1">
            <w:r w:rsidR="00680760" w:rsidRPr="00A00E71">
              <w:rPr>
                <w:rStyle w:val="Hyperlink"/>
              </w:rPr>
              <w:t>A. Introduction</w:t>
            </w:r>
            <w:r w:rsidR="00680760">
              <w:rPr>
                <w:webHidden/>
              </w:rPr>
              <w:tab/>
            </w:r>
            <w:r w:rsidR="00680760">
              <w:rPr>
                <w:webHidden/>
              </w:rPr>
              <w:fldChar w:fldCharType="begin"/>
            </w:r>
            <w:r w:rsidR="00680760">
              <w:rPr>
                <w:webHidden/>
              </w:rPr>
              <w:instrText xml:space="preserve"> PAGEREF _Toc512590046 \h </w:instrText>
            </w:r>
            <w:r w:rsidR="00680760">
              <w:rPr>
                <w:webHidden/>
              </w:rPr>
            </w:r>
            <w:r w:rsidR="00680760">
              <w:rPr>
                <w:webHidden/>
              </w:rPr>
              <w:fldChar w:fldCharType="separate"/>
            </w:r>
            <w:r w:rsidR="007A05F9">
              <w:rPr>
                <w:webHidden/>
              </w:rPr>
              <w:t>1</w:t>
            </w:r>
            <w:r w:rsidR="00680760">
              <w:rPr>
                <w:webHidden/>
              </w:rPr>
              <w:fldChar w:fldCharType="end"/>
            </w:r>
          </w:hyperlink>
        </w:p>
        <w:p w14:paraId="7560CA6A" w14:textId="205E92C9" w:rsidR="00680760" w:rsidRDefault="00A5051E">
          <w:pPr>
            <w:pStyle w:val="TOC1"/>
            <w:rPr>
              <w:rFonts w:asciiTheme="minorHAnsi" w:eastAsiaTheme="minorEastAsia" w:hAnsiTheme="minorHAnsi" w:cstheme="minorBidi"/>
              <w:b w:val="0"/>
              <w:bCs w:val="0"/>
              <w:iCs w:val="0"/>
            </w:rPr>
          </w:pPr>
          <w:hyperlink w:anchor="_Toc512590047" w:history="1">
            <w:r w:rsidR="00680760" w:rsidRPr="00A00E71">
              <w:rPr>
                <w:rStyle w:val="Hyperlink"/>
              </w:rPr>
              <w:t>B. The UNOPS Audit Advisory Committee</w:t>
            </w:r>
            <w:r w:rsidR="00680760">
              <w:rPr>
                <w:webHidden/>
              </w:rPr>
              <w:tab/>
            </w:r>
            <w:r w:rsidR="00680760">
              <w:rPr>
                <w:webHidden/>
              </w:rPr>
              <w:fldChar w:fldCharType="begin"/>
            </w:r>
            <w:r w:rsidR="00680760">
              <w:rPr>
                <w:webHidden/>
              </w:rPr>
              <w:instrText xml:space="preserve"> PAGEREF _Toc512590047 \h </w:instrText>
            </w:r>
            <w:r w:rsidR="00680760">
              <w:rPr>
                <w:webHidden/>
              </w:rPr>
            </w:r>
            <w:r w:rsidR="00680760">
              <w:rPr>
                <w:webHidden/>
              </w:rPr>
              <w:fldChar w:fldCharType="separate"/>
            </w:r>
            <w:r w:rsidR="007A05F9">
              <w:rPr>
                <w:webHidden/>
              </w:rPr>
              <w:t>1</w:t>
            </w:r>
            <w:r w:rsidR="00680760">
              <w:rPr>
                <w:webHidden/>
              </w:rPr>
              <w:fldChar w:fldCharType="end"/>
            </w:r>
          </w:hyperlink>
        </w:p>
        <w:p w14:paraId="1D423FFE" w14:textId="02CD18CF" w:rsidR="00680760" w:rsidRDefault="00A5051E">
          <w:pPr>
            <w:pStyle w:val="TOC1"/>
            <w:rPr>
              <w:rFonts w:asciiTheme="minorHAnsi" w:eastAsiaTheme="minorEastAsia" w:hAnsiTheme="minorHAnsi" w:cstheme="minorBidi"/>
              <w:b w:val="0"/>
              <w:bCs w:val="0"/>
              <w:iCs w:val="0"/>
            </w:rPr>
          </w:pPr>
          <w:hyperlink w:anchor="_Toc512590048" w:history="1">
            <w:r w:rsidR="00680760" w:rsidRPr="00A00E71">
              <w:rPr>
                <w:rStyle w:val="Hyperlink"/>
              </w:rPr>
              <w:t>C. Role and functions of the Internal Audit and Investigations Group</w:t>
            </w:r>
            <w:r w:rsidR="00680760">
              <w:rPr>
                <w:webHidden/>
              </w:rPr>
              <w:tab/>
            </w:r>
            <w:r w:rsidR="00680760">
              <w:rPr>
                <w:webHidden/>
              </w:rPr>
              <w:fldChar w:fldCharType="begin"/>
            </w:r>
            <w:r w:rsidR="00680760">
              <w:rPr>
                <w:webHidden/>
              </w:rPr>
              <w:instrText xml:space="preserve"> PAGEREF _Toc512590048 \h </w:instrText>
            </w:r>
            <w:r w:rsidR="00680760">
              <w:rPr>
                <w:webHidden/>
              </w:rPr>
            </w:r>
            <w:r w:rsidR="00680760">
              <w:rPr>
                <w:webHidden/>
              </w:rPr>
              <w:fldChar w:fldCharType="separate"/>
            </w:r>
            <w:r w:rsidR="007A05F9">
              <w:rPr>
                <w:webHidden/>
              </w:rPr>
              <w:t>1</w:t>
            </w:r>
            <w:r w:rsidR="00680760">
              <w:rPr>
                <w:webHidden/>
              </w:rPr>
              <w:fldChar w:fldCharType="end"/>
            </w:r>
          </w:hyperlink>
        </w:p>
        <w:p w14:paraId="119DB3F1" w14:textId="7AD3C8A4" w:rsidR="00680760" w:rsidRDefault="00A5051E">
          <w:pPr>
            <w:pStyle w:val="TOC2"/>
            <w:rPr>
              <w:rFonts w:asciiTheme="minorHAnsi" w:eastAsiaTheme="minorEastAsia" w:hAnsiTheme="minorHAnsi" w:cstheme="minorBidi"/>
              <w:bCs w:val="0"/>
              <w:lang w:val="en-US"/>
            </w:rPr>
          </w:pPr>
          <w:hyperlink w:anchor="_Toc512590049" w:history="1">
            <w:r w:rsidR="00680760" w:rsidRPr="00A00E71">
              <w:rPr>
                <w:rStyle w:val="Hyperlink"/>
              </w:rPr>
              <w:t>Role and functions</w:t>
            </w:r>
            <w:r w:rsidR="00680760">
              <w:rPr>
                <w:webHidden/>
              </w:rPr>
              <w:tab/>
            </w:r>
            <w:r w:rsidR="00680760">
              <w:rPr>
                <w:webHidden/>
              </w:rPr>
              <w:fldChar w:fldCharType="begin"/>
            </w:r>
            <w:r w:rsidR="00680760">
              <w:rPr>
                <w:webHidden/>
              </w:rPr>
              <w:instrText xml:space="preserve"> PAGEREF _Toc512590049 \h </w:instrText>
            </w:r>
            <w:r w:rsidR="00680760">
              <w:rPr>
                <w:webHidden/>
              </w:rPr>
            </w:r>
            <w:r w:rsidR="00680760">
              <w:rPr>
                <w:webHidden/>
              </w:rPr>
              <w:fldChar w:fldCharType="separate"/>
            </w:r>
            <w:r w:rsidR="007A05F9">
              <w:rPr>
                <w:webHidden/>
              </w:rPr>
              <w:t>1</w:t>
            </w:r>
            <w:r w:rsidR="00680760">
              <w:rPr>
                <w:webHidden/>
              </w:rPr>
              <w:fldChar w:fldCharType="end"/>
            </w:r>
          </w:hyperlink>
        </w:p>
        <w:p w14:paraId="6A0CCEA9" w14:textId="1039C678" w:rsidR="00680760" w:rsidRDefault="00A5051E">
          <w:pPr>
            <w:pStyle w:val="TOC2"/>
            <w:rPr>
              <w:rFonts w:asciiTheme="minorHAnsi" w:eastAsiaTheme="minorEastAsia" w:hAnsiTheme="minorHAnsi" w:cstheme="minorBidi"/>
              <w:bCs w:val="0"/>
              <w:lang w:val="en-US"/>
            </w:rPr>
          </w:pPr>
          <w:hyperlink w:anchor="_Toc512590050" w:history="1">
            <w:r w:rsidR="00680760" w:rsidRPr="00A00E71">
              <w:rPr>
                <w:rStyle w:val="Hyperlink"/>
              </w:rPr>
              <w:t>Mandate</w:t>
            </w:r>
            <w:r w:rsidR="00680760">
              <w:rPr>
                <w:webHidden/>
              </w:rPr>
              <w:tab/>
            </w:r>
            <w:r w:rsidR="00680760">
              <w:rPr>
                <w:webHidden/>
              </w:rPr>
              <w:fldChar w:fldCharType="begin"/>
            </w:r>
            <w:r w:rsidR="00680760">
              <w:rPr>
                <w:webHidden/>
              </w:rPr>
              <w:instrText xml:space="preserve"> PAGEREF _Toc512590050 \h </w:instrText>
            </w:r>
            <w:r w:rsidR="00680760">
              <w:rPr>
                <w:webHidden/>
              </w:rPr>
            </w:r>
            <w:r w:rsidR="00680760">
              <w:rPr>
                <w:webHidden/>
              </w:rPr>
              <w:fldChar w:fldCharType="separate"/>
            </w:r>
            <w:r w:rsidR="007A05F9">
              <w:rPr>
                <w:webHidden/>
              </w:rPr>
              <w:t>2</w:t>
            </w:r>
            <w:r w:rsidR="00680760">
              <w:rPr>
                <w:webHidden/>
              </w:rPr>
              <w:fldChar w:fldCharType="end"/>
            </w:r>
          </w:hyperlink>
        </w:p>
        <w:p w14:paraId="08610662" w14:textId="24F28819" w:rsidR="00680760" w:rsidRDefault="00A5051E">
          <w:pPr>
            <w:pStyle w:val="TOC2"/>
            <w:rPr>
              <w:rFonts w:asciiTheme="minorHAnsi" w:eastAsiaTheme="minorEastAsia" w:hAnsiTheme="minorHAnsi" w:cstheme="minorBidi"/>
              <w:bCs w:val="0"/>
              <w:lang w:val="en-US"/>
            </w:rPr>
          </w:pPr>
          <w:hyperlink w:anchor="_Toc512590051" w:history="1">
            <w:r w:rsidR="00680760" w:rsidRPr="00A00E71">
              <w:rPr>
                <w:rStyle w:val="Hyperlink"/>
              </w:rPr>
              <w:t>Coordination and collaboration</w:t>
            </w:r>
            <w:r w:rsidR="00680760">
              <w:rPr>
                <w:webHidden/>
              </w:rPr>
              <w:tab/>
            </w:r>
            <w:r w:rsidR="00680760">
              <w:rPr>
                <w:webHidden/>
              </w:rPr>
              <w:fldChar w:fldCharType="begin"/>
            </w:r>
            <w:r w:rsidR="00680760">
              <w:rPr>
                <w:webHidden/>
              </w:rPr>
              <w:instrText xml:space="preserve"> PAGEREF _Toc512590051 \h </w:instrText>
            </w:r>
            <w:r w:rsidR="00680760">
              <w:rPr>
                <w:webHidden/>
              </w:rPr>
            </w:r>
            <w:r w:rsidR="00680760">
              <w:rPr>
                <w:webHidden/>
              </w:rPr>
              <w:fldChar w:fldCharType="separate"/>
            </w:r>
            <w:r w:rsidR="007A05F9">
              <w:rPr>
                <w:webHidden/>
              </w:rPr>
              <w:t>2</w:t>
            </w:r>
            <w:r w:rsidR="00680760">
              <w:rPr>
                <w:webHidden/>
              </w:rPr>
              <w:fldChar w:fldCharType="end"/>
            </w:r>
          </w:hyperlink>
        </w:p>
        <w:p w14:paraId="0D3EA10A" w14:textId="6AC54725" w:rsidR="00680760" w:rsidRDefault="00A5051E">
          <w:pPr>
            <w:pStyle w:val="TOC1"/>
            <w:rPr>
              <w:rFonts w:asciiTheme="minorHAnsi" w:eastAsiaTheme="minorEastAsia" w:hAnsiTheme="minorHAnsi" w:cstheme="minorBidi"/>
              <w:b w:val="0"/>
              <w:bCs w:val="0"/>
              <w:iCs w:val="0"/>
            </w:rPr>
          </w:pPr>
          <w:hyperlink w:anchor="_Toc512590052" w:history="1">
            <w:r w:rsidR="00680760" w:rsidRPr="00A00E71">
              <w:rPr>
                <w:rStyle w:val="Hyperlink"/>
              </w:rPr>
              <w:t>D. IAIG Audits</w:t>
            </w:r>
            <w:r w:rsidR="00680760">
              <w:rPr>
                <w:webHidden/>
              </w:rPr>
              <w:tab/>
            </w:r>
            <w:r w:rsidR="00680760">
              <w:rPr>
                <w:webHidden/>
              </w:rPr>
              <w:fldChar w:fldCharType="begin"/>
            </w:r>
            <w:r w:rsidR="00680760">
              <w:rPr>
                <w:webHidden/>
              </w:rPr>
              <w:instrText xml:space="preserve"> PAGEREF _Toc512590052 \h </w:instrText>
            </w:r>
            <w:r w:rsidR="00680760">
              <w:rPr>
                <w:webHidden/>
              </w:rPr>
            </w:r>
            <w:r w:rsidR="00680760">
              <w:rPr>
                <w:webHidden/>
              </w:rPr>
              <w:fldChar w:fldCharType="separate"/>
            </w:r>
            <w:r w:rsidR="007A05F9">
              <w:rPr>
                <w:webHidden/>
              </w:rPr>
              <w:t>2</w:t>
            </w:r>
            <w:r w:rsidR="00680760">
              <w:rPr>
                <w:webHidden/>
              </w:rPr>
              <w:fldChar w:fldCharType="end"/>
            </w:r>
          </w:hyperlink>
        </w:p>
        <w:p w14:paraId="36B4C264" w14:textId="20BA98F8" w:rsidR="00680760" w:rsidRDefault="00A5051E">
          <w:pPr>
            <w:pStyle w:val="TOC2"/>
            <w:rPr>
              <w:rFonts w:asciiTheme="minorHAnsi" w:eastAsiaTheme="minorEastAsia" w:hAnsiTheme="minorHAnsi" w:cstheme="minorBidi"/>
              <w:bCs w:val="0"/>
              <w:lang w:val="en-US"/>
            </w:rPr>
          </w:pPr>
          <w:hyperlink w:anchor="_Toc512590053" w:history="1">
            <w:r w:rsidR="00680760" w:rsidRPr="00A00E71">
              <w:rPr>
                <w:rStyle w:val="Hyperlink"/>
              </w:rPr>
              <w:t>Overview</w:t>
            </w:r>
            <w:r w:rsidR="00680760">
              <w:rPr>
                <w:webHidden/>
              </w:rPr>
              <w:tab/>
            </w:r>
            <w:r w:rsidR="00680760">
              <w:rPr>
                <w:webHidden/>
              </w:rPr>
              <w:fldChar w:fldCharType="begin"/>
            </w:r>
            <w:r w:rsidR="00680760">
              <w:rPr>
                <w:webHidden/>
              </w:rPr>
              <w:instrText xml:space="preserve"> PAGEREF _Toc512590053 \h </w:instrText>
            </w:r>
            <w:r w:rsidR="00680760">
              <w:rPr>
                <w:webHidden/>
              </w:rPr>
            </w:r>
            <w:r w:rsidR="00680760">
              <w:rPr>
                <w:webHidden/>
              </w:rPr>
              <w:fldChar w:fldCharType="separate"/>
            </w:r>
            <w:r w:rsidR="007A05F9">
              <w:rPr>
                <w:webHidden/>
              </w:rPr>
              <w:t>2</w:t>
            </w:r>
            <w:r w:rsidR="00680760">
              <w:rPr>
                <w:webHidden/>
              </w:rPr>
              <w:fldChar w:fldCharType="end"/>
            </w:r>
          </w:hyperlink>
        </w:p>
        <w:p w14:paraId="4F92544A" w14:textId="43004E98" w:rsidR="00680760" w:rsidRDefault="00A5051E">
          <w:pPr>
            <w:pStyle w:val="TOC2"/>
            <w:rPr>
              <w:rFonts w:asciiTheme="minorHAnsi" w:eastAsiaTheme="minorEastAsia" w:hAnsiTheme="minorHAnsi" w:cstheme="minorBidi"/>
              <w:bCs w:val="0"/>
              <w:lang w:val="en-US"/>
            </w:rPr>
          </w:pPr>
          <w:hyperlink w:anchor="_Toc512590054" w:history="1">
            <w:r w:rsidR="00680760" w:rsidRPr="00A00E71">
              <w:rPr>
                <w:rStyle w:val="Hyperlink"/>
              </w:rPr>
              <w:t>IAIG Internal audits</w:t>
            </w:r>
            <w:r w:rsidR="00680760">
              <w:rPr>
                <w:webHidden/>
              </w:rPr>
              <w:tab/>
            </w:r>
            <w:r w:rsidR="00680760">
              <w:rPr>
                <w:webHidden/>
              </w:rPr>
              <w:fldChar w:fldCharType="begin"/>
            </w:r>
            <w:r w:rsidR="00680760">
              <w:rPr>
                <w:webHidden/>
              </w:rPr>
              <w:instrText xml:space="preserve"> PAGEREF _Toc512590054 \h </w:instrText>
            </w:r>
            <w:r w:rsidR="00680760">
              <w:rPr>
                <w:webHidden/>
              </w:rPr>
            </w:r>
            <w:r w:rsidR="00680760">
              <w:rPr>
                <w:webHidden/>
              </w:rPr>
              <w:fldChar w:fldCharType="separate"/>
            </w:r>
            <w:r w:rsidR="007A05F9">
              <w:rPr>
                <w:webHidden/>
              </w:rPr>
              <w:t>3</w:t>
            </w:r>
            <w:r w:rsidR="00680760">
              <w:rPr>
                <w:webHidden/>
              </w:rPr>
              <w:fldChar w:fldCharType="end"/>
            </w:r>
          </w:hyperlink>
        </w:p>
        <w:p w14:paraId="3BB86C2E" w14:textId="48A2A1A5" w:rsidR="00680760" w:rsidRDefault="00A5051E">
          <w:pPr>
            <w:pStyle w:val="TOC2"/>
            <w:rPr>
              <w:rFonts w:asciiTheme="minorHAnsi" w:eastAsiaTheme="minorEastAsia" w:hAnsiTheme="minorHAnsi" w:cstheme="minorBidi"/>
              <w:bCs w:val="0"/>
              <w:lang w:val="en-US"/>
            </w:rPr>
          </w:pPr>
          <w:hyperlink w:anchor="_Toc512590055" w:history="1">
            <w:r w:rsidR="00680760" w:rsidRPr="00A00E71">
              <w:rPr>
                <w:rStyle w:val="Hyperlink"/>
              </w:rPr>
              <w:t>IAIG Project audits</w:t>
            </w:r>
            <w:r w:rsidR="00680760">
              <w:rPr>
                <w:webHidden/>
              </w:rPr>
              <w:tab/>
            </w:r>
            <w:r w:rsidR="00680760">
              <w:rPr>
                <w:webHidden/>
              </w:rPr>
              <w:fldChar w:fldCharType="begin"/>
            </w:r>
            <w:r w:rsidR="00680760">
              <w:rPr>
                <w:webHidden/>
              </w:rPr>
              <w:instrText xml:space="preserve"> PAGEREF _Toc512590055 \h </w:instrText>
            </w:r>
            <w:r w:rsidR="00680760">
              <w:rPr>
                <w:webHidden/>
              </w:rPr>
            </w:r>
            <w:r w:rsidR="00680760">
              <w:rPr>
                <w:webHidden/>
              </w:rPr>
              <w:fldChar w:fldCharType="separate"/>
            </w:r>
            <w:r w:rsidR="007A05F9">
              <w:rPr>
                <w:webHidden/>
              </w:rPr>
              <w:t>6</w:t>
            </w:r>
            <w:r w:rsidR="00680760">
              <w:rPr>
                <w:webHidden/>
              </w:rPr>
              <w:fldChar w:fldCharType="end"/>
            </w:r>
          </w:hyperlink>
        </w:p>
        <w:p w14:paraId="2D1AFDA0" w14:textId="44DA0730" w:rsidR="00680760" w:rsidRDefault="00A5051E">
          <w:pPr>
            <w:pStyle w:val="TOC2"/>
            <w:rPr>
              <w:rFonts w:asciiTheme="minorHAnsi" w:eastAsiaTheme="minorEastAsia" w:hAnsiTheme="minorHAnsi" w:cstheme="minorBidi"/>
              <w:bCs w:val="0"/>
              <w:lang w:val="en-US"/>
            </w:rPr>
          </w:pPr>
          <w:hyperlink w:anchor="_Toc512590056" w:history="1">
            <w:r w:rsidR="00680760" w:rsidRPr="00A00E71">
              <w:rPr>
                <w:rStyle w:val="Hyperlink"/>
              </w:rPr>
              <w:t>Audits of significant programmes</w:t>
            </w:r>
            <w:r w:rsidR="00680760">
              <w:rPr>
                <w:webHidden/>
              </w:rPr>
              <w:tab/>
            </w:r>
            <w:r w:rsidR="00680760">
              <w:rPr>
                <w:webHidden/>
              </w:rPr>
              <w:fldChar w:fldCharType="begin"/>
            </w:r>
            <w:r w:rsidR="00680760">
              <w:rPr>
                <w:webHidden/>
              </w:rPr>
              <w:instrText xml:space="preserve"> PAGEREF _Toc512590056 \h </w:instrText>
            </w:r>
            <w:r w:rsidR="00680760">
              <w:rPr>
                <w:webHidden/>
              </w:rPr>
            </w:r>
            <w:r w:rsidR="00680760">
              <w:rPr>
                <w:webHidden/>
              </w:rPr>
              <w:fldChar w:fldCharType="separate"/>
            </w:r>
            <w:r w:rsidR="007A05F9">
              <w:rPr>
                <w:webHidden/>
              </w:rPr>
              <w:t>8</w:t>
            </w:r>
            <w:r w:rsidR="00680760">
              <w:rPr>
                <w:webHidden/>
              </w:rPr>
              <w:fldChar w:fldCharType="end"/>
            </w:r>
          </w:hyperlink>
        </w:p>
        <w:p w14:paraId="7F809F97" w14:textId="2AE02D84" w:rsidR="00680760" w:rsidRDefault="00A5051E">
          <w:pPr>
            <w:pStyle w:val="TOC1"/>
            <w:rPr>
              <w:rFonts w:asciiTheme="minorHAnsi" w:eastAsiaTheme="minorEastAsia" w:hAnsiTheme="minorHAnsi" w:cstheme="minorBidi"/>
              <w:b w:val="0"/>
              <w:bCs w:val="0"/>
              <w:iCs w:val="0"/>
            </w:rPr>
          </w:pPr>
          <w:hyperlink w:anchor="_Toc512590057" w:history="1">
            <w:r w:rsidR="00680760" w:rsidRPr="00A00E71">
              <w:rPr>
                <w:rStyle w:val="Hyperlink"/>
              </w:rPr>
              <w:t>E. IAIG Investigations</w:t>
            </w:r>
            <w:r w:rsidR="00680760">
              <w:rPr>
                <w:webHidden/>
              </w:rPr>
              <w:tab/>
            </w:r>
            <w:r w:rsidR="00680760">
              <w:rPr>
                <w:webHidden/>
              </w:rPr>
              <w:fldChar w:fldCharType="begin"/>
            </w:r>
            <w:r w:rsidR="00680760">
              <w:rPr>
                <w:webHidden/>
              </w:rPr>
              <w:instrText xml:space="preserve"> PAGEREF _Toc512590057 \h </w:instrText>
            </w:r>
            <w:r w:rsidR="00680760">
              <w:rPr>
                <w:webHidden/>
              </w:rPr>
            </w:r>
            <w:r w:rsidR="00680760">
              <w:rPr>
                <w:webHidden/>
              </w:rPr>
              <w:fldChar w:fldCharType="separate"/>
            </w:r>
            <w:r w:rsidR="007A05F9">
              <w:rPr>
                <w:webHidden/>
              </w:rPr>
              <w:t>8</w:t>
            </w:r>
            <w:r w:rsidR="00680760">
              <w:rPr>
                <w:webHidden/>
              </w:rPr>
              <w:fldChar w:fldCharType="end"/>
            </w:r>
          </w:hyperlink>
        </w:p>
        <w:p w14:paraId="0477541A" w14:textId="0C6D0C51" w:rsidR="00680760" w:rsidRDefault="00A5051E">
          <w:pPr>
            <w:pStyle w:val="TOC1"/>
            <w:rPr>
              <w:rFonts w:asciiTheme="minorHAnsi" w:eastAsiaTheme="minorEastAsia" w:hAnsiTheme="minorHAnsi" w:cstheme="minorBidi"/>
              <w:b w:val="0"/>
              <w:bCs w:val="0"/>
              <w:iCs w:val="0"/>
            </w:rPr>
          </w:pPr>
          <w:hyperlink w:anchor="_Toc512590058" w:history="1">
            <w:r w:rsidR="00680760" w:rsidRPr="00A00E71">
              <w:rPr>
                <w:rStyle w:val="Hyperlink"/>
              </w:rPr>
              <w:t>F. Strategic response to audit recommendations</w:t>
            </w:r>
            <w:r w:rsidR="00680760">
              <w:rPr>
                <w:webHidden/>
              </w:rPr>
              <w:tab/>
            </w:r>
            <w:r w:rsidR="00680760">
              <w:rPr>
                <w:webHidden/>
              </w:rPr>
              <w:fldChar w:fldCharType="begin"/>
            </w:r>
            <w:r w:rsidR="00680760">
              <w:rPr>
                <w:webHidden/>
              </w:rPr>
              <w:instrText xml:space="preserve"> PAGEREF _Toc512590058 \h </w:instrText>
            </w:r>
            <w:r w:rsidR="00680760">
              <w:rPr>
                <w:webHidden/>
              </w:rPr>
            </w:r>
            <w:r w:rsidR="00680760">
              <w:rPr>
                <w:webHidden/>
              </w:rPr>
              <w:fldChar w:fldCharType="separate"/>
            </w:r>
            <w:r w:rsidR="007A05F9">
              <w:rPr>
                <w:webHidden/>
              </w:rPr>
              <w:t>9</w:t>
            </w:r>
            <w:r w:rsidR="00680760">
              <w:rPr>
                <w:webHidden/>
              </w:rPr>
              <w:fldChar w:fldCharType="end"/>
            </w:r>
          </w:hyperlink>
        </w:p>
        <w:p w14:paraId="70E220D1" w14:textId="5CD4FE2C" w:rsidR="00680760" w:rsidRDefault="00A5051E">
          <w:pPr>
            <w:pStyle w:val="TOC2"/>
            <w:rPr>
              <w:rFonts w:asciiTheme="minorHAnsi" w:eastAsiaTheme="minorEastAsia" w:hAnsiTheme="minorHAnsi" w:cstheme="minorBidi"/>
              <w:bCs w:val="0"/>
              <w:lang w:val="en-US"/>
            </w:rPr>
          </w:pPr>
          <w:hyperlink w:anchor="_Toc512590059" w:history="1">
            <w:r w:rsidR="00680760" w:rsidRPr="00A00E71">
              <w:rPr>
                <w:rStyle w:val="Hyperlink"/>
              </w:rPr>
              <w:t>UNOPS internal control framework and management of risks</w:t>
            </w:r>
            <w:r w:rsidR="00680760">
              <w:rPr>
                <w:webHidden/>
              </w:rPr>
              <w:tab/>
            </w:r>
            <w:r w:rsidR="00680760">
              <w:rPr>
                <w:webHidden/>
              </w:rPr>
              <w:fldChar w:fldCharType="begin"/>
            </w:r>
            <w:r w:rsidR="00680760">
              <w:rPr>
                <w:webHidden/>
              </w:rPr>
              <w:instrText xml:space="preserve"> PAGEREF _Toc512590059 \h </w:instrText>
            </w:r>
            <w:r w:rsidR="00680760">
              <w:rPr>
                <w:webHidden/>
              </w:rPr>
            </w:r>
            <w:r w:rsidR="00680760">
              <w:rPr>
                <w:webHidden/>
              </w:rPr>
              <w:fldChar w:fldCharType="separate"/>
            </w:r>
            <w:r w:rsidR="007A05F9">
              <w:rPr>
                <w:webHidden/>
              </w:rPr>
              <w:t>9</w:t>
            </w:r>
            <w:r w:rsidR="00680760">
              <w:rPr>
                <w:webHidden/>
              </w:rPr>
              <w:fldChar w:fldCharType="end"/>
            </w:r>
          </w:hyperlink>
        </w:p>
        <w:p w14:paraId="2E11D4AF" w14:textId="7A001D18" w:rsidR="00680760" w:rsidRDefault="00A5051E">
          <w:pPr>
            <w:pStyle w:val="TOC2"/>
            <w:rPr>
              <w:rFonts w:asciiTheme="minorHAnsi" w:eastAsiaTheme="minorEastAsia" w:hAnsiTheme="minorHAnsi" w:cstheme="minorBidi"/>
              <w:bCs w:val="0"/>
              <w:lang w:val="en-US"/>
            </w:rPr>
          </w:pPr>
          <w:hyperlink w:anchor="_Toc512590060" w:history="1">
            <w:r w:rsidR="00680760" w:rsidRPr="00A00E71">
              <w:rPr>
                <w:rStyle w:val="Hyperlink"/>
              </w:rPr>
              <w:t>Implementing a simplified policy framework</w:t>
            </w:r>
            <w:r w:rsidR="00680760">
              <w:rPr>
                <w:webHidden/>
              </w:rPr>
              <w:tab/>
            </w:r>
            <w:r w:rsidR="00680760">
              <w:rPr>
                <w:webHidden/>
              </w:rPr>
              <w:fldChar w:fldCharType="begin"/>
            </w:r>
            <w:r w:rsidR="00680760">
              <w:rPr>
                <w:webHidden/>
              </w:rPr>
              <w:instrText xml:space="preserve"> PAGEREF _Toc512590060 \h </w:instrText>
            </w:r>
            <w:r w:rsidR="00680760">
              <w:rPr>
                <w:webHidden/>
              </w:rPr>
            </w:r>
            <w:r w:rsidR="00680760">
              <w:rPr>
                <w:webHidden/>
              </w:rPr>
              <w:fldChar w:fldCharType="separate"/>
            </w:r>
            <w:r w:rsidR="007A05F9">
              <w:rPr>
                <w:webHidden/>
              </w:rPr>
              <w:t>9</w:t>
            </w:r>
            <w:r w:rsidR="00680760">
              <w:rPr>
                <w:webHidden/>
              </w:rPr>
              <w:fldChar w:fldCharType="end"/>
            </w:r>
          </w:hyperlink>
        </w:p>
        <w:p w14:paraId="7D1900A2" w14:textId="6A442119" w:rsidR="00680760" w:rsidRDefault="00A5051E">
          <w:pPr>
            <w:pStyle w:val="TOC2"/>
            <w:rPr>
              <w:rFonts w:asciiTheme="minorHAnsi" w:eastAsiaTheme="minorEastAsia" w:hAnsiTheme="minorHAnsi" w:cstheme="minorBidi"/>
              <w:bCs w:val="0"/>
              <w:lang w:val="en-US"/>
            </w:rPr>
          </w:pPr>
          <w:hyperlink w:anchor="_Toc512590061" w:history="1">
            <w:r w:rsidR="00680760" w:rsidRPr="00A00E71">
              <w:rPr>
                <w:rStyle w:val="Hyperlink"/>
              </w:rPr>
              <w:t>Optimizing processes and integrating IT systems</w:t>
            </w:r>
            <w:r w:rsidR="00680760">
              <w:rPr>
                <w:webHidden/>
              </w:rPr>
              <w:tab/>
            </w:r>
            <w:r w:rsidR="00680760">
              <w:rPr>
                <w:webHidden/>
              </w:rPr>
              <w:fldChar w:fldCharType="begin"/>
            </w:r>
            <w:r w:rsidR="00680760">
              <w:rPr>
                <w:webHidden/>
              </w:rPr>
              <w:instrText xml:space="preserve"> PAGEREF _Toc512590061 \h </w:instrText>
            </w:r>
            <w:r w:rsidR="00680760">
              <w:rPr>
                <w:webHidden/>
              </w:rPr>
            </w:r>
            <w:r w:rsidR="00680760">
              <w:rPr>
                <w:webHidden/>
              </w:rPr>
              <w:fldChar w:fldCharType="separate"/>
            </w:r>
            <w:r w:rsidR="007A05F9">
              <w:rPr>
                <w:webHidden/>
              </w:rPr>
              <w:t>10</w:t>
            </w:r>
            <w:r w:rsidR="00680760">
              <w:rPr>
                <w:webHidden/>
              </w:rPr>
              <w:fldChar w:fldCharType="end"/>
            </w:r>
          </w:hyperlink>
        </w:p>
        <w:p w14:paraId="433A367F" w14:textId="45C420D0" w:rsidR="00680760" w:rsidRDefault="00A5051E">
          <w:pPr>
            <w:pStyle w:val="TOC2"/>
            <w:rPr>
              <w:rFonts w:asciiTheme="minorHAnsi" w:eastAsiaTheme="minorEastAsia" w:hAnsiTheme="minorHAnsi" w:cstheme="minorBidi"/>
              <w:bCs w:val="0"/>
              <w:lang w:val="en-US"/>
            </w:rPr>
          </w:pPr>
          <w:hyperlink w:anchor="_Toc512590062" w:history="1">
            <w:r w:rsidR="00680760" w:rsidRPr="00A00E71">
              <w:rPr>
                <w:rStyle w:val="Hyperlink"/>
              </w:rPr>
              <w:t>Adjusting structures and minimizing conflicts of interest</w:t>
            </w:r>
            <w:r w:rsidR="00680760">
              <w:rPr>
                <w:webHidden/>
              </w:rPr>
              <w:tab/>
            </w:r>
            <w:r w:rsidR="00680760">
              <w:rPr>
                <w:webHidden/>
              </w:rPr>
              <w:fldChar w:fldCharType="begin"/>
            </w:r>
            <w:r w:rsidR="00680760">
              <w:rPr>
                <w:webHidden/>
              </w:rPr>
              <w:instrText xml:space="preserve"> PAGEREF _Toc512590062 \h </w:instrText>
            </w:r>
            <w:r w:rsidR="00680760">
              <w:rPr>
                <w:webHidden/>
              </w:rPr>
            </w:r>
            <w:r w:rsidR="00680760">
              <w:rPr>
                <w:webHidden/>
              </w:rPr>
              <w:fldChar w:fldCharType="separate"/>
            </w:r>
            <w:r w:rsidR="007A05F9">
              <w:rPr>
                <w:webHidden/>
              </w:rPr>
              <w:t>10</w:t>
            </w:r>
            <w:r w:rsidR="00680760">
              <w:rPr>
                <w:webHidden/>
              </w:rPr>
              <w:fldChar w:fldCharType="end"/>
            </w:r>
          </w:hyperlink>
        </w:p>
        <w:p w14:paraId="2B49727E" w14:textId="7815D3D3" w:rsidR="00680760" w:rsidRDefault="00A5051E">
          <w:pPr>
            <w:pStyle w:val="TOC2"/>
            <w:rPr>
              <w:rFonts w:asciiTheme="minorHAnsi" w:eastAsiaTheme="minorEastAsia" w:hAnsiTheme="minorHAnsi" w:cstheme="minorBidi"/>
              <w:bCs w:val="0"/>
              <w:lang w:val="en-US"/>
            </w:rPr>
          </w:pPr>
          <w:hyperlink w:anchor="_Toc512590063" w:history="1">
            <w:r w:rsidR="00680760" w:rsidRPr="00A00E71">
              <w:rPr>
                <w:rStyle w:val="Hyperlink"/>
              </w:rPr>
              <w:t>Driving a culture of engagement and risk management</w:t>
            </w:r>
            <w:r w:rsidR="00680760">
              <w:rPr>
                <w:webHidden/>
              </w:rPr>
              <w:tab/>
            </w:r>
            <w:r w:rsidR="00680760">
              <w:rPr>
                <w:webHidden/>
              </w:rPr>
              <w:fldChar w:fldCharType="begin"/>
            </w:r>
            <w:r w:rsidR="00680760">
              <w:rPr>
                <w:webHidden/>
              </w:rPr>
              <w:instrText xml:space="preserve"> PAGEREF _Toc512590063 \h </w:instrText>
            </w:r>
            <w:r w:rsidR="00680760">
              <w:rPr>
                <w:webHidden/>
              </w:rPr>
            </w:r>
            <w:r w:rsidR="00680760">
              <w:rPr>
                <w:webHidden/>
              </w:rPr>
              <w:fldChar w:fldCharType="separate"/>
            </w:r>
            <w:r w:rsidR="007A05F9">
              <w:rPr>
                <w:webHidden/>
              </w:rPr>
              <w:t>11</w:t>
            </w:r>
            <w:r w:rsidR="00680760">
              <w:rPr>
                <w:webHidden/>
              </w:rPr>
              <w:fldChar w:fldCharType="end"/>
            </w:r>
          </w:hyperlink>
        </w:p>
        <w:p w14:paraId="3BBA02C5" w14:textId="6BE63E22" w:rsidR="00680760" w:rsidRDefault="00A5051E">
          <w:pPr>
            <w:pStyle w:val="TOC1"/>
            <w:rPr>
              <w:rFonts w:asciiTheme="minorHAnsi" w:eastAsiaTheme="minorEastAsia" w:hAnsiTheme="minorHAnsi" w:cstheme="minorBidi"/>
              <w:b w:val="0"/>
              <w:bCs w:val="0"/>
              <w:iCs w:val="0"/>
            </w:rPr>
          </w:pPr>
          <w:hyperlink w:anchor="_Toc512590064" w:history="1">
            <w:r w:rsidR="00680760" w:rsidRPr="00A00E71">
              <w:rPr>
                <w:rStyle w:val="Hyperlink"/>
              </w:rPr>
              <w:t>G. UNOPS Ethics</w:t>
            </w:r>
            <w:r w:rsidR="00680760">
              <w:rPr>
                <w:webHidden/>
              </w:rPr>
              <w:tab/>
            </w:r>
            <w:r w:rsidR="00680760">
              <w:rPr>
                <w:webHidden/>
              </w:rPr>
              <w:fldChar w:fldCharType="begin"/>
            </w:r>
            <w:r w:rsidR="00680760">
              <w:rPr>
                <w:webHidden/>
              </w:rPr>
              <w:instrText xml:space="preserve"> PAGEREF _Toc512590064 \h </w:instrText>
            </w:r>
            <w:r w:rsidR="00680760">
              <w:rPr>
                <w:webHidden/>
              </w:rPr>
            </w:r>
            <w:r w:rsidR="00680760">
              <w:rPr>
                <w:webHidden/>
              </w:rPr>
              <w:fldChar w:fldCharType="separate"/>
            </w:r>
            <w:r w:rsidR="007A05F9">
              <w:rPr>
                <w:webHidden/>
              </w:rPr>
              <w:t>11</w:t>
            </w:r>
            <w:r w:rsidR="00680760">
              <w:rPr>
                <w:webHidden/>
              </w:rPr>
              <w:fldChar w:fldCharType="end"/>
            </w:r>
          </w:hyperlink>
        </w:p>
        <w:p w14:paraId="6A0925D7" w14:textId="12002B4E" w:rsidR="00680760" w:rsidRDefault="00A5051E">
          <w:pPr>
            <w:pStyle w:val="TOC2"/>
            <w:rPr>
              <w:rFonts w:asciiTheme="minorHAnsi" w:eastAsiaTheme="minorEastAsia" w:hAnsiTheme="minorHAnsi" w:cstheme="minorBidi"/>
              <w:bCs w:val="0"/>
              <w:lang w:val="en-US"/>
            </w:rPr>
          </w:pPr>
          <w:hyperlink w:anchor="_Toc512590065" w:history="1">
            <w:r w:rsidR="00680760" w:rsidRPr="00A00E71">
              <w:rPr>
                <w:rStyle w:val="Hyperlink"/>
              </w:rPr>
              <w:t>Administering the UNOPS financial disclosure programme</w:t>
            </w:r>
            <w:r w:rsidR="00680760">
              <w:rPr>
                <w:webHidden/>
              </w:rPr>
              <w:tab/>
            </w:r>
            <w:r w:rsidR="00680760">
              <w:rPr>
                <w:webHidden/>
              </w:rPr>
              <w:fldChar w:fldCharType="begin"/>
            </w:r>
            <w:r w:rsidR="00680760">
              <w:rPr>
                <w:webHidden/>
              </w:rPr>
              <w:instrText xml:space="preserve"> PAGEREF _Toc512590065 \h </w:instrText>
            </w:r>
            <w:r w:rsidR="00680760">
              <w:rPr>
                <w:webHidden/>
              </w:rPr>
            </w:r>
            <w:r w:rsidR="00680760">
              <w:rPr>
                <w:webHidden/>
              </w:rPr>
              <w:fldChar w:fldCharType="separate"/>
            </w:r>
            <w:r w:rsidR="007A05F9">
              <w:rPr>
                <w:webHidden/>
              </w:rPr>
              <w:t>12</w:t>
            </w:r>
            <w:r w:rsidR="00680760">
              <w:rPr>
                <w:webHidden/>
              </w:rPr>
              <w:fldChar w:fldCharType="end"/>
            </w:r>
          </w:hyperlink>
        </w:p>
        <w:p w14:paraId="7BFDA6FB" w14:textId="6C9A0931" w:rsidR="00680760" w:rsidRDefault="00A5051E">
          <w:pPr>
            <w:pStyle w:val="TOC2"/>
            <w:rPr>
              <w:rFonts w:asciiTheme="minorHAnsi" w:eastAsiaTheme="minorEastAsia" w:hAnsiTheme="minorHAnsi" w:cstheme="minorBidi"/>
              <w:bCs w:val="0"/>
              <w:lang w:val="en-US"/>
            </w:rPr>
          </w:pPr>
          <w:hyperlink w:anchor="_Toc512590066" w:history="1">
            <w:r w:rsidR="00680760" w:rsidRPr="00A00E71">
              <w:rPr>
                <w:rStyle w:val="Hyperlink"/>
              </w:rPr>
              <w:t>Protecting staff against retaliation for reporting misconduct</w:t>
            </w:r>
            <w:r w:rsidR="00680760">
              <w:rPr>
                <w:webHidden/>
              </w:rPr>
              <w:tab/>
            </w:r>
            <w:r w:rsidR="00680760">
              <w:rPr>
                <w:webHidden/>
              </w:rPr>
              <w:fldChar w:fldCharType="begin"/>
            </w:r>
            <w:r w:rsidR="00680760">
              <w:rPr>
                <w:webHidden/>
              </w:rPr>
              <w:instrText xml:space="preserve"> PAGEREF _Toc512590066 \h </w:instrText>
            </w:r>
            <w:r w:rsidR="00680760">
              <w:rPr>
                <w:webHidden/>
              </w:rPr>
            </w:r>
            <w:r w:rsidR="00680760">
              <w:rPr>
                <w:webHidden/>
              </w:rPr>
              <w:fldChar w:fldCharType="separate"/>
            </w:r>
            <w:r w:rsidR="007A05F9">
              <w:rPr>
                <w:webHidden/>
              </w:rPr>
              <w:t>12</w:t>
            </w:r>
            <w:r w:rsidR="00680760">
              <w:rPr>
                <w:webHidden/>
              </w:rPr>
              <w:fldChar w:fldCharType="end"/>
            </w:r>
          </w:hyperlink>
        </w:p>
        <w:p w14:paraId="4CFBF161" w14:textId="29A151ED" w:rsidR="00680760" w:rsidRDefault="00A5051E">
          <w:pPr>
            <w:pStyle w:val="TOC2"/>
            <w:rPr>
              <w:rFonts w:asciiTheme="minorHAnsi" w:eastAsiaTheme="minorEastAsia" w:hAnsiTheme="minorHAnsi" w:cstheme="minorBidi"/>
              <w:bCs w:val="0"/>
              <w:lang w:val="en-US"/>
            </w:rPr>
          </w:pPr>
          <w:hyperlink w:anchor="_Toc512590067" w:history="1">
            <w:r w:rsidR="00680760" w:rsidRPr="00A00E71">
              <w:rPr>
                <w:rStyle w:val="Hyperlink"/>
              </w:rPr>
              <w:t>Developing standards, training and education, and reaching out on ethics issues</w:t>
            </w:r>
            <w:r w:rsidR="00680760">
              <w:rPr>
                <w:webHidden/>
              </w:rPr>
              <w:tab/>
            </w:r>
            <w:r w:rsidR="00680760">
              <w:rPr>
                <w:webHidden/>
              </w:rPr>
              <w:fldChar w:fldCharType="begin"/>
            </w:r>
            <w:r w:rsidR="00680760">
              <w:rPr>
                <w:webHidden/>
              </w:rPr>
              <w:instrText xml:space="preserve"> PAGEREF _Toc512590067 \h </w:instrText>
            </w:r>
            <w:r w:rsidR="00680760">
              <w:rPr>
                <w:webHidden/>
              </w:rPr>
            </w:r>
            <w:r w:rsidR="00680760">
              <w:rPr>
                <w:webHidden/>
              </w:rPr>
              <w:fldChar w:fldCharType="separate"/>
            </w:r>
            <w:r w:rsidR="007A05F9">
              <w:rPr>
                <w:webHidden/>
              </w:rPr>
              <w:t>12</w:t>
            </w:r>
            <w:r w:rsidR="00680760">
              <w:rPr>
                <w:webHidden/>
              </w:rPr>
              <w:fldChar w:fldCharType="end"/>
            </w:r>
          </w:hyperlink>
        </w:p>
        <w:p w14:paraId="7867FC5D" w14:textId="5C0FA405" w:rsidR="00680760" w:rsidRDefault="00A5051E">
          <w:pPr>
            <w:pStyle w:val="TOC2"/>
            <w:rPr>
              <w:rFonts w:asciiTheme="minorHAnsi" w:eastAsiaTheme="minorEastAsia" w:hAnsiTheme="minorHAnsi" w:cstheme="minorBidi"/>
              <w:bCs w:val="0"/>
              <w:lang w:val="en-US"/>
            </w:rPr>
          </w:pPr>
          <w:hyperlink w:anchor="_Toc512590068" w:history="1">
            <w:r w:rsidR="00680760" w:rsidRPr="00A00E71">
              <w:rPr>
                <w:rStyle w:val="Hyperlink"/>
              </w:rPr>
              <w:t>Providing confidential advice and guidance to staff on ethical issues</w:t>
            </w:r>
            <w:r w:rsidR="00680760">
              <w:rPr>
                <w:webHidden/>
              </w:rPr>
              <w:tab/>
            </w:r>
            <w:r w:rsidR="00680760">
              <w:rPr>
                <w:webHidden/>
              </w:rPr>
              <w:fldChar w:fldCharType="begin"/>
            </w:r>
            <w:r w:rsidR="00680760">
              <w:rPr>
                <w:webHidden/>
              </w:rPr>
              <w:instrText xml:space="preserve"> PAGEREF _Toc512590068 \h </w:instrText>
            </w:r>
            <w:r w:rsidR="00680760">
              <w:rPr>
                <w:webHidden/>
              </w:rPr>
            </w:r>
            <w:r w:rsidR="00680760">
              <w:rPr>
                <w:webHidden/>
              </w:rPr>
              <w:fldChar w:fldCharType="separate"/>
            </w:r>
            <w:r w:rsidR="007A05F9">
              <w:rPr>
                <w:webHidden/>
              </w:rPr>
              <w:t>13</w:t>
            </w:r>
            <w:r w:rsidR="00680760">
              <w:rPr>
                <w:webHidden/>
              </w:rPr>
              <w:fldChar w:fldCharType="end"/>
            </w:r>
          </w:hyperlink>
        </w:p>
        <w:p w14:paraId="48496BBA" w14:textId="26DA38AB" w:rsidR="00680760" w:rsidRDefault="00A5051E">
          <w:pPr>
            <w:pStyle w:val="TOC2"/>
            <w:rPr>
              <w:rFonts w:asciiTheme="minorHAnsi" w:eastAsiaTheme="minorEastAsia" w:hAnsiTheme="minorHAnsi" w:cstheme="minorBidi"/>
              <w:bCs w:val="0"/>
              <w:lang w:val="en-US"/>
            </w:rPr>
          </w:pPr>
          <w:hyperlink w:anchor="_Toc512590069" w:history="1">
            <w:r w:rsidR="00680760" w:rsidRPr="00A00E71">
              <w:rPr>
                <w:rStyle w:val="Hyperlink"/>
              </w:rPr>
              <w:t>Supporting ethics standard-setting and policy coherence within the UN system</w:t>
            </w:r>
            <w:r w:rsidR="00680760">
              <w:rPr>
                <w:webHidden/>
              </w:rPr>
              <w:tab/>
            </w:r>
            <w:r w:rsidR="00680760">
              <w:rPr>
                <w:webHidden/>
              </w:rPr>
              <w:fldChar w:fldCharType="begin"/>
            </w:r>
            <w:r w:rsidR="00680760">
              <w:rPr>
                <w:webHidden/>
              </w:rPr>
              <w:instrText xml:space="preserve"> PAGEREF _Toc512590069 \h </w:instrText>
            </w:r>
            <w:r w:rsidR="00680760">
              <w:rPr>
                <w:webHidden/>
              </w:rPr>
            </w:r>
            <w:r w:rsidR="00680760">
              <w:rPr>
                <w:webHidden/>
              </w:rPr>
              <w:fldChar w:fldCharType="separate"/>
            </w:r>
            <w:r w:rsidR="007A05F9">
              <w:rPr>
                <w:webHidden/>
              </w:rPr>
              <w:t>13</w:t>
            </w:r>
            <w:r w:rsidR="00680760">
              <w:rPr>
                <w:webHidden/>
              </w:rPr>
              <w:fldChar w:fldCharType="end"/>
            </w:r>
          </w:hyperlink>
        </w:p>
        <w:p w14:paraId="43B6A6CC" w14:textId="0E40908C" w:rsidR="00680760" w:rsidRDefault="00A5051E">
          <w:pPr>
            <w:pStyle w:val="TOC1"/>
            <w:rPr>
              <w:rFonts w:asciiTheme="minorHAnsi" w:eastAsiaTheme="minorEastAsia" w:hAnsiTheme="minorHAnsi" w:cstheme="minorBidi"/>
              <w:b w:val="0"/>
              <w:bCs w:val="0"/>
              <w:iCs w:val="0"/>
            </w:rPr>
          </w:pPr>
          <w:hyperlink w:anchor="_Toc512590070" w:history="1">
            <w:r w:rsidR="00680760" w:rsidRPr="00A00E71">
              <w:rPr>
                <w:rStyle w:val="Hyperlink"/>
              </w:rPr>
              <w:t>Annexes</w:t>
            </w:r>
            <w:r w:rsidR="00680760">
              <w:rPr>
                <w:webHidden/>
              </w:rPr>
              <w:tab/>
            </w:r>
            <w:r w:rsidR="00680760">
              <w:rPr>
                <w:webHidden/>
              </w:rPr>
              <w:fldChar w:fldCharType="begin"/>
            </w:r>
            <w:r w:rsidR="00680760">
              <w:rPr>
                <w:webHidden/>
              </w:rPr>
              <w:instrText xml:space="preserve"> PAGEREF _Toc512590070 \h </w:instrText>
            </w:r>
            <w:r w:rsidR="00680760">
              <w:rPr>
                <w:webHidden/>
              </w:rPr>
            </w:r>
            <w:r w:rsidR="00680760">
              <w:rPr>
                <w:webHidden/>
              </w:rPr>
              <w:fldChar w:fldCharType="separate"/>
            </w:r>
            <w:r w:rsidR="007A05F9">
              <w:rPr>
                <w:webHidden/>
              </w:rPr>
              <w:t>14</w:t>
            </w:r>
            <w:r w:rsidR="00680760">
              <w:rPr>
                <w:webHidden/>
              </w:rPr>
              <w:fldChar w:fldCharType="end"/>
            </w:r>
          </w:hyperlink>
        </w:p>
        <w:p w14:paraId="5129ACFC" w14:textId="44A05315" w:rsidR="00680760" w:rsidRDefault="00A5051E">
          <w:pPr>
            <w:pStyle w:val="TOC2"/>
            <w:rPr>
              <w:rFonts w:asciiTheme="minorHAnsi" w:eastAsiaTheme="minorEastAsia" w:hAnsiTheme="minorHAnsi" w:cstheme="minorBidi"/>
              <w:bCs w:val="0"/>
              <w:lang w:val="en-US"/>
            </w:rPr>
          </w:pPr>
          <w:hyperlink w:anchor="_Toc512590071" w:history="1">
            <w:r w:rsidR="00680760" w:rsidRPr="00A00E71">
              <w:rPr>
                <w:rStyle w:val="Hyperlink"/>
              </w:rPr>
              <w:t>Annex I – Extract from UNOPS Financial Regulations and Rules, effective 1 Jan. 2012</w:t>
            </w:r>
            <w:r w:rsidR="00680760">
              <w:rPr>
                <w:webHidden/>
              </w:rPr>
              <w:tab/>
            </w:r>
            <w:r w:rsidR="00680760">
              <w:rPr>
                <w:webHidden/>
              </w:rPr>
              <w:fldChar w:fldCharType="begin"/>
            </w:r>
            <w:r w:rsidR="00680760">
              <w:rPr>
                <w:webHidden/>
              </w:rPr>
              <w:instrText xml:space="preserve"> PAGEREF _Toc512590071 \h </w:instrText>
            </w:r>
            <w:r w:rsidR="00680760">
              <w:rPr>
                <w:webHidden/>
              </w:rPr>
            </w:r>
            <w:r w:rsidR="00680760">
              <w:rPr>
                <w:webHidden/>
              </w:rPr>
              <w:fldChar w:fldCharType="separate"/>
            </w:r>
            <w:r w:rsidR="007A05F9">
              <w:rPr>
                <w:webHidden/>
              </w:rPr>
              <w:t>14</w:t>
            </w:r>
            <w:r w:rsidR="00680760">
              <w:rPr>
                <w:webHidden/>
              </w:rPr>
              <w:fldChar w:fldCharType="end"/>
            </w:r>
          </w:hyperlink>
        </w:p>
        <w:p w14:paraId="46DE2753" w14:textId="7B60E1BB" w:rsidR="00680760" w:rsidRDefault="00A5051E">
          <w:pPr>
            <w:pStyle w:val="TOC2"/>
            <w:rPr>
              <w:rFonts w:asciiTheme="minorHAnsi" w:eastAsiaTheme="minorEastAsia" w:hAnsiTheme="minorHAnsi" w:cstheme="minorBidi"/>
              <w:bCs w:val="0"/>
              <w:lang w:val="en-US"/>
            </w:rPr>
          </w:pPr>
          <w:hyperlink w:anchor="_Toc512590072" w:history="1">
            <w:r w:rsidR="00680760" w:rsidRPr="00A00E71">
              <w:rPr>
                <w:rStyle w:val="Hyperlink"/>
              </w:rPr>
              <w:t>Annex II – UNOPS policies effective as of 31 March 2018</w:t>
            </w:r>
            <w:r w:rsidR="00680760">
              <w:rPr>
                <w:webHidden/>
              </w:rPr>
              <w:tab/>
            </w:r>
            <w:r w:rsidR="00680760">
              <w:rPr>
                <w:webHidden/>
              </w:rPr>
              <w:fldChar w:fldCharType="begin"/>
            </w:r>
            <w:r w:rsidR="00680760">
              <w:rPr>
                <w:webHidden/>
              </w:rPr>
              <w:instrText xml:space="preserve"> PAGEREF _Toc512590072 \h </w:instrText>
            </w:r>
            <w:r w:rsidR="00680760">
              <w:rPr>
                <w:webHidden/>
              </w:rPr>
            </w:r>
            <w:r w:rsidR="00680760">
              <w:rPr>
                <w:webHidden/>
              </w:rPr>
              <w:fldChar w:fldCharType="separate"/>
            </w:r>
            <w:r w:rsidR="007A05F9">
              <w:rPr>
                <w:webHidden/>
              </w:rPr>
              <w:t>15</w:t>
            </w:r>
            <w:r w:rsidR="00680760">
              <w:rPr>
                <w:webHidden/>
              </w:rPr>
              <w:fldChar w:fldCharType="end"/>
            </w:r>
          </w:hyperlink>
        </w:p>
        <w:p w14:paraId="78F8C263" w14:textId="42EA1131" w:rsidR="00104161" w:rsidRDefault="00104161" w:rsidP="007B46A3">
          <w:pPr>
            <w:numPr>
              <w:ilvl w:val="0"/>
              <w:numId w:val="0"/>
            </w:numPr>
          </w:pPr>
          <w:r>
            <w:rPr>
              <w:b/>
              <w:bCs/>
              <w:noProof/>
            </w:rPr>
            <w:fldChar w:fldCharType="end"/>
          </w:r>
        </w:p>
      </w:sdtContent>
    </w:sdt>
    <w:p w14:paraId="7BA7E3F9" w14:textId="45F3023D" w:rsidR="0010562D" w:rsidRDefault="0010562D">
      <w:pPr>
        <w:spacing w:after="200" w:line="276" w:lineRule="auto"/>
      </w:pPr>
      <w:bookmarkStart w:id="1" w:name="_Toc347491725"/>
      <w:bookmarkStart w:id="2" w:name="_Toc445816814"/>
      <w:bookmarkStart w:id="3" w:name="_Toc445817096"/>
      <w:bookmarkStart w:id="4" w:name="_Toc447626865"/>
      <w:r>
        <w:br w:type="page"/>
      </w:r>
    </w:p>
    <w:p w14:paraId="72E1B081" w14:textId="1E20ADF2" w:rsidR="00CF1869" w:rsidRPr="00771029" w:rsidRDefault="00B40186" w:rsidP="00BA7900">
      <w:pPr>
        <w:pStyle w:val="Heading1"/>
      </w:pPr>
      <w:bookmarkStart w:id="5" w:name="_Toc512590046"/>
      <w:r>
        <w:lastRenderedPageBreak/>
        <w:t xml:space="preserve">A. </w:t>
      </w:r>
      <w:r w:rsidR="00617558" w:rsidRPr="00771029">
        <w:t>Introduction</w:t>
      </w:r>
      <w:bookmarkEnd w:id="1"/>
      <w:bookmarkEnd w:id="2"/>
      <w:bookmarkEnd w:id="3"/>
      <w:bookmarkEnd w:id="4"/>
      <w:bookmarkEnd w:id="5"/>
    </w:p>
    <w:p w14:paraId="56500EE6" w14:textId="22ADE2BF" w:rsidR="000024AD" w:rsidRPr="00427401" w:rsidRDefault="00427401" w:rsidP="00427401">
      <w:pPr>
        <w:numPr>
          <w:ilvl w:val="0"/>
          <w:numId w:val="0"/>
        </w:numPr>
        <w:tabs>
          <w:tab w:val="left" w:pos="426"/>
        </w:tabs>
        <w:ind w:left="357"/>
        <w:jc w:val="both"/>
        <w:rPr>
          <w:sz w:val="22"/>
        </w:rPr>
      </w:pPr>
      <w:r>
        <w:rPr>
          <w:sz w:val="22"/>
        </w:rPr>
        <w:t xml:space="preserve">1. </w:t>
      </w:r>
      <w:r w:rsidR="00617558" w:rsidRPr="00427401">
        <w:rPr>
          <w:sz w:val="22"/>
        </w:rPr>
        <w:t xml:space="preserve">UNOPS offers the following response with respect to the Activity </w:t>
      </w:r>
      <w:r w:rsidR="00B67194" w:rsidRPr="00427401">
        <w:rPr>
          <w:sz w:val="22"/>
        </w:rPr>
        <w:t xml:space="preserve">Report for </w:t>
      </w:r>
      <w:r w:rsidR="00AF5409" w:rsidRPr="00427401">
        <w:rPr>
          <w:sz w:val="22"/>
        </w:rPr>
        <w:t>201</w:t>
      </w:r>
      <w:r w:rsidR="0010562D" w:rsidRPr="00427401">
        <w:rPr>
          <w:sz w:val="22"/>
        </w:rPr>
        <w:t>7</w:t>
      </w:r>
      <w:r w:rsidR="00F9619E" w:rsidRPr="00427401">
        <w:rPr>
          <w:sz w:val="22"/>
        </w:rPr>
        <w:t xml:space="preserve"> of the Internal </w:t>
      </w:r>
      <w:r w:rsidR="00617558" w:rsidRPr="00427401">
        <w:rPr>
          <w:sz w:val="22"/>
        </w:rPr>
        <w:t>Audit and Investigations Group of the United Nations Office for Project Services (</w:t>
      </w:r>
      <w:r w:rsidR="00D629B0" w:rsidRPr="00427401">
        <w:rPr>
          <w:sz w:val="22"/>
        </w:rPr>
        <w:t>DP/OPS/201</w:t>
      </w:r>
      <w:r w:rsidR="0010562D" w:rsidRPr="00427401">
        <w:rPr>
          <w:sz w:val="22"/>
        </w:rPr>
        <w:t>8</w:t>
      </w:r>
      <w:r w:rsidR="00504607" w:rsidRPr="00427401">
        <w:rPr>
          <w:sz w:val="22"/>
        </w:rPr>
        <w:t>/</w:t>
      </w:r>
      <w:r w:rsidR="002B46EC" w:rsidRPr="00427401">
        <w:rPr>
          <w:sz w:val="22"/>
        </w:rPr>
        <w:t>3</w:t>
      </w:r>
      <w:r w:rsidR="00617558" w:rsidRPr="00427401">
        <w:rPr>
          <w:sz w:val="22"/>
        </w:rPr>
        <w:t xml:space="preserve">) and the Activities of the Ethics Office in </w:t>
      </w:r>
      <w:r w:rsidR="00C42397" w:rsidRPr="00427401">
        <w:rPr>
          <w:sz w:val="22"/>
        </w:rPr>
        <w:t>201</w:t>
      </w:r>
      <w:r w:rsidR="0010562D" w:rsidRPr="00427401">
        <w:rPr>
          <w:sz w:val="22"/>
        </w:rPr>
        <w:t>7</w:t>
      </w:r>
      <w:r w:rsidR="00617558" w:rsidRPr="00427401">
        <w:rPr>
          <w:sz w:val="22"/>
        </w:rPr>
        <w:t xml:space="preserve"> (</w:t>
      </w:r>
      <w:r w:rsidR="00D629B0" w:rsidRPr="00427401">
        <w:rPr>
          <w:sz w:val="22"/>
        </w:rPr>
        <w:t>DP/OPS/201</w:t>
      </w:r>
      <w:r w:rsidR="0010562D" w:rsidRPr="00427401">
        <w:rPr>
          <w:sz w:val="22"/>
        </w:rPr>
        <w:t>8</w:t>
      </w:r>
      <w:r w:rsidR="00504607" w:rsidRPr="00427401">
        <w:rPr>
          <w:sz w:val="22"/>
        </w:rPr>
        <w:t>/</w:t>
      </w:r>
      <w:r w:rsidR="002B46EC" w:rsidRPr="00427401">
        <w:rPr>
          <w:sz w:val="22"/>
        </w:rPr>
        <w:t>4</w:t>
      </w:r>
      <w:r w:rsidR="00617558" w:rsidRPr="00427401">
        <w:rPr>
          <w:sz w:val="22"/>
        </w:rPr>
        <w:t>).</w:t>
      </w:r>
    </w:p>
    <w:p w14:paraId="78B374B1" w14:textId="0490F428" w:rsidR="00B36EEC" w:rsidRPr="00B40186" w:rsidRDefault="009D1ED4" w:rsidP="0010562D">
      <w:pPr>
        <w:tabs>
          <w:tab w:val="left" w:pos="426"/>
        </w:tabs>
        <w:jc w:val="both"/>
        <w:rPr>
          <w:sz w:val="22"/>
        </w:rPr>
      </w:pPr>
      <w:r w:rsidRPr="00B40186">
        <w:rPr>
          <w:sz w:val="22"/>
        </w:rPr>
        <w:t xml:space="preserve">This report is organized in </w:t>
      </w:r>
      <w:r w:rsidR="00C4050C" w:rsidRPr="00B40186">
        <w:rPr>
          <w:sz w:val="22"/>
        </w:rPr>
        <w:t xml:space="preserve">sections </w:t>
      </w:r>
      <w:r w:rsidR="00871434" w:rsidRPr="00871434">
        <w:rPr>
          <w:sz w:val="22"/>
        </w:rPr>
        <w:t>B</w:t>
      </w:r>
      <w:r w:rsidR="00504607" w:rsidRPr="00871434">
        <w:rPr>
          <w:sz w:val="22"/>
        </w:rPr>
        <w:t>-</w:t>
      </w:r>
      <w:r w:rsidR="00871434" w:rsidRPr="00871434">
        <w:rPr>
          <w:sz w:val="22"/>
        </w:rPr>
        <w:t>G</w:t>
      </w:r>
      <w:r w:rsidRPr="00871434">
        <w:rPr>
          <w:sz w:val="22"/>
        </w:rPr>
        <w:t xml:space="preserve">. </w:t>
      </w:r>
      <w:r w:rsidRPr="00B40186">
        <w:rPr>
          <w:sz w:val="22"/>
        </w:rPr>
        <w:t>Section</w:t>
      </w:r>
      <w:r w:rsidR="005311D5">
        <w:rPr>
          <w:sz w:val="22"/>
        </w:rPr>
        <w:t>s</w:t>
      </w:r>
      <w:r w:rsidRPr="00B40186">
        <w:rPr>
          <w:sz w:val="22"/>
        </w:rPr>
        <w:t xml:space="preserve"> </w:t>
      </w:r>
      <w:r w:rsidR="006C5D6A">
        <w:rPr>
          <w:sz w:val="22"/>
        </w:rPr>
        <w:t>B</w:t>
      </w:r>
      <w:r w:rsidR="00504607" w:rsidRPr="00B40186">
        <w:rPr>
          <w:color w:val="FF0000"/>
          <w:sz w:val="22"/>
        </w:rPr>
        <w:t xml:space="preserve"> </w:t>
      </w:r>
      <w:r w:rsidR="00504607" w:rsidRPr="00B40186">
        <w:rPr>
          <w:sz w:val="22"/>
        </w:rPr>
        <w:t xml:space="preserve">and </w:t>
      </w:r>
      <w:r w:rsidR="006C5D6A">
        <w:rPr>
          <w:sz w:val="22"/>
        </w:rPr>
        <w:t>C</w:t>
      </w:r>
      <w:r w:rsidRPr="00B40186">
        <w:rPr>
          <w:sz w:val="22"/>
        </w:rPr>
        <w:t xml:space="preserve"> </w:t>
      </w:r>
      <w:r w:rsidR="005311D5">
        <w:rPr>
          <w:sz w:val="22"/>
        </w:rPr>
        <w:t>deliver</w:t>
      </w:r>
      <w:r w:rsidRPr="00B40186">
        <w:rPr>
          <w:sz w:val="22"/>
        </w:rPr>
        <w:t xml:space="preserve"> an overvi</w:t>
      </w:r>
      <w:r w:rsidR="00330BDC" w:rsidRPr="00B40186">
        <w:rPr>
          <w:sz w:val="22"/>
        </w:rPr>
        <w:t>ew of the independent</w:t>
      </w:r>
      <w:r w:rsidR="00B40186" w:rsidRPr="00B40186">
        <w:rPr>
          <w:sz w:val="22"/>
        </w:rPr>
        <w:t xml:space="preserve"> </w:t>
      </w:r>
      <w:r w:rsidR="00B67194" w:rsidRPr="00B40186">
        <w:rPr>
          <w:sz w:val="22"/>
        </w:rPr>
        <w:t>oversight</w:t>
      </w:r>
      <w:r w:rsidR="003B1F58" w:rsidRPr="00B40186">
        <w:rPr>
          <w:sz w:val="22"/>
        </w:rPr>
        <w:t xml:space="preserve"> </w:t>
      </w:r>
      <w:r w:rsidRPr="00B40186">
        <w:rPr>
          <w:sz w:val="22"/>
        </w:rPr>
        <w:t xml:space="preserve">and advisory bodies providing the UNOPS management with advice on areas </w:t>
      </w:r>
      <w:r w:rsidR="005311D5">
        <w:rPr>
          <w:sz w:val="22"/>
        </w:rPr>
        <w:t>for</w:t>
      </w:r>
      <w:r w:rsidRPr="00B40186">
        <w:rPr>
          <w:sz w:val="22"/>
        </w:rPr>
        <w:t xml:space="preserve"> </w:t>
      </w:r>
      <w:r w:rsidR="00E67B1A" w:rsidRPr="00B40186">
        <w:rPr>
          <w:sz w:val="22"/>
        </w:rPr>
        <w:t xml:space="preserve">attention and </w:t>
      </w:r>
      <w:r w:rsidRPr="00B40186">
        <w:rPr>
          <w:sz w:val="22"/>
        </w:rPr>
        <w:t xml:space="preserve">strengthening in terms of risk and accountability. Section </w:t>
      </w:r>
      <w:r w:rsidR="00871434">
        <w:rPr>
          <w:sz w:val="22"/>
        </w:rPr>
        <w:t>D</w:t>
      </w:r>
      <w:r w:rsidRPr="00B40186">
        <w:rPr>
          <w:sz w:val="22"/>
        </w:rPr>
        <w:t xml:space="preserve"> provides an overview of reports and recommendat</w:t>
      </w:r>
      <w:r w:rsidR="007A05F9">
        <w:rPr>
          <w:sz w:val="22"/>
        </w:rPr>
        <w:t>ions issued</w:t>
      </w:r>
      <w:r w:rsidR="00504607" w:rsidRPr="00B40186">
        <w:rPr>
          <w:sz w:val="22"/>
        </w:rPr>
        <w:t xml:space="preserve"> by IAIG during 201</w:t>
      </w:r>
      <w:r w:rsidR="0010562D">
        <w:rPr>
          <w:sz w:val="22"/>
        </w:rPr>
        <w:t>7</w:t>
      </w:r>
      <w:r w:rsidR="00B204D0" w:rsidRPr="00B40186">
        <w:rPr>
          <w:sz w:val="22"/>
        </w:rPr>
        <w:t xml:space="preserve">, followed by </w:t>
      </w:r>
      <w:r w:rsidR="00F6537B" w:rsidRPr="00B40186">
        <w:rPr>
          <w:sz w:val="22"/>
        </w:rPr>
        <w:t xml:space="preserve">a </w:t>
      </w:r>
      <w:r w:rsidR="00B204D0" w:rsidRPr="00B40186">
        <w:rPr>
          <w:sz w:val="22"/>
        </w:rPr>
        <w:t xml:space="preserve">specific overview of </w:t>
      </w:r>
      <w:r w:rsidR="00F6537B" w:rsidRPr="00B40186">
        <w:rPr>
          <w:sz w:val="22"/>
        </w:rPr>
        <w:t xml:space="preserve">the </w:t>
      </w:r>
      <w:r w:rsidR="00B204D0" w:rsidRPr="00B40186">
        <w:rPr>
          <w:sz w:val="22"/>
        </w:rPr>
        <w:t>IAIG internal and project audits (</w:t>
      </w:r>
      <w:r w:rsidR="0010562D">
        <w:rPr>
          <w:sz w:val="22"/>
        </w:rPr>
        <w:t>DP/OPS/2018</w:t>
      </w:r>
      <w:r w:rsidR="00504607" w:rsidRPr="00B40186">
        <w:rPr>
          <w:sz w:val="22"/>
        </w:rPr>
        <w:t>/</w:t>
      </w:r>
      <w:r w:rsidR="002B46EC">
        <w:rPr>
          <w:sz w:val="22"/>
        </w:rPr>
        <w:t>3</w:t>
      </w:r>
      <w:r w:rsidR="00F6537B" w:rsidRPr="00B40186">
        <w:rPr>
          <w:sz w:val="22"/>
        </w:rPr>
        <w:t>)</w:t>
      </w:r>
      <w:r w:rsidR="00B204D0" w:rsidRPr="00B40186">
        <w:rPr>
          <w:sz w:val="22"/>
        </w:rPr>
        <w:t xml:space="preserve">. In section </w:t>
      </w:r>
      <w:r w:rsidR="00871434">
        <w:rPr>
          <w:sz w:val="22"/>
        </w:rPr>
        <w:t>E</w:t>
      </w:r>
      <w:r w:rsidR="00945FF3" w:rsidRPr="00B40186">
        <w:rPr>
          <w:sz w:val="22"/>
        </w:rPr>
        <w:t>, the investigations</w:t>
      </w:r>
      <w:r w:rsidR="00B204D0" w:rsidRPr="00B40186">
        <w:rPr>
          <w:sz w:val="22"/>
        </w:rPr>
        <w:t xml:space="preserve"> function of IAIG is highlighted and in section </w:t>
      </w:r>
      <w:r w:rsidR="00871434">
        <w:rPr>
          <w:sz w:val="22"/>
        </w:rPr>
        <w:t>F</w:t>
      </w:r>
      <w:r w:rsidR="00B204D0" w:rsidRPr="00B40186">
        <w:rPr>
          <w:sz w:val="22"/>
        </w:rPr>
        <w:t xml:space="preserve"> an overview of </w:t>
      </w:r>
      <w:r w:rsidR="00945FF3" w:rsidRPr="00B40186">
        <w:rPr>
          <w:sz w:val="22"/>
        </w:rPr>
        <w:t xml:space="preserve">the </w:t>
      </w:r>
      <w:r w:rsidR="00B204D0" w:rsidRPr="00B40186">
        <w:rPr>
          <w:sz w:val="22"/>
        </w:rPr>
        <w:t xml:space="preserve">UNOPS </w:t>
      </w:r>
      <w:r w:rsidR="00054B38" w:rsidRPr="00B40186">
        <w:rPr>
          <w:sz w:val="22"/>
        </w:rPr>
        <w:t xml:space="preserve">strategic response to audit issues </w:t>
      </w:r>
      <w:r w:rsidR="00B204D0" w:rsidRPr="00B40186">
        <w:rPr>
          <w:sz w:val="22"/>
        </w:rPr>
        <w:t xml:space="preserve">is provided. Section </w:t>
      </w:r>
      <w:r w:rsidR="00871434">
        <w:rPr>
          <w:sz w:val="22"/>
        </w:rPr>
        <w:t>G</w:t>
      </w:r>
      <w:r w:rsidR="00C4050C" w:rsidRPr="00B40186">
        <w:rPr>
          <w:sz w:val="22"/>
        </w:rPr>
        <w:t xml:space="preserve"> </w:t>
      </w:r>
      <w:r w:rsidR="00945FF3" w:rsidRPr="00B40186">
        <w:rPr>
          <w:sz w:val="22"/>
        </w:rPr>
        <w:t>offers</w:t>
      </w:r>
      <w:r w:rsidR="00B204D0" w:rsidRPr="00B40186">
        <w:rPr>
          <w:sz w:val="22"/>
        </w:rPr>
        <w:t xml:space="preserve"> </w:t>
      </w:r>
      <w:r w:rsidR="00945FF3" w:rsidRPr="00B40186">
        <w:rPr>
          <w:sz w:val="22"/>
        </w:rPr>
        <w:t xml:space="preserve">the </w:t>
      </w:r>
      <w:r w:rsidR="00B204D0" w:rsidRPr="00B40186">
        <w:rPr>
          <w:sz w:val="22"/>
        </w:rPr>
        <w:t xml:space="preserve">management response to the </w:t>
      </w:r>
      <w:r w:rsidR="00C42397" w:rsidRPr="00B40186">
        <w:rPr>
          <w:sz w:val="22"/>
        </w:rPr>
        <w:t>201</w:t>
      </w:r>
      <w:r w:rsidR="0010562D">
        <w:rPr>
          <w:sz w:val="22"/>
        </w:rPr>
        <w:t>7</w:t>
      </w:r>
      <w:r w:rsidR="00C42397" w:rsidRPr="00B40186">
        <w:rPr>
          <w:sz w:val="22"/>
        </w:rPr>
        <w:t xml:space="preserve"> </w:t>
      </w:r>
      <w:r w:rsidR="00B204D0" w:rsidRPr="00B40186">
        <w:rPr>
          <w:sz w:val="22"/>
        </w:rPr>
        <w:t>Annual Rep</w:t>
      </w:r>
      <w:r w:rsidR="00C42397" w:rsidRPr="00B40186">
        <w:rPr>
          <w:sz w:val="22"/>
        </w:rPr>
        <w:t>ort of the UNOPS Ethics Officer</w:t>
      </w:r>
      <w:r w:rsidR="00B204D0" w:rsidRPr="00B40186">
        <w:rPr>
          <w:sz w:val="22"/>
        </w:rPr>
        <w:t xml:space="preserve"> </w:t>
      </w:r>
      <w:bookmarkStart w:id="6" w:name="_Toc347491727"/>
      <w:r w:rsidR="00504607" w:rsidRPr="00B40186">
        <w:rPr>
          <w:sz w:val="22"/>
        </w:rPr>
        <w:t>(DP/OPS/201</w:t>
      </w:r>
      <w:r w:rsidR="0010562D">
        <w:rPr>
          <w:sz w:val="22"/>
        </w:rPr>
        <w:t>8</w:t>
      </w:r>
      <w:r w:rsidR="00504607" w:rsidRPr="00B40186">
        <w:rPr>
          <w:sz w:val="22"/>
        </w:rPr>
        <w:t>/</w:t>
      </w:r>
      <w:r w:rsidR="002B46EC">
        <w:rPr>
          <w:sz w:val="22"/>
        </w:rPr>
        <w:t>4</w:t>
      </w:r>
      <w:r w:rsidR="00E45260" w:rsidRPr="00B40186">
        <w:rPr>
          <w:sz w:val="22"/>
        </w:rPr>
        <w:t>).</w:t>
      </w:r>
      <w:bookmarkStart w:id="7" w:name="_Toc445816815"/>
      <w:bookmarkStart w:id="8" w:name="_Toc445817097"/>
      <w:bookmarkStart w:id="9" w:name="_Toc447626866"/>
    </w:p>
    <w:p w14:paraId="7D36BF3E" w14:textId="1826255C" w:rsidR="00D15E2C" w:rsidRPr="00BA7900" w:rsidRDefault="00B40186" w:rsidP="00BA7900">
      <w:pPr>
        <w:pStyle w:val="Heading1"/>
      </w:pPr>
      <w:bookmarkStart w:id="10" w:name="_Toc512590047"/>
      <w:r>
        <w:t xml:space="preserve">B. </w:t>
      </w:r>
      <w:r w:rsidR="00250C98" w:rsidRPr="00BA7900">
        <w:t xml:space="preserve">The </w:t>
      </w:r>
      <w:r w:rsidR="00D15E2C" w:rsidRPr="00BA7900">
        <w:t>UNOPS Audit Advisory Committee</w:t>
      </w:r>
      <w:bookmarkEnd w:id="7"/>
      <w:bookmarkEnd w:id="8"/>
      <w:bookmarkEnd w:id="9"/>
      <w:bookmarkEnd w:id="10"/>
    </w:p>
    <w:p w14:paraId="00A94C11" w14:textId="60FA6D74" w:rsidR="00871434" w:rsidRDefault="00D15E2C" w:rsidP="00F9619E">
      <w:pPr>
        <w:tabs>
          <w:tab w:val="left" w:pos="426"/>
        </w:tabs>
        <w:jc w:val="both"/>
        <w:rPr>
          <w:sz w:val="22"/>
        </w:rPr>
      </w:pPr>
      <w:r w:rsidRPr="00871434">
        <w:rPr>
          <w:sz w:val="22"/>
        </w:rPr>
        <w:t xml:space="preserve">The United Nations Office for Project Services (UNOPS) </w:t>
      </w:r>
      <w:r w:rsidR="00F9619E">
        <w:rPr>
          <w:sz w:val="22"/>
        </w:rPr>
        <w:t xml:space="preserve">is committed to United Nations’ </w:t>
      </w:r>
      <w:r w:rsidRPr="00A5407D">
        <w:rPr>
          <w:sz w:val="22"/>
        </w:rPr>
        <w:t>harmonization and simplification of business processes, including those supporting the Executive Board, and subsidiary committees ad</w:t>
      </w:r>
      <w:r w:rsidR="00871434">
        <w:rPr>
          <w:sz w:val="22"/>
        </w:rPr>
        <w:t xml:space="preserve">vising the Executive Director. </w:t>
      </w:r>
    </w:p>
    <w:p w14:paraId="64990872" w14:textId="040DF965" w:rsidR="00D15E2C" w:rsidRPr="00871434" w:rsidRDefault="00D15E2C" w:rsidP="00871434">
      <w:pPr>
        <w:tabs>
          <w:tab w:val="left" w:pos="426"/>
        </w:tabs>
        <w:jc w:val="both"/>
        <w:rPr>
          <w:sz w:val="22"/>
        </w:rPr>
      </w:pPr>
      <w:r w:rsidRPr="00871434">
        <w:rPr>
          <w:sz w:val="22"/>
        </w:rPr>
        <w:t xml:space="preserve">Pursuant to Executive Board decisions 2015/4 and 2015/12, the </w:t>
      </w:r>
      <w:r w:rsidR="00567DED" w:rsidRPr="00871434">
        <w:rPr>
          <w:sz w:val="22"/>
        </w:rPr>
        <w:t>Audit Advisory Committee</w:t>
      </w:r>
      <w:r w:rsidR="005311D5">
        <w:rPr>
          <w:sz w:val="22"/>
        </w:rPr>
        <w:t xml:space="preserve"> (AAC)</w:t>
      </w:r>
      <w:r w:rsidR="00567DED" w:rsidRPr="00871434">
        <w:rPr>
          <w:sz w:val="22"/>
        </w:rPr>
        <w:t xml:space="preserve"> of</w:t>
      </w:r>
      <w:r w:rsidR="00871434">
        <w:rPr>
          <w:sz w:val="22"/>
        </w:rPr>
        <w:t xml:space="preserve"> </w:t>
      </w:r>
      <w:r w:rsidR="007066CA" w:rsidRPr="00871434">
        <w:rPr>
          <w:sz w:val="22"/>
        </w:rPr>
        <w:t xml:space="preserve">the </w:t>
      </w:r>
      <w:r w:rsidRPr="00871434">
        <w:rPr>
          <w:sz w:val="22"/>
        </w:rPr>
        <w:t>United Nations Office for Project Services was established on 2 March 2015, replacing</w:t>
      </w:r>
      <w:r w:rsidRPr="00871434">
        <w:rPr>
          <w:rFonts w:asciiTheme="minorHAnsi" w:eastAsiaTheme="minorHAnsi" w:hAnsiTheme="minorHAnsi" w:cstheme="minorBidi"/>
          <w:sz w:val="22"/>
          <w:lang w:val="en-GB"/>
        </w:rPr>
        <w:t xml:space="preserve"> </w:t>
      </w:r>
      <w:r w:rsidRPr="00871434">
        <w:rPr>
          <w:sz w:val="22"/>
        </w:rPr>
        <w:t>the Strategy and Audit Advisory Com</w:t>
      </w:r>
      <w:r w:rsidR="005871C3" w:rsidRPr="00871434">
        <w:rPr>
          <w:sz w:val="22"/>
        </w:rPr>
        <w:t>mittee (SAAC) for the purpose of</w:t>
      </w:r>
      <w:r w:rsidRPr="00871434">
        <w:rPr>
          <w:sz w:val="22"/>
        </w:rPr>
        <w:t xml:space="preserve"> further align</w:t>
      </w:r>
      <w:r w:rsidR="005871C3" w:rsidRPr="00871434">
        <w:rPr>
          <w:sz w:val="22"/>
        </w:rPr>
        <w:t>ing</w:t>
      </w:r>
      <w:r w:rsidRPr="00871434">
        <w:rPr>
          <w:sz w:val="22"/>
        </w:rPr>
        <w:t xml:space="preserve"> the UNOPS governance and accountability arrangements with those of sister agencies governed by the Executive Board.</w:t>
      </w:r>
      <w:r w:rsidR="00D11BB4" w:rsidRPr="00871434">
        <w:rPr>
          <w:sz w:val="22"/>
        </w:rPr>
        <w:t xml:space="preserve"> As such, t</w:t>
      </w:r>
      <w:r w:rsidR="004A3F41" w:rsidRPr="00871434">
        <w:rPr>
          <w:sz w:val="22"/>
        </w:rPr>
        <w:t>he roles and responsibilities of the AAC, as out</w:t>
      </w:r>
      <w:r w:rsidR="0027096C" w:rsidRPr="00871434">
        <w:rPr>
          <w:sz w:val="22"/>
        </w:rPr>
        <w:t xml:space="preserve">lined in its Terms of Reference </w:t>
      </w:r>
      <w:r w:rsidR="004A3F41" w:rsidRPr="00871434">
        <w:rPr>
          <w:sz w:val="22"/>
        </w:rPr>
        <w:t xml:space="preserve">(DP/OPS/2015/CRP.1), are </w:t>
      </w:r>
      <w:r w:rsidR="0092688A" w:rsidRPr="00871434">
        <w:rPr>
          <w:sz w:val="22"/>
        </w:rPr>
        <w:t>consistent</w:t>
      </w:r>
      <w:r w:rsidR="004A3F41" w:rsidRPr="00871434">
        <w:rPr>
          <w:sz w:val="22"/>
        </w:rPr>
        <w:t xml:space="preserve"> with those of UN agencies that are under the purview of the Executive Board.</w:t>
      </w:r>
    </w:p>
    <w:p w14:paraId="572ED6E3" w14:textId="5A806149" w:rsidR="00D15E2C" w:rsidRPr="00A5407D" w:rsidRDefault="00D15E2C" w:rsidP="00871434">
      <w:pPr>
        <w:tabs>
          <w:tab w:val="left" w:pos="426"/>
        </w:tabs>
        <w:jc w:val="both"/>
        <w:rPr>
          <w:sz w:val="22"/>
        </w:rPr>
      </w:pPr>
      <w:r w:rsidRPr="00871434">
        <w:rPr>
          <w:sz w:val="22"/>
        </w:rPr>
        <w:t>The Audit Advisory Committee provides external, independent, se</w:t>
      </w:r>
      <w:r w:rsidR="00567DED" w:rsidRPr="00871434">
        <w:rPr>
          <w:sz w:val="22"/>
        </w:rPr>
        <w:t>nior level advice regarding</w:t>
      </w:r>
      <w:r w:rsidR="00871434">
        <w:rPr>
          <w:sz w:val="22"/>
        </w:rPr>
        <w:t xml:space="preserve"> </w:t>
      </w:r>
      <w:r w:rsidR="00771029" w:rsidRPr="00A5407D">
        <w:rPr>
          <w:sz w:val="22"/>
        </w:rPr>
        <w:t xml:space="preserve">the </w:t>
      </w:r>
      <w:r w:rsidRPr="00A5407D">
        <w:rPr>
          <w:sz w:val="22"/>
        </w:rPr>
        <w:t xml:space="preserve">Organization’s internal controls, and audit and investigations objectives, including any significant risk management issues. The Committee has an advisory role and assists the Executive Director in fulfilling her oversight responsibilities in accordance with best practices and industry </w:t>
      </w:r>
      <w:r w:rsidR="00871434">
        <w:rPr>
          <w:sz w:val="22"/>
        </w:rPr>
        <w:t>standards.</w:t>
      </w:r>
    </w:p>
    <w:p w14:paraId="2C84423A" w14:textId="18BC16A0" w:rsidR="00647A57" w:rsidRPr="00871434" w:rsidRDefault="00D15E2C" w:rsidP="00871434">
      <w:pPr>
        <w:tabs>
          <w:tab w:val="left" w:pos="426"/>
        </w:tabs>
        <w:jc w:val="both"/>
        <w:rPr>
          <w:sz w:val="22"/>
        </w:rPr>
      </w:pPr>
      <w:r w:rsidRPr="0010562D">
        <w:rPr>
          <w:sz w:val="22"/>
          <w:lang w:val="en-GB"/>
        </w:rPr>
        <w:t>Management is pleased to note the significant contributions prov</w:t>
      </w:r>
      <w:r w:rsidR="00B67194" w:rsidRPr="0010562D">
        <w:rPr>
          <w:sz w:val="22"/>
          <w:lang w:val="en-GB"/>
        </w:rPr>
        <w:t xml:space="preserve">ided by the </w:t>
      </w:r>
      <w:r w:rsidR="00107829" w:rsidRPr="0010562D">
        <w:rPr>
          <w:sz w:val="22"/>
          <w:lang w:val="en-GB"/>
        </w:rPr>
        <w:t>AAC in 201</w:t>
      </w:r>
      <w:r w:rsidR="0010562D" w:rsidRPr="0010562D">
        <w:rPr>
          <w:sz w:val="22"/>
          <w:lang w:val="en-GB"/>
        </w:rPr>
        <w:t>7</w:t>
      </w:r>
      <w:r w:rsidR="00B67194" w:rsidRPr="0010562D">
        <w:rPr>
          <w:sz w:val="22"/>
          <w:lang w:val="en-GB"/>
        </w:rPr>
        <w:t xml:space="preserve"> and its</w:t>
      </w:r>
      <w:r w:rsidR="00771029" w:rsidRPr="0010562D">
        <w:rPr>
          <w:sz w:val="22"/>
        </w:rPr>
        <w:t xml:space="preserve"> </w:t>
      </w:r>
      <w:r w:rsidRPr="0010562D">
        <w:rPr>
          <w:sz w:val="22"/>
          <w:lang w:val="en-GB"/>
        </w:rPr>
        <w:t>concurrence with the observations reflected in t</w:t>
      </w:r>
      <w:r w:rsidR="0010562D" w:rsidRPr="0010562D">
        <w:rPr>
          <w:sz w:val="22"/>
          <w:lang w:val="en-GB"/>
        </w:rPr>
        <w:t>he Audit Advisory Committee 2017</w:t>
      </w:r>
      <w:r w:rsidRPr="0010562D">
        <w:rPr>
          <w:sz w:val="22"/>
          <w:lang w:val="en-GB"/>
        </w:rPr>
        <w:t xml:space="preserve"> Annual Report (</w:t>
      </w:r>
      <w:r w:rsidR="0010562D" w:rsidRPr="0010562D">
        <w:rPr>
          <w:sz w:val="22"/>
        </w:rPr>
        <w:t>DP/OPS/2018</w:t>
      </w:r>
      <w:r w:rsidRPr="0010562D">
        <w:rPr>
          <w:sz w:val="22"/>
        </w:rPr>
        <w:t>/</w:t>
      </w:r>
      <w:r w:rsidR="002B46EC">
        <w:rPr>
          <w:sz w:val="22"/>
        </w:rPr>
        <w:t>3</w:t>
      </w:r>
      <w:r w:rsidRPr="0010562D">
        <w:rPr>
          <w:sz w:val="22"/>
        </w:rPr>
        <w:t xml:space="preserve"> − Annex </w:t>
      </w:r>
      <w:r w:rsidR="002B46EC">
        <w:rPr>
          <w:sz w:val="22"/>
        </w:rPr>
        <w:t>3</w:t>
      </w:r>
      <w:r w:rsidRPr="0010562D">
        <w:rPr>
          <w:sz w:val="22"/>
          <w:lang w:val="en-GB"/>
        </w:rPr>
        <w:t>). Man</w:t>
      </w:r>
      <w:r w:rsidR="006B30E3" w:rsidRPr="0010562D">
        <w:rPr>
          <w:sz w:val="22"/>
          <w:lang w:val="en-GB"/>
        </w:rPr>
        <w:t xml:space="preserve">agement notes that the </w:t>
      </w:r>
      <w:r w:rsidRPr="0010562D">
        <w:rPr>
          <w:sz w:val="22"/>
          <w:lang w:val="en-GB"/>
        </w:rPr>
        <w:t xml:space="preserve">AAC, </w:t>
      </w:r>
      <w:r w:rsidR="006B30E3" w:rsidRPr="0010562D">
        <w:rPr>
          <w:sz w:val="22"/>
          <w:lang w:val="en-GB"/>
        </w:rPr>
        <w:t>in its advisory capacity</w:t>
      </w:r>
      <w:r w:rsidRPr="0010562D">
        <w:rPr>
          <w:sz w:val="22"/>
          <w:lang w:val="en-GB"/>
        </w:rPr>
        <w:t>, continue</w:t>
      </w:r>
      <w:r w:rsidR="002B46EC">
        <w:rPr>
          <w:sz w:val="22"/>
          <w:lang w:val="en-GB"/>
        </w:rPr>
        <w:t>s</w:t>
      </w:r>
      <w:r w:rsidRPr="0010562D">
        <w:rPr>
          <w:sz w:val="22"/>
          <w:lang w:val="en-GB"/>
        </w:rPr>
        <w:t xml:space="preserve"> </w:t>
      </w:r>
      <w:r w:rsidR="006B30E3" w:rsidRPr="0010562D">
        <w:rPr>
          <w:sz w:val="22"/>
          <w:lang w:val="en-GB"/>
        </w:rPr>
        <w:t>its</w:t>
      </w:r>
      <w:r w:rsidRPr="0010562D">
        <w:rPr>
          <w:sz w:val="22"/>
          <w:lang w:val="en-GB"/>
        </w:rPr>
        <w:t xml:space="preserve"> substantive engagement with the organization, demonstrating the value-add </w:t>
      </w:r>
      <w:r w:rsidR="006B30E3" w:rsidRPr="0010562D">
        <w:rPr>
          <w:sz w:val="22"/>
          <w:lang w:val="en-GB"/>
        </w:rPr>
        <w:t>of executive advice on strategic</w:t>
      </w:r>
      <w:r w:rsidR="002C04F0" w:rsidRPr="0010562D">
        <w:rPr>
          <w:sz w:val="22"/>
          <w:lang w:val="en-GB"/>
        </w:rPr>
        <w:t xml:space="preserve"> risk management</w:t>
      </w:r>
      <w:r w:rsidRPr="0010562D">
        <w:rPr>
          <w:sz w:val="22"/>
          <w:lang w:val="en-GB"/>
        </w:rPr>
        <w:t>. Finally, management would like to extend its appreciation to the current and past members of the Committee</w:t>
      </w:r>
      <w:r w:rsidR="007066CA" w:rsidRPr="0010562D">
        <w:rPr>
          <w:sz w:val="22"/>
          <w:lang w:val="en-GB"/>
        </w:rPr>
        <w:t>.</w:t>
      </w:r>
      <w:bookmarkStart w:id="11" w:name="_Toc445816816"/>
      <w:bookmarkStart w:id="12" w:name="_Toc445817098"/>
      <w:bookmarkStart w:id="13" w:name="_Toc447626867"/>
    </w:p>
    <w:p w14:paraId="7A6CD7AF" w14:textId="0A7409C6" w:rsidR="002013A4" w:rsidRPr="005F78B1" w:rsidRDefault="00B40186" w:rsidP="002013A4">
      <w:pPr>
        <w:pStyle w:val="Heading1"/>
      </w:pPr>
      <w:bookmarkStart w:id="14" w:name="_Toc512590048"/>
      <w:r>
        <w:t xml:space="preserve">C. </w:t>
      </w:r>
      <w:r w:rsidR="00617558" w:rsidRPr="00771029">
        <w:t>Role and functions of the Internal Audit and Investigations Group</w:t>
      </w:r>
      <w:bookmarkStart w:id="15" w:name="_Toc445816817"/>
      <w:bookmarkStart w:id="16" w:name="_Toc445817099"/>
      <w:bookmarkStart w:id="17" w:name="_Toc447626868"/>
      <w:bookmarkEnd w:id="6"/>
      <w:bookmarkEnd w:id="11"/>
      <w:bookmarkEnd w:id="12"/>
      <w:bookmarkEnd w:id="13"/>
      <w:bookmarkEnd w:id="14"/>
    </w:p>
    <w:p w14:paraId="2EB40098" w14:textId="3D494CBD" w:rsidR="00750E6A" w:rsidRPr="0010562D" w:rsidRDefault="00617558" w:rsidP="00D120BA">
      <w:pPr>
        <w:pStyle w:val="Heading2"/>
        <w:rPr>
          <w:lang w:val="en-GB"/>
        </w:rPr>
      </w:pPr>
      <w:bookmarkStart w:id="18" w:name="_Toc512590049"/>
      <w:r w:rsidRPr="002013A4">
        <w:rPr>
          <w:lang w:val="en-GB"/>
        </w:rPr>
        <w:t>Role and functions</w:t>
      </w:r>
      <w:bookmarkEnd w:id="15"/>
      <w:bookmarkEnd w:id="16"/>
      <w:bookmarkEnd w:id="17"/>
      <w:bookmarkEnd w:id="18"/>
    </w:p>
    <w:p w14:paraId="0492CCEB" w14:textId="20366B16" w:rsidR="00680760" w:rsidRDefault="00617558" w:rsidP="00680760">
      <w:pPr>
        <w:tabs>
          <w:tab w:val="left" w:pos="426"/>
        </w:tabs>
        <w:jc w:val="both"/>
        <w:rPr>
          <w:sz w:val="22"/>
          <w:lang w:val="en-GB"/>
        </w:rPr>
      </w:pPr>
      <w:r w:rsidRPr="007B46A3">
        <w:rPr>
          <w:sz w:val="22"/>
          <w:lang w:val="en-GB"/>
        </w:rPr>
        <w:t>Management recognizes the important role</w:t>
      </w:r>
      <w:r w:rsidR="002B46EC">
        <w:rPr>
          <w:sz w:val="22"/>
          <w:lang w:val="en-GB"/>
        </w:rPr>
        <w:t xml:space="preserve"> which</w:t>
      </w:r>
      <w:r w:rsidRPr="007B46A3">
        <w:rPr>
          <w:sz w:val="22"/>
          <w:lang w:val="en-GB"/>
        </w:rPr>
        <w:t xml:space="preserve"> </w:t>
      </w:r>
      <w:r w:rsidR="00871434" w:rsidRPr="007B46A3">
        <w:rPr>
          <w:sz w:val="22"/>
          <w:lang w:val="en-GB"/>
        </w:rPr>
        <w:t xml:space="preserve">the </w:t>
      </w:r>
      <w:r w:rsidRPr="007B46A3">
        <w:rPr>
          <w:sz w:val="22"/>
          <w:lang w:val="en-GB"/>
        </w:rPr>
        <w:t>Internal Audit and I</w:t>
      </w:r>
      <w:r w:rsidR="00B4663B" w:rsidRPr="007B46A3">
        <w:rPr>
          <w:sz w:val="22"/>
          <w:lang w:val="en-GB"/>
        </w:rPr>
        <w:t>nvestigation Group (IAIG)</w:t>
      </w:r>
      <w:r w:rsidR="00871434" w:rsidRPr="007B46A3">
        <w:rPr>
          <w:sz w:val="22"/>
          <w:lang w:val="en-GB"/>
        </w:rPr>
        <w:t xml:space="preserve"> </w:t>
      </w:r>
      <w:r w:rsidR="00B4663B" w:rsidRPr="007B46A3">
        <w:rPr>
          <w:sz w:val="22"/>
          <w:lang w:val="en-GB"/>
        </w:rPr>
        <w:t xml:space="preserve">plays </w:t>
      </w:r>
      <w:r w:rsidRPr="007B46A3">
        <w:rPr>
          <w:sz w:val="22"/>
          <w:lang w:val="en-GB"/>
        </w:rPr>
        <w:t>in providing assurance, offering advice, recommending improvements, and helping to enhance the organization’s risk management, control and governance systems.</w:t>
      </w:r>
    </w:p>
    <w:p w14:paraId="62B6FF5C" w14:textId="77777777" w:rsidR="00680760" w:rsidRDefault="00680760">
      <w:pPr>
        <w:numPr>
          <w:ilvl w:val="0"/>
          <w:numId w:val="0"/>
        </w:numPr>
        <w:spacing w:before="0" w:after="200" w:line="276" w:lineRule="auto"/>
        <w:rPr>
          <w:sz w:val="22"/>
          <w:lang w:val="en-GB"/>
        </w:rPr>
      </w:pPr>
      <w:r>
        <w:rPr>
          <w:sz w:val="22"/>
          <w:lang w:val="en-GB"/>
        </w:rPr>
        <w:br w:type="page"/>
      </w:r>
    </w:p>
    <w:p w14:paraId="2AA125FA" w14:textId="4A08641A" w:rsidR="00F9619E" w:rsidRPr="00F61783" w:rsidRDefault="00617558" w:rsidP="00871434">
      <w:pPr>
        <w:tabs>
          <w:tab w:val="left" w:pos="426"/>
        </w:tabs>
        <w:jc w:val="both"/>
        <w:rPr>
          <w:sz w:val="22"/>
          <w:lang w:val="en-GB"/>
        </w:rPr>
      </w:pPr>
      <w:r w:rsidRPr="00871434">
        <w:rPr>
          <w:sz w:val="22"/>
          <w:lang w:val="en-GB"/>
        </w:rPr>
        <w:lastRenderedPageBreak/>
        <w:t>Management also recognizes IAIG’s role in promoting a</w:t>
      </w:r>
      <w:r w:rsidR="003B1F58" w:rsidRPr="00871434">
        <w:rPr>
          <w:sz w:val="22"/>
          <w:lang w:val="en-GB"/>
        </w:rPr>
        <w:t>nd supporting accountability by</w:t>
      </w:r>
      <w:r w:rsidR="00871434">
        <w:rPr>
          <w:sz w:val="22"/>
          <w:lang w:val="en-GB"/>
        </w:rPr>
        <w:t xml:space="preserve"> </w:t>
      </w:r>
      <w:r w:rsidRPr="00F61783">
        <w:rPr>
          <w:sz w:val="22"/>
          <w:lang w:val="en-GB"/>
        </w:rPr>
        <w:t>c</w:t>
      </w:r>
      <w:r w:rsidR="00B67194" w:rsidRPr="00F61783">
        <w:rPr>
          <w:sz w:val="22"/>
          <w:lang w:val="en-GB"/>
        </w:rPr>
        <w:t>onducting</w:t>
      </w:r>
      <w:r w:rsidR="003B1F58" w:rsidRPr="00F61783">
        <w:rPr>
          <w:sz w:val="22"/>
          <w:lang w:val="en-GB"/>
        </w:rPr>
        <w:t xml:space="preserve"> </w:t>
      </w:r>
      <w:r w:rsidRPr="00F61783">
        <w:rPr>
          <w:sz w:val="22"/>
          <w:lang w:val="en-GB"/>
        </w:rPr>
        <w:t>investigations of potential violations of applicable regulations, rules and administrative or policy directives. Furthermore, IAIG’s endeavours to support management in the application of UNOPS general policies and objectives as described in the UNOPS Strategic Plan, 2014-2017 (DP/2013/3)</w:t>
      </w:r>
      <w:r w:rsidR="00D84306">
        <w:rPr>
          <w:rStyle w:val="FootnoteReference"/>
          <w:sz w:val="22"/>
          <w:lang w:val="en-GB"/>
        </w:rPr>
        <w:footnoteReference w:id="1"/>
      </w:r>
      <w:r w:rsidRPr="00F61783">
        <w:rPr>
          <w:sz w:val="22"/>
          <w:lang w:val="en-GB"/>
        </w:rPr>
        <w:t xml:space="preserve"> are highly appreciated. As such, IAIG is a central component of UNOPS accountability framework, adding valuable contributions to management of s</w:t>
      </w:r>
      <w:bookmarkStart w:id="19" w:name="_Toc445816818"/>
      <w:bookmarkStart w:id="20" w:name="_Toc445817100"/>
      <w:bookmarkStart w:id="21" w:name="_Toc447626869"/>
      <w:r w:rsidR="005F78B1" w:rsidRPr="00F61783">
        <w:rPr>
          <w:sz w:val="22"/>
          <w:lang w:val="en-GB"/>
        </w:rPr>
        <w:t>trategic and operational risks.</w:t>
      </w:r>
    </w:p>
    <w:p w14:paraId="3AD50B59" w14:textId="77777777" w:rsidR="00617558" w:rsidRPr="002013A4" w:rsidRDefault="00617558" w:rsidP="00D120BA">
      <w:pPr>
        <w:pStyle w:val="Heading2"/>
        <w:rPr>
          <w:lang w:val="en-GB"/>
        </w:rPr>
      </w:pPr>
      <w:bookmarkStart w:id="22" w:name="_Toc512590050"/>
      <w:r w:rsidRPr="002013A4">
        <w:rPr>
          <w:lang w:val="en-GB"/>
        </w:rPr>
        <w:t>Mandate</w:t>
      </w:r>
      <w:bookmarkEnd w:id="19"/>
      <w:bookmarkEnd w:id="20"/>
      <w:bookmarkEnd w:id="21"/>
      <w:bookmarkEnd w:id="22"/>
    </w:p>
    <w:p w14:paraId="102599DB" w14:textId="3809C38B" w:rsidR="00F9619E" w:rsidRPr="00871434" w:rsidRDefault="00617558" w:rsidP="00871434">
      <w:pPr>
        <w:tabs>
          <w:tab w:val="left" w:pos="426"/>
        </w:tabs>
        <w:jc w:val="both"/>
        <w:rPr>
          <w:sz w:val="22"/>
          <w:szCs w:val="22"/>
          <w:lang w:val="en-GB"/>
        </w:rPr>
      </w:pPr>
      <w:r w:rsidRPr="00871434">
        <w:rPr>
          <w:sz w:val="22"/>
          <w:szCs w:val="22"/>
          <w:lang w:val="en-GB"/>
        </w:rPr>
        <w:t xml:space="preserve">The mandate of </w:t>
      </w:r>
      <w:r w:rsidR="00B35C90" w:rsidRPr="00871434">
        <w:rPr>
          <w:sz w:val="22"/>
          <w:szCs w:val="22"/>
          <w:lang w:val="en-GB"/>
        </w:rPr>
        <w:t xml:space="preserve">the </w:t>
      </w:r>
      <w:r w:rsidRPr="00871434">
        <w:rPr>
          <w:sz w:val="22"/>
          <w:szCs w:val="22"/>
          <w:lang w:val="en-GB"/>
        </w:rPr>
        <w:t xml:space="preserve">UNOPS internal audit and investigation function is </w:t>
      </w:r>
      <w:r w:rsidR="00872774" w:rsidRPr="00871434">
        <w:rPr>
          <w:sz w:val="22"/>
          <w:szCs w:val="22"/>
          <w:lang w:val="en-GB"/>
        </w:rPr>
        <w:t>prescribed by Regulations</w:t>
      </w:r>
      <w:r w:rsidR="00F26B47" w:rsidRPr="00871434">
        <w:rPr>
          <w:sz w:val="22"/>
          <w:szCs w:val="22"/>
          <w:lang w:val="en-GB"/>
        </w:rPr>
        <w:t xml:space="preserve"> </w:t>
      </w:r>
      <w:r w:rsidR="00B67194" w:rsidRPr="00871434">
        <w:rPr>
          <w:sz w:val="22"/>
          <w:szCs w:val="22"/>
          <w:lang w:val="en-GB"/>
        </w:rPr>
        <w:t>6.01,</w:t>
      </w:r>
      <w:r w:rsidR="00B35C90" w:rsidRPr="00871434">
        <w:rPr>
          <w:sz w:val="22"/>
          <w:szCs w:val="22"/>
          <w:lang w:val="en-GB"/>
        </w:rPr>
        <w:t xml:space="preserve"> </w:t>
      </w:r>
      <w:r w:rsidRPr="00871434">
        <w:rPr>
          <w:sz w:val="22"/>
          <w:szCs w:val="22"/>
          <w:lang w:val="en-GB"/>
        </w:rPr>
        <w:t>6.02 and 6.03 and Rules 106.01, 106.02 and 106.03 in Article 6</w:t>
      </w:r>
      <w:r w:rsidRPr="000143C0">
        <w:rPr>
          <w:rStyle w:val="FootnoteReference"/>
          <w:sz w:val="22"/>
          <w:szCs w:val="22"/>
          <w:lang w:val="en-GB"/>
        </w:rPr>
        <w:footnoteReference w:id="2"/>
      </w:r>
      <w:r w:rsidRPr="00871434">
        <w:rPr>
          <w:sz w:val="22"/>
          <w:szCs w:val="22"/>
          <w:lang w:val="en-GB"/>
        </w:rPr>
        <w:t xml:space="preserve"> of UNOPS </w:t>
      </w:r>
      <w:r w:rsidR="0010562D">
        <w:rPr>
          <w:sz w:val="22"/>
          <w:szCs w:val="22"/>
          <w:lang w:val="en-GB"/>
        </w:rPr>
        <w:t xml:space="preserve">IPSAS-compliant </w:t>
      </w:r>
      <w:r w:rsidRPr="00871434">
        <w:rPr>
          <w:sz w:val="22"/>
          <w:szCs w:val="22"/>
          <w:lang w:val="en-GB"/>
        </w:rPr>
        <w:t xml:space="preserve">Financial Regulations and Rules (FRRs), </w:t>
      </w:r>
      <w:r w:rsidR="0010562D">
        <w:rPr>
          <w:sz w:val="22"/>
          <w:szCs w:val="22"/>
          <w:lang w:val="en-GB"/>
        </w:rPr>
        <w:t>which were re-issued effective on</w:t>
      </w:r>
      <w:r w:rsidRPr="00871434">
        <w:rPr>
          <w:sz w:val="22"/>
          <w:szCs w:val="22"/>
          <w:lang w:val="en-GB"/>
        </w:rPr>
        <w:t xml:space="preserve"> </w:t>
      </w:r>
      <w:r w:rsidR="0010562D">
        <w:rPr>
          <w:sz w:val="22"/>
          <w:szCs w:val="22"/>
          <w:lang w:val="en-GB"/>
        </w:rPr>
        <w:t>13 March</w:t>
      </w:r>
      <w:r w:rsidR="00241D83">
        <w:rPr>
          <w:sz w:val="22"/>
          <w:szCs w:val="22"/>
          <w:lang w:val="en-GB"/>
        </w:rPr>
        <w:t xml:space="preserve"> 201</w:t>
      </w:r>
      <w:r w:rsidR="00316656">
        <w:rPr>
          <w:sz w:val="22"/>
          <w:szCs w:val="22"/>
          <w:lang w:val="en-GB"/>
        </w:rPr>
        <w:t>7</w:t>
      </w:r>
      <w:r w:rsidRPr="00871434">
        <w:rPr>
          <w:sz w:val="22"/>
          <w:szCs w:val="22"/>
          <w:lang w:val="en-GB"/>
        </w:rPr>
        <w:t xml:space="preserve"> </w:t>
      </w:r>
      <w:bookmarkStart w:id="23" w:name="_Toc445816819"/>
      <w:bookmarkStart w:id="24" w:name="_Toc445817101"/>
      <w:bookmarkStart w:id="25" w:name="_Toc447626870"/>
      <w:r w:rsidR="0010562D">
        <w:rPr>
          <w:sz w:val="22"/>
          <w:szCs w:val="22"/>
          <w:lang w:val="en-GB"/>
        </w:rPr>
        <w:t>in line with UNOPS new Governance, Risk and Compliance Framework</w:t>
      </w:r>
      <w:r w:rsidR="005F78B1" w:rsidRPr="00871434">
        <w:rPr>
          <w:sz w:val="22"/>
          <w:szCs w:val="22"/>
          <w:lang w:val="en-GB"/>
        </w:rPr>
        <w:t>.</w:t>
      </w:r>
    </w:p>
    <w:p w14:paraId="7D9FC431" w14:textId="77777777" w:rsidR="00617558" w:rsidRPr="002013A4" w:rsidRDefault="00617558" w:rsidP="00D120BA">
      <w:pPr>
        <w:pStyle w:val="Heading2"/>
      </w:pPr>
      <w:bookmarkStart w:id="26" w:name="_Toc512590051"/>
      <w:r w:rsidRPr="002013A4">
        <w:t>Coordination and collaboration</w:t>
      </w:r>
      <w:bookmarkEnd w:id="23"/>
      <w:bookmarkEnd w:id="24"/>
      <w:bookmarkEnd w:id="25"/>
      <w:bookmarkEnd w:id="26"/>
    </w:p>
    <w:p w14:paraId="02D65EB6" w14:textId="233EDCA9" w:rsidR="00EB742F" w:rsidRPr="00871434" w:rsidRDefault="00617558" w:rsidP="00781806">
      <w:pPr>
        <w:tabs>
          <w:tab w:val="left" w:pos="426"/>
        </w:tabs>
        <w:jc w:val="both"/>
        <w:rPr>
          <w:sz w:val="22"/>
          <w:lang w:val="en-GB"/>
        </w:rPr>
      </w:pPr>
      <w:r w:rsidRPr="00871434">
        <w:rPr>
          <w:sz w:val="22"/>
          <w:lang w:val="en-GB"/>
        </w:rPr>
        <w:t>Management encourages IAIG’s continuous coordination with the U</w:t>
      </w:r>
      <w:r w:rsidR="00164BF9" w:rsidRPr="00871434">
        <w:rPr>
          <w:sz w:val="22"/>
          <w:lang w:val="en-GB"/>
        </w:rPr>
        <w:t>nited Nations Board of</w:t>
      </w:r>
      <w:r w:rsidR="000143C0" w:rsidRPr="00871434">
        <w:rPr>
          <w:sz w:val="22"/>
          <w:lang w:val="en-GB"/>
        </w:rPr>
        <w:t xml:space="preserve"> </w:t>
      </w:r>
      <w:r w:rsidR="00B67194" w:rsidRPr="00871434">
        <w:rPr>
          <w:sz w:val="22"/>
          <w:lang w:val="en-GB"/>
        </w:rPr>
        <w:t>Auditors</w:t>
      </w:r>
      <w:r w:rsidR="00164BF9" w:rsidRPr="00871434">
        <w:rPr>
          <w:sz w:val="22"/>
          <w:lang w:val="en-GB"/>
        </w:rPr>
        <w:t xml:space="preserve"> </w:t>
      </w:r>
      <w:r w:rsidRPr="00871434">
        <w:rPr>
          <w:sz w:val="22"/>
          <w:lang w:val="en-GB"/>
        </w:rPr>
        <w:t>(UNBOA), the Office of Internal Oversight Services (OIOS), the Representatives of the</w:t>
      </w:r>
      <w:r w:rsidR="0015167B" w:rsidRPr="00871434">
        <w:rPr>
          <w:sz w:val="22"/>
          <w:lang w:val="en-GB"/>
        </w:rPr>
        <w:t xml:space="preserve"> </w:t>
      </w:r>
      <w:r w:rsidR="00EB742F" w:rsidRPr="00871434">
        <w:rPr>
          <w:sz w:val="22"/>
          <w:lang w:val="en-GB"/>
        </w:rPr>
        <w:t>Internal Audit Services of the United Nations Organizations (UN-RIAS)</w:t>
      </w:r>
      <w:r w:rsidR="00D120BA">
        <w:rPr>
          <w:sz w:val="22"/>
          <w:lang w:val="en-GB"/>
        </w:rPr>
        <w:t>, the Representatives with the Internal Investigations Services of the United Nations Organizations (UN-RIS),</w:t>
      </w:r>
      <w:r w:rsidR="00EB742F" w:rsidRPr="00871434">
        <w:rPr>
          <w:sz w:val="22"/>
          <w:lang w:val="en-GB"/>
        </w:rPr>
        <w:t xml:space="preserve"> and the Joint Inspection Unit (JIU).</w:t>
      </w:r>
    </w:p>
    <w:p w14:paraId="6EDDF07C" w14:textId="78DA1DE0" w:rsidR="002530BD" w:rsidRPr="00246A45" w:rsidRDefault="00EB742F" w:rsidP="0010562D">
      <w:pPr>
        <w:tabs>
          <w:tab w:val="left" w:pos="426"/>
        </w:tabs>
        <w:jc w:val="both"/>
        <w:rPr>
          <w:sz w:val="22"/>
          <w:szCs w:val="22"/>
          <w:lang w:val="en-GB"/>
        </w:rPr>
      </w:pPr>
      <w:r w:rsidRPr="00871434">
        <w:rPr>
          <w:sz w:val="22"/>
          <w:szCs w:val="22"/>
          <w:lang w:val="en-GB"/>
        </w:rPr>
        <w:t xml:space="preserve">Management also supports IAIG’s strong collaboration and </w:t>
      </w:r>
      <w:r w:rsidR="008034B5" w:rsidRPr="00871434">
        <w:rPr>
          <w:sz w:val="22"/>
          <w:szCs w:val="22"/>
          <w:lang w:val="en-GB"/>
        </w:rPr>
        <w:t>coordination with various UNOPS</w:t>
      </w:r>
      <w:r w:rsidR="00246A45" w:rsidRPr="00871434">
        <w:rPr>
          <w:sz w:val="22"/>
          <w:szCs w:val="22"/>
          <w:lang w:val="en-GB"/>
        </w:rPr>
        <w:t xml:space="preserve"> </w:t>
      </w:r>
      <w:r w:rsidR="00144682" w:rsidRPr="00871434">
        <w:rPr>
          <w:sz w:val="22"/>
          <w:szCs w:val="22"/>
          <w:lang w:val="en-GB"/>
        </w:rPr>
        <w:t xml:space="preserve">business </w:t>
      </w:r>
      <w:r w:rsidR="00B67194" w:rsidRPr="00871434">
        <w:rPr>
          <w:sz w:val="22"/>
          <w:szCs w:val="22"/>
          <w:lang w:val="en-GB"/>
        </w:rPr>
        <w:t>units,</w:t>
      </w:r>
      <w:r w:rsidR="00164BF9" w:rsidRPr="00871434">
        <w:rPr>
          <w:sz w:val="22"/>
          <w:szCs w:val="22"/>
          <w:lang w:val="en-GB"/>
        </w:rPr>
        <w:t xml:space="preserve"> </w:t>
      </w:r>
      <w:r w:rsidRPr="00871434">
        <w:rPr>
          <w:sz w:val="22"/>
          <w:szCs w:val="22"/>
          <w:lang w:val="en-GB"/>
        </w:rPr>
        <w:t>including the Legal Group, the People and Change Group, the Ethics Officer and several regional/country offices, promoting inter-departmental cooperation, support and continuous follow up on specific matters.</w:t>
      </w:r>
    </w:p>
    <w:p w14:paraId="552EE7FC" w14:textId="08BEE33F" w:rsidR="002013A4" w:rsidRPr="005F78B1" w:rsidRDefault="00B40186" w:rsidP="002013A4">
      <w:pPr>
        <w:pStyle w:val="Heading1"/>
      </w:pPr>
      <w:bookmarkStart w:id="27" w:name="_Toc320111338"/>
      <w:bookmarkStart w:id="28" w:name="_Toc445816820"/>
      <w:bookmarkStart w:id="29" w:name="_Toc445817102"/>
      <w:bookmarkStart w:id="30" w:name="_Toc447626871"/>
      <w:bookmarkStart w:id="31" w:name="_Toc512590052"/>
      <w:r>
        <w:t xml:space="preserve">D. </w:t>
      </w:r>
      <w:r w:rsidR="005A4902" w:rsidRPr="00771029">
        <w:t xml:space="preserve">IAIG </w:t>
      </w:r>
      <w:bookmarkEnd w:id="27"/>
      <w:bookmarkEnd w:id="28"/>
      <w:bookmarkEnd w:id="29"/>
      <w:r w:rsidR="00F449E7" w:rsidRPr="00771029">
        <w:t>Audits</w:t>
      </w:r>
      <w:bookmarkStart w:id="32" w:name="_Toc445816821"/>
      <w:bookmarkStart w:id="33" w:name="_Toc445817103"/>
      <w:bookmarkStart w:id="34" w:name="_Toc447626872"/>
      <w:bookmarkEnd w:id="30"/>
      <w:bookmarkEnd w:id="31"/>
    </w:p>
    <w:p w14:paraId="0386A397" w14:textId="77777777" w:rsidR="005A4902" w:rsidRPr="002013A4" w:rsidRDefault="009D1ED4" w:rsidP="00D120BA">
      <w:pPr>
        <w:pStyle w:val="Heading2"/>
      </w:pPr>
      <w:bookmarkStart w:id="35" w:name="_Toc512590053"/>
      <w:r w:rsidRPr="002013A4">
        <w:t>Overview</w:t>
      </w:r>
      <w:bookmarkEnd w:id="32"/>
      <w:bookmarkEnd w:id="33"/>
      <w:bookmarkEnd w:id="34"/>
      <w:bookmarkEnd w:id="35"/>
    </w:p>
    <w:p w14:paraId="41F98962" w14:textId="381EFE1C" w:rsidR="003944E5" w:rsidRPr="007B46A3" w:rsidRDefault="00C40635" w:rsidP="007B46A3">
      <w:pPr>
        <w:tabs>
          <w:tab w:val="left" w:pos="426"/>
        </w:tabs>
        <w:jc w:val="both"/>
        <w:rPr>
          <w:sz w:val="22"/>
          <w:lang w:val="en-GB"/>
        </w:rPr>
      </w:pPr>
      <w:r w:rsidRPr="00871434">
        <w:rPr>
          <w:sz w:val="22"/>
          <w:lang w:val="en-GB"/>
        </w:rPr>
        <w:t xml:space="preserve">The </w:t>
      </w:r>
      <w:r w:rsidR="005A4902" w:rsidRPr="00871434">
        <w:rPr>
          <w:sz w:val="22"/>
          <w:lang w:val="en-GB"/>
        </w:rPr>
        <w:t xml:space="preserve">IAIG internal audits comprise three types: a) IAIG internal audits, b) </w:t>
      </w:r>
      <w:r w:rsidR="00771029" w:rsidRPr="00871434">
        <w:rPr>
          <w:sz w:val="22"/>
          <w:lang w:val="en-GB"/>
        </w:rPr>
        <w:t xml:space="preserve">project audits and c) </w:t>
      </w:r>
      <w:r w:rsidR="00B67194" w:rsidRPr="00871434">
        <w:rPr>
          <w:sz w:val="22"/>
          <w:lang w:val="en-GB"/>
        </w:rPr>
        <w:t>audits of</w:t>
      </w:r>
      <w:r w:rsidRPr="00871434">
        <w:rPr>
          <w:sz w:val="22"/>
          <w:lang w:val="en-GB"/>
        </w:rPr>
        <w:t xml:space="preserve"> </w:t>
      </w:r>
      <w:r w:rsidR="005A4902" w:rsidRPr="00871434">
        <w:rPr>
          <w:sz w:val="22"/>
          <w:lang w:val="en-GB"/>
        </w:rPr>
        <w:t>significant programmes, as summarized in Table 1. Management notes that the overall number of reports in</w:t>
      </w:r>
      <w:r w:rsidR="001C2BF2" w:rsidRPr="00871434">
        <w:rPr>
          <w:sz w:val="22"/>
          <w:lang w:val="en-GB"/>
        </w:rPr>
        <w:t xml:space="preserve"> </w:t>
      </w:r>
      <w:r w:rsidR="00CC541C" w:rsidRPr="00871434">
        <w:rPr>
          <w:sz w:val="22"/>
          <w:lang w:val="en-GB"/>
        </w:rPr>
        <w:t>201</w:t>
      </w:r>
      <w:r w:rsidR="002B6E36">
        <w:rPr>
          <w:sz w:val="22"/>
          <w:lang w:val="en-GB"/>
        </w:rPr>
        <w:t>7</w:t>
      </w:r>
      <w:r w:rsidR="0037427C" w:rsidRPr="00871434">
        <w:rPr>
          <w:sz w:val="22"/>
          <w:lang w:val="en-GB"/>
        </w:rPr>
        <w:t xml:space="preserve"> (</w:t>
      </w:r>
      <w:r w:rsidR="00100658">
        <w:rPr>
          <w:sz w:val="22"/>
          <w:lang w:val="en-GB"/>
        </w:rPr>
        <w:t>45</w:t>
      </w:r>
      <w:r w:rsidR="0037427C" w:rsidRPr="00871434">
        <w:rPr>
          <w:sz w:val="22"/>
          <w:lang w:val="en-GB"/>
        </w:rPr>
        <w:t>)</w:t>
      </w:r>
      <w:r w:rsidR="005A4902" w:rsidRPr="00871434">
        <w:rPr>
          <w:sz w:val="22"/>
          <w:lang w:val="en-GB"/>
        </w:rPr>
        <w:t xml:space="preserve"> is </w:t>
      </w:r>
      <w:r w:rsidR="00100658">
        <w:rPr>
          <w:sz w:val="22"/>
          <w:lang w:val="en-GB"/>
        </w:rPr>
        <w:t>higher</w:t>
      </w:r>
      <w:r w:rsidR="005A4902" w:rsidRPr="00871434">
        <w:rPr>
          <w:sz w:val="22"/>
          <w:lang w:val="en-GB"/>
        </w:rPr>
        <w:t xml:space="preserve"> c</w:t>
      </w:r>
      <w:r w:rsidR="001C2BF2" w:rsidRPr="00871434">
        <w:rPr>
          <w:sz w:val="22"/>
          <w:lang w:val="en-GB"/>
        </w:rPr>
        <w:t>ompared</w:t>
      </w:r>
      <w:r w:rsidR="00CC541C" w:rsidRPr="00871434">
        <w:rPr>
          <w:sz w:val="22"/>
          <w:lang w:val="en-GB"/>
        </w:rPr>
        <w:t xml:space="preserve"> to 201</w:t>
      </w:r>
      <w:r w:rsidR="002B6E36">
        <w:rPr>
          <w:sz w:val="22"/>
          <w:lang w:val="en-GB"/>
        </w:rPr>
        <w:t>6</w:t>
      </w:r>
      <w:r w:rsidR="0037427C" w:rsidRPr="00871434">
        <w:rPr>
          <w:sz w:val="22"/>
          <w:lang w:val="en-GB"/>
        </w:rPr>
        <w:t xml:space="preserve"> (</w:t>
      </w:r>
      <w:r w:rsidR="002B6E36">
        <w:rPr>
          <w:sz w:val="22"/>
          <w:lang w:val="en-GB"/>
        </w:rPr>
        <w:t>37</w:t>
      </w:r>
      <w:r w:rsidR="0037427C" w:rsidRPr="00871434">
        <w:rPr>
          <w:sz w:val="22"/>
          <w:lang w:val="en-GB"/>
        </w:rPr>
        <w:t>)</w:t>
      </w:r>
      <w:r w:rsidR="005C4F2F" w:rsidRPr="00871434">
        <w:rPr>
          <w:sz w:val="22"/>
          <w:lang w:val="en-GB"/>
        </w:rPr>
        <w:t xml:space="preserve">, </w:t>
      </w:r>
      <w:r w:rsidR="006D7513">
        <w:rPr>
          <w:sz w:val="22"/>
          <w:lang w:val="en-GB"/>
        </w:rPr>
        <w:t>due to an</w:t>
      </w:r>
      <w:r w:rsidR="005C4F2F" w:rsidRPr="00100658">
        <w:rPr>
          <w:sz w:val="22"/>
          <w:lang w:val="en-GB"/>
        </w:rPr>
        <w:t xml:space="preserve"> </w:t>
      </w:r>
      <w:r w:rsidR="00100658" w:rsidRPr="00100658">
        <w:rPr>
          <w:sz w:val="22"/>
          <w:lang w:val="en-GB"/>
        </w:rPr>
        <w:t>increase</w:t>
      </w:r>
      <w:r w:rsidR="005C4F2F" w:rsidRPr="00100658">
        <w:rPr>
          <w:sz w:val="22"/>
          <w:lang w:val="en-GB"/>
        </w:rPr>
        <w:t xml:space="preserve"> of</w:t>
      </w:r>
      <w:r w:rsidR="001C2BF2" w:rsidRPr="00100658">
        <w:rPr>
          <w:sz w:val="22"/>
          <w:lang w:val="en-GB"/>
        </w:rPr>
        <w:t xml:space="preserve"> </w:t>
      </w:r>
      <w:r w:rsidR="00CC541C" w:rsidRPr="00100658">
        <w:rPr>
          <w:sz w:val="22"/>
          <w:lang w:val="en-GB"/>
        </w:rPr>
        <w:t>client requests and reporting requirements as per project agreements</w:t>
      </w:r>
      <w:r w:rsidR="00100658" w:rsidRPr="00100658">
        <w:rPr>
          <w:sz w:val="22"/>
          <w:lang w:val="en-GB"/>
        </w:rPr>
        <w:t>, as well</w:t>
      </w:r>
      <w:r w:rsidR="00100658">
        <w:rPr>
          <w:sz w:val="22"/>
          <w:lang w:val="en-GB"/>
        </w:rPr>
        <w:t xml:space="preserve"> as </w:t>
      </w:r>
      <w:r w:rsidR="00241D83">
        <w:rPr>
          <w:sz w:val="22"/>
          <w:lang w:val="en-GB"/>
        </w:rPr>
        <w:t>concerted efforts</w:t>
      </w:r>
      <w:r w:rsidR="00100658">
        <w:rPr>
          <w:sz w:val="22"/>
          <w:lang w:val="en-GB"/>
        </w:rPr>
        <w:t xml:space="preserve"> in IAIG to increase the output</w:t>
      </w:r>
      <w:r w:rsidR="00E04891" w:rsidRPr="00871434">
        <w:rPr>
          <w:sz w:val="22"/>
          <w:lang w:val="en-GB"/>
        </w:rPr>
        <w:t>.</w:t>
      </w:r>
      <w:r w:rsidR="00CE1A07" w:rsidRPr="00871434">
        <w:rPr>
          <w:sz w:val="22"/>
          <w:lang w:val="en-GB"/>
        </w:rPr>
        <w:t xml:space="preserve"> </w:t>
      </w:r>
      <w:r w:rsidR="005A4902" w:rsidRPr="00871434">
        <w:rPr>
          <w:sz w:val="22"/>
          <w:lang w:val="en-GB"/>
        </w:rPr>
        <w:t xml:space="preserve">Management commends IAIG on its efforts to complete current and prior year </w:t>
      </w:r>
      <w:r w:rsidR="00E8753B" w:rsidRPr="00871434">
        <w:rPr>
          <w:sz w:val="22"/>
          <w:lang w:val="en-GB"/>
        </w:rPr>
        <w:t>work plans</w:t>
      </w:r>
      <w:r w:rsidR="00CC541C" w:rsidRPr="00871434">
        <w:rPr>
          <w:sz w:val="22"/>
          <w:lang w:val="en-GB"/>
        </w:rPr>
        <w:t>, which resulted in no</w:t>
      </w:r>
      <w:r w:rsidR="005A4902" w:rsidRPr="00871434">
        <w:rPr>
          <w:sz w:val="22"/>
          <w:lang w:val="en-GB"/>
        </w:rPr>
        <w:t xml:space="preserve"> audit </w:t>
      </w:r>
      <w:r w:rsidR="00CC541C" w:rsidRPr="00871434">
        <w:rPr>
          <w:sz w:val="22"/>
          <w:lang w:val="en-GB"/>
        </w:rPr>
        <w:t>assignments carried over to 2017</w:t>
      </w:r>
      <w:r w:rsidR="005A4902" w:rsidRPr="00871434">
        <w:rPr>
          <w:sz w:val="22"/>
          <w:lang w:val="en-GB"/>
        </w:rPr>
        <w:t>.</w:t>
      </w:r>
    </w:p>
    <w:tbl>
      <w:tblPr>
        <w:tblW w:w="8930" w:type="dxa"/>
        <w:tblInd w:w="261" w:type="dxa"/>
        <w:tblLayout w:type="fixed"/>
        <w:tblLook w:val="04A0" w:firstRow="1" w:lastRow="0" w:firstColumn="1" w:lastColumn="0" w:noHBand="0" w:noVBand="1"/>
      </w:tblPr>
      <w:tblGrid>
        <w:gridCol w:w="4242"/>
        <w:gridCol w:w="1752"/>
        <w:gridCol w:w="1752"/>
        <w:gridCol w:w="1184"/>
      </w:tblGrid>
      <w:tr w:rsidR="004A5560" w:rsidRPr="00EE0622" w14:paraId="1067A3CC" w14:textId="77777777" w:rsidTr="00801964">
        <w:trPr>
          <w:trHeight w:val="340"/>
        </w:trPr>
        <w:tc>
          <w:tcPr>
            <w:tcW w:w="8930" w:type="dxa"/>
            <w:gridSpan w:val="4"/>
            <w:tcBorders>
              <w:top w:val="double" w:sz="6" w:space="0" w:color="auto"/>
              <w:left w:val="double" w:sz="6" w:space="0" w:color="auto"/>
              <w:bottom w:val="double" w:sz="6" w:space="0" w:color="auto"/>
              <w:right w:val="double" w:sz="6" w:space="0" w:color="000000"/>
            </w:tcBorders>
            <w:shd w:val="clear" w:color="000000" w:fill="FFFFFF"/>
            <w:vAlign w:val="center"/>
            <w:hideMark/>
          </w:tcPr>
          <w:p w14:paraId="0925F654" w14:textId="77777777" w:rsidR="004A5560" w:rsidRPr="00C04E1A" w:rsidRDefault="004A5560" w:rsidP="007B46A3">
            <w:pPr>
              <w:pStyle w:val="NoSpacing"/>
              <w:rPr>
                <w:b/>
                <w:lang w:val="en-GB" w:eastAsia="en-GB"/>
              </w:rPr>
            </w:pPr>
            <w:r w:rsidRPr="00C04E1A">
              <w:rPr>
                <w:b/>
                <w:lang w:val="en-GB" w:eastAsia="en-GB"/>
              </w:rPr>
              <w:t>Table 1: Number of internal audit reports issued*</w:t>
            </w:r>
          </w:p>
        </w:tc>
      </w:tr>
      <w:tr w:rsidR="004A5560" w:rsidRPr="00EE0622" w14:paraId="713FAA27" w14:textId="77777777" w:rsidTr="00801964">
        <w:trPr>
          <w:trHeight w:val="340"/>
        </w:trPr>
        <w:tc>
          <w:tcPr>
            <w:tcW w:w="4242" w:type="dxa"/>
            <w:tcBorders>
              <w:top w:val="nil"/>
              <w:left w:val="double" w:sz="6" w:space="0" w:color="auto"/>
              <w:bottom w:val="single" w:sz="8" w:space="0" w:color="auto"/>
              <w:right w:val="single" w:sz="8" w:space="0" w:color="auto"/>
            </w:tcBorders>
            <w:shd w:val="clear" w:color="000000" w:fill="FFFFFF"/>
            <w:noWrap/>
            <w:vAlign w:val="center"/>
            <w:hideMark/>
          </w:tcPr>
          <w:p w14:paraId="7303942F" w14:textId="77777777" w:rsidR="004A5560" w:rsidRPr="00C04E1A" w:rsidRDefault="004A5560" w:rsidP="007B46A3">
            <w:pPr>
              <w:pStyle w:val="NoSpacing"/>
              <w:rPr>
                <w:b/>
                <w:lang w:val="en-GB" w:eastAsia="en-GB"/>
              </w:rPr>
            </w:pPr>
            <w:r w:rsidRPr="00C04E1A">
              <w:rPr>
                <w:b/>
                <w:lang w:val="en-GB" w:eastAsia="en-GB"/>
              </w:rPr>
              <w:t>Year issued</w:t>
            </w:r>
          </w:p>
        </w:tc>
        <w:tc>
          <w:tcPr>
            <w:tcW w:w="1752" w:type="dxa"/>
            <w:tcBorders>
              <w:top w:val="nil"/>
              <w:left w:val="nil"/>
              <w:bottom w:val="single" w:sz="8" w:space="0" w:color="auto"/>
              <w:right w:val="single" w:sz="8" w:space="0" w:color="auto"/>
            </w:tcBorders>
            <w:shd w:val="clear" w:color="000000" w:fill="FFFFFF"/>
            <w:noWrap/>
            <w:vAlign w:val="center"/>
            <w:hideMark/>
          </w:tcPr>
          <w:p w14:paraId="6B58CF6D" w14:textId="317AB9D5" w:rsidR="004A5560" w:rsidRPr="00C04E1A" w:rsidRDefault="00D44369" w:rsidP="00C04E1A">
            <w:pPr>
              <w:pStyle w:val="NoSpacing"/>
              <w:jc w:val="center"/>
              <w:rPr>
                <w:b/>
                <w:lang w:val="en-GB" w:eastAsia="en-GB"/>
              </w:rPr>
            </w:pPr>
            <w:r w:rsidRPr="00C04E1A">
              <w:rPr>
                <w:b/>
                <w:lang w:val="en-GB" w:eastAsia="en-GB"/>
              </w:rPr>
              <w:t>2016</w:t>
            </w:r>
          </w:p>
        </w:tc>
        <w:tc>
          <w:tcPr>
            <w:tcW w:w="1752" w:type="dxa"/>
            <w:tcBorders>
              <w:top w:val="nil"/>
              <w:left w:val="nil"/>
              <w:bottom w:val="single" w:sz="8" w:space="0" w:color="auto"/>
              <w:right w:val="single" w:sz="8" w:space="0" w:color="auto"/>
            </w:tcBorders>
            <w:shd w:val="clear" w:color="000000" w:fill="FFFFFF"/>
            <w:vAlign w:val="center"/>
            <w:hideMark/>
          </w:tcPr>
          <w:p w14:paraId="491A6848" w14:textId="16D81BBF" w:rsidR="004A5560" w:rsidRPr="00C04E1A" w:rsidRDefault="002D0C53" w:rsidP="00C04E1A">
            <w:pPr>
              <w:pStyle w:val="NoSpacing"/>
              <w:jc w:val="center"/>
              <w:rPr>
                <w:b/>
                <w:lang w:val="en-GB" w:eastAsia="en-GB"/>
              </w:rPr>
            </w:pPr>
            <w:r w:rsidRPr="00C04E1A">
              <w:rPr>
                <w:b/>
                <w:lang w:val="en-GB" w:eastAsia="en-GB"/>
              </w:rPr>
              <w:t>2017</w:t>
            </w:r>
          </w:p>
        </w:tc>
        <w:tc>
          <w:tcPr>
            <w:tcW w:w="1184" w:type="dxa"/>
            <w:tcBorders>
              <w:top w:val="nil"/>
              <w:left w:val="nil"/>
              <w:bottom w:val="single" w:sz="8" w:space="0" w:color="auto"/>
              <w:right w:val="double" w:sz="6" w:space="0" w:color="auto"/>
            </w:tcBorders>
            <w:shd w:val="clear" w:color="000000" w:fill="FFFFFF"/>
            <w:noWrap/>
            <w:vAlign w:val="center"/>
            <w:hideMark/>
          </w:tcPr>
          <w:p w14:paraId="151F6A5A" w14:textId="77777777" w:rsidR="004A5560" w:rsidRPr="00C04E1A" w:rsidRDefault="004A5560" w:rsidP="00C04E1A">
            <w:pPr>
              <w:pStyle w:val="NoSpacing"/>
              <w:jc w:val="center"/>
              <w:rPr>
                <w:b/>
                <w:lang w:val="en-GB" w:eastAsia="en-GB"/>
              </w:rPr>
            </w:pPr>
            <w:r w:rsidRPr="00C04E1A">
              <w:rPr>
                <w:b/>
                <w:lang w:val="en-GB" w:eastAsia="en-GB"/>
              </w:rPr>
              <w:t>Change</w:t>
            </w:r>
          </w:p>
        </w:tc>
      </w:tr>
      <w:tr w:rsidR="004A5560" w:rsidRPr="00EE0622" w14:paraId="02A290F5" w14:textId="77777777" w:rsidTr="00801964">
        <w:trPr>
          <w:trHeight w:val="283"/>
        </w:trPr>
        <w:tc>
          <w:tcPr>
            <w:tcW w:w="4242" w:type="dxa"/>
            <w:tcBorders>
              <w:top w:val="nil"/>
              <w:left w:val="double" w:sz="6" w:space="0" w:color="auto"/>
              <w:bottom w:val="nil"/>
              <w:right w:val="single" w:sz="8" w:space="0" w:color="auto"/>
            </w:tcBorders>
            <w:shd w:val="clear" w:color="000000" w:fill="FFFFFF"/>
            <w:noWrap/>
            <w:vAlign w:val="center"/>
            <w:hideMark/>
          </w:tcPr>
          <w:p w14:paraId="326F817F" w14:textId="77777777" w:rsidR="004A5560" w:rsidRPr="00224F28" w:rsidRDefault="004A5560" w:rsidP="007B46A3">
            <w:pPr>
              <w:pStyle w:val="NoSpacing"/>
              <w:rPr>
                <w:lang w:val="en-GB" w:eastAsia="en-GB"/>
              </w:rPr>
            </w:pPr>
            <w:r w:rsidRPr="00224F28">
              <w:rPr>
                <w:lang w:val="en-GB" w:eastAsia="en-GB"/>
              </w:rPr>
              <w:t># IAIG internal audits</w:t>
            </w:r>
          </w:p>
        </w:tc>
        <w:tc>
          <w:tcPr>
            <w:tcW w:w="1752" w:type="dxa"/>
            <w:tcBorders>
              <w:top w:val="nil"/>
              <w:left w:val="nil"/>
              <w:bottom w:val="nil"/>
              <w:right w:val="single" w:sz="8" w:space="0" w:color="auto"/>
            </w:tcBorders>
            <w:shd w:val="clear" w:color="000000" w:fill="FFFFFF"/>
            <w:noWrap/>
            <w:vAlign w:val="center"/>
            <w:hideMark/>
          </w:tcPr>
          <w:p w14:paraId="7AC7AB31" w14:textId="2B1D5C7B" w:rsidR="004A5560" w:rsidRPr="00224F28" w:rsidRDefault="00D44369" w:rsidP="00C04E1A">
            <w:pPr>
              <w:pStyle w:val="NoSpacing"/>
              <w:jc w:val="center"/>
              <w:rPr>
                <w:lang w:val="en-GB" w:eastAsia="en-GB"/>
              </w:rPr>
            </w:pPr>
            <w:r>
              <w:rPr>
                <w:lang w:val="en-GB" w:eastAsia="en-GB"/>
              </w:rPr>
              <w:t>10</w:t>
            </w:r>
          </w:p>
        </w:tc>
        <w:tc>
          <w:tcPr>
            <w:tcW w:w="1752" w:type="dxa"/>
            <w:tcBorders>
              <w:top w:val="nil"/>
              <w:left w:val="nil"/>
              <w:bottom w:val="nil"/>
              <w:right w:val="single" w:sz="8" w:space="0" w:color="auto"/>
            </w:tcBorders>
            <w:shd w:val="clear" w:color="000000" w:fill="FFFFFF"/>
            <w:vAlign w:val="center"/>
            <w:hideMark/>
          </w:tcPr>
          <w:p w14:paraId="58FF70A2" w14:textId="2AA4E217" w:rsidR="004A5560" w:rsidRPr="00224F28" w:rsidRDefault="00100658" w:rsidP="00C04E1A">
            <w:pPr>
              <w:pStyle w:val="NoSpacing"/>
              <w:jc w:val="center"/>
              <w:rPr>
                <w:lang w:val="en-GB" w:eastAsia="en-GB"/>
              </w:rPr>
            </w:pPr>
            <w:r>
              <w:rPr>
                <w:lang w:val="en-GB" w:eastAsia="en-GB"/>
              </w:rPr>
              <w:t>14</w:t>
            </w:r>
          </w:p>
        </w:tc>
        <w:tc>
          <w:tcPr>
            <w:tcW w:w="1184" w:type="dxa"/>
            <w:tcBorders>
              <w:top w:val="nil"/>
              <w:left w:val="nil"/>
              <w:bottom w:val="nil"/>
              <w:right w:val="double" w:sz="6" w:space="0" w:color="auto"/>
            </w:tcBorders>
            <w:shd w:val="clear" w:color="000000" w:fill="FFFFFF"/>
            <w:noWrap/>
            <w:vAlign w:val="center"/>
            <w:hideMark/>
          </w:tcPr>
          <w:p w14:paraId="5A90DE07" w14:textId="034B63C2" w:rsidR="004A5560" w:rsidRPr="00224F28" w:rsidRDefault="00100658" w:rsidP="00C04E1A">
            <w:pPr>
              <w:pStyle w:val="NoSpacing"/>
              <w:jc w:val="center"/>
              <w:rPr>
                <w:lang w:val="en-GB" w:eastAsia="en-GB"/>
              </w:rPr>
            </w:pPr>
            <w:r>
              <w:rPr>
                <w:lang w:val="en-GB" w:eastAsia="en-GB"/>
              </w:rPr>
              <w:t>4</w:t>
            </w:r>
          </w:p>
        </w:tc>
      </w:tr>
      <w:tr w:rsidR="004A5560" w:rsidRPr="00EE0622" w14:paraId="785AD188" w14:textId="77777777" w:rsidTr="00801964">
        <w:trPr>
          <w:trHeight w:val="283"/>
        </w:trPr>
        <w:tc>
          <w:tcPr>
            <w:tcW w:w="4242" w:type="dxa"/>
            <w:tcBorders>
              <w:top w:val="nil"/>
              <w:left w:val="double" w:sz="6" w:space="0" w:color="auto"/>
              <w:bottom w:val="nil"/>
              <w:right w:val="single" w:sz="8" w:space="0" w:color="auto"/>
            </w:tcBorders>
            <w:shd w:val="clear" w:color="000000" w:fill="FFFFFF"/>
            <w:noWrap/>
            <w:vAlign w:val="center"/>
            <w:hideMark/>
          </w:tcPr>
          <w:p w14:paraId="319FB563" w14:textId="77777777" w:rsidR="004A5560" w:rsidRPr="00224F28" w:rsidRDefault="004A5560" w:rsidP="007B46A3">
            <w:pPr>
              <w:pStyle w:val="NoSpacing"/>
              <w:rPr>
                <w:lang w:val="en-GB" w:eastAsia="en-GB"/>
              </w:rPr>
            </w:pPr>
            <w:r w:rsidRPr="00224F28">
              <w:rPr>
                <w:lang w:val="en-GB" w:eastAsia="en-GB"/>
              </w:rPr>
              <w:t># Project audits</w:t>
            </w:r>
          </w:p>
        </w:tc>
        <w:tc>
          <w:tcPr>
            <w:tcW w:w="1752" w:type="dxa"/>
            <w:tcBorders>
              <w:top w:val="nil"/>
              <w:left w:val="nil"/>
              <w:bottom w:val="nil"/>
              <w:right w:val="single" w:sz="8" w:space="0" w:color="auto"/>
            </w:tcBorders>
            <w:shd w:val="clear" w:color="000000" w:fill="FFFFFF"/>
            <w:noWrap/>
            <w:vAlign w:val="center"/>
            <w:hideMark/>
          </w:tcPr>
          <w:p w14:paraId="56FE5B27" w14:textId="04CCBDAF" w:rsidR="004A5560" w:rsidRPr="00224F28" w:rsidRDefault="00D44369" w:rsidP="00C04E1A">
            <w:pPr>
              <w:pStyle w:val="NoSpacing"/>
              <w:jc w:val="center"/>
              <w:rPr>
                <w:lang w:val="en-GB" w:eastAsia="en-GB"/>
              </w:rPr>
            </w:pPr>
            <w:r>
              <w:rPr>
                <w:lang w:val="en-GB" w:eastAsia="en-GB"/>
              </w:rPr>
              <w:t>27</w:t>
            </w:r>
          </w:p>
        </w:tc>
        <w:tc>
          <w:tcPr>
            <w:tcW w:w="1752" w:type="dxa"/>
            <w:tcBorders>
              <w:top w:val="nil"/>
              <w:left w:val="nil"/>
              <w:bottom w:val="nil"/>
              <w:right w:val="single" w:sz="8" w:space="0" w:color="auto"/>
            </w:tcBorders>
            <w:shd w:val="clear" w:color="000000" w:fill="FFFFFF"/>
            <w:vAlign w:val="center"/>
            <w:hideMark/>
          </w:tcPr>
          <w:p w14:paraId="76FBBCE2" w14:textId="37E611A3" w:rsidR="004A5560" w:rsidRPr="00224F28" w:rsidRDefault="00100658" w:rsidP="00C04E1A">
            <w:pPr>
              <w:pStyle w:val="NoSpacing"/>
              <w:jc w:val="center"/>
              <w:rPr>
                <w:lang w:val="en-GB" w:eastAsia="en-GB"/>
              </w:rPr>
            </w:pPr>
            <w:r>
              <w:rPr>
                <w:lang w:val="en-GB" w:eastAsia="en-GB"/>
              </w:rPr>
              <w:t>31</w:t>
            </w:r>
          </w:p>
        </w:tc>
        <w:tc>
          <w:tcPr>
            <w:tcW w:w="1184" w:type="dxa"/>
            <w:tcBorders>
              <w:top w:val="nil"/>
              <w:left w:val="nil"/>
              <w:bottom w:val="nil"/>
              <w:right w:val="double" w:sz="6" w:space="0" w:color="auto"/>
            </w:tcBorders>
            <w:shd w:val="clear" w:color="000000" w:fill="FFFFFF"/>
            <w:noWrap/>
            <w:vAlign w:val="center"/>
            <w:hideMark/>
          </w:tcPr>
          <w:p w14:paraId="328A2283" w14:textId="3BBAA5E0" w:rsidR="004A5560" w:rsidRPr="00224F28" w:rsidRDefault="00100658" w:rsidP="00100658">
            <w:pPr>
              <w:pStyle w:val="NoSpacing"/>
              <w:jc w:val="center"/>
              <w:rPr>
                <w:lang w:val="en-GB" w:eastAsia="en-GB"/>
              </w:rPr>
            </w:pPr>
            <w:r>
              <w:rPr>
                <w:lang w:val="en-GB" w:eastAsia="en-GB"/>
              </w:rPr>
              <w:t>4</w:t>
            </w:r>
          </w:p>
        </w:tc>
      </w:tr>
      <w:tr w:rsidR="004A5560" w:rsidRPr="00EE0622" w14:paraId="482EBCB5" w14:textId="77777777" w:rsidTr="00801964">
        <w:trPr>
          <w:trHeight w:val="283"/>
        </w:trPr>
        <w:tc>
          <w:tcPr>
            <w:tcW w:w="4242" w:type="dxa"/>
            <w:tcBorders>
              <w:top w:val="nil"/>
              <w:left w:val="double" w:sz="6" w:space="0" w:color="auto"/>
              <w:bottom w:val="single" w:sz="8" w:space="0" w:color="auto"/>
              <w:right w:val="single" w:sz="8" w:space="0" w:color="auto"/>
            </w:tcBorders>
            <w:shd w:val="clear" w:color="000000" w:fill="FFFFFF"/>
            <w:noWrap/>
            <w:vAlign w:val="center"/>
            <w:hideMark/>
          </w:tcPr>
          <w:p w14:paraId="4F25355B" w14:textId="77777777" w:rsidR="004A5560" w:rsidRPr="00224F28" w:rsidRDefault="004A5560" w:rsidP="007B46A3">
            <w:pPr>
              <w:pStyle w:val="NoSpacing"/>
              <w:rPr>
                <w:lang w:val="en-GB" w:eastAsia="en-GB"/>
              </w:rPr>
            </w:pPr>
            <w:r w:rsidRPr="00224F28">
              <w:rPr>
                <w:lang w:val="en-GB" w:eastAsia="en-GB"/>
              </w:rPr>
              <w:t># Audits of significant programmes</w:t>
            </w:r>
          </w:p>
        </w:tc>
        <w:tc>
          <w:tcPr>
            <w:tcW w:w="1752" w:type="dxa"/>
            <w:tcBorders>
              <w:top w:val="nil"/>
              <w:left w:val="nil"/>
              <w:bottom w:val="single" w:sz="8" w:space="0" w:color="auto"/>
              <w:right w:val="single" w:sz="8" w:space="0" w:color="auto"/>
            </w:tcBorders>
            <w:shd w:val="clear" w:color="000000" w:fill="FFFFFF"/>
            <w:noWrap/>
            <w:vAlign w:val="center"/>
            <w:hideMark/>
          </w:tcPr>
          <w:p w14:paraId="617CD3ED" w14:textId="77777777" w:rsidR="004A5560" w:rsidRPr="00224F28" w:rsidRDefault="004A5560" w:rsidP="00C04E1A">
            <w:pPr>
              <w:pStyle w:val="NoSpacing"/>
              <w:jc w:val="center"/>
              <w:rPr>
                <w:lang w:val="en-GB" w:eastAsia="en-GB"/>
              </w:rPr>
            </w:pPr>
            <w:r w:rsidRPr="00224F28">
              <w:rPr>
                <w:lang w:val="en-GB" w:eastAsia="en-GB"/>
              </w:rPr>
              <w:t>0</w:t>
            </w:r>
          </w:p>
        </w:tc>
        <w:tc>
          <w:tcPr>
            <w:tcW w:w="1752" w:type="dxa"/>
            <w:tcBorders>
              <w:top w:val="nil"/>
              <w:left w:val="nil"/>
              <w:bottom w:val="single" w:sz="8" w:space="0" w:color="auto"/>
              <w:right w:val="single" w:sz="8" w:space="0" w:color="auto"/>
            </w:tcBorders>
            <w:shd w:val="clear" w:color="000000" w:fill="FFFFFF"/>
            <w:vAlign w:val="center"/>
            <w:hideMark/>
          </w:tcPr>
          <w:p w14:paraId="0CDB0C35" w14:textId="10E2077D" w:rsidR="004A5560" w:rsidRPr="00224F28" w:rsidRDefault="00100658" w:rsidP="00C04E1A">
            <w:pPr>
              <w:pStyle w:val="NoSpacing"/>
              <w:jc w:val="center"/>
              <w:rPr>
                <w:lang w:val="en-GB" w:eastAsia="en-GB"/>
              </w:rPr>
            </w:pPr>
            <w:r>
              <w:rPr>
                <w:lang w:val="en-GB" w:eastAsia="en-GB"/>
              </w:rPr>
              <w:t>0</w:t>
            </w:r>
          </w:p>
        </w:tc>
        <w:tc>
          <w:tcPr>
            <w:tcW w:w="1184" w:type="dxa"/>
            <w:tcBorders>
              <w:top w:val="nil"/>
              <w:left w:val="nil"/>
              <w:bottom w:val="single" w:sz="8" w:space="0" w:color="auto"/>
              <w:right w:val="double" w:sz="6" w:space="0" w:color="auto"/>
            </w:tcBorders>
            <w:shd w:val="clear" w:color="000000" w:fill="FFFFFF"/>
            <w:noWrap/>
            <w:vAlign w:val="center"/>
            <w:hideMark/>
          </w:tcPr>
          <w:p w14:paraId="4A701050" w14:textId="4BC41E78" w:rsidR="004A5560" w:rsidRPr="00224F28" w:rsidRDefault="00100658" w:rsidP="00C04E1A">
            <w:pPr>
              <w:pStyle w:val="NoSpacing"/>
              <w:jc w:val="center"/>
              <w:rPr>
                <w:lang w:val="en-GB" w:eastAsia="en-GB"/>
              </w:rPr>
            </w:pPr>
            <w:r>
              <w:rPr>
                <w:lang w:val="en-GB" w:eastAsia="en-GB"/>
              </w:rPr>
              <w:t>0</w:t>
            </w:r>
          </w:p>
        </w:tc>
      </w:tr>
      <w:tr w:rsidR="004A5560" w:rsidRPr="00EE0622" w14:paraId="575E2AA2" w14:textId="77777777" w:rsidTr="00801964">
        <w:trPr>
          <w:trHeight w:val="340"/>
        </w:trPr>
        <w:tc>
          <w:tcPr>
            <w:tcW w:w="4242" w:type="dxa"/>
            <w:tcBorders>
              <w:top w:val="nil"/>
              <w:left w:val="double" w:sz="6" w:space="0" w:color="auto"/>
              <w:bottom w:val="single" w:sz="8" w:space="0" w:color="auto"/>
              <w:right w:val="single" w:sz="8" w:space="0" w:color="auto"/>
            </w:tcBorders>
            <w:shd w:val="clear" w:color="000000" w:fill="FFFFFF"/>
            <w:noWrap/>
            <w:vAlign w:val="center"/>
            <w:hideMark/>
          </w:tcPr>
          <w:p w14:paraId="440A37F5" w14:textId="77777777" w:rsidR="004A5560" w:rsidRPr="00C04E1A" w:rsidRDefault="004A5560" w:rsidP="007B46A3">
            <w:pPr>
              <w:pStyle w:val="NoSpacing"/>
              <w:rPr>
                <w:b/>
                <w:lang w:val="en-GB" w:eastAsia="en-GB"/>
              </w:rPr>
            </w:pPr>
            <w:r w:rsidRPr="00C04E1A">
              <w:rPr>
                <w:b/>
                <w:lang w:val="en-GB" w:eastAsia="en-GB"/>
              </w:rPr>
              <w:t>Total # of internal audits</w:t>
            </w:r>
          </w:p>
        </w:tc>
        <w:tc>
          <w:tcPr>
            <w:tcW w:w="1752" w:type="dxa"/>
            <w:tcBorders>
              <w:top w:val="nil"/>
              <w:left w:val="nil"/>
              <w:bottom w:val="single" w:sz="8" w:space="0" w:color="auto"/>
              <w:right w:val="single" w:sz="8" w:space="0" w:color="auto"/>
            </w:tcBorders>
            <w:shd w:val="clear" w:color="000000" w:fill="FFFFFF"/>
            <w:noWrap/>
            <w:vAlign w:val="center"/>
            <w:hideMark/>
          </w:tcPr>
          <w:p w14:paraId="5711816D" w14:textId="649DAC17" w:rsidR="004A5560" w:rsidRPr="00C04E1A" w:rsidRDefault="00D44369" w:rsidP="00C04E1A">
            <w:pPr>
              <w:pStyle w:val="NoSpacing"/>
              <w:jc w:val="center"/>
              <w:rPr>
                <w:b/>
                <w:lang w:val="en-GB" w:eastAsia="en-GB"/>
              </w:rPr>
            </w:pPr>
            <w:r w:rsidRPr="00C04E1A">
              <w:rPr>
                <w:b/>
                <w:lang w:val="en-GB" w:eastAsia="en-GB"/>
              </w:rPr>
              <w:t>37</w:t>
            </w:r>
          </w:p>
        </w:tc>
        <w:tc>
          <w:tcPr>
            <w:tcW w:w="1752" w:type="dxa"/>
            <w:tcBorders>
              <w:top w:val="nil"/>
              <w:left w:val="nil"/>
              <w:bottom w:val="single" w:sz="8" w:space="0" w:color="auto"/>
              <w:right w:val="single" w:sz="8" w:space="0" w:color="auto"/>
            </w:tcBorders>
            <w:shd w:val="clear" w:color="000000" w:fill="FFFFFF"/>
            <w:vAlign w:val="center"/>
            <w:hideMark/>
          </w:tcPr>
          <w:p w14:paraId="559F211E" w14:textId="31D8136B" w:rsidR="004A5560" w:rsidRPr="00C04E1A" w:rsidRDefault="00100658" w:rsidP="00C04E1A">
            <w:pPr>
              <w:pStyle w:val="NoSpacing"/>
              <w:jc w:val="center"/>
              <w:rPr>
                <w:b/>
                <w:lang w:val="en-GB" w:eastAsia="en-GB"/>
              </w:rPr>
            </w:pPr>
            <w:r>
              <w:rPr>
                <w:b/>
                <w:lang w:val="en-GB" w:eastAsia="en-GB"/>
              </w:rPr>
              <w:t>45</w:t>
            </w:r>
          </w:p>
        </w:tc>
        <w:tc>
          <w:tcPr>
            <w:tcW w:w="1184" w:type="dxa"/>
            <w:tcBorders>
              <w:top w:val="nil"/>
              <w:left w:val="nil"/>
              <w:bottom w:val="single" w:sz="8" w:space="0" w:color="auto"/>
              <w:right w:val="double" w:sz="6" w:space="0" w:color="auto"/>
            </w:tcBorders>
            <w:shd w:val="clear" w:color="000000" w:fill="FFFFFF"/>
            <w:noWrap/>
            <w:vAlign w:val="center"/>
            <w:hideMark/>
          </w:tcPr>
          <w:p w14:paraId="54C652AA" w14:textId="2759E9B7" w:rsidR="004A5560" w:rsidRPr="00C04E1A" w:rsidRDefault="00100658" w:rsidP="00C04E1A">
            <w:pPr>
              <w:pStyle w:val="NoSpacing"/>
              <w:jc w:val="center"/>
              <w:rPr>
                <w:b/>
                <w:lang w:val="en-GB" w:eastAsia="en-GB"/>
              </w:rPr>
            </w:pPr>
            <w:r>
              <w:rPr>
                <w:b/>
                <w:lang w:val="en-GB" w:eastAsia="en-GB"/>
              </w:rPr>
              <w:t>8</w:t>
            </w:r>
          </w:p>
        </w:tc>
      </w:tr>
      <w:tr w:rsidR="004A5560" w:rsidRPr="00EE0622" w14:paraId="7096B7FA" w14:textId="77777777" w:rsidTr="00801964">
        <w:trPr>
          <w:trHeight w:val="340"/>
        </w:trPr>
        <w:tc>
          <w:tcPr>
            <w:tcW w:w="8930" w:type="dxa"/>
            <w:gridSpan w:val="4"/>
            <w:tcBorders>
              <w:top w:val="single" w:sz="8" w:space="0" w:color="auto"/>
              <w:left w:val="double" w:sz="6" w:space="0" w:color="auto"/>
              <w:bottom w:val="double" w:sz="6" w:space="0" w:color="auto"/>
              <w:right w:val="double" w:sz="6" w:space="0" w:color="000000"/>
            </w:tcBorders>
            <w:shd w:val="clear" w:color="000000" w:fill="FFFFFF"/>
            <w:vAlign w:val="center"/>
            <w:hideMark/>
          </w:tcPr>
          <w:p w14:paraId="529671C0" w14:textId="2A70ED4C" w:rsidR="004A5560" w:rsidRPr="00680760" w:rsidRDefault="004A5560" w:rsidP="00D120BA">
            <w:pPr>
              <w:pStyle w:val="NoSpacing"/>
              <w:rPr>
                <w:color w:val="000000" w:themeColor="text1"/>
                <w:sz w:val="16"/>
                <w:szCs w:val="16"/>
                <w:lang w:val="en-GB" w:eastAsia="en-GB"/>
              </w:rPr>
            </w:pPr>
            <w:r w:rsidRPr="00680760">
              <w:rPr>
                <w:color w:val="000000" w:themeColor="text1"/>
                <w:sz w:val="16"/>
                <w:szCs w:val="16"/>
                <w:lang w:val="en-GB" w:eastAsia="en-GB"/>
              </w:rPr>
              <w:t>*Developed based on IAIG annual reports for 201</w:t>
            </w:r>
            <w:r w:rsidR="00D44369" w:rsidRPr="00680760">
              <w:rPr>
                <w:color w:val="000000" w:themeColor="text1"/>
                <w:sz w:val="16"/>
                <w:szCs w:val="16"/>
                <w:lang w:val="en-GB" w:eastAsia="en-GB"/>
              </w:rPr>
              <w:t>6</w:t>
            </w:r>
            <w:r w:rsidRPr="00680760">
              <w:rPr>
                <w:color w:val="000000" w:themeColor="text1"/>
                <w:sz w:val="16"/>
                <w:szCs w:val="16"/>
                <w:lang w:val="en-GB" w:eastAsia="en-GB"/>
              </w:rPr>
              <w:t xml:space="preserve"> (DP/OPS/201</w:t>
            </w:r>
            <w:r w:rsidR="00D44369" w:rsidRPr="00680760">
              <w:rPr>
                <w:color w:val="000000" w:themeColor="text1"/>
                <w:sz w:val="16"/>
                <w:szCs w:val="16"/>
                <w:lang w:val="en-GB" w:eastAsia="en-GB"/>
              </w:rPr>
              <w:t>7</w:t>
            </w:r>
            <w:r w:rsidRPr="00680760">
              <w:rPr>
                <w:color w:val="000000" w:themeColor="text1"/>
                <w:sz w:val="16"/>
                <w:szCs w:val="16"/>
                <w:lang w:val="en-GB" w:eastAsia="en-GB"/>
              </w:rPr>
              <w:t>/</w:t>
            </w:r>
            <w:r w:rsidR="00D44369" w:rsidRPr="00680760">
              <w:rPr>
                <w:color w:val="000000" w:themeColor="text1"/>
                <w:sz w:val="16"/>
                <w:szCs w:val="16"/>
                <w:lang w:val="en-GB" w:eastAsia="en-GB"/>
              </w:rPr>
              <w:t>3</w:t>
            </w:r>
            <w:r w:rsidRPr="00680760">
              <w:rPr>
                <w:color w:val="000000" w:themeColor="text1"/>
                <w:sz w:val="16"/>
                <w:szCs w:val="16"/>
                <w:lang w:val="en-GB" w:eastAsia="en-GB"/>
              </w:rPr>
              <w:t>) and 201</w:t>
            </w:r>
            <w:r w:rsidR="00D44369" w:rsidRPr="00680760">
              <w:rPr>
                <w:color w:val="000000" w:themeColor="text1"/>
                <w:sz w:val="16"/>
                <w:szCs w:val="16"/>
                <w:lang w:val="en-GB" w:eastAsia="en-GB"/>
              </w:rPr>
              <w:t>7</w:t>
            </w:r>
            <w:r w:rsidRPr="00680760">
              <w:rPr>
                <w:color w:val="000000" w:themeColor="text1"/>
                <w:sz w:val="16"/>
                <w:szCs w:val="16"/>
                <w:lang w:val="en-GB" w:eastAsia="en-GB"/>
              </w:rPr>
              <w:t xml:space="preserve"> (DP/OPS/201</w:t>
            </w:r>
            <w:r w:rsidR="00D44369" w:rsidRPr="00680760">
              <w:rPr>
                <w:color w:val="000000" w:themeColor="text1"/>
                <w:sz w:val="16"/>
                <w:szCs w:val="16"/>
                <w:lang w:val="en-GB" w:eastAsia="en-GB"/>
              </w:rPr>
              <w:t>8</w:t>
            </w:r>
            <w:r w:rsidRPr="00680760">
              <w:rPr>
                <w:color w:val="000000" w:themeColor="text1"/>
                <w:sz w:val="16"/>
                <w:szCs w:val="16"/>
                <w:lang w:val="en-GB" w:eastAsia="en-GB"/>
              </w:rPr>
              <w:t>/</w:t>
            </w:r>
            <w:r w:rsidR="00D120BA" w:rsidRPr="00680760">
              <w:rPr>
                <w:color w:val="000000" w:themeColor="text1"/>
                <w:sz w:val="16"/>
                <w:szCs w:val="16"/>
                <w:lang w:val="en-GB" w:eastAsia="en-GB"/>
              </w:rPr>
              <w:t>3</w:t>
            </w:r>
            <w:r w:rsidRPr="00680760">
              <w:rPr>
                <w:color w:val="000000" w:themeColor="text1"/>
                <w:sz w:val="16"/>
                <w:szCs w:val="16"/>
                <w:lang w:val="en-GB" w:eastAsia="en-GB"/>
              </w:rPr>
              <w:t>).</w:t>
            </w:r>
          </w:p>
        </w:tc>
      </w:tr>
    </w:tbl>
    <w:p w14:paraId="27166DE5" w14:textId="2468B4D9" w:rsidR="00CB3895" w:rsidRPr="00781806" w:rsidRDefault="00750E6A" w:rsidP="00781806">
      <w:pPr>
        <w:tabs>
          <w:tab w:val="left" w:pos="426"/>
        </w:tabs>
        <w:jc w:val="both"/>
        <w:rPr>
          <w:sz w:val="22"/>
          <w:lang w:val="en-GB"/>
        </w:rPr>
      </w:pPr>
      <w:r w:rsidRPr="00871434">
        <w:rPr>
          <w:sz w:val="22"/>
          <w:lang w:val="en-GB"/>
        </w:rPr>
        <w:lastRenderedPageBreak/>
        <w:t xml:space="preserve">In total, IAIG issued </w:t>
      </w:r>
      <w:r w:rsidR="00D44369">
        <w:rPr>
          <w:sz w:val="22"/>
          <w:lang w:val="en-GB"/>
        </w:rPr>
        <w:t>315</w:t>
      </w:r>
      <w:r w:rsidR="0037427C" w:rsidRPr="00871434">
        <w:rPr>
          <w:sz w:val="22"/>
          <w:lang w:val="en-GB"/>
        </w:rPr>
        <w:t xml:space="preserve"> audit recommendations in 201</w:t>
      </w:r>
      <w:r w:rsidR="00D44369">
        <w:rPr>
          <w:sz w:val="22"/>
          <w:lang w:val="en-GB"/>
        </w:rPr>
        <w:t>7</w:t>
      </w:r>
      <w:r w:rsidR="0037427C" w:rsidRPr="00871434">
        <w:rPr>
          <w:sz w:val="22"/>
          <w:lang w:val="en-GB"/>
        </w:rPr>
        <w:t xml:space="preserve"> compared to </w:t>
      </w:r>
      <w:r w:rsidR="00D44369">
        <w:rPr>
          <w:sz w:val="22"/>
          <w:lang w:val="en-GB"/>
        </w:rPr>
        <w:t>267</w:t>
      </w:r>
      <w:r w:rsidR="00AE752A" w:rsidRPr="00871434">
        <w:rPr>
          <w:sz w:val="22"/>
          <w:lang w:val="en-GB"/>
        </w:rPr>
        <w:t xml:space="preserve"> </w:t>
      </w:r>
      <w:r w:rsidR="0037427C" w:rsidRPr="00871434">
        <w:rPr>
          <w:sz w:val="22"/>
          <w:lang w:val="en-GB"/>
        </w:rPr>
        <w:t>recommendations in 201</w:t>
      </w:r>
      <w:r w:rsidR="00D44369">
        <w:rPr>
          <w:sz w:val="22"/>
          <w:lang w:val="en-GB"/>
        </w:rPr>
        <w:t>6</w:t>
      </w:r>
      <w:r w:rsidR="0037427C" w:rsidRPr="00871434">
        <w:rPr>
          <w:sz w:val="22"/>
          <w:lang w:val="en-GB"/>
        </w:rPr>
        <w:t>.</w:t>
      </w:r>
      <w:r w:rsidR="00263AE4" w:rsidRPr="00871434">
        <w:rPr>
          <w:color w:val="FF0000"/>
          <w:sz w:val="22"/>
          <w:lang w:val="en-GB"/>
        </w:rPr>
        <w:t xml:space="preserve"> </w:t>
      </w:r>
      <w:r w:rsidRPr="00871434">
        <w:rPr>
          <w:sz w:val="22"/>
          <w:lang w:val="en-GB"/>
        </w:rPr>
        <w:t xml:space="preserve">Management </w:t>
      </w:r>
      <w:r w:rsidR="003F6F02" w:rsidRPr="00871434">
        <w:rPr>
          <w:sz w:val="22"/>
          <w:lang w:val="en-GB"/>
        </w:rPr>
        <w:t xml:space="preserve">further </w:t>
      </w:r>
      <w:r w:rsidRPr="00871434">
        <w:rPr>
          <w:sz w:val="22"/>
          <w:lang w:val="en-GB"/>
        </w:rPr>
        <w:t>notes that the overall average number of recommendations per IAIG interna</w:t>
      </w:r>
      <w:r w:rsidR="00D44369">
        <w:rPr>
          <w:sz w:val="22"/>
          <w:lang w:val="en-GB"/>
        </w:rPr>
        <w:t>l audit report de</w:t>
      </w:r>
      <w:r w:rsidR="0037427C" w:rsidRPr="00871434">
        <w:rPr>
          <w:sz w:val="22"/>
          <w:lang w:val="en-GB"/>
        </w:rPr>
        <w:t xml:space="preserve">creased from </w:t>
      </w:r>
      <w:r w:rsidR="00083C0C">
        <w:rPr>
          <w:sz w:val="22"/>
          <w:lang w:val="en-GB"/>
        </w:rPr>
        <w:t>20.7</w:t>
      </w:r>
      <w:r w:rsidR="0037427C" w:rsidRPr="00871434">
        <w:rPr>
          <w:sz w:val="22"/>
          <w:lang w:val="en-GB"/>
        </w:rPr>
        <w:t xml:space="preserve"> in 201</w:t>
      </w:r>
      <w:r w:rsidR="00D44369">
        <w:rPr>
          <w:sz w:val="22"/>
          <w:lang w:val="en-GB"/>
        </w:rPr>
        <w:t>6</w:t>
      </w:r>
      <w:r w:rsidR="0037427C" w:rsidRPr="00871434">
        <w:rPr>
          <w:sz w:val="22"/>
          <w:lang w:val="en-GB"/>
        </w:rPr>
        <w:t xml:space="preserve"> to </w:t>
      </w:r>
      <w:r w:rsidR="00083C0C">
        <w:rPr>
          <w:sz w:val="22"/>
          <w:lang w:val="en-GB"/>
        </w:rPr>
        <w:t>14.3</w:t>
      </w:r>
      <w:r w:rsidR="00100658">
        <w:rPr>
          <w:sz w:val="22"/>
          <w:lang w:val="en-GB"/>
        </w:rPr>
        <w:t xml:space="preserve"> </w:t>
      </w:r>
      <w:r w:rsidR="0037427C" w:rsidRPr="00871434">
        <w:rPr>
          <w:sz w:val="22"/>
          <w:lang w:val="en-GB"/>
        </w:rPr>
        <w:t>in 201</w:t>
      </w:r>
      <w:r w:rsidR="00D44369">
        <w:rPr>
          <w:sz w:val="22"/>
          <w:lang w:val="en-GB"/>
        </w:rPr>
        <w:t>7</w:t>
      </w:r>
      <w:r w:rsidR="00896EA7">
        <w:rPr>
          <w:sz w:val="22"/>
          <w:lang w:val="en-GB"/>
        </w:rPr>
        <w:t xml:space="preserve">. </w:t>
      </w:r>
      <w:r w:rsidRPr="00871434">
        <w:rPr>
          <w:sz w:val="22"/>
        </w:rPr>
        <w:t>The average number of recommendations for project audit r</w:t>
      </w:r>
      <w:r w:rsidR="00D44369">
        <w:rPr>
          <w:sz w:val="22"/>
        </w:rPr>
        <w:t>eports in</w:t>
      </w:r>
      <w:r w:rsidR="003F6F02" w:rsidRPr="00871434">
        <w:rPr>
          <w:sz w:val="22"/>
        </w:rPr>
        <w:t xml:space="preserve">creased from </w:t>
      </w:r>
      <w:r w:rsidR="00D44369">
        <w:rPr>
          <w:sz w:val="22"/>
        </w:rPr>
        <w:t>2.2</w:t>
      </w:r>
      <w:r w:rsidR="008D358F" w:rsidRPr="00871434">
        <w:rPr>
          <w:sz w:val="22"/>
        </w:rPr>
        <w:t xml:space="preserve"> in</w:t>
      </w:r>
      <w:r w:rsidR="001C119D" w:rsidRPr="00871434">
        <w:rPr>
          <w:sz w:val="22"/>
        </w:rPr>
        <w:t xml:space="preserve"> </w:t>
      </w:r>
      <w:r w:rsidR="008D358F" w:rsidRPr="00871434">
        <w:rPr>
          <w:sz w:val="22"/>
        </w:rPr>
        <w:t>201</w:t>
      </w:r>
      <w:r w:rsidR="00D44369">
        <w:rPr>
          <w:sz w:val="22"/>
        </w:rPr>
        <w:t>6</w:t>
      </w:r>
      <w:r w:rsidR="008D358F" w:rsidRPr="00871434">
        <w:rPr>
          <w:sz w:val="22"/>
        </w:rPr>
        <w:t xml:space="preserve"> to </w:t>
      </w:r>
      <w:r w:rsidR="00083C0C">
        <w:rPr>
          <w:sz w:val="22"/>
        </w:rPr>
        <w:t>3.7</w:t>
      </w:r>
      <w:r w:rsidR="008D358F" w:rsidRPr="00871434">
        <w:rPr>
          <w:sz w:val="22"/>
        </w:rPr>
        <w:t xml:space="preserve"> in 201</w:t>
      </w:r>
      <w:r w:rsidR="00D44369">
        <w:rPr>
          <w:sz w:val="22"/>
        </w:rPr>
        <w:t>7</w:t>
      </w:r>
      <w:r w:rsidR="008D358F" w:rsidRPr="00871434">
        <w:rPr>
          <w:sz w:val="22"/>
        </w:rPr>
        <w:t xml:space="preserve">. Management notes </w:t>
      </w:r>
      <w:r w:rsidR="003944E5">
        <w:rPr>
          <w:sz w:val="22"/>
        </w:rPr>
        <w:t>that both averages</w:t>
      </w:r>
      <w:r w:rsidR="00830775">
        <w:rPr>
          <w:sz w:val="22"/>
        </w:rPr>
        <w:t xml:space="preserve"> are reflective of a consistent</w:t>
      </w:r>
      <w:r w:rsidR="003944E5">
        <w:rPr>
          <w:sz w:val="22"/>
        </w:rPr>
        <w:t xml:space="preserve"> trend</w:t>
      </w:r>
      <w:r w:rsidR="00830775">
        <w:rPr>
          <w:sz w:val="22"/>
        </w:rPr>
        <w:t xml:space="preserve"> since 2010</w:t>
      </w:r>
      <w:r w:rsidR="003944E5">
        <w:rPr>
          <w:sz w:val="22"/>
        </w:rPr>
        <w:t xml:space="preserve"> towards more succinct audit reports, </w:t>
      </w:r>
      <w:r w:rsidR="00083C0C">
        <w:rPr>
          <w:sz w:val="22"/>
        </w:rPr>
        <w:t>and encourages IAIG to continue efforts in this regard</w:t>
      </w:r>
      <w:r w:rsidR="008D358F" w:rsidRPr="00871434">
        <w:rPr>
          <w:sz w:val="22"/>
        </w:rPr>
        <w:t xml:space="preserve">. </w:t>
      </w:r>
      <w:r w:rsidRPr="00871434">
        <w:rPr>
          <w:sz w:val="22"/>
        </w:rPr>
        <w:t xml:space="preserve">Management </w:t>
      </w:r>
      <w:r w:rsidR="008D358F" w:rsidRPr="00871434">
        <w:rPr>
          <w:sz w:val="22"/>
        </w:rPr>
        <w:t xml:space="preserve">also </w:t>
      </w:r>
      <w:r w:rsidRPr="00871434">
        <w:rPr>
          <w:sz w:val="22"/>
        </w:rPr>
        <w:t>notes the advice of the Audit Advisory Commi</w:t>
      </w:r>
      <w:r w:rsidR="00B522B3" w:rsidRPr="00871434">
        <w:rPr>
          <w:sz w:val="22"/>
        </w:rPr>
        <w:t xml:space="preserve">ttee that IAIG </w:t>
      </w:r>
      <w:r w:rsidR="00781806">
        <w:rPr>
          <w:sz w:val="22"/>
        </w:rPr>
        <w:t xml:space="preserve">continue to </w:t>
      </w:r>
      <w:r w:rsidR="00B522B3" w:rsidRPr="00871434">
        <w:rPr>
          <w:sz w:val="22"/>
        </w:rPr>
        <w:t>focus on</w:t>
      </w:r>
      <w:r w:rsidRPr="00871434">
        <w:rPr>
          <w:sz w:val="22"/>
        </w:rPr>
        <w:t xml:space="preserve"> </w:t>
      </w:r>
      <w:r w:rsidR="00D25E41">
        <w:rPr>
          <w:sz w:val="22"/>
        </w:rPr>
        <w:t>key risks and capabilities in need of strategic improvement</w:t>
      </w:r>
      <w:r w:rsidR="001B588A" w:rsidRPr="00781806">
        <w:rPr>
          <w:sz w:val="22"/>
        </w:rPr>
        <w:t>.</w:t>
      </w:r>
    </w:p>
    <w:tbl>
      <w:tblPr>
        <w:tblW w:w="9214" w:type="dxa"/>
        <w:tblInd w:w="261" w:type="dxa"/>
        <w:tblLayout w:type="fixed"/>
        <w:tblLook w:val="04A0" w:firstRow="1" w:lastRow="0" w:firstColumn="1" w:lastColumn="0" w:noHBand="0" w:noVBand="1"/>
      </w:tblPr>
      <w:tblGrid>
        <w:gridCol w:w="4241"/>
        <w:gridCol w:w="1278"/>
        <w:gridCol w:w="1279"/>
        <w:gridCol w:w="1279"/>
        <w:gridCol w:w="1137"/>
      </w:tblGrid>
      <w:tr w:rsidR="004A5560" w:rsidRPr="00EE0622" w14:paraId="33752F5E" w14:textId="77777777" w:rsidTr="00801964">
        <w:trPr>
          <w:trHeight w:val="340"/>
        </w:trPr>
        <w:tc>
          <w:tcPr>
            <w:tcW w:w="9214" w:type="dxa"/>
            <w:gridSpan w:val="5"/>
            <w:tcBorders>
              <w:top w:val="double" w:sz="6" w:space="0" w:color="auto"/>
              <w:left w:val="double" w:sz="6" w:space="0" w:color="auto"/>
              <w:bottom w:val="double" w:sz="6" w:space="0" w:color="auto"/>
              <w:right w:val="double" w:sz="6" w:space="0" w:color="000000"/>
            </w:tcBorders>
            <w:shd w:val="clear" w:color="000000" w:fill="FFFFFF"/>
            <w:vAlign w:val="center"/>
            <w:hideMark/>
          </w:tcPr>
          <w:p w14:paraId="21DCECCD" w14:textId="77777777" w:rsidR="004A5560" w:rsidRPr="003944E5" w:rsidRDefault="004A5560" w:rsidP="003944E5">
            <w:pPr>
              <w:pStyle w:val="NoSpacing"/>
              <w:rPr>
                <w:b/>
                <w:lang w:val="en-GB" w:eastAsia="en-GB"/>
              </w:rPr>
            </w:pPr>
            <w:r w:rsidRPr="003944E5">
              <w:rPr>
                <w:b/>
                <w:lang w:val="en-GB" w:eastAsia="en-GB"/>
              </w:rPr>
              <w:t>Table 2: Number of internal audit recommendations issued*</w:t>
            </w:r>
          </w:p>
        </w:tc>
      </w:tr>
      <w:tr w:rsidR="004A5560" w:rsidRPr="00EE0622" w14:paraId="161FFAB1" w14:textId="77777777" w:rsidTr="00801964">
        <w:trPr>
          <w:trHeight w:val="340"/>
        </w:trPr>
        <w:tc>
          <w:tcPr>
            <w:tcW w:w="4241" w:type="dxa"/>
            <w:tcBorders>
              <w:top w:val="nil"/>
              <w:left w:val="double" w:sz="6" w:space="0" w:color="auto"/>
              <w:bottom w:val="single" w:sz="8" w:space="0" w:color="auto"/>
              <w:right w:val="single" w:sz="8" w:space="0" w:color="auto"/>
            </w:tcBorders>
            <w:shd w:val="clear" w:color="000000" w:fill="FFFFFF"/>
            <w:noWrap/>
            <w:vAlign w:val="center"/>
            <w:hideMark/>
          </w:tcPr>
          <w:p w14:paraId="31A6FA26" w14:textId="77777777" w:rsidR="004A5560" w:rsidRPr="003944E5" w:rsidRDefault="004A5560" w:rsidP="003944E5">
            <w:pPr>
              <w:pStyle w:val="NoSpacing"/>
              <w:rPr>
                <w:b/>
                <w:lang w:val="en-GB" w:eastAsia="en-GB"/>
              </w:rPr>
            </w:pPr>
            <w:r w:rsidRPr="003944E5">
              <w:rPr>
                <w:b/>
                <w:lang w:val="en-GB" w:eastAsia="en-GB"/>
              </w:rPr>
              <w:t>Year issued</w:t>
            </w:r>
          </w:p>
        </w:tc>
        <w:tc>
          <w:tcPr>
            <w:tcW w:w="2557" w:type="dxa"/>
            <w:gridSpan w:val="2"/>
            <w:tcBorders>
              <w:top w:val="double" w:sz="6" w:space="0" w:color="auto"/>
              <w:left w:val="nil"/>
              <w:bottom w:val="single" w:sz="8" w:space="0" w:color="auto"/>
              <w:right w:val="single" w:sz="8" w:space="0" w:color="000000"/>
            </w:tcBorders>
            <w:shd w:val="clear" w:color="000000" w:fill="FFFFFF"/>
            <w:noWrap/>
            <w:vAlign w:val="center"/>
            <w:hideMark/>
          </w:tcPr>
          <w:p w14:paraId="6DD744D7" w14:textId="1C9D6040" w:rsidR="004A5560" w:rsidRPr="003944E5" w:rsidRDefault="003944E5" w:rsidP="003944E5">
            <w:pPr>
              <w:pStyle w:val="NoSpacing"/>
              <w:jc w:val="center"/>
              <w:rPr>
                <w:b/>
                <w:lang w:val="en-GB" w:eastAsia="en-GB"/>
              </w:rPr>
            </w:pPr>
            <w:r>
              <w:rPr>
                <w:b/>
                <w:lang w:val="en-GB" w:eastAsia="en-GB"/>
              </w:rPr>
              <w:t>2016</w:t>
            </w:r>
          </w:p>
        </w:tc>
        <w:tc>
          <w:tcPr>
            <w:tcW w:w="2416" w:type="dxa"/>
            <w:gridSpan w:val="2"/>
            <w:tcBorders>
              <w:top w:val="double" w:sz="6" w:space="0" w:color="auto"/>
              <w:left w:val="nil"/>
              <w:bottom w:val="single" w:sz="8" w:space="0" w:color="auto"/>
              <w:right w:val="double" w:sz="6" w:space="0" w:color="000000"/>
            </w:tcBorders>
            <w:shd w:val="clear" w:color="000000" w:fill="FFFFFF"/>
            <w:vAlign w:val="center"/>
            <w:hideMark/>
          </w:tcPr>
          <w:p w14:paraId="7678DF6B" w14:textId="04B2F86C" w:rsidR="004A5560" w:rsidRPr="003944E5" w:rsidRDefault="003944E5" w:rsidP="003944E5">
            <w:pPr>
              <w:pStyle w:val="NoSpacing"/>
              <w:jc w:val="center"/>
              <w:rPr>
                <w:b/>
                <w:lang w:val="en-GB" w:eastAsia="en-GB"/>
              </w:rPr>
            </w:pPr>
            <w:r>
              <w:rPr>
                <w:b/>
                <w:lang w:val="en-GB" w:eastAsia="en-GB"/>
              </w:rPr>
              <w:t>2017</w:t>
            </w:r>
          </w:p>
        </w:tc>
      </w:tr>
      <w:tr w:rsidR="004A5560" w:rsidRPr="00EE0622" w14:paraId="063AC52D" w14:textId="77777777" w:rsidTr="00801964">
        <w:trPr>
          <w:trHeight w:val="283"/>
        </w:trPr>
        <w:tc>
          <w:tcPr>
            <w:tcW w:w="4241" w:type="dxa"/>
            <w:tcBorders>
              <w:top w:val="nil"/>
              <w:left w:val="double" w:sz="6" w:space="0" w:color="auto"/>
              <w:bottom w:val="nil"/>
              <w:right w:val="single" w:sz="8" w:space="0" w:color="auto"/>
            </w:tcBorders>
            <w:shd w:val="clear" w:color="000000" w:fill="FFFFFF"/>
            <w:noWrap/>
            <w:vAlign w:val="bottom"/>
            <w:hideMark/>
          </w:tcPr>
          <w:p w14:paraId="63E124A7" w14:textId="77777777" w:rsidR="004A5560" w:rsidRPr="00682943" w:rsidRDefault="004A5560" w:rsidP="003944E5">
            <w:pPr>
              <w:pStyle w:val="NoSpacing"/>
              <w:rPr>
                <w:lang w:val="en-GB" w:eastAsia="en-GB"/>
              </w:rPr>
            </w:pPr>
            <w:r w:rsidRPr="00682943">
              <w:rPr>
                <w:lang w:val="en-GB" w:eastAsia="en-GB"/>
              </w:rPr>
              <w:t> </w:t>
            </w:r>
          </w:p>
        </w:tc>
        <w:tc>
          <w:tcPr>
            <w:tcW w:w="1278" w:type="dxa"/>
            <w:tcBorders>
              <w:top w:val="nil"/>
              <w:left w:val="nil"/>
              <w:bottom w:val="nil"/>
              <w:right w:val="single" w:sz="8" w:space="0" w:color="auto"/>
            </w:tcBorders>
            <w:shd w:val="clear" w:color="000000" w:fill="FFFFFF"/>
            <w:noWrap/>
            <w:vAlign w:val="center"/>
            <w:hideMark/>
          </w:tcPr>
          <w:p w14:paraId="4F47F807" w14:textId="77777777" w:rsidR="004A5560" w:rsidRPr="00682943" w:rsidRDefault="004A5560" w:rsidP="003944E5">
            <w:pPr>
              <w:pStyle w:val="NoSpacing"/>
              <w:jc w:val="center"/>
              <w:rPr>
                <w:lang w:val="en-GB" w:eastAsia="en-GB"/>
              </w:rPr>
            </w:pPr>
            <w:r w:rsidRPr="00682943">
              <w:rPr>
                <w:lang w:val="en-GB" w:eastAsia="en-GB"/>
              </w:rPr>
              <w:t>total</w:t>
            </w:r>
          </w:p>
        </w:tc>
        <w:tc>
          <w:tcPr>
            <w:tcW w:w="1279" w:type="dxa"/>
            <w:tcBorders>
              <w:top w:val="nil"/>
              <w:left w:val="nil"/>
              <w:bottom w:val="nil"/>
              <w:right w:val="single" w:sz="8" w:space="0" w:color="auto"/>
            </w:tcBorders>
            <w:shd w:val="clear" w:color="000000" w:fill="FFFFFF"/>
            <w:vAlign w:val="center"/>
            <w:hideMark/>
          </w:tcPr>
          <w:p w14:paraId="17030AD3" w14:textId="77777777" w:rsidR="004A5560" w:rsidRPr="00682943" w:rsidRDefault="004A5560" w:rsidP="003944E5">
            <w:pPr>
              <w:pStyle w:val="NoSpacing"/>
              <w:jc w:val="center"/>
              <w:rPr>
                <w:lang w:val="en-GB" w:eastAsia="en-GB"/>
              </w:rPr>
            </w:pPr>
            <w:r w:rsidRPr="00682943">
              <w:rPr>
                <w:lang w:val="en-GB" w:eastAsia="en-GB"/>
              </w:rPr>
              <w:t>average</w:t>
            </w:r>
          </w:p>
        </w:tc>
        <w:tc>
          <w:tcPr>
            <w:tcW w:w="1279" w:type="dxa"/>
            <w:tcBorders>
              <w:top w:val="nil"/>
              <w:left w:val="nil"/>
              <w:bottom w:val="nil"/>
              <w:right w:val="single" w:sz="8" w:space="0" w:color="auto"/>
            </w:tcBorders>
            <w:shd w:val="clear" w:color="000000" w:fill="FFFFFF"/>
            <w:vAlign w:val="center"/>
            <w:hideMark/>
          </w:tcPr>
          <w:p w14:paraId="6AC2F1CE" w14:textId="77777777" w:rsidR="004A5560" w:rsidRPr="00682943" w:rsidRDefault="004A5560" w:rsidP="003944E5">
            <w:pPr>
              <w:pStyle w:val="NoSpacing"/>
              <w:jc w:val="center"/>
              <w:rPr>
                <w:lang w:val="en-GB" w:eastAsia="en-GB"/>
              </w:rPr>
            </w:pPr>
            <w:r w:rsidRPr="00682943">
              <w:rPr>
                <w:lang w:val="en-GB" w:eastAsia="en-GB"/>
              </w:rPr>
              <w:t>total</w:t>
            </w:r>
          </w:p>
        </w:tc>
        <w:tc>
          <w:tcPr>
            <w:tcW w:w="1137" w:type="dxa"/>
            <w:tcBorders>
              <w:top w:val="nil"/>
              <w:left w:val="nil"/>
              <w:bottom w:val="nil"/>
              <w:right w:val="double" w:sz="6" w:space="0" w:color="auto"/>
            </w:tcBorders>
            <w:shd w:val="clear" w:color="000000" w:fill="FFFFFF"/>
            <w:noWrap/>
            <w:vAlign w:val="center"/>
            <w:hideMark/>
          </w:tcPr>
          <w:p w14:paraId="53C34BAB" w14:textId="77777777" w:rsidR="004A5560" w:rsidRPr="00682943" w:rsidRDefault="004A5560" w:rsidP="003944E5">
            <w:pPr>
              <w:pStyle w:val="NoSpacing"/>
              <w:jc w:val="center"/>
              <w:rPr>
                <w:lang w:val="en-GB" w:eastAsia="en-GB"/>
              </w:rPr>
            </w:pPr>
            <w:r w:rsidRPr="00682943">
              <w:rPr>
                <w:lang w:val="en-GB" w:eastAsia="en-GB"/>
              </w:rPr>
              <w:t>average</w:t>
            </w:r>
          </w:p>
        </w:tc>
      </w:tr>
      <w:tr w:rsidR="004A5560" w:rsidRPr="00EE0622" w14:paraId="7BDB5171" w14:textId="77777777" w:rsidTr="00801964">
        <w:trPr>
          <w:trHeight w:val="283"/>
        </w:trPr>
        <w:tc>
          <w:tcPr>
            <w:tcW w:w="4241" w:type="dxa"/>
            <w:tcBorders>
              <w:top w:val="nil"/>
              <w:left w:val="double" w:sz="6" w:space="0" w:color="auto"/>
              <w:bottom w:val="nil"/>
              <w:right w:val="single" w:sz="8" w:space="0" w:color="auto"/>
            </w:tcBorders>
            <w:shd w:val="clear" w:color="000000" w:fill="FFFFFF"/>
            <w:noWrap/>
            <w:vAlign w:val="center"/>
            <w:hideMark/>
          </w:tcPr>
          <w:p w14:paraId="17AB11F6" w14:textId="77777777" w:rsidR="004A5560" w:rsidRPr="00682943" w:rsidRDefault="004A5560" w:rsidP="003944E5">
            <w:pPr>
              <w:pStyle w:val="NoSpacing"/>
              <w:rPr>
                <w:lang w:val="en-GB" w:eastAsia="en-GB"/>
              </w:rPr>
            </w:pPr>
            <w:r w:rsidRPr="00682943">
              <w:rPr>
                <w:lang w:val="en-GB" w:eastAsia="en-GB"/>
              </w:rPr>
              <w:t># IAIG internal audits</w:t>
            </w:r>
          </w:p>
        </w:tc>
        <w:tc>
          <w:tcPr>
            <w:tcW w:w="1278" w:type="dxa"/>
            <w:tcBorders>
              <w:top w:val="nil"/>
              <w:left w:val="nil"/>
              <w:bottom w:val="nil"/>
              <w:right w:val="single" w:sz="8" w:space="0" w:color="auto"/>
            </w:tcBorders>
            <w:shd w:val="clear" w:color="000000" w:fill="FFFFFF"/>
            <w:noWrap/>
            <w:vAlign w:val="center"/>
            <w:hideMark/>
          </w:tcPr>
          <w:p w14:paraId="18DCD034" w14:textId="30FB7BCD" w:rsidR="004A5560" w:rsidRPr="00682943" w:rsidRDefault="003944E5" w:rsidP="003944E5">
            <w:pPr>
              <w:pStyle w:val="NoSpacing"/>
              <w:jc w:val="center"/>
              <w:rPr>
                <w:lang w:val="en-GB" w:eastAsia="en-GB"/>
              </w:rPr>
            </w:pPr>
            <w:r>
              <w:rPr>
                <w:lang w:val="en-GB" w:eastAsia="en-GB"/>
              </w:rPr>
              <w:t>207</w:t>
            </w:r>
          </w:p>
        </w:tc>
        <w:tc>
          <w:tcPr>
            <w:tcW w:w="1279" w:type="dxa"/>
            <w:tcBorders>
              <w:top w:val="nil"/>
              <w:left w:val="nil"/>
              <w:bottom w:val="nil"/>
              <w:right w:val="single" w:sz="8" w:space="0" w:color="auto"/>
            </w:tcBorders>
            <w:shd w:val="clear" w:color="000000" w:fill="FFFFFF"/>
            <w:vAlign w:val="center"/>
            <w:hideMark/>
          </w:tcPr>
          <w:p w14:paraId="6A2C1974" w14:textId="6B624FD1" w:rsidR="004A5560" w:rsidRPr="00682943" w:rsidRDefault="003944E5" w:rsidP="003944E5">
            <w:pPr>
              <w:pStyle w:val="NoSpacing"/>
              <w:jc w:val="center"/>
              <w:rPr>
                <w:lang w:val="en-GB" w:eastAsia="en-GB"/>
              </w:rPr>
            </w:pPr>
            <w:r>
              <w:rPr>
                <w:lang w:val="en-GB" w:eastAsia="en-GB"/>
              </w:rPr>
              <w:t>21</w:t>
            </w:r>
            <w:r w:rsidR="00A7627C">
              <w:rPr>
                <w:lang w:val="en-GB" w:eastAsia="en-GB"/>
              </w:rPr>
              <w:t>.7</w:t>
            </w:r>
          </w:p>
        </w:tc>
        <w:tc>
          <w:tcPr>
            <w:tcW w:w="1279" w:type="dxa"/>
            <w:tcBorders>
              <w:top w:val="nil"/>
              <w:left w:val="nil"/>
              <w:bottom w:val="nil"/>
              <w:right w:val="single" w:sz="8" w:space="0" w:color="auto"/>
            </w:tcBorders>
            <w:shd w:val="clear" w:color="000000" w:fill="FFFFFF"/>
            <w:vAlign w:val="center"/>
            <w:hideMark/>
          </w:tcPr>
          <w:p w14:paraId="38D96AAE" w14:textId="768D9CE5" w:rsidR="004A5560" w:rsidRPr="00682943" w:rsidRDefault="00A7627C" w:rsidP="003944E5">
            <w:pPr>
              <w:pStyle w:val="NoSpacing"/>
              <w:jc w:val="center"/>
              <w:rPr>
                <w:lang w:val="en-GB" w:eastAsia="en-GB"/>
              </w:rPr>
            </w:pPr>
            <w:r>
              <w:rPr>
                <w:lang w:val="en-GB" w:eastAsia="en-GB"/>
              </w:rPr>
              <w:t>200</w:t>
            </w:r>
          </w:p>
        </w:tc>
        <w:tc>
          <w:tcPr>
            <w:tcW w:w="1137" w:type="dxa"/>
            <w:tcBorders>
              <w:top w:val="nil"/>
              <w:left w:val="nil"/>
              <w:bottom w:val="nil"/>
              <w:right w:val="double" w:sz="6" w:space="0" w:color="auto"/>
            </w:tcBorders>
            <w:shd w:val="clear" w:color="000000" w:fill="FFFFFF"/>
            <w:noWrap/>
            <w:vAlign w:val="center"/>
            <w:hideMark/>
          </w:tcPr>
          <w:p w14:paraId="07DE7280" w14:textId="5CB94AB6" w:rsidR="004A5560" w:rsidRPr="00682943" w:rsidRDefault="00A7627C" w:rsidP="003944E5">
            <w:pPr>
              <w:pStyle w:val="NoSpacing"/>
              <w:jc w:val="center"/>
              <w:rPr>
                <w:lang w:val="en-GB" w:eastAsia="en-GB"/>
              </w:rPr>
            </w:pPr>
            <w:r>
              <w:rPr>
                <w:lang w:val="en-GB" w:eastAsia="en-GB"/>
              </w:rPr>
              <w:t>14.3</w:t>
            </w:r>
          </w:p>
        </w:tc>
      </w:tr>
      <w:tr w:rsidR="004A5560" w:rsidRPr="00EE0622" w14:paraId="4266364E" w14:textId="77777777" w:rsidTr="00801964">
        <w:trPr>
          <w:trHeight w:val="283"/>
        </w:trPr>
        <w:tc>
          <w:tcPr>
            <w:tcW w:w="4241" w:type="dxa"/>
            <w:tcBorders>
              <w:top w:val="nil"/>
              <w:left w:val="double" w:sz="6" w:space="0" w:color="auto"/>
              <w:bottom w:val="nil"/>
              <w:right w:val="single" w:sz="8" w:space="0" w:color="auto"/>
            </w:tcBorders>
            <w:shd w:val="clear" w:color="000000" w:fill="FFFFFF"/>
            <w:noWrap/>
            <w:vAlign w:val="center"/>
            <w:hideMark/>
          </w:tcPr>
          <w:p w14:paraId="27D05E0E" w14:textId="77777777" w:rsidR="004A5560" w:rsidRPr="00682943" w:rsidRDefault="004A5560" w:rsidP="003944E5">
            <w:pPr>
              <w:pStyle w:val="NoSpacing"/>
              <w:rPr>
                <w:lang w:val="en-GB" w:eastAsia="en-GB"/>
              </w:rPr>
            </w:pPr>
            <w:r w:rsidRPr="00682943">
              <w:rPr>
                <w:lang w:val="en-GB" w:eastAsia="en-GB"/>
              </w:rPr>
              <w:t># Project audits</w:t>
            </w:r>
          </w:p>
        </w:tc>
        <w:tc>
          <w:tcPr>
            <w:tcW w:w="1278" w:type="dxa"/>
            <w:tcBorders>
              <w:top w:val="nil"/>
              <w:left w:val="nil"/>
              <w:bottom w:val="nil"/>
              <w:right w:val="single" w:sz="8" w:space="0" w:color="auto"/>
            </w:tcBorders>
            <w:shd w:val="clear" w:color="000000" w:fill="FFFFFF"/>
            <w:noWrap/>
            <w:vAlign w:val="center"/>
            <w:hideMark/>
          </w:tcPr>
          <w:p w14:paraId="7FB4F841" w14:textId="3FEA5D38" w:rsidR="004A5560" w:rsidRPr="00682943" w:rsidRDefault="003944E5" w:rsidP="003944E5">
            <w:pPr>
              <w:pStyle w:val="NoSpacing"/>
              <w:jc w:val="center"/>
              <w:rPr>
                <w:lang w:val="en-GB" w:eastAsia="en-GB"/>
              </w:rPr>
            </w:pPr>
            <w:r>
              <w:rPr>
                <w:lang w:val="en-GB" w:eastAsia="en-GB"/>
              </w:rPr>
              <w:t>60</w:t>
            </w:r>
          </w:p>
        </w:tc>
        <w:tc>
          <w:tcPr>
            <w:tcW w:w="1279" w:type="dxa"/>
            <w:tcBorders>
              <w:top w:val="nil"/>
              <w:left w:val="nil"/>
              <w:bottom w:val="nil"/>
              <w:right w:val="single" w:sz="8" w:space="0" w:color="auto"/>
            </w:tcBorders>
            <w:shd w:val="clear" w:color="000000" w:fill="FFFFFF"/>
            <w:vAlign w:val="center"/>
            <w:hideMark/>
          </w:tcPr>
          <w:p w14:paraId="5CA4C627" w14:textId="44DEADEC" w:rsidR="004A5560" w:rsidRPr="00682943" w:rsidRDefault="003944E5" w:rsidP="003944E5">
            <w:pPr>
              <w:pStyle w:val="NoSpacing"/>
              <w:jc w:val="center"/>
              <w:rPr>
                <w:lang w:val="en-GB" w:eastAsia="en-GB"/>
              </w:rPr>
            </w:pPr>
            <w:r>
              <w:rPr>
                <w:lang w:val="en-GB" w:eastAsia="en-GB"/>
              </w:rPr>
              <w:t>2.2</w:t>
            </w:r>
          </w:p>
        </w:tc>
        <w:tc>
          <w:tcPr>
            <w:tcW w:w="1279" w:type="dxa"/>
            <w:tcBorders>
              <w:top w:val="nil"/>
              <w:left w:val="nil"/>
              <w:bottom w:val="nil"/>
              <w:right w:val="single" w:sz="8" w:space="0" w:color="auto"/>
            </w:tcBorders>
            <w:shd w:val="clear" w:color="000000" w:fill="FFFFFF"/>
            <w:vAlign w:val="center"/>
            <w:hideMark/>
          </w:tcPr>
          <w:p w14:paraId="3852BFA1" w14:textId="3A138121" w:rsidR="004A5560" w:rsidRPr="00682943" w:rsidRDefault="00896EA7" w:rsidP="00896EA7">
            <w:pPr>
              <w:pStyle w:val="NoSpacing"/>
              <w:jc w:val="center"/>
              <w:rPr>
                <w:lang w:val="en-GB" w:eastAsia="en-GB"/>
              </w:rPr>
            </w:pPr>
            <w:r>
              <w:rPr>
                <w:lang w:val="en-GB" w:eastAsia="en-GB"/>
              </w:rPr>
              <w:t>115</w:t>
            </w:r>
          </w:p>
        </w:tc>
        <w:tc>
          <w:tcPr>
            <w:tcW w:w="1137" w:type="dxa"/>
            <w:tcBorders>
              <w:top w:val="nil"/>
              <w:left w:val="nil"/>
              <w:bottom w:val="nil"/>
              <w:right w:val="double" w:sz="6" w:space="0" w:color="auto"/>
            </w:tcBorders>
            <w:shd w:val="clear" w:color="000000" w:fill="FFFFFF"/>
            <w:noWrap/>
            <w:vAlign w:val="center"/>
            <w:hideMark/>
          </w:tcPr>
          <w:p w14:paraId="598E47D2" w14:textId="34613B81" w:rsidR="004A5560" w:rsidRPr="00682943" w:rsidRDefault="00A7627C" w:rsidP="003944E5">
            <w:pPr>
              <w:pStyle w:val="NoSpacing"/>
              <w:jc w:val="center"/>
              <w:rPr>
                <w:lang w:val="en-GB" w:eastAsia="en-GB"/>
              </w:rPr>
            </w:pPr>
            <w:r>
              <w:rPr>
                <w:lang w:val="en-GB" w:eastAsia="en-GB"/>
              </w:rPr>
              <w:t>3.7</w:t>
            </w:r>
          </w:p>
        </w:tc>
      </w:tr>
      <w:tr w:rsidR="004A5560" w:rsidRPr="00EE0622" w14:paraId="18D7E45E" w14:textId="77777777" w:rsidTr="00801964">
        <w:trPr>
          <w:trHeight w:val="283"/>
        </w:trPr>
        <w:tc>
          <w:tcPr>
            <w:tcW w:w="4241" w:type="dxa"/>
            <w:tcBorders>
              <w:top w:val="nil"/>
              <w:left w:val="double" w:sz="6" w:space="0" w:color="auto"/>
              <w:bottom w:val="single" w:sz="8" w:space="0" w:color="auto"/>
              <w:right w:val="single" w:sz="8" w:space="0" w:color="auto"/>
            </w:tcBorders>
            <w:shd w:val="clear" w:color="000000" w:fill="FFFFFF"/>
            <w:noWrap/>
            <w:vAlign w:val="center"/>
            <w:hideMark/>
          </w:tcPr>
          <w:p w14:paraId="663E2134" w14:textId="77777777" w:rsidR="004A5560" w:rsidRPr="00682943" w:rsidRDefault="004A5560" w:rsidP="003944E5">
            <w:pPr>
              <w:pStyle w:val="NoSpacing"/>
              <w:rPr>
                <w:lang w:val="en-GB" w:eastAsia="en-GB"/>
              </w:rPr>
            </w:pPr>
            <w:r w:rsidRPr="00682943">
              <w:rPr>
                <w:lang w:val="en-GB" w:eastAsia="en-GB"/>
              </w:rPr>
              <w:t># Audits of significant programmes</w:t>
            </w:r>
          </w:p>
        </w:tc>
        <w:tc>
          <w:tcPr>
            <w:tcW w:w="1278" w:type="dxa"/>
            <w:tcBorders>
              <w:top w:val="nil"/>
              <w:left w:val="nil"/>
              <w:bottom w:val="single" w:sz="8" w:space="0" w:color="auto"/>
              <w:right w:val="single" w:sz="8" w:space="0" w:color="auto"/>
            </w:tcBorders>
            <w:shd w:val="clear" w:color="000000" w:fill="FFFFFF"/>
            <w:noWrap/>
            <w:vAlign w:val="center"/>
            <w:hideMark/>
          </w:tcPr>
          <w:p w14:paraId="788CC40B" w14:textId="77777777" w:rsidR="004A5560" w:rsidRPr="00682943" w:rsidRDefault="004A5560" w:rsidP="003944E5">
            <w:pPr>
              <w:pStyle w:val="NoSpacing"/>
              <w:jc w:val="center"/>
              <w:rPr>
                <w:lang w:val="en-GB" w:eastAsia="en-GB"/>
              </w:rPr>
            </w:pPr>
            <w:r w:rsidRPr="00682943">
              <w:rPr>
                <w:lang w:val="en-GB" w:eastAsia="en-GB"/>
              </w:rPr>
              <w:t>0</w:t>
            </w:r>
          </w:p>
        </w:tc>
        <w:tc>
          <w:tcPr>
            <w:tcW w:w="1279" w:type="dxa"/>
            <w:tcBorders>
              <w:top w:val="nil"/>
              <w:left w:val="nil"/>
              <w:bottom w:val="single" w:sz="8" w:space="0" w:color="auto"/>
              <w:right w:val="single" w:sz="8" w:space="0" w:color="auto"/>
            </w:tcBorders>
            <w:shd w:val="clear" w:color="000000" w:fill="FFFFFF"/>
            <w:vAlign w:val="center"/>
            <w:hideMark/>
          </w:tcPr>
          <w:p w14:paraId="4B49D960" w14:textId="77777777" w:rsidR="004A5560" w:rsidRPr="00682943" w:rsidRDefault="004A5560" w:rsidP="003944E5">
            <w:pPr>
              <w:pStyle w:val="NoSpacing"/>
              <w:jc w:val="center"/>
              <w:rPr>
                <w:lang w:val="en-GB" w:eastAsia="en-GB"/>
              </w:rPr>
            </w:pPr>
            <w:r w:rsidRPr="00682943">
              <w:rPr>
                <w:lang w:val="en-GB" w:eastAsia="en-GB"/>
              </w:rPr>
              <w:t>0</w:t>
            </w:r>
          </w:p>
        </w:tc>
        <w:tc>
          <w:tcPr>
            <w:tcW w:w="1279" w:type="dxa"/>
            <w:tcBorders>
              <w:top w:val="nil"/>
              <w:left w:val="nil"/>
              <w:bottom w:val="single" w:sz="8" w:space="0" w:color="auto"/>
              <w:right w:val="single" w:sz="8" w:space="0" w:color="auto"/>
            </w:tcBorders>
            <w:shd w:val="clear" w:color="000000" w:fill="FFFFFF"/>
            <w:vAlign w:val="center"/>
            <w:hideMark/>
          </w:tcPr>
          <w:p w14:paraId="6B25099F" w14:textId="424201B8" w:rsidR="004A5560" w:rsidRPr="00682943" w:rsidRDefault="00A7627C" w:rsidP="003944E5">
            <w:pPr>
              <w:pStyle w:val="NoSpacing"/>
              <w:jc w:val="center"/>
              <w:rPr>
                <w:lang w:val="en-GB" w:eastAsia="en-GB"/>
              </w:rPr>
            </w:pPr>
            <w:r>
              <w:rPr>
                <w:lang w:val="en-GB" w:eastAsia="en-GB"/>
              </w:rPr>
              <w:t>0</w:t>
            </w:r>
          </w:p>
        </w:tc>
        <w:tc>
          <w:tcPr>
            <w:tcW w:w="1137" w:type="dxa"/>
            <w:tcBorders>
              <w:top w:val="nil"/>
              <w:left w:val="nil"/>
              <w:bottom w:val="single" w:sz="8" w:space="0" w:color="auto"/>
              <w:right w:val="double" w:sz="6" w:space="0" w:color="auto"/>
            </w:tcBorders>
            <w:shd w:val="clear" w:color="000000" w:fill="FFFFFF"/>
            <w:noWrap/>
            <w:vAlign w:val="center"/>
            <w:hideMark/>
          </w:tcPr>
          <w:p w14:paraId="06EEF920" w14:textId="0C38C9BA" w:rsidR="004A5560" w:rsidRPr="00682943" w:rsidRDefault="00A7627C" w:rsidP="003944E5">
            <w:pPr>
              <w:pStyle w:val="NoSpacing"/>
              <w:jc w:val="center"/>
              <w:rPr>
                <w:lang w:val="en-GB" w:eastAsia="en-GB"/>
              </w:rPr>
            </w:pPr>
            <w:r>
              <w:rPr>
                <w:lang w:val="en-GB" w:eastAsia="en-GB"/>
              </w:rPr>
              <w:t>0</w:t>
            </w:r>
          </w:p>
        </w:tc>
      </w:tr>
      <w:tr w:rsidR="004A5560" w:rsidRPr="00EE0622" w14:paraId="21BB5E5A" w14:textId="77777777" w:rsidTr="00801964">
        <w:trPr>
          <w:trHeight w:val="340"/>
        </w:trPr>
        <w:tc>
          <w:tcPr>
            <w:tcW w:w="4241" w:type="dxa"/>
            <w:tcBorders>
              <w:top w:val="nil"/>
              <w:left w:val="double" w:sz="6" w:space="0" w:color="auto"/>
              <w:bottom w:val="single" w:sz="8" w:space="0" w:color="auto"/>
              <w:right w:val="single" w:sz="8" w:space="0" w:color="auto"/>
            </w:tcBorders>
            <w:shd w:val="clear" w:color="000000" w:fill="FFFFFF"/>
            <w:noWrap/>
            <w:vAlign w:val="center"/>
            <w:hideMark/>
          </w:tcPr>
          <w:p w14:paraId="2D60B647" w14:textId="77777777" w:rsidR="004A5560" w:rsidRPr="003944E5" w:rsidRDefault="004A5560" w:rsidP="003944E5">
            <w:pPr>
              <w:pStyle w:val="NoSpacing"/>
              <w:rPr>
                <w:b/>
                <w:lang w:val="en-GB" w:eastAsia="en-GB"/>
              </w:rPr>
            </w:pPr>
            <w:r w:rsidRPr="003944E5">
              <w:rPr>
                <w:b/>
                <w:lang w:val="en-GB" w:eastAsia="en-GB"/>
              </w:rPr>
              <w:t>Total # of internal audits</w:t>
            </w:r>
          </w:p>
        </w:tc>
        <w:tc>
          <w:tcPr>
            <w:tcW w:w="1278" w:type="dxa"/>
            <w:tcBorders>
              <w:top w:val="nil"/>
              <w:left w:val="nil"/>
              <w:bottom w:val="single" w:sz="8" w:space="0" w:color="auto"/>
              <w:right w:val="single" w:sz="8" w:space="0" w:color="auto"/>
            </w:tcBorders>
            <w:shd w:val="clear" w:color="000000" w:fill="FFFFFF"/>
            <w:noWrap/>
            <w:vAlign w:val="center"/>
            <w:hideMark/>
          </w:tcPr>
          <w:p w14:paraId="723D8A3F" w14:textId="2164586E" w:rsidR="004A5560" w:rsidRPr="003944E5" w:rsidRDefault="003944E5" w:rsidP="003944E5">
            <w:pPr>
              <w:pStyle w:val="NoSpacing"/>
              <w:jc w:val="center"/>
              <w:rPr>
                <w:b/>
                <w:lang w:val="en-GB" w:eastAsia="en-GB"/>
              </w:rPr>
            </w:pPr>
            <w:r w:rsidRPr="003944E5">
              <w:rPr>
                <w:b/>
                <w:lang w:val="en-GB" w:eastAsia="en-GB"/>
              </w:rPr>
              <w:t>267</w:t>
            </w:r>
          </w:p>
        </w:tc>
        <w:tc>
          <w:tcPr>
            <w:tcW w:w="1279" w:type="dxa"/>
            <w:tcBorders>
              <w:top w:val="nil"/>
              <w:left w:val="nil"/>
              <w:bottom w:val="single" w:sz="8" w:space="0" w:color="auto"/>
              <w:right w:val="single" w:sz="8" w:space="0" w:color="auto"/>
            </w:tcBorders>
            <w:shd w:val="clear" w:color="000000" w:fill="FFFFFF"/>
            <w:vAlign w:val="center"/>
            <w:hideMark/>
          </w:tcPr>
          <w:p w14:paraId="3DED8587" w14:textId="5DF24D93" w:rsidR="004A5560" w:rsidRPr="003944E5" w:rsidRDefault="00A7627C" w:rsidP="003944E5">
            <w:pPr>
              <w:pStyle w:val="NoSpacing"/>
              <w:jc w:val="center"/>
              <w:rPr>
                <w:b/>
                <w:lang w:val="en-GB" w:eastAsia="en-GB"/>
              </w:rPr>
            </w:pPr>
            <w:r>
              <w:rPr>
                <w:b/>
                <w:lang w:val="en-GB" w:eastAsia="en-GB"/>
              </w:rPr>
              <w:t>7.2</w:t>
            </w:r>
          </w:p>
        </w:tc>
        <w:tc>
          <w:tcPr>
            <w:tcW w:w="1279" w:type="dxa"/>
            <w:tcBorders>
              <w:top w:val="nil"/>
              <w:left w:val="nil"/>
              <w:bottom w:val="single" w:sz="8" w:space="0" w:color="auto"/>
              <w:right w:val="single" w:sz="8" w:space="0" w:color="auto"/>
            </w:tcBorders>
            <w:shd w:val="clear" w:color="000000" w:fill="FFFFFF"/>
            <w:vAlign w:val="center"/>
            <w:hideMark/>
          </w:tcPr>
          <w:p w14:paraId="5C28626F" w14:textId="5EBC7302" w:rsidR="004A5560" w:rsidRPr="003944E5" w:rsidRDefault="003944E5" w:rsidP="003944E5">
            <w:pPr>
              <w:pStyle w:val="NoSpacing"/>
              <w:jc w:val="center"/>
              <w:rPr>
                <w:b/>
                <w:lang w:val="en-GB" w:eastAsia="en-GB"/>
              </w:rPr>
            </w:pPr>
            <w:r w:rsidRPr="003944E5">
              <w:rPr>
                <w:b/>
                <w:lang w:val="en-GB" w:eastAsia="en-GB"/>
              </w:rPr>
              <w:t>315</w:t>
            </w:r>
          </w:p>
        </w:tc>
        <w:tc>
          <w:tcPr>
            <w:tcW w:w="1137" w:type="dxa"/>
            <w:tcBorders>
              <w:top w:val="nil"/>
              <w:left w:val="nil"/>
              <w:bottom w:val="single" w:sz="8" w:space="0" w:color="auto"/>
              <w:right w:val="double" w:sz="6" w:space="0" w:color="auto"/>
            </w:tcBorders>
            <w:shd w:val="clear" w:color="000000" w:fill="FFFFFF"/>
            <w:noWrap/>
            <w:vAlign w:val="center"/>
            <w:hideMark/>
          </w:tcPr>
          <w:p w14:paraId="145526BA" w14:textId="64DAD533" w:rsidR="004A5560" w:rsidRPr="003944E5" w:rsidRDefault="00A7627C" w:rsidP="003944E5">
            <w:pPr>
              <w:pStyle w:val="NoSpacing"/>
              <w:jc w:val="center"/>
              <w:rPr>
                <w:b/>
                <w:lang w:val="en-GB" w:eastAsia="en-GB"/>
              </w:rPr>
            </w:pPr>
            <w:r>
              <w:rPr>
                <w:b/>
                <w:lang w:val="en-GB" w:eastAsia="en-GB"/>
              </w:rPr>
              <w:t>7.0</w:t>
            </w:r>
          </w:p>
        </w:tc>
      </w:tr>
      <w:tr w:rsidR="004A5560" w:rsidRPr="00EE0622" w14:paraId="4AA6B73B" w14:textId="77777777" w:rsidTr="00801964">
        <w:trPr>
          <w:trHeight w:val="340"/>
        </w:trPr>
        <w:tc>
          <w:tcPr>
            <w:tcW w:w="9214" w:type="dxa"/>
            <w:gridSpan w:val="5"/>
            <w:tcBorders>
              <w:top w:val="single" w:sz="8" w:space="0" w:color="auto"/>
              <w:left w:val="double" w:sz="6" w:space="0" w:color="auto"/>
              <w:bottom w:val="double" w:sz="6" w:space="0" w:color="auto"/>
              <w:right w:val="double" w:sz="6" w:space="0" w:color="000000"/>
            </w:tcBorders>
            <w:shd w:val="clear" w:color="000000" w:fill="FFFFFF"/>
            <w:vAlign w:val="center"/>
            <w:hideMark/>
          </w:tcPr>
          <w:p w14:paraId="2C1F5FB0" w14:textId="0BC4D22E" w:rsidR="004A5560" w:rsidRPr="00680760" w:rsidRDefault="004A5560" w:rsidP="00680760">
            <w:pPr>
              <w:pStyle w:val="NoSpacing"/>
              <w:rPr>
                <w:color w:val="000000" w:themeColor="text1"/>
                <w:sz w:val="16"/>
                <w:szCs w:val="16"/>
                <w:lang w:val="en-GB" w:eastAsia="en-GB"/>
              </w:rPr>
            </w:pPr>
            <w:r w:rsidRPr="00680760">
              <w:rPr>
                <w:color w:val="000000" w:themeColor="text1"/>
                <w:sz w:val="16"/>
                <w:szCs w:val="16"/>
                <w:lang w:val="en-GB" w:eastAsia="en-GB"/>
              </w:rPr>
              <w:t>*Developed based on IAIG annual report</w:t>
            </w:r>
            <w:r w:rsidR="00D80899" w:rsidRPr="00680760">
              <w:rPr>
                <w:color w:val="000000" w:themeColor="text1"/>
                <w:sz w:val="16"/>
                <w:szCs w:val="16"/>
                <w:lang w:val="en-GB" w:eastAsia="en-GB"/>
              </w:rPr>
              <w:t>s for 201</w:t>
            </w:r>
            <w:r w:rsidR="00680760" w:rsidRPr="00680760">
              <w:rPr>
                <w:color w:val="000000" w:themeColor="text1"/>
                <w:sz w:val="16"/>
                <w:szCs w:val="16"/>
                <w:lang w:val="en-GB" w:eastAsia="en-GB"/>
              </w:rPr>
              <w:t>6</w:t>
            </w:r>
            <w:r w:rsidR="00D80899" w:rsidRPr="00680760">
              <w:rPr>
                <w:color w:val="000000" w:themeColor="text1"/>
                <w:sz w:val="16"/>
                <w:szCs w:val="16"/>
                <w:lang w:val="en-GB" w:eastAsia="en-GB"/>
              </w:rPr>
              <w:t xml:space="preserve"> (DP/OPS/2017</w:t>
            </w:r>
            <w:r w:rsidRPr="00680760">
              <w:rPr>
                <w:color w:val="000000" w:themeColor="text1"/>
                <w:sz w:val="16"/>
                <w:szCs w:val="16"/>
                <w:lang w:val="en-GB" w:eastAsia="en-GB"/>
              </w:rPr>
              <w:t>/3) and 201</w:t>
            </w:r>
            <w:r w:rsidR="00680760" w:rsidRPr="00680760">
              <w:rPr>
                <w:color w:val="000000" w:themeColor="text1"/>
                <w:sz w:val="16"/>
                <w:szCs w:val="16"/>
                <w:lang w:val="en-GB" w:eastAsia="en-GB"/>
              </w:rPr>
              <w:t>7</w:t>
            </w:r>
            <w:r w:rsidRPr="00680760">
              <w:rPr>
                <w:color w:val="000000" w:themeColor="text1"/>
                <w:sz w:val="16"/>
                <w:szCs w:val="16"/>
                <w:lang w:val="en-GB" w:eastAsia="en-GB"/>
              </w:rPr>
              <w:t xml:space="preserve"> (DP/OPS/201</w:t>
            </w:r>
            <w:r w:rsidR="00D80899" w:rsidRPr="00680760">
              <w:rPr>
                <w:color w:val="000000" w:themeColor="text1"/>
                <w:sz w:val="16"/>
                <w:szCs w:val="16"/>
                <w:lang w:val="en-GB" w:eastAsia="en-GB"/>
              </w:rPr>
              <w:t>8</w:t>
            </w:r>
            <w:r w:rsidRPr="00680760">
              <w:rPr>
                <w:color w:val="000000" w:themeColor="text1"/>
                <w:sz w:val="16"/>
                <w:szCs w:val="16"/>
                <w:lang w:val="en-GB" w:eastAsia="en-GB"/>
              </w:rPr>
              <w:t>/3).</w:t>
            </w:r>
          </w:p>
        </w:tc>
      </w:tr>
    </w:tbl>
    <w:p w14:paraId="1AFD9186" w14:textId="17A8A64B" w:rsidR="00A5449B" w:rsidRDefault="00F50EEE" w:rsidP="004A5560">
      <w:pPr>
        <w:tabs>
          <w:tab w:val="left" w:pos="426"/>
        </w:tabs>
        <w:jc w:val="both"/>
        <w:rPr>
          <w:sz w:val="22"/>
          <w:lang w:val="en-GB"/>
        </w:rPr>
      </w:pPr>
      <w:r w:rsidRPr="004A5560">
        <w:rPr>
          <w:sz w:val="22"/>
          <w:lang w:val="en-GB"/>
        </w:rPr>
        <w:t xml:space="preserve">During the year, </w:t>
      </w:r>
      <w:r w:rsidR="00CE5744">
        <w:rPr>
          <w:sz w:val="22"/>
          <w:lang w:val="en-GB"/>
        </w:rPr>
        <w:t xml:space="preserve">the number of recommendations </w:t>
      </w:r>
      <w:r w:rsidR="00A5449B">
        <w:rPr>
          <w:sz w:val="22"/>
          <w:lang w:val="en-GB"/>
        </w:rPr>
        <w:t xml:space="preserve">which were </w:t>
      </w:r>
      <w:r w:rsidR="00CE5744">
        <w:rPr>
          <w:sz w:val="22"/>
          <w:lang w:val="en-GB"/>
        </w:rPr>
        <w:t>closed more than</w:t>
      </w:r>
      <w:r w:rsidR="00D25E41">
        <w:rPr>
          <w:sz w:val="22"/>
          <w:lang w:val="en-GB"/>
        </w:rPr>
        <w:t xml:space="preserve"> doubled from 116 in 2016 to 265</w:t>
      </w:r>
      <w:r w:rsidR="00CE5744">
        <w:rPr>
          <w:sz w:val="22"/>
          <w:lang w:val="en-GB"/>
        </w:rPr>
        <w:t xml:space="preserve"> in 2017</w:t>
      </w:r>
      <w:r w:rsidR="00B37F7D">
        <w:rPr>
          <w:sz w:val="22"/>
          <w:lang w:val="en-GB"/>
        </w:rPr>
        <w:t xml:space="preserve">, indicating significantly </w:t>
      </w:r>
      <w:r w:rsidR="00D120BA">
        <w:rPr>
          <w:sz w:val="22"/>
          <w:lang w:val="en-GB"/>
        </w:rPr>
        <w:t>increased</w:t>
      </w:r>
      <w:r w:rsidR="00D25E41">
        <w:rPr>
          <w:sz w:val="22"/>
          <w:lang w:val="en-GB"/>
        </w:rPr>
        <w:t xml:space="preserve"> management</w:t>
      </w:r>
      <w:r w:rsidR="00B37F7D">
        <w:rPr>
          <w:sz w:val="22"/>
          <w:lang w:val="en-GB"/>
        </w:rPr>
        <w:t xml:space="preserve"> efforts to implement recommendations</w:t>
      </w:r>
      <w:r w:rsidR="00CE5744">
        <w:rPr>
          <w:sz w:val="22"/>
          <w:lang w:val="en-GB"/>
        </w:rPr>
        <w:t xml:space="preserve">. </w:t>
      </w:r>
      <w:r w:rsidRPr="004A5560">
        <w:rPr>
          <w:sz w:val="22"/>
          <w:lang w:val="en-GB"/>
        </w:rPr>
        <w:t>UNOPS managem</w:t>
      </w:r>
      <w:r w:rsidR="00A055B5" w:rsidRPr="004A5560">
        <w:rPr>
          <w:sz w:val="22"/>
          <w:lang w:val="en-GB"/>
        </w:rPr>
        <w:t>ent has</w:t>
      </w:r>
      <w:r w:rsidR="00CE5744">
        <w:rPr>
          <w:sz w:val="22"/>
          <w:lang w:val="en-GB"/>
        </w:rPr>
        <w:t xml:space="preserve"> thus</w:t>
      </w:r>
      <w:r w:rsidR="00A055B5" w:rsidRPr="004A5560">
        <w:rPr>
          <w:sz w:val="22"/>
          <w:lang w:val="en-GB"/>
        </w:rPr>
        <w:t xml:space="preserve"> maintained a high rate o</w:t>
      </w:r>
      <w:r w:rsidRPr="004A5560">
        <w:rPr>
          <w:sz w:val="22"/>
          <w:lang w:val="en-GB"/>
        </w:rPr>
        <w:t xml:space="preserve">f </w:t>
      </w:r>
      <w:r w:rsidR="00A055B5" w:rsidRPr="004A5560">
        <w:rPr>
          <w:sz w:val="22"/>
          <w:lang w:val="en-GB"/>
        </w:rPr>
        <w:t>implementation</w:t>
      </w:r>
      <w:r w:rsidRPr="004A5560">
        <w:rPr>
          <w:sz w:val="22"/>
          <w:lang w:val="en-GB"/>
        </w:rPr>
        <w:t xml:space="preserve"> of </w:t>
      </w:r>
      <w:r w:rsidR="002B4160" w:rsidRPr="004A5560">
        <w:rPr>
          <w:sz w:val="22"/>
          <w:lang w:val="en-GB"/>
        </w:rPr>
        <w:t>internal</w:t>
      </w:r>
      <w:r w:rsidR="00F26B47" w:rsidRPr="004A5560">
        <w:rPr>
          <w:sz w:val="22"/>
          <w:lang w:val="en-GB"/>
        </w:rPr>
        <w:t xml:space="preserve"> </w:t>
      </w:r>
      <w:r w:rsidRPr="004A5560">
        <w:rPr>
          <w:sz w:val="22"/>
          <w:lang w:val="en-GB"/>
        </w:rPr>
        <w:t>audit recommendations</w:t>
      </w:r>
      <w:r w:rsidR="00750E6A" w:rsidRPr="004A5560">
        <w:rPr>
          <w:sz w:val="22"/>
          <w:lang w:val="en-GB"/>
        </w:rPr>
        <w:t xml:space="preserve">, </w:t>
      </w:r>
      <w:r w:rsidR="00263AE4" w:rsidRPr="004A5560">
        <w:rPr>
          <w:sz w:val="22"/>
          <w:lang w:val="en-GB"/>
        </w:rPr>
        <w:t>9</w:t>
      </w:r>
      <w:r w:rsidR="00083C0C">
        <w:rPr>
          <w:sz w:val="22"/>
          <w:lang w:val="en-GB"/>
        </w:rPr>
        <w:t>2</w:t>
      </w:r>
      <w:r w:rsidR="00680760">
        <w:rPr>
          <w:sz w:val="22"/>
          <w:lang w:val="en-GB"/>
        </w:rPr>
        <w:t xml:space="preserve"> percent</w:t>
      </w:r>
      <w:r w:rsidR="00224F28" w:rsidRPr="004A5560">
        <w:rPr>
          <w:sz w:val="22"/>
          <w:lang w:val="en-GB"/>
        </w:rPr>
        <w:t xml:space="preserve"> in 201</w:t>
      </w:r>
      <w:r w:rsidR="00182AB1">
        <w:rPr>
          <w:sz w:val="22"/>
          <w:lang w:val="en-GB"/>
        </w:rPr>
        <w:t>7</w:t>
      </w:r>
      <w:r w:rsidR="00224F28" w:rsidRPr="004A5560">
        <w:rPr>
          <w:sz w:val="22"/>
          <w:lang w:val="en-GB"/>
        </w:rPr>
        <w:t xml:space="preserve"> </w:t>
      </w:r>
      <w:r w:rsidR="004A5560">
        <w:rPr>
          <w:sz w:val="22"/>
          <w:lang w:val="en-GB"/>
        </w:rPr>
        <w:t xml:space="preserve">compared to </w:t>
      </w:r>
      <w:r w:rsidR="00750E6A" w:rsidRPr="004A5560">
        <w:rPr>
          <w:sz w:val="22"/>
          <w:lang w:val="en-GB"/>
        </w:rPr>
        <w:t>9</w:t>
      </w:r>
      <w:r w:rsidR="00182AB1">
        <w:rPr>
          <w:sz w:val="22"/>
          <w:lang w:val="en-GB"/>
        </w:rPr>
        <w:t>3</w:t>
      </w:r>
      <w:r w:rsidR="00680760">
        <w:rPr>
          <w:sz w:val="22"/>
          <w:lang w:val="en-GB"/>
        </w:rPr>
        <w:t xml:space="preserve"> percent</w:t>
      </w:r>
      <w:r w:rsidR="00750E6A" w:rsidRPr="004A5560">
        <w:rPr>
          <w:sz w:val="22"/>
          <w:lang w:val="en-GB"/>
        </w:rPr>
        <w:t xml:space="preserve"> in 201</w:t>
      </w:r>
      <w:r w:rsidR="00182AB1">
        <w:rPr>
          <w:sz w:val="22"/>
          <w:lang w:val="en-GB"/>
        </w:rPr>
        <w:t>6</w:t>
      </w:r>
      <w:r w:rsidR="00CE5744">
        <w:rPr>
          <w:sz w:val="22"/>
          <w:lang w:val="en-GB"/>
        </w:rPr>
        <w:t>. This is above the annual target of 90</w:t>
      </w:r>
      <w:r w:rsidR="00680760">
        <w:rPr>
          <w:sz w:val="22"/>
          <w:lang w:val="en-GB"/>
        </w:rPr>
        <w:t xml:space="preserve"> percent</w:t>
      </w:r>
      <w:r w:rsidR="00750E6A" w:rsidRPr="004A5560">
        <w:rPr>
          <w:sz w:val="22"/>
          <w:lang w:val="en-GB"/>
        </w:rPr>
        <w:t>.</w:t>
      </w:r>
      <w:r w:rsidR="00CE5744">
        <w:rPr>
          <w:sz w:val="22"/>
          <w:lang w:val="en-GB"/>
        </w:rPr>
        <w:t xml:space="preserve"> </w:t>
      </w:r>
    </w:p>
    <w:p w14:paraId="6CC42EEB" w14:textId="6732B370" w:rsidR="007B46A3" w:rsidRDefault="00750E6A" w:rsidP="004A5560">
      <w:pPr>
        <w:tabs>
          <w:tab w:val="left" w:pos="426"/>
        </w:tabs>
        <w:jc w:val="both"/>
        <w:rPr>
          <w:sz w:val="22"/>
          <w:lang w:val="en-GB"/>
        </w:rPr>
      </w:pPr>
      <w:r w:rsidRPr="004A5560">
        <w:rPr>
          <w:sz w:val="22"/>
          <w:lang w:val="en-GB"/>
        </w:rPr>
        <w:t xml:space="preserve">The total number of open recommendations </w:t>
      </w:r>
      <w:r w:rsidR="00263AE4" w:rsidRPr="004A5560">
        <w:rPr>
          <w:sz w:val="22"/>
          <w:lang w:val="en-GB"/>
        </w:rPr>
        <w:t>increased from</w:t>
      </w:r>
      <w:r w:rsidRPr="004A5560">
        <w:rPr>
          <w:sz w:val="22"/>
          <w:lang w:val="en-GB"/>
        </w:rPr>
        <w:t xml:space="preserve"> </w:t>
      </w:r>
      <w:r w:rsidR="00182AB1">
        <w:rPr>
          <w:sz w:val="22"/>
          <w:lang w:val="en-GB"/>
        </w:rPr>
        <w:t xml:space="preserve">262 </w:t>
      </w:r>
      <w:r w:rsidRPr="004A5560">
        <w:rPr>
          <w:sz w:val="22"/>
          <w:lang w:val="en-GB"/>
        </w:rPr>
        <w:t>at the end of 201</w:t>
      </w:r>
      <w:r w:rsidR="00182AB1">
        <w:rPr>
          <w:sz w:val="22"/>
          <w:lang w:val="en-GB"/>
        </w:rPr>
        <w:t>6</w:t>
      </w:r>
      <w:r w:rsidR="00263AE4" w:rsidRPr="004A5560">
        <w:rPr>
          <w:sz w:val="22"/>
          <w:lang w:val="en-GB"/>
        </w:rPr>
        <w:t xml:space="preserve"> to </w:t>
      </w:r>
      <w:r w:rsidR="00A5449B">
        <w:rPr>
          <w:sz w:val="22"/>
          <w:lang w:val="en-GB"/>
        </w:rPr>
        <w:t>358</w:t>
      </w:r>
      <w:r w:rsidR="00263AE4" w:rsidRPr="004A5560">
        <w:rPr>
          <w:sz w:val="22"/>
          <w:lang w:val="en-GB"/>
        </w:rPr>
        <w:t xml:space="preserve"> at the end of 201</w:t>
      </w:r>
      <w:r w:rsidR="00182AB1">
        <w:rPr>
          <w:sz w:val="22"/>
          <w:lang w:val="en-GB"/>
        </w:rPr>
        <w:t>7</w:t>
      </w:r>
      <w:r w:rsidR="00C82857" w:rsidRPr="004A5560">
        <w:rPr>
          <w:sz w:val="22"/>
          <w:lang w:val="en-GB"/>
        </w:rPr>
        <w:t>.</w:t>
      </w:r>
      <w:r w:rsidR="00263AE4" w:rsidRPr="004A5560">
        <w:rPr>
          <w:sz w:val="22"/>
          <w:lang w:val="en-GB"/>
        </w:rPr>
        <w:t xml:space="preserve"> </w:t>
      </w:r>
      <w:r w:rsidR="007B46A3">
        <w:rPr>
          <w:sz w:val="22"/>
          <w:lang w:val="en-GB"/>
        </w:rPr>
        <w:t>Management notes the continued high number of internal audit recommendation</w:t>
      </w:r>
      <w:r w:rsidR="00A5449B">
        <w:rPr>
          <w:sz w:val="22"/>
          <w:lang w:val="en-GB"/>
        </w:rPr>
        <w:t>s</w:t>
      </w:r>
      <w:r w:rsidR="007B46A3">
        <w:rPr>
          <w:sz w:val="22"/>
          <w:lang w:val="en-GB"/>
        </w:rPr>
        <w:t xml:space="preserve"> issued during the f</w:t>
      </w:r>
      <w:r w:rsidR="00FB7C04">
        <w:rPr>
          <w:sz w:val="22"/>
          <w:lang w:val="en-GB"/>
        </w:rPr>
        <w:t>inal weeks of the calendar year, with over 50</w:t>
      </w:r>
      <w:r w:rsidR="00680760">
        <w:rPr>
          <w:sz w:val="22"/>
          <w:lang w:val="en-GB"/>
        </w:rPr>
        <w:t xml:space="preserve"> percent</w:t>
      </w:r>
      <w:r w:rsidR="00FB7C04">
        <w:rPr>
          <w:sz w:val="22"/>
          <w:lang w:val="en-GB"/>
        </w:rPr>
        <w:t xml:space="preserve"> of </w:t>
      </w:r>
      <w:r w:rsidR="00427401">
        <w:rPr>
          <w:sz w:val="22"/>
          <w:lang w:val="en-GB"/>
        </w:rPr>
        <w:t xml:space="preserve">the </w:t>
      </w:r>
      <w:r w:rsidR="00FB7C04">
        <w:rPr>
          <w:sz w:val="22"/>
          <w:lang w:val="en-GB"/>
        </w:rPr>
        <w:t xml:space="preserve">recommendations issued during </w:t>
      </w:r>
      <w:r w:rsidR="00D80899">
        <w:rPr>
          <w:sz w:val="22"/>
          <w:lang w:val="en-GB"/>
        </w:rPr>
        <w:t xml:space="preserve">the last three months of </w:t>
      </w:r>
      <w:r w:rsidR="00D120BA">
        <w:rPr>
          <w:sz w:val="22"/>
          <w:lang w:val="en-GB"/>
        </w:rPr>
        <w:t>2017</w:t>
      </w:r>
      <w:r w:rsidR="00D80899">
        <w:rPr>
          <w:sz w:val="22"/>
          <w:lang w:val="en-GB"/>
        </w:rPr>
        <w:t xml:space="preserve"> alone.</w:t>
      </w:r>
    </w:p>
    <w:p w14:paraId="10A651A6" w14:textId="56D9F6A2" w:rsidR="00F9619E" w:rsidRDefault="00750E6A" w:rsidP="004A5560">
      <w:pPr>
        <w:tabs>
          <w:tab w:val="left" w:pos="426"/>
        </w:tabs>
        <w:jc w:val="both"/>
        <w:rPr>
          <w:sz w:val="22"/>
          <w:lang w:val="en-GB"/>
        </w:rPr>
      </w:pPr>
      <w:r w:rsidRPr="004A5560">
        <w:rPr>
          <w:sz w:val="22"/>
          <w:lang w:val="en-GB"/>
        </w:rPr>
        <w:t xml:space="preserve">Continuing the process which was initiated in 2011, management made coordinated efforts to address outstanding aged audit recommendations </w:t>
      </w:r>
      <w:r w:rsidR="00E8753B" w:rsidRPr="004A5560">
        <w:rPr>
          <w:sz w:val="22"/>
          <w:lang w:val="en-GB"/>
        </w:rPr>
        <w:t>in 201</w:t>
      </w:r>
      <w:r w:rsidR="00182AB1">
        <w:rPr>
          <w:sz w:val="22"/>
          <w:lang w:val="en-GB"/>
        </w:rPr>
        <w:t>7</w:t>
      </w:r>
      <w:r w:rsidRPr="004A5560">
        <w:rPr>
          <w:sz w:val="22"/>
          <w:lang w:val="en-GB"/>
        </w:rPr>
        <w:t xml:space="preserve">. </w:t>
      </w:r>
      <w:r w:rsidR="00A5449B">
        <w:rPr>
          <w:sz w:val="22"/>
          <w:lang w:val="en-GB"/>
        </w:rPr>
        <w:t>D</w:t>
      </w:r>
      <w:r w:rsidR="00182AB1">
        <w:rPr>
          <w:sz w:val="22"/>
          <w:lang w:val="en-GB"/>
        </w:rPr>
        <w:t xml:space="preserve">ue to the </w:t>
      </w:r>
      <w:r w:rsidR="00427401">
        <w:rPr>
          <w:sz w:val="22"/>
          <w:lang w:val="en-GB"/>
        </w:rPr>
        <w:t>technical</w:t>
      </w:r>
      <w:r w:rsidR="00182AB1">
        <w:rPr>
          <w:sz w:val="22"/>
          <w:lang w:val="en-GB"/>
        </w:rPr>
        <w:t xml:space="preserve"> nature of a number of recommendations, pertaining to </w:t>
      </w:r>
      <w:r w:rsidR="00427401">
        <w:rPr>
          <w:sz w:val="22"/>
          <w:lang w:val="en-GB"/>
        </w:rPr>
        <w:t xml:space="preserve">an assessment of </w:t>
      </w:r>
      <w:r w:rsidR="00182AB1">
        <w:rPr>
          <w:sz w:val="22"/>
          <w:lang w:val="en-GB"/>
        </w:rPr>
        <w:t>UNOPS Cyber Security and Infrastructure Processes,</w:t>
      </w:r>
      <w:r w:rsidRPr="004A5560">
        <w:rPr>
          <w:sz w:val="22"/>
          <w:lang w:val="en-GB"/>
        </w:rPr>
        <w:t xml:space="preserve"> the number of open recommendations </w:t>
      </w:r>
      <w:r w:rsidR="004A61B3">
        <w:rPr>
          <w:sz w:val="22"/>
          <w:lang w:val="en-GB"/>
        </w:rPr>
        <w:t>that had been open for</w:t>
      </w:r>
      <w:r w:rsidRPr="004A5560">
        <w:rPr>
          <w:sz w:val="22"/>
          <w:lang w:val="en-GB"/>
        </w:rPr>
        <w:t xml:space="preserve"> more than 18 months since date of issuance </w:t>
      </w:r>
      <w:r w:rsidR="00427401">
        <w:rPr>
          <w:sz w:val="22"/>
          <w:lang w:val="en-GB"/>
        </w:rPr>
        <w:t>saw a slight</w:t>
      </w:r>
      <w:r w:rsidR="004A61B3">
        <w:rPr>
          <w:sz w:val="22"/>
          <w:lang w:val="en-GB"/>
        </w:rPr>
        <w:t xml:space="preserve"> increase</w:t>
      </w:r>
      <w:r w:rsidR="00427401">
        <w:rPr>
          <w:sz w:val="22"/>
          <w:lang w:val="en-GB"/>
        </w:rPr>
        <w:t xml:space="preserve"> from two</w:t>
      </w:r>
      <w:r w:rsidR="004A61B3">
        <w:rPr>
          <w:sz w:val="22"/>
          <w:lang w:val="en-GB"/>
        </w:rPr>
        <w:t xml:space="preserve"> to </w:t>
      </w:r>
      <w:r w:rsidR="004A61B3" w:rsidRPr="00A5449B">
        <w:rPr>
          <w:sz w:val="22"/>
          <w:lang w:val="en-GB"/>
        </w:rPr>
        <w:t>12</w:t>
      </w:r>
      <w:r w:rsidR="00182AB1">
        <w:rPr>
          <w:sz w:val="22"/>
          <w:lang w:val="en-GB"/>
        </w:rPr>
        <w:t xml:space="preserve"> by the end of 2017</w:t>
      </w:r>
      <w:r w:rsidR="00E8753B" w:rsidRPr="004A5560">
        <w:rPr>
          <w:sz w:val="22"/>
          <w:lang w:val="en-GB"/>
        </w:rPr>
        <w:t>.</w:t>
      </w:r>
      <w:r w:rsidR="00CF6B58">
        <w:rPr>
          <w:sz w:val="22"/>
          <w:lang w:val="en-GB"/>
        </w:rPr>
        <w:t xml:space="preserve"> As of quarter one</w:t>
      </w:r>
      <w:r w:rsidR="00D120BA">
        <w:rPr>
          <w:sz w:val="22"/>
          <w:lang w:val="en-GB"/>
        </w:rPr>
        <w:t xml:space="preserve"> 2018, </w:t>
      </w:r>
      <w:r w:rsidR="00427401">
        <w:rPr>
          <w:sz w:val="22"/>
          <w:lang w:val="en-GB"/>
        </w:rPr>
        <w:t>5</w:t>
      </w:r>
      <w:r w:rsidR="00D120BA">
        <w:rPr>
          <w:sz w:val="22"/>
          <w:lang w:val="en-GB"/>
        </w:rPr>
        <w:t xml:space="preserve"> of these had been closed, indicating the continued focussed efforts by management.</w:t>
      </w:r>
    </w:p>
    <w:p w14:paraId="4FAF73B5" w14:textId="3B998C37" w:rsidR="00CB729B" w:rsidRPr="00AA11CA" w:rsidRDefault="00964A6C" w:rsidP="00D120BA">
      <w:pPr>
        <w:pStyle w:val="Heading2"/>
      </w:pPr>
      <w:bookmarkStart w:id="36" w:name="_Toc320111341"/>
      <w:bookmarkStart w:id="37" w:name="_Toc445816822"/>
      <w:bookmarkStart w:id="38" w:name="_Toc445817104"/>
      <w:bookmarkStart w:id="39" w:name="_Toc447626873"/>
      <w:bookmarkStart w:id="40" w:name="_Toc512590054"/>
      <w:r w:rsidRPr="00AA11CA">
        <w:t>IAIG I</w:t>
      </w:r>
      <w:r w:rsidR="00B46C79" w:rsidRPr="00AA11CA">
        <w:t>nternal audits</w:t>
      </w:r>
      <w:bookmarkEnd w:id="36"/>
      <w:bookmarkEnd w:id="37"/>
      <w:bookmarkEnd w:id="38"/>
      <w:bookmarkEnd w:id="39"/>
      <w:bookmarkEnd w:id="40"/>
    </w:p>
    <w:p w14:paraId="7D6BA224" w14:textId="365BFBBB" w:rsidR="00C947A8" w:rsidRDefault="009125FB" w:rsidP="009309EB">
      <w:pPr>
        <w:keepNext/>
        <w:tabs>
          <w:tab w:val="left" w:pos="426"/>
        </w:tabs>
        <w:jc w:val="both"/>
        <w:rPr>
          <w:sz w:val="22"/>
          <w:lang w:val="en-GB"/>
        </w:rPr>
      </w:pPr>
      <w:r w:rsidRPr="009309EB">
        <w:rPr>
          <w:sz w:val="22"/>
          <w:lang w:val="en-GB"/>
        </w:rPr>
        <w:t>In</w:t>
      </w:r>
      <w:r w:rsidR="00E04891" w:rsidRPr="009309EB">
        <w:rPr>
          <w:sz w:val="22"/>
          <w:lang w:val="en-GB"/>
        </w:rPr>
        <w:t xml:space="preserve"> 201</w:t>
      </w:r>
      <w:r w:rsidR="00265ABB">
        <w:rPr>
          <w:sz w:val="22"/>
          <w:lang w:val="en-GB"/>
        </w:rPr>
        <w:t>7</w:t>
      </w:r>
      <w:r w:rsidRPr="009309EB">
        <w:rPr>
          <w:sz w:val="22"/>
          <w:lang w:val="en-GB"/>
        </w:rPr>
        <w:t>, IAIG au</w:t>
      </w:r>
      <w:r w:rsidR="00E04891" w:rsidRPr="009309EB">
        <w:rPr>
          <w:sz w:val="22"/>
          <w:lang w:val="en-GB"/>
        </w:rPr>
        <w:t xml:space="preserve">dited </w:t>
      </w:r>
      <w:r w:rsidR="00D120BA">
        <w:rPr>
          <w:sz w:val="22"/>
          <w:lang w:val="en-GB"/>
        </w:rPr>
        <w:t>14</w:t>
      </w:r>
      <w:r w:rsidR="00BB74D4" w:rsidRPr="009309EB">
        <w:rPr>
          <w:sz w:val="22"/>
          <w:lang w:val="en-GB"/>
        </w:rPr>
        <w:t xml:space="preserve"> UNOPS country and multi-country</w:t>
      </w:r>
      <w:r w:rsidR="00FC787E" w:rsidRPr="009309EB">
        <w:rPr>
          <w:sz w:val="22"/>
          <w:lang w:val="en-GB"/>
        </w:rPr>
        <w:t xml:space="preserve"> business units</w:t>
      </w:r>
      <w:r w:rsidR="009309EB" w:rsidRPr="009309EB">
        <w:rPr>
          <w:sz w:val="22"/>
          <w:lang w:val="en-GB"/>
        </w:rPr>
        <w:t>.</w:t>
      </w:r>
      <w:r w:rsidR="004A5560" w:rsidRPr="009309EB">
        <w:rPr>
          <w:sz w:val="22"/>
          <w:lang w:val="en-GB"/>
        </w:rPr>
        <w:t xml:space="preserve"> </w:t>
      </w:r>
      <w:r w:rsidR="00F34345">
        <w:rPr>
          <w:sz w:val="22"/>
          <w:lang w:val="en-GB"/>
        </w:rPr>
        <w:t>In</w:t>
      </w:r>
      <w:r w:rsidR="00E04891" w:rsidRPr="009309EB">
        <w:rPr>
          <w:sz w:val="22"/>
          <w:lang w:val="en-GB"/>
        </w:rPr>
        <w:t xml:space="preserve"> </w:t>
      </w:r>
      <w:r w:rsidR="00F34345">
        <w:rPr>
          <w:sz w:val="22"/>
          <w:lang w:val="en-GB"/>
        </w:rPr>
        <w:t>six</w:t>
      </w:r>
      <w:r w:rsidR="00AE752A" w:rsidRPr="009309EB">
        <w:rPr>
          <w:sz w:val="22"/>
          <w:lang w:val="en-GB"/>
        </w:rPr>
        <w:t xml:space="preserve"> </w:t>
      </w:r>
      <w:r w:rsidR="003E04CD" w:rsidRPr="009309EB">
        <w:rPr>
          <w:sz w:val="22"/>
          <w:lang w:val="en-GB"/>
        </w:rPr>
        <w:t xml:space="preserve">business units, </w:t>
      </w:r>
      <w:r w:rsidR="00FC787E" w:rsidRPr="009309EB">
        <w:rPr>
          <w:sz w:val="22"/>
          <w:lang w:val="en-GB"/>
        </w:rPr>
        <w:t xml:space="preserve">the </w:t>
      </w:r>
      <w:r w:rsidR="00FB7C04">
        <w:rPr>
          <w:sz w:val="22"/>
          <w:lang w:val="en-GB"/>
        </w:rPr>
        <w:t>respective</w:t>
      </w:r>
      <w:r w:rsidR="00FC787E" w:rsidRPr="009309EB">
        <w:rPr>
          <w:sz w:val="22"/>
          <w:lang w:val="en-GB"/>
        </w:rPr>
        <w:t xml:space="preserve"> </w:t>
      </w:r>
      <w:r w:rsidR="005D7ED5" w:rsidRPr="009309EB">
        <w:rPr>
          <w:sz w:val="22"/>
          <w:lang w:val="en-GB"/>
        </w:rPr>
        <w:t>internal control</w:t>
      </w:r>
      <w:r w:rsidR="00695F1B" w:rsidRPr="009309EB">
        <w:rPr>
          <w:sz w:val="22"/>
          <w:lang w:val="en-GB"/>
        </w:rPr>
        <w:t>s</w:t>
      </w:r>
      <w:r w:rsidR="005D7ED5" w:rsidRPr="009309EB">
        <w:rPr>
          <w:sz w:val="22"/>
          <w:lang w:val="en-GB"/>
        </w:rPr>
        <w:t xml:space="preserve"> and risk management processes </w:t>
      </w:r>
      <w:r w:rsidR="00FC787E" w:rsidRPr="009309EB">
        <w:rPr>
          <w:sz w:val="22"/>
          <w:lang w:val="en-GB"/>
        </w:rPr>
        <w:t xml:space="preserve">were found to be </w:t>
      </w:r>
      <w:r w:rsidRPr="009309EB">
        <w:rPr>
          <w:sz w:val="22"/>
          <w:lang w:val="en-GB"/>
        </w:rPr>
        <w:t>partiall</w:t>
      </w:r>
      <w:r w:rsidR="00E04891" w:rsidRPr="009309EB">
        <w:rPr>
          <w:sz w:val="22"/>
          <w:lang w:val="en-GB"/>
        </w:rPr>
        <w:t>y satisfactory</w:t>
      </w:r>
      <w:r w:rsidRPr="009309EB">
        <w:rPr>
          <w:sz w:val="22"/>
          <w:lang w:val="en-GB"/>
        </w:rPr>
        <w:t>.</w:t>
      </w:r>
      <w:r w:rsidR="00BC6F57" w:rsidRPr="009309EB">
        <w:rPr>
          <w:sz w:val="22"/>
          <w:lang w:val="en-GB"/>
        </w:rPr>
        <w:t xml:space="preserve"> </w:t>
      </w:r>
      <w:r w:rsidR="00C947A8" w:rsidRPr="009309EB">
        <w:rPr>
          <w:sz w:val="22"/>
          <w:lang w:val="en-GB"/>
        </w:rPr>
        <w:t>Management notes the value of the ratings and is taking action to ensure that adequate internal controls, governance and risk management processes are established.</w:t>
      </w:r>
    </w:p>
    <w:p w14:paraId="4B6A2E5C" w14:textId="6DB61851" w:rsidR="00896EA7" w:rsidRDefault="00C947A8" w:rsidP="009309EB">
      <w:pPr>
        <w:keepNext/>
        <w:tabs>
          <w:tab w:val="left" w:pos="426"/>
        </w:tabs>
        <w:jc w:val="both"/>
        <w:rPr>
          <w:sz w:val="22"/>
          <w:lang w:val="en-GB"/>
        </w:rPr>
      </w:pPr>
      <w:r>
        <w:rPr>
          <w:sz w:val="22"/>
          <w:lang w:val="en-GB"/>
        </w:rPr>
        <w:t>Management notes that one report f</w:t>
      </w:r>
      <w:r w:rsidR="00F34345">
        <w:rPr>
          <w:sz w:val="22"/>
          <w:lang w:val="en-GB"/>
        </w:rPr>
        <w:t xml:space="preserve">ound the adequacy and effectiveness of governance, risk management and control processes to be unsatisfactory. </w:t>
      </w:r>
      <w:r>
        <w:rPr>
          <w:sz w:val="22"/>
          <w:lang w:val="en-GB"/>
        </w:rPr>
        <w:t>Management is committed to ensure a timely response</w:t>
      </w:r>
      <w:r w:rsidR="00427401">
        <w:rPr>
          <w:sz w:val="22"/>
          <w:lang w:val="en-GB"/>
        </w:rPr>
        <w:t xml:space="preserve"> to the related recommendations, and has instilled the need for timely and focused action upon the responsible managers.</w:t>
      </w:r>
    </w:p>
    <w:p w14:paraId="359346D3" w14:textId="18DDFA91" w:rsidR="00427401" w:rsidRDefault="000243C8" w:rsidP="000243C8">
      <w:pPr>
        <w:tabs>
          <w:tab w:val="left" w:pos="426"/>
        </w:tabs>
        <w:jc w:val="both"/>
        <w:rPr>
          <w:sz w:val="22"/>
        </w:rPr>
      </w:pPr>
      <w:r>
        <w:rPr>
          <w:sz w:val="22"/>
        </w:rPr>
        <w:t>Management notes the refinement of rating categories of the overall level of internal control, as introduced by IAIG during the 2017 work plan cycle.</w:t>
      </w:r>
    </w:p>
    <w:tbl>
      <w:tblPr>
        <w:tblW w:w="8930" w:type="dxa"/>
        <w:tblInd w:w="403" w:type="dxa"/>
        <w:tblLayout w:type="fixed"/>
        <w:tblLook w:val="04A0" w:firstRow="1" w:lastRow="0" w:firstColumn="1" w:lastColumn="0" w:noHBand="0" w:noVBand="1"/>
      </w:tblPr>
      <w:tblGrid>
        <w:gridCol w:w="5351"/>
        <w:gridCol w:w="1728"/>
        <w:gridCol w:w="1851"/>
      </w:tblGrid>
      <w:tr w:rsidR="00BE5D27" w:rsidRPr="00BE5D27" w14:paraId="3C3C7F41" w14:textId="77777777" w:rsidTr="00801964">
        <w:trPr>
          <w:trHeight w:val="340"/>
        </w:trPr>
        <w:tc>
          <w:tcPr>
            <w:tcW w:w="8930" w:type="dxa"/>
            <w:gridSpan w:val="3"/>
            <w:tcBorders>
              <w:top w:val="double" w:sz="6" w:space="0" w:color="auto"/>
              <w:left w:val="double" w:sz="6" w:space="0" w:color="auto"/>
              <w:bottom w:val="double" w:sz="6" w:space="0" w:color="auto"/>
              <w:right w:val="double" w:sz="6" w:space="0" w:color="000000"/>
            </w:tcBorders>
            <w:shd w:val="clear" w:color="000000" w:fill="FFFFFF"/>
            <w:noWrap/>
            <w:vAlign w:val="center"/>
            <w:hideMark/>
          </w:tcPr>
          <w:p w14:paraId="1BF90B8A" w14:textId="2A0FAFD4" w:rsidR="00F218E4" w:rsidRPr="00F34345" w:rsidRDefault="00F218E4" w:rsidP="00F34345">
            <w:pPr>
              <w:pStyle w:val="NoSpacing"/>
              <w:rPr>
                <w:b/>
                <w:lang w:val="en-GB" w:eastAsia="en-GB"/>
              </w:rPr>
            </w:pPr>
            <w:r w:rsidRPr="00F34345">
              <w:rPr>
                <w:b/>
                <w:lang w:val="en-GB" w:eastAsia="en-GB"/>
              </w:rPr>
              <w:lastRenderedPageBreak/>
              <w:t>Table 3: Overal</w:t>
            </w:r>
            <w:r w:rsidR="007D25B4">
              <w:rPr>
                <w:b/>
                <w:lang w:val="en-GB" w:eastAsia="en-GB"/>
              </w:rPr>
              <w:t>l rating of IAIG internal audit reports</w:t>
            </w:r>
            <w:r w:rsidRPr="00F34345">
              <w:rPr>
                <w:b/>
                <w:lang w:val="en-GB" w:eastAsia="en-GB"/>
              </w:rPr>
              <w:t>*</w:t>
            </w:r>
          </w:p>
        </w:tc>
      </w:tr>
      <w:tr w:rsidR="00BE5D27" w:rsidRPr="00BE5D27" w14:paraId="30FBC7B8" w14:textId="77777777" w:rsidTr="00801964">
        <w:trPr>
          <w:trHeight w:val="340"/>
        </w:trPr>
        <w:tc>
          <w:tcPr>
            <w:tcW w:w="5351" w:type="dxa"/>
            <w:tcBorders>
              <w:top w:val="nil"/>
              <w:left w:val="double" w:sz="6" w:space="0" w:color="auto"/>
              <w:bottom w:val="single" w:sz="8" w:space="0" w:color="auto"/>
              <w:right w:val="single" w:sz="8" w:space="0" w:color="auto"/>
            </w:tcBorders>
            <w:shd w:val="clear" w:color="000000" w:fill="FFFFFF"/>
            <w:noWrap/>
            <w:vAlign w:val="center"/>
            <w:hideMark/>
          </w:tcPr>
          <w:p w14:paraId="77EABD72" w14:textId="77777777" w:rsidR="00F22F62" w:rsidRPr="00F34345" w:rsidRDefault="00F22F62" w:rsidP="00F34345">
            <w:pPr>
              <w:pStyle w:val="NoSpacing"/>
              <w:rPr>
                <w:b/>
                <w:lang w:val="en-GB" w:eastAsia="en-GB"/>
              </w:rPr>
            </w:pPr>
            <w:r w:rsidRPr="00F34345">
              <w:rPr>
                <w:b/>
                <w:lang w:val="en-GB" w:eastAsia="en-GB"/>
              </w:rPr>
              <w:t>Year issued</w:t>
            </w:r>
          </w:p>
        </w:tc>
        <w:tc>
          <w:tcPr>
            <w:tcW w:w="1728" w:type="dxa"/>
            <w:tcBorders>
              <w:top w:val="nil"/>
              <w:left w:val="nil"/>
              <w:bottom w:val="single" w:sz="8" w:space="0" w:color="auto"/>
              <w:right w:val="single" w:sz="8" w:space="0" w:color="auto"/>
            </w:tcBorders>
            <w:shd w:val="clear" w:color="000000" w:fill="FFFFFF"/>
            <w:noWrap/>
            <w:vAlign w:val="center"/>
            <w:hideMark/>
          </w:tcPr>
          <w:p w14:paraId="0372C0A5" w14:textId="462A1B95" w:rsidR="00F22F62" w:rsidRPr="00F34345" w:rsidRDefault="00B178BA" w:rsidP="00C04E1A">
            <w:pPr>
              <w:pStyle w:val="NoSpacing"/>
              <w:jc w:val="center"/>
              <w:rPr>
                <w:b/>
                <w:lang w:val="en-GB" w:eastAsia="en-GB"/>
              </w:rPr>
            </w:pPr>
            <w:r w:rsidRPr="00F34345">
              <w:rPr>
                <w:b/>
                <w:lang w:val="en-GB" w:eastAsia="en-GB"/>
              </w:rPr>
              <w:t>201</w:t>
            </w:r>
            <w:r w:rsidR="00C04E1A">
              <w:rPr>
                <w:b/>
                <w:lang w:val="en-GB" w:eastAsia="en-GB"/>
              </w:rPr>
              <w:t>6</w:t>
            </w:r>
          </w:p>
        </w:tc>
        <w:tc>
          <w:tcPr>
            <w:tcW w:w="1851" w:type="dxa"/>
            <w:tcBorders>
              <w:top w:val="nil"/>
              <w:left w:val="nil"/>
              <w:bottom w:val="single" w:sz="8" w:space="0" w:color="auto"/>
              <w:right w:val="double" w:sz="6" w:space="0" w:color="auto"/>
            </w:tcBorders>
            <w:shd w:val="clear" w:color="000000" w:fill="FFFFFF"/>
            <w:noWrap/>
            <w:vAlign w:val="center"/>
            <w:hideMark/>
          </w:tcPr>
          <w:p w14:paraId="645521BA" w14:textId="4FD58529" w:rsidR="00F22F62" w:rsidRPr="00F34345" w:rsidRDefault="00B178BA" w:rsidP="00C04E1A">
            <w:pPr>
              <w:pStyle w:val="NoSpacing"/>
              <w:jc w:val="center"/>
              <w:rPr>
                <w:b/>
                <w:lang w:val="en-GB" w:eastAsia="en-GB"/>
              </w:rPr>
            </w:pPr>
            <w:r w:rsidRPr="00F34345">
              <w:rPr>
                <w:b/>
                <w:lang w:val="en-GB" w:eastAsia="en-GB"/>
              </w:rPr>
              <w:t>2</w:t>
            </w:r>
            <w:r w:rsidR="00C04E1A">
              <w:rPr>
                <w:b/>
                <w:lang w:val="en-GB" w:eastAsia="en-GB"/>
              </w:rPr>
              <w:t>017</w:t>
            </w:r>
          </w:p>
        </w:tc>
      </w:tr>
      <w:tr w:rsidR="00BE5D27" w:rsidRPr="00BE5D27" w14:paraId="38FACFA9" w14:textId="77777777" w:rsidTr="00801964">
        <w:trPr>
          <w:trHeight w:val="283"/>
        </w:trPr>
        <w:tc>
          <w:tcPr>
            <w:tcW w:w="5351" w:type="dxa"/>
            <w:tcBorders>
              <w:top w:val="nil"/>
              <w:left w:val="double" w:sz="6" w:space="0" w:color="auto"/>
              <w:bottom w:val="nil"/>
              <w:right w:val="single" w:sz="8" w:space="0" w:color="auto"/>
            </w:tcBorders>
            <w:shd w:val="clear" w:color="000000" w:fill="FFFFFF"/>
            <w:noWrap/>
            <w:vAlign w:val="center"/>
            <w:hideMark/>
          </w:tcPr>
          <w:p w14:paraId="4629ADF1" w14:textId="77777777" w:rsidR="00F22F62" w:rsidRPr="00B911B7" w:rsidRDefault="00F22F62" w:rsidP="00F34345">
            <w:pPr>
              <w:pStyle w:val="NoSpacing"/>
              <w:rPr>
                <w:lang w:val="en-GB" w:eastAsia="en-GB"/>
              </w:rPr>
            </w:pPr>
            <w:r w:rsidRPr="00B911B7">
              <w:rPr>
                <w:lang w:val="en-GB" w:eastAsia="en-GB"/>
              </w:rPr>
              <w:t>Satisfactory</w:t>
            </w:r>
          </w:p>
        </w:tc>
        <w:tc>
          <w:tcPr>
            <w:tcW w:w="1728" w:type="dxa"/>
            <w:tcBorders>
              <w:top w:val="nil"/>
              <w:left w:val="nil"/>
              <w:bottom w:val="nil"/>
              <w:right w:val="single" w:sz="8" w:space="0" w:color="auto"/>
            </w:tcBorders>
            <w:shd w:val="clear" w:color="000000" w:fill="FFFFFF"/>
            <w:noWrap/>
            <w:vAlign w:val="center"/>
            <w:hideMark/>
          </w:tcPr>
          <w:p w14:paraId="4802D70F" w14:textId="764BE9E7" w:rsidR="00F22F62" w:rsidRPr="00B911B7" w:rsidRDefault="00C04E1A" w:rsidP="00C04E1A">
            <w:pPr>
              <w:pStyle w:val="NoSpacing"/>
              <w:jc w:val="center"/>
              <w:rPr>
                <w:lang w:val="en-GB" w:eastAsia="en-GB"/>
              </w:rPr>
            </w:pPr>
            <w:r>
              <w:rPr>
                <w:lang w:val="en-GB" w:eastAsia="en-GB"/>
              </w:rPr>
              <w:t>5</w:t>
            </w:r>
          </w:p>
        </w:tc>
        <w:tc>
          <w:tcPr>
            <w:tcW w:w="1851" w:type="dxa"/>
            <w:tcBorders>
              <w:top w:val="nil"/>
              <w:left w:val="nil"/>
              <w:bottom w:val="nil"/>
              <w:right w:val="double" w:sz="6" w:space="0" w:color="auto"/>
            </w:tcBorders>
            <w:shd w:val="clear" w:color="000000" w:fill="FFFFFF"/>
            <w:noWrap/>
            <w:vAlign w:val="center"/>
            <w:hideMark/>
          </w:tcPr>
          <w:p w14:paraId="3001327E" w14:textId="565958DC" w:rsidR="00F22F62" w:rsidRPr="00B911B7" w:rsidRDefault="00C04E1A" w:rsidP="00C04E1A">
            <w:pPr>
              <w:pStyle w:val="NoSpacing"/>
              <w:jc w:val="center"/>
              <w:rPr>
                <w:lang w:val="en-GB" w:eastAsia="en-GB"/>
              </w:rPr>
            </w:pPr>
            <w:r>
              <w:rPr>
                <w:lang w:val="en-GB" w:eastAsia="en-GB"/>
              </w:rPr>
              <w:t>0</w:t>
            </w:r>
          </w:p>
        </w:tc>
      </w:tr>
      <w:tr w:rsidR="00BE5D27" w:rsidRPr="00BE5D27" w14:paraId="3B956FD5" w14:textId="77777777" w:rsidTr="00801964">
        <w:trPr>
          <w:trHeight w:val="283"/>
        </w:trPr>
        <w:tc>
          <w:tcPr>
            <w:tcW w:w="5351" w:type="dxa"/>
            <w:tcBorders>
              <w:top w:val="nil"/>
              <w:left w:val="double" w:sz="6" w:space="0" w:color="auto"/>
              <w:bottom w:val="nil"/>
              <w:right w:val="single" w:sz="8" w:space="0" w:color="auto"/>
            </w:tcBorders>
            <w:shd w:val="clear" w:color="000000" w:fill="FFFFFF"/>
            <w:noWrap/>
            <w:vAlign w:val="center"/>
            <w:hideMark/>
          </w:tcPr>
          <w:p w14:paraId="08FD4F9A" w14:textId="77777777" w:rsidR="00F22F62" w:rsidRPr="00B911B7" w:rsidRDefault="00F22F62" w:rsidP="00F34345">
            <w:pPr>
              <w:pStyle w:val="NoSpacing"/>
              <w:rPr>
                <w:lang w:val="en-GB" w:eastAsia="en-GB"/>
              </w:rPr>
            </w:pPr>
            <w:r w:rsidRPr="00B911B7">
              <w:rPr>
                <w:lang w:val="en-GB" w:eastAsia="en-GB"/>
              </w:rPr>
              <w:t>Partially Satisfactory</w:t>
            </w:r>
          </w:p>
        </w:tc>
        <w:tc>
          <w:tcPr>
            <w:tcW w:w="1728" w:type="dxa"/>
            <w:tcBorders>
              <w:top w:val="nil"/>
              <w:left w:val="nil"/>
              <w:bottom w:val="nil"/>
              <w:right w:val="single" w:sz="8" w:space="0" w:color="auto"/>
            </w:tcBorders>
            <w:shd w:val="clear" w:color="000000" w:fill="FFFFFF"/>
            <w:noWrap/>
            <w:vAlign w:val="center"/>
            <w:hideMark/>
          </w:tcPr>
          <w:p w14:paraId="78E38C2D" w14:textId="6EEB93C7" w:rsidR="00F22F62" w:rsidRPr="00B911B7" w:rsidRDefault="00C04E1A" w:rsidP="00C04E1A">
            <w:pPr>
              <w:pStyle w:val="NoSpacing"/>
              <w:jc w:val="center"/>
              <w:rPr>
                <w:lang w:val="en-GB" w:eastAsia="en-GB"/>
              </w:rPr>
            </w:pPr>
            <w:r>
              <w:rPr>
                <w:lang w:val="en-GB" w:eastAsia="en-GB"/>
              </w:rPr>
              <w:t>2</w:t>
            </w:r>
          </w:p>
        </w:tc>
        <w:tc>
          <w:tcPr>
            <w:tcW w:w="1851" w:type="dxa"/>
            <w:tcBorders>
              <w:top w:val="nil"/>
              <w:left w:val="nil"/>
              <w:bottom w:val="nil"/>
              <w:right w:val="double" w:sz="6" w:space="0" w:color="auto"/>
            </w:tcBorders>
            <w:shd w:val="clear" w:color="000000" w:fill="FFFFFF"/>
            <w:noWrap/>
            <w:vAlign w:val="center"/>
            <w:hideMark/>
          </w:tcPr>
          <w:p w14:paraId="4C859441" w14:textId="2AEA3301" w:rsidR="00F22F62" w:rsidRPr="00B911B7" w:rsidRDefault="00403946" w:rsidP="00C04E1A">
            <w:pPr>
              <w:pStyle w:val="NoSpacing"/>
              <w:jc w:val="center"/>
              <w:rPr>
                <w:lang w:val="en-GB" w:eastAsia="en-GB"/>
              </w:rPr>
            </w:pPr>
            <w:r>
              <w:rPr>
                <w:lang w:val="en-GB" w:eastAsia="en-GB"/>
              </w:rPr>
              <w:t>N/A</w:t>
            </w:r>
          </w:p>
        </w:tc>
      </w:tr>
      <w:tr w:rsidR="00403946" w:rsidRPr="00BE5D27" w14:paraId="39460896" w14:textId="77777777" w:rsidTr="00801964">
        <w:trPr>
          <w:trHeight w:val="283"/>
        </w:trPr>
        <w:tc>
          <w:tcPr>
            <w:tcW w:w="5351" w:type="dxa"/>
            <w:tcBorders>
              <w:top w:val="nil"/>
              <w:left w:val="double" w:sz="6" w:space="0" w:color="auto"/>
              <w:bottom w:val="nil"/>
              <w:right w:val="single" w:sz="8" w:space="0" w:color="auto"/>
            </w:tcBorders>
            <w:shd w:val="clear" w:color="000000" w:fill="FFFFFF"/>
            <w:noWrap/>
            <w:vAlign w:val="center"/>
          </w:tcPr>
          <w:p w14:paraId="1366EF37" w14:textId="2971AD01" w:rsidR="00403946" w:rsidRPr="00B911B7" w:rsidRDefault="00403946" w:rsidP="00F34345">
            <w:pPr>
              <w:pStyle w:val="NoSpacing"/>
              <w:rPr>
                <w:lang w:val="en-GB" w:eastAsia="en-GB"/>
              </w:rPr>
            </w:pPr>
            <w:r>
              <w:rPr>
                <w:lang w:val="en-GB" w:eastAsia="en-GB"/>
              </w:rPr>
              <w:t>Partially Satisfactory (some improvements needed)</w:t>
            </w:r>
          </w:p>
        </w:tc>
        <w:tc>
          <w:tcPr>
            <w:tcW w:w="1728" w:type="dxa"/>
            <w:tcBorders>
              <w:top w:val="nil"/>
              <w:left w:val="nil"/>
              <w:bottom w:val="nil"/>
              <w:right w:val="single" w:sz="8" w:space="0" w:color="auto"/>
            </w:tcBorders>
            <w:shd w:val="clear" w:color="000000" w:fill="FFFFFF"/>
            <w:noWrap/>
            <w:vAlign w:val="center"/>
          </w:tcPr>
          <w:p w14:paraId="6EF3D889" w14:textId="58D3B7B7" w:rsidR="00403946" w:rsidRDefault="00403946" w:rsidP="00C04E1A">
            <w:pPr>
              <w:pStyle w:val="NoSpacing"/>
              <w:jc w:val="center"/>
              <w:rPr>
                <w:lang w:val="en-GB" w:eastAsia="en-GB"/>
              </w:rPr>
            </w:pPr>
            <w:r>
              <w:rPr>
                <w:lang w:val="en-GB" w:eastAsia="en-GB"/>
              </w:rPr>
              <w:t>N/A</w:t>
            </w:r>
          </w:p>
        </w:tc>
        <w:tc>
          <w:tcPr>
            <w:tcW w:w="1851" w:type="dxa"/>
            <w:tcBorders>
              <w:top w:val="nil"/>
              <w:left w:val="nil"/>
              <w:bottom w:val="nil"/>
              <w:right w:val="double" w:sz="6" w:space="0" w:color="auto"/>
            </w:tcBorders>
            <w:shd w:val="clear" w:color="000000" w:fill="FFFFFF"/>
            <w:noWrap/>
            <w:vAlign w:val="center"/>
          </w:tcPr>
          <w:p w14:paraId="1BC6EB85" w14:textId="3EAFE52A" w:rsidR="00403946" w:rsidRDefault="00403946" w:rsidP="00C04E1A">
            <w:pPr>
              <w:pStyle w:val="NoSpacing"/>
              <w:jc w:val="center"/>
              <w:rPr>
                <w:lang w:val="en-GB" w:eastAsia="en-GB"/>
              </w:rPr>
            </w:pPr>
            <w:r>
              <w:rPr>
                <w:lang w:val="en-GB" w:eastAsia="en-GB"/>
              </w:rPr>
              <w:t>2</w:t>
            </w:r>
          </w:p>
        </w:tc>
      </w:tr>
      <w:tr w:rsidR="00403946" w:rsidRPr="00BE5D27" w14:paraId="3ABCC956" w14:textId="77777777" w:rsidTr="00801964">
        <w:trPr>
          <w:trHeight w:val="283"/>
        </w:trPr>
        <w:tc>
          <w:tcPr>
            <w:tcW w:w="5351" w:type="dxa"/>
            <w:tcBorders>
              <w:top w:val="nil"/>
              <w:left w:val="double" w:sz="6" w:space="0" w:color="auto"/>
              <w:bottom w:val="nil"/>
              <w:right w:val="single" w:sz="8" w:space="0" w:color="auto"/>
            </w:tcBorders>
            <w:shd w:val="clear" w:color="000000" w:fill="FFFFFF"/>
            <w:noWrap/>
            <w:vAlign w:val="center"/>
          </w:tcPr>
          <w:p w14:paraId="2A65AE6E" w14:textId="1C859F07" w:rsidR="00403946" w:rsidRPr="00B911B7" w:rsidRDefault="00403946" w:rsidP="00F34345">
            <w:pPr>
              <w:pStyle w:val="NoSpacing"/>
              <w:rPr>
                <w:lang w:val="en-GB" w:eastAsia="en-GB"/>
              </w:rPr>
            </w:pPr>
            <w:r>
              <w:rPr>
                <w:lang w:val="en-GB" w:eastAsia="en-GB"/>
              </w:rPr>
              <w:t>Partially Satisfactory (major improvements needed)</w:t>
            </w:r>
          </w:p>
        </w:tc>
        <w:tc>
          <w:tcPr>
            <w:tcW w:w="1728" w:type="dxa"/>
            <w:tcBorders>
              <w:top w:val="nil"/>
              <w:left w:val="nil"/>
              <w:bottom w:val="nil"/>
              <w:right w:val="single" w:sz="8" w:space="0" w:color="auto"/>
            </w:tcBorders>
            <w:shd w:val="clear" w:color="000000" w:fill="FFFFFF"/>
            <w:noWrap/>
            <w:vAlign w:val="center"/>
          </w:tcPr>
          <w:p w14:paraId="19E1721A" w14:textId="39B00629" w:rsidR="00403946" w:rsidRDefault="00403946" w:rsidP="00C04E1A">
            <w:pPr>
              <w:pStyle w:val="NoSpacing"/>
              <w:jc w:val="center"/>
              <w:rPr>
                <w:lang w:val="en-GB" w:eastAsia="en-GB"/>
              </w:rPr>
            </w:pPr>
            <w:r>
              <w:rPr>
                <w:lang w:val="en-GB" w:eastAsia="en-GB"/>
              </w:rPr>
              <w:t>N/A</w:t>
            </w:r>
          </w:p>
        </w:tc>
        <w:tc>
          <w:tcPr>
            <w:tcW w:w="1851" w:type="dxa"/>
            <w:tcBorders>
              <w:top w:val="nil"/>
              <w:left w:val="nil"/>
              <w:bottom w:val="nil"/>
              <w:right w:val="double" w:sz="6" w:space="0" w:color="auto"/>
            </w:tcBorders>
            <w:shd w:val="clear" w:color="000000" w:fill="FFFFFF"/>
            <w:noWrap/>
            <w:vAlign w:val="center"/>
          </w:tcPr>
          <w:p w14:paraId="78E31580" w14:textId="35A3173A" w:rsidR="00403946" w:rsidRDefault="00403946" w:rsidP="00C04E1A">
            <w:pPr>
              <w:pStyle w:val="NoSpacing"/>
              <w:jc w:val="center"/>
              <w:rPr>
                <w:lang w:val="en-GB" w:eastAsia="en-GB"/>
              </w:rPr>
            </w:pPr>
            <w:r>
              <w:rPr>
                <w:lang w:val="en-GB" w:eastAsia="en-GB"/>
              </w:rPr>
              <w:t>4</w:t>
            </w:r>
          </w:p>
        </w:tc>
      </w:tr>
      <w:tr w:rsidR="00BE5D27" w:rsidRPr="00BE5D27" w14:paraId="707758A3" w14:textId="77777777" w:rsidTr="00801964">
        <w:trPr>
          <w:trHeight w:val="283"/>
        </w:trPr>
        <w:tc>
          <w:tcPr>
            <w:tcW w:w="5351" w:type="dxa"/>
            <w:tcBorders>
              <w:top w:val="nil"/>
              <w:left w:val="double" w:sz="6" w:space="0" w:color="auto"/>
              <w:bottom w:val="nil"/>
              <w:right w:val="single" w:sz="8" w:space="0" w:color="auto"/>
            </w:tcBorders>
            <w:shd w:val="clear" w:color="000000" w:fill="FFFFFF"/>
            <w:noWrap/>
            <w:vAlign w:val="center"/>
            <w:hideMark/>
          </w:tcPr>
          <w:p w14:paraId="6EF01FA2" w14:textId="77777777" w:rsidR="00F22F62" w:rsidRPr="00B911B7" w:rsidRDefault="00F22F62" w:rsidP="00F34345">
            <w:pPr>
              <w:pStyle w:val="NoSpacing"/>
              <w:rPr>
                <w:lang w:val="en-GB" w:eastAsia="en-GB"/>
              </w:rPr>
            </w:pPr>
            <w:r w:rsidRPr="00B911B7">
              <w:rPr>
                <w:lang w:val="en-GB" w:eastAsia="en-GB"/>
              </w:rPr>
              <w:t>Unsatisfactory</w:t>
            </w:r>
          </w:p>
        </w:tc>
        <w:tc>
          <w:tcPr>
            <w:tcW w:w="1728" w:type="dxa"/>
            <w:tcBorders>
              <w:top w:val="nil"/>
              <w:left w:val="nil"/>
              <w:bottom w:val="nil"/>
              <w:right w:val="single" w:sz="8" w:space="0" w:color="auto"/>
            </w:tcBorders>
            <w:shd w:val="clear" w:color="000000" w:fill="FFFFFF"/>
            <w:noWrap/>
            <w:vAlign w:val="center"/>
            <w:hideMark/>
          </w:tcPr>
          <w:p w14:paraId="0CFA8137" w14:textId="6E480C7E" w:rsidR="00F22F62" w:rsidRPr="00B911B7" w:rsidRDefault="00C04E1A" w:rsidP="00C04E1A">
            <w:pPr>
              <w:pStyle w:val="NoSpacing"/>
              <w:jc w:val="center"/>
              <w:rPr>
                <w:lang w:val="en-GB" w:eastAsia="en-GB"/>
              </w:rPr>
            </w:pPr>
            <w:r>
              <w:rPr>
                <w:lang w:val="en-GB" w:eastAsia="en-GB"/>
              </w:rPr>
              <w:t>0</w:t>
            </w:r>
          </w:p>
        </w:tc>
        <w:tc>
          <w:tcPr>
            <w:tcW w:w="1851" w:type="dxa"/>
            <w:tcBorders>
              <w:top w:val="nil"/>
              <w:left w:val="nil"/>
              <w:bottom w:val="nil"/>
              <w:right w:val="double" w:sz="6" w:space="0" w:color="auto"/>
            </w:tcBorders>
            <w:shd w:val="clear" w:color="000000" w:fill="FFFFFF"/>
            <w:noWrap/>
            <w:vAlign w:val="center"/>
            <w:hideMark/>
          </w:tcPr>
          <w:p w14:paraId="013BDC19" w14:textId="15681D45" w:rsidR="00F22F62" w:rsidRPr="00B911B7" w:rsidRDefault="00C04E1A" w:rsidP="00C04E1A">
            <w:pPr>
              <w:pStyle w:val="NoSpacing"/>
              <w:jc w:val="center"/>
              <w:rPr>
                <w:lang w:val="en-GB" w:eastAsia="en-GB"/>
              </w:rPr>
            </w:pPr>
            <w:r>
              <w:rPr>
                <w:lang w:val="en-GB" w:eastAsia="en-GB"/>
              </w:rPr>
              <w:t>1</w:t>
            </w:r>
          </w:p>
        </w:tc>
      </w:tr>
      <w:tr w:rsidR="00BE5D27" w:rsidRPr="00BE5D27" w14:paraId="3333B159" w14:textId="77777777" w:rsidTr="00801964">
        <w:trPr>
          <w:trHeight w:val="283"/>
        </w:trPr>
        <w:tc>
          <w:tcPr>
            <w:tcW w:w="5351" w:type="dxa"/>
            <w:tcBorders>
              <w:top w:val="nil"/>
              <w:left w:val="double" w:sz="6" w:space="0" w:color="auto"/>
              <w:bottom w:val="single" w:sz="8" w:space="0" w:color="auto"/>
              <w:right w:val="single" w:sz="8" w:space="0" w:color="auto"/>
            </w:tcBorders>
            <w:shd w:val="clear" w:color="000000" w:fill="FFFFFF"/>
            <w:noWrap/>
            <w:vAlign w:val="center"/>
            <w:hideMark/>
          </w:tcPr>
          <w:p w14:paraId="2D904FD7" w14:textId="77777777" w:rsidR="00F22F62" w:rsidRPr="00B911B7" w:rsidRDefault="00F22F62" w:rsidP="00F34345">
            <w:pPr>
              <w:pStyle w:val="NoSpacing"/>
              <w:rPr>
                <w:lang w:val="en-GB" w:eastAsia="en-GB"/>
              </w:rPr>
            </w:pPr>
            <w:r w:rsidRPr="00B911B7">
              <w:rPr>
                <w:lang w:val="en-GB" w:eastAsia="en-GB"/>
              </w:rPr>
              <w:t>Not rated</w:t>
            </w:r>
          </w:p>
        </w:tc>
        <w:tc>
          <w:tcPr>
            <w:tcW w:w="1728" w:type="dxa"/>
            <w:tcBorders>
              <w:top w:val="nil"/>
              <w:left w:val="nil"/>
              <w:bottom w:val="single" w:sz="8" w:space="0" w:color="auto"/>
              <w:right w:val="single" w:sz="8" w:space="0" w:color="auto"/>
            </w:tcBorders>
            <w:shd w:val="clear" w:color="000000" w:fill="FFFFFF"/>
            <w:noWrap/>
            <w:vAlign w:val="center"/>
            <w:hideMark/>
          </w:tcPr>
          <w:p w14:paraId="1453BC68" w14:textId="77777777" w:rsidR="00F22F62" w:rsidRPr="00B911B7" w:rsidRDefault="00B178BA" w:rsidP="00C04E1A">
            <w:pPr>
              <w:pStyle w:val="NoSpacing"/>
              <w:jc w:val="center"/>
              <w:rPr>
                <w:lang w:val="en-GB" w:eastAsia="en-GB"/>
              </w:rPr>
            </w:pPr>
            <w:r w:rsidRPr="00B911B7">
              <w:rPr>
                <w:lang w:val="en-GB" w:eastAsia="en-GB"/>
              </w:rPr>
              <w:t>3</w:t>
            </w:r>
          </w:p>
        </w:tc>
        <w:tc>
          <w:tcPr>
            <w:tcW w:w="1851" w:type="dxa"/>
            <w:tcBorders>
              <w:top w:val="nil"/>
              <w:left w:val="nil"/>
              <w:bottom w:val="single" w:sz="8" w:space="0" w:color="auto"/>
              <w:right w:val="double" w:sz="6" w:space="0" w:color="auto"/>
            </w:tcBorders>
            <w:shd w:val="clear" w:color="000000" w:fill="FFFFFF"/>
            <w:noWrap/>
            <w:vAlign w:val="center"/>
            <w:hideMark/>
          </w:tcPr>
          <w:p w14:paraId="6B6F9854" w14:textId="6E3C30FB" w:rsidR="00F22F62" w:rsidRPr="00B911B7" w:rsidRDefault="00A7627C" w:rsidP="00C04E1A">
            <w:pPr>
              <w:pStyle w:val="NoSpacing"/>
              <w:jc w:val="center"/>
              <w:rPr>
                <w:lang w:val="en-GB" w:eastAsia="en-GB"/>
              </w:rPr>
            </w:pPr>
            <w:r>
              <w:rPr>
                <w:lang w:val="en-GB" w:eastAsia="en-GB"/>
              </w:rPr>
              <w:t>7</w:t>
            </w:r>
          </w:p>
        </w:tc>
      </w:tr>
      <w:tr w:rsidR="00BE5D27" w:rsidRPr="00F34345" w14:paraId="15CEA27A" w14:textId="77777777" w:rsidTr="00801964">
        <w:trPr>
          <w:trHeight w:val="340"/>
        </w:trPr>
        <w:tc>
          <w:tcPr>
            <w:tcW w:w="5351" w:type="dxa"/>
            <w:tcBorders>
              <w:top w:val="nil"/>
              <w:left w:val="double" w:sz="6" w:space="0" w:color="auto"/>
              <w:bottom w:val="single" w:sz="8" w:space="0" w:color="auto"/>
              <w:right w:val="single" w:sz="8" w:space="0" w:color="auto"/>
            </w:tcBorders>
            <w:shd w:val="clear" w:color="000000" w:fill="FFFFFF"/>
            <w:noWrap/>
            <w:vAlign w:val="center"/>
            <w:hideMark/>
          </w:tcPr>
          <w:p w14:paraId="61276D49" w14:textId="77777777" w:rsidR="00F22F62" w:rsidRPr="00F34345" w:rsidRDefault="00F22F62" w:rsidP="00F34345">
            <w:pPr>
              <w:pStyle w:val="NoSpacing"/>
              <w:rPr>
                <w:b/>
                <w:lang w:val="en-GB" w:eastAsia="en-GB"/>
              </w:rPr>
            </w:pPr>
            <w:r w:rsidRPr="00F34345">
              <w:rPr>
                <w:b/>
                <w:lang w:val="en-GB" w:eastAsia="en-GB"/>
              </w:rPr>
              <w:t>Total # of IAIG internal audits</w:t>
            </w:r>
          </w:p>
        </w:tc>
        <w:tc>
          <w:tcPr>
            <w:tcW w:w="1728" w:type="dxa"/>
            <w:tcBorders>
              <w:top w:val="nil"/>
              <w:left w:val="nil"/>
              <w:bottom w:val="single" w:sz="8" w:space="0" w:color="auto"/>
              <w:right w:val="single" w:sz="8" w:space="0" w:color="auto"/>
            </w:tcBorders>
            <w:shd w:val="clear" w:color="000000" w:fill="FFFFFF"/>
            <w:noWrap/>
            <w:vAlign w:val="center"/>
            <w:hideMark/>
          </w:tcPr>
          <w:p w14:paraId="40986E13" w14:textId="75C4FFA7" w:rsidR="00F22F62" w:rsidRPr="00F34345" w:rsidRDefault="00C04E1A" w:rsidP="00C04E1A">
            <w:pPr>
              <w:pStyle w:val="NoSpacing"/>
              <w:jc w:val="center"/>
              <w:rPr>
                <w:b/>
                <w:lang w:val="en-GB" w:eastAsia="en-GB"/>
              </w:rPr>
            </w:pPr>
            <w:r>
              <w:rPr>
                <w:b/>
                <w:lang w:val="en-GB" w:eastAsia="en-GB"/>
              </w:rPr>
              <w:t>10</w:t>
            </w:r>
          </w:p>
        </w:tc>
        <w:tc>
          <w:tcPr>
            <w:tcW w:w="1851" w:type="dxa"/>
            <w:tcBorders>
              <w:top w:val="nil"/>
              <w:left w:val="nil"/>
              <w:bottom w:val="single" w:sz="8" w:space="0" w:color="auto"/>
              <w:right w:val="double" w:sz="6" w:space="0" w:color="auto"/>
            </w:tcBorders>
            <w:shd w:val="clear" w:color="000000" w:fill="FFFFFF"/>
            <w:noWrap/>
            <w:vAlign w:val="center"/>
            <w:hideMark/>
          </w:tcPr>
          <w:p w14:paraId="32C39F9A" w14:textId="1618131A" w:rsidR="00F22F62" w:rsidRPr="00F34345" w:rsidRDefault="00A7627C" w:rsidP="00C04E1A">
            <w:pPr>
              <w:pStyle w:val="NoSpacing"/>
              <w:jc w:val="center"/>
              <w:rPr>
                <w:b/>
                <w:lang w:val="en-GB" w:eastAsia="en-GB"/>
              </w:rPr>
            </w:pPr>
            <w:r>
              <w:rPr>
                <w:b/>
                <w:lang w:val="en-GB" w:eastAsia="en-GB"/>
              </w:rPr>
              <w:t>14</w:t>
            </w:r>
          </w:p>
        </w:tc>
      </w:tr>
      <w:tr w:rsidR="00BE5D27" w:rsidRPr="00BE5D27" w14:paraId="1A0FBE94" w14:textId="77777777" w:rsidTr="00801964">
        <w:trPr>
          <w:trHeight w:val="340"/>
        </w:trPr>
        <w:tc>
          <w:tcPr>
            <w:tcW w:w="8930" w:type="dxa"/>
            <w:gridSpan w:val="3"/>
            <w:tcBorders>
              <w:top w:val="single" w:sz="8" w:space="0" w:color="auto"/>
              <w:left w:val="double" w:sz="6" w:space="0" w:color="auto"/>
              <w:bottom w:val="double" w:sz="6" w:space="0" w:color="auto"/>
              <w:right w:val="double" w:sz="6" w:space="0" w:color="000000"/>
            </w:tcBorders>
            <w:shd w:val="clear" w:color="000000" w:fill="FFFFFF"/>
            <w:vAlign w:val="center"/>
            <w:hideMark/>
          </w:tcPr>
          <w:p w14:paraId="333BD965" w14:textId="48183E6D" w:rsidR="00F218E4" w:rsidRPr="00680760" w:rsidRDefault="00F218E4" w:rsidP="00D80899">
            <w:pPr>
              <w:pStyle w:val="NoSpacing"/>
              <w:rPr>
                <w:color w:val="000000" w:themeColor="text1"/>
                <w:sz w:val="16"/>
                <w:szCs w:val="16"/>
                <w:lang w:val="en-GB" w:eastAsia="en-GB"/>
              </w:rPr>
            </w:pPr>
            <w:r w:rsidRPr="00680760">
              <w:rPr>
                <w:color w:val="000000" w:themeColor="text1"/>
                <w:sz w:val="16"/>
                <w:szCs w:val="16"/>
                <w:lang w:val="en-GB" w:eastAsia="en-GB"/>
              </w:rPr>
              <w:t>*Developed based</w:t>
            </w:r>
            <w:r w:rsidR="00CF24E1" w:rsidRPr="00680760">
              <w:rPr>
                <w:color w:val="000000" w:themeColor="text1"/>
                <w:sz w:val="16"/>
                <w:szCs w:val="16"/>
                <w:lang w:val="en-GB" w:eastAsia="en-GB"/>
              </w:rPr>
              <w:t xml:space="preserve"> on IAIG annual reports for 201</w:t>
            </w:r>
            <w:r w:rsidR="00C04E1A" w:rsidRPr="00680760">
              <w:rPr>
                <w:color w:val="000000" w:themeColor="text1"/>
                <w:sz w:val="16"/>
                <w:szCs w:val="16"/>
                <w:lang w:val="en-GB" w:eastAsia="en-GB"/>
              </w:rPr>
              <w:t>6</w:t>
            </w:r>
            <w:r w:rsidR="00E045F0" w:rsidRPr="00680760">
              <w:rPr>
                <w:color w:val="000000" w:themeColor="text1"/>
                <w:sz w:val="16"/>
                <w:szCs w:val="16"/>
                <w:lang w:val="en-GB" w:eastAsia="en-GB"/>
              </w:rPr>
              <w:t xml:space="preserve"> </w:t>
            </w:r>
            <w:r w:rsidR="00CF24E1" w:rsidRPr="00680760">
              <w:rPr>
                <w:color w:val="000000" w:themeColor="text1"/>
                <w:sz w:val="16"/>
                <w:szCs w:val="16"/>
                <w:lang w:val="en-GB" w:eastAsia="en-GB"/>
              </w:rPr>
              <w:t>(</w:t>
            </w:r>
            <w:r w:rsidR="00CD4078" w:rsidRPr="00680760">
              <w:rPr>
                <w:color w:val="000000" w:themeColor="text1"/>
                <w:sz w:val="16"/>
                <w:szCs w:val="16"/>
                <w:lang w:val="en-GB" w:eastAsia="en-GB"/>
              </w:rPr>
              <w:t>DP/OPS/201</w:t>
            </w:r>
            <w:r w:rsidR="00C04E1A" w:rsidRPr="00680760">
              <w:rPr>
                <w:color w:val="000000" w:themeColor="text1"/>
                <w:sz w:val="16"/>
                <w:szCs w:val="16"/>
                <w:lang w:val="en-GB" w:eastAsia="en-GB"/>
              </w:rPr>
              <w:t>7</w:t>
            </w:r>
            <w:r w:rsidR="00CD4078" w:rsidRPr="00680760">
              <w:rPr>
                <w:color w:val="000000" w:themeColor="text1"/>
                <w:sz w:val="16"/>
                <w:szCs w:val="16"/>
                <w:lang w:val="en-GB" w:eastAsia="en-GB"/>
              </w:rPr>
              <w:t>/3</w:t>
            </w:r>
            <w:r w:rsidR="00C04E1A" w:rsidRPr="00680760">
              <w:rPr>
                <w:color w:val="000000" w:themeColor="text1"/>
                <w:sz w:val="16"/>
                <w:szCs w:val="16"/>
                <w:lang w:val="en-GB" w:eastAsia="en-GB"/>
              </w:rPr>
              <w:t>) and 2017</w:t>
            </w:r>
            <w:r w:rsidR="00CF24E1" w:rsidRPr="00680760">
              <w:rPr>
                <w:color w:val="000000" w:themeColor="text1"/>
                <w:sz w:val="16"/>
                <w:szCs w:val="16"/>
                <w:lang w:val="en-GB" w:eastAsia="en-GB"/>
              </w:rPr>
              <w:t xml:space="preserve"> (</w:t>
            </w:r>
            <w:r w:rsidR="00C04E1A" w:rsidRPr="00680760">
              <w:rPr>
                <w:color w:val="000000" w:themeColor="text1"/>
                <w:sz w:val="16"/>
                <w:szCs w:val="16"/>
                <w:lang w:val="en-GB" w:eastAsia="en-GB"/>
              </w:rPr>
              <w:t>DP/OPS/2018</w:t>
            </w:r>
            <w:r w:rsidR="00E7427A" w:rsidRPr="00680760">
              <w:rPr>
                <w:color w:val="000000" w:themeColor="text1"/>
                <w:sz w:val="16"/>
                <w:szCs w:val="16"/>
                <w:lang w:val="en-GB" w:eastAsia="en-GB"/>
              </w:rPr>
              <w:t>/</w:t>
            </w:r>
            <w:r w:rsidR="00D80899" w:rsidRPr="00680760">
              <w:rPr>
                <w:color w:val="000000" w:themeColor="text1"/>
                <w:sz w:val="16"/>
                <w:szCs w:val="16"/>
                <w:lang w:val="en-GB" w:eastAsia="en-GB"/>
              </w:rPr>
              <w:t>3</w:t>
            </w:r>
            <w:r w:rsidRPr="00680760">
              <w:rPr>
                <w:color w:val="000000" w:themeColor="text1"/>
                <w:sz w:val="16"/>
                <w:szCs w:val="16"/>
                <w:lang w:val="en-GB" w:eastAsia="en-GB"/>
              </w:rPr>
              <w:t>).</w:t>
            </w:r>
          </w:p>
        </w:tc>
      </w:tr>
    </w:tbl>
    <w:p w14:paraId="04DB4FF6" w14:textId="5F3056F5" w:rsidR="00023CD4" w:rsidRPr="00D80899" w:rsidRDefault="00385703" w:rsidP="00C04E1A">
      <w:pPr>
        <w:tabs>
          <w:tab w:val="left" w:pos="426"/>
        </w:tabs>
        <w:jc w:val="both"/>
        <w:rPr>
          <w:sz w:val="22"/>
          <w:lang w:val="en-GB"/>
        </w:rPr>
      </w:pPr>
      <w:r w:rsidRPr="00D80899">
        <w:rPr>
          <w:sz w:val="22"/>
          <w:lang w:val="en-GB"/>
        </w:rPr>
        <w:t xml:space="preserve">Management notes </w:t>
      </w:r>
      <w:r w:rsidR="00245322" w:rsidRPr="00D80899">
        <w:rPr>
          <w:sz w:val="22"/>
          <w:lang w:val="en-GB"/>
        </w:rPr>
        <w:t xml:space="preserve">a relative </w:t>
      </w:r>
      <w:r w:rsidR="0049099C">
        <w:rPr>
          <w:sz w:val="22"/>
          <w:lang w:val="en-GB"/>
        </w:rPr>
        <w:t>in</w:t>
      </w:r>
      <w:r w:rsidR="006F3605" w:rsidRPr="00D80899">
        <w:rPr>
          <w:sz w:val="22"/>
          <w:lang w:val="en-GB"/>
        </w:rPr>
        <w:t xml:space="preserve">crease in </w:t>
      </w:r>
      <w:r w:rsidR="00245322" w:rsidRPr="00D80899">
        <w:rPr>
          <w:sz w:val="22"/>
          <w:lang w:val="en-GB"/>
        </w:rPr>
        <w:t>percentage</w:t>
      </w:r>
      <w:r w:rsidR="00841BB4" w:rsidRPr="00D80899">
        <w:rPr>
          <w:sz w:val="22"/>
          <w:lang w:val="en-GB"/>
        </w:rPr>
        <w:t xml:space="preserve"> of </w:t>
      </w:r>
      <w:r w:rsidR="00245322" w:rsidRPr="00D80899">
        <w:rPr>
          <w:sz w:val="22"/>
          <w:lang w:val="en-GB"/>
        </w:rPr>
        <w:t xml:space="preserve">total </w:t>
      </w:r>
      <w:r w:rsidR="006F3605" w:rsidRPr="00D80899">
        <w:rPr>
          <w:sz w:val="22"/>
          <w:lang w:val="en-GB"/>
        </w:rPr>
        <w:t>recommendations</w:t>
      </w:r>
      <w:r w:rsidR="00841BB4" w:rsidRPr="00D80899">
        <w:rPr>
          <w:sz w:val="22"/>
          <w:lang w:val="en-GB"/>
        </w:rPr>
        <w:t xml:space="preserve"> of high</w:t>
      </w:r>
      <w:r w:rsidR="00D426A9" w:rsidRPr="00D80899">
        <w:rPr>
          <w:sz w:val="22"/>
          <w:lang w:val="en-GB"/>
        </w:rPr>
        <w:t xml:space="preserve"> </w:t>
      </w:r>
      <w:r w:rsidR="00245322" w:rsidRPr="00D80899">
        <w:rPr>
          <w:sz w:val="22"/>
          <w:lang w:val="en-GB"/>
        </w:rPr>
        <w:t>importance in</w:t>
      </w:r>
      <w:r w:rsidR="00E716E5" w:rsidRPr="00D80899">
        <w:rPr>
          <w:sz w:val="22"/>
          <w:lang w:val="en-GB"/>
        </w:rPr>
        <w:t xml:space="preserve"> </w:t>
      </w:r>
      <w:r w:rsidR="00F46953" w:rsidRPr="00D80899">
        <w:rPr>
          <w:sz w:val="22"/>
          <w:lang w:val="en-GB"/>
        </w:rPr>
        <w:t>2017</w:t>
      </w:r>
      <w:r w:rsidR="00245322" w:rsidRPr="00D80899">
        <w:rPr>
          <w:sz w:val="22"/>
          <w:lang w:val="en-GB"/>
        </w:rPr>
        <w:t xml:space="preserve"> and a</w:t>
      </w:r>
      <w:r w:rsidR="009309EB" w:rsidRPr="00D80899">
        <w:rPr>
          <w:sz w:val="22"/>
          <w:lang w:val="en-GB"/>
        </w:rPr>
        <w:t xml:space="preserve"> commensurate </w:t>
      </w:r>
      <w:r w:rsidR="0049099C">
        <w:rPr>
          <w:sz w:val="22"/>
          <w:lang w:val="en-GB"/>
        </w:rPr>
        <w:t>de</w:t>
      </w:r>
      <w:r w:rsidR="00245322" w:rsidRPr="00D80899">
        <w:rPr>
          <w:sz w:val="22"/>
          <w:lang w:val="en-GB"/>
        </w:rPr>
        <w:t xml:space="preserve">crease in </w:t>
      </w:r>
      <w:r w:rsidR="009309EB" w:rsidRPr="00D80899">
        <w:rPr>
          <w:sz w:val="22"/>
          <w:lang w:val="en-GB"/>
        </w:rPr>
        <w:t xml:space="preserve">the </w:t>
      </w:r>
      <w:r w:rsidR="00245322" w:rsidRPr="00D80899">
        <w:rPr>
          <w:sz w:val="22"/>
          <w:lang w:val="en-GB"/>
        </w:rPr>
        <w:t>percentage recommendations of medium importance</w:t>
      </w:r>
      <w:r w:rsidR="00750F5B" w:rsidRPr="00D80899">
        <w:rPr>
          <w:sz w:val="22"/>
          <w:lang w:val="en-GB"/>
        </w:rPr>
        <w:t>,</w:t>
      </w:r>
      <w:r w:rsidR="009309EB" w:rsidRPr="00D80899">
        <w:rPr>
          <w:sz w:val="22"/>
          <w:lang w:val="en-GB"/>
        </w:rPr>
        <w:t xml:space="preserve"> when </w:t>
      </w:r>
      <w:r w:rsidR="00B93A20" w:rsidRPr="00D80899">
        <w:rPr>
          <w:sz w:val="22"/>
          <w:lang w:val="en-GB"/>
        </w:rPr>
        <w:t>compared to 201</w:t>
      </w:r>
      <w:r w:rsidR="00F46953" w:rsidRPr="00D80899">
        <w:rPr>
          <w:sz w:val="22"/>
          <w:lang w:val="en-GB"/>
        </w:rPr>
        <w:t>6</w:t>
      </w:r>
      <w:r w:rsidR="00365863" w:rsidRPr="00D80899">
        <w:rPr>
          <w:sz w:val="22"/>
          <w:lang w:val="en-GB"/>
        </w:rPr>
        <w:t xml:space="preserve">. </w:t>
      </w:r>
      <w:r w:rsidR="00695F1B" w:rsidRPr="00D80899">
        <w:rPr>
          <w:sz w:val="22"/>
          <w:lang w:val="en-GB"/>
        </w:rPr>
        <w:t>Management appreciates that l</w:t>
      </w:r>
      <w:r w:rsidRPr="00D80899">
        <w:rPr>
          <w:sz w:val="22"/>
          <w:lang w:val="en-GB"/>
        </w:rPr>
        <w:t xml:space="preserve">ow-priority recommendations are </w:t>
      </w:r>
      <w:r w:rsidR="00BF427C" w:rsidRPr="00D80899">
        <w:rPr>
          <w:sz w:val="22"/>
          <w:lang w:val="en-GB"/>
        </w:rPr>
        <w:t xml:space="preserve">typically </w:t>
      </w:r>
      <w:r w:rsidR="00E95DF6" w:rsidRPr="00D80899">
        <w:rPr>
          <w:sz w:val="22"/>
          <w:lang w:val="en-GB"/>
        </w:rPr>
        <w:t xml:space="preserve">addressed during the field work stage of the audit. </w:t>
      </w:r>
      <w:r w:rsidR="006F3605" w:rsidRPr="00D80899">
        <w:rPr>
          <w:sz w:val="22"/>
          <w:lang w:val="en-GB"/>
        </w:rPr>
        <w:t xml:space="preserve">Management believes that the system of categorization by level of importance has potential for further integration into the </w:t>
      </w:r>
      <w:r w:rsidR="009309EB" w:rsidRPr="00D80899">
        <w:rPr>
          <w:sz w:val="22"/>
          <w:lang w:val="en-GB"/>
        </w:rPr>
        <w:t xml:space="preserve">UNOPS </w:t>
      </w:r>
      <w:r w:rsidR="006F3605" w:rsidRPr="00D80899">
        <w:rPr>
          <w:sz w:val="22"/>
          <w:lang w:val="en-GB"/>
        </w:rPr>
        <w:t>risk management system</w:t>
      </w:r>
      <w:r w:rsidR="009309EB" w:rsidRPr="00D80899">
        <w:rPr>
          <w:sz w:val="22"/>
          <w:lang w:val="en-GB"/>
        </w:rPr>
        <w:t>, as a mean</w:t>
      </w:r>
      <w:r w:rsidR="007D25B4">
        <w:rPr>
          <w:sz w:val="22"/>
          <w:lang w:val="en-GB"/>
        </w:rPr>
        <w:t>s</w:t>
      </w:r>
      <w:r w:rsidR="009309EB" w:rsidRPr="00D80899">
        <w:rPr>
          <w:sz w:val="22"/>
          <w:lang w:val="en-GB"/>
        </w:rPr>
        <w:t xml:space="preserve"> of </w:t>
      </w:r>
      <w:r w:rsidR="006F3605" w:rsidRPr="00D80899">
        <w:rPr>
          <w:sz w:val="22"/>
          <w:lang w:val="en-GB"/>
        </w:rPr>
        <w:t>facilitati</w:t>
      </w:r>
      <w:r w:rsidR="009309EB" w:rsidRPr="00D80899">
        <w:rPr>
          <w:sz w:val="22"/>
          <w:lang w:val="en-GB"/>
        </w:rPr>
        <w:t xml:space="preserve">ng </w:t>
      </w:r>
      <w:r w:rsidR="006F3605" w:rsidRPr="00D80899">
        <w:rPr>
          <w:sz w:val="22"/>
          <w:lang w:val="en-GB"/>
        </w:rPr>
        <w:t xml:space="preserve">prioritization of </w:t>
      </w:r>
      <w:r w:rsidR="003B6813" w:rsidRPr="00D80899">
        <w:rPr>
          <w:sz w:val="22"/>
          <w:lang w:val="en-GB"/>
        </w:rPr>
        <w:t xml:space="preserve">efforts </w:t>
      </w:r>
      <w:r w:rsidR="009309EB" w:rsidRPr="00D80899">
        <w:rPr>
          <w:sz w:val="22"/>
          <w:lang w:val="en-GB"/>
        </w:rPr>
        <w:t xml:space="preserve">when </w:t>
      </w:r>
      <w:r w:rsidR="003B6813" w:rsidRPr="00D80899">
        <w:rPr>
          <w:sz w:val="22"/>
          <w:lang w:val="en-GB"/>
        </w:rPr>
        <w:t>systematically address</w:t>
      </w:r>
      <w:r w:rsidR="009309EB" w:rsidRPr="00D80899">
        <w:rPr>
          <w:sz w:val="22"/>
          <w:lang w:val="en-GB"/>
        </w:rPr>
        <w:t xml:space="preserve">ing </w:t>
      </w:r>
      <w:r w:rsidR="00C04E1A" w:rsidRPr="00D80899">
        <w:rPr>
          <w:sz w:val="22"/>
          <w:lang w:val="en-GB"/>
        </w:rPr>
        <w:t>recommendations.</w:t>
      </w:r>
    </w:p>
    <w:tbl>
      <w:tblPr>
        <w:tblW w:w="8930" w:type="dxa"/>
        <w:tblInd w:w="403" w:type="dxa"/>
        <w:tblLayout w:type="fixed"/>
        <w:tblLook w:val="04A0" w:firstRow="1" w:lastRow="0" w:firstColumn="1" w:lastColumn="0" w:noHBand="0" w:noVBand="1"/>
      </w:tblPr>
      <w:tblGrid>
        <w:gridCol w:w="3402"/>
        <w:gridCol w:w="968"/>
        <w:gridCol w:w="969"/>
        <w:gridCol w:w="969"/>
        <w:gridCol w:w="968"/>
        <w:gridCol w:w="969"/>
        <w:gridCol w:w="685"/>
      </w:tblGrid>
      <w:tr w:rsidR="00BE5D27" w:rsidRPr="00C04E1A" w14:paraId="01439075" w14:textId="77777777" w:rsidTr="00801964">
        <w:trPr>
          <w:trHeight w:val="338"/>
        </w:trPr>
        <w:tc>
          <w:tcPr>
            <w:tcW w:w="8930" w:type="dxa"/>
            <w:gridSpan w:val="7"/>
            <w:tcBorders>
              <w:top w:val="double" w:sz="6" w:space="0" w:color="auto"/>
              <w:left w:val="double" w:sz="6" w:space="0" w:color="auto"/>
              <w:bottom w:val="double" w:sz="6" w:space="0" w:color="auto"/>
              <w:right w:val="double" w:sz="6" w:space="0" w:color="000000"/>
            </w:tcBorders>
            <w:shd w:val="clear" w:color="auto" w:fill="auto"/>
            <w:noWrap/>
            <w:vAlign w:val="center"/>
            <w:hideMark/>
          </w:tcPr>
          <w:p w14:paraId="6C973E72" w14:textId="77777777" w:rsidR="00874DC2" w:rsidRPr="00C04E1A" w:rsidRDefault="00874DC2" w:rsidP="00C04E1A">
            <w:pPr>
              <w:pStyle w:val="NoSpacing"/>
              <w:rPr>
                <w:b/>
                <w:lang w:val="en-GB" w:eastAsia="en-GB"/>
              </w:rPr>
            </w:pPr>
            <w:r w:rsidRPr="00C04E1A">
              <w:rPr>
                <w:b/>
                <w:lang w:val="en-GB" w:eastAsia="en-GB"/>
              </w:rPr>
              <w:t>Table 4: Categorization of IAIG internal audit recommendations, by level of importance*</w:t>
            </w:r>
          </w:p>
        </w:tc>
      </w:tr>
      <w:tr w:rsidR="00BE5D27" w:rsidRPr="00BE5D27" w14:paraId="1B976F4E" w14:textId="77777777" w:rsidTr="00801964">
        <w:trPr>
          <w:trHeight w:val="340"/>
        </w:trPr>
        <w:tc>
          <w:tcPr>
            <w:tcW w:w="3402" w:type="dxa"/>
            <w:vMerge w:val="restart"/>
            <w:tcBorders>
              <w:top w:val="nil"/>
              <w:left w:val="double" w:sz="6" w:space="0" w:color="auto"/>
              <w:bottom w:val="nil"/>
              <w:right w:val="nil"/>
            </w:tcBorders>
            <w:shd w:val="clear" w:color="000000" w:fill="FFFFFF"/>
            <w:vAlign w:val="center"/>
            <w:hideMark/>
          </w:tcPr>
          <w:p w14:paraId="1809817E" w14:textId="77777777" w:rsidR="00874DC2" w:rsidRPr="00C04E1A" w:rsidRDefault="00874DC2" w:rsidP="00C04E1A">
            <w:pPr>
              <w:pStyle w:val="NoSpacing"/>
              <w:rPr>
                <w:b/>
                <w:lang w:val="en-GB" w:eastAsia="en-GB"/>
              </w:rPr>
            </w:pPr>
            <w:r w:rsidRPr="00C04E1A">
              <w:rPr>
                <w:b/>
                <w:lang w:val="en-GB" w:eastAsia="en-GB"/>
              </w:rPr>
              <w:t>Level of importance</w:t>
            </w:r>
          </w:p>
        </w:tc>
        <w:tc>
          <w:tcPr>
            <w:tcW w:w="2906" w:type="dxa"/>
            <w:gridSpan w:val="3"/>
            <w:tcBorders>
              <w:top w:val="nil"/>
              <w:left w:val="single" w:sz="4" w:space="0" w:color="auto"/>
              <w:bottom w:val="nil"/>
              <w:right w:val="single" w:sz="4" w:space="0" w:color="000000"/>
            </w:tcBorders>
            <w:shd w:val="clear" w:color="000000" w:fill="FFFFFF"/>
            <w:vAlign w:val="center"/>
            <w:hideMark/>
          </w:tcPr>
          <w:p w14:paraId="3FB97FF6" w14:textId="77777777" w:rsidR="00874DC2" w:rsidRPr="00C04E1A" w:rsidRDefault="00874DC2" w:rsidP="00C04E1A">
            <w:pPr>
              <w:pStyle w:val="NoSpacing"/>
              <w:jc w:val="center"/>
              <w:rPr>
                <w:b/>
                <w:lang w:val="en-GB" w:eastAsia="en-GB"/>
              </w:rPr>
            </w:pPr>
            <w:r w:rsidRPr="00C04E1A">
              <w:rPr>
                <w:b/>
                <w:lang w:val="en-GB" w:eastAsia="en-GB"/>
              </w:rPr>
              <w:t>Number of recommendations</w:t>
            </w:r>
          </w:p>
        </w:tc>
        <w:tc>
          <w:tcPr>
            <w:tcW w:w="2622" w:type="dxa"/>
            <w:gridSpan w:val="3"/>
            <w:tcBorders>
              <w:top w:val="nil"/>
              <w:left w:val="nil"/>
              <w:bottom w:val="nil"/>
              <w:right w:val="double" w:sz="6" w:space="0" w:color="000000"/>
            </w:tcBorders>
            <w:shd w:val="clear" w:color="000000" w:fill="FFFFFF"/>
            <w:vAlign w:val="center"/>
            <w:hideMark/>
          </w:tcPr>
          <w:p w14:paraId="4A6EE6C2" w14:textId="77777777" w:rsidR="00874DC2" w:rsidRPr="00C04E1A" w:rsidRDefault="00874DC2" w:rsidP="00C04E1A">
            <w:pPr>
              <w:pStyle w:val="NoSpacing"/>
              <w:jc w:val="center"/>
              <w:rPr>
                <w:b/>
                <w:lang w:val="en-GB" w:eastAsia="en-GB"/>
              </w:rPr>
            </w:pPr>
            <w:r w:rsidRPr="00C04E1A">
              <w:rPr>
                <w:b/>
                <w:lang w:val="en-GB" w:eastAsia="en-GB"/>
              </w:rPr>
              <w:t>Percentage of total</w:t>
            </w:r>
          </w:p>
        </w:tc>
      </w:tr>
      <w:tr w:rsidR="00BE5D27" w:rsidRPr="00BE5D27" w14:paraId="6F541515" w14:textId="77777777" w:rsidTr="00801964">
        <w:trPr>
          <w:trHeight w:val="340"/>
        </w:trPr>
        <w:tc>
          <w:tcPr>
            <w:tcW w:w="3402" w:type="dxa"/>
            <w:vMerge/>
            <w:tcBorders>
              <w:top w:val="nil"/>
              <w:left w:val="double" w:sz="6" w:space="0" w:color="auto"/>
              <w:bottom w:val="nil"/>
              <w:right w:val="nil"/>
            </w:tcBorders>
            <w:vAlign w:val="center"/>
            <w:hideMark/>
          </w:tcPr>
          <w:p w14:paraId="1B95BA1C" w14:textId="77777777" w:rsidR="00874DC2" w:rsidRPr="00C04E1A" w:rsidRDefault="00874DC2" w:rsidP="00C04E1A">
            <w:pPr>
              <w:pStyle w:val="NoSpacing"/>
              <w:rPr>
                <w:b/>
                <w:lang w:val="en-GB" w:eastAsia="en-GB"/>
              </w:rPr>
            </w:pPr>
          </w:p>
        </w:tc>
        <w:tc>
          <w:tcPr>
            <w:tcW w:w="968" w:type="dxa"/>
            <w:tcBorders>
              <w:top w:val="single" w:sz="4" w:space="0" w:color="auto"/>
              <w:left w:val="single" w:sz="4" w:space="0" w:color="auto"/>
              <w:bottom w:val="nil"/>
              <w:right w:val="single" w:sz="4" w:space="0" w:color="auto"/>
            </w:tcBorders>
            <w:shd w:val="clear" w:color="000000" w:fill="FFFFFF"/>
            <w:vAlign w:val="center"/>
            <w:hideMark/>
          </w:tcPr>
          <w:p w14:paraId="5A11958B" w14:textId="604C4AA9" w:rsidR="00874DC2" w:rsidRPr="00C04E1A" w:rsidRDefault="00C04E1A" w:rsidP="00C04E1A">
            <w:pPr>
              <w:pStyle w:val="NoSpacing"/>
              <w:jc w:val="center"/>
              <w:rPr>
                <w:b/>
                <w:lang w:val="en-GB" w:eastAsia="en-GB"/>
              </w:rPr>
            </w:pPr>
            <w:r>
              <w:rPr>
                <w:b/>
                <w:lang w:val="en-GB" w:eastAsia="en-GB"/>
              </w:rPr>
              <w:t>2015</w:t>
            </w:r>
          </w:p>
        </w:tc>
        <w:tc>
          <w:tcPr>
            <w:tcW w:w="969" w:type="dxa"/>
            <w:tcBorders>
              <w:top w:val="single" w:sz="4" w:space="0" w:color="auto"/>
              <w:left w:val="nil"/>
              <w:bottom w:val="nil"/>
              <w:right w:val="single" w:sz="4" w:space="0" w:color="auto"/>
            </w:tcBorders>
            <w:shd w:val="clear" w:color="000000" w:fill="FFFFFF"/>
            <w:vAlign w:val="center"/>
            <w:hideMark/>
          </w:tcPr>
          <w:p w14:paraId="6FA2D95F" w14:textId="074ED6E3" w:rsidR="00874DC2" w:rsidRPr="00C04E1A" w:rsidRDefault="00C04E1A" w:rsidP="00C04E1A">
            <w:pPr>
              <w:pStyle w:val="NoSpacing"/>
              <w:jc w:val="center"/>
              <w:rPr>
                <w:b/>
                <w:lang w:val="en-GB" w:eastAsia="en-GB"/>
              </w:rPr>
            </w:pPr>
            <w:r>
              <w:rPr>
                <w:b/>
                <w:lang w:val="en-GB" w:eastAsia="en-GB"/>
              </w:rPr>
              <w:t>2016</w:t>
            </w:r>
          </w:p>
        </w:tc>
        <w:tc>
          <w:tcPr>
            <w:tcW w:w="969" w:type="dxa"/>
            <w:tcBorders>
              <w:top w:val="single" w:sz="4" w:space="0" w:color="auto"/>
              <w:left w:val="nil"/>
              <w:bottom w:val="nil"/>
              <w:right w:val="single" w:sz="4" w:space="0" w:color="auto"/>
            </w:tcBorders>
            <w:shd w:val="clear" w:color="000000" w:fill="FFFFFF"/>
            <w:vAlign w:val="center"/>
            <w:hideMark/>
          </w:tcPr>
          <w:p w14:paraId="557A1695" w14:textId="5A31BD11" w:rsidR="00874DC2" w:rsidRPr="00C04E1A" w:rsidRDefault="00385703" w:rsidP="00C04E1A">
            <w:pPr>
              <w:pStyle w:val="NoSpacing"/>
              <w:jc w:val="center"/>
              <w:rPr>
                <w:b/>
                <w:lang w:val="en-GB" w:eastAsia="en-GB"/>
              </w:rPr>
            </w:pPr>
            <w:r w:rsidRPr="00C04E1A">
              <w:rPr>
                <w:b/>
                <w:lang w:val="en-GB" w:eastAsia="en-GB"/>
              </w:rPr>
              <w:t>201</w:t>
            </w:r>
            <w:r w:rsidR="00C04E1A">
              <w:rPr>
                <w:b/>
                <w:lang w:val="en-GB" w:eastAsia="en-GB"/>
              </w:rPr>
              <w:t>7</w:t>
            </w:r>
          </w:p>
        </w:tc>
        <w:tc>
          <w:tcPr>
            <w:tcW w:w="968" w:type="dxa"/>
            <w:tcBorders>
              <w:top w:val="single" w:sz="4" w:space="0" w:color="auto"/>
              <w:left w:val="nil"/>
              <w:bottom w:val="nil"/>
              <w:right w:val="single" w:sz="4" w:space="0" w:color="auto"/>
            </w:tcBorders>
            <w:shd w:val="clear" w:color="000000" w:fill="FFFFFF"/>
            <w:vAlign w:val="center"/>
            <w:hideMark/>
          </w:tcPr>
          <w:p w14:paraId="47C142BF" w14:textId="02D94A2B" w:rsidR="00874DC2" w:rsidRPr="00C04E1A" w:rsidRDefault="00BB14A9" w:rsidP="00F46953">
            <w:pPr>
              <w:pStyle w:val="NoSpacing"/>
              <w:jc w:val="center"/>
              <w:rPr>
                <w:b/>
                <w:lang w:val="en-GB" w:eastAsia="en-GB"/>
              </w:rPr>
            </w:pPr>
            <w:r w:rsidRPr="00C04E1A">
              <w:rPr>
                <w:b/>
                <w:lang w:val="en-GB" w:eastAsia="en-GB"/>
              </w:rPr>
              <w:t>201</w:t>
            </w:r>
            <w:r w:rsidR="00F46953">
              <w:rPr>
                <w:b/>
                <w:lang w:val="en-GB" w:eastAsia="en-GB"/>
              </w:rPr>
              <w:t>5</w:t>
            </w:r>
          </w:p>
        </w:tc>
        <w:tc>
          <w:tcPr>
            <w:tcW w:w="969" w:type="dxa"/>
            <w:tcBorders>
              <w:top w:val="single" w:sz="4" w:space="0" w:color="auto"/>
              <w:left w:val="nil"/>
              <w:bottom w:val="nil"/>
              <w:right w:val="single" w:sz="4" w:space="0" w:color="auto"/>
            </w:tcBorders>
            <w:shd w:val="clear" w:color="000000" w:fill="FFFFFF"/>
            <w:vAlign w:val="center"/>
            <w:hideMark/>
          </w:tcPr>
          <w:p w14:paraId="5C2A7373" w14:textId="5E616775" w:rsidR="00874DC2" w:rsidRPr="00C04E1A" w:rsidRDefault="00BB14A9" w:rsidP="00F46953">
            <w:pPr>
              <w:pStyle w:val="NoSpacing"/>
              <w:jc w:val="center"/>
              <w:rPr>
                <w:b/>
                <w:lang w:val="en-GB" w:eastAsia="en-GB"/>
              </w:rPr>
            </w:pPr>
            <w:r w:rsidRPr="00C04E1A">
              <w:rPr>
                <w:b/>
                <w:lang w:val="en-GB" w:eastAsia="en-GB"/>
              </w:rPr>
              <w:t>201</w:t>
            </w:r>
            <w:r w:rsidR="00F46953">
              <w:rPr>
                <w:b/>
                <w:lang w:val="en-GB" w:eastAsia="en-GB"/>
              </w:rPr>
              <w:t>6</w:t>
            </w:r>
          </w:p>
        </w:tc>
        <w:tc>
          <w:tcPr>
            <w:tcW w:w="685" w:type="dxa"/>
            <w:tcBorders>
              <w:top w:val="single" w:sz="4" w:space="0" w:color="auto"/>
              <w:left w:val="nil"/>
              <w:bottom w:val="nil"/>
              <w:right w:val="double" w:sz="6" w:space="0" w:color="auto"/>
            </w:tcBorders>
            <w:shd w:val="clear" w:color="000000" w:fill="FFFFFF"/>
            <w:vAlign w:val="center"/>
            <w:hideMark/>
          </w:tcPr>
          <w:p w14:paraId="639BE95A" w14:textId="2CAF80C0" w:rsidR="00874DC2" w:rsidRPr="00C04E1A" w:rsidRDefault="00BB14A9" w:rsidP="00F46953">
            <w:pPr>
              <w:pStyle w:val="NoSpacing"/>
              <w:jc w:val="center"/>
              <w:rPr>
                <w:b/>
                <w:lang w:val="en-GB" w:eastAsia="en-GB"/>
              </w:rPr>
            </w:pPr>
            <w:r w:rsidRPr="00C04E1A">
              <w:rPr>
                <w:b/>
                <w:lang w:val="en-GB" w:eastAsia="en-GB"/>
              </w:rPr>
              <w:t>201</w:t>
            </w:r>
            <w:r w:rsidR="00F46953">
              <w:rPr>
                <w:b/>
                <w:lang w:val="en-GB" w:eastAsia="en-GB"/>
              </w:rPr>
              <w:t>7</w:t>
            </w:r>
          </w:p>
        </w:tc>
      </w:tr>
      <w:tr w:rsidR="00BE5D27" w:rsidRPr="00BE5D27" w14:paraId="53CD1589" w14:textId="77777777" w:rsidTr="00801964">
        <w:trPr>
          <w:trHeight w:val="283"/>
        </w:trPr>
        <w:tc>
          <w:tcPr>
            <w:tcW w:w="3402" w:type="dxa"/>
            <w:tcBorders>
              <w:top w:val="single" w:sz="4" w:space="0" w:color="auto"/>
              <w:left w:val="double" w:sz="6" w:space="0" w:color="auto"/>
              <w:bottom w:val="nil"/>
              <w:right w:val="single" w:sz="4" w:space="0" w:color="auto"/>
            </w:tcBorders>
            <w:shd w:val="clear" w:color="000000" w:fill="FFFFFF"/>
            <w:vAlign w:val="center"/>
            <w:hideMark/>
          </w:tcPr>
          <w:p w14:paraId="07B9BC58" w14:textId="77777777" w:rsidR="00874DC2" w:rsidRPr="00F01429" w:rsidRDefault="00874DC2" w:rsidP="00C04E1A">
            <w:pPr>
              <w:pStyle w:val="NoSpacing"/>
              <w:rPr>
                <w:lang w:val="en-GB" w:eastAsia="en-GB"/>
              </w:rPr>
            </w:pPr>
            <w:r w:rsidRPr="00F01429">
              <w:rPr>
                <w:lang w:val="en-GB" w:eastAsia="en-GB"/>
              </w:rPr>
              <w:t>High</w:t>
            </w:r>
          </w:p>
        </w:tc>
        <w:tc>
          <w:tcPr>
            <w:tcW w:w="968" w:type="dxa"/>
            <w:tcBorders>
              <w:top w:val="single" w:sz="4" w:space="0" w:color="auto"/>
              <w:left w:val="nil"/>
              <w:bottom w:val="single" w:sz="4" w:space="0" w:color="auto"/>
              <w:right w:val="single" w:sz="4" w:space="0" w:color="auto"/>
            </w:tcBorders>
            <w:shd w:val="clear" w:color="000000" w:fill="FFFFFF"/>
            <w:vAlign w:val="center"/>
            <w:hideMark/>
          </w:tcPr>
          <w:p w14:paraId="7B7B3D3A" w14:textId="60F56609" w:rsidR="00874DC2" w:rsidRPr="00F01429" w:rsidRDefault="00C04E1A" w:rsidP="00C04E1A">
            <w:pPr>
              <w:pStyle w:val="NoSpacing"/>
              <w:jc w:val="center"/>
              <w:rPr>
                <w:lang w:val="en-GB" w:eastAsia="en-GB"/>
              </w:rPr>
            </w:pPr>
            <w:r>
              <w:rPr>
                <w:lang w:val="en-GB" w:eastAsia="en-GB"/>
              </w:rPr>
              <w:t>44</w:t>
            </w:r>
          </w:p>
        </w:tc>
        <w:tc>
          <w:tcPr>
            <w:tcW w:w="969" w:type="dxa"/>
            <w:tcBorders>
              <w:top w:val="single" w:sz="4" w:space="0" w:color="auto"/>
              <w:left w:val="nil"/>
              <w:bottom w:val="single" w:sz="4" w:space="0" w:color="auto"/>
              <w:right w:val="single" w:sz="4" w:space="0" w:color="auto"/>
            </w:tcBorders>
            <w:shd w:val="clear" w:color="000000" w:fill="FFFFFF"/>
            <w:vAlign w:val="center"/>
            <w:hideMark/>
          </w:tcPr>
          <w:p w14:paraId="41E8E24A" w14:textId="24FD62C2" w:rsidR="00874DC2" w:rsidRPr="00F01429" w:rsidRDefault="00C04E1A" w:rsidP="00C04E1A">
            <w:pPr>
              <w:pStyle w:val="NoSpacing"/>
              <w:jc w:val="center"/>
              <w:rPr>
                <w:lang w:val="en-GB" w:eastAsia="en-GB"/>
              </w:rPr>
            </w:pPr>
            <w:r>
              <w:rPr>
                <w:lang w:val="en-GB" w:eastAsia="en-GB"/>
              </w:rPr>
              <w:t>95</w:t>
            </w:r>
          </w:p>
        </w:tc>
        <w:tc>
          <w:tcPr>
            <w:tcW w:w="969" w:type="dxa"/>
            <w:tcBorders>
              <w:top w:val="single" w:sz="4" w:space="0" w:color="auto"/>
              <w:left w:val="nil"/>
              <w:bottom w:val="single" w:sz="4" w:space="0" w:color="auto"/>
              <w:right w:val="single" w:sz="4" w:space="0" w:color="auto"/>
            </w:tcBorders>
            <w:shd w:val="clear" w:color="000000" w:fill="FFFFFF"/>
            <w:vAlign w:val="center"/>
            <w:hideMark/>
          </w:tcPr>
          <w:p w14:paraId="1E3E136A" w14:textId="01F6265A" w:rsidR="00874DC2" w:rsidRPr="00F01429" w:rsidRDefault="00F46953" w:rsidP="00A7627C">
            <w:pPr>
              <w:pStyle w:val="NoSpacing"/>
              <w:jc w:val="center"/>
              <w:rPr>
                <w:lang w:val="en-GB" w:eastAsia="en-GB"/>
              </w:rPr>
            </w:pPr>
            <w:r>
              <w:rPr>
                <w:lang w:val="en-GB" w:eastAsia="en-GB"/>
              </w:rPr>
              <w:t>1</w:t>
            </w:r>
            <w:r w:rsidR="00A7627C">
              <w:rPr>
                <w:lang w:val="en-GB" w:eastAsia="en-GB"/>
              </w:rPr>
              <w:t>00</w:t>
            </w:r>
          </w:p>
        </w:tc>
        <w:tc>
          <w:tcPr>
            <w:tcW w:w="968" w:type="dxa"/>
            <w:tcBorders>
              <w:top w:val="single" w:sz="4" w:space="0" w:color="auto"/>
              <w:left w:val="nil"/>
              <w:bottom w:val="single" w:sz="4" w:space="0" w:color="auto"/>
              <w:right w:val="single" w:sz="4" w:space="0" w:color="auto"/>
            </w:tcBorders>
            <w:shd w:val="clear" w:color="000000" w:fill="FFFFFF"/>
            <w:vAlign w:val="center"/>
            <w:hideMark/>
          </w:tcPr>
          <w:p w14:paraId="4E7B9DE0" w14:textId="35DC8C61" w:rsidR="00874DC2" w:rsidRPr="00F01429" w:rsidRDefault="00BB14A9" w:rsidP="00F46953">
            <w:pPr>
              <w:pStyle w:val="NoSpacing"/>
              <w:jc w:val="center"/>
              <w:rPr>
                <w:lang w:val="en-GB" w:eastAsia="en-GB"/>
              </w:rPr>
            </w:pPr>
            <w:r w:rsidRPr="00F01429">
              <w:rPr>
                <w:lang w:val="en-GB" w:eastAsia="en-GB"/>
              </w:rPr>
              <w:t>4</w:t>
            </w:r>
            <w:r w:rsidR="00F46953">
              <w:rPr>
                <w:lang w:val="en-GB" w:eastAsia="en-GB"/>
              </w:rPr>
              <w:t>4</w:t>
            </w:r>
          </w:p>
        </w:tc>
        <w:tc>
          <w:tcPr>
            <w:tcW w:w="969" w:type="dxa"/>
            <w:tcBorders>
              <w:top w:val="single" w:sz="4" w:space="0" w:color="auto"/>
              <w:left w:val="nil"/>
              <w:bottom w:val="single" w:sz="4" w:space="0" w:color="auto"/>
              <w:right w:val="single" w:sz="4" w:space="0" w:color="auto"/>
            </w:tcBorders>
            <w:shd w:val="clear" w:color="000000" w:fill="FFFFFF"/>
            <w:vAlign w:val="center"/>
            <w:hideMark/>
          </w:tcPr>
          <w:p w14:paraId="77648871" w14:textId="513DC9F5" w:rsidR="00874DC2" w:rsidRPr="00F01429" w:rsidRDefault="00F46953" w:rsidP="00C04E1A">
            <w:pPr>
              <w:pStyle w:val="NoSpacing"/>
              <w:jc w:val="center"/>
              <w:rPr>
                <w:lang w:val="en-GB" w:eastAsia="en-GB"/>
              </w:rPr>
            </w:pPr>
            <w:r>
              <w:rPr>
                <w:lang w:val="en-GB" w:eastAsia="en-GB"/>
              </w:rPr>
              <w:t>46</w:t>
            </w:r>
          </w:p>
        </w:tc>
        <w:tc>
          <w:tcPr>
            <w:tcW w:w="685" w:type="dxa"/>
            <w:tcBorders>
              <w:top w:val="single" w:sz="4" w:space="0" w:color="auto"/>
              <w:left w:val="nil"/>
              <w:bottom w:val="single" w:sz="4" w:space="0" w:color="auto"/>
              <w:right w:val="double" w:sz="6" w:space="0" w:color="auto"/>
            </w:tcBorders>
            <w:shd w:val="clear" w:color="000000" w:fill="FFFFFF"/>
            <w:vAlign w:val="center"/>
            <w:hideMark/>
          </w:tcPr>
          <w:p w14:paraId="66D350BB" w14:textId="0A76CC7F" w:rsidR="00874DC2" w:rsidRPr="00F01429" w:rsidRDefault="00A7627C" w:rsidP="00F46953">
            <w:pPr>
              <w:pStyle w:val="NoSpacing"/>
              <w:jc w:val="center"/>
              <w:rPr>
                <w:lang w:val="en-GB" w:eastAsia="en-GB"/>
              </w:rPr>
            </w:pPr>
            <w:r>
              <w:rPr>
                <w:lang w:val="en-GB" w:eastAsia="en-GB"/>
              </w:rPr>
              <w:t>50</w:t>
            </w:r>
          </w:p>
        </w:tc>
      </w:tr>
      <w:tr w:rsidR="00BE5D27" w:rsidRPr="00BE5D27" w14:paraId="0FA3B6DB" w14:textId="77777777" w:rsidTr="00801964">
        <w:trPr>
          <w:trHeight w:val="283"/>
        </w:trPr>
        <w:tc>
          <w:tcPr>
            <w:tcW w:w="3402" w:type="dxa"/>
            <w:tcBorders>
              <w:top w:val="nil"/>
              <w:left w:val="double" w:sz="6" w:space="0" w:color="auto"/>
              <w:bottom w:val="single" w:sz="4" w:space="0" w:color="auto"/>
              <w:right w:val="nil"/>
            </w:tcBorders>
            <w:shd w:val="clear" w:color="000000" w:fill="FFFFFF"/>
            <w:vAlign w:val="center"/>
            <w:hideMark/>
          </w:tcPr>
          <w:p w14:paraId="7DC00F6B" w14:textId="77777777" w:rsidR="00874DC2" w:rsidRPr="00F01429" w:rsidRDefault="00874DC2" w:rsidP="00C04E1A">
            <w:pPr>
              <w:pStyle w:val="NoSpacing"/>
              <w:rPr>
                <w:lang w:val="en-GB" w:eastAsia="en-GB"/>
              </w:rPr>
            </w:pPr>
            <w:r w:rsidRPr="00F01429">
              <w:rPr>
                <w:lang w:val="en-GB" w:eastAsia="en-GB"/>
              </w:rPr>
              <w:t>Medium</w:t>
            </w:r>
          </w:p>
        </w:tc>
        <w:tc>
          <w:tcPr>
            <w:tcW w:w="968" w:type="dxa"/>
            <w:tcBorders>
              <w:top w:val="nil"/>
              <w:left w:val="single" w:sz="4" w:space="0" w:color="auto"/>
              <w:bottom w:val="single" w:sz="4" w:space="0" w:color="auto"/>
              <w:right w:val="single" w:sz="4" w:space="0" w:color="auto"/>
            </w:tcBorders>
            <w:shd w:val="clear" w:color="000000" w:fill="FFFFFF"/>
            <w:vAlign w:val="center"/>
            <w:hideMark/>
          </w:tcPr>
          <w:p w14:paraId="4C1C763B" w14:textId="0E25A6CE" w:rsidR="00874DC2" w:rsidRPr="00F01429" w:rsidRDefault="00C04E1A" w:rsidP="00C04E1A">
            <w:pPr>
              <w:pStyle w:val="NoSpacing"/>
              <w:jc w:val="center"/>
              <w:rPr>
                <w:lang w:val="en-GB" w:eastAsia="en-GB"/>
              </w:rPr>
            </w:pPr>
            <w:r>
              <w:rPr>
                <w:lang w:val="en-GB" w:eastAsia="en-GB"/>
              </w:rPr>
              <w:t>57</w:t>
            </w:r>
          </w:p>
        </w:tc>
        <w:tc>
          <w:tcPr>
            <w:tcW w:w="969" w:type="dxa"/>
            <w:tcBorders>
              <w:top w:val="nil"/>
              <w:left w:val="nil"/>
              <w:bottom w:val="single" w:sz="4" w:space="0" w:color="auto"/>
              <w:right w:val="single" w:sz="4" w:space="0" w:color="auto"/>
            </w:tcBorders>
            <w:shd w:val="clear" w:color="000000" w:fill="FFFFFF"/>
            <w:vAlign w:val="center"/>
            <w:hideMark/>
          </w:tcPr>
          <w:p w14:paraId="7AF080BC" w14:textId="7DA8D141" w:rsidR="00874DC2" w:rsidRPr="00F01429" w:rsidRDefault="00C04E1A" w:rsidP="00C04E1A">
            <w:pPr>
              <w:pStyle w:val="NoSpacing"/>
              <w:jc w:val="center"/>
              <w:rPr>
                <w:lang w:val="en-GB" w:eastAsia="en-GB"/>
              </w:rPr>
            </w:pPr>
            <w:r>
              <w:rPr>
                <w:lang w:val="en-GB" w:eastAsia="en-GB"/>
              </w:rPr>
              <w:t>112</w:t>
            </w:r>
          </w:p>
        </w:tc>
        <w:tc>
          <w:tcPr>
            <w:tcW w:w="969" w:type="dxa"/>
            <w:tcBorders>
              <w:top w:val="nil"/>
              <w:left w:val="nil"/>
              <w:bottom w:val="single" w:sz="4" w:space="0" w:color="auto"/>
              <w:right w:val="single" w:sz="4" w:space="0" w:color="auto"/>
            </w:tcBorders>
            <w:shd w:val="clear" w:color="000000" w:fill="FFFFFF"/>
            <w:vAlign w:val="center"/>
            <w:hideMark/>
          </w:tcPr>
          <w:p w14:paraId="77879B30" w14:textId="7F5411C1" w:rsidR="00874DC2" w:rsidRPr="00F01429" w:rsidRDefault="00A7627C" w:rsidP="00C04E1A">
            <w:pPr>
              <w:pStyle w:val="NoSpacing"/>
              <w:jc w:val="center"/>
              <w:rPr>
                <w:lang w:val="en-GB" w:eastAsia="en-GB"/>
              </w:rPr>
            </w:pPr>
            <w:r>
              <w:rPr>
                <w:lang w:val="en-GB" w:eastAsia="en-GB"/>
              </w:rPr>
              <w:t>100</w:t>
            </w:r>
          </w:p>
        </w:tc>
        <w:tc>
          <w:tcPr>
            <w:tcW w:w="968" w:type="dxa"/>
            <w:tcBorders>
              <w:top w:val="nil"/>
              <w:left w:val="nil"/>
              <w:bottom w:val="single" w:sz="4" w:space="0" w:color="auto"/>
              <w:right w:val="single" w:sz="4" w:space="0" w:color="auto"/>
            </w:tcBorders>
            <w:shd w:val="clear" w:color="000000" w:fill="FFFFFF"/>
            <w:vAlign w:val="center"/>
            <w:hideMark/>
          </w:tcPr>
          <w:p w14:paraId="28597A0C" w14:textId="59A7E662" w:rsidR="00874DC2" w:rsidRPr="00F01429" w:rsidRDefault="00F46953" w:rsidP="00C04E1A">
            <w:pPr>
              <w:pStyle w:val="NoSpacing"/>
              <w:jc w:val="center"/>
              <w:rPr>
                <w:lang w:val="en-GB" w:eastAsia="en-GB"/>
              </w:rPr>
            </w:pPr>
            <w:r>
              <w:rPr>
                <w:lang w:val="en-GB" w:eastAsia="en-GB"/>
              </w:rPr>
              <w:t>56</w:t>
            </w:r>
          </w:p>
        </w:tc>
        <w:tc>
          <w:tcPr>
            <w:tcW w:w="969" w:type="dxa"/>
            <w:tcBorders>
              <w:top w:val="nil"/>
              <w:left w:val="nil"/>
              <w:bottom w:val="single" w:sz="4" w:space="0" w:color="auto"/>
              <w:right w:val="single" w:sz="4" w:space="0" w:color="auto"/>
            </w:tcBorders>
            <w:shd w:val="clear" w:color="000000" w:fill="FFFFFF"/>
            <w:vAlign w:val="center"/>
            <w:hideMark/>
          </w:tcPr>
          <w:p w14:paraId="0BABF0B6" w14:textId="24E6A971" w:rsidR="00874DC2" w:rsidRPr="00F01429" w:rsidRDefault="00BB14A9" w:rsidP="00F46953">
            <w:pPr>
              <w:pStyle w:val="NoSpacing"/>
              <w:jc w:val="center"/>
              <w:rPr>
                <w:lang w:val="en-GB" w:eastAsia="en-GB"/>
              </w:rPr>
            </w:pPr>
            <w:r w:rsidRPr="00F01429">
              <w:rPr>
                <w:lang w:val="en-GB" w:eastAsia="en-GB"/>
              </w:rPr>
              <w:t>5</w:t>
            </w:r>
            <w:r w:rsidR="00F46953">
              <w:rPr>
                <w:lang w:val="en-GB" w:eastAsia="en-GB"/>
              </w:rPr>
              <w:t>4</w:t>
            </w:r>
          </w:p>
        </w:tc>
        <w:tc>
          <w:tcPr>
            <w:tcW w:w="685" w:type="dxa"/>
            <w:tcBorders>
              <w:top w:val="nil"/>
              <w:left w:val="nil"/>
              <w:bottom w:val="single" w:sz="4" w:space="0" w:color="auto"/>
              <w:right w:val="double" w:sz="6" w:space="0" w:color="auto"/>
            </w:tcBorders>
            <w:shd w:val="clear" w:color="000000" w:fill="FFFFFF"/>
            <w:vAlign w:val="center"/>
            <w:hideMark/>
          </w:tcPr>
          <w:p w14:paraId="5E3E1B21" w14:textId="774ECBE7" w:rsidR="00874DC2" w:rsidRPr="00F01429" w:rsidRDefault="00F46953" w:rsidP="00A7627C">
            <w:pPr>
              <w:pStyle w:val="NoSpacing"/>
              <w:jc w:val="center"/>
              <w:rPr>
                <w:lang w:val="en-GB" w:eastAsia="en-GB"/>
              </w:rPr>
            </w:pPr>
            <w:r>
              <w:rPr>
                <w:lang w:val="en-GB" w:eastAsia="en-GB"/>
              </w:rPr>
              <w:t>5</w:t>
            </w:r>
            <w:r w:rsidR="00A7627C">
              <w:rPr>
                <w:lang w:val="en-GB" w:eastAsia="en-GB"/>
              </w:rPr>
              <w:t>0</w:t>
            </w:r>
          </w:p>
        </w:tc>
      </w:tr>
      <w:tr w:rsidR="00BE5D27" w:rsidRPr="00BE5D27" w14:paraId="65FDBC23" w14:textId="77777777" w:rsidTr="00801964">
        <w:trPr>
          <w:trHeight w:val="340"/>
        </w:trPr>
        <w:tc>
          <w:tcPr>
            <w:tcW w:w="3402" w:type="dxa"/>
            <w:tcBorders>
              <w:top w:val="nil"/>
              <w:left w:val="double" w:sz="6" w:space="0" w:color="auto"/>
              <w:bottom w:val="double" w:sz="6" w:space="0" w:color="auto"/>
              <w:right w:val="nil"/>
            </w:tcBorders>
            <w:shd w:val="clear" w:color="000000" w:fill="FFFFFF"/>
            <w:vAlign w:val="center"/>
            <w:hideMark/>
          </w:tcPr>
          <w:p w14:paraId="16AA9853" w14:textId="77777777" w:rsidR="00874DC2" w:rsidRPr="00C04E1A" w:rsidRDefault="00874DC2" w:rsidP="00C04E1A">
            <w:pPr>
              <w:pStyle w:val="NoSpacing"/>
              <w:rPr>
                <w:b/>
                <w:lang w:val="en-GB" w:eastAsia="en-GB"/>
              </w:rPr>
            </w:pPr>
            <w:r w:rsidRPr="00C04E1A">
              <w:rPr>
                <w:b/>
                <w:lang w:val="en-GB" w:eastAsia="en-GB"/>
              </w:rPr>
              <w:t>Total</w:t>
            </w:r>
          </w:p>
        </w:tc>
        <w:tc>
          <w:tcPr>
            <w:tcW w:w="968" w:type="dxa"/>
            <w:tcBorders>
              <w:top w:val="nil"/>
              <w:left w:val="single" w:sz="4" w:space="0" w:color="auto"/>
              <w:bottom w:val="double" w:sz="6" w:space="0" w:color="auto"/>
              <w:right w:val="single" w:sz="4" w:space="0" w:color="auto"/>
            </w:tcBorders>
            <w:shd w:val="clear" w:color="000000" w:fill="FFFFFF"/>
            <w:vAlign w:val="center"/>
            <w:hideMark/>
          </w:tcPr>
          <w:p w14:paraId="29A25470" w14:textId="249A1424" w:rsidR="00874DC2" w:rsidRPr="00C04E1A" w:rsidRDefault="00C04E1A" w:rsidP="00C04E1A">
            <w:pPr>
              <w:pStyle w:val="NoSpacing"/>
              <w:jc w:val="center"/>
              <w:rPr>
                <w:b/>
                <w:lang w:val="en-GB" w:eastAsia="en-GB"/>
              </w:rPr>
            </w:pPr>
            <w:r>
              <w:rPr>
                <w:b/>
                <w:lang w:val="en-GB" w:eastAsia="en-GB"/>
              </w:rPr>
              <w:t>101</w:t>
            </w:r>
          </w:p>
        </w:tc>
        <w:tc>
          <w:tcPr>
            <w:tcW w:w="969" w:type="dxa"/>
            <w:tcBorders>
              <w:top w:val="nil"/>
              <w:left w:val="nil"/>
              <w:bottom w:val="double" w:sz="6" w:space="0" w:color="auto"/>
              <w:right w:val="single" w:sz="4" w:space="0" w:color="auto"/>
            </w:tcBorders>
            <w:shd w:val="clear" w:color="000000" w:fill="FFFFFF"/>
            <w:vAlign w:val="center"/>
            <w:hideMark/>
          </w:tcPr>
          <w:p w14:paraId="538E0D93" w14:textId="0A7A5574" w:rsidR="00874DC2" w:rsidRPr="00C04E1A" w:rsidRDefault="00C04E1A" w:rsidP="00C04E1A">
            <w:pPr>
              <w:pStyle w:val="NoSpacing"/>
              <w:jc w:val="center"/>
              <w:rPr>
                <w:b/>
                <w:lang w:val="en-GB" w:eastAsia="en-GB"/>
              </w:rPr>
            </w:pPr>
            <w:r>
              <w:rPr>
                <w:b/>
                <w:lang w:val="en-GB" w:eastAsia="en-GB"/>
              </w:rPr>
              <w:t>207</w:t>
            </w:r>
          </w:p>
        </w:tc>
        <w:tc>
          <w:tcPr>
            <w:tcW w:w="969" w:type="dxa"/>
            <w:tcBorders>
              <w:top w:val="nil"/>
              <w:left w:val="nil"/>
              <w:bottom w:val="double" w:sz="6" w:space="0" w:color="auto"/>
              <w:right w:val="single" w:sz="4" w:space="0" w:color="auto"/>
            </w:tcBorders>
            <w:shd w:val="clear" w:color="000000" w:fill="FFFFFF"/>
            <w:vAlign w:val="center"/>
            <w:hideMark/>
          </w:tcPr>
          <w:p w14:paraId="0BABA5C9" w14:textId="4BB29081" w:rsidR="00874DC2" w:rsidRPr="00C04E1A" w:rsidRDefault="00A7627C" w:rsidP="00C04E1A">
            <w:pPr>
              <w:pStyle w:val="NoSpacing"/>
              <w:jc w:val="center"/>
              <w:rPr>
                <w:b/>
                <w:lang w:val="en-GB" w:eastAsia="en-GB"/>
              </w:rPr>
            </w:pPr>
            <w:r>
              <w:rPr>
                <w:b/>
                <w:lang w:val="en-GB" w:eastAsia="en-GB"/>
              </w:rPr>
              <w:t>200</w:t>
            </w:r>
          </w:p>
        </w:tc>
        <w:tc>
          <w:tcPr>
            <w:tcW w:w="968" w:type="dxa"/>
            <w:tcBorders>
              <w:top w:val="nil"/>
              <w:left w:val="nil"/>
              <w:bottom w:val="double" w:sz="6" w:space="0" w:color="auto"/>
              <w:right w:val="single" w:sz="4" w:space="0" w:color="auto"/>
            </w:tcBorders>
            <w:shd w:val="clear" w:color="000000" w:fill="FFFFFF"/>
            <w:vAlign w:val="center"/>
            <w:hideMark/>
          </w:tcPr>
          <w:p w14:paraId="5303BA47" w14:textId="77777777" w:rsidR="00874DC2" w:rsidRPr="00C04E1A" w:rsidRDefault="00874DC2" w:rsidP="00C04E1A">
            <w:pPr>
              <w:pStyle w:val="NoSpacing"/>
              <w:jc w:val="center"/>
              <w:rPr>
                <w:b/>
                <w:lang w:val="en-GB" w:eastAsia="en-GB"/>
              </w:rPr>
            </w:pPr>
            <w:r w:rsidRPr="00C04E1A">
              <w:rPr>
                <w:b/>
                <w:lang w:val="en-GB" w:eastAsia="en-GB"/>
              </w:rPr>
              <w:t>100</w:t>
            </w:r>
          </w:p>
        </w:tc>
        <w:tc>
          <w:tcPr>
            <w:tcW w:w="969" w:type="dxa"/>
            <w:tcBorders>
              <w:top w:val="nil"/>
              <w:left w:val="nil"/>
              <w:bottom w:val="double" w:sz="6" w:space="0" w:color="auto"/>
              <w:right w:val="single" w:sz="4" w:space="0" w:color="auto"/>
            </w:tcBorders>
            <w:shd w:val="clear" w:color="000000" w:fill="FFFFFF"/>
            <w:vAlign w:val="center"/>
            <w:hideMark/>
          </w:tcPr>
          <w:p w14:paraId="510E20B7" w14:textId="77777777" w:rsidR="00874DC2" w:rsidRPr="00C04E1A" w:rsidRDefault="00874DC2" w:rsidP="00C04E1A">
            <w:pPr>
              <w:pStyle w:val="NoSpacing"/>
              <w:jc w:val="center"/>
              <w:rPr>
                <w:b/>
                <w:lang w:val="en-GB" w:eastAsia="en-GB"/>
              </w:rPr>
            </w:pPr>
            <w:r w:rsidRPr="00C04E1A">
              <w:rPr>
                <w:b/>
                <w:lang w:val="en-GB" w:eastAsia="en-GB"/>
              </w:rPr>
              <w:t>100</w:t>
            </w:r>
          </w:p>
        </w:tc>
        <w:tc>
          <w:tcPr>
            <w:tcW w:w="685" w:type="dxa"/>
            <w:tcBorders>
              <w:top w:val="nil"/>
              <w:left w:val="nil"/>
              <w:bottom w:val="double" w:sz="6" w:space="0" w:color="auto"/>
              <w:right w:val="double" w:sz="6" w:space="0" w:color="auto"/>
            </w:tcBorders>
            <w:shd w:val="clear" w:color="000000" w:fill="FFFFFF"/>
            <w:vAlign w:val="center"/>
            <w:hideMark/>
          </w:tcPr>
          <w:p w14:paraId="2609EE0A" w14:textId="77777777" w:rsidR="00874DC2" w:rsidRPr="00C04E1A" w:rsidRDefault="00874DC2" w:rsidP="00C04E1A">
            <w:pPr>
              <w:pStyle w:val="NoSpacing"/>
              <w:jc w:val="center"/>
              <w:rPr>
                <w:b/>
                <w:lang w:val="en-GB" w:eastAsia="en-GB"/>
              </w:rPr>
            </w:pPr>
            <w:r w:rsidRPr="00C04E1A">
              <w:rPr>
                <w:b/>
                <w:lang w:val="en-GB" w:eastAsia="en-GB"/>
              </w:rPr>
              <w:t>100</w:t>
            </w:r>
          </w:p>
        </w:tc>
      </w:tr>
      <w:tr w:rsidR="00BE5D27" w:rsidRPr="00BE5D27" w14:paraId="51991016" w14:textId="77777777" w:rsidTr="00801964">
        <w:trPr>
          <w:trHeight w:val="281"/>
        </w:trPr>
        <w:tc>
          <w:tcPr>
            <w:tcW w:w="8930" w:type="dxa"/>
            <w:gridSpan w:val="7"/>
            <w:tcBorders>
              <w:top w:val="double" w:sz="6" w:space="0" w:color="auto"/>
              <w:left w:val="double" w:sz="6" w:space="0" w:color="auto"/>
              <w:bottom w:val="double" w:sz="6" w:space="0" w:color="auto"/>
              <w:right w:val="double" w:sz="6" w:space="0" w:color="000000"/>
            </w:tcBorders>
            <w:shd w:val="clear" w:color="auto" w:fill="auto"/>
            <w:noWrap/>
            <w:vAlign w:val="center"/>
            <w:hideMark/>
          </w:tcPr>
          <w:p w14:paraId="522787FF" w14:textId="2AFFDE39" w:rsidR="00874DC2" w:rsidRPr="00801964" w:rsidRDefault="00874DC2" w:rsidP="00680760">
            <w:pPr>
              <w:pStyle w:val="NoSpacing"/>
              <w:rPr>
                <w:color w:val="000000" w:themeColor="text1"/>
                <w:sz w:val="16"/>
                <w:szCs w:val="16"/>
                <w:lang w:val="en-GB" w:eastAsia="en-GB"/>
              </w:rPr>
            </w:pPr>
            <w:r w:rsidRPr="00801964">
              <w:rPr>
                <w:color w:val="000000" w:themeColor="text1"/>
                <w:sz w:val="16"/>
                <w:szCs w:val="16"/>
                <w:lang w:val="en-GB" w:eastAsia="en-GB"/>
              </w:rPr>
              <w:t>*Developed based on IAIG annu</w:t>
            </w:r>
            <w:r w:rsidR="00680760" w:rsidRPr="00801964">
              <w:rPr>
                <w:color w:val="000000" w:themeColor="text1"/>
                <w:sz w:val="16"/>
                <w:szCs w:val="16"/>
                <w:lang w:val="en-GB" w:eastAsia="en-GB"/>
              </w:rPr>
              <w:t>al reports for 2016</w:t>
            </w:r>
            <w:r w:rsidR="00894B4E" w:rsidRPr="00801964">
              <w:rPr>
                <w:color w:val="000000" w:themeColor="text1"/>
                <w:sz w:val="16"/>
                <w:szCs w:val="16"/>
                <w:lang w:val="en-GB" w:eastAsia="en-GB"/>
              </w:rPr>
              <w:t xml:space="preserve"> </w:t>
            </w:r>
            <w:r w:rsidR="00CF24E1" w:rsidRPr="00801964">
              <w:rPr>
                <w:color w:val="000000" w:themeColor="text1"/>
                <w:sz w:val="16"/>
                <w:szCs w:val="16"/>
                <w:lang w:val="en-GB" w:eastAsia="en-GB"/>
              </w:rPr>
              <w:t>(</w:t>
            </w:r>
            <w:r w:rsidR="00CD4078" w:rsidRPr="00801964">
              <w:rPr>
                <w:color w:val="000000" w:themeColor="text1"/>
                <w:sz w:val="16"/>
                <w:szCs w:val="16"/>
                <w:lang w:val="en-GB" w:eastAsia="en-GB"/>
              </w:rPr>
              <w:t>DP/OPS/201</w:t>
            </w:r>
            <w:r w:rsidR="00D80899" w:rsidRPr="00801964">
              <w:rPr>
                <w:color w:val="000000" w:themeColor="text1"/>
                <w:sz w:val="16"/>
                <w:szCs w:val="16"/>
                <w:lang w:val="en-GB" w:eastAsia="en-GB"/>
              </w:rPr>
              <w:t>7</w:t>
            </w:r>
            <w:r w:rsidR="00CD4078" w:rsidRPr="00801964">
              <w:rPr>
                <w:color w:val="000000" w:themeColor="text1"/>
                <w:sz w:val="16"/>
                <w:szCs w:val="16"/>
                <w:lang w:val="en-GB" w:eastAsia="en-GB"/>
              </w:rPr>
              <w:t>/3</w:t>
            </w:r>
            <w:r w:rsidR="00CF24E1" w:rsidRPr="00801964">
              <w:rPr>
                <w:color w:val="000000" w:themeColor="text1"/>
                <w:sz w:val="16"/>
                <w:szCs w:val="16"/>
                <w:lang w:val="en-GB" w:eastAsia="en-GB"/>
              </w:rPr>
              <w:t>) and 201</w:t>
            </w:r>
            <w:r w:rsidR="00680760" w:rsidRPr="00801964">
              <w:rPr>
                <w:color w:val="000000" w:themeColor="text1"/>
                <w:sz w:val="16"/>
                <w:szCs w:val="16"/>
                <w:lang w:val="en-GB" w:eastAsia="en-GB"/>
              </w:rPr>
              <w:t>7</w:t>
            </w:r>
            <w:r w:rsidR="00894B4E" w:rsidRPr="00801964">
              <w:rPr>
                <w:color w:val="000000" w:themeColor="text1"/>
                <w:sz w:val="16"/>
                <w:szCs w:val="16"/>
                <w:lang w:val="en-GB" w:eastAsia="en-GB"/>
              </w:rPr>
              <w:t xml:space="preserve"> </w:t>
            </w:r>
            <w:r w:rsidR="00CF24E1" w:rsidRPr="00801964">
              <w:rPr>
                <w:color w:val="000000" w:themeColor="text1"/>
                <w:sz w:val="16"/>
                <w:szCs w:val="16"/>
                <w:lang w:val="en-GB" w:eastAsia="en-GB"/>
              </w:rPr>
              <w:t>(DP/OPS/</w:t>
            </w:r>
            <w:r w:rsidR="00D80899" w:rsidRPr="00801964">
              <w:rPr>
                <w:color w:val="000000" w:themeColor="text1"/>
                <w:sz w:val="16"/>
                <w:szCs w:val="16"/>
                <w:lang w:val="en-GB" w:eastAsia="en-GB"/>
              </w:rPr>
              <w:t>2018</w:t>
            </w:r>
            <w:r w:rsidR="003E3346" w:rsidRPr="00801964">
              <w:rPr>
                <w:color w:val="000000" w:themeColor="text1"/>
                <w:sz w:val="16"/>
                <w:szCs w:val="16"/>
                <w:lang w:val="en-GB" w:eastAsia="en-GB"/>
              </w:rPr>
              <w:t>/3</w:t>
            </w:r>
            <w:r w:rsidRPr="00801964">
              <w:rPr>
                <w:color w:val="000000" w:themeColor="text1"/>
                <w:sz w:val="16"/>
                <w:szCs w:val="16"/>
                <w:lang w:val="en-GB" w:eastAsia="en-GB"/>
              </w:rPr>
              <w:t>).</w:t>
            </w:r>
          </w:p>
        </w:tc>
      </w:tr>
    </w:tbl>
    <w:p w14:paraId="04BF64B0" w14:textId="3B37B803" w:rsidR="00EC797A" w:rsidRPr="00F46953" w:rsidRDefault="00C04E1A" w:rsidP="00F46953">
      <w:pPr>
        <w:tabs>
          <w:tab w:val="left" w:pos="426"/>
        </w:tabs>
        <w:jc w:val="both"/>
        <w:rPr>
          <w:sz w:val="22"/>
          <w:lang w:val="en-GB"/>
        </w:rPr>
      </w:pPr>
      <w:r>
        <w:rPr>
          <w:sz w:val="22"/>
          <w:lang w:val="en-GB"/>
        </w:rPr>
        <w:t>Wi</w:t>
      </w:r>
      <w:r w:rsidR="001D21E8" w:rsidRPr="00D43D08">
        <w:rPr>
          <w:sz w:val="22"/>
          <w:lang w:val="en-GB"/>
        </w:rPr>
        <w:t>th regard to the functional distribution of internal audit recommendations, management notes</w:t>
      </w:r>
      <w:r w:rsidR="00AE752A" w:rsidRPr="00D43D08">
        <w:rPr>
          <w:sz w:val="22"/>
          <w:lang w:val="en-GB"/>
        </w:rPr>
        <w:t xml:space="preserve"> </w:t>
      </w:r>
      <w:r w:rsidR="001D21E8" w:rsidRPr="00D43D08">
        <w:rPr>
          <w:sz w:val="22"/>
          <w:lang w:val="en-GB"/>
        </w:rPr>
        <w:t xml:space="preserve">peaks in recommendations for </w:t>
      </w:r>
      <w:r w:rsidR="00F46953">
        <w:rPr>
          <w:sz w:val="22"/>
          <w:lang w:val="en-GB"/>
        </w:rPr>
        <w:t>Project Management (2017), Procurement (2017) and Finance (2016)</w:t>
      </w:r>
      <w:r w:rsidR="00014989" w:rsidRPr="00D43D08">
        <w:rPr>
          <w:sz w:val="22"/>
          <w:lang w:val="en-GB"/>
        </w:rPr>
        <w:t>.</w:t>
      </w:r>
      <w:r w:rsidR="001D21E8" w:rsidRPr="00D43D08">
        <w:rPr>
          <w:sz w:val="22"/>
          <w:lang w:val="en-GB"/>
        </w:rPr>
        <w:t xml:space="preserve"> These findings correlate</w:t>
      </w:r>
      <w:r w:rsidR="00F46953">
        <w:rPr>
          <w:sz w:val="22"/>
          <w:lang w:val="en-GB"/>
        </w:rPr>
        <w:t xml:space="preserve"> (a) to the focus on globally operating business units th</w:t>
      </w:r>
      <w:r w:rsidR="007D25B4">
        <w:rPr>
          <w:sz w:val="22"/>
          <w:lang w:val="en-GB"/>
        </w:rPr>
        <w:t>at delivered</w:t>
      </w:r>
      <w:r w:rsidR="00F46953">
        <w:rPr>
          <w:sz w:val="22"/>
          <w:lang w:val="en-GB"/>
        </w:rPr>
        <w:t xml:space="preserve"> of project management services in 2017, and (b)</w:t>
      </w:r>
      <w:r w:rsidR="001D21E8" w:rsidRPr="00D43D08">
        <w:rPr>
          <w:sz w:val="22"/>
          <w:lang w:val="en-GB"/>
        </w:rPr>
        <w:t xml:space="preserve"> to the </w:t>
      </w:r>
      <w:r w:rsidR="000B1FB6" w:rsidRPr="00D43D08">
        <w:rPr>
          <w:sz w:val="22"/>
          <w:lang w:val="en-GB"/>
        </w:rPr>
        <w:t xml:space="preserve">functional focus of </w:t>
      </w:r>
      <w:r w:rsidR="001D21E8" w:rsidRPr="00D43D08">
        <w:rPr>
          <w:sz w:val="22"/>
          <w:lang w:val="en-GB"/>
        </w:rPr>
        <w:t>internal audit re</w:t>
      </w:r>
      <w:r w:rsidR="00142DA1" w:rsidRPr="00D43D08">
        <w:rPr>
          <w:sz w:val="22"/>
          <w:lang w:val="en-GB"/>
        </w:rPr>
        <w:t>ports issued by IAIG during 2016</w:t>
      </w:r>
      <w:r w:rsidR="00F46953">
        <w:rPr>
          <w:sz w:val="22"/>
          <w:lang w:val="en-GB"/>
        </w:rPr>
        <w:t xml:space="preserve"> and 2017</w:t>
      </w:r>
      <w:r w:rsidR="00142DA1" w:rsidRPr="00D43D08">
        <w:rPr>
          <w:sz w:val="22"/>
          <w:lang w:val="en-GB"/>
        </w:rPr>
        <w:t>, which</w:t>
      </w:r>
      <w:r w:rsidR="001D21E8" w:rsidRPr="00D43D08">
        <w:rPr>
          <w:sz w:val="22"/>
          <w:lang w:val="en-GB"/>
        </w:rPr>
        <w:t xml:space="preserve"> included a </w:t>
      </w:r>
      <w:r w:rsidR="00142DA1" w:rsidRPr="00D43D08">
        <w:rPr>
          <w:sz w:val="22"/>
          <w:lang w:val="en-GB"/>
        </w:rPr>
        <w:t>risk assessment o</w:t>
      </w:r>
      <w:r w:rsidR="0085025C" w:rsidRPr="00D43D08">
        <w:rPr>
          <w:sz w:val="22"/>
          <w:lang w:val="en-GB"/>
        </w:rPr>
        <w:t xml:space="preserve">f the UNOPS ERP system, </w:t>
      </w:r>
      <w:r w:rsidR="00F46953">
        <w:rPr>
          <w:sz w:val="22"/>
          <w:lang w:val="en-GB"/>
        </w:rPr>
        <w:t xml:space="preserve">and </w:t>
      </w:r>
      <w:r w:rsidR="00142DA1" w:rsidRPr="00D43D08">
        <w:rPr>
          <w:sz w:val="22"/>
          <w:lang w:val="en-GB"/>
        </w:rPr>
        <w:t xml:space="preserve">a review of the UNOPS </w:t>
      </w:r>
      <w:r w:rsidR="00F46953">
        <w:rPr>
          <w:sz w:val="22"/>
          <w:lang w:val="en-GB"/>
        </w:rPr>
        <w:t>Procurement</w:t>
      </w:r>
      <w:r w:rsidR="00142DA1" w:rsidRPr="00D43D08">
        <w:rPr>
          <w:sz w:val="22"/>
          <w:lang w:val="en-GB"/>
        </w:rPr>
        <w:t xml:space="preserve"> Function. </w:t>
      </w:r>
      <w:r w:rsidR="001D21E8" w:rsidRPr="00D43D08">
        <w:rPr>
          <w:sz w:val="22"/>
          <w:lang w:val="en-GB"/>
        </w:rPr>
        <w:t>Management continues to follow up and coordinate with relevant business units in the impl</w:t>
      </w:r>
      <w:r w:rsidR="00E716E5" w:rsidRPr="00D43D08">
        <w:rPr>
          <w:sz w:val="22"/>
          <w:lang w:val="en-GB"/>
        </w:rPr>
        <w:t>ementation of recommendations.</w:t>
      </w:r>
    </w:p>
    <w:p w14:paraId="77760FE2" w14:textId="55C04743" w:rsidR="007151B8" w:rsidRPr="00F46953" w:rsidRDefault="00924F23" w:rsidP="00924F23">
      <w:pPr>
        <w:keepNext/>
        <w:numPr>
          <w:ilvl w:val="0"/>
          <w:numId w:val="0"/>
        </w:numPr>
        <w:ind w:right="-94"/>
        <w:jc w:val="center"/>
        <w:rPr>
          <w:sz w:val="22"/>
          <w:szCs w:val="22"/>
          <w:lang w:val="en-GB"/>
        </w:rPr>
      </w:pPr>
      <w:r>
        <w:rPr>
          <w:noProof/>
        </w:rPr>
        <w:lastRenderedPageBreak/>
        <w:drawing>
          <wp:anchor distT="0" distB="0" distL="114300" distR="114300" simplePos="0" relativeHeight="251661312" behindDoc="0" locked="0" layoutInCell="1" allowOverlap="1" wp14:anchorId="02ECD26A" wp14:editId="438620F1">
            <wp:simplePos x="0" y="0"/>
            <wp:positionH relativeFrom="margin">
              <wp:align>right</wp:align>
            </wp:positionH>
            <wp:positionV relativeFrom="paragraph">
              <wp:posOffset>335280</wp:posOffset>
            </wp:positionV>
            <wp:extent cx="5955030" cy="7974965"/>
            <wp:effectExtent l="0" t="0" r="7620" b="6985"/>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7151B8" w:rsidRPr="00276B17">
        <w:rPr>
          <w:b/>
          <w:sz w:val="18"/>
          <w:szCs w:val="18"/>
          <w:lang w:val="en-GB"/>
        </w:rPr>
        <w:t xml:space="preserve">Graph 1: </w:t>
      </w:r>
      <w:r w:rsidR="00485349" w:rsidRPr="00276B17">
        <w:rPr>
          <w:b/>
          <w:sz w:val="18"/>
          <w:szCs w:val="18"/>
          <w:lang w:val="en-GB"/>
        </w:rPr>
        <w:t xml:space="preserve">End-year status of internal audit recommendations </w:t>
      </w:r>
      <w:r w:rsidR="00F46953">
        <w:rPr>
          <w:b/>
          <w:sz w:val="18"/>
          <w:szCs w:val="18"/>
          <w:lang w:val="en-GB"/>
        </w:rPr>
        <w:t>which have been open during 2017</w:t>
      </w:r>
      <w:r w:rsidR="00485349" w:rsidRPr="00276B17">
        <w:rPr>
          <w:b/>
          <w:sz w:val="18"/>
          <w:szCs w:val="18"/>
          <w:lang w:val="en-GB"/>
        </w:rPr>
        <w:t xml:space="preserve">, sorted by functional </w:t>
      </w:r>
      <w:r w:rsidR="006C2C49" w:rsidRPr="00276B17">
        <w:rPr>
          <w:b/>
          <w:sz w:val="18"/>
          <w:szCs w:val="18"/>
          <w:lang w:val="en-GB"/>
        </w:rPr>
        <w:t>area</w:t>
      </w:r>
      <w:r w:rsidR="00485349" w:rsidRPr="00276B17">
        <w:rPr>
          <w:b/>
          <w:sz w:val="18"/>
          <w:szCs w:val="18"/>
          <w:lang w:val="en-GB"/>
        </w:rPr>
        <w:t>.</w:t>
      </w:r>
      <w:r w:rsidR="00F46953" w:rsidRPr="00F46953">
        <w:rPr>
          <w:noProof/>
        </w:rPr>
        <w:t xml:space="preserve"> </w:t>
      </w:r>
    </w:p>
    <w:p w14:paraId="13318D9B" w14:textId="0032FEAC" w:rsidR="006E0AEC" w:rsidRPr="00AA11CA" w:rsidRDefault="00964A6C" w:rsidP="00D120BA">
      <w:pPr>
        <w:pStyle w:val="Heading2"/>
      </w:pPr>
      <w:bookmarkStart w:id="41" w:name="_Toc445816823"/>
      <w:bookmarkStart w:id="42" w:name="_Toc445817105"/>
      <w:bookmarkStart w:id="43" w:name="_Toc447626874"/>
      <w:bookmarkStart w:id="44" w:name="_Toc512590055"/>
      <w:r w:rsidRPr="00AA11CA">
        <w:lastRenderedPageBreak/>
        <w:t>IAIG P</w:t>
      </w:r>
      <w:r w:rsidR="006E0AEC" w:rsidRPr="00AA11CA">
        <w:t>roject audits</w:t>
      </w:r>
      <w:bookmarkEnd w:id="41"/>
      <w:bookmarkEnd w:id="42"/>
      <w:bookmarkEnd w:id="43"/>
      <w:bookmarkEnd w:id="44"/>
    </w:p>
    <w:p w14:paraId="521ED692" w14:textId="7E40D4DB" w:rsidR="006E0AEC" w:rsidRDefault="006E0AEC" w:rsidP="00F46953">
      <w:pPr>
        <w:tabs>
          <w:tab w:val="left" w:pos="426"/>
        </w:tabs>
        <w:jc w:val="both"/>
        <w:rPr>
          <w:sz w:val="22"/>
        </w:rPr>
      </w:pPr>
      <w:r w:rsidRPr="00D43D08">
        <w:rPr>
          <w:sz w:val="22"/>
        </w:rPr>
        <w:t xml:space="preserve">Management notes </w:t>
      </w:r>
      <w:r w:rsidR="0088343A">
        <w:rPr>
          <w:sz w:val="22"/>
        </w:rPr>
        <w:t>that</w:t>
      </w:r>
      <w:r w:rsidR="007944CC">
        <w:rPr>
          <w:sz w:val="22"/>
        </w:rPr>
        <w:t xml:space="preserve"> in 201</w:t>
      </w:r>
      <w:r w:rsidR="0088343A">
        <w:rPr>
          <w:sz w:val="22"/>
        </w:rPr>
        <w:t>7</w:t>
      </w:r>
      <w:r w:rsidR="009824D3">
        <w:rPr>
          <w:sz w:val="22"/>
        </w:rPr>
        <w:t>,</w:t>
      </w:r>
      <w:r w:rsidR="007944CC">
        <w:rPr>
          <w:sz w:val="22"/>
        </w:rPr>
        <w:t xml:space="preserve"> </w:t>
      </w:r>
      <w:r w:rsidR="0077141E">
        <w:rPr>
          <w:sz w:val="22"/>
        </w:rPr>
        <w:t>90</w:t>
      </w:r>
      <w:r w:rsidR="00680760">
        <w:rPr>
          <w:sz w:val="22"/>
        </w:rPr>
        <w:t xml:space="preserve"> percent</w:t>
      </w:r>
      <w:r w:rsidR="0088343A">
        <w:rPr>
          <w:sz w:val="22"/>
        </w:rPr>
        <w:t xml:space="preserve"> of</w:t>
      </w:r>
      <w:r w:rsidR="007944CC">
        <w:rPr>
          <w:sz w:val="22"/>
        </w:rPr>
        <w:t xml:space="preserve"> </w:t>
      </w:r>
      <w:r w:rsidR="00485349" w:rsidRPr="00D43D08">
        <w:rPr>
          <w:sz w:val="22"/>
        </w:rPr>
        <w:t>financial statement</w:t>
      </w:r>
      <w:r w:rsidR="007944CC">
        <w:rPr>
          <w:sz w:val="22"/>
        </w:rPr>
        <w:t>s</w:t>
      </w:r>
      <w:r w:rsidRPr="00D43D08">
        <w:rPr>
          <w:sz w:val="22"/>
        </w:rPr>
        <w:t xml:space="preserve"> of project</w:t>
      </w:r>
      <w:r w:rsidR="007D25B4">
        <w:rPr>
          <w:sz w:val="22"/>
        </w:rPr>
        <w:t>s</w:t>
      </w:r>
      <w:r w:rsidRPr="00D43D08">
        <w:rPr>
          <w:sz w:val="22"/>
        </w:rPr>
        <w:t xml:space="preserve"> audit</w:t>
      </w:r>
      <w:r w:rsidR="007D25B4">
        <w:rPr>
          <w:sz w:val="22"/>
        </w:rPr>
        <w:t>ed</w:t>
      </w:r>
      <w:r w:rsidR="00B67194" w:rsidRPr="00D43D08">
        <w:rPr>
          <w:sz w:val="22"/>
        </w:rPr>
        <w:t xml:space="preserve"> received</w:t>
      </w:r>
      <w:r w:rsidR="009C28CC" w:rsidRPr="00D43D08">
        <w:rPr>
          <w:sz w:val="22"/>
        </w:rPr>
        <w:t xml:space="preserve"> </w:t>
      </w:r>
      <w:r w:rsidRPr="00D43D08">
        <w:rPr>
          <w:sz w:val="22"/>
        </w:rPr>
        <w:t xml:space="preserve">unqualified opinions. </w:t>
      </w:r>
      <w:r w:rsidR="0070561E" w:rsidRPr="00D43D08">
        <w:rPr>
          <w:sz w:val="22"/>
        </w:rPr>
        <w:t>Management</w:t>
      </w:r>
      <w:r w:rsidR="000243C8">
        <w:rPr>
          <w:sz w:val="22"/>
        </w:rPr>
        <w:t xml:space="preserve"> also</w:t>
      </w:r>
      <w:r w:rsidR="0070561E" w:rsidRPr="00D43D08">
        <w:rPr>
          <w:sz w:val="22"/>
        </w:rPr>
        <w:t xml:space="preserve"> notes </w:t>
      </w:r>
      <w:r w:rsidR="0088343A">
        <w:rPr>
          <w:sz w:val="22"/>
        </w:rPr>
        <w:t>the</w:t>
      </w:r>
      <w:r w:rsidR="007944CC">
        <w:rPr>
          <w:sz w:val="22"/>
        </w:rPr>
        <w:t xml:space="preserve"> </w:t>
      </w:r>
      <w:r w:rsidR="0070561E" w:rsidRPr="00D43D08">
        <w:rPr>
          <w:sz w:val="22"/>
        </w:rPr>
        <w:t xml:space="preserve">decrease </w:t>
      </w:r>
      <w:r w:rsidR="007944CC">
        <w:rPr>
          <w:sz w:val="22"/>
        </w:rPr>
        <w:t xml:space="preserve">of </w:t>
      </w:r>
      <w:r w:rsidR="0088343A">
        <w:rPr>
          <w:sz w:val="22"/>
        </w:rPr>
        <w:t>1</w:t>
      </w:r>
      <w:r w:rsidR="0077141E">
        <w:rPr>
          <w:sz w:val="22"/>
        </w:rPr>
        <w:t>3</w:t>
      </w:r>
      <w:r w:rsidR="0070561E" w:rsidRPr="00D43D08">
        <w:rPr>
          <w:sz w:val="22"/>
        </w:rPr>
        <w:t xml:space="preserve"> percentage points </w:t>
      </w:r>
      <w:r w:rsidR="007944CC">
        <w:rPr>
          <w:sz w:val="22"/>
        </w:rPr>
        <w:t xml:space="preserve">in </w:t>
      </w:r>
      <w:r w:rsidR="0070561E" w:rsidRPr="00D43D08">
        <w:rPr>
          <w:sz w:val="22"/>
        </w:rPr>
        <w:t>satisfactory</w:t>
      </w:r>
      <w:r w:rsidR="004E1A8B" w:rsidRPr="00D43D08">
        <w:rPr>
          <w:sz w:val="22"/>
        </w:rPr>
        <w:t xml:space="preserve"> ratings</w:t>
      </w:r>
      <w:r w:rsidR="007D25B4">
        <w:rPr>
          <w:sz w:val="22"/>
        </w:rPr>
        <w:t xml:space="preserve"> of the overall level of internal control of projects</w:t>
      </w:r>
      <w:r w:rsidR="0088343A">
        <w:rPr>
          <w:sz w:val="22"/>
        </w:rPr>
        <w:t>, down to levels last seen in 2014</w:t>
      </w:r>
      <w:r w:rsidR="00485349" w:rsidRPr="00D43D08">
        <w:rPr>
          <w:sz w:val="22"/>
        </w:rPr>
        <w:t xml:space="preserve">, indicating </w:t>
      </w:r>
      <w:r w:rsidR="0077141E">
        <w:rPr>
          <w:sz w:val="22"/>
        </w:rPr>
        <w:t xml:space="preserve">the </w:t>
      </w:r>
      <w:r w:rsidR="0088343A">
        <w:rPr>
          <w:sz w:val="22"/>
        </w:rPr>
        <w:t xml:space="preserve">need for </w:t>
      </w:r>
      <w:r w:rsidR="00427401">
        <w:rPr>
          <w:sz w:val="22"/>
        </w:rPr>
        <w:t>some improvement</w:t>
      </w:r>
      <w:r w:rsidRPr="00D43D08">
        <w:rPr>
          <w:sz w:val="22"/>
        </w:rPr>
        <w:t xml:space="preserve"> of systems and operational practices on the ground.</w:t>
      </w:r>
      <w:r w:rsidR="00995B22">
        <w:rPr>
          <w:sz w:val="22"/>
        </w:rPr>
        <w:t xml:space="preserve"> With re</w:t>
      </w:r>
      <w:r w:rsidR="00995597">
        <w:rPr>
          <w:sz w:val="22"/>
        </w:rPr>
        <w:t>gard</w:t>
      </w:r>
      <w:r w:rsidR="00995B22">
        <w:rPr>
          <w:sz w:val="22"/>
        </w:rPr>
        <w:t xml:space="preserve"> to the two unsatisfactory </w:t>
      </w:r>
      <w:r w:rsidR="00C500FF">
        <w:rPr>
          <w:sz w:val="22"/>
        </w:rPr>
        <w:t xml:space="preserve">project </w:t>
      </w:r>
      <w:r w:rsidR="00995B22">
        <w:rPr>
          <w:sz w:val="22"/>
        </w:rPr>
        <w:t>audits, management notes that they pertain to projects manage</w:t>
      </w:r>
      <w:r w:rsidR="000243C8">
        <w:rPr>
          <w:sz w:val="22"/>
        </w:rPr>
        <w:t>d</w:t>
      </w:r>
      <w:r w:rsidR="00995B22">
        <w:rPr>
          <w:sz w:val="22"/>
        </w:rPr>
        <w:t xml:space="preserve"> remotely; the necessary steps have</w:t>
      </w:r>
      <w:r w:rsidR="000243C8">
        <w:rPr>
          <w:sz w:val="22"/>
        </w:rPr>
        <w:t xml:space="preserve"> been</w:t>
      </w:r>
      <w:r w:rsidR="00995B22">
        <w:rPr>
          <w:sz w:val="22"/>
        </w:rPr>
        <w:t xml:space="preserve"> initiated to address the</w:t>
      </w:r>
      <w:r w:rsidR="00427401">
        <w:rPr>
          <w:sz w:val="22"/>
        </w:rPr>
        <w:t xml:space="preserve"> </w:t>
      </w:r>
      <w:r w:rsidR="00995B22">
        <w:rPr>
          <w:sz w:val="22"/>
        </w:rPr>
        <w:t xml:space="preserve">recommendations issued in this context. </w:t>
      </w:r>
    </w:p>
    <w:p w14:paraId="306DB6A2" w14:textId="20EBCD76" w:rsidR="0077141E" w:rsidRPr="00F46953" w:rsidRDefault="0077141E" w:rsidP="00F46953">
      <w:pPr>
        <w:tabs>
          <w:tab w:val="left" w:pos="426"/>
        </w:tabs>
        <w:jc w:val="both"/>
        <w:rPr>
          <w:sz w:val="22"/>
        </w:rPr>
      </w:pPr>
      <w:r>
        <w:rPr>
          <w:sz w:val="22"/>
        </w:rPr>
        <w:t xml:space="preserve">Management notes the refinement of rating categories of </w:t>
      </w:r>
      <w:r w:rsidR="000243C8">
        <w:rPr>
          <w:sz w:val="22"/>
        </w:rPr>
        <w:t xml:space="preserve">the </w:t>
      </w:r>
      <w:r>
        <w:rPr>
          <w:sz w:val="22"/>
        </w:rPr>
        <w:t>overall level of internal control, as introduced by IAIG during the 2017 work plan cycle.</w:t>
      </w:r>
    </w:p>
    <w:tbl>
      <w:tblPr>
        <w:tblW w:w="9072" w:type="dxa"/>
        <w:tblInd w:w="403" w:type="dxa"/>
        <w:tblLayout w:type="fixed"/>
        <w:tblLook w:val="04A0" w:firstRow="1" w:lastRow="0" w:firstColumn="1" w:lastColumn="0" w:noHBand="0" w:noVBand="1"/>
      </w:tblPr>
      <w:tblGrid>
        <w:gridCol w:w="2976"/>
        <w:gridCol w:w="992"/>
        <w:gridCol w:w="992"/>
        <w:gridCol w:w="993"/>
        <w:gridCol w:w="992"/>
        <w:gridCol w:w="992"/>
        <w:gridCol w:w="1135"/>
      </w:tblGrid>
      <w:tr w:rsidR="007944CC" w:rsidRPr="007944CC" w14:paraId="7137914E" w14:textId="77777777" w:rsidTr="00801964">
        <w:trPr>
          <w:trHeight w:val="340"/>
        </w:trPr>
        <w:tc>
          <w:tcPr>
            <w:tcW w:w="9072" w:type="dxa"/>
            <w:gridSpan w:val="7"/>
            <w:tcBorders>
              <w:top w:val="double" w:sz="6" w:space="0" w:color="auto"/>
              <w:left w:val="double" w:sz="6" w:space="0" w:color="auto"/>
              <w:bottom w:val="double" w:sz="6" w:space="0" w:color="auto"/>
              <w:right w:val="double" w:sz="6" w:space="0" w:color="000000"/>
            </w:tcBorders>
            <w:shd w:val="clear" w:color="000000" w:fill="FFFFFF"/>
            <w:noWrap/>
            <w:vAlign w:val="center"/>
            <w:hideMark/>
          </w:tcPr>
          <w:p w14:paraId="0967E136" w14:textId="15D9B2C6" w:rsidR="00930846" w:rsidRPr="0090429F" w:rsidRDefault="00930846" w:rsidP="0090429F">
            <w:pPr>
              <w:pStyle w:val="NoSpacing"/>
              <w:rPr>
                <w:b/>
                <w:lang w:val="en-GB" w:eastAsia="en-GB"/>
              </w:rPr>
            </w:pPr>
            <w:r w:rsidRPr="00C947A8">
              <w:rPr>
                <w:b/>
                <w:sz w:val="18"/>
                <w:lang w:val="en-GB" w:eastAsia="en-GB"/>
              </w:rPr>
              <w:t>Table 5. Summary of project audit opinions and ratings of internal controls for project audits, 201</w:t>
            </w:r>
            <w:r w:rsidR="0090429F" w:rsidRPr="00C947A8">
              <w:rPr>
                <w:b/>
                <w:sz w:val="18"/>
                <w:lang w:val="en-GB" w:eastAsia="en-GB"/>
              </w:rPr>
              <w:t>5</w:t>
            </w:r>
            <w:r w:rsidRPr="00C947A8">
              <w:rPr>
                <w:b/>
                <w:sz w:val="18"/>
                <w:lang w:val="en-GB" w:eastAsia="en-GB"/>
              </w:rPr>
              <w:t>-201</w:t>
            </w:r>
            <w:r w:rsidR="0090429F" w:rsidRPr="00C947A8">
              <w:rPr>
                <w:b/>
                <w:sz w:val="18"/>
                <w:lang w:val="en-GB" w:eastAsia="en-GB"/>
              </w:rPr>
              <w:t>7</w:t>
            </w:r>
            <w:r w:rsidRPr="00C947A8">
              <w:rPr>
                <w:b/>
                <w:sz w:val="18"/>
                <w:lang w:val="en-GB" w:eastAsia="en-GB"/>
              </w:rPr>
              <w:t>*</w:t>
            </w:r>
          </w:p>
        </w:tc>
      </w:tr>
      <w:tr w:rsidR="007944CC" w:rsidRPr="007944CC" w14:paraId="5A304D28" w14:textId="77777777" w:rsidTr="00801964">
        <w:trPr>
          <w:trHeight w:val="340"/>
        </w:trPr>
        <w:tc>
          <w:tcPr>
            <w:tcW w:w="2976" w:type="dxa"/>
            <w:vMerge w:val="restart"/>
            <w:tcBorders>
              <w:top w:val="nil"/>
              <w:left w:val="double" w:sz="6" w:space="0" w:color="auto"/>
              <w:bottom w:val="single" w:sz="4" w:space="0" w:color="000000"/>
              <w:right w:val="single" w:sz="4" w:space="0" w:color="auto"/>
            </w:tcBorders>
            <w:shd w:val="clear" w:color="000000" w:fill="FFFFFF"/>
            <w:vAlign w:val="center"/>
            <w:hideMark/>
          </w:tcPr>
          <w:p w14:paraId="7BCE627B" w14:textId="77777777" w:rsidR="00BC53ED" w:rsidRPr="0090429F" w:rsidRDefault="00BC53ED" w:rsidP="00F46953">
            <w:pPr>
              <w:pStyle w:val="NoSpacing"/>
              <w:rPr>
                <w:b/>
                <w:lang w:val="en-GB" w:eastAsia="en-GB"/>
              </w:rPr>
            </w:pPr>
            <w:r w:rsidRPr="0090429F">
              <w:rPr>
                <w:b/>
                <w:lang w:val="en-GB" w:eastAsia="en-GB"/>
              </w:rPr>
              <w:t>Type of opinion or rating</w:t>
            </w:r>
          </w:p>
        </w:tc>
        <w:tc>
          <w:tcPr>
            <w:tcW w:w="2977" w:type="dxa"/>
            <w:gridSpan w:val="3"/>
            <w:tcBorders>
              <w:top w:val="double" w:sz="6" w:space="0" w:color="auto"/>
              <w:left w:val="nil"/>
              <w:bottom w:val="single" w:sz="4" w:space="0" w:color="auto"/>
              <w:right w:val="single" w:sz="4" w:space="0" w:color="auto"/>
            </w:tcBorders>
            <w:shd w:val="clear" w:color="000000" w:fill="FFFFFF"/>
            <w:vAlign w:val="center"/>
            <w:hideMark/>
          </w:tcPr>
          <w:p w14:paraId="37A50058" w14:textId="77777777" w:rsidR="00BC53ED" w:rsidRPr="0090429F" w:rsidRDefault="00BC53ED" w:rsidP="0077141E">
            <w:pPr>
              <w:pStyle w:val="NoSpacing"/>
              <w:jc w:val="center"/>
              <w:rPr>
                <w:b/>
                <w:lang w:val="en-GB" w:eastAsia="en-GB"/>
              </w:rPr>
            </w:pPr>
            <w:r w:rsidRPr="0090429F">
              <w:rPr>
                <w:b/>
                <w:lang w:val="en-GB" w:eastAsia="en-GB"/>
              </w:rPr>
              <w:t>Number of audit reports</w:t>
            </w:r>
          </w:p>
        </w:tc>
        <w:tc>
          <w:tcPr>
            <w:tcW w:w="3119" w:type="dxa"/>
            <w:gridSpan w:val="3"/>
            <w:tcBorders>
              <w:top w:val="double" w:sz="6" w:space="0" w:color="auto"/>
              <w:left w:val="nil"/>
              <w:bottom w:val="single" w:sz="4" w:space="0" w:color="auto"/>
              <w:right w:val="double" w:sz="6" w:space="0" w:color="000000"/>
            </w:tcBorders>
            <w:shd w:val="clear" w:color="000000" w:fill="FFFFFF"/>
            <w:vAlign w:val="center"/>
            <w:hideMark/>
          </w:tcPr>
          <w:p w14:paraId="500B0CF4" w14:textId="77777777" w:rsidR="00BC53ED" w:rsidRPr="0090429F" w:rsidRDefault="00BC53ED" w:rsidP="0077141E">
            <w:pPr>
              <w:pStyle w:val="NoSpacing"/>
              <w:jc w:val="center"/>
              <w:rPr>
                <w:b/>
                <w:lang w:val="en-GB" w:eastAsia="en-GB"/>
              </w:rPr>
            </w:pPr>
            <w:r w:rsidRPr="0090429F">
              <w:rPr>
                <w:b/>
                <w:lang w:val="en-GB" w:eastAsia="en-GB"/>
              </w:rPr>
              <w:t>Percentage of total</w:t>
            </w:r>
          </w:p>
        </w:tc>
      </w:tr>
      <w:tr w:rsidR="007944CC" w:rsidRPr="007944CC" w14:paraId="1FBDDD47" w14:textId="77777777" w:rsidTr="00801964">
        <w:trPr>
          <w:trHeight w:val="340"/>
        </w:trPr>
        <w:tc>
          <w:tcPr>
            <w:tcW w:w="2976" w:type="dxa"/>
            <w:vMerge/>
            <w:tcBorders>
              <w:top w:val="nil"/>
              <w:left w:val="double" w:sz="6" w:space="0" w:color="auto"/>
              <w:bottom w:val="single" w:sz="4" w:space="0" w:color="000000"/>
              <w:right w:val="single" w:sz="4" w:space="0" w:color="auto"/>
            </w:tcBorders>
            <w:vAlign w:val="center"/>
            <w:hideMark/>
          </w:tcPr>
          <w:p w14:paraId="0A0CEF32" w14:textId="77777777" w:rsidR="00BC53ED" w:rsidRPr="0090429F" w:rsidRDefault="00BC53ED" w:rsidP="00F46953">
            <w:pPr>
              <w:pStyle w:val="NoSpacing"/>
              <w:rPr>
                <w:b/>
                <w:lang w:val="en-GB" w:eastAsia="en-GB"/>
              </w:rPr>
            </w:pPr>
          </w:p>
        </w:tc>
        <w:tc>
          <w:tcPr>
            <w:tcW w:w="992" w:type="dxa"/>
            <w:tcBorders>
              <w:top w:val="nil"/>
              <w:left w:val="nil"/>
              <w:bottom w:val="single" w:sz="4" w:space="0" w:color="auto"/>
              <w:right w:val="single" w:sz="4" w:space="0" w:color="auto"/>
            </w:tcBorders>
            <w:shd w:val="clear" w:color="000000" w:fill="FFFFFF"/>
            <w:vAlign w:val="center"/>
            <w:hideMark/>
          </w:tcPr>
          <w:p w14:paraId="2D4107B7" w14:textId="01760ECA" w:rsidR="00BC53ED" w:rsidRPr="0090429F" w:rsidRDefault="00BC53ED" w:rsidP="0077141E">
            <w:pPr>
              <w:pStyle w:val="NoSpacing"/>
              <w:jc w:val="center"/>
              <w:rPr>
                <w:b/>
                <w:lang w:val="en-GB" w:eastAsia="en-GB"/>
              </w:rPr>
            </w:pPr>
            <w:r w:rsidRPr="0090429F">
              <w:rPr>
                <w:b/>
                <w:lang w:val="en-GB" w:eastAsia="en-GB"/>
              </w:rPr>
              <w:t>201</w:t>
            </w:r>
            <w:r w:rsidR="001E19E5">
              <w:rPr>
                <w:b/>
                <w:lang w:val="en-GB" w:eastAsia="en-GB"/>
              </w:rPr>
              <w:t>5</w:t>
            </w:r>
          </w:p>
        </w:tc>
        <w:tc>
          <w:tcPr>
            <w:tcW w:w="992" w:type="dxa"/>
            <w:tcBorders>
              <w:top w:val="nil"/>
              <w:left w:val="nil"/>
              <w:bottom w:val="single" w:sz="4" w:space="0" w:color="auto"/>
              <w:right w:val="single" w:sz="4" w:space="0" w:color="auto"/>
            </w:tcBorders>
            <w:shd w:val="clear" w:color="000000" w:fill="FFFFFF"/>
            <w:vAlign w:val="center"/>
            <w:hideMark/>
          </w:tcPr>
          <w:p w14:paraId="32D1B3F3" w14:textId="08B9174F" w:rsidR="00BC53ED" w:rsidRPr="0090429F" w:rsidRDefault="00BC53ED" w:rsidP="0077141E">
            <w:pPr>
              <w:pStyle w:val="NoSpacing"/>
              <w:jc w:val="center"/>
              <w:rPr>
                <w:b/>
                <w:lang w:val="en-GB" w:eastAsia="en-GB"/>
              </w:rPr>
            </w:pPr>
            <w:r w:rsidRPr="0090429F">
              <w:rPr>
                <w:b/>
                <w:lang w:val="en-GB" w:eastAsia="en-GB"/>
              </w:rPr>
              <w:t>201</w:t>
            </w:r>
            <w:r w:rsidR="001E19E5">
              <w:rPr>
                <w:b/>
                <w:lang w:val="en-GB" w:eastAsia="en-GB"/>
              </w:rPr>
              <w:t>6</w:t>
            </w:r>
          </w:p>
        </w:tc>
        <w:tc>
          <w:tcPr>
            <w:tcW w:w="993" w:type="dxa"/>
            <w:tcBorders>
              <w:top w:val="nil"/>
              <w:left w:val="nil"/>
              <w:bottom w:val="single" w:sz="4" w:space="0" w:color="auto"/>
              <w:right w:val="single" w:sz="4" w:space="0" w:color="auto"/>
            </w:tcBorders>
            <w:shd w:val="clear" w:color="000000" w:fill="FFFFFF"/>
            <w:vAlign w:val="center"/>
            <w:hideMark/>
          </w:tcPr>
          <w:p w14:paraId="31F13B28" w14:textId="3F4CCA05" w:rsidR="00BC53ED" w:rsidRPr="0090429F" w:rsidRDefault="00BC53ED" w:rsidP="0077141E">
            <w:pPr>
              <w:pStyle w:val="NoSpacing"/>
              <w:jc w:val="center"/>
              <w:rPr>
                <w:b/>
                <w:lang w:val="en-GB" w:eastAsia="en-GB"/>
              </w:rPr>
            </w:pPr>
            <w:r w:rsidRPr="0090429F">
              <w:rPr>
                <w:b/>
                <w:lang w:val="en-GB" w:eastAsia="en-GB"/>
              </w:rPr>
              <w:t>201</w:t>
            </w:r>
            <w:r w:rsidR="001E19E5">
              <w:rPr>
                <w:b/>
                <w:lang w:val="en-GB" w:eastAsia="en-GB"/>
              </w:rPr>
              <w:t>7</w:t>
            </w:r>
          </w:p>
        </w:tc>
        <w:tc>
          <w:tcPr>
            <w:tcW w:w="992" w:type="dxa"/>
            <w:tcBorders>
              <w:top w:val="nil"/>
              <w:left w:val="nil"/>
              <w:bottom w:val="single" w:sz="4" w:space="0" w:color="auto"/>
              <w:right w:val="single" w:sz="4" w:space="0" w:color="auto"/>
            </w:tcBorders>
            <w:shd w:val="clear" w:color="000000" w:fill="FFFFFF"/>
            <w:vAlign w:val="center"/>
            <w:hideMark/>
          </w:tcPr>
          <w:p w14:paraId="0E774B1F" w14:textId="68FE59AF" w:rsidR="00BC53ED" w:rsidRPr="0090429F" w:rsidRDefault="00BC53ED" w:rsidP="0077141E">
            <w:pPr>
              <w:pStyle w:val="NoSpacing"/>
              <w:jc w:val="center"/>
              <w:rPr>
                <w:b/>
                <w:lang w:val="en-GB" w:eastAsia="en-GB"/>
              </w:rPr>
            </w:pPr>
            <w:r w:rsidRPr="0090429F">
              <w:rPr>
                <w:b/>
                <w:lang w:val="en-GB" w:eastAsia="en-GB"/>
              </w:rPr>
              <w:t>201</w:t>
            </w:r>
            <w:r w:rsidR="001E19E5">
              <w:rPr>
                <w:b/>
                <w:lang w:val="en-GB" w:eastAsia="en-GB"/>
              </w:rPr>
              <w:t>5</w:t>
            </w:r>
          </w:p>
        </w:tc>
        <w:tc>
          <w:tcPr>
            <w:tcW w:w="992" w:type="dxa"/>
            <w:tcBorders>
              <w:top w:val="nil"/>
              <w:left w:val="nil"/>
              <w:bottom w:val="single" w:sz="4" w:space="0" w:color="auto"/>
              <w:right w:val="single" w:sz="4" w:space="0" w:color="auto"/>
            </w:tcBorders>
            <w:shd w:val="clear" w:color="000000" w:fill="FFFFFF"/>
            <w:vAlign w:val="center"/>
            <w:hideMark/>
          </w:tcPr>
          <w:p w14:paraId="118992B8" w14:textId="55778DF5" w:rsidR="00BC53ED" w:rsidRPr="0090429F" w:rsidRDefault="00BC53ED" w:rsidP="0077141E">
            <w:pPr>
              <w:pStyle w:val="NoSpacing"/>
              <w:jc w:val="center"/>
              <w:rPr>
                <w:b/>
                <w:lang w:val="en-GB" w:eastAsia="en-GB"/>
              </w:rPr>
            </w:pPr>
            <w:r w:rsidRPr="0090429F">
              <w:rPr>
                <w:b/>
                <w:lang w:val="en-GB" w:eastAsia="en-GB"/>
              </w:rPr>
              <w:t>201</w:t>
            </w:r>
            <w:r w:rsidR="001E19E5">
              <w:rPr>
                <w:b/>
                <w:lang w:val="en-GB" w:eastAsia="en-GB"/>
              </w:rPr>
              <w:t>6</w:t>
            </w:r>
          </w:p>
        </w:tc>
        <w:tc>
          <w:tcPr>
            <w:tcW w:w="1135" w:type="dxa"/>
            <w:tcBorders>
              <w:top w:val="nil"/>
              <w:left w:val="nil"/>
              <w:bottom w:val="single" w:sz="4" w:space="0" w:color="auto"/>
              <w:right w:val="double" w:sz="6" w:space="0" w:color="auto"/>
            </w:tcBorders>
            <w:shd w:val="clear" w:color="000000" w:fill="FFFFFF"/>
            <w:vAlign w:val="center"/>
            <w:hideMark/>
          </w:tcPr>
          <w:p w14:paraId="65CE67FF" w14:textId="7E1690C8" w:rsidR="00BC53ED" w:rsidRPr="0090429F" w:rsidRDefault="00BC53ED" w:rsidP="0077141E">
            <w:pPr>
              <w:pStyle w:val="NoSpacing"/>
              <w:jc w:val="center"/>
              <w:rPr>
                <w:b/>
                <w:lang w:val="en-GB" w:eastAsia="en-GB"/>
              </w:rPr>
            </w:pPr>
            <w:r w:rsidRPr="0090429F">
              <w:rPr>
                <w:b/>
                <w:lang w:val="en-GB" w:eastAsia="en-GB"/>
              </w:rPr>
              <w:t>201</w:t>
            </w:r>
            <w:r w:rsidR="001E19E5">
              <w:rPr>
                <w:b/>
                <w:lang w:val="en-GB" w:eastAsia="en-GB"/>
              </w:rPr>
              <w:t>7</w:t>
            </w:r>
          </w:p>
        </w:tc>
      </w:tr>
      <w:tr w:rsidR="007944CC" w:rsidRPr="007944CC" w14:paraId="50FF85D5" w14:textId="77777777" w:rsidTr="00801964">
        <w:trPr>
          <w:trHeight w:val="312"/>
        </w:trPr>
        <w:tc>
          <w:tcPr>
            <w:tcW w:w="9072" w:type="dxa"/>
            <w:gridSpan w:val="7"/>
            <w:tcBorders>
              <w:top w:val="single" w:sz="4" w:space="0" w:color="auto"/>
              <w:left w:val="double" w:sz="6" w:space="0" w:color="auto"/>
              <w:bottom w:val="single" w:sz="4" w:space="0" w:color="auto"/>
              <w:right w:val="double" w:sz="6" w:space="0" w:color="000000"/>
            </w:tcBorders>
            <w:shd w:val="clear" w:color="000000" w:fill="FFFFFF"/>
            <w:vAlign w:val="center"/>
            <w:hideMark/>
          </w:tcPr>
          <w:p w14:paraId="51DEB83F" w14:textId="77777777" w:rsidR="00BC53ED" w:rsidRPr="0090429F" w:rsidRDefault="00BC53ED" w:rsidP="00F46953">
            <w:pPr>
              <w:pStyle w:val="NoSpacing"/>
              <w:rPr>
                <w:i/>
                <w:lang w:val="en-GB" w:eastAsia="en-GB"/>
              </w:rPr>
            </w:pPr>
            <w:r w:rsidRPr="0090429F">
              <w:rPr>
                <w:i/>
                <w:lang w:val="en-GB" w:eastAsia="en-GB"/>
              </w:rPr>
              <w:t>Audit opinion on financial statement of project</w:t>
            </w:r>
          </w:p>
        </w:tc>
      </w:tr>
      <w:tr w:rsidR="007944CC" w:rsidRPr="007944CC" w14:paraId="32FD369F" w14:textId="77777777" w:rsidTr="00801964">
        <w:trPr>
          <w:trHeight w:val="283"/>
        </w:trPr>
        <w:tc>
          <w:tcPr>
            <w:tcW w:w="2976" w:type="dxa"/>
            <w:tcBorders>
              <w:top w:val="nil"/>
              <w:left w:val="double" w:sz="6" w:space="0" w:color="auto"/>
              <w:bottom w:val="single" w:sz="4" w:space="0" w:color="auto"/>
              <w:right w:val="single" w:sz="4" w:space="0" w:color="auto"/>
            </w:tcBorders>
            <w:shd w:val="clear" w:color="000000" w:fill="FFFFFF"/>
            <w:vAlign w:val="center"/>
            <w:hideMark/>
          </w:tcPr>
          <w:p w14:paraId="75BE201B" w14:textId="77777777" w:rsidR="00BC53ED" w:rsidRPr="0090429F" w:rsidRDefault="00BC53ED" w:rsidP="00F46953">
            <w:pPr>
              <w:pStyle w:val="NoSpacing"/>
              <w:rPr>
                <w:lang w:val="en-GB" w:eastAsia="en-GB"/>
              </w:rPr>
            </w:pPr>
            <w:r w:rsidRPr="0090429F">
              <w:rPr>
                <w:lang w:val="en-GB" w:eastAsia="en-GB"/>
              </w:rPr>
              <w:t>Unqualified opinion</w:t>
            </w:r>
          </w:p>
        </w:tc>
        <w:tc>
          <w:tcPr>
            <w:tcW w:w="992" w:type="dxa"/>
            <w:tcBorders>
              <w:top w:val="nil"/>
              <w:left w:val="nil"/>
              <w:bottom w:val="single" w:sz="4" w:space="0" w:color="auto"/>
              <w:right w:val="single" w:sz="4" w:space="0" w:color="auto"/>
            </w:tcBorders>
            <w:shd w:val="clear" w:color="000000" w:fill="FFFFFF"/>
            <w:vAlign w:val="center"/>
          </w:tcPr>
          <w:p w14:paraId="19E2A2F2" w14:textId="0C46DFB9" w:rsidR="00BC53ED" w:rsidRPr="0090429F" w:rsidRDefault="001E19E5" w:rsidP="001E19E5">
            <w:pPr>
              <w:pStyle w:val="NoSpacing"/>
              <w:jc w:val="center"/>
              <w:rPr>
                <w:lang w:val="en-GB" w:eastAsia="en-GB"/>
              </w:rPr>
            </w:pPr>
            <w:r>
              <w:rPr>
                <w:lang w:val="en-GB" w:eastAsia="en-GB"/>
              </w:rPr>
              <w:t>22</w:t>
            </w:r>
          </w:p>
        </w:tc>
        <w:tc>
          <w:tcPr>
            <w:tcW w:w="992" w:type="dxa"/>
            <w:tcBorders>
              <w:top w:val="nil"/>
              <w:left w:val="nil"/>
              <w:bottom w:val="single" w:sz="4" w:space="0" w:color="auto"/>
              <w:right w:val="single" w:sz="4" w:space="0" w:color="auto"/>
            </w:tcBorders>
            <w:shd w:val="clear" w:color="000000" w:fill="FFFFFF"/>
            <w:vAlign w:val="center"/>
          </w:tcPr>
          <w:p w14:paraId="2691F090" w14:textId="1D5A068A" w:rsidR="00BC53ED" w:rsidRPr="0090429F" w:rsidRDefault="001E19E5" w:rsidP="001E19E5">
            <w:pPr>
              <w:pStyle w:val="NoSpacing"/>
              <w:jc w:val="center"/>
              <w:rPr>
                <w:lang w:val="en-GB" w:eastAsia="en-GB"/>
              </w:rPr>
            </w:pPr>
            <w:r>
              <w:rPr>
                <w:lang w:val="en-GB" w:eastAsia="en-GB"/>
              </w:rPr>
              <w:t>23</w:t>
            </w:r>
          </w:p>
        </w:tc>
        <w:tc>
          <w:tcPr>
            <w:tcW w:w="993" w:type="dxa"/>
            <w:tcBorders>
              <w:top w:val="nil"/>
              <w:left w:val="nil"/>
              <w:bottom w:val="single" w:sz="4" w:space="0" w:color="auto"/>
              <w:right w:val="single" w:sz="4" w:space="0" w:color="auto"/>
            </w:tcBorders>
            <w:shd w:val="clear" w:color="000000" w:fill="FFFFFF"/>
            <w:vAlign w:val="center"/>
          </w:tcPr>
          <w:p w14:paraId="47C68533" w14:textId="6EBC5760" w:rsidR="00BC53ED" w:rsidRPr="0090429F" w:rsidRDefault="0077141E" w:rsidP="001E19E5">
            <w:pPr>
              <w:pStyle w:val="NoSpacing"/>
              <w:jc w:val="center"/>
              <w:rPr>
                <w:lang w:val="en-GB" w:eastAsia="en-GB"/>
              </w:rPr>
            </w:pPr>
            <w:r>
              <w:rPr>
                <w:lang w:val="en-GB" w:eastAsia="en-GB"/>
              </w:rPr>
              <w:t>2</w:t>
            </w:r>
            <w:r w:rsidR="0088343A">
              <w:rPr>
                <w:lang w:val="en-GB" w:eastAsia="en-GB"/>
              </w:rPr>
              <w:t>7</w:t>
            </w:r>
          </w:p>
        </w:tc>
        <w:tc>
          <w:tcPr>
            <w:tcW w:w="992" w:type="dxa"/>
            <w:tcBorders>
              <w:top w:val="nil"/>
              <w:left w:val="nil"/>
              <w:bottom w:val="single" w:sz="4" w:space="0" w:color="auto"/>
              <w:right w:val="single" w:sz="4" w:space="0" w:color="auto"/>
            </w:tcBorders>
            <w:shd w:val="clear" w:color="000000" w:fill="FFFFFF"/>
            <w:vAlign w:val="center"/>
          </w:tcPr>
          <w:p w14:paraId="25F0DAE8" w14:textId="6E442C30" w:rsidR="00BC53ED" w:rsidRPr="0090429F" w:rsidRDefault="001E19E5" w:rsidP="001E19E5">
            <w:pPr>
              <w:pStyle w:val="NoSpacing"/>
              <w:jc w:val="center"/>
              <w:rPr>
                <w:lang w:val="en-GB" w:eastAsia="en-GB"/>
              </w:rPr>
            </w:pPr>
            <w:r>
              <w:rPr>
                <w:lang w:val="en-GB" w:eastAsia="en-GB"/>
              </w:rPr>
              <w:t>100</w:t>
            </w:r>
          </w:p>
        </w:tc>
        <w:tc>
          <w:tcPr>
            <w:tcW w:w="992" w:type="dxa"/>
            <w:tcBorders>
              <w:top w:val="nil"/>
              <w:left w:val="nil"/>
              <w:bottom w:val="single" w:sz="4" w:space="0" w:color="auto"/>
              <w:right w:val="single" w:sz="4" w:space="0" w:color="auto"/>
            </w:tcBorders>
            <w:shd w:val="clear" w:color="000000" w:fill="FFFFFF"/>
            <w:vAlign w:val="center"/>
            <w:hideMark/>
          </w:tcPr>
          <w:p w14:paraId="240AC6E8" w14:textId="77777777" w:rsidR="00BC53ED" w:rsidRPr="0090429F" w:rsidRDefault="00BC53ED" w:rsidP="001E19E5">
            <w:pPr>
              <w:pStyle w:val="NoSpacing"/>
              <w:jc w:val="center"/>
              <w:rPr>
                <w:lang w:val="en-GB" w:eastAsia="en-GB"/>
              </w:rPr>
            </w:pPr>
            <w:r w:rsidRPr="0090429F">
              <w:rPr>
                <w:lang w:val="en-GB" w:eastAsia="en-GB"/>
              </w:rPr>
              <w:t>100</w:t>
            </w:r>
          </w:p>
        </w:tc>
        <w:tc>
          <w:tcPr>
            <w:tcW w:w="1135" w:type="dxa"/>
            <w:tcBorders>
              <w:top w:val="nil"/>
              <w:left w:val="nil"/>
              <w:bottom w:val="single" w:sz="4" w:space="0" w:color="auto"/>
              <w:right w:val="double" w:sz="6" w:space="0" w:color="auto"/>
            </w:tcBorders>
            <w:shd w:val="clear" w:color="000000" w:fill="FFFFFF"/>
            <w:vAlign w:val="center"/>
          </w:tcPr>
          <w:p w14:paraId="4C7D76D7" w14:textId="0DE9E33F" w:rsidR="00BC53ED" w:rsidRPr="0090429F" w:rsidRDefault="0077141E" w:rsidP="001E19E5">
            <w:pPr>
              <w:pStyle w:val="NoSpacing"/>
              <w:jc w:val="center"/>
              <w:rPr>
                <w:lang w:val="en-GB" w:eastAsia="en-GB"/>
              </w:rPr>
            </w:pPr>
            <w:r>
              <w:rPr>
                <w:lang w:val="en-GB" w:eastAsia="en-GB"/>
              </w:rPr>
              <w:t>90</w:t>
            </w:r>
          </w:p>
        </w:tc>
      </w:tr>
      <w:tr w:rsidR="007944CC" w:rsidRPr="007944CC" w14:paraId="32D4469C" w14:textId="77777777" w:rsidTr="00801964">
        <w:trPr>
          <w:trHeight w:val="283"/>
        </w:trPr>
        <w:tc>
          <w:tcPr>
            <w:tcW w:w="2976" w:type="dxa"/>
            <w:tcBorders>
              <w:top w:val="nil"/>
              <w:left w:val="double" w:sz="6" w:space="0" w:color="auto"/>
              <w:bottom w:val="single" w:sz="4" w:space="0" w:color="auto"/>
              <w:right w:val="single" w:sz="4" w:space="0" w:color="auto"/>
            </w:tcBorders>
            <w:shd w:val="clear" w:color="000000" w:fill="FFFFFF"/>
            <w:vAlign w:val="center"/>
            <w:hideMark/>
          </w:tcPr>
          <w:p w14:paraId="37254036" w14:textId="77777777" w:rsidR="00BC53ED" w:rsidRPr="0090429F" w:rsidRDefault="00BC53ED" w:rsidP="00F46953">
            <w:pPr>
              <w:pStyle w:val="NoSpacing"/>
              <w:rPr>
                <w:lang w:val="en-GB" w:eastAsia="en-GB"/>
              </w:rPr>
            </w:pPr>
            <w:r w:rsidRPr="0090429F">
              <w:rPr>
                <w:lang w:val="en-GB" w:eastAsia="en-GB"/>
              </w:rPr>
              <w:t>Qualified opinion</w:t>
            </w:r>
          </w:p>
        </w:tc>
        <w:tc>
          <w:tcPr>
            <w:tcW w:w="992" w:type="dxa"/>
            <w:tcBorders>
              <w:top w:val="nil"/>
              <w:left w:val="nil"/>
              <w:bottom w:val="single" w:sz="4" w:space="0" w:color="auto"/>
              <w:right w:val="single" w:sz="4" w:space="0" w:color="auto"/>
            </w:tcBorders>
            <w:shd w:val="clear" w:color="000000" w:fill="FFFFFF"/>
            <w:vAlign w:val="center"/>
          </w:tcPr>
          <w:p w14:paraId="2B1D3847" w14:textId="74D7477C" w:rsidR="00BC53ED" w:rsidRPr="0090429F" w:rsidRDefault="001E19E5" w:rsidP="001E19E5">
            <w:pPr>
              <w:pStyle w:val="NoSpacing"/>
              <w:jc w:val="center"/>
              <w:rPr>
                <w:lang w:val="en-GB" w:eastAsia="en-GB"/>
              </w:rPr>
            </w:pPr>
            <w:r>
              <w:rPr>
                <w:lang w:val="en-GB" w:eastAsia="en-GB"/>
              </w:rPr>
              <w:t>0</w:t>
            </w:r>
          </w:p>
        </w:tc>
        <w:tc>
          <w:tcPr>
            <w:tcW w:w="992" w:type="dxa"/>
            <w:tcBorders>
              <w:top w:val="nil"/>
              <w:left w:val="nil"/>
              <w:bottom w:val="single" w:sz="4" w:space="0" w:color="auto"/>
              <w:right w:val="single" w:sz="4" w:space="0" w:color="auto"/>
            </w:tcBorders>
            <w:shd w:val="clear" w:color="000000" w:fill="FFFFFF"/>
            <w:vAlign w:val="center"/>
          </w:tcPr>
          <w:p w14:paraId="1B04BB69" w14:textId="66B34473" w:rsidR="00BC53ED" w:rsidRPr="0090429F" w:rsidRDefault="001E19E5" w:rsidP="001E19E5">
            <w:pPr>
              <w:pStyle w:val="NoSpacing"/>
              <w:jc w:val="center"/>
              <w:rPr>
                <w:lang w:val="en-GB" w:eastAsia="en-GB"/>
              </w:rPr>
            </w:pPr>
            <w:r>
              <w:rPr>
                <w:lang w:val="en-GB" w:eastAsia="en-GB"/>
              </w:rPr>
              <w:t>0</w:t>
            </w:r>
          </w:p>
        </w:tc>
        <w:tc>
          <w:tcPr>
            <w:tcW w:w="993" w:type="dxa"/>
            <w:tcBorders>
              <w:top w:val="nil"/>
              <w:left w:val="nil"/>
              <w:bottom w:val="single" w:sz="4" w:space="0" w:color="auto"/>
              <w:right w:val="single" w:sz="4" w:space="0" w:color="auto"/>
            </w:tcBorders>
            <w:shd w:val="clear" w:color="000000" w:fill="FFFFFF"/>
            <w:vAlign w:val="center"/>
          </w:tcPr>
          <w:p w14:paraId="1F9666CA" w14:textId="47FA5A3E" w:rsidR="00BC53ED" w:rsidRPr="0090429F" w:rsidRDefault="0088343A" w:rsidP="001E19E5">
            <w:pPr>
              <w:pStyle w:val="NoSpacing"/>
              <w:jc w:val="center"/>
              <w:rPr>
                <w:lang w:val="en-GB" w:eastAsia="en-GB"/>
              </w:rPr>
            </w:pPr>
            <w:r>
              <w:rPr>
                <w:lang w:val="en-GB" w:eastAsia="en-GB"/>
              </w:rPr>
              <w:t>3</w:t>
            </w:r>
          </w:p>
        </w:tc>
        <w:tc>
          <w:tcPr>
            <w:tcW w:w="992" w:type="dxa"/>
            <w:tcBorders>
              <w:top w:val="nil"/>
              <w:left w:val="nil"/>
              <w:bottom w:val="single" w:sz="4" w:space="0" w:color="auto"/>
              <w:right w:val="single" w:sz="4" w:space="0" w:color="auto"/>
            </w:tcBorders>
            <w:shd w:val="clear" w:color="000000" w:fill="FFFFFF"/>
            <w:vAlign w:val="center"/>
          </w:tcPr>
          <w:p w14:paraId="67F21D56" w14:textId="56E82055" w:rsidR="00BC53ED" w:rsidRPr="0090429F" w:rsidRDefault="001E19E5" w:rsidP="001E19E5">
            <w:pPr>
              <w:pStyle w:val="NoSpacing"/>
              <w:jc w:val="center"/>
              <w:rPr>
                <w:lang w:val="en-GB" w:eastAsia="en-GB"/>
              </w:rPr>
            </w:pPr>
            <w:r>
              <w:rPr>
                <w:lang w:val="en-GB" w:eastAsia="en-GB"/>
              </w:rPr>
              <w:t>0</w:t>
            </w:r>
          </w:p>
        </w:tc>
        <w:tc>
          <w:tcPr>
            <w:tcW w:w="992" w:type="dxa"/>
            <w:tcBorders>
              <w:top w:val="nil"/>
              <w:left w:val="nil"/>
              <w:bottom w:val="single" w:sz="4" w:space="0" w:color="auto"/>
              <w:right w:val="single" w:sz="4" w:space="0" w:color="auto"/>
            </w:tcBorders>
            <w:shd w:val="clear" w:color="000000" w:fill="FFFFFF"/>
            <w:vAlign w:val="center"/>
            <w:hideMark/>
          </w:tcPr>
          <w:p w14:paraId="4E5C50CC" w14:textId="77777777" w:rsidR="00BC53ED" w:rsidRPr="0090429F" w:rsidRDefault="00BC53ED" w:rsidP="001E19E5">
            <w:pPr>
              <w:pStyle w:val="NoSpacing"/>
              <w:jc w:val="center"/>
              <w:rPr>
                <w:lang w:val="en-GB" w:eastAsia="en-GB"/>
              </w:rPr>
            </w:pPr>
            <w:r w:rsidRPr="0090429F">
              <w:rPr>
                <w:lang w:val="en-GB" w:eastAsia="en-GB"/>
              </w:rPr>
              <w:t>0</w:t>
            </w:r>
          </w:p>
        </w:tc>
        <w:tc>
          <w:tcPr>
            <w:tcW w:w="1135" w:type="dxa"/>
            <w:tcBorders>
              <w:top w:val="nil"/>
              <w:left w:val="nil"/>
              <w:bottom w:val="single" w:sz="4" w:space="0" w:color="auto"/>
              <w:right w:val="double" w:sz="6" w:space="0" w:color="auto"/>
            </w:tcBorders>
            <w:shd w:val="clear" w:color="000000" w:fill="FFFFFF"/>
            <w:vAlign w:val="center"/>
          </w:tcPr>
          <w:p w14:paraId="469472CF" w14:textId="0C05281D" w:rsidR="00BC53ED" w:rsidRPr="0090429F" w:rsidRDefault="0088343A" w:rsidP="0077141E">
            <w:pPr>
              <w:pStyle w:val="NoSpacing"/>
              <w:jc w:val="center"/>
              <w:rPr>
                <w:lang w:val="en-GB" w:eastAsia="en-GB"/>
              </w:rPr>
            </w:pPr>
            <w:r>
              <w:rPr>
                <w:lang w:val="en-GB" w:eastAsia="en-GB"/>
              </w:rPr>
              <w:t>1</w:t>
            </w:r>
            <w:r w:rsidR="0077141E">
              <w:rPr>
                <w:lang w:val="en-GB" w:eastAsia="en-GB"/>
              </w:rPr>
              <w:t>0</w:t>
            </w:r>
          </w:p>
        </w:tc>
      </w:tr>
      <w:tr w:rsidR="007944CC" w:rsidRPr="007944CC" w14:paraId="1C8AB031" w14:textId="77777777" w:rsidTr="00801964">
        <w:trPr>
          <w:trHeight w:val="283"/>
        </w:trPr>
        <w:tc>
          <w:tcPr>
            <w:tcW w:w="2976" w:type="dxa"/>
            <w:tcBorders>
              <w:top w:val="nil"/>
              <w:left w:val="double" w:sz="6" w:space="0" w:color="auto"/>
              <w:bottom w:val="single" w:sz="4" w:space="0" w:color="auto"/>
              <w:right w:val="single" w:sz="4" w:space="0" w:color="auto"/>
            </w:tcBorders>
            <w:shd w:val="clear" w:color="000000" w:fill="FFFFFF"/>
            <w:vAlign w:val="center"/>
            <w:hideMark/>
          </w:tcPr>
          <w:p w14:paraId="14A5A212" w14:textId="77777777" w:rsidR="00BC53ED" w:rsidRPr="0090429F" w:rsidRDefault="00BC53ED" w:rsidP="00F46953">
            <w:pPr>
              <w:pStyle w:val="NoSpacing"/>
              <w:rPr>
                <w:lang w:val="en-GB" w:eastAsia="en-GB"/>
              </w:rPr>
            </w:pPr>
            <w:r w:rsidRPr="0090429F">
              <w:rPr>
                <w:lang w:val="en-GB" w:eastAsia="en-GB"/>
              </w:rPr>
              <w:t>Total</w:t>
            </w:r>
          </w:p>
        </w:tc>
        <w:tc>
          <w:tcPr>
            <w:tcW w:w="992" w:type="dxa"/>
            <w:tcBorders>
              <w:top w:val="nil"/>
              <w:left w:val="nil"/>
              <w:bottom w:val="single" w:sz="4" w:space="0" w:color="auto"/>
              <w:right w:val="single" w:sz="4" w:space="0" w:color="auto"/>
            </w:tcBorders>
            <w:shd w:val="clear" w:color="000000" w:fill="FFFFFF"/>
            <w:vAlign w:val="center"/>
          </w:tcPr>
          <w:p w14:paraId="31474663" w14:textId="1655CC00" w:rsidR="00BC53ED" w:rsidRPr="0090429F" w:rsidRDefault="001E19E5" w:rsidP="001E19E5">
            <w:pPr>
              <w:pStyle w:val="NoSpacing"/>
              <w:jc w:val="center"/>
              <w:rPr>
                <w:lang w:val="en-GB" w:eastAsia="en-GB"/>
              </w:rPr>
            </w:pPr>
            <w:r>
              <w:rPr>
                <w:lang w:val="en-GB" w:eastAsia="en-GB"/>
              </w:rPr>
              <w:t>22</w:t>
            </w:r>
          </w:p>
        </w:tc>
        <w:tc>
          <w:tcPr>
            <w:tcW w:w="992" w:type="dxa"/>
            <w:tcBorders>
              <w:top w:val="nil"/>
              <w:left w:val="nil"/>
              <w:bottom w:val="single" w:sz="4" w:space="0" w:color="auto"/>
              <w:right w:val="single" w:sz="4" w:space="0" w:color="auto"/>
            </w:tcBorders>
            <w:shd w:val="clear" w:color="000000" w:fill="FFFFFF"/>
            <w:vAlign w:val="center"/>
          </w:tcPr>
          <w:p w14:paraId="16640023" w14:textId="4074BA1E" w:rsidR="00BC53ED" w:rsidRPr="0090429F" w:rsidRDefault="001E19E5" w:rsidP="001E19E5">
            <w:pPr>
              <w:pStyle w:val="NoSpacing"/>
              <w:jc w:val="center"/>
              <w:rPr>
                <w:lang w:val="en-GB" w:eastAsia="en-GB"/>
              </w:rPr>
            </w:pPr>
            <w:r>
              <w:rPr>
                <w:lang w:val="en-GB" w:eastAsia="en-GB"/>
              </w:rPr>
              <w:t>23</w:t>
            </w:r>
          </w:p>
        </w:tc>
        <w:tc>
          <w:tcPr>
            <w:tcW w:w="993" w:type="dxa"/>
            <w:tcBorders>
              <w:top w:val="nil"/>
              <w:left w:val="nil"/>
              <w:bottom w:val="single" w:sz="4" w:space="0" w:color="auto"/>
              <w:right w:val="single" w:sz="4" w:space="0" w:color="auto"/>
            </w:tcBorders>
            <w:shd w:val="clear" w:color="000000" w:fill="FFFFFF"/>
            <w:vAlign w:val="center"/>
          </w:tcPr>
          <w:p w14:paraId="1565ECB9" w14:textId="5E6D5685" w:rsidR="00BC53ED" w:rsidRPr="0090429F" w:rsidRDefault="0077141E" w:rsidP="001E19E5">
            <w:pPr>
              <w:pStyle w:val="NoSpacing"/>
              <w:jc w:val="center"/>
              <w:rPr>
                <w:lang w:val="en-GB" w:eastAsia="en-GB"/>
              </w:rPr>
            </w:pPr>
            <w:r>
              <w:rPr>
                <w:lang w:val="en-GB" w:eastAsia="en-GB"/>
              </w:rPr>
              <w:t>3</w:t>
            </w:r>
            <w:r w:rsidR="0088343A">
              <w:rPr>
                <w:lang w:val="en-GB" w:eastAsia="en-GB"/>
              </w:rPr>
              <w:t>0</w:t>
            </w:r>
          </w:p>
        </w:tc>
        <w:tc>
          <w:tcPr>
            <w:tcW w:w="992" w:type="dxa"/>
            <w:tcBorders>
              <w:top w:val="nil"/>
              <w:left w:val="nil"/>
              <w:bottom w:val="single" w:sz="4" w:space="0" w:color="auto"/>
              <w:right w:val="single" w:sz="4" w:space="0" w:color="auto"/>
            </w:tcBorders>
            <w:shd w:val="clear" w:color="000000" w:fill="FFFFFF"/>
            <w:vAlign w:val="center"/>
          </w:tcPr>
          <w:p w14:paraId="02373CEB" w14:textId="71B51562" w:rsidR="00BC53ED" w:rsidRPr="0090429F" w:rsidRDefault="001E19E5" w:rsidP="001E19E5">
            <w:pPr>
              <w:pStyle w:val="NoSpacing"/>
              <w:jc w:val="center"/>
              <w:rPr>
                <w:lang w:val="en-GB" w:eastAsia="en-GB"/>
              </w:rPr>
            </w:pPr>
            <w:r>
              <w:rPr>
                <w:lang w:val="en-GB" w:eastAsia="en-GB"/>
              </w:rPr>
              <w:t>100</w:t>
            </w:r>
          </w:p>
        </w:tc>
        <w:tc>
          <w:tcPr>
            <w:tcW w:w="992" w:type="dxa"/>
            <w:tcBorders>
              <w:top w:val="nil"/>
              <w:left w:val="nil"/>
              <w:bottom w:val="single" w:sz="4" w:space="0" w:color="auto"/>
              <w:right w:val="single" w:sz="4" w:space="0" w:color="auto"/>
            </w:tcBorders>
            <w:shd w:val="clear" w:color="000000" w:fill="FFFFFF"/>
            <w:vAlign w:val="center"/>
            <w:hideMark/>
          </w:tcPr>
          <w:p w14:paraId="1C28B055" w14:textId="77777777" w:rsidR="00BC53ED" w:rsidRPr="0090429F" w:rsidRDefault="00BC53ED" w:rsidP="001E19E5">
            <w:pPr>
              <w:pStyle w:val="NoSpacing"/>
              <w:jc w:val="center"/>
              <w:rPr>
                <w:lang w:val="en-GB" w:eastAsia="en-GB"/>
              </w:rPr>
            </w:pPr>
            <w:r w:rsidRPr="0090429F">
              <w:rPr>
                <w:lang w:val="en-GB" w:eastAsia="en-GB"/>
              </w:rPr>
              <w:t>100</w:t>
            </w:r>
          </w:p>
        </w:tc>
        <w:tc>
          <w:tcPr>
            <w:tcW w:w="1135" w:type="dxa"/>
            <w:tcBorders>
              <w:top w:val="nil"/>
              <w:left w:val="nil"/>
              <w:bottom w:val="single" w:sz="4" w:space="0" w:color="auto"/>
              <w:right w:val="double" w:sz="6" w:space="0" w:color="auto"/>
            </w:tcBorders>
            <w:shd w:val="clear" w:color="000000" w:fill="FFFFFF"/>
            <w:vAlign w:val="center"/>
          </w:tcPr>
          <w:p w14:paraId="60015FC2" w14:textId="68718137" w:rsidR="00BC53ED" w:rsidRPr="0090429F" w:rsidRDefault="0088343A" w:rsidP="001E19E5">
            <w:pPr>
              <w:pStyle w:val="NoSpacing"/>
              <w:jc w:val="center"/>
              <w:rPr>
                <w:lang w:val="en-GB" w:eastAsia="en-GB"/>
              </w:rPr>
            </w:pPr>
            <w:r>
              <w:rPr>
                <w:lang w:val="en-GB" w:eastAsia="en-GB"/>
              </w:rPr>
              <w:t>100</w:t>
            </w:r>
          </w:p>
        </w:tc>
      </w:tr>
      <w:tr w:rsidR="007944CC" w:rsidRPr="007944CC" w14:paraId="2BFA821C" w14:textId="77777777" w:rsidTr="00801964">
        <w:trPr>
          <w:trHeight w:val="312"/>
        </w:trPr>
        <w:tc>
          <w:tcPr>
            <w:tcW w:w="9072" w:type="dxa"/>
            <w:gridSpan w:val="7"/>
            <w:tcBorders>
              <w:top w:val="single" w:sz="4" w:space="0" w:color="auto"/>
              <w:left w:val="double" w:sz="6" w:space="0" w:color="auto"/>
              <w:bottom w:val="single" w:sz="4" w:space="0" w:color="auto"/>
              <w:right w:val="double" w:sz="6" w:space="0" w:color="000000"/>
            </w:tcBorders>
            <w:shd w:val="clear" w:color="000000" w:fill="FFFFFF"/>
            <w:vAlign w:val="center"/>
            <w:hideMark/>
          </w:tcPr>
          <w:p w14:paraId="0F96095E" w14:textId="77777777" w:rsidR="00BC53ED" w:rsidRPr="0090429F" w:rsidRDefault="00BC53ED" w:rsidP="00F46953">
            <w:pPr>
              <w:pStyle w:val="NoSpacing"/>
              <w:rPr>
                <w:i/>
                <w:lang w:val="en-GB" w:eastAsia="en-GB"/>
              </w:rPr>
            </w:pPr>
            <w:r w:rsidRPr="0090429F">
              <w:rPr>
                <w:i/>
                <w:lang w:val="en-GB" w:eastAsia="en-GB"/>
              </w:rPr>
              <w:t xml:space="preserve">Rating of overall level of internal control </w:t>
            </w:r>
          </w:p>
        </w:tc>
      </w:tr>
      <w:tr w:rsidR="007944CC" w:rsidRPr="007944CC" w14:paraId="616E7429" w14:textId="77777777" w:rsidTr="00801964">
        <w:trPr>
          <w:trHeight w:val="283"/>
        </w:trPr>
        <w:tc>
          <w:tcPr>
            <w:tcW w:w="2976" w:type="dxa"/>
            <w:tcBorders>
              <w:top w:val="nil"/>
              <w:left w:val="double" w:sz="6" w:space="0" w:color="auto"/>
              <w:bottom w:val="single" w:sz="4" w:space="0" w:color="auto"/>
              <w:right w:val="single" w:sz="4" w:space="0" w:color="auto"/>
            </w:tcBorders>
            <w:shd w:val="clear" w:color="000000" w:fill="FFFFFF"/>
            <w:vAlign w:val="center"/>
            <w:hideMark/>
          </w:tcPr>
          <w:p w14:paraId="445E2E09" w14:textId="77777777" w:rsidR="00BC53ED" w:rsidRPr="0090429F" w:rsidRDefault="00BC53ED" w:rsidP="00F46953">
            <w:pPr>
              <w:pStyle w:val="NoSpacing"/>
              <w:rPr>
                <w:lang w:val="en-GB" w:eastAsia="en-GB"/>
              </w:rPr>
            </w:pPr>
            <w:r w:rsidRPr="0090429F">
              <w:rPr>
                <w:lang w:val="en-GB" w:eastAsia="en-GB"/>
              </w:rPr>
              <w:t>Satisfactory</w:t>
            </w:r>
          </w:p>
        </w:tc>
        <w:tc>
          <w:tcPr>
            <w:tcW w:w="992" w:type="dxa"/>
            <w:tcBorders>
              <w:top w:val="nil"/>
              <w:left w:val="nil"/>
              <w:bottom w:val="single" w:sz="4" w:space="0" w:color="auto"/>
              <w:right w:val="single" w:sz="4" w:space="0" w:color="auto"/>
            </w:tcBorders>
            <w:shd w:val="clear" w:color="000000" w:fill="FFFFFF"/>
            <w:vAlign w:val="center"/>
          </w:tcPr>
          <w:p w14:paraId="6C18DC25" w14:textId="734817CD" w:rsidR="00BC53ED" w:rsidRPr="0090429F" w:rsidRDefault="001E19E5" w:rsidP="001E19E5">
            <w:pPr>
              <w:pStyle w:val="NoSpacing"/>
              <w:jc w:val="center"/>
              <w:rPr>
                <w:lang w:val="en-GB" w:eastAsia="en-GB"/>
              </w:rPr>
            </w:pPr>
            <w:r>
              <w:rPr>
                <w:lang w:val="en-GB" w:eastAsia="en-GB"/>
              </w:rPr>
              <w:t>15</w:t>
            </w:r>
          </w:p>
        </w:tc>
        <w:tc>
          <w:tcPr>
            <w:tcW w:w="992" w:type="dxa"/>
            <w:tcBorders>
              <w:top w:val="nil"/>
              <w:left w:val="nil"/>
              <w:bottom w:val="single" w:sz="4" w:space="0" w:color="auto"/>
              <w:right w:val="single" w:sz="4" w:space="0" w:color="auto"/>
            </w:tcBorders>
            <w:shd w:val="clear" w:color="000000" w:fill="FFFFFF"/>
            <w:vAlign w:val="center"/>
          </w:tcPr>
          <w:p w14:paraId="10C25F38" w14:textId="7EA6BC05" w:rsidR="00BC53ED" w:rsidRPr="0090429F" w:rsidRDefault="001E19E5" w:rsidP="001E19E5">
            <w:pPr>
              <w:pStyle w:val="NoSpacing"/>
              <w:jc w:val="center"/>
              <w:rPr>
                <w:lang w:val="en-GB" w:eastAsia="en-GB"/>
              </w:rPr>
            </w:pPr>
            <w:r>
              <w:rPr>
                <w:lang w:val="en-GB" w:eastAsia="en-GB"/>
              </w:rPr>
              <w:t>10</w:t>
            </w:r>
          </w:p>
        </w:tc>
        <w:tc>
          <w:tcPr>
            <w:tcW w:w="993" w:type="dxa"/>
            <w:tcBorders>
              <w:top w:val="nil"/>
              <w:left w:val="nil"/>
              <w:bottom w:val="single" w:sz="4" w:space="0" w:color="auto"/>
              <w:right w:val="single" w:sz="4" w:space="0" w:color="auto"/>
            </w:tcBorders>
            <w:shd w:val="clear" w:color="000000" w:fill="FFFFFF"/>
            <w:vAlign w:val="center"/>
          </w:tcPr>
          <w:p w14:paraId="0BCBB0DA" w14:textId="0C512378" w:rsidR="00BC53ED" w:rsidRPr="0090429F" w:rsidRDefault="0077141E" w:rsidP="001E19E5">
            <w:pPr>
              <w:pStyle w:val="NoSpacing"/>
              <w:jc w:val="center"/>
              <w:rPr>
                <w:lang w:val="en-GB" w:eastAsia="en-GB"/>
              </w:rPr>
            </w:pPr>
            <w:r>
              <w:rPr>
                <w:lang w:val="en-GB" w:eastAsia="en-GB"/>
              </w:rPr>
              <w:t>14</w:t>
            </w:r>
          </w:p>
        </w:tc>
        <w:tc>
          <w:tcPr>
            <w:tcW w:w="992" w:type="dxa"/>
            <w:tcBorders>
              <w:top w:val="nil"/>
              <w:left w:val="nil"/>
              <w:bottom w:val="single" w:sz="4" w:space="0" w:color="auto"/>
              <w:right w:val="single" w:sz="4" w:space="0" w:color="auto"/>
            </w:tcBorders>
            <w:shd w:val="clear" w:color="000000" w:fill="FFFFFF"/>
            <w:vAlign w:val="center"/>
          </w:tcPr>
          <w:p w14:paraId="204C55F1" w14:textId="1E8AB28F" w:rsidR="00BC53ED" w:rsidRPr="0090429F" w:rsidRDefault="001E19E5" w:rsidP="001E19E5">
            <w:pPr>
              <w:pStyle w:val="NoSpacing"/>
              <w:jc w:val="center"/>
              <w:rPr>
                <w:lang w:val="en-GB" w:eastAsia="en-GB"/>
              </w:rPr>
            </w:pPr>
            <w:r>
              <w:rPr>
                <w:lang w:val="en-GB" w:eastAsia="en-GB"/>
              </w:rPr>
              <w:t>75</w:t>
            </w:r>
          </w:p>
        </w:tc>
        <w:tc>
          <w:tcPr>
            <w:tcW w:w="992" w:type="dxa"/>
            <w:tcBorders>
              <w:top w:val="nil"/>
              <w:left w:val="nil"/>
              <w:bottom w:val="single" w:sz="4" w:space="0" w:color="auto"/>
              <w:right w:val="single" w:sz="4" w:space="0" w:color="auto"/>
            </w:tcBorders>
            <w:shd w:val="clear" w:color="000000" w:fill="FFFFFF"/>
            <w:vAlign w:val="center"/>
          </w:tcPr>
          <w:p w14:paraId="2B89C19D" w14:textId="795643DD" w:rsidR="00BC53ED" w:rsidRPr="0090429F" w:rsidRDefault="001E19E5" w:rsidP="001E19E5">
            <w:pPr>
              <w:pStyle w:val="NoSpacing"/>
              <w:jc w:val="center"/>
              <w:rPr>
                <w:lang w:val="en-GB" w:eastAsia="en-GB"/>
              </w:rPr>
            </w:pPr>
            <w:r>
              <w:rPr>
                <w:lang w:val="en-GB" w:eastAsia="en-GB"/>
              </w:rPr>
              <w:t>71</w:t>
            </w:r>
          </w:p>
        </w:tc>
        <w:tc>
          <w:tcPr>
            <w:tcW w:w="1135" w:type="dxa"/>
            <w:tcBorders>
              <w:top w:val="nil"/>
              <w:left w:val="nil"/>
              <w:bottom w:val="single" w:sz="4" w:space="0" w:color="auto"/>
              <w:right w:val="double" w:sz="6" w:space="0" w:color="auto"/>
            </w:tcBorders>
            <w:shd w:val="clear" w:color="000000" w:fill="FFFFFF"/>
            <w:vAlign w:val="center"/>
          </w:tcPr>
          <w:p w14:paraId="5ED56D50" w14:textId="39F463C9" w:rsidR="00BC53ED" w:rsidRPr="0090429F" w:rsidRDefault="0077141E" w:rsidP="001E19E5">
            <w:pPr>
              <w:pStyle w:val="NoSpacing"/>
              <w:jc w:val="center"/>
              <w:rPr>
                <w:lang w:val="en-GB" w:eastAsia="en-GB"/>
              </w:rPr>
            </w:pPr>
            <w:r>
              <w:rPr>
                <w:lang w:val="en-GB" w:eastAsia="en-GB"/>
              </w:rPr>
              <w:t>58</w:t>
            </w:r>
          </w:p>
        </w:tc>
      </w:tr>
      <w:tr w:rsidR="007944CC" w:rsidRPr="007944CC" w14:paraId="233A209C" w14:textId="77777777" w:rsidTr="00801964">
        <w:trPr>
          <w:trHeight w:val="283"/>
        </w:trPr>
        <w:tc>
          <w:tcPr>
            <w:tcW w:w="2976" w:type="dxa"/>
            <w:tcBorders>
              <w:top w:val="nil"/>
              <w:left w:val="double" w:sz="6" w:space="0" w:color="auto"/>
              <w:bottom w:val="single" w:sz="4" w:space="0" w:color="auto"/>
              <w:right w:val="single" w:sz="4" w:space="0" w:color="auto"/>
            </w:tcBorders>
            <w:shd w:val="clear" w:color="000000" w:fill="FFFFFF"/>
            <w:vAlign w:val="center"/>
            <w:hideMark/>
          </w:tcPr>
          <w:p w14:paraId="656B4606" w14:textId="20E93D0D" w:rsidR="00BC53ED" w:rsidRPr="0090429F" w:rsidRDefault="00BC53ED" w:rsidP="00F46953">
            <w:pPr>
              <w:pStyle w:val="NoSpacing"/>
              <w:rPr>
                <w:lang w:val="en-GB" w:eastAsia="en-GB"/>
              </w:rPr>
            </w:pPr>
            <w:r w:rsidRPr="0090429F">
              <w:rPr>
                <w:lang w:val="en-GB" w:eastAsia="en-GB"/>
              </w:rPr>
              <w:t>Partially satisfactory</w:t>
            </w:r>
            <w:r w:rsidR="0077141E">
              <w:rPr>
                <w:lang w:val="en-GB" w:eastAsia="en-GB"/>
              </w:rPr>
              <w:t xml:space="preserve"> (old rating)</w:t>
            </w:r>
          </w:p>
        </w:tc>
        <w:tc>
          <w:tcPr>
            <w:tcW w:w="992" w:type="dxa"/>
            <w:tcBorders>
              <w:top w:val="nil"/>
              <w:left w:val="nil"/>
              <w:bottom w:val="single" w:sz="4" w:space="0" w:color="auto"/>
              <w:right w:val="single" w:sz="4" w:space="0" w:color="auto"/>
            </w:tcBorders>
            <w:shd w:val="clear" w:color="000000" w:fill="FFFFFF"/>
            <w:vAlign w:val="center"/>
          </w:tcPr>
          <w:p w14:paraId="5F6A4685" w14:textId="22C134C4" w:rsidR="00BC53ED" w:rsidRPr="0090429F" w:rsidRDefault="001E19E5" w:rsidP="001E19E5">
            <w:pPr>
              <w:pStyle w:val="NoSpacing"/>
              <w:jc w:val="center"/>
              <w:rPr>
                <w:lang w:val="en-GB" w:eastAsia="en-GB"/>
              </w:rPr>
            </w:pPr>
            <w:r>
              <w:rPr>
                <w:lang w:val="en-GB" w:eastAsia="en-GB"/>
              </w:rPr>
              <w:t>5</w:t>
            </w:r>
          </w:p>
        </w:tc>
        <w:tc>
          <w:tcPr>
            <w:tcW w:w="992" w:type="dxa"/>
            <w:tcBorders>
              <w:top w:val="nil"/>
              <w:left w:val="nil"/>
              <w:bottom w:val="single" w:sz="4" w:space="0" w:color="auto"/>
              <w:right w:val="single" w:sz="4" w:space="0" w:color="auto"/>
            </w:tcBorders>
            <w:shd w:val="clear" w:color="000000" w:fill="FFFFFF"/>
            <w:vAlign w:val="center"/>
          </w:tcPr>
          <w:p w14:paraId="0B203D34" w14:textId="1FEAE8D4" w:rsidR="00BC53ED" w:rsidRPr="0090429F" w:rsidRDefault="001E19E5" w:rsidP="001E19E5">
            <w:pPr>
              <w:pStyle w:val="NoSpacing"/>
              <w:jc w:val="center"/>
              <w:rPr>
                <w:lang w:val="en-GB" w:eastAsia="en-GB"/>
              </w:rPr>
            </w:pPr>
            <w:r>
              <w:rPr>
                <w:lang w:val="en-GB" w:eastAsia="en-GB"/>
              </w:rPr>
              <w:t>4</w:t>
            </w:r>
          </w:p>
        </w:tc>
        <w:tc>
          <w:tcPr>
            <w:tcW w:w="993" w:type="dxa"/>
            <w:tcBorders>
              <w:top w:val="nil"/>
              <w:left w:val="nil"/>
              <w:bottom w:val="single" w:sz="4" w:space="0" w:color="auto"/>
              <w:right w:val="single" w:sz="4" w:space="0" w:color="auto"/>
            </w:tcBorders>
            <w:shd w:val="clear" w:color="000000" w:fill="FFFFFF"/>
            <w:vAlign w:val="center"/>
          </w:tcPr>
          <w:p w14:paraId="6ED8A20B" w14:textId="72AB4E7B" w:rsidR="00BC53ED" w:rsidRPr="0090429F" w:rsidRDefault="0077141E" w:rsidP="001E19E5">
            <w:pPr>
              <w:pStyle w:val="NoSpacing"/>
              <w:jc w:val="center"/>
              <w:rPr>
                <w:lang w:val="en-GB" w:eastAsia="en-GB"/>
              </w:rPr>
            </w:pPr>
            <w:r>
              <w:rPr>
                <w:lang w:val="en-GB" w:eastAsia="en-GB"/>
              </w:rPr>
              <w:t>5</w:t>
            </w:r>
          </w:p>
        </w:tc>
        <w:tc>
          <w:tcPr>
            <w:tcW w:w="992" w:type="dxa"/>
            <w:tcBorders>
              <w:top w:val="nil"/>
              <w:left w:val="nil"/>
              <w:bottom w:val="single" w:sz="4" w:space="0" w:color="auto"/>
              <w:right w:val="single" w:sz="4" w:space="0" w:color="auto"/>
            </w:tcBorders>
            <w:shd w:val="clear" w:color="000000" w:fill="FFFFFF"/>
            <w:vAlign w:val="center"/>
          </w:tcPr>
          <w:p w14:paraId="07CD7C02" w14:textId="79ABEC0C" w:rsidR="00BC53ED" w:rsidRPr="0090429F" w:rsidRDefault="001E19E5" w:rsidP="001E19E5">
            <w:pPr>
              <w:pStyle w:val="NoSpacing"/>
              <w:jc w:val="center"/>
              <w:rPr>
                <w:lang w:val="en-GB" w:eastAsia="en-GB"/>
              </w:rPr>
            </w:pPr>
            <w:r>
              <w:rPr>
                <w:lang w:val="en-GB" w:eastAsia="en-GB"/>
              </w:rPr>
              <w:t>25</w:t>
            </w:r>
          </w:p>
        </w:tc>
        <w:tc>
          <w:tcPr>
            <w:tcW w:w="992" w:type="dxa"/>
            <w:tcBorders>
              <w:top w:val="nil"/>
              <w:left w:val="nil"/>
              <w:bottom w:val="single" w:sz="4" w:space="0" w:color="auto"/>
              <w:right w:val="single" w:sz="4" w:space="0" w:color="auto"/>
            </w:tcBorders>
            <w:shd w:val="clear" w:color="000000" w:fill="FFFFFF"/>
            <w:vAlign w:val="center"/>
          </w:tcPr>
          <w:p w14:paraId="711AFD84" w14:textId="3B6A083E" w:rsidR="00BC53ED" w:rsidRPr="0090429F" w:rsidRDefault="001E19E5" w:rsidP="001E19E5">
            <w:pPr>
              <w:pStyle w:val="NoSpacing"/>
              <w:jc w:val="center"/>
              <w:rPr>
                <w:lang w:val="en-GB" w:eastAsia="en-GB"/>
              </w:rPr>
            </w:pPr>
            <w:r>
              <w:rPr>
                <w:lang w:val="en-GB" w:eastAsia="en-GB"/>
              </w:rPr>
              <w:t>29</w:t>
            </w:r>
          </w:p>
        </w:tc>
        <w:tc>
          <w:tcPr>
            <w:tcW w:w="1135" w:type="dxa"/>
            <w:tcBorders>
              <w:top w:val="nil"/>
              <w:left w:val="nil"/>
              <w:bottom w:val="single" w:sz="4" w:space="0" w:color="auto"/>
              <w:right w:val="double" w:sz="6" w:space="0" w:color="auto"/>
            </w:tcBorders>
            <w:shd w:val="clear" w:color="000000" w:fill="FFFFFF"/>
            <w:vAlign w:val="center"/>
          </w:tcPr>
          <w:p w14:paraId="337C91E9" w14:textId="40FA8535" w:rsidR="00BC53ED" w:rsidRPr="0090429F" w:rsidRDefault="0077141E" w:rsidP="001E19E5">
            <w:pPr>
              <w:pStyle w:val="NoSpacing"/>
              <w:jc w:val="center"/>
              <w:rPr>
                <w:lang w:val="en-GB" w:eastAsia="en-GB"/>
              </w:rPr>
            </w:pPr>
            <w:r>
              <w:rPr>
                <w:lang w:val="en-GB" w:eastAsia="en-GB"/>
              </w:rPr>
              <w:t>21</w:t>
            </w:r>
          </w:p>
        </w:tc>
      </w:tr>
      <w:tr w:rsidR="0077141E" w:rsidRPr="007944CC" w14:paraId="32421250" w14:textId="77777777" w:rsidTr="00801964">
        <w:trPr>
          <w:trHeight w:val="283"/>
        </w:trPr>
        <w:tc>
          <w:tcPr>
            <w:tcW w:w="2976" w:type="dxa"/>
            <w:tcBorders>
              <w:top w:val="nil"/>
              <w:left w:val="double" w:sz="6" w:space="0" w:color="auto"/>
              <w:bottom w:val="single" w:sz="4" w:space="0" w:color="auto"/>
              <w:right w:val="single" w:sz="4" w:space="0" w:color="auto"/>
            </w:tcBorders>
            <w:shd w:val="clear" w:color="000000" w:fill="FFFFFF"/>
            <w:vAlign w:val="center"/>
          </w:tcPr>
          <w:p w14:paraId="48114D49" w14:textId="77777777" w:rsidR="007D25B4" w:rsidRDefault="0077141E" w:rsidP="007D25B4">
            <w:pPr>
              <w:pStyle w:val="NoSpacing"/>
              <w:rPr>
                <w:lang w:val="en-GB" w:eastAsia="en-GB"/>
              </w:rPr>
            </w:pPr>
            <w:r>
              <w:rPr>
                <w:lang w:val="en-GB" w:eastAsia="en-GB"/>
              </w:rPr>
              <w:t>Partially satisfactory</w:t>
            </w:r>
          </w:p>
          <w:p w14:paraId="319CF1F7" w14:textId="2A062049" w:rsidR="0077141E" w:rsidRPr="0090429F" w:rsidRDefault="0077141E" w:rsidP="007D25B4">
            <w:pPr>
              <w:pStyle w:val="NoSpacing"/>
              <w:rPr>
                <w:lang w:val="en-GB" w:eastAsia="en-GB"/>
              </w:rPr>
            </w:pPr>
            <w:r>
              <w:rPr>
                <w:lang w:val="en-GB" w:eastAsia="en-GB"/>
              </w:rPr>
              <w:t>(some improvements needed)</w:t>
            </w:r>
          </w:p>
        </w:tc>
        <w:tc>
          <w:tcPr>
            <w:tcW w:w="992" w:type="dxa"/>
            <w:tcBorders>
              <w:top w:val="nil"/>
              <w:left w:val="nil"/>
              <w:bottom w:val="single" w:sz="4" w:space="0" w:color="auto"/>
              <w:right w:val="single" w:sz="4" w:space="0" w:color="auto"/>
            </w:tcBorders>
            <w:shd w:val="clear" w:color="000000" w:fill="FFFFFF"/>
            <w:vAlign w:val="center"/>
          </w:tcPr>
          <w:p w14:paraId="6CFB5776" w14:textId="312978DB" w:rsidR="0077141E" w:rsidRDefault="0077141E" w:rsidP="001E19E5">
            <w:pPr>
              <w:pStyle w:val="NoSpacing"/>
              <w:jc w:val="center"/>
              <w:rPr>
                <w:lang w:val="en-GB" w:eastAsia="en-GB"/>
              </w:rPr>
            </w:pPr>
            <w:r>
              <w:rPr>
                <w:lang w:val="en-GB" w:eastAsia="en-GB"/>
              </w:rPr>
              <w:t>N/A</w:t>
            </w:r>
          </w:p>
        </w:tc>
        <w:tc>
          <w:tcPr>
            <w:tcW w:w="992" w:type="dxa"/>
            <w:tcBorders>
              <w:top w:val="nil"/>
              <w:left w:val="nil"/>
              <w:bottom w:val="single" w:sz="4" w:space="0" w:color="auto"/>
              <w:right w:val="single" w:sz="4" w:space="0" w:color="auto"/>
            </w:tcBorders>
            <w:shd w:val="clear" w:color="000000" w:fill="FFFFFF"/>
            <w:vAlign w:val="center"/>
          </w:tcPr>
          <w:p w14:paraId="01574CB2" w14:textId="043F1970" w:rsidR="0077141E" w:rsidRDefault="0077141E" w:rsidP="001E19E5">
            <w:pPr>
              <w:pStyle w:val="NoSpacing"/>
              <w:jc w:val="center"/>
              <w:rPr>
                <w:lang w:val="en-GB" w:eastAsia="en-GB"/>
              </w:rPr>
            </w:pPr>
            <w:r>
              <w:rPr>
                <w:lang w:val="en-GB" w:eastAsia="en-GB"/>
              </w:rPr>
              <w:t>N/A</w:t>
            </w:r>
          </w:p>
        </w:tc>
        <w:tc>
          <w:tcPr>
            <w:tcW w:w="993" w:type="dxa"/>
            <w:tcBorders>
              <w:top w:val="nil"/>
              <w:left w:val="nil"/>
              <w:bottom w:val="single" w:sz="4" w:space="0" w:color="auto"/>
              <w:right w:val="single" w:sz="4" w:space="0" w:color="auto"/>
            </w:tcBorders>
            <w:shd w:val="clear" w:color="000000" w:fill="FFFFFF"/>
            <w:vAlign w:val="center"/>
          </w:tcPr>
          <w:p w14:paraId="0D2601D6" w14:textId="1A7D47BA" w:rsidR="0077141E" w:rsidRDefault="0077141E" w:rsidP="001E19E5">
            <w:pPr>
              <w:pStyle w:val="NoSpacing"/>
              <w:jc w:val="center"/>
              <w:rPr>
                <w:lang w:val="en-GB" w:eastAsia="en-GB"/>
              </w:rPr>
            </w:pPr>
            <w:r>
              <w:rPr>
                <w:lang w:val="en-GB" w:eastAsia="en-GB"/>
              </w:rPr>
              <w:t>3</w:t>
            </w:r>
          </w:p>
        </w:tc>
        <w:tc>
          <w:tcPr>
            <w:tcW w:w="992" w:type="dxa"/>
            <w:tcBorders>
              <w:top w:val="nil"/>
              <w:left w:val="nil"/>
              <w:bottom w:val="single" w:sz="4" w:space="0" w:color="auto"/>
              <w:right w:val="single" w:sz="4" w:space="0" w:color="auto"/>
            </w:tcBorders>
            <w:shd w:val="clear" w:color="000000" w:fill="FFFFFF"/>
            <w:vAlign w:val="center"/>
          </w:tcPr>
          <w:p w14:paraId="062138ED" w14:textId="2D76EA90" w:rsidR="0077141E" w:rsidRDefault="0077141E" w:rsidP="001E19E5">
            <w:pPr>
              <w:pStyle w:val="NoSpacing"/>
              <w:jc w:val="center"/>
              <w:rPr>
                <w:lang w:val="en-GB" w:eastAsia="en-GB"/>
              </w:rPr>
            </w:pPr>
            <w:r>
              <w:rPr>
                <w:lang w:val="en-GB" w:eastAsia="en-GB"/>
              </w:rPr>
              <w:t>N/A</w:t>
            </w:r>
          </w:p>
        </w:tc>
        <w:tc>
          <w:tcPr>
            <w:tcW w:w="992" w:type="dxa"/>
            <w:tcBorders>
              <w:top w:val="nil"/>
              <w:left w:val="nil"/>
              <w:bottom w:val="single" w:sz="4" w:space="0" w:color="auto"/>
              <w:right w:val="single" w:sz="4" w:space="0" w:color="auto"/>
            </w:tcBorders>
            <w:shd w:val="clear" w:color="000000" w:fill="FFFFFF"/>
            <w:vAlign w:val="center"/>
          </w:tcPr>
          <w:p w14:paraId="43919455" w14:textId="2F7DB2BA" w:rsidR="0077141E" w:rsidRDefault="0077141E" w:rsidP="001E19E5">
            <w:pPr>
              <w:pStyle w:val="NoSpacing"/>
              <w:jc w:val="center"/>
              <w:rPr>
                <w:lang w:val="en-GB" w:eastAsia="en-GB"/>
              </w:rPr>
            </w:pPr>
            <w:r>
              <w:rPr>
                <w:lang w:val="en-GB" w:eastAsia="en-GB"/>
              </w:rPr>
              <w:t>N/A</w:t>
            </w:r>
          </w:p>
        </w:tc>
        <w:tc>
          <w:tcPr>
            <w:tcW w:w="1135" w:type="dxa"/>
            <w:tcBorders>
              <w:top w:val="nil"/>
              <w:left w:val="nil"/>
              <w:bottom w:val="single" w:sz="4" w:space="0" w:color="auto"/>
              <w:right w:val="double" w:sz="6" w:space="0" w:color="auto"/>
            </w:tcBorders>
            <w:shd w:val="clear" w:color="000000" w:fill="FFFFFF"/>
            <w:vAlign w:val="center"/>
          </w:tcPr>
          <w:p w14:paraId="42F453DD" w14:textId="5E3A65BB" w:rsidR="0077141E" w:rsidRDefault="0077141E" w:rsidP="001E19E5">
            <w:pPr>
              <w:pStyle w:val="NoSpacing"/>
              <w:jc w:val="center"/>
              <w:rPr>
                <w:lang w:val="en-GB" w:eastAsia="en-GB"/>
              </w:rPr>
            </w:pPr>
            <w:r>
              <w:rPr>
                <w:lang w:val="en-GB" w:eastAsia="en-GB"/>
              </w:rPr>
              <w:t>13</w:t>
            </w:r>
          </w:p>
        </w:tc>
      </w:tr>
      <w:tr w:rsidR="0077141E" w:rsidRPr="007944CC" w14:paraId="3FB1B19D" w14:textId="77777777" w:rsidTr="00801964">
        <w:trPr>
          <w:trHeight w:val="283"/>
        </w:trPr>
        <w:tc>
          <w:tcPr>
            <w:tcW w:w="2976" w:type="dxa"/>
            <w:tcBorders>
              <w:top w:val="nil"/>
              <w:left w:val="double" w:sz="6" w:space="0" w:color="auto"/>
              <w:bottom w:val="single" w:sz="4" w:space="0" w:color="auto"/>
              <w:right w:val="single" w:sz="4" w:space="0" w:color="auto"/>
            </w:tcBorders>
            <w:shd w:val="clear" w:color="000000" w:fill="FFFFFF"/>
            <w:vAlign w:val="center"/>
          </w:tcPr>
          <w:p w14:paraId="0B48B076" w14:textId="77777777" w:rsidR="007D25B4" w:rsidRDefault="007D25B4" w:rsidP="00F46953">
            <w:pPr>
              <w:pStyle w:val="NoSpacing"/>
              <w:rPr>
                <w:lang w:val="en-GB" w:eastAsia="en-GB"/>
              </w:rPr>
            </w:pPr>
            <w:r>
              <w:rPr>
                <w:lang w:val="en-GB" w:eastAsia="en-GB"/>
              </w:rPr>
              <w:t>Partially satisfactory</w:t>
            </w:r>
          </w:p>
          <w:p w14:paraId="3C34019A" w14:textId="4EC233C3" w:rsidR="0077141E" w:rsidRPr="0090429F" w:rsidRDefault="0077141E" w:rsidP="00F46953">
            <w:pPr>
              <w:pStyle w:val="NoSpacing"/>
              <w:rPr>
                <w:lang w:val="en-GB" w:eastAsia="en-GB"/>
              </w:rPr>
            </w:pPr>
            <w:r>
              <w:rPr>
                <w:lang w:val="en-GB" w:eastAsia="en-GB"/>
              </w:rPr>
              <w:t>(major improvements needed)</w:t>
            </w:r>
          </w:p>
        </w:tc>
        <w:tc>
          <w:tcPr>
            <w:tcW w:w="992" w:type="dxa"/>
            <w:tcBorders>
              <w:top w:val="nil"/>
              <w:left w:val="nil"/>
              <w:bottom w:val="single" w:sz="4" w:space="0" w:color="auto"/>
              <w:right w:val="single" w:sz="4" w:space="0" w:color="auto"/>
            </w:tcBorders>
            <w:shd w:val="clear" w:color="000000" w:fill="FFFFFF"/>
            <w:vAlign w:val="center"/>
          </w:tcPr>
          <w:p w14:paraId="322E507B" w14:textId="586A0D58" w:rsidR="0077141E" w:rsidRDefault="0077141E" w:rsidP="001E19E5">
            <w:pPr>
              <w:pStyle w:val="NoSpacing"/>
              <w:jc w:val="center"/>
              <w:rPr>
                <w:lang w:val="en-GB" w:eastAsia="en-GB"/>
              </w:rPr>
            </w:pPr>
            <w:r>
              <w:rPr>
                <w:lang w:val="en-GB" w:eastAsia="en-GB"/>
              </w:rPr>
              <w:t>N/A</w:t>
            </w:r>
          </w:p>
        </w:tc>
        <w:tc>
          <w:tcPr>
            <w:tcW w:w="992" w:type="dxa"/>
            <w:tcBorders>
              <w:top w:val="nil"/>
              <w:left w:val="nil"/>
              <w:bottom w:val="single" w:sz="4" w:space="0" w:color="auto"/>
              <w:right w:val="single" w:sz="4" w:space="0" w:color="auto"/>
            </w:tcBorders>
            <w:shd w:val="clear" w:color="000000" w:fill="FFFFFF"/>
            <w:vAlign w:val="center"/>
          </w:tcPr>
          <w:p w14:paraId="35D248DD" w14:textId="4712FC20" w:rsidR="0077141E" w:rsidRDefault="0077141E" w:rsidP="001E19E5">
            <w:pPr>
              <w:pStyle w:val="NoSpacing"/>
              <w:jc w:val="center"/>
              <w:rPr>
                <w:lang w:val="en-GB" w:eastAsia="en-GB"/>
              </w:rPr>
            </w:pPr>
            <w:r>
              <w:rPr>
                <w:lang w:val="en-GB" w:eastAsia="en-GB"/>
              </w:rPr>
              <w:t>N/A</w:t>
            </w:r>
          </w:p>
        </w:tc>
        <w:tc>
          <w:tcPr>
            <w:tcW w:w="993" w:type="dxa"/>
            <w:tcBorders>
              <w:top w:val="nil"/>
              <w:left w:val="nil"/>
              <w:bottom w:val="single" w:sz="4" w:space="0" w:color="auto"/>
              <w:right w:val="single" w:sz="4" w:space="0" w:color="auto"/>
            </w:tcBorders>
            <w:shd w:val="clear" w:color="000000" w:fill="FFFFFF"/>
            <w:vAlign w:val="center"/>
          </w:tcPr>
          <w:p w14:paraId="5F421961" w14:textId="2015F34E" w:rsidR="0077141E" w:rsidRDefault="0077141E" w:rsidP="001E19E5">
            <w:pPr>
              <w:pStyle w:val="NoSpacing"/>
              <w:jc w:val="center"/>
              <w:rPr>
                <w:lang w:val="en-GB" w:eastAsia="en-GB"/>
              </w:rPr>
            </w:pPr>
            <w:r>
              <w:rPr>
                <w:lang w:val="en-GB" w:eastAsia="en-GB"/>
              </w:rPr>
              <w:t>0</w:t>
            </w:r>
          </w:p>
        </w:tc>
        <w:tc>
          <w:tcPr>
            <w:tcW w:w="992" w:type="dxa"/>
            <w:tcBorders>
              <w:top w:val="nil"/>
              <w:left w:val="nil"/>
              <w:bottom w:val="single" w:sz="4" w:space="0" w:color="auto"/>
              <w:right w:val="single" w:sz="4" w:space="0" w:color="auto"/>
            </w:tcBorders>
            <w:shd w:val="clear" w:color="000000" w:fill="FFFFFF"/>
            <w:vAlign w:val="center"/>
          </w:tcPr>
          <w:p w14:paraId="05D488F1" w14:textId="47C8B35B" w:rsidR="0077141E" w:rsidRDefault="0077141E" w:rsidP="001E19E5">
            <w:pPr>
              <w:pStyle w:val="NoSpacing"/>
              <w:jc w:val="center"/>
              <w:rPr>
                <w:lang w:val="en-GB" w:eastAsia="en-GB"/>
              </w:rPr>
            </w:pPr>
            <w:r>
              <w:rPr>
                <w:lang w:val="en-GB" w:eastAsia="en-GB"/>
              </w:rPr>
              <w:t>N/A</w:t>
            </w:r>
          </w:p>
        </w:tc>
        <w:tc>
          <w:tcPr>
            <w:tcW w:w="992" w:type="dxa"/>
            <w:tcBorders>
              <w:top w:val="nil"/>
              <w:left w:val="nil"/>
              <w:bottom w:val="single" w:sz="4" w:space="0" w:color="auto"/>
              <w:right w:val="single" w:sz="4" w:space="0" w:color="auto"/>
            </w:tcBorders>
            <w:shd w:val="clear" w:color="000000" w:fill="FFFFFF"/>
            <w:vAlign w:val="center"/>
          </w:tcPr>
          <w:p w14:paraId="45962BD7" w14:textId="79E2434D" w:rsidR="0077141E" w:rsidRDefault="0077141E" w:rsidP="001E19E5">
            <w:pPr>
              <w:pStyle w:val="NoSpacing"/>
              <w:jc w:val="center"/>
              <w:rPr>
                <w:lang w:val="en-GB" w:eastAsia="en-GB"/>
              </w:rPr>
            </w:pPr>
            <w:r>
              <w:rPr>
                <w:lang w:val="en-GB" w:eastAsia="en-GB"/>
              </w:rPr>
              <w:t>N/A</w:t>
            </w:r>
          </w:p>
        </w:tc>
        <w:tc>
          <w:tcPr>
            <w:tcW w:w="1135" w:type="dxa"/>
            <w:tcBorders>
              <w:top w:val="nil"/>
              <w:left w:val="nil"/>
              <w:bottom w:val="single" w:sz="4" w:space="0" w:color="auto"/>
              <w:right w:val="double" w:sz="6" w:space="0" w:color="auto"/>
            </w:tcBorders>
            <w:shd w:val="clear" w:color="000000" w:fill="FFFFFF"/>
            <w:vAlign w:val="center"/>
          </w:tcPr>
          <w:p w14:paraId="2D1CA9FA" w14:textId="65E3F03B" w:rsidR="0077141E" w:rsidRDefault="0077141E" w:rsidP="001E19E5">
            <w:pPr>
              <w:pStyle w:val="NoSpacing"/>
              <w:jc w:val="center"/>
              <w:rPr>
                <w:lang w:val="en-GB" w:eastAsia="en-GB"/>
              </w:rPr>
            </w:pPr>
            <w:r>
              <w:rPr>
                <w:lang w:val="en-GB" w:eastAsia="en-GB"/>
              </w:rPr>
              <w:t>0</w:t>
            </w:r>
          </w:p>
        </w:tc>
      </w:tr>
      <w:tr w:rsidR="007944CC" w:rsidRPr="007944CC" w14:paraId="30B89189" w14:textId="77777777" w:rsidTr="00801964">
        <w:trPr>
          <w:trHeight w:val="283"/>
        </w:trPr>
        <w:tc>
          <w:tcPr>
            <w:tcW w:w="2976" w:type="dxa"/>
            <w:tcBorders>
              <w:top w:val="nil"/>
              <w:left w:val="double" w:sz="6" w:space="0" w:color="auto"/>
              <w:bottom w:val="single" w:sz="4" w:space="0" w:color="auto"/>
              <w:right w:val="single" w:sz="4" w:space="0" w:color="auto"/>
            </w:tcBorders>
            <w:shd w:val="clear" w:color="000000" w:fill="FFFFFF"/>
            <w:vAlign w:val="center"/>
            <w:hideMark/>
          </w:tcPr>
          <w:p w14:paraId="0801D7E4" w14:textId="77777777" w:rsidR="00BC53ED" w:rsidRPr="0090429F" w:rsidRDefault="00BC53ED" w:rsidP="00F46953">
            <w:pPr>
              <w:pStyle w:val="NoSpacing"/>
              <w:rPr>
                <w:lang w:val="en-GB" w:eastAsia="en-GB"/>
              </w:rPr>
            </w:pPr>
            <w:r w:rsidRPr="0090429F">
              <w:rPr>
                <w:lang w:val="en-GB" w:eastAsia="en-GB"/>
              </w:rPr>
              <w:t>Unsatisfactory</w:t>
            </w:r>
          </w:p>
        </w:tc>
        <w:tc>
          <w:tcPr>
            <w:tcW w:w="992" w:type="dxa"/>
            <w:tcBorders>
              <w:top w:val="nil"/>
              <w:left w:val="nil"/>
              <w:bottom w:val="single" w:sz="4" w:space="0" w:color="auto"/>
              <w:right w:val="single" w:sz="4" w:space="0" w:color="auto"/>
            </w:tcBorders>
            <w:shd w:val="clear" w:color="000000" w:fill="FFFFFF"/>
            <w:vAlign w:val="center"/>
          </w:tcPr>
          <w:p w14:paraId="49C409CA" w14:textId="0D4EBD80" w:rsidR="00BC53ED" w:rsidRPr="0090429F" w:rsidRDefault="001E19E5" w:rsidP="001E19E5">
            <w:pPr>
              <w:pStyle w:val="NoSpacing"/>
              <w:jc w:val="center"/>
              <w:rPr>
                <w:lang w:val="en-GB" w:eastAsia="en-GB"/>
              </w:rPr>
            </w:pPr>
            <w:r>
              <w:rPr>
                <w:lang w:val="en-GB" w:eastAsia="en-GB"/>
              </w:rPr>
              <w:t>0</w:t>
            </w:r>
          </w:p>
        </w:tc>
        <w:tc>
          <w:tcPr>
            <w:tcW w:w="992" w:type="dxa"/>
            <w:tcBorders>
              <w:top w:val="nil"/>
              <w:left w:val="nil"/>
              <w:bottom w:val="single" w:sz="4" w:space="0" w:color="auto"/>
              <w:right w:val="single" w:sz="4" w:space="0" w:color="auto"/>
            </w:tcBorders>
            <w:shd w:val="clear" w:color="000000" w:fill="FFFFFF"/>
            <w:vAlign w:val="center"/>
          </w:tcPr>
          <w:p w14:paraId="00B85A8F" w14:textId="0E87364A" w:rsidR="00BC53ED" w:rsidRPr="0090429F" w:rsidRDefault="001E19E5" w:rsidP="001E19E5">
            <w:pPr>
              <w:pStyle w:val="NoSpacing"/>
              <w:jc w:val="center"/>
              <w:rPr>
                <w:lang w:val="en-GB" w:eastAsia="en-GB"/>
              </w:rPr>
            </w:pPr>
            <w:r>
              <w:rPr>
                <w:lang w:val="en-GB" w:eastAsia="en-GB"/>
              </w:rPr>
              <w:t>0</w:t>
            </w:r>
          </w:p>
        </w:tc>
        <w:tc>
          <w:tcPr>
            <w:tcW w:w="993" w:type="dxa"/>
            <w:tcBorders>
              <w:top w:val="nil"/>
              <w:left w:val="nil"/>
              <w:bottom w:val="single" w:sz="4" w:space="0" w:color="auto"/>
              <w:right w:val="single" w:sz="4" w:space="0" w:color="auto"/>
            </w:tcBorders>
            <w:shd w:val="clear" w:color="000000" w:fill="FFFFFF"/>
            <w:vAlign w:val="center"/>
          </w:tcPr>
          <w:p w14:paraId="3B76E110" w14:textId="51F12CA9" w:rsidR="00BC53ED" w:rsidRPr="0090429F" w:rsidRDefault="0088343A" w:rsidP="001E19E5">
            <w:pPr>
              <w:pStyle w:val="NoSpacing"/>
              <w:jc w:val="center"/>
              <w:rPr>
                <w:lang w:val="en-GB" w:eastAsia="en-GB"/>
              </w:rPr>
            </w:pPr>
            <w:r>
              <w:rPr>
                <w:lang w:val="en-GB" w:eastAsia="en-GB"/>
              </w:rPr>
              <w:t>2</w:t>
            </w:r>
          </w:p>
        </w:tc>
        <w:tc>
          <w:tcPr>
            <w:tcW w:w="992" w:type="dxa"/>
            <w:tcBorders>
              <w:top w:val="nil"/>
              <w:left w:val="nil"/>
              <w:bottom w:val="single" w:sz="4" w:space="0" w:color="auto"/>
              <w:right w:val="single" w:sz="4" w:space="0" w:color="auto"/>
            </w:tcBorders>
            <w:shd w:val="clear" w:color="000000" w:fill="FFFFFF"/>
            <w:vAlign w:val="center"/>
          </w:tcPr>
          <w:p w14:paraId="5AA4F6BB" w14:textId="303A1AC1" w:rsidR="00BC53ED" w:rsidRPr="0090429F" w:rsidRDefault="001E19E5" w:rsidP="001E19E5">
            <w:pPr>
              <w:pStyle w:val="NoSpacing"/>
              <w:jc w:val="center"/>
              <w:rPr>
                <w:lang w:val="en-GB" w:eastAsia="en-GB"/>
              </w:rPr>
            </w:pPr>
            <w:r>
              <w:rPr>
                <w:lang w:val="en-GB" w:eastAsia="en-GB"/>
              </w:rPr>
              <w:t>0</w:t>
            </w:r>
          </w:p>
        </w:tc>
        <w:tc>
          <w:tcPr>
            <w:tcW w:w="992" w:type="dxa"/>
            <w:tcBorders>
              <w:top w:val="nil"/>
              <w:left w:val="nil"/>
              <w:bottom w:val="single" w:sz="4" w:space="0" w:color="auto"/>
              <w:right w:val="single" w:sz="4" w:space="0" w:color="auto"/>
            </w:tcBorders>
            <w:shd w:val="clear" w:color="000000" w:fill="FFFFFF"/>
            <w:vAlign w:val="center"/>
          </w:tcPr>
          <w:p w14:paraId="059A5A06" w14:textId="70028471" w:rsidR="00BC53ED" w:rsidRPr="0090429F" w:rsidRDefault="001E19E5" w:rsidP="001E19E5">
            <w:pPr>
              <w:pStyle w:val="NoSpacing"/>
              <w:jc w:val="center"/>
              <w:rPr>
                <w:lang w:val="en-GB" w:eastAsia="en-GB"/>
              </w:rPr>
            </w:pPr>
            <w:r>
              <w:rPr>
                <w:lang w:val="en-GB" w:eastAsia="en-GB"/>
              </w:rPr>
              <w:t>0</w:t>
            </w:r>
          </w:p>
        </w:tc>
        <w:tc>
          <w:tcPr>
            <w:tcW w:w="1135" w:type="dxa"/>
            <w:tcBorders>
              <w:top w:val="nil"/>
              <w:left w:val="nil"/>
              <w:bottom w:val="single" w:sz="4" w:space="0" w:color="auto"/>
              <w:right w:val="double" w:sz="6" w:space="0" w:color="auto"/>
            </w:tcBorders>
            <w:shd w:val="clear" w:color="000000" w:fill="FFFFFF"/>
            <w:vAlign w:val="center"/>
          </w:tcPr>
          <w:p w14:paraId="0D7C55D9" w14:textId="51B030B1" w:rsidR="00BC53ED" w:rsidRPr="0090429F" w:rsidRDefault="0077141E" w:rsidP="001E19E5">
            <w:pPr>
              <w:pStyle w:val="NoSpacing"/>
              <w:jc w:val="center"/>
              <w:rPr>
                <w:lang w:val="en-GB" w:eastAsia="en-GB"/>
              </w:rPr>
            </w:pPr>
            <w:r>
              <w:rPr>
                <w:lang w:val="en-GB" w:eastAsia="en-GB"/>
              </w:rPr>
              <w:t>8</w:t>
            </w:r>
          </w:p>
        </w:tc>
      </w:tr>
      <w:tr w:rsidR="007944CC" w:rsidRPr="007944CC" w14:paraId="0D334D03" w14:textId="77777777" w:rsidTr="00801964">
        <w:trPr>
          <w:trHeight w:val="340"/>
        </w:trPr>
        <w:tc>
          <w:tcPr>
            <w:tcW w:w="2976" w:type="dxa"/>
            <w:tcBorders>
              <w:top w:val="nil"/>
              <w:left w:val="double" w:sz="6" w:space="0" w:color="auto"/>
              <w:bottom w:val="double" w:sz="6" w:space="0" w:color="auto"/>
              <w:right w:val="single" w:sz="4" w:space="0" w:color="auto"/>
            </w:tcBorders>
            <w:shd w:val="clear" w:color="000000" w:fill="FFFFFF"/>
            <w:vAlign w:val="center"/>
            <w:hideMark/>
          </w:tcPr>
          <w:p w14:paraId="33B3F4E9" w14:textId="77777777" w:rsidR="00BC53ED" w:rsidRPr="0090429F" w:rsidRDefault="00BC53ED" w:rsidP="00F46953">
            <w:pPr>
              <w:pStyle w:val="NoSpacing"/>
              <w:rPr>
                <w:b/>
                <w:lang w:val="en-GB" w:eastAsia="en-GB"/>
              </w:rPr>
            </w:pPr>
            <w:r w:rsidRPr="0090429F">
              <w:rPr>
                <w:b/>
                <w:lang w:val="en-GB" w:eastAsia="en-GB"/>
              </w:rPr>
              <w:t>Total</w:t>
            </w:r>
          </w:p>
        </w:tc>
        <w:tc>
          <w:tcPr>
            <w:tcW w:w="992" w:type="dxa"/>
            <w:tcBorders>
              <w:top w:val="nil"/>
              <w:left w:val="nil"/>
              <w:bottom w:val="double" w:sz="6" w:space="0" w:color="auto"/>
              <w:right w:val="single" w:sz="4" w:space="0" w:color="auto"/>
            </w:tcBorders>
            <w:shd w:val="clear" w:color="000000" w:fill="FFFFFF"/>
            <w:vAlign w:val="center"/>
          </w:tcPr>
          <w:p w14:paraId="19C76258" w14:textId="367499F3" w:rsidR="00BC53ED" w:rsidRPr="0090429F" w:rsidRDefault="001E19E5" w:rsidP="001E19E5">
            <w:pPr>
              <w:pStyle w:val="NoSpacing"/>
              <w:jc w:val="center"/>
              <w:rPr>
                <w:b/>
                <w:lang w:val="en-GB" w:eastAsia="en-GB"/>
              </w:rPr>
            </w:pPr>
            <w:r>
              <w:rPr>
                <w:b/>
                <w:lang w:val="en-GB" w:eastAsia="en-GB"/>
              </w:rPr>
              <w:t>20</w:t>
            </w:r>
          </w:p>
        </w:tc>
        <w:tc>
          <w:tcPr>
            <w:tcW w:w="992" w:type="dxa"/>
            <w:tcBorders>
              <w:top w:val="nil"/>
              <w:left w:val="nil"/>
              <w:bottom w:val="double" w:sz="6" w:space="0" w:color="auto"/>
              <w:right w:val="single" w:sz="4" w:space="0" w:color="auto"/>
            </w:tcBorders>
            <w:shd w:val="clear" w:color="000000" w:fill="FFFFFF"/>
            <w:vAlign w:val="center"/>
          </w:tcPr>
          <w:p w14:paraId="11147954" w14:textId="77C00B78" w:rsidR="00BC53ED" w:rsidRPr="0090429F" w:rsidRDefault="001E19E5" w:rsidP="001E19E5">
            <w:pPr>
              <w:pStyle w:val="NoSpacing"/>
              <w:jc w:val="center"/>
              <w:rPr>
                <w:b/>
                <w:lang w:val="en-GB" w:eastAsia="en-GB"/>
              </w:rPr>
            </w:pPr>
            <w:r>
              <w:rPr>
                <w:b/>
                <w:lang w:val="en-GB" w:eastAsia="en-GB"/>
              </w:rPr>
              <w:t>14</w:t>
            </w:r>
          </w:p>
        </w:tc>
        <w:tc>
          <w:tcPr>
            <w:tcW w:w="993" w:type="dxa"/>
            <w:tcBorders>
              <w:top w:val="nil"/>
              <w:left w:val="nil"/>
              <w:bottom w:val="double" w:sz="6" w:space="0" w:color="auto"/>
              <w:right w:val="single" w:sz="4" w:space="0" w:color="auto"/>
            </w:tcBorders>
            <w:shd w:val="clear" w:color="000000" w:fill="FFFFFF"/>
            <w:vAlign w:val="center"/>
          </w:tcPr>
          <w:p w14:paraId="597F3733" w14:textId="57300609" w:rsidR="00BC53ED" w:rsidRPr="0090429F" w:rsidRDefault="0077141E" w:rsidP="001E19E5">
            <w:pPr>
              <w:pStyle w:val="NoSpacing"/>
              <w:jc w:val="center"/>
              <w:rPr>
                <w:b/>
                <w:lang w:val="en-GB" w:eastAsia="en-GB"/>
              </w:rPr>
            </w:pPr>
            <w:r>
              <w:rPr>
                <w:b/>
                <w:lang w:val="en-GB" w:eastAsia="en-GB"/>
              </w:rPr>
              <w:t>24</w:t>
            </w:r>
          </w:p>
        </w:tc>
        <w:tc>
          <w:tcPr>
            <w:tcW w:w="992" w:type="dxa"/>
            <w:tcBorders>
              <w:top w:val="nil"/>
              <w:left w:val="nil"/>
              <w:bottom w:val="double" w:sz="6" w:space="0" w:color="auto"/>
              <w:right w:val="single" w:sz="4" w:space="0" w:color="auto"/>
            </w:tcBorders>
            <w:shd w:val="clear" w:color="000000" w:fill="FFFFFF"/>
            <w:vAlign w:val="center"/>
          </w:tcPr>
          <w:p w14:paraId="00757566" w14:textId="4714AB00" w:rsidR="00BC53ED" w:rsidRPr="0090429F" w:rsidRDefault="001E19E5" w:rsidP="001E19E5">
            <w:pPr>
              <w:pStyle w:val="NoSpacing"/>
              <w:jc w:val="center"/>
              <w:rPr>
                <w:b/>
                <w:lang w:val="en-GB" w:eastAsia="en-GB"/>
              </w:rPr>
            </w:pPr>
            <w:r>
              <w:rPr>
                <w:b/>
                <w:lang w:val="en-GB" w:eastAsia="en-GB"/>
              </w:rPr>
              <w:t>100</w:t>
            </w:r>
          </w:p>
        </w:tc>
        <w:tc>
          <w:tcPr>
            <w:tcW w:w="992" w:type="dxa"/>
            <w:tcBorders>
              <w:top w:val="nil"/>
              <w:left w:val="nil"/>
              <w:bottom w:val="double" w:sz="6" w:space="0" w:color="auto"/>
              <w:right w:val="single" w:sz="4" w:space="0" w:color="auto"/>
            </w:tcBorders>
            <w:shd w:val="clear" w:color="000000" w:fill="FFFFFF"/>
            <w:vAlign w:val="center"/>
          </w:tcPr>
          <w:p w14:paraId="352583AD" w14:textId="1C1240B2" w:rsidR="00BC53ED" w:rsidRPr="0090429F" w:rsidRDefault="001E19E5" w:rsidP="001E19E5">
            <w:pPr>
              <w:pStyle w:val="NoSpacing"/>
              <w:jc w:val="center"/>
              <w:rPr>
                <w:b/>
                <w:lang w:val="en-GB" w:eastAsia="en-GB"/>
              </w:rPr>
            </w:pPr>
            <w:r>
              <w:rPr>
                <w:b/>
                <w:lang w:val="en-GB" w:eastAsia="en-GB"/>
              </w:rPr>
              <w:t>100</w:t>
            </w:r>
          </w:p>
        </w:tc>
        <w:tc>
          <w:tcPr>
            <w:tcW w:w="1135" w:type="dxa"/>
            <w:tcBorders>
              <w:top w:val="nil"/>
              <w:left w:val="nil"/>
              <w:bottom w:val="double" w:sz="6" w:space="0" w:color="auto"/>
              <w:right w:val="double" w:sz="6" w:space="0" w:color="auto"/>
            </w:tcBorders>
            <w:shd w:val="clear" w:color="000000" w:fill="FFFFFF"/>
            <w:vAlign w:val="center"/>
          </w:tcPr>
          <w:p w14:paraId="7B395179" w14:textId="4668ED04" w:rsidR="00BC53ED" w:rsidRPr="0090429F" w:rsidRDefault="0088343A" w:rsidP="001E19E5">
            <w:pPr>
              <w:pStyle w:val="NoSpacing"/>
              <w:jc w:val="center"/>
              <w:rPr>
                <w:b/>
                <w:lang w:val="en-GB" w:eastAsia="en-GB"/>
              </w:rPr>
            </w:pPr>
            <w:r>
              <w:rPr>
                <w:b/>
                <w:lang w:val="en-GB" w:eastAsia="en-GB"/>
              </w:rPr>
              <w:t>100</w:t>
            </w:r>
          </w:p>
        </w:tc>
      </w:tr>
      <w:tr w:rsidR="007944CC" w:rsidRPr="007944CC" w14:paraId="52083673" w14:textId="77777777" w:rsidTr="00801964">
        <w:trPr>
          <w:trHeight w:val="340"/>
        </w:trPr>
        <w:tc>
          <w:tcPr>
            <w:tcW w:w="9072" w:type="dxa"/>
            <w:gridSpan w:val="7"/>
            <w:tcBorders>
              <w:top w:val="double" w:sz="6" w:space="0" w:color="auto"/>
              <w:left w:val="double" w:sz="6" w:space="0" w:color="auto"/>
              <w:bottom w:val="double" w:sz="6" w:space="0" w:color="auto"/>
              <w:right w:val="double" w:sz="6" w:space="0" w:color="000000"/>
            </w:tcBorders>
            <w:shd w:val="clear" w:color="000000" w:fill="FFFFFF"/>
            <w:noWrap/>
            <w:vAlign w:val="center"/>
            <w:hideMark/>
          </w:tcPr>
          <w:p w14:paraId="041E3034" w14:textId="46611AFD" w:rsidR="00BC53ED" w:rsidRPr="00456578" w:rsidRDefault="00BC53ED" w:rsidP="009824D3">
            <w:pPr>
              <w:pStyle w:val="NoSpacing"/>
              <w:rPr>
                <w:sz w:val="16"/>
                <w:lang w:val="en-GB" w:eastAsia="en-GB"/>
              </w:rPr>
            </w:pPr>
            <w:r w:rsidRPr="00456578">
              <w:rPr>
                <w:sz w:val="16"/>
                <w:lang w:val="en-GB" w:eastAsia="en-GB"/>
              </w:rPr>
              <w:t>*Developed based on IAIG annual reports for 201</w:t>
            </w:r>
            <w:r w:rsidR="0088343A" w:rsidRPr="00456578">
              <w:rPr>
                <w:sz w:val="16"/>
                <w:lang w:val="en-GB" w:eastAsia="en-GB"/>
              </w:rPr>
              <w:t>6</w:t>
            </w:r>
            <w:r w:rsidRPr="00456578">
              <w:rPr>
                <w:sz w:val="16"/>
                <w:lang w:val="en-GB" w:eastAsia="en-GB"/>
              </w:rPr>
              <w:t xml:space="preserve"> (DP/OPS/201</w:t>
            </w:r>
            <w:r w:rsidR="0088343A" w:rsidRPr="00456578">
              <w:rPr>
                <w:sz w:val="16"/>
                <w:lang w:val="en-GB" w:eastAsia="en-GB"/>
              </w:rPr>
              <w:t>7</w:t>
            </w:r>
            <w:r w:rsidRPr="00456578">
              <w:rPr>
                <w:sz w:val="16"/>
                <w:lang w:val="en-GB" w:eastAsia="en-GB"/>
              </w:rPr>
              <w:t>/3) and 201</w:t>
            </w:r>
            <w:r w:rsidR="0088343A" w:rsidRPr="00456578">
              <w:rPr>
                <w:sz w:val="16"/>
                <w:lang w:val="en-GB" w:eastAsia="en-GB"/>
              </w:rPr>
              <w:t>7</w:t>
            </w:r>
            <w:r w:rsidRPr="00456578">
              <w:rPr>
                <w:sz w:val="16"/>
                <w:lang w:val="en-GB" w:eastAsia="en-GB"/>
              </w:rPr>
              <w:t xml:space="preserve"> (DP/OPS/201</w:t>
            </w:r>
            <w:r w:rsidR="0088343A" w:rsidRPr="00456578">
              <w:rPr>
                <w:sz w:val="16"/>
                <w:lang w:val="en-GB" w:eastAsia="en-GB"/>
              </w:rPr>
              <w:t>8</w:t>
            </w:r>
            <w:r w:rsidRPr="00456578">
              <w:rPr>
                <w:sz w:val="16"/>
                <w:lang w:val="en-GB" w:eastAsia="en-GB"/>
              </w:rPr>
              <w:t>/</w:t>
            </w:r>
            <w:r w:rsidR="009824D3">
              <w:rPr>
                <w:sz w:val="16"/>
                <w:lang w:val="en-GB" w:eastAsia="en-GB"/>
              </w:rPr>
              <w:t>3</w:t>
            </w:r>
            <w:r w:rsidR="00801964">
              <w:rPr>
                <w:sz w:val="16"/>
                <w:lang w:val="en-GB" w:eastAsia="en-GB"/>
              </w:rPr>
              <w:t>).</w:t>
            </w:r>
          </w:p>
        </w:tc>
      </w:tr>
    </w:tbl>
    <w:p w14:paraId="2D58F9F0" w14:textId="18F2F5E1" w:rsidR="000243C8" w:rsidRPr="00427401" w:rsidRDefault="001E6669" w:rsidP="00427401">
      <w:pPr>
        <w:tabs>
          <w:tab w:val="left" w:pos="426"/>
        </w:tabs>
        <w:jc w:val="both"/>
        <w:rPr>
          <w:sz w:val="22"/>
          <w:lang w:val="en-GB"/>
        </w:rPr>
      </w:pPr>
      <w:r w:rsidRPr="00F46953">
        <w:rPr>
          <w:sz w:val="22"/>
          <w:lang w:val="en-GB"/>
        </w:rPr>
        <w:t>In terms of categorization of project audit recommendations by level of import</w:t>
      </w:r>
      <w:r w:rsidR="00AE752A" w:rsidRPr="00F46953">
        <w:rPr>
          <w:sz w:val="22"/>
          <w:lang w:val="en-GB"/>
        </w:rPr>
        <w:t xml:space="preserve">ance, management </w:t>
      </w:r>
      <w:r w:rsidR="00DA23DD" w:rsidRPr="00F46953">
        <w:rPr>
          <w:sz w:val="22"/>
          <w:lang w:val="en-GB"/>
        </w:rPr>
        <w:t xml:space="preserve">notes </w:t>
      </w:r>
      <w:r w:rsidR="00C01DD8" w:rsidRPr="00F46953">
        <w:rPr>
          <w:sz w:val="22"/>
          <w:lang w:val="en-GB"/>
        </w:rPr>
        <w:t xml:space="preserve">an increase </w:t>
      </w:r>
      <w:r w:rsidR="00826A08" w:rsidRPr="00F46953">
        <w:rPr>
          <w:sz w:val="22"/>
          <w:lang w:val="en-GB"/>
        </w:rPr>
        <w:t xml:space="preserve">in the </w:t>
      </w:r>
      <w:r w:rsidR="00EE7D56">
        <w:rPr>
          <w:sz w:val="22"/>
          <w:lang w:val="en-GB"/>
        </w:rPr>
        <w:t xml:space="preserve">absolute </w:t>
      </w:r>
      <w:r w:rsidR="00826A08" w:rsidRPr="00F46953">
        <w:rPr>
          <w:sz w:val="22"/>
          <w:lang w:val="en-GB"/>
        </w:rPr>
        <w:t>number</w:t>
      </w:r>
      <w:r w:rsidRPr="00F46953">
        <w:rPr>
          <w:sz w:val="22"/>
          <w:lang w:val="en-GB"/>
        </w:rPr>
        <w:t xml:space="preserve"> of high priority</w:t>
      </w:r>
      <w:r w:rsidR="00BB5A9A" w:rsidRPr="00F46953">
        <w:rPr>
          <w:sz w:val="22"/>
          <w:lang w:val="en-GB"/>
        </w:rPr>
        <w:t xml:space="preserve"> </w:t>
      </w:r>
      <w:r w:rsidR="00C01DD8" w:rsidRPr="00F46953">
        <w:rPr>
          <w:sz w:val="22"/>
          <w:lang w:val="en-GB"/>
        </w:rPr>
        <w:t xml:space="preserve">recommendations from </w:t>
      </w:r>
      <w:r w:rsidR="00EE7D56">
        <w:rPr>
          <w:sz w:val="22"/>
          <w:lang w:val="en-GB"/>
        </w:rPr>
        <w:t>16 in 2016</w:t>
      </w:r>
      <w:r w:rsidR="00C01DD8" w:rsidRPr="00F46953">
        <w:rPr>
          <w:sz w:val="22"/>
          <w:lang w:val="en-GB"/>
        </w:rPr>
        <w:t xml:space="preserve"> to </w:t>
      </w:r>
      <w:r w:rsidR="00EE7D56">
        <w:rPr>
          <w:sz w:val="22"/>
          <w:lang w:val="en-GB"/>
        </w:rPr>
        <w:t>31</w:t>
      </w:r>
      <w:r w:rsidR="00C01DD8" w:rsidRPr="00F46953">
        <w:rPr>
          <w:sz w:val="22"/>
          <w:lang w:val="en-GB"/>
        </w:rPr>
        <w:t xml:space="preserve"> in 201</w:t>
      </w:r>
      <w:r w:rsidR="00EE7D56">
        <w:rPr>
          <w:sz w:val="22"/>
          <w:lang w:val="en-GB"/>
        </w:rPr>
        <w:t>7, translating into a continued relative share of high priority</w:t>
      </w:r>
      <w:r w:rsidR="00211B26">
        <w:rPr>
          <w:sz w:val="22"/>
          <w:lang w:val="en-GB"/>
        </w:rPr>
        <w:t xml:space="preserve"> recommendations of 27 percent</w:t>
      </w:r>
      <w:r w:rsidR="00EE7D56">
        <w:rPr>
          <w:sz w:val="22"/>
          <w:lang w:val="en-GB"/>
        </w:rPr>
        <w:t>.</w:t>
      </w:r>
      <w:r w:rsidR="00287FFE" w:rsidRPr="00F46953">
        <w:rPr>
          <w:sz w:val="22"/>
          <w:lang w:val="en-GB"/>
        </w:rPr>
        <w:t xml:space="preserve"> Management notes that the </w:t>
      </w:r>
      <w:r w:rsidR="00EE7D56">
        <w:rPr>
          <w:sz w:val="22"/>
          <w:lang w:val="en-GB"/>
        </w:rPr>
        <w:t>31</w:t>
      </w:r>
      <w:r w:rsidR="00287FFE" w:rsidRPr="00F46953">
        <w:rPr>
          <w:sz w:val="22"/>
          <w:lang w:val="en-GB"/>
        </w:rPr>
        <w:t xml:space="preserve"> high priority recommendations pertain</w:t>
      </w:r>
      <w:r w:rsidR="00456578">
        <w:rPr>
          <w:sz w:val="22"/>
          <w:lang w:val="en-GB"/>
        </w:rPr>
        <w:t xml:space="preserve"> largely</w:t>
      </w:r>
      <w:r w:rsidR="00287FFE" w:rsidRPr="00F46953">
        <w:rPr>
          <w:sz w:val="22"/>
          <w:lang w:val="en-GB"/>
        </w:rPr>
        <w:t xml:space="preserve"> </w:t>
      </w:r>
      <w:r w:rsidR="00EE7D56">
        <w:rPr>
          <w:sz w:val="22"/>
          <w:lang w:val="en-GB"/>
        </w:rPr>
        <w:t xml:space="preserve">to </w:t>
      </w:r>
      <w:r w:rsidR="00456578">
        <w:rPr>
          <w:sz w:val="22"/>
          <w:lang w:val="en-GB"/>
        </w:rPr>
        <w:t>projects managed remotely</w:t>
      </w:r>
      <w:r w:rsidR="00287FFE" w:rsidRPr="00F46953">
        <w:rPr>
          <w:sz w:val="22"/>
          <w:lang w:val="en-GB"/>
        </w:rPr>
        <w:t xml:space="preserve">. </w:t>
      </w:r>
      <w:r w:rsidR="00C01DD8" w:rsidRPr="00F46953">
        <w:rPr>
          <w:sz w:val="22"/>
          <w:lang w:val="en-GB"/>
        </w:rPr>
        <w:t xml:space="preserve">Management </w:t>
      </w:r>
      <w:r w:rsidR="00C54913" w:rsidRPr="00F46953">
        <w:rPr>
          <w:sz w:val="22"/>
          <w:lang w:val="en-GB"/>
        </w:rPr>
        <w:t>appreciates</w:t>
      </w:r>
      <w:r w:rsidR="00287FFE" w:rsidRPr="00F46953">
        <w:rPr>
          <w:sz w:val="22"/>
          <w:lang w:val="en-GB"/>
        </w:rPr>
        <w:t xml:space="preserve"> the </w:t>
      </w:r>
      <w:r w:rsidR="00C54913" w:rsidRPr="00F46953">
        <w:rPr>
          <w:sz w:val="22"/>
          <w:lang w:val="en-GB"/>
        </w:rPr>
        <w:t xml:space="preserve">increased </w:t>
      </w:r>
      <w:r w:rsidR="00287FFE" w:rsidRPr="00F46953">
        <w:rPr>
          <w:sz w:val="22"/>
          <w:lang w:val="en-GB"/>
        </w:rPr>
        <w:t xml:space="preserve">attention to </w:t>
      </w:r>
      <w:r w:rsidR="00C54913" w:rsidRPr="00F46953">
        <w:rPr>
          <w:sz w:val="22"/>
          <w:lang w:val="en-GB"/>
        </w:rPr>
        <w:t>cause</w:t>
      </w:r>
      <w:r w:rsidR="000243C8">
        <w:rPr>
          <w:sz w:val="22"/>
          <w:lang w:val="en-GB"/>
        </w:rPr>
        <w:t>s</w:t>
      </w:r>
      <w:r w:rsidR="00C54913" w:rsidRPr="00F46953">
        <w:rPr>
          <w:sz w:val="22"/>
          <w:lang w:val="en-GB"/>
        </w:rPr>
        <w:t xml:space="preserve"> of recommendations </w:t>
      </w:r>
      <w:r w:rsidR="00287FFE" w:rsidRPr="00F46953">
        <w:rPr>
          <w:sz w:val="22"/>
          <w:lang w:val="en-GB"/>
        </w:rPr>
        <w:t>issue</w:t>
      </w:r>
      <w:r w:rsidR="00C947A8">
        <w:rPr>
          <w:sz w:val="22"/>
          <w:lang w:val="en-GB"/>
        </w:rPr>
        <w:t>d</w:t>
      </w:r>
      <w:r w:rsidR="00287FFE" w:rsidRPr="00F46953">
        <w:rPr>
          <w:sz w:val="22"/>
          <w:lang w:val="en-GB"/>
        </w:rPr>
        <w:t xml:space="preserve"> </w:t>
      </w:r>
      <w:r w:rsidR="000243C8">
        <w:rPr>
          <w:sz w:val="22"/>
          <w:lang w:val="en-GB"/>
        </w:rPr>
        <w:t>in the context of</w:t>
      </w:r>
      <w:r w:rsidR="00287FFE" w:rsidRPr="00F46953">
        <w:rPr>
          <w:sz w:val="22"/>
          <w:lang w:val="en-GB"/>
        </w:rPr>
        <w:t xml:space="preserve"> project audits</w:t>
      </w:r>
      <w:r w:rsidR="000243C8">
        <w:rPr>
          <w:sz w:val="22"/>
          <w:lang w:val="en-GB"/>
        </w:rPr>
        <w:t>,</w:t>
      </w:r>
      <w:r w:rsidR="00287FFE" w:rsidRPr="00F46953">
        <w:rPr>
          <w:sz w:val="22"/>
          <w:lang w:val="en-GB"/>
        </w:rPr>
        <w:t xml:space="preserve"> and </w:t>
      </w:r>
      <w:r w:rsidR="00C01DD8" w:rsidRPr="00F46953">
        <w:rPr>
          <w:sz w:val="22"/>
          <w:lang w:val="en-GB"/>
        </w:rPr>
        <w:t xml:space="preserve">will </w:t>
      </w:r>
      <w:r w:rsidRPr="00F46953">
        <w:rPr>
          <w:sz w:val="22"/>
          <w:lang w:val="en-GB"/>
        </w:rPr>
        <w:t>focus on</w:t>
      </w:r>
      <w:r w:rsidR="00DA23DD" w:rsidRPr="00F46953">
        <w:rPr>
          <w:sz w:val="22"/>
          <w:lang w:val="en-GB"/>
        </w:rPr>
        <w:t xml:space="preserve"> addressing identified </w:t>
      </w:r>
      <w:r w:rsidR="00C01DD8" w:rsidRPr="00F46953">
        <w:rPr>
          <w:sz w:val="22"/>
          <w:lang w:val="en-GB"/>
        </w:rPr>
        <w:t xml:space="preserve">high </w:t>
      </w:r>
      <w:r w:rsidR="007944CC" w:rsidRPr="00F46953">
        <w:rPr>
          <w:sz w:val="22"/>
          <w:lang w:val="en-GB"/>
        </w:rPr>
        <w:t>priority</w:t>
      </w:r>
      <w:r w:rsidR="00C01DD8" w:rsidRPr="00F46953">
        <w:rPr>
          <w:sz w:val="22"/>
          <w:lang w:val="en-GB"/>
        </w:rPr>
        <w:t xml:space="preserve"> recommendations</w:t>
      </w:r>
      <w:r w:rsidR="00EE7D56">
        <w:rPr>
          <w:sz w:val="22"/>
          <w:lang w:val="en-GB"/>
        </w:rPr>
        <w:t>, while likewise maintaining effort</w:t>
      </w:r>
      <w:r w:rsidR="00995B22">
        <w:rPr>
          <w:sz w:val="22"/>
          <w:lang w:val="en-GB"/>
        </w:rPr>
        <w:t>s</w:t>
      </w:r>
      <w:r w:rsidR="00EE7D56">
        <w:rPr>
          <w:sz w:val="22"/>
          <w:lang w:val="en-GB"/>
        </w:rPr>
        <w:t xml:space="preserve"> to ensure closure of the</w:t>
      </w:r>
      <w:r w:rsidR="00C01DD8" w:rsidRPr="00F46953">
        <w:rPr>
          <w:sz w:val="22"/>
          <w:lang w:val="en-GB"/>
        </w:rPr>
        <w:t xml:space="preserve"> </w:t>
      </w:r>
      <w:r w:rsidRPr="00F46953">
        <w:rPr>
          <w:sz w:val="22"/>
          <w:lang w:val="en-GB"/>
        </w:rPr>
        <w:t>medium priority issues</w:t>
      </w:r>
      <w:r w:rsidR="00F46953">
        <w:rPr>
          <w:sz w:val="22"/>
          <w:lang w:val="en-GB"/>
        </w:rPr>
        <w:t>.</w:t>
      </w:r>
    </w:p>
    <w:tbl>
      <w:tblPr>
        <w:tblW w:w="9214" w:type="dxa"/>
        <w:tblInd w:w="261" w:type="dxa"/>
        <w:tblLook w:val="04A0" w:firstRow="1" w:lastRow="0" w:firstColumn="1" w:lastColumn="0" w:noHBand="0" w:noVBand="1"/>
      </w:tblPr>
      <w:tblGrid>
        <w:gridCol w:w="2977"/>
        <w:gridCol w:w="992"/>
        <w:gridCol w:w="992"/>
        <w:gridCol w:w="993"/>
        <w:gridCol w:w="992"/>
        <w:gridCol w:w="992"/>
        <w:gridCol w:w="1276"/>
      </w:tblGrid>
      <w:tr w:rsidR="00D43D08" w:rsidRPr="00D43D08" w14:paraId="08940FAD" w14:textId="77777777" w:rsidTr="00801964">
        <w:trPr>
          <w:trHeight w:val="340"/>
        </w:trPr>
        <w:tc>
          <w:tcPr>
            <w:tcW w:w="9214" w:type="dxa"/>
            <w:gridSpan w:val="7"/>
            <w:tcBorders>
              <w:top w:val="double" w:sz="6" w:space="0" w:color="auto"/>
              <w:left w:val="double" w:sz="6" w:space="0" w:color="auto"/>
              <w:bottom w:val="double" w:sz="6" w:space="0" w:color="auto"/>
              <w:right w:val="double" w:sz="6" w:space="0" w:color="000000"/>
            </w:tcBorders>
            <w:shd w:val="clear" w:color="auto" w:fill="auto"/>
            <w:noWrap/>
            <w:vAlign w:val="center"/>
            <w:hideMark/>
          </w:tcPr>
          <w:p w14:paraId="18973DBD" w14:textId="0865B25F" w:rsidR="00D43D08" w:rsidRPr="00EE7D56" w:rsidRDefault="00D43D08" w:rsidP="00EE7D56">
            <w:pPr>
              <w:pStyle w:val="NoSpacing"/>
              <w:rPr>
                <w:b/>
                <w:lang w:val="en-GB" w:eastAsia="en-GB"/>
              </w:rPr>
            </w:pPr>
            <w:r w:rsidRPr="00C947A8">
              <w:rPr>
                <w:b/>
                <w:sz w:val="18"/>
                <w:lang w:val="en-GB" w:eastAsia="en-GB"/>
              </w:rPr>
              <w:t>Table 6. IAIG categorization of project audit recommendations, by level of importance, 201</w:t>
            </w:r>
            <w:r w:rsidR="00EE7D56" w:rsidRPr="00C947A8">
              <w:rPr>
                <w:b/>
                <w:sz w:val="18"/>
                <w:lang w:val="en-GB" w:eastAsia="en-GB"/>
              </w:rPr>
              <w:t>5</w:t>
            </w:r>
            <w:r w:rsidRPr="00C947A8">
              <w:rPr>
                <w:b/>
                <w:sz w:val="18"/>
                <w:lang w:val="en-GB" w:eastAsia="en-GB"/>
              </w:rPr>
              <w:t>-201</w:t>
            </w:r>
            <w:r w:rsidR="00EE7D56" w:rsidRPr="00C947A8">
              <w:rPr>
                <w:b/>
                <w:sz w:val="18"/>
                <w:lang w:val="en-GB" w:eastAsia="en-GB"/>
              </w:rPr>
              <w:t>7</w:t>
            </w:r>
            <w:r w:rsidRPr="00C947A8">
              <w:rPr>
                <w:b/>
                <w:sz w:val="18"/>
                <w:lang w:val="en-GB" w:eastAsia="en-GB"/>
              </w:rPr>
              <w:t>*</w:t>
            </w:r>
          </w:p>
        </w:tc>
      </w:tr>
      <w:tr w:rsidR="00D43D08" w:rsidRPr="00D43D08" w14:paraId="462B7B3B" w14:textId="77777777" w:rsidTr="00801964">
        <w:trPr>
          <w:trHeight w:val="340"/>
        </w:trPr>
        <w:tc>
          <w:tcPr>
            <w:tcW w:w="2977" w:type="dxa"/>
            <w:vMerge w:val="restart"/>
            <w:tcBorders>
              <w:top w:val="nil"/>
              <w:left w:val="double" w:sz="6" w:space="0" w:color="auto"/>
              <w:bottom w:val="single" w:sz="4" w:space="0" w:color="000000"/>
              <w:right w:val="single" w:sz="4" w:space="0" w:color="auto"/>
            </w:tcBorders>
            <w:shd w:val="clear" w:color="000000" w:fill="FFFFFF"/>
            <w:vAlign w:val="center"/>
            <w:hideMark/>
          </w:tcPr>
          <w:p w14:paraId="332A1AD1" w14:textId="77777777" w:rsidR="00D43D08" w:rsidRPr="00D43D08" w:rsidRDefault="00D43D08" w:rsidP="0088343A">
            <w:pPr>
              <w:pStyle w:val="NoSpacing"/>
              <w:rPr>
                <w:b/>
                <w:bCs/>
                <w:lang w:val="en-GB" w:eastAsia="en-GB"/>
              </w:rPr>
            </w:pPr>
            <w:r w:rsidRPr="00D43D08">
              <w:rPr>
                <w:b/>
                <w:bCs/>
                <w:lang w:val="en-GB" w:eastAsia="en-GB"/>
              </w:rPr>
              <w:t>Level of importance</w:t>
            </w:r>
          </w:p>
        </w:tc>
        <w:tc>
          <w:tcPr>
            <w:tcW w:w="2977" w:type="dxa"/>
            <w:gridSpan w:val="3"/>
            <w:tcBorders>
              <w:top w:val="double" w:sz="6" w:space="0" w:color="auto"/>
              <w:left w:val="nil"/>
              <w:bottom w:val="single" w:sz="4" w:space="0" w:color="auto"/>
              <w:right w:val="single" w:sz="4" w:space="0" w:color="000000"/>
            </w:tcBorders>
            <w:shd w:val="clear" w:color="000000" w:fill="FFFFFF"/>
            <w:vAlign w:val="center"/>
            <w:hideMark/>
          </w:tcPr>
          <w:p w14:paraId="71539BE4" w14:textId="77777777" w:rsidR="00D43D08" w:rsidRPr="0088343A" w:rsidRDefault="00D43D08" w:rsidP="0088343A">
            <w:pPr>
              <w:pStyle w:val="NoSpacing"/>
              <w:jc w:val="center"/>
              <w:rPr>
                <w:b/>
                <w:lang w:val="en-GB" w:eastAsia="en-GB"/>
              </w:rPr>
            </w:pPr>
            <w:r w:rsidRPr="0088343A">
              <w:rPr>
                <w:b/>
                <w:lang w:val="en-GB" w:eastAsia="en-GB"/>
              </w:rPr>
              <w:t>Number of recommendations</w:t>
            </w:r>
          </w:p>
        </w:tc>
        <w:tc>
          <w:tcPr>
            <w:tcW w:w="3260" w:type="dxa"/>
            <w:gridSpan w:val="3"/>
            <w:tcBorders>
              <w:top w:val="double" w:sz="6" w:space="0" w:color="auto"/>
              <w:left w:val="nil"/>
              <w:bottom w:val="single" w:sz="4" w:space="0" w:color="auto"/>
              <w:right w:val="double" w:sz="6" w:space="0" w:color="000000"/>
            </w:tcBorders>
            <w:shd w:val="clear" w:color="000000" w:fill="FFFFFF"/>
            <w:vAlign w:val="center"/>
            <w:hideMark/>
          </w:tcPr>
          <w:p w14:paraId="2F905D1C" w14:textId="77777777" w:rsidR="00D43D08" w:rsidRPr="0088343A" w:rsidRDefault="00D43D08" w:rsidP="0088343A">
            <w:pPr>
              <w:pStyle w:val="NoSpacing"/>
              <w:jc w:val="center"/>
              <w:rPr>
                <w:b/>
                <w:lang w:val="en-GB" w:eastAsia="en-GB"/>
              </w:rPr>
            </w:pPr>
            <w:r w:rsidRPr="0088343A">
              <w:rPr>
                <w:b/>
                <w:lang w:val="en-GB" w:eastAsia="en-GB"/>
              </w:rPr>
              <w:t>Percentage of total</w:t>
            </w:r>
          </w:p>
        </w:tc>
      </w:tr>
      <w:tr w:rsidR="00D43D08" w:rsidRPr="00D43D08" w14:paraId="18059ED5" w14:textId="77777777" w:rsidTr="00801964">
        <w:trPr>
          <w:trHeight w:val="340"/>
        </w:trPr>
        <w:tc>
          <w:tcPr>
            <w:tcW w:w="2977" w:type="dxa"/>
            <w:vMerge/>
            <w:tcBorders>
              <w:top w:val="nil"/>
              <w:left w:val="double" w:sz="6" w:space="0" w:color="auto"/>
              <w:bottom w:val="single" w:sz="4" w:space="0" w:color="000000"/>
              <w:right w:val="single" w:sz="4" w:space="0" w:color="auto"/>
            </w:tcBorders>
            <w:vAlign w:val="center"/>
            <w:hideMark/>
          </w:tcPr>
          <w:p w14:paraId="0D235962" w14:textId="77777777" w:rsidR="00D43D08" w:rsidRPr="00D43D08" w:rsidRDefault="00D43D08" w:rsidP="0088343A">
            <w:pPr>
              <w:pStyle w:val="NoSpacing"/>
              <w:rPr>
                <w:b/>
                <w:bCs/>
                <w:lang w:val="en-GB" w:eastAsia="en-GB"/>
              </w:rPr>
            </w:pPr>
          </w:p>
        </w:tc>
        <w:tc>
          <w:tcPr>
            <w:tcW w:w="992" w:type="dxa"/>
            <w:tcBorders>
              <w:top w:val="nil"/>
              <w:left w:val="nil"/>
              <w:bottom w:val="single" w:sz="4" w:space="0" w:color="auto"/>
              <w:right w:val="single" w:sz="4" w:space="0" w:color="auto"/>
            </w:tcBorders>
            <w:shd w:val="clear" w:color="000000" w:fill="FFFFFF"/>
            <w:vAlign w:val="center"/>
            <w:hideMark/>
          </w:tcPr>
          <w:p w14:paraId="2028BB00" w14:textId="15AF0DCD" w:rsidR="00D43D08" w:rsidRPr="0088343A" w:rsidRDefault="00D43D08" w:rsidP="00EE7D56">
            <w:pPr>
              <w:pStyle w:val="NoSpacing"/>
              <w:jc w:val="center"/>
              <w:rPr>
                <w:b/>
                <w:lang w:val="en-GB" w:eastAsia="en-GB"/>
              </w:rPr>
            </w:pPr>
            <w:r w:rsidRPr="0088343A">
              <w:rPr>
                <w:b/>
                <w:lang w:val="en-GB" w:eastAsia="en-GB"/>
              </w:rPr>
              <w:t>201</w:t>
            </w:r>
            <w:r w:rsidR="00EE7D56">
              <w:rPr>
                <w:b/>
                <w:lang w:val="en-GB" w:eastAsia="en-GB"/>
              </w:rPr>
              <w:t>5</w:t>
            </w:r>
          </w:p>
        </w:tc>
        <w:tc>
          <w:tcPr>
            <w:tcW w:w="992" w:type="dxa"/>
            <w:tcBorders>
              <w:top w:val="nil"/>
              <w:left w:val="nil"/>
              <w:bottom w:val="single" w:sz="4" w:space="0" w:color="auto"/>
              <w:right w:val="single" w:sz="4" w:space="0" w:color="auto"/>
            </w:tcBorders>
            <w:shd w:val="clear" w:color="000000" w:fill="FFFFFF"/>
            <w:vAlign w:val="center"/>
            <w:hideMark/>
          </w:tcPr>
          <w:p w14:paraId="559AC3E5" w14:textId="4C61954E" w:rsidR="00D43D08" w:rsidRPr="0088343A" w:rsidRDefault="00D43D08" w:rsidP="00EE7D56">
            <w:pPr>
              <w:pStyle w:val="NoSpacing"/>
              <w:jc w:val="center"/>
              <w:rPr>
                <w:b/>
                <w:lang w:val="en-GB" w:eastAsia="en-GB"/>
              </w:rPr>
            </w:pPr>
            <w:r w:rsidRPr="0088343A">
              <w:rPr>
                <w:b/>
                <w:lang w:val="en-GB" w:eastAsia="en-GB"/>
              </w:rPr>
              <w:t>201</w:t>
            </w:r>
            <w:r w:rsidR="00EE7D56">
              <w:rPr>
                <w:b/>
                <w:lang w:val="en-GB" w:eastAsia="en-GB"/>
              </w:rPr>
              <w:t>6</w:t>
            </w:r>
          </w:p>
        </w:tc>
        <w:tc>
          <w:tcPr>
            <w:tcW w:w="993" w:type="dxa"/>
            <w:tcBorders>
              <w:top w:val="nil"/>
              <w:left w:val="nil"/>
              <w:bottom w:val="single" w:sz="4" w:space="0" w:color="auto"/>
              <w:right w:val="single" w:sz="4" w:space="0" w:color="auto"/>
            </w:tcBorders>
            <w:shd w:val="clear" w:color="000000" w:fill="FFFFFF"/>
            <w:vAlign w:val="center"/>
            <w:hideMark/>
          </w:tcPr>
          <w:p w14:paraId="2D59FA50" w14:textId="14B2DEE5" w:rsidR="00D43D08" w:rsidRPr="0088343A" w:rsidRDefault="00D43D08" w:rsidP="00EE7D56">
            <w:pPr>
              <w:pStyle w:val="NoSpacing"/>
              <w:jc w:val="center"/>
              <w:rPr>
                <w:b/>
                <w:lang w:val="en-GB" w:eastAsia="en-GB"/>
              </w:rPr>
            </w:pPr>
            <w:r w:rsidRPr="0088343A">
              <w:rPr>
                <w:b/>
                <w:lang w:val="en-GB" w:eastAsia="en-GB"/>
              </w:rPr>
              <w:t>201</w:t>
            </w:r>
            <w:r w:rsidR="00EE7D56">
              <w:rPr>
                <w:b/>
                <w:lang w:val="en-GB" w:eastAsia="en-GB"/>
              </w:rPr>
              <w:t>7</w:t>
            </w:r>
          </w:p>
        </w:tc>
        <w:tc>
          <w:tcPr>
            <w:tcW w:w="992" w:type="dxa"/>
            <w:tcBorders>
              <w:top w:val="nil"/>
              <w:left w:val="nil"/>
              <w:bottom w:val="single" w:sz="4" w:space="0" w:color="auto"/>
              <w:right w:val="single" w:sz="4" w:space="0" w:color="auto"/>
            </w:tcBorders>
            <w:shd w:val="clear" w:color="000000" w:fill="FFFFFF"/>
            <w:vAlign w:val="center"/>
            <w:hideMark/>
          </w:tcPr>
          <w:p w14:paraId="6FE4ABE5" w14:textId="526C4512" w:rsidR="00D43D08" w:rsidRPr="0088343A" w:rsidRDefault="00D43D08" w:rsidP="00EE7D56">
            <w:pPr>
              <w:pStyle w:val="NoSpacing"/>
              <w:jc w:val="center"/>
              <w:rPr>
                <w:b/>
                <w:lang w:val="en-GB" w:eastAsia="en-GB"/>
              </w:rPr>
            </w:pPr>
            <w:r w:rsidRPr="0088343A">
              <w:rPr>
                <w:b/>
                <w:lang w:val="en-GB" w:eastAsia="en-GB"/>
              </w:rPr>
              <w:t>201</w:t>
            </w:r>
            <w:r w:rsidR="00EE7D56">
              <w:rPr>
                <w:b/>
                <w:lang w:val="en-GB" w:eastAsia="en-GB"/>
              </w:rPr>
              <w:t>5</w:t>
            </w:r>
          </w:p>
        </w:tc>
        <w:tc>
          <w:tcPr>
            <w:tcW w:w="992" w:type="dxa"/>
            <w:tcBorders>
              <w:top w:val="nil"/>
              <w:left w:val="nil"/>
              <w:bottom w:val="single" w:sz="4" w:space="0" w:color="auto"/>
              <w:right w:val="single" w:sz="4" w:space="0" w:color="auto"/>
            </w:tcBorders>
            <w:shd w:val="clear" w:color="000000" w:fill="FFFFFF"/>
            <w:vAlign w:val="center"/>
            <w:hideMark/>
          </w:tcPr>
          <w:p w14:paraId="32A3726B" w14:textId="2B53B38D" w:rsidR="00D43D08" w:rsidRPr="0088343A" w:rsidRDefault="00D43D08" w:rsidP="00EE7D56">
            <w:pPr>
              <w:pStyle w:val="NoSpacing"/>
              <w:jc w:val="center"/>
              <w:rPr>
                <w:b/>
                <w:bCs/>
                <w:lang w:val="en-GB" w:eastAsia="en-GB"/>
              </w:rPr>
            </w:pPr>
            <w:r w:rsidRPr="0088343A">
              <w:rPr>
                <w:b/>
                <w:bCs/>
                <w:lang w:val="en-GB" w:eastAsia="en-GB"/>
              </w:rPr>
              <w:t>201</w:t>
            </w:r>
            <w:r w:rsidR="00EE7D56">
              <w:rPr>
                <w:b/>
                <w:bCs/>
                <w:lang w:val="en-GB" w:eastAsia="en-GB"/>
              </w:rPr>
              <w:t>6</w:t>
            </w:r>
          </w:p>
        </w:tc>
        <w:tc>
          <w:tcPr>
            <w:tcW w:w="1276" w:type="dxa"/>
            <w:tcBorders>
              <w:top w:val="nil"/>
              <w:left w:val="nil"/>
              <w:bottom w:val="single" w:sz="4" w:space="0" w:color="auto"/>
              <w:right w:val="double" w:sz="6" w:space="0" w:color="auto"/>
            </w:tcBorders>
            <w:shd w:val="clear" w:color="000000" w:fill="FFFFFF"/>
            <w:vAlign w:val="center"/>
            <w:hideMark/>
          </w:tcPr>
          <w:p w14:paraId="43694105" w14:textId="3BD4C2E9" w:rsidR="00D43D08" w:rsidRPr="0088343A" w:rsidRDefault="00D43D08" w:rsidP="00EE7D56">
            <w:pPr>
              <w:pStyle w:val="NoSpacing"/>
              <w:jc w:val="center"/>
              <w:rPr>
                <w:b/>
                <w:bCs/>
                <w:lang w:val="en-GB" w:eastAsia="en-GB"/>
              </w:rPr>
            </w:pPr>
            <w:r w:rsidRPr="0088343A">
              <w:rPr>
                <w:b/>
                <w:bCs/>
                <w:lang w:val="en-GB" w:eastAsia="en-GB"/>
              </w:rPr>
              <w:t>201</w:t>
            </w:r>
            <w:r w:rsidR="00EE7D56">
              <w:rPr>
                <w:b/>
                <w:bCs/>
                <w:lang w:val="en-GB" w:eastAsia="en-GB"/>
              </w:rPr>
              <w:t>7</w:t>
            </w:r>
          </w:p>
        </w:tc>
      </w:tr>
      <w:tr w:rsidR="00D43D08" w:rsidRPr="00D43D08" w14:paraId="4DED03F9" w14:textId="77777777" w:rsidTr="00801964">
        <w:trPr>
          <w:trHeight w:val="283"/>
        </w:trPr>
        <w:tc>
          <w:tcPr>
            <w:tcW w:w="2977" w:type="dxa"/>
            <w:tcBorders>
              <w:top w:val="nil"/>
              <w:left w:val="double" w:sz="6" w:space="0" w:color="auto"/>
              <w:bottom w:val="nil"/>
              <w:right w:val="nil"/>
            </w:tcBorders>
            <w:shd w:val="clear" w:color="000000" w:fill="FFFFFF"/>
            <w:vAlign w:val="center"/>
            <w:hideMark/>
          </w:tcPr>
          <w:p w14:paraId="2AAB0B86" w14:textId="77777777" w:rsidR="00D43D08" w:rsidRPr="00D43D08" w:rsidRDefault="00D43D08" w:rsidP="0088343A">
            <w:pPr>
              <w:pStyle w:val="NoSpacing"/>
              <w:rPr>
                <w:lang w:val="en-GB" w:eastAsia="en-GB"/>
              </w:rPr>
            </w:pPr>
            <w:r w:rsidRPr="00D43D08">
              <w:rPr>
                <w:lang w:val="en-GB" w:eastAsia="en-GB"/>
              </w:rPr>
              <w:t>High</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7EE5EBB8" w14:textId="322212D6" w:rsidR="00D43D08" w:rsidRPr="00D43D08" w:rsidRDefault="00EE7D56" w:rsidP="0088343A">
            <w:pPr>
              <w:pStyle w:val="NoSpacing"/>
              <w:jc w:val="center"/>
              <w:rPr>
                <w:lang w:val="en-GB" w:eastAsia="en-GB"/>
              </w:rPr>
            </w:pPr>
            <w:r>
              <w:rPr>
                <w:lang w:val="en-GB" w:eastAsia="en-GB"/>
              </w:rPr>
              <w:t>0</w:t>
            </w:r>
          </w:p>
        </w:tc>
        <w:tc>
          <w:tcPr>
            <w:tcW w:w="992" w:type="dxa"/>
            <w:tcBorders>
              <w:top w:val="nil"/>
              <w:left w:val="nil"/>
              <w:bottom w:val="single" w:sz="4" w:space="0" w:color="auto"/>
              <w:right w:val="single" w:sz="4" w:space="0" w:color="auto"/>
            </w:tcBorders>
            <w:shd w:val="clear" w:color="000000" w:fill="FFFFFF"/>
            <w:vAlign w:val="center"/>
          </w:tcPr>
          <w:p w14:paraId="5590DC17" w14:textId="75CEF090" w:rsidR="00D43D08" w:rsidRPr="00D43D08" w:rsidRDefault="00EE7D56" w:rsidP="0088343A">
            <w:pPr>
              <w:pStyle w:val="NoSpacing"/>
              <w:jc w:val="center"/>
              <w:rPr>
                <w:lang w:val="en-GB" w:eastAsia="en-GB"/>
              </w:rPr>
            </w:pPr>
            <w:r>
              <w:rPr>
                <w:lang w:val="en-GB" w:eastAsia="en-GB"/>
              </w:rPr>
              <w:t>16</w:t>
            </w:r>
          </w:p>
        </w:tc>
        <w:tc>
          <w:tcPr>
            <w:tcW w:w="993" w:type="dxa"/>
            <w:tcBorders>
              <w:top w:val="nil"/>
              <w:left w:val="nil"/>
              <w:bottom w:val="single" w:sz="4" w:space="0" w:color="auto"/>
              <w:right w:val="single" w:sz="4" w:space="0" w:color="auto"/>
            </w:tcBorders>
            <w:shd w:val="clear" w:color="000000" w:fill="FFFFFF"/>
            <w:vAlign w:val="center"/>
          </w:tcPr>
          <w:p w14:paraId="31584E13" w14:textId="44EDF33D" w:rsidR="00D43D08" w:rsidRPr="00D43D08" w:rsidRDefault="00EE7D56" w:rsidP="0088343A">
            <w:pPr>
              <w:pStyle w:val="NoSpacing"/>
              <w:jc w:val="center"/>
              <w:rPr>
                <w:lang w:val="en-GB" w:eastAsia="en-GB"/>
              </w:rPr>
            </w:pPr>
            <w:r>
              <w:rPr>
                <w:lang w:val="en-GB" w:eastAsia="en-GB"/>
              </w:rPr>
              <w:t>31</w:t>
            </w:r>
          </w:p>
        </w:tc>
        <w:tc>
          <w:tcPr>
            <w:tcW w:w="992" w:type="dxa"/>
            <w:tcBorders>
              <w:top w:val="nil"/>
              <w:left w:val="nil"/>
              <w:bottom w:val="single" w:sz="4" w:space="0" w:color="auto"/>
              <w:right w:val="single" w:sz="4" w:space="0" w:color="auto"/>
            </w:tcBorders>
            <w:shd w:val="clear" w:color="000000" w:fill="FFFFFF"/>
            <w:vAlign w:val="center"/>
          </w:tcPr>
          <w:p w14:paraId="23B80213" w14:textId="3E5527C2" w:rsidR="00D43D08" w:rsidRPr="00D43D08" w:rsidRDefault="00EE7D56" w:rsidP="0088343A">
            <w:pPr>
              <w:pStyle w:val="NoSpacing"/>
              <w:jc w:val="center"/>
              <w:rPr>
                <w:lang w:val="en-GB" w:eastAsia="en-GB"/>
              </w:rPr>
            </w:pPr>
            <w:r>
              <w:rPr>
                <w:lang w:val="en-GB" w:eastAsia="en-GB"/>
              </w:rPr>
              <w:t>0</w:t>
            </w:r>
          </w:p>
        </w:tc>
        <w:tc>
          <w:tcPr>
            <w:tcW w:w="992" w:type="dxa"/>
            <w:tcBorders>
              <w:top w:val="nil"/>
              <w:left w:val="nil"/>
              <w:bottom w:val="single" w:sz="4" w:space="0" w:color="auto"/>
              <w:right w:val="single" w:sz="4" w:space="0" w:color="auto"/>
            </w:tcBorders>
            <w:shd w:val="clear" w:color="000000" w:fill="FFFFFF"/>
            <w:vAlign w:val="center"/>
          </w:tcPr>
          <w:p w14:paraId="65345E34" w14:textId="283325C3" w:rsidR="00D43D08" w:rsidRPr="00D43D08" w:rsidRDefault="00EE7D56" w:rsidP="0088343A">
            <w:pPr>
              <w:pStyle w:val="NoSpacing"/>
              <w:jc w:val="center"/>
              <w:rPr>
                <w:lang w:val="en-GB" w:eastAsia="en-GB"/>
              </w:rPr>
            </w:pPr>
            <w:r>
              <w:rPr>
                <w:lang w:val="en-GB" w:eastAsia="en-GB"/>
              </w:rPr>
              <w:t>27</w:t>
            </w:r>
          </w:p>
        </w:tc>
        <w:tc>
          <w:tcPr>
            <w:tcW w:w="1276" w:type="dxa"/>
            <w:tcBorders>
              <w:top w:val="nil"/>
              <w:left w:val="nil"/>
              <w:bottom w:val="single" w:sz="4" w:space="0" w:color="auto"/>
              <w:right w:val="double" w:sz="6" w:space="0" w:color="auto"/>
            </w:tcBorders>
            <w:shd w:val="clear" w:color="000000" w:fill="FFFFFF"/>
            <w:vAlign w:val="center"/>
          </w:tcPr>
          <w:p w14:paraId="250EDFC9" w14:textId="75AADC35" w:rsidR="00D43D08" w:rsidRPr="00D43D08" w:rsidRDefault="00EE7D56" w:rsidP="0088343A">
            <w:pPr>
              <w:pStyle w:val="NoSpacing"/>
              <w:jc w:val="center"/>
              <w:rPr>
                <w:lang w:val="en-GB" w:eastAsia="en-GB"/>
              </w:rPr>
            </w:pPr>
            <w:r>
              <w:rPr>
                <w:lang w:val="en-GB" w:eastAsia="en-GB"/>
              </w:rPr>
              <w:t>27</w:t>
            </w:r>
          </w:p>
        </w:tc>
      </w:tr>
      <w:tr w:rsidR="00D43D08" w:rsidRPr="00D43D08" w14:paraId="6E38D387" w14:textId="77777777" w:rsidTr="00801964">
        <w:trPr>
          <w:trHeight w:val="283"/>
        </w:trPr>
        <w:tc>
          <w:tcPr>
            <w:tcW w:w="2977" w:type="dxa"/>
            <w:tcBorders>
              <w:top w:val="nil"/>
              <w:left w:val="double" w:sz="6" w:space="0" w:color="auto"/>
              <w:bottom w:val="nil"/>
              <w:right w:val="nil"/>
            </w:tcBorders>
            <w:shd w:val="clear" w:color="000000" w:fill="FFFFFF"/>
            <w:vAlign w:val="center"/>
            <w:hideMark/>
          </w:tcPr>
          <w:p w14:paraId="18BE523C" w14:textId="77777777" w:rsidR="00D43D08" w:rsidRPr="00D43D08" w:rsidRDefault="00D43D08" w:rsidP="0088343A">
            <w:pPr>
              <w:pStyle w:val="NoSpacing"/>
              <w:rPr>
                <w:lang w:val="en-GB" w:eastAsia="en-GB"/>
              </w:rPr>
            </w:pPr>
            <w:r w:rsidRPr="00D43D08">
              <w:rPr>
                <w:lang w:val="en-GB" w:eastAsia="en-GB"/>
              </w:rPr>
              <w:t>Medium</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5865750D" w14:textId="272690E0" w:rsidR="00D43D08" w:rsidRPr="00D43D08" w:rsidRDefault="00EE7D56" w:rsidP="0088343A">
            <w:pPr>
              <w:pStyle w:val="NoSpacing"/>
              <w:jc w:val="center"/>
              <w:rPr>
                <w:lang w:val="en-GB" w:eastAsia="en-GB"/>
              </w:rPr>
            </w:pPr>
            <w:r>
              <w:rPr>
                <w:lang w:val="en-GB" w:eastAsia="en-GB"/>
              </w:rPr>
              <w:t>57</w:t>
            </w:r>
          </w:p>
        </w:tc>
        <w:tc>
          <w:tcPr>
            <w:tcW w:w="992" w:type="dxa"/>
            <w:tcBorders>
              <w:top w:val="nil"/>
              <w:left w:val="nil"/>
              <w:bottom w:val="single" w:sz="4" w:space="0" w:color="auto"/>
              <w:right w:val="single" w:sz="4" w:space="0" w:color="auto"/>
            </w:tcBorders>
            <w:shd w:val="clear" w:color="000000" w:fill="FFFFFF"/>
            <w:vAlign w:val="center"/>
          </w:tcPr>
          <w:p w14:paraId="474868D6" w14:textId="0A6E7771" w:rsidR="00D43D08" w:rsidRPr="00D43D08" w:rsidRDefault="00EE7D56" w:rsidP="0088343A">
            <w:pPr>
              <w:pStyle w:val="NoSpacing"/>
              <w:jc w:val="center"/>
              <w:rPr>
                <w:lang w:val="en-GB" w:eastAsia="en-GB"/>
              </w:rPr>
            </w:pPr>
            <w:r>
              <w:rPr>
                <w:lang w:val="en-GB" w:eastAsia="en-GB"/>
              </w:rPr>
              <w:t>44</w:t>
            </w:r>
          </w:p>
        </w:tc>
        <w:tc>
          <w:tcPr>
            <w:tcW w:w="993" w:type="dxa"/>
            <w:tcBorders>
              <w:top w:val="nil"/>
              <w:left w:val="nil"/>
              <w:bottom w:val="single" w:sz="4" w:space="0" w:color="auto"/>
              <w:right w:val="single" w:sz="4" w:space="0" w:color="auto"/>
            </w:tcBorders>
            <w:shd w:val="clear" w:color="000000" w:fill="FFFFFF"/>
            <w:vAlign w:val="center"/>
          </w:tcPr>
          <w:p w14:paraId="3FEAAFE9" w14:textId="20879C31" w:rsidR="00D43D08" w:rsidRPr="00D43D08" w:rsidRDefault="00EE7D56" w:rsidP="0088343A">
            <w:pPr>
              <w:pStyle w:val="NoSpacing"/>
              <w:jc w:val="center"/>
              <w:rPr>
                <w:lang w:val="en-GB" w:eastAsia="en-GB"/>
              </w:rPr>
            </w:pPr>
            <w:r>
              <w:rPr>
                <w:lang w:val="en-GB" w:eastAsia="en-GB"/>
              </w:rPr>
              <w:t>84</w:t>
            </w:r>
          </w:p>
        </w:tc>
        <w:tc>
          <w:tcPr>
            <w:tcW w:w="992" w:type="dxa"/>
            <w:tcBorders>
              <w:top w:val="nil"/>
              <w:left w:val="nil"/>
              <w:bottom w:val="single" w:sz="4" w:space="0" w:color="auto"/>
              <w:right w:val="single" w:sz="4" w:space="0" w:color="auto"/>
            </w:tcBorders>
            <w:shd w:val="clear" w:color="000000" w:fill="FFFFFF"/>
            <w:vAlign w:val="center"/>
          </w:tcPr>
          <w:p w14:paraId="296B5324" w14:textId="7E5746D9" w:rsidR="00D43D08" w:rsidRPr="00D43D08" w:rsidRDefault="00EE7D56" w:rsidP="0088343A">
            <w:pPr>
              <w:pStyle w:val="NoSpacing"/>
              <w:jc w:val="center"/>
              <w:rPr>
                <w:lang w:val="en-GB" w:eastAsia="en-GB"/>
              </w:rPr>
            </w:pPr>
            <w:r>
              <w:rPr>
                <w:lang w:val="en-GB" w:eastAsia="en-GB"/>
              </w:rPr>
              <w:t>100</w:t>
            </w:r>
          </w:p>
        </w:tc>
        <w:tc>
          <w:tcPr>
            <w:tcW w:w="992" w:type="dxa"/>
            <w:tcBorders>
              <w:top w:val="nil"/>
              <w:left w:val="nil"/>
              <w:bottom w:val="single" w:sz="4" w:space="0" w:color="auto"/>
              <w:right w:val="single" w:sz="4" w:space="0" w:color="auto"/>
            </w:tcBorders>
            <w:shd w:val="clear" w:color="000000" w:fill="FFFFFF"/>
            <w:vAlign w:val="center"/>
          </w:tcPr>
          <w:p w14:paraId="15614939" w14:textId="1B38EAC1" w:rsidR="00D43D08" w:rsidRPr="00D43D08" w:rsidRDefault="00EE7D56" w:rsidP="0088343A">
            <w:pPr>
              <w:pStyle w:val="NoSpacing"/>
              <w:jc w:val="center"/>
              <w:rPr>
                <w:lang w:val="en-GB" w:eastAsia="en-GB"/>
              </w:rPr>
            </w:pPr>
            <w:r>
              <w:rPr>
                <w:lang w:val="en-GB" w:eastAsia="en-GB"/>
              </w:rPr>
              <w:t>73</w:t>
            </w:r>
          </w:p>
        </w:tc>
        <w:tc>
          <w:tcPr>
            <w:tcW w:w="1276" w:type="dxa"/>
            <w:tcBorders>
              <w:top w:val="nil"/>
              <w:left w:val="nil"/>
              <w:bottom w:val="single" w:sz="4" w:space="0" w:color="auto"/>
              <w:right w:val="double" w:sz="6" w:space="0" w:color="auto"/>
            </w:tcBorders>
            <w:shd w:val="clear" w:color="000000" w:fill="FFFFFF"/>
            <w:vAlign w:val="center"/>
          </w:tcPr>
          <w:p w14:paraId="5042CB93" w14:textId="68364944" w:rsidR="00D43D08" w:rsidRPr="00D43D08" w:rsidRDefault="00EE7D56" w:rsidP="0088343A">
            <w:pPr>
              <w:pStyle w:val="NoSpacing"/>
              <w:jc w:val="center"/>
              <w:rPr>
                <w:lang w:val="en-GB" w:eastAsia="en-GB"/>
              </w:rPr>
            </w:pPr>
            <w:r>
              <w:rPr>
                <w:lang w:val="en-GB" w:eastAsia="en-GB"/>
              </w:rPr>
              <w:t>73</w:t>
            </w:r>
          </w:p>
        </w:tc>
      </w:tr>
      <w:tr w:rsidR="00D43D08" w:rsidRPr="00D43D08" w14:paraId="6B3E9B02" w14:textId="77777777" w:rsidTr="00801964">
        <w:trPr>
          <w:trHeight w:val="283"/>
        </w:trPr>
        <w:tc>
          <w:tcPr>
            <w:tcW w:w="2977" w:type="dxa"/>
            <w:tcBorders>
              <w:top w:val="nil"/>
              <w:left w:val="double" w:sz="6" w:space="0" w:color="auto"/>
              <w:bottom w:val="nil"/>
              <w:right w:val="nil"/>
            </w:tcBorders>
            <w:shd w:val="clear" w:color="000000" w:fill="FFFFFF"/>
            <w:vAlign w:val="center"/>
            <w:hideMark/>
          </w:tcPr>
          <w:p w14:paraId="1517DA3B" w14:textId="77777777" w:rsidR="00D43D08" w:rsidRPr="00D43D08" w:rsidRDefault="00D43D08" w:rsidP="0088343A">
            <w:pPr>
              <w:pStyle w:val="NoSpacing"/>
              <w:rPr>
                <w:lang w:val="en-GB" w:eastAsia="en-GB"/>
              </w:rPr>
            </w:pPr>
            <w:r w:rsidRPr="00D43D08">
              <w:rPr>
                <w:lang w:val="en-GB" w:eastAsia="en-GB"/>
              </w:rPr>
              <w:t>Low</w:t>
            </w:r>
          </w:p>
        </w:tc>
        <w:tc>
          <w:tcPr>
            <w:tcW w:w="992" w:type="dxa"/>
            <w:tcBorders>
              <w:top w:val="nil"/>
              <w:left w:val="single" w:sz="4" w:space="0" w:color="auto"/>
              <w:bottom w:val="nil"/>
              <w:right w:val="single" w:sz="4" w:space="0" w:color="auto"/>
            </w:tcBorders>
            <w:shd w:val="clear" w:color="000000" w:fill="FFFFFF"/>
            <w:vAlign w:val="center"/>
          </w:tcPr>
          <w:p w14:paraId="4F1BCA65" w14:textId="16030E3E" w:rsidR="00D43D08" w:rsidRPr="00D43D08" w:rsidRDefault="00EE7D56" w:rsidP="0088343A">
            <w:pPr>
              <w:pStyle w:val="NoSpacing"/>
              <w:jc w:val="center"/>
              <w:rPr>
                <w:lang w:val="en-GB" w:eastAsia="en-GB"/>
              </w:rPr>
            </w:pPr>
            <w:r>
              <w:rPr>
                <w:lang w:val="en-GB" w:eastAsia="en-GB"/>
              </w:rPr>
              <w:t>0</w:t>
            </w:r>
          </w:p>
        </w:tc>
        <w:tc>
          <w:tcPr>
            <w:tcW w:w="992" w:type="dxa"/>
            <w:tcBorders>
              <w:top w:val="nil"/>
              <w:left w:val="nil"/>
              <w:bottom w:val="nil"/>
              <w:right w:val="single" w:sz="4" w:space="0" w:color="auto"/>
            </w:tcBorders>
            <w:shd w:val="clear" w:color="000000" w:fill="FFFFFF"/>
            <w:vAlign w:val="center"/>
          </w:tcPr>
          <w:p w14:paraId="78307109" w14:textId="0D846FA6" w:rsidR="00D43D08" w:rsidRPr="00D43D08" w:rsidRDefault="00EE7D56" w:rsidP="0088343A">
            <w:pPr>
              <w:pStyle w:val="NoSpacing"/>
              <w:jc w:val="center"/>
              <w:rPr>
                <w:lang w:val="en-GB" w:eastAsia="en-GB"/>
              </w:rPr>
            </w:pPr>
            <w:r>
              <w:rPr>
                <w:lang w:val="en-GB" w:eastAsia="en-GB"/>
              </w:rPr>
              <w:t>0</w:t>
            </w:r>
          </w:p>
        </w:tc>
        <w:tc>
          <w:tcPr>
            <w:tcW w:w="993" w:type="dxa"/>
            <w:tcBorders>
              <w:top w:val="nil"/>
              <w:left w:val="nil"/>
              <w:bottom w:val="nil"/>
              <w:right w:val="single" w:sz="4" w:space="0" w:color="auto"/>
            </w:tcBorders>
            <w:shd w:val="clear" w:color="000000" w:fill="FFFFFF"/>
            <w:vAlign w:val="center"/>
          </w:tcPr>
          <w:p w14:paraId="756D5922" w14:textId="2700E47F" w:rsidR="00D43D08" w:rsidRPr="00D43D08" w:rsidRDefault="00EE7D56" w:rsidP="0088343A">
            <w:pPr>
              <w:pStyle w:val="NoSpacing"/>
              <w:jc w:val="center"/>
              <w:rPr>
                <w:lang w:val="en-GB" w:eastAsia="en-GB"/>
              </w:rPr>
            </w:pPr>
            <w:r>
              <w:rPr>
                <w:lang w:val="en-GB" w:eastAsia="en-GB"/>
              </w:rPr>
              <w:t>0</w:t>
            </w:r>
          </w:p>
        </w:tc>
        <w:tc>
          <w:tcPr>
            <w:tcW w:w="992" w:type="dxa"/>
            <w:tcBorders>
              <w:top w:val="nil"/>
              <w:left w:val="nil"/>
              <w:bottom w:val="nil"/>
              <w:right w:val="single" w:sz="4" w:space="0" w:color="auto"/>
            </w:tcBorders>
            <w:shd w:val="clear" w:color="000000" w:fill="FFFFFF"/>
            <w:vAlign w:val="center"/>
          </w:tcPr>
          <w:p w14:paraId="7F0158B8" w14:textId="793A5691" w:rsidR="00D43D08" w:rsidRPr="00D43D08" w:rsidRDefault="00EE7D56" w:rsidP="0088343A">
            <w:pPr>
              <w:pStyle w:val="NoSpacing"/>
              <w:jc w:val="center"/>
              <w:rPr>
                <w:lang w:val="en-GB" w:eastAsia="en-GB"/>
              </w:rPr>
            </w:pPr>
            <w:r>
              <w:rPr>
                <w:lang w:val="en-GB" w:eastAsia="en-GB"/>
              </w:rPr>
              <w:t>0</w:t>
            </w:r>
          </w:p>
        </w:tc>
        <w:tc>
          <w:tcPr>
            <w:tcW w:w="992" w:type="dxa"/>
            <w:tcBorders>
              <w:top w:val="nil"/>
              <w:left w:val="nil"/>
              <w:bottom w:val="nil"/>
              <w:right w:val="single" w:sz="4" w:space="0" w:color="auto"/>
            </w:tcBorders>
            <w:shd w:val="clear" w:color="000000" w:fill="FFFFFF"/>
            <w:vAlign w:val="center"/>
          </w:tcPr>
          <w:p w14:paraId="71B59648" w14:textId="4E5874CA" w:rsidR="00D43D08" w:rsidRPr="00D43D08" w:rsidRDefault="00EE7D56" w:rsidP="0088343A">
            <w:pPr>
              <w:pStyle w:val="NoSpacing"/>
              <w:jc w:val="center"/>
              <w:rPr>
                <w:lang w:val="en-GB" w:eastAsia="en-GB"/>
              </w:rPr>
            </w:pPr>
            <w:r>
              <w:rPr>
                <w:lang w:val="en-GB" w:eastAsia="en-GB"/>
              </w:rPr>
              <w:t>0</w:t>
            </w:r>
          </w:p>
        </w:tc>
        <w:tc>
          <w:tcPr>
            <w:tcW w:w="1276" w:type="dxa"/>
            <w:tcBorders>
              <w:top w:val="nil"/>
              <w:left w:val="nil"/>
              <w:bottom w:val="nil"/>
              <w:right w:val="double" w:sz="6" w:space="0" w:color="auto"/>
            </w:tcBorders>
            <w:shd w:val="clear" w:color="000000" w:fill="FFFFFF"/>
            <w:vAlign w:val="center"/>
          </w:tcPr>
          <w:p w14:paraId="5E5349B5" w14:textId="22AB30D7" w:rsidR="00D43D08" w:rsidRPr="00D43D08" w:rsidRDefault="00EE7D56" w:rsidP="0088343A">
            <w:pPr>
              <w:pStyle w:val="NoSpacing"/>
              <w:jc w:val="center"/>
              <w:rPr>
                <w:lang w:val="en-GB" w:eastAsia="en-GB"/>
              </w:rPr>
            </w:pPr>
            <w:r>
              <w:rPr>
                <w:lang w:val="en-GB" w:eastAsia="en-GB"/>
              </w:rPr>
              <w:t>0</w:t>
            </w:r>
          </w:p>
        </w:tc>
      </w:tr>
      <w:tr w:rsidR="00D43D08" w:rsidRPr="00D43D08" w14:paraId="127D4E81" w14:textId="77777777" w:rsidTr="00801964">
        <w:trPr>
          <w:trHeight w:val="340"/>
        </w:trPr>
        <w:tc>
          <w:tcPr>
            <w:tcW w:w="2977" w:type="dxa"/>
            <w:tcBorders>
              <w:top w:val="single" w:sz="4" w:space="0" w:color="auto"/>
              <w:left w:val="double" w:sz="6" w:space="0" w:color="auto"/>
              <w:bottom w:val="double" w:sz="6" w:space="0" w:color="auto"/>
              <w:right w:val="nil"/>
            </w:tcBorders>
            <w:shd w:val="clear" w:color="000000" w:fill="FFFFFF"/>
            <w:vAlign w:val="center"/>
            <w:hideMark/>
          </w:tcPr>
          <w:p w14:paraId="5BCD92F0" w14:textId="77777777" w:rsidR="00D43D08" w:rsidRPr="00D43D08" w:rsidRDefault="00D43D08" w:rsidP="0088343A">
            <w:pPr>
              <w:pStyle w:val="NoSpacing"/>
              <w:rPr>
                <w:b/>
                <w:bCs/>
                <w:lang w:val="en-GB" w:eastAsia="en-GB"/>
              </w:rPr>
            </w:pPr>
            <w:r w:rsidRPr="00D43D08">
              <w:rPr>
                <w:b/>
                <w:bCs/>
                <w:lang w:val="en-GB" w:eastAsia="en-GB"/>
              </w:rPr>
              <w:t>Total</w:t>
            </w:r>
          </w:p>
        </w:tc>
        <w:tc>
          <w:tcPr>
            <w:tcW w:w="992" w:type="dxa"/>
            <w:tcBorders>
              <w:top w:val="single" w:sz="4" w:space="0" w:color="auto"/>
              <w:left w:val="single" w:sz="4" w:space="0" w:color="auto"/>
              <w:bottom w:val="double" w:sz="6" w:space="0" w:color="auto"/>
              <w:right w:val="single" w:sz="4" w:space="0" w:color="auto"/>
            </w:tcBorders>
            <w:shd w:val="clear" w:color="000000" w:fill="FFFFFF"/>
            <w:vAlign w:val="center"/>
          </w:tcPr>
          <w:p w14:paraId="788ADAB9" w14:textId="0E38CD0C" w:rsidR="00D43D08" w:rsidRPr="0088343A" w:rsidRDefault="00EE7D56" w:rsidP="0088343A">
            <w:pPr>
              <w:pStyle w:val="NoSpacing"/>
              <w:jc w:val="center"/>
              <w:rPr>
                <w:b/>
                <w:lang w:val="en-GB" w:eastAsia="en-GB"/>
              </w:rPr>
            </w:pPr>
            <w:r>
              <w:rPr>
                <w:b/>
                <w:lang w:val="en-GB" w:eastAsia="en-GB"/>
              </w:rPr>
              <w:t>57</w:t>
            </w:r>
          </w:p>
        </w:tc>
        <w:tc>
          <w:tcPr>
            <w:tcW w:w="992" w:type="dxa"/>
            <w:tcBorders>
              <w:top w:val="single" w:sz="4" w:space="0" w:color="auto"/>
              <w:left w:val="nil"/>
              <w:bottom w:val="double" w:sz="6" w:space="0" w:color="auto"/>
              <w:right w:val="single" w:sz="4" w:space="0" w:color="auto"/>
            </w:tcBorders>
            <w:shd w:val="clear" w:color="000000" w:fill="FFFFFF"/>
            <w:vAlign w:val="center"/>
          </w:tcPr>
          <w:p w14:paraId="01F5EDBC" w14:textId="6F4FF835" w:rsidR="00D43D08" w:rsidRPr="0088343A" w:rsidRDefault="00EE7D56" w:rsidP="0088343A">
            <w:pPr>
              <w:pStyle w:val="NoSpacing"/>
              <w:jc w:val="center"/>
              <w:rPr>
                <w:b/>
                <w:lang w:val="en-GB" w:eastAsia="en-GB"/>
              </w:rPr>
            </w:pPr>
            <w:r>
              <w:rPr>
                <w:b/>
                <w:lang w:val="en-GB" w:eastAsia="en-GB"/>
              </w:rPr>
              <w:t>60</w:t>
            </w:r>
          </w:p>
        </w:tc>
        <w:tc>
          <w:tcPr>
            <w:tcW w:w="993" w:type="dxa"/>
            <w:tcBorders>
              <w:top w:val="single" w:sz="4" w:space="0" w:color="auto"/>
              <w:left w:val="nil"/>
              <w:bottom w:val="double" w:sz="6" w:space="0" w:color="auto"/>
              <w:right w:val="single" w:sz="4" w:space="0" w:color="auto"/>
            </w:tcBorders>
            <w:shd w:val="clear" w:color="000000" w:fill="FFFFFF"/>
            <w:vAlign w:val="center"/>
          </w:tcPr>
          <w:p w14:paraId="52AE08F5" w14:textId="70DF4C50" w:rsidR="00D43D08" w:rsidRPr="0088343A" w:rsidRDefault="00EE7D56" w:rsidP="0088343A">
            <w:pPr>
              <w:pStyle w:val="NoSpacing"/>
              <w:jc w:val="center"/>
              <w:rPr>
                <w:b/>
                <w:lang w:val="en-GB" w:eastAsia="en-GB"/>
              </w:rPr>
            </w:pPr>
            <w:r>
              <w:rPr>
                <w:b/>
                <w:lang w:val="en-GB" w:eastAsia="en-GB"/>
              </w:rPr>
              <w:t>115</w:t>
            </w:r>
          </w:p>
        </w:tc>
        <w:tc>
          <w:tcPr>
            <w:tcW w:w="992" w:type="dxa"/>
            <w:tcBorders>
              <w:top w:val="single" w:sz="4" w:space="0" w:color="auto"/>
              <w:left w:val="nil"/>
              <w:bottom w:val="double" w:sz="6" w:space="0" w:color="auto"/>
              <w:right w:val="single" w:sz="4" w:space="0" w:color="auto"/>
            </w:tcBorders>
            <w:shd w:val="clear" w:color="000000" w:fill="FFFFFF"/>
            <w:vAlign w:val="center"/>
            <w:hideMark/>
          </w:tcPr>
          <w:p w14:paraId="799A79AB" w14:textId="77777777" w:rsidR="00D43D08" w:rsidRPr="00EE7D56" w:rsidRDefault="00D43D08" w:rsidP="0088343A">
            <w:pPr>
              <w:pStyle w:val="NoSpacing"/>
              <w:jc w:val="center"/>
              <w:rPr>
                <w:b/>
                <w:lang w:val="en-GB" w:eastAsia="en-GB"/>
              </w:rPr>
            </w:pPr>
            <w:r w:rsidRPr="00EE7D56">
              <w:rPr>
                <w:b/>
                <w:lang w:val="en-GB" w:eastAsia="en-GB"/>
              </w:rPr>
              <w:t>100</w:t>
            </w:r>
          </w:p>
        </w:tc>
        <w:tc>
          <w:tcPr>
            <w:tcW w:w="992" w:type="dxa"/>
            <w:tcBorders>
              <w:top w:val="single" w:sz="4" w:space="0" w:color="auto"/>
              <w:left w:val="nil"/>
              <w:bottom w:val="double" w:sz="6" w:space="0" w:color="auto"/>
              <w:right w:val="single" w:sz="4" w:space="0" w:color="auto"/>
            </w:tcBorders>
            <w:shd w:val="clear" w:color="000000" w:fill="FFFFFF"/>
            <w:vAlign w:val="center"/>
            <w:hideMark/>
          </w:tcPr>
          <w:p w14:paraId="363A7DB9" w14:textId="77777777" w:rsidR="00D43D08" w:rsidRPr="00D43D08" w:rsidRDefault="00D43D08" w:rsidP="0088343A">
            <w:pPr>
              <w:pStyle w:val="NoSpacing"/>
              <w:jc w:val="center"/>
              <w:rPr>
                <w:b/>
                <w:bCs/>
                <w:lang w:val="en-GB" w:eastAsia="en-GB"/>
              </w:rPr>
            </w:pPr>
            <w:r w:rsidRPr="00D43D08">
              <w:rPr>
                <w:b/>
                <w:bCs/>
                <w:lang w:val="en-GB" w:eastAsia="en-GB"/>
              </w:rPr>
              <w:t>100</w:t>
            </w:r>
          </w:p>
        </w:tc>
        <w:tc>
          <w:tcPr>
            <w:tcW w:w="1276" w:type="dxa"/>
            <w:tcBorders>
              <w:top w:val="single" w:sz="4" w:space="0" w:color="auto"/>
              <w:left w:val="nil"/>
              <w:bottom w:val="double" w:sz="6" w:space="0" w:color="auto"/>
              <w:right w:val="double" w:sz="6" w:space="0" w:color="auto"/>
            </w:tcBorders>
            <w:shd w:val="clear" w:color="000000" w:fill="FFFFFF"/>
            <w:vAlign w:val="center"/>
            <w:hideMark/>
          </w:tcPr>
          <w:p w14:paraId="7CF5EB8F" w14:textId="77777777" w:rsidR="00D43D08" w:rsidRPr="00D43D08" w:rsidRDefault="00D43D08" w:rsidP="0088343A">
            <w:pPr>
              <w:pStyle w:val="NoSpacing"/>
              <w:jc w:val="center"/>
              <w:rPr>
                <w:b/>
                <w:bCs/>
                <w:lang w:val="en-GB" w:eastAsia="en-GB"/>
              </w:rPr>
            </w:pPr>
            <w:r w:rsidRPr="00D43D08">
              <w:rPr>
                <w:b/>
                <w:bCs/>
                <w:lang w:val="en-GB" w:eastAsia="en-GB"/>
              </w:rPr>
              <w:t>100</w:t>
            </w:r>
          </w:p>
        </w:tc>
      </w:tr>
      <w:tr w:rsidR="00D43D08" w:rsidRPr="00D43D08" w14:paraId="6F63B299" w14:textId="77777777" w:rsidTr="00801964">
        <w:trPr>
          <w:trHeight w:val="340"/>
        </w:trPr>
        <w:tc>
          <w:tcPr>
            <w:tcW w:w="9214" w:type="dxa"/>
            <w:gridSpan w:val="7"/>
            <w:tcBorders>
              <w:top w:val="double" w:sz="6" w:space="0" w:color="auto"/>
              <w:left w:val="double" w:sz="6" w:space="0" w:color="auto"/>
              <w:bottom w:val="double" w:sz="6" w:space="0" w:color="auto"/>
              <w:right w:val="double" w:sz="6" w:space="0" w:color="000000"/>
            </w:tcBorders>
            <w:shd w:val="clear" w:color="000000" w:fill="FFFFFF"/>
            <w:noWrap/>
            <w:vAlign w:val="center"/>
            <w:hideMark/>
          </w:tcPr>
          <w:p w14:paraId="6C395AF7" w14:textId="65ECA8FF" w:rsidR="006B7356" w:rsidRPr="00D43D08" w:rsidRDefault="006B7356" w:rsidP="000243C8">
            <w:pPr>
              <w:pStyle w:val="NoSpacing"/>
              <w:rPr>
                <w:lang w:val="en-GB" w:eastAsia="en-GB"/>
              </w:rPr>
            </w:pPr>
            <w:r w:rsidRPr="00D43D08">
              <w:rPr>
                <w:sz w:val="16"/>
                <w:lang w:val="en-GB" w:eastAsia="en-GB"/>
              </w:rPr>
              <w:t>*Developed based on IAIG annual</w:t>
            </w:r>
            <w:r w:rsidR="009E45A7" w:rsidRPr="00D43D08">
              <w:rPr>
                <w:sz w:val="16"/>
                <w:lang w:val="en-GB" w:eastAsia="en-GB"/>
              </w:rPr>
              <w:t xml:space="preserve"> reports for 201</w:t>
            </w:r>
            <w:r w:rsidR="0088343A">
              <w:rPr>
                <w:sz w:val="16"/>
                <w:lang w:val="en-GB" w:eastAsia="en-GB"/>
              </w:rPr>
              <w:t>6</w:t>
            </w:r>
            <w:r w:rsidR="009E45A7" w:rsidRPr="00D43D08">
              <w:rPr>
                <w:sz w:val="16"/>
                <w:lang w:val="en-GB" w:eastAsia="en-GB"/>
              </w:rPr>
              <w:t xml:space="preserve"> (</w:t>
            </w:r>
            <w:r w:rsidR="00B35E8A" w:rsidRPr="00D43D08">
              <w:rPr>
                <w:sz w:val="16"/>
                <w:lang w:val="en-GB" w:eastAsia="en-GB"/>
              </w:rPr>
              <w:t>DP/OPS/201</w:t>
            </w:r>
            <w:r w:rsidR="0088343A">
              <w:rPr>
                <w:sz w:val="16"/>
                <w:lang w:val="en-GB" w:eastAsia="en-GB"/>
              </w:rPr>
              <w:t>7</w:t>
            </w:r>
            <w:r w:rsidR="00B35E8A" w:rsidRPr="00D43D08">
              <w:rPr>
                <w:sz w:val="16"/>
                <w:lang w:val="en-GB" w:eastAsia="en-GB"/>
              </w:rPr>
              <w:t>/3</w:t>
            </w:r>
            <w:r w:rsidR="0088343A">
              <w:rPr>
                <w:sz w:val="16"/>
                <w:lang w:val="en-GB" w:eastAsia="en-GB"/>
              </w:rPr>
              <w:t>) and 2017</w:t>
            </w:r>
            <w:r w:rsidR="009E45A7" w:rsidRPr="00D43D08">
              <w:rPr>
                <w:sz w:val="16"/>
                <w:lang w:val="en-GB" w:eastAsia="en-GB"/>
              </w:rPr>
              <w:t xml:space="preserve"> (</w:t>
            </w:r>
            <w:r w:rsidR="0088343A">
              <w:rPr>
                <w:sz w:val="16"/>
                <w:lang w:val="en-GB" w:eastAsia="en-GB"/>
              </w:rPr>
              <w:t>DP/OPS/2018</w:t>
            </w:r>
            <w:r w:rsidR="00694918" w:rsidRPr="00D43D08">
              <w:rPr>
                <w:sz w:val="16"/>
                <w:lang w:val="en-GB" w:eastAsia="en-GB"/>
              </w:rPr>
              <w:t>/</w:t>
            </w:r>
            <w:r w:rsidR="000243C8">
              <w:rPr>
                <w:sz w:val="16"/>
                <w:lang w:val="en-GB" w:eastAsia="en-GB"/>
              </w:rPr>
              <w:t>3</w:t>
            </w:r>
            <w:r w:rsidR="00801964">
              <w:rPr>
                <w:sz w:val="16"/>
                <w:lang w:val="en-GB" w:eastAsia="en-GB"/>
              </w:rPr>
              <w:t>).</w:t>
            </w:r>
          </w:p>
        </w:tc>
      </w:tr>
    </w:tbl>
    <w:p w14:paraId="4AEA8BA7" w14:textId="4CCFF53C" w:rsidR="00F9619E" w:rsidRPr="00EE7D56" w:rsidRDefault="005F147C" w:rsidP="0029436C">
      <w:pPr>
        <w:tabs>
          <w:tab w:val="left" w:pos="426"/>
        </w:tabs>
        <w:jc w:val="both"/>
        <w:rPr>
          <w:sz w:val="22"/>
          <w:lang w:val="en-GB"/>
        </w:rPr>
      </w:pPr>
      <w:r w:rsidRPr="00EE7D56">
        <w:rPr>
          <w:sz w:val="22"/>
          <w:lang w:val="en-GB"/>
        </w:rPr>
        <w:lastRenderedPageBreak/>
        <w:t>With regard to the functional distribution of project audit recommen</w:t>
      </w:r>
      <w:r w:rsidR="00AE752A" w:rsidRPr="00EE7D56">
        <w:rPr>
          <w:sz w:val="22"/>
          <w:lang w:val="en-GB"/>
        </w:rPr>
        <w:t xml:space="preserve">dations, management notes </w:t>
      </w:r>
      <w:r w:rsidR="00B67194" w:rsidRPr="00EE7D56">
        <w:rPr>
          <w:sz w:val="22"/>
          <w:lang w:val="en-GB"/>
        </w:rPr>
        <w:t>peaks</w:t>
      </w:r>
      <w:r w:rsidR="00961996" w:rsidRPr="00EE7D56">
        <w:rPr>
          <w:sz w:val="22"/>
          <w:lang w:val="en-GB"/>
        </w:rPr>
        <w:t xml:space="preserve"> </w:t>
      </w:r>
      <w:r w:rsidRPr="00EE7D56">
        <w:rPr>
          <w:sz w:val="22"/>
          <w:lang w:val="en-GB"/>
        </w:rPr>
        <w:t>in recommendati</w:t>
      </w:r>
      <w:r w:rsidR="00BC1F01" w:rsidRPr="00EE7D56">
        <w:rPr>
          <w:sz w:val="22"/>
          <w:lang w:val="en-GB"/>
        </w:rPr>
        <w:t xml:space="preserve">ons for Project Management, </w:t>
      </w:r>
      <w:r w:rsidRPr="00EE7D56">
        <w:rPr>
          <w:sz w:val="22"/>
          <w:lang w:val="en-GB"/>
        </w:rPr>
        <w:t>Finance</w:t>
      </w:r>
      <w:r w:rsidR="00BC1F01" w:rsidRPr="00EE7D56">
        <w:rPr>
          <w:sz w:val="22"/>
          <w:lang w:val="en-GB"/>
        </w:rPr>
        <w:t xml:space="preserve"> and </w:t>
      </w:r>
      <w:r w:rsidR="00320C83">
        <w:rPr>
          <w:sz w:val="22"/>
          <w:lang w:val="en-GB"/>
        </w:rPr>
        <w:t>general Administration, all in 2017</w:t>
      </w:r>
      <w:r w:rsidR="00D71BB7" w:rsidRPr="00EE7D56">
        <w:rPr>
          <w:sz w:val="22"/>
          <w:lang w:val="en-GB"/>
        </w:rPr>
        <w:t xml:space="preserve">. </w:t>
      </w:r>
      <w:r w:rsidR="0072504C" w:rsidRPr="00EE7D56">
        <w:rPr>
          <w:sz w:val="22"/>
          <w:lang w:val="en-GB"/>
        </w:rPr>
        <w:t xml:space="preserve">This </w:t>
      </w:r>
      <w:r w:rsidR="00427401">
        <w:rPr>
          <w:sz w:val="22"/>
          <w:lang w:val="en-GB"/>
        </w:rPr>
        <w:t>is</w:t>
      </w:r>
      <w:r w:rsidR="007944CC" w:rsidRPr="00EE7D56">
        <w:rPr>
          <w:sz w:val="22"/>
          <w:lang w:val="en-GB"/>
        </w:rPr>
        <w:t xml:space="preserve"> commensurate with the functional focus of project audits, and </w:t>
      </w:r>
      <w:r w:rsidR="0072504C" w:rsidRPr="00EE7D56">
        <w:rPr>
          <w:sz w:val="22"/>
          <w:lang w:val="en-GB"/>
        </w:rPr>
        <w:t xml:space="preserve">correlates </w:t>
      </w:r>
      <w:r w:rsidR="007944CC" w:rsidRPr="00EE7D56">
        <w:rPr>
          <w:sz w:val="22"/>
          <w:lang w:val="en-GB"/>
        </w:rPr>
        <w:t xml:space="preserve">with </w:t>
      </w:r>
      <w:r w:rsidR="0072504C" w:rsidRPr="00EE7D56">
        <w:rPr>
          <w:sz w:val="22"/>
          <w:lang w:val="en-GB"/>
        </w:rPr>
        <w:t>the increase in project audit reports and recomm</w:t>
      </w:r>
      <w:r w:rsidR="00320C83">
        <w:rPr>
          <w:sz w:val="22"/>
          <w:lang w:val="en-GB"/>
        </w:rPr>
        <w:t>endations issued by IAIG in 2017</w:t>
      </w:r>
      <w:r w:rsidR="0072504C" w:rsidRPr="00EE7D56">
        <w:rPr>
          <w:sz w:val="22"/>
          <w:lang w:val="en-GB"/>
        </w:rPr>
        <w:t>,</w:t>
      </w:r>
      <w:r w:rsidR="00EE7D56" w:rsidRPr="00EE7D56">
        <w:rPr>
          <w:sz w:val="22"/>
          <w:lang w:val="en-GB"/>
        </w:rPr>
        <w:t xml:space="preserve"> as </w:t>
      </w:r>
      <w:r w:rsidR="00325DBC">
        <w:rPr>
          <w:sz w:val="22"/>
          <w:lang w:val="en-GB"/>
        </w:rPr>
        <w:t>summarized</w:t>
      </w:r>
      <w:r w:rsidR="00EE7D56" w:rsidRPr="00EE7D56">
        <w:rPr>
          <w:sz w:val="22"/>
          <w:lang w:val="en-GB"/>
        </w:rPr>
        <w:t xml:space="preserve"> in tables 1 and 2</w:t>
      </w:r>
      <w:r w:rsidR="00325DBC">
        <w:rPr>
          <w:sz w:val="22"/>
          <w:lang w:val="en-GB"/>
        </w:rPr>
        <w:t xml:space="preserve"> above</w:t>
      </w:r>
      <w:r w:rsidR="00EE7D56" w:rsidRPr="00EE7D56">
        <w:rPr>
          <w:sz w:val="22"/>
          <w:lang w:val="en-GB"/>
        </w:rPr>
        <w:t>.</w:t>
      </w:r>
    </w:p>
    <w:p w14:paraId="3DDF2945" w14:textId="7AF86176" w:rsidR="00475955" w:rsidRDefault="00320C83" w:rsidP="00EE7D56">
      <w:pPr>
        <w:keepNext/>
        <w:numPr>
          <w:ilvl w:val="0"/>
          <w:numId w:val="0"/>
        </w:numPr>
        <w:ind w:left="360"/>
        <w:jc w:val="center"/>
        <w:rPr>
          <w:b/>
          <w:sz w:val="18"/>
          <w:lang w:val="en-GB"/>
        </w:rPr>
      </w:pPr>
      <w:r>
        <w:rPr>
          <w:noProof/>
        </w:rPr>
        <w:drawing>
          <wp:anchor distT="0" distB="0" distL="114300" distR="114300" simplePos="0" relativeHeight="251662336" behindDoc="0" locked="0" layoutInCell="1" allowOverlap="1" wp14:anchorId="080ACC23" wp14:editId="69FCDDB7">
            <wp:simplePos x="0" y="0"/>
            <wp:positionH relativeFrom="margin">
              <wp:align>left</wp:align>
            </wp:positionH>
            <wp:positionV relativeFrom="paragraph">
              <wp:posOffset>415290</wp:posOffset>
            </wp:positionV>
            <wp:extent cx="5962650" cy="5759450"/>
            <wp:effectExtent l="0" t="0" r="0" b="1270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6A7149" w:rsidRPr="00C678E2">
        <w:rPr>
          <w:b/>
          <w:sz w:val="18"/>
        </w:rPr>
        <w:t>Graph 2:</w:t>
      </w:r>
      <w:r w:rsidR="00A44A6F" w:rsidRPr="00C678E2">
        <w:rPr>
          <w:b/>
          <w:sz w:val="18"/>
        </w:rPr>
        <w:t xml:space="preserve"> </w:t>
      </w:r>
      <w:r w:rsidR="00C80593" w:rsidRPr="00C678E2">
        <w:rPr>
          <w:b/>
          <w:sz w:val="18"/>
        </w:rPr>
        <w:t xml:space="preserve">End-year status of project audit recommendations </w:t>
      </w:r>
      <w:r w:rsidR="0096085A" w:rsidRPr="00C678E2">
        <w:rPr>
          <w:b/>
          <w:sz w:val="18"/>
        </w:rPr>
        <w:t>which have been open during 201</w:t>
      </w:r>
      <w:r w:rsidR="00EE7D56">
        <w:rPr>
          <w:b/>
          <w:sz w:val="18"/>
        </w:rPr>
        <w:t>7</w:t>
      </w:r>
      <w:r w:rsidR="00C80593" w:rsidRPr="00C678E2">
        <w:rPr>
          <w:b/>
          <w:sz w:val="18"/>
        </w:rPr>
        <w:t>, sorted by functional area</w:t>
      </w:r>
      <w:r w:rsidR="00830775">
        <w:rPr>
          <w:b/>
          <w:sz w:val="18"/>
        </w:rPr>
        <w:t xml:space="preserve"> and broken down by year of issuance</w:t>
      </w:r>
      <w:r w:rsidR="00C80593" w:rsidRPr="00C678E2">
        <w:rPr>
          <w:b/>
          <w:sz w:val="18"/>
        </w:rPr>
        <w:t>.</w:t>
      </w:r>
    </w:p>
    <w:p w14:paraId="21EBCF05" w14:textId="219184DE" w:rsidR="007D550C" w:rsidRDefault="007D550C">
      <w:pPr>
        <w:numPr>
          <w:ilvl w:val="0"/>
          <w:numId w:val="0"/>
        </w:numPr>
        <w:spacing w:before="0" w:after="200" w:line="276" w:lineRule="auto"/>
        <w:rPr>
          <w:b/>
          <w:bCs/>
          <w:sz w:val="22"/>
          <w:szCs w:val="26"/>
          <w:lang w:val="en-GB"/>
        </w:rPr>
      </w:pPr>
      <w:bookmarkStart w:id="45" w:name="_Toc320111349"/>
      <w:bookmarkStart w:id="46" w:name="_Toc445816824"/>
      <w:bookmarkStart w:id="47" w:name="_Toc445817106"/>
      <w:bookmarkStart w:id="48" w:name="_Toc447626875"/>
      <w:r>
        <w:rPr>
          <w:lang w:val="en-GB"/>
        </w:rPr>
        <w:br w:type="page"/>
      </w:r>
    </w:p>
    <w:p w14:paraId="7858FB42" w14:textId="151A02D8" w:rsidR="000D7211" w:rsidRPr="0077187D" w:rsidRDefault="000D7211" w:rsidP="00D120BA">
      <w:pPr>
        <w:pStyle w:val="Heading2"/>
        <w:rPr>
          <w:lang w:val="en-GB"/>
        </w:rPr>
      </w:pPr>
      <w:bookmarkStart w:id="49" w:name="_Toc512590056"/>
      <w:r w:rsidRPr="0077187D">
        <w:rPr>
          <w:lang w:val="en-GB"/>
        </w:rPr>
        <w:lastRenderedPageBreak/>
        <w:t>Audits of significant programmes</w:t>
      </w:r>
      <w:bookmarkEnd w:id="45"/>
      <w:bookmarkEnd w:id="46"/>
      <w:bookmarkEnd w:id="47"/>
      <w:bookmarkEnd w:id="48"/>
      <w:bookmarkEnd w:id="49"/>
    </w:p>
    <w:p w14:paraId="6C4AC352" w14:textId="661651F0" w:rsidR="007D550C" w:rsidRPr="00791783" w:rsidRDefault="00F91B71" w:rsidP="0018519D">
      <w:pPr>
        <w:tabs>
          <w:tab w:val="left" w:pos="426"/>
        </w:tabs>
        <w:jc w:val="both"/>
        <w:rPr>
          <w:sz w:val="22"/>
          <w:lang w:val="en-GB"/>
        </w:rPr>
      </w:pPr>
      <w:r w:rsidRPr="00F91B71">
        <w:rPr>
          <w:sz w:val="22"/>
          <w:szCs w:val="22"/>
        </w:rPr>
        <w:t>IAIG audit</w:t>
      </w:r>
      <w:r w:rsidR="00325DBC">
        <w:rPr>
          <w:sz w:val="22"/>
          <w:szCs w:val="22"/>
        </w:rPr>
        <w:t>s</w:t>
      </w:r>
      <w:r w:rsidRPr="00F91B71">
        <w:rPr>
          <w:sz w:val="22"/>
          <w:szCs w:val="22"/>
        </w:rPr>
        <w:t xml:space="preserve"> cover two significant programmes, parts of which are executed by UNOPS on behalf of its partners, </w:t>
      </w:r>
      <w:r w:rsidR="00325DBC">
        <w:rPr>
          <w:sz w:val="22"/>
          <w:szCs w:val="22"/>
        </w:rPr>
        <w:t xml:space="preserve">namely </w:t>
      </w:r>
      <w:r w:rsidRPr="00F91B71">
        <w:rPr>
          <w:sz w:val="22"/>
          <w:szCs w:val="22"/>
        </w:rPr>
        <w:t>the Small Grants Programme and th</w:t>
      </w:r>
      <w:r>
        <w:rPr>
          <w:sz w:val="22"/>
          <w:szCs w:val="22"/>
        </w:rPr>
        <w:t>e Mine Action Programme. In 2017</w:t>
      </w:r>
      <w:r w:rsidRPr="00F91B71">
        <w:rPr>
          <w:sz w:val="22"/>
          <w:szCs w:val="22"/>
        </w:rPr>
        <w:t>, no audits were requested by the client for the Small Grants Programme and the Mine Action Programme. Hence, there were no audit recommendations issued fo</w:t>
      </w:r>
      <w:r>
        <w:rPr>
          <w:sz w:val="22"/>
          <w:szCs w:val="22"/>
        </w:rPr>
        <w:t>r significant programmes in 2017</w:t>
      </w:r>
      <w:r w:rsidRPr="00F91B71">
        <w:rPr>
          <w:sz w:val="22"/>
          <w:szCs w:val="22"/>
        </w:rPr>
        <w:t>.</w:t>
      </w:r>
      <w:bookmarkStart w:id="50" w:name="_Toc320111350"/>
    </w:p>
    <w:p w14:paraId="0A8EB55E" w14:textId="0820A300" w:rsidR="00791783" w:rsidRDefault="00791783" w:rsidP="00791783">
      <w:pPr>
        <w:numPr>
          <w:ilvl w:val="0"/>
          <w:numId w:val="0"/>
        </w:numPr>
        <w:tabs>
          <w:tab w:val="left" w:pos="426"/>
        </w:tabs>
        <w:ind w:left="360"/>
        <w:jc w:val="both"/>
        <w:rPr>
          <w:b/>
          <w:sz w:val="22"/>
          <w:szCs w:val="22"/>
        </w:rPr>
      </w:pPr>
      <w:r>
        <w:rPr>
          <w:b/>
          <w:sz w:val="22"/>
          <w:szCs w:val="22"/>
        </w:rPr>
        <w:t>Strengthening of the audit function</w:t>
      </w:r>
    </w:p>
    <w:p w14:paraId="6719E1DB" w14:textId="54E7B7D3" w:rsidR="00791783" w:rsidRPr="00527F9F" w:rsidRDefault="00791783" w:rsidP="00527F9F">
      <w:pPr>
        <w:jc w:val="both"/>
        <w:rPr>
          <w:sz w:val="22"/>
        </w:rPr>
      </w:pPr>
      <w:r w:rsidRPr="00527F9F">
        <w:rPr>
          <w:sz w:val="22"/>
        </w:rPr>
        <w:t xml:space="preserve">Management </w:t>
      </w:r>
      <w:r w:rsidR="00D40BD8">
        <w:rPr>
          <w:sz w:val="22"/>
        </w:rPr>
        <w:t>appreciates</w:t>
      </w:r>
      <w:r w:rsidR="006A3A3A">
        <w:rPr>
          <w:sz w:val="22"/>
        </w:rPr>
        <w:t xml:space="preserve"> IAIG</w:t>
      </w:r>
      <w:r w:rsidR="00D40BD8">
        <w:rPr>
          <w:sz w:val="22"/>
        </w:rPr>
        <w:t xml:space="preserve"> close collaboration</w:t>
      </w:r>
      <w:r w:rsidR="00C07862">
        <w:rPr>
          <w:sz w:val="22"/>
        </w:rPr>
        <w:t xml:space="preserve"> with the ICT function for the development of dashboards. This has been an important </w:t>
      </w:r>
      <w:r w:rsidR="00DF1B33">
        <w:rPr>
          <w:sz w:val="22"/>
        </w:rPr>
        <w:t>step towards</w:t>
      </w:r>
      <w:r w:rsidR="006A3A3A">
        <w:rPr>
          <w:sz w:val="22"/>
        </w:rPr>
        <w:t xml:space="preserve"> the enhanced use of data</w:t>
      </w:r>
      <w:r w:rsidR="00211B26">
        <w:rPr>
          <w:sz w:val="22"/>
        </w:rPr>
        <w:t xml:space="preserve"> to identify ri</w:t>
      </w:r>
      <w:r w:rsidR="00DF1B33">
        <w:rPr>
          <w:sz w:val="22"/>
        </w:rPr>
        <w:t xml:space="preserve">sks and areas for action, and as such an addition to the UNOPS internal control framework which enables </w:t>
      </w:r>
      <w:r w:rsidR="00211B26">
        <w:rPr>
          <w:sz w:val="22"/>
        </w:rPr>
        <w:t xml:space="preserve">timely </w:t>
      </w:r>
      <w:r w:rsidR="00DF1B33">
        <w:rPr>
          <w:sz w:val="22"/>
        </w:rPr>
        <w:t>detection and action to</w:t>
      </w:r>
      <w:r w:rsidR="00211B26">
        <w:rPr>
          <w:sz w:val="22"/>
        </w:rPr>
        <w:t xml:space="preserve"> address issues with</w:t>
      </w:r>
      <w:r w:rsidR="00EE5CDA">
        <w:rPr>
          <w:sz w:val="22"/>
        </w:rPr>
        <w:t>,</w:t>
      </w:r>
      <w:r w:rsidR="00211B26">
        <w:rPr>
          <w:sz w:val="22"/>
        </w:rPr>
        <w:t xml:space="preserve"> for example</w:t>
      </w:r>
      <w:r w:rsidR="00EE5CDA">
        <w:rPr>
          <w:sz w:val="22"/>
        </w:rPr>
        <w:t>,</w:t>
      </w:r>
      <w:r w:rsidR="00211B26">
        <w:rPr>
          <w:sz w:val="22"/>
        </w:rPr>
        <w:t xml:space="preserve"> vendor management. To ensure further strengthening of responses, management will continue its collaboration with IAIG with regard to making relevant data visible and actionable.</w:t>
      </w:r>
    </w:p>
    <w:p w14:paraId="4FA44CF7" w14:textId="094FEBD5" w:rsidR="00527F9F" w:rsidRPr="00527F9F" w:rsidRDefault="00527F9F" w:rsidP="00527F9F">
      <w:pPr>
        <w:jc w:val="both"/>
        <w:rPr>
          <w:sz w:val="22"/>
          <w:lang w:val="en-GB"/>
        </w:rPr>
      </w:pPr>
      <w:r w:rsidRPr="00527F9F">
        <w:rPr>
          <w:sz w:val="22"/>
          <w:lang w:val="en-GB"/>
        </w:rPr>
        <w:t>Management commends IAIG on the successful completion of an external quality assessment by the Institute of Internal Auditors Standards.</w:t>
      </w:r>
    </w:p>
    <w:p w14:paraId="54C325F2" w14:textId="5F84E7D6" w:rsidR="0015467B" w:rsidRPr="00AE752A" w:rsidRDefault="00B40186" w:rsidP="00B40186">
      <w:pPr>
        <w:pStyle w:val="Heading1"/>
      </w:pPr>
      <w:bookmarkStart w:id="51" w:name="_Toc445816825"/>
      <w:bookmarkStart w:id="52" w:name="_Toc445817107"/>
      <w:bookmarkStart w:id="53" w:name="_Toc447626876"/>
      <w:bookmarkStart w:id="54" w:name="_Toc512590057"/>
      <w:r>
        <w:t xml:space="preserve">E. </w:t>
      </w:r>
      <w:r w:rsidR="00625FE8" w:rsidRPr="00AE752A">
        <w:t>IAIG I</w:t>
      </w:r>
      <w:r w:rsidR="0015467B" w:rsidRPr="00AE752A">
        <w:t>nvestigations</w:t>
      </w:r>
      <w:bookmarkEnd w:id="50"/>
      <w:bookmarkEnd w:id="51"/>
      <w:bookmarkEnd w:id="52"/>
      <w:bookmarkEnd w:id="53"/>
      <w:bookmarkEnd w:id="54"/>
    </w:p>
    <w:p w14:paraId="62DE2D67" w14:textId="4C0462A7" w:rsidR="0015467B" w:rsidRPr="00F91B71" w:rsidRDefault="0015467B" w:rsidP="00022394">
      <w:pPr>
        <w:keepNext/>
        <w:tabs>
          <w:tab w:val="left" w:pos="426"/>
        </w:tabs>
        <w:jc w:val="both"/>
        <w:rPr>
          <w:sz w:val="22"/>
          <w:szCs w:val="22"/>
          <w:lang w:val="en-GB"/>
        </w:rPr>
      </w:pPr>
      <w:r w:rsidRPr="00F91B71">
        <w:rPr>
          <w:sz w:val="22"/>
          <w:szCs w:val="22"/>
          <w:lang w:val="en-GB"/>
        </w:rPr>
        <w:t xml:space="preserve">Management notes </w:t>
      </w:r>
      <w:r w:rsidR="007944CC" w:rsidRPr="00F91B71">
        <w:rPr>
          <w:sz w:val="22"/>
          <w:szCs w:val="22"/>
          <w:lang w:val="en-GB"/>
        </w:rPr>
        <w:t xml:space="preserve">the </w:t>
      </w:r>
      <w:r w:rsidRPr="00F91B71">
        <w:rPr>
          <w:sz w:val="22"/>
          <w:szCs w:val="22"/>
          <w:lang w:val="en-GB"/>
        </w:rPr>
        <w:t>IAIG investigation</w:t>
      </w:r>
      <w:r w:rsidR="007944CC" w:rsidRPr="00F91B71">
        <w:rPr>
          <w:sz w:val="22"/>
          <w:szCs w:val="22"/>
          <w:lang w:val="en-GB"/>
        </w:rPr>
        <w:t>s</w:t>
      </w:r>
      <w:r w:rsidRPr="00F91B71">
        <w:rPr>
          <w:sz w:val="22"/>
          <w:szCs w:val="22"/>
          <w:lang w:val="en-GB"/>
        </w:rPr>
        <w:t xml:space="preserve"> function’s attention to e</w:t>
      </w:r>
      <w:r w:rsidR="00B67194" w:rsidRPr="00F91B71">
        <w:rPr>
          <w:sz w:val="22"/>
          <w:szCs w:val="22"/>
          <w:lang w:val="en-GB"/>
        </w:rPr>
        <w:t>nsuring close coordination with</w:t>
      </w:r>
      <w:r w:rsidR="00D43D08" w:rsidRPr="00F91B71">
        <w:rPr>
          <w:sz w:val="22"/>
          <w:szCs w:val="22"/>
          <w:lang w:val="en-GB"/>
        </w:rPr>
        <w:t xml:space="preserve"> </w:t>
      </w:r>
      <w:r w:rsidRPr="00F91B71">
        <w:rPr>
          <w:sz w:val="22"/>
          <w:szCs w:val="22"/>
          <w:lang w:val="en-GB"/>
        </w:rPr>
        <w:t xml:space="preserve">relevant internal and external entities, inter alia, through internal collaboration with UNOPS Legal Group, the People and Change Group, and the Ethics Office; as well as external collaboration in the context </w:t>
      </w:r>
      <w:r w:rsidR="00E75494" w:rsidRPr="00F91B71">
        <w:rPr>
          <w:sz w:val="22"/>
          <w:szCs w:val="22"/>
          <w:lang w:val="en-GB"/>
        </w:rPr>
        <w:t xml:space="preserve">of </w:t>
      </w:r>
      <w:r w:rsidR="00255839" w:rsidRPr="00F91B71">
        <w:rPr>
          <w:sz w:val="22"/>
          <w:szCs w:val="22"/>
          <w:lang w:val="en-GB"/>
        </w:rPr>
        <w:t>the United Nations Heads of Investigations Groups, with the OIOS, the investigation services of the other UN funds and programmes, and investigations offices of other international and national agencies.</w:t>
      </w:r>
    </w:p>
    <w:p w14:paraId="1F1FCF8D" w14:textId="38A5D41F" w:rsidR="0000606D" w:rsidRDefault="0015467B" w:rsidP="00022394">
      <w:pPr>
        <w:tabs>
          <w:tab w:val="left" w:pos="426"/>
        </w:tabs>
        <w:jc w:val="both"/>
        <w:rPr>
          <w:sz w:val="22"/>
          <w:szCs w:val="22"/>
          <w:lang w:val="en-GB"/>
        </w:rPr>
      </w:pPr>
      <w:r w:rsidRPr="00F91B71">
        <w:rPr>
          <w:sz w:val="22"/>
          <w:szCs w:val="22"/>
          <w:lang w:val="en-GB"/>
        </w:rPr>
        <w:t xml:space="preserve">It is noted that the number </w:t>
      </w:r>
      <w:r w:rsidR="00E31A9F" w:rsidRPr="00F91B71">
        <w:rPr>
          <w:sz w:val="22"/>
          <w:szCs w:val="22"/>
          <w:lang w:val="en-GB"/>
        </w:rPr>
        <w:t xml:space="preserve">of complaints received and </w:t>
      </w:r>
      <w:r w:rsidRPr="00F91B71">
        <w:rPr>
          <w:sz w:val="22"/>
          <w:szCs w:val="22"/>
          <w:lang w:val="en-GB"/>
        </w:rPr>
        <w:t>processed by IA</w:t>
      </w:r>
      <w:r w:rsidR="00ED129B" w:rsidRPr="00F91B71">
        <w:rPr>
          <w:sz w:val="22"/>
          <w:szCs w:val="22"/>
          <w:lang w:val="en-GB"/>
        </w:rPr>
        <w:t>IG</w:t>
      </w:r>
      <w:r w:rsidR="00ED717F" w:rsidRPr="00F91B71">
        <w:rPr>
          <w:sz w:val="22"/>
          <w:szCs w:val="22"/>
          <w:lang w:val="en-GB"/>
        </w:rPr>
        <w:t xml:space="preserve"> </w:t>
      </w:r>
      <w:r w:rsidR="00F91B71">
        <w:rPr>
          <w:sz w:val="22"/>
          <w:szCs w:val="22"/>
          <w:lang w:val="en-GB"/>
        </w:rPr>
        <w:t>increased</w:t>
      </w:r>
      <w:r w:rsidR="00ED717F" w:rsidRPr="00F91B71">
        <w:rPr>
          <w:sz w:val="22"/>
          <w:szCs w:val="22"/>
          <w:lang w:val="en-GB"/>
        </w:rPr>
        <w:t xml:space="preserve"> from </w:t>
      </w:r>
      <w:r w:rsidR="00F91B71">
        <w:rPr>
          <w:sz w:val="22"/>
          <w:szCs w:val="22"/>
          <w:lang w:val="en-GB"/>
        </w:rPr>
        <w:t>104</w:t>
      </w:r>
      <w:r w:rsidR="00ED717F" w:rsidRPr="00F91B71">
        <w:rPr>
          <w:sz w:val="22"/>
          <w:szCs w:val="22"/>
          <w:lang w:val="en-GB"/>
        </w:rPr>
        <w:t xml:space="preserve"> in</w:t>
      </w:r>
      <w:r w:rsidR="00D43D08" w:rsidRPr="00F91B71">
        <w:rPr>
          <w:sz w:val="22"/>
          <w:szCs w:val="22"/>
          <w:lang w:val="en-GB"/>
        </w:rPr>
        <w:t xml:space="preserve"> </w:t>
      </w:r>
      <w:r w:rsidR="00413137" w:rsidRPr="00F91B71">
        <w:rPr>
          <w:sz w:val="22"/>
          <w:szCs w:val="22"/>
          <w:lang w:val="en-GB"/>
        </w:rPr>
        <w:t>201</w:t>
      </w:r>
      <w:r w:rsidR="00F91B71">
        <w:rPr>
          <w:sz w:val="22"/>
          <w:szCs w:val="22"/>
          <w:lang w:val="en-GB"/>
        </w:rPr>
        <w:t>6</w:t>
      </w:r>
      <w:r w:rsidR="00413137" w:rsidRPr="00F91B71">
        <w:rPr>
          <w:sz w:val="22"/>
          <w:szCs w:val="22"/>
          <w:lang w:val="en-GB"/>
        </w:rPr>
        <w:t xml:space="preserve"> to 1</w:t>
      </w:r>
      <w:r w:rsidR="00F91B71">
        <w:rPr>
          <w:sz w:val="22"/>
          <w:szCs w:val="22"/>
          <w:lang w:val="en-GB"/>
        </w:rPr>
        <w:t>11</w:t>
      </w:r>
      <w:r w:rsidR="00413137" w:rsidRPr="00F91B71">
        <w:rPr>
          <w:sz w:val="22"/>
          <w:szCs w:val="22"/>
          <w:lang w:val="en-GB"/>
        </w:rPr>
        <w:t xml:space="preserve"> in 201</w:t>
      </w:r>
      <w:r w:rsidR="00F91B71">
        <w:rPr>
          <w:sz w:val="22"/>
          <w:szCs w:val="22"/>
          <w:lang w:val="en-GB"/>
        </w:rPr>
        <w:t>7</w:t>
      </w:r>
      <w:r w:rsidR="00413137" w:rsidRPr="00F91B71">
        <w:rPr>
          <w:sz w:val="22"/>
          <w:szCs w:val="22"/>
          <w:lang w:val="en-GB"/>
        </w:rPr>
        <w:t xml:space="preserve">. </w:t>
      </w:r>
      <w:r w:rsidRPr="00F91B71">
        <w:rPr>
          <w:sz w:val="22"/>
          <w:szCs w:val="22"/>
          <w:lang w:val="en-GB"/>
        </w:rPr>
        <w:t>It is</w:t>
      </w:r>
      <w:r w:rsidR="006D655C" w:rsidRPr="00F91B71">
        <w:rPr>
          <w:sz w:val="22"/>
          <w:szCs w:val="22"/>
          <w:lang w:val="en-GB"/>
        </w:rPr>
        <w:t xml:space="preserve"> also noted that </w:t>
      </w:r>
      <w:r w:rsidR="00355D8B" w:rsidRPr="00F91B71">
        <w:rPr>
          <w:sz w:val="22"/>
          <w:szCs w:val="22"/>
          <w:lang w:val="en-GB"/>
        </w:rPr>
        <w:t xml:space="preserve">out of these </w:t>
      </w:r>
      <w:r w:rsidR="00F91B71">
        <w:rPr>
          <w:sz w:val="22"/>
          <w:szCs w:val="22"/>
          <w:lang w:val="en-GB"/>
        </w:rPr>
        <w:t xml:space="preserve">111 </w:t>
      </w:r>
      <w:r w:rsidR="00355D8B" w:rsidRPr="00F91B71">
        <w:rPr>
          <w:sz w:val="22"/>
          <w:szCs w:val="22"/>
          <w:lang w:val="en-GB"/>
        </w:rPr>
        <w:t>complaints, 59</w:t>
      </w:r>
      <w:r w:rsidRPr="00F91B71">
        <w:rPr>
          <w:sz w:val="22"/>
          <w:szCs w:val="22"/>
          <w:lang w:val="en-GB"/>
        </w:rPr>
        <w:t xml:space="preserve"> became investigation c</w:t>
      </w:r>
      <w:r w:rsidR="006D655C" w:rsidRPr="00F91B71">
        <w:rPr>
          <w:sz w:val="22"/>
          <w:szCs w:val="22"/>
          <w:lang w:val="en-GB"/>
        </w:rPr>
        <w:t xml:space="preserve">ases, </w:t>
      </w:r>
      <w:r w:rsidR="00F91B71">
        <w:rPr>
          <w:sz w:val="22"/>
          <w:szCs w:val="22"/>
          <w:lang w:val="en-GB"/>
        </w:rPr>
        <w:t>t</w:t>
      </w:r>
      <w:r w:rsidR="006D655C" w:rsidRPr="00F91B71">
        <w:rPr>
          <w:sz w:val="22"/>
          <w:szCs w:val="22"/>
          <w:lang w:val="en-GB"/>
        </w:rPr>
        <w:t>he</w:t>
      </w:r>
      <w:r w:rsidR="00F91B71">
        <w:rPr>
          <w:sz w:val="22"/>
          <w:szCs w:val="22"/>
          <w:lang w:val="en-GB"/>
        </w:rPr>
        <w:t xml:space="preserve"> same</w:t>
      </w:r>
      <w:r w:rsidR="006D655C" w:rsidRPr="00F91B71">
        <w:rPr>
          <w:sz w:val="22"/>
          <w:szCs w:val="22"/>
          <w:lang w:val="en-GB"/>
        </w:rPr>
        <w:t xml:space="preserve"> numbe</w:t>
      </w:r>
      <w:r w:rsidR="00355D8B" w:rsidRPr="00F91B71">
        <w:rPr>
          <w:sz w:val="22"/>
          <w:szCs w:val="22"/>
          <w:lang w:val="en-GB"/>
        </w:rPr>
        <w:t xml:space="preserve">r of investigation cases </w:t>
      </w:r>
      <w:r w:rsidR="00F91B71">
        <w:rPr>
          <w:sz w:val="22"/>
          <w:szCs w:val="22"/>
          <w:lang w:val="en-GB"/>
        </w:rPr>
        <w:t xml:space="preserve">as </w:t>
      </w:r>
      <w:r w:rsidR="00355D8B" w:rsidRPr="00F91B71">
        <w:rPr>
          <w:sz w:val="22"/>
          <w:szCs w:val="22"/>
          <w:lang w:val="en-GB"/>
        </w:rPr>
        <w:t>in 201</w:t>
      </w:r>
      <w:r w:rsidR="00F91B71">
        <w:rPr>
          <w:sz w:val="22"/>
          <w:szCs w:val="22"/>
          <w:lang w:val="en-GB"/>
        </w:rPr>
        <w:t xml:space="preserve">6; and that </w:t>
      </w:r>
      <w:r w:rsidR="00202DE6">
        <w:rPr>
          <w:sz w:val="22"/>
          <w:szCs w:val="22"/>
          <w:lang w:val="en-GB"/>
        </w:rPr>
        <w:t>the average time for completing cases decreased</w:t>
      </w:r>
      <w:r w:rsidR="00304794" w:rsidRPr="00F91B71">
        <w:rPr>
          <w:sz w:val="22"/>
          <w:szCs w:val="22"/>
          <w:lang w:val="en-GB"/>
        </w:rPr>
        <w:t xml:space="preserve">. Management notes </w:t>
      </w:r>
      <w:r w:rsidR="007944CC" w:rsidRPr="00F91B71">
        <w:rPr>
          <w:sz w:val="22"/>
          <w:szCs w:val="22"/>
          <w:lang w:val="en-GB"/>
        </w:rPr>
        <w:t xml:space="preserve">the distribution on </w:t>
      </w:r>
      <w:r w:rsidR="00211AB5" w:rsidRPr="00F91B71">
        <w:rPr>
          <w:sz w:val="22"/>
          <w:szCs w:val="22"/>
          <w:lang w:val="en-GB"/>
        </w:rPr>
        <w:t>4</w:t>
      </w:r>
      <w:r w:rsidR="00202DE6">
        <w:rPr>
          <w:sz w:val="22"/>
          <w:szCs w:val="22"/>
          <w:lang w:val="en-GB"/>
        </w:rPr>
        <w:t>3</w:t>
      </w:r>
      <w:r w:rsidRPr="00F91B71">
        <w:rPr>
          <w:sz w:val="22"/>
          <w:szCs w:val="22"/>
          <w:lang w:val="en-GB"/>
        </w:rPr>
        <w:t xml:space="preserve"> cases of alleged fraud or </w:t>
      </w:r>
      <w:r w:rsidR="00E31A9F" w:rsidRPr="00F91B71">
        <w:rPr>
          <w:sz w:val="22"/>
          <w:szCs w:val="22"/>
          <w:lang w:val="en-GB"/>
        </w:rPr>
        <w:t>financial irregularities</w:t>
      </w:r>
      <w:r w:rsidR="00ED717F" w:rsidRPr="00F91B71">
        <w:rPr>
          <w:sz w:val="22"/>
          <w:szCs w:val="22"/>
          <w:lang w:val="en-GB"/>
        </w:rPr>
        <w:t>,</w:t>
      </w:r>
      <w:r w:rsidR="00E31A9F" w:rsidRPr="00F91B71">
        <w:rPr>
          <w:sz w:val="22"/>
          <w:szCs w:val="22"/>
          <w:lang w:val="en-GB"/>
        </w:rPr>
        <w:t xml:space="preserve"> </w:t>
      </w:r>
      <w:r w:rsidR="002974D4">
        <w:rPr>
          <w:sz w:val="22"/>
          <w:szCs w:val="22"/>
          <w:lang w:val="en-GB"/>
        </w:rPr>
        <w:t>and 16 cases pertaining to</w:t>
      </w:r>
      <w:r w:rsidR="00202DE6">
        <w:rPr>
          <w:sz w:val="22"/>
          <w:szCs w:val="22"/>
          <w:lang w:val="en-GB"/>
        </w:rPr>
        <w:t xml:space="preserve"> other types of misconduct</w:t>
      </w:r>
      <w:r w:rsidR="00211AB5" w:rsidRPr="00F91B71">
        <w:rPr>
          <w:sz w:val="22"/>
          <w:szCs w:val="22"/>
          <w:lang w:val="en-GB"/>
        </w:rPr>
        <w:t xml:space="preserve">. Management </w:t>
      </w:r>
      <w:r w:rsidR="00E31A9F" w:rsidRPr="00F91B71">
        <w:rPr>
          <w:sz w:val="22"/>
          <w:szCs w:val="22"/>
          <w:lang w:val="en-GB"/>
        </w:rPr>
        <w:t>appreciates the IAIG</w:t>
      </w:r>
      <w:r w:rsidRPr="00F91B71">
        <w:rPr>
          <w:sz w:val="22"/>
          <w:szCs w:val="22"/>
          <w:lang w:val="en-GB"/>
        </w:rPr>
        <w:t xml:space="preserve"> efforts to work with legal officers, senior managers and the UNOPS Vendor Review Committee to deter issues of this nature and reduce r</w:t>
      </w:r>
      <w:r w:rsidR="00EA487C" w:rsidRPr="00F91B71">
        <w:rPr>
          <w:sz w:val="22"/>
          <w:szCs w:val="22"/>
          <w:lang w:val="en-GB"/>
        </w:rPr>
        <w:t>ecurrence.</w:t>
      </w:r>
    </w:p>
    <w:p w14:paraId="1550F470" w14:textId="30B24499" w:rsidR="00D45926" w:rsidRPr="00F91B71" w:rsidRDefault="00D45926" w:rsidP="00022394">
      <w:pPr>
        <w:tabs>
          <w:tab w:val="left" w:pos="426"/>
        </w:tabs>
        <w:jc w:val="both"/>
        <w:rPr>
          <w:sz w:val="22"/>
          <w:szCs w:val="22"/>
          <w:lang w:val="en-GB"/>
        </w:rPr>
      </w:pPr>
      <w:r>
        <w:rPr>
          <w:sz w:val="22"/>
          <w:szCs w:val="22"/>
          <w:lang w:val="en-GB"/>
        </w:rPr>
        <w:t>Management notes the financial losses substantiated in investigations cases</w:t>
      </w:r>
      <w:r w:rsidR="00C64505">
        <w:rPr>
          <w:sz w:val="22"/>
          <w:szCs w:val="22"/>
          <w:lang w:val="en-GB"/>
        </w:rPr>
        <w:t xml:space="preserve">, and remains committed to taking action, including the sanctioning of vendors, disciplinary action for personnel up to </w:t>
      </w:r>
      <w:r w:rsidR="00325DBC">
        <w:rPr>
          <w:sz w:val="22"/>
          <w:szCs w:val="22"/>
          <w:lang w:val="en-GB"/>
        </w:rPr>
        <w:t xml:space="preserve">and including </w:t>
      </w:r>
      <w:r w:rsidR="00C64505">
        <w:rPr>
          <w:sz w:val="22"/>
          <w:szCs w:val="22"/>
          <w:lang w:val="en-GB"/>
        </w:rPr>
        <w:t>separation, and recovery of defrauded or lost amounts.</w:t>
      </w:r>
    </w:p>
    <w:p w14:paraId="4A6C09DC" w14:textId="1D73AA80" w:rsidR="00A250E3" w:rsidRPr="00F91B71" w:rsidRDefault="007B5EF6" w:rsidP="00022394">
      <w:pPr>
        <w:tabs>
          <w:tab w:val="left" w:pos="426"/>
        </w:tabs>
        <w:jc w:val="both"/>
        <w:rPr>
          <w:sz w:val="22"/>
          <w:szCs w:val="22"/>
          <w:lang w:val="en-GB"/>
        </w:rPr>
      </w:pPr>
      <w:r w:rsidRPr="00F91B71">
        <w:rPr>
          <w:sz w:val="22"/>
          <w:szCs w:val="22"/>
          <w:lang w:val="en-GB"/>
        </w:rPr>
        <w:t>Management appreciates</w:t>
      </w:r>
      <w:r w:rsidR="0069565E" w:rsidRPr="00F91B71">
        <w:rPr>
          <w:sz w:val="22"/>
          <w:szCs w:val="22"/>
          <w:lang w:val="en-GB"/>
        </w:rPr>
        <w:t xml:space="preserve"> IAIG’s </w:t>
      </w:r>
      <w:r w:rsidRPr="00F91B71">
        <w:rPr>
          <w:sz w:val="22"/>
          <w:szCs w:val="22"/>
          <w:lang w:val="en-GB"/>
        </w:rPr>
        <w:t xml:space="preserve">various </w:t>
      </w:r>
      <w:r w:rsidR="007944CC" w:rsidRPr="00F91B71">
        <w:rPr>
          <w:sz w:val="22"/>
          <w:szCs w:val="22"/>
          <w:lang w:val="en-GB"/>
        </w:rPr>
        <w:t>efforts to strengthen its i</w:t>
      </w:r>
      <w:r w:rsidR="0069565E" w:rsidRPr="00F91B71">
        <w:rPr>
          <w:sz w:val="22"/>
          <w:szCs w:val="22"/>
          <w:lang w:val="en-GB"/>
        </w:rPr>
        <w:t>nvestigation</w:t>
      </w:r>
      <w:r w:rsidR="00E34D29" w:rsidRPr="00F91B71">
        <w:rPr>
          <w:sz w:val="22"/>
          <w:szCs w:val="22"/>
          <w:lang w:val="en-GB"/>
        </w:rPr>
        <w:t>s function</w:t>
      </w:r>
      <w:r w:rsidR="00FA396B" w:rsidRPr="00F91B71">
        <w:rPr>
          <w:sz w:val="22"/>
          <w:szCs w:val="22"/>
          <w:lang w:val="en-GB"/>
        </w:rPr>
        <w:t xml:space="preserve"> during the</w:t>
      </w:r>
      <w:r w:rsidR="00D43D08" w:rsidRPr="00F91B71">
        <w:rPr>
          <w:sz w:val="22"/>
          <w:szCs w:val="22"/>
          <w:lang w:val="en-GB"/>
        </w:rPr>
        <w:t xml:space="preserve"> </w:t>
      </w:r>
      <w:r w:rsidRPr="00F91B71">
        <w:rPr>
          <w:sz w:val="22"/>
          <w:szCs w:val="22"/>
          <w:lang w:val="en-GB"/>
        </w:rPr>
        <w:t>year</w:t>
      </w:r>
      <w:r w:rsidR="007944CC" w:rsidRPr="00F91B71">
        <w:rPr>
          <w:sz w:val="22"/>
          <w:szCs w:val="22"/>
          <w:lang w:val="en-GB"/>
        </w:rPr>
        <w:t>,</w:t>
      </w:r>
      <w:r w:rsidRPr="00F91B71">
        <w:rPr>
          <w:sz w:val="22"/>
          <w:szCs w:val="22"/>
          <w:lang w:val="en-GB"/>
        </w:rPr>
        <w:t xml:space="preserve"> including, inter alia,</w:t>
      </w:r>
      <w:r w:rsidR="00FF7C14" w:rsidRPr="00F91B71">
        <w:rPr>
          <w:sz w:val="22"/>
          <w:szCs w:val="22"/>
          <w:lang w:val="en-GB"/>
        </w:rPr>
        <w:t xml:space="preserve"> the recruitment </w:t>
      </w:r>
      <w:r w:rsidR="00830775">
        <w:rPr>
          <w:sz w:val="22"/>
          <w:szCs w:val="22"/>
          <w:lang w:val="en-GB"/>
        </w:rPr>
        <w:t>of</w:t>
      </w:r>
      <w:r w:rsidR="0069565E" w:rsidRPr="00F91B71">
        <w:rPr>
          <w:sz w:val="22"/>
          <w:szCs w:val="22"/>
          <w:lang w:val="en-GB"/>
        </w:rPr>
        <w:t xml:space="preserve"> </w:t>
      </w:r>
      <w:r w:rsidR="00830775">
        <w:rPr>
          <w:sz w:val="22"/>
          <w:szCs w:val="22"/>
          <w:lang w:val="en-GB"/>
        </w:rPr>
        <w:t xml:space="preserve">one additional personnel </w:t>
      </w:r>
      <w:r w:rsidR="00FF7C14" w:rsidRPr="00F91B71">
        <w:rPr>
          <w:sz w:val="22"/>
          <w:szCs w:val="22"/>
          <w:lang w:val="en-GB"/>
        </w:rPr>
        <w:t xml:space="preserve">to perform legal quality assurance of </w:t>
      </w:r>
      <w:r w:rsidR="00F63884" w:rsidRPr="00F91B71">
        <w:rPr>
          <w:sz w:val="22"/>
          <w:szCs w:val="22"/>
          <w:lang w:val="en-GB"/>
        </w:rPr>
        <w:t>investigation reports</w:t>
      </w:r>
      <w:r w:rsidR="00773849">
        <w:rPr>
          <w:sz w:val="22"/>
          <w:szCs w:val="22"/>
          <w:lang w:val="en-GB"/>
        </w:rPr>
        <w:t>.</w:t>
      </w:r>
    </w:p>
    <w:p w14:paraId="270D0BF0" w14:textId="7D34949D" w:rsidR="00CA6B3A" w:rsidRDefault="0015467B" w:rsidP="00BA1856">
      <w:pPr>
        <w:tabs>
          <w:tab w:val="left" w:pos="426"/>
        </w:tabs>
        <w:jc w:val="both"/>
        <w:rPr>
          <w:sz w:val="22"/>
          <w:szCs w:val="22"/>
          <w:lang w:val="en-GB"/>
        </w:rPr>
      </w:pPr>
      <w:r w:rsidRPr="00F91B71">
        <w:rPr>
          <w:sz w:val="22"/>
          <w:szCs w:val="22"/>
          <w:lang w:val="en-GB"/>
        </w:rPr>
        <w:t xml:space="preserve">With regard to matters of </w:t>
      </w:r>
      <w:r w:rsidR="000978AE" w:rsidRPr="00F91B71">
        <w:rPr>
          <w:sz w:val="22"/>
          <w:szCs w:val="22"/>
          <w:lang w:val="en-GB"/>
        </w:rPr>
        <w:t>fraud</w:t>
      </w:r>
      <w:r w:rsidR="00773849">
        <w:rPr>
          <w:sz w:val="22"/>
          <w:szCs w:val="22"/>
          <w:lang w:val="en-GB"/>
        </w:rPr>
        <w:t xml:space="preserve"> prevention</w:t>
      </w:r>
      <w:r w:rsidR="000978AE" w:rsidRPr="00F91B71">
        <w:rPr>
          <w:sz w:val="22"/>
          <w:szCs w:val="22"/>
          <w:lang w:val="en-GB"/>
        </w:rPr>
        <w:t>, management notes IAIG’s contin</w:t>
      </w:r>
      <w:r w:rsidR="00CF1AE9" w:rsidRPr="00F91B71">
        <w:rPr>
          <w:sz w:val="22"/>
          <w:szCs w:val="22"/>
          <w:lang w:val="en-GB"/>
        </w:rPr>
        <w:t xml:space="preserve">ued efforts </w:t>
      </w:r>
      <w:r w:rsidR="00773849">
        <w:rPr>
          <w:sz w:val="22"/>
          <w:szCs w:val="22"/>
          <w:lang w:val="en-GB"/>
        </w:rPr>
        <w:t>to raise awareness, educate personnel on stand</w:t>
      </w:r>
      <w:r w:rsidR="00D30042">
        <w:rPr>
          <w:sz w:val="22"/>
          <w:szCs w:val="22"/>
          <w:lang w:val="en-GB"/>
        </w:rPr>
        <w:t xml:space="preserve">ards of conduct and </w:t>
      </w:r>
      <w:r w:rsidR="00006AE7">
        <w:rPr>
          <w:sz w:val="22"/>
          <w:szCs w:val="22"/>
          <w:lang w:val="en-GB"/>
        </w:rPr>
        <w:t>means</w:t>
      </w:r>
      <w:r w:rsidR="00D30042">
        <w:rPr>
          <w:sz w:val="22"/>
          <w:szCs w:val="22"/>
          <w:lang w:val="en-GB"/>
        </w:rPr>
        <w:t xml:space="preserve"> to identify</w:t>
      </w:r>
      <w:r w:rsidR="00773849">
        <w:rPr>
          <w:sz w:val="22"/>
          <w:szCs w:val="22"/>
          <w:lang w:val="en-GB"/>
        </w:rPr>
        <w:t xml:space="preserve"> and report potential issues</w:t>
      </w:r>
      <w:r w:rsidR="00E873C7" w:rsidRPr="00F91B71">
        <w:rPr>
          <w:sz w:val="22"/>
          <w:szCs w:val="22"/>
          <w:lang w:val="en-GB"/>
        </w:rPr>
        <w:t xml:space="preserve">, including the training of </w:t>
      </w:r>
      <w:r w:rsidR="00773849">
        <w:rPr>
          <w:sz w:val="22"/>
          <w:szCs w:val="22"/>
          <w:lang w:val="en-GB"/>
        </w:rPr>
        <w:t>101</w:t>
      </w:r>
      <w:r w:rsidR="00E873C7" w:rsidRPr="00F91B71">
        <w:rPr>
          <w:sz w:val="22"/>
          <w:szCs w:val="22"/>
          <w:lang w:val="en-GB"/>
        </w:rPr>
        <w:t xml:space="preserve"> personnel in Ethics and Integrity in Project Man</w:t>
      </w:r>
      <w:r w:rsidR="00773849">
        <w:rPr>
          <w:sz w:val="22"/>
          <w:szCs w:val="22"/>
          <w:lang w:val="en-GB"/>
        </w:rPr>
        <w:t>agement during 2017</w:t>
      </w:r>
      <w:r w:rsidR="00490AD9" w:rsidRPr="00F91B71">
        <w:rPr>
          <w:sz w:val="22"/>
          <w:szCs w:val="22"/>
          <w:lang w:val="en-GB"/>
        </w:rPr>
        <w:t xml:space="preserve">. Management </w:t>
      </w:r>
      <w:r w:rsidR="007944CC" w:rsidRPr="00F91B71">
        <w:rPr>
          <w:sz w:val="22"/>
          <w:szCs w:val="22"/>
          <w:lang w:val="en-GB"/>
        </w:rPr>
        <w:t>further</w:t>
      </w:r>
      <w:r w:rsidR="00490AD9" w:rsidRPr="00F91B71">
        <w:rPr>
          <w:sz w:val="22"/>
          <w:szCs w:val="22"/>
          <w:lang w:val="en-GB"/>
        </w:rPr>
        <w:t xml:space="preserve"> notes with appreciation IAIG’s </w:t>
      </w:r>
      <w:r w:rsidR="00E873C7" w:rsidRPr="00F91B71">
        <w:rPr>
          <w:sz w:val="22"/>
          <w:szCs w:val="22"/>
          <w:lang w:val="en-GB"/>
        </w:rPr>
        <w:t>continued collaboration with various UNOPS business units and other investigation units, including UN-RIS,</w:t>
      </w:r>
      <w:r w:rsidR="00791783">
        <w:rPr>
          <w:sz w:val="22"/>
          <w:szCs w:val="22"/>
          <w:lang w:val="en-GB"/>
        </w:rPr>
        <w:t xml:space="preserve"> and</w:t>
      </w:r>
      <w:r w:rsidR="00773849">
        <w:rPr>
          <w:sz w:val="22"/>
          <w:szCs w:val="22"/>
          <w:lang w:val="en-GB"/>
        </w:rPr>
        <w:t xml:space="preserve"> UN-RIAS</w:t>
      </w:r>
      <w:bookmarkStart w:id="55" w:name="_Toc445816826"/>
      <w:bookmarkStart w:id="56" w:name="_Toc445817108"/>
      <w:bookmarkStart w:id="57" w:name="_Toc447626877"/>
      <w:bookmarkStart w:id="58" w:name="_Toc347491729"/>
      <w:bookmarkStart w:id="59" w:name="_Toc320111351"/>
      <w:r w:rsidR="00773849">
        <w:rPr>
          <w:sz w:val="22"/>
          <w:szCs w:val="22"/>
          <w:lang w:val="en-GB"/>
        </w:rPr>
        <w:t>; IAIG’s efforts to participate in relevant partnerships, for example</w:t>
      </w:r>
      <w:r w:rsidR="00EE5CDA">
        <w:rPr>
          <w:sz w:val="22"/>
          <w:szCs w:val="22"/>
          <w:lang w:val="en-GB"/>
        </w:rPr>
        <w:t xml:space="preserve"> the Association of Certified Fraud Examiners (</w:t>
      </w:r>
      <w:r w:rsidR="00773849">
        <w:rPr>
          <w:sz w:val="22"/>
          <w:szCs w:val="22"/>
          <w:lang w:val="en-GB"/>
        </w:rPr>
        <w:t>ACFE</w:t>
      </w:r>
      <w:r w:rsidR="00EE5CDA">
        <w:rPr>
          <w:sz w:val="22"/>
          <w:szCs w:val="22"/>
          <w:lang w:val="en-GB"/>
        </w:rPr>
        <w:t>)</w:t>
      </w:r>
      <w:r w:rsidR="00773849">
        <w:rPr>
          <w:sz w:val="22"/>
          <w:szCs w:val="22"/>
          <w:lang w:val="en-GB"/>
        </w:rPr>
        <w:t xml:space="preserve">; and continued expansion of cooperation agreements, most recently with </w:t>
      </w:r>
      <w:r w:rsidR="00EE5CDA">
        <w:rPr>
          <w:sz w:val="22"/>
          <w:szCs w:val="22"/>
          <w:lang w:val="en-GB"/>
        </w:rPr>
        <w:t>the Swedish International Development Cooperation Agency (</w:t>
      </w:r>
      <w:r w:rsidR="00773849">
        <w:rPr>
          <w:sz w:val="22"/>
          <w:szCs w:val="22"/>
          <w:lang w:val="en-GB"/>
        </w:rPr>
        <w:t>SIDA</w:t>
      </w:r>
      <w:r w:rsidR="00EE5CDA">
        <w:rPr>
          <w:sz w:val="22"/>
          <w:szCs w:val="22"/>
          <w:lang w:val="en-GB"/>
        </w:rPr>
        <w:t>)</w:t>
      </w:r>
      <w:r w:rsidR="00773849">
        <w:rPr>
          <w:sz w:val="22"/>
          <w:szCs w:val="22"/>
          <w:lang w:val="en-GB"/>
        </w:rPr>
        <w:t>.</w:t>
      </w:r>
    </w:p>
    <w:p w14:paraId="37AAB519" w14:textId="2F774AB9" w:rsidR="006C6D11" w:rsidRDefault="006C6D11" w:rsidP="00BA1856">
      <w:pPr>
        <w:tabs>
          <w:tab w:val="left" w:pos="426"/>
        </w:tabs>
        <w:jc w:val="both"/>
        <w:rPr>
          <w:sz w:val="22"/>
          <w:szCs w:val="22"/>
          <w:lang w:val="en-GB"/>
        </w:rPr>
      </w:pPr>
      <w:r>
        <w:rPr>
          <w:sz w:val="22"/>
          <w:szCs w:val="22"/>
          <w:lang w:val="en-GB"/>
        </w:rPr>
        <w:lastRenderedPageBreak/>
        <w:t>Management remains committed to the timely implementation of recommendations resulting from IAIG investigations.</w:t>
      </w:r>
    </w:p>
    <w:p w14:paraId="3072F2EE" w14:textId="4D54C629" w:rsidR="00C84264" w:rsidRDefault="00B40186" w:rsidP="00773849">
      <w:pPr>
        <w:pStyle w:val="Heading1"/>
      </w:pPr>
      <w:bookmarkStart w:id="60" w:name="_Toc512590058"/>
      <w:r>
        <w:t xml:space="preserve">F. </w:t>
      </w:r>
      <w:r w:rsidR="0007434C" w:rsidRPr="00AE752A">
        <w:t>Strategic response to</w:t>
      </w:r>
      <w:r w:rsidR="004F1C26" w:rsidRPr="00AE752A">
        <w:t xml:space="preserve"> audit </w:t>
      </w:r>
      <w:r w:rsidR="00F97528" w:rsidRPr="00AE752A">
        <w:t>recommendations</w:t>
      </w:r>
      <w:bookmarkEnd w:id="55"/>
      <w:bookmarkEnd w:id="56"/>
      <w:bookmarkEnd w:id="57"/>
      <w:bookmarkEnd w:id="60"/>
    </w:p>
    <w:p w14:paraId="54066F9F" w14:textId="362E08D1" w:rsidR="00461F07" w:rsidRPr="00574142" w:rsidRDefault="00461F07" w:rsidP="00574142">
      <w:pPr>
        <w:tabs>
          <w:tab w:val="left" w:pos="426"/>
        </w:tabs>
        <w:jc w:val="both"/>
        <w:rPr>
          <w:sz w:val="22"/>
          <w:lang w:val="en-GB"/>
        </w:rPr>
      </w:pPr>
      <w:r w:rsidRPr="00574142">
        <w:rPr>
          <w:sz w:val="22"/>
          <w:lang w:val="en-GB"/>
        </w:rPr>
        <w:t xml:space="preserve">Management notes the overall significantly increased number of recommendations issued in 2017 compared to previous years, as well as the slight increase in the number of audit recommendations open for more than 18 months at the end of 2017. Management is committed to continue the coordinated drive for the implementation of audit recommendations, which in 2017 resulted in </w:t>
      </w:r>
      <w:r w:rsidR="00822567" w:rsidRPr="00822567">
        <w:rPr>
          <w:sz w:val="22"/>
          <w:lang w:val="en-GB"/>
        </w:rPr>
        <w:t>an effective 120% increase in the number of recommendations closed, compared to the previous year</w:t>
      </w:r>
      <w:r w:rsidR="00574142">
        <w:rPr>
          <w:sz w:val="22"/>
          <w:lang w:val="en-GB"/>
        </w:rPr>
        <w:t>s</w:t>
      </w:r>
      <w:r w:rsidRPr="00574142">
        <w:rPr>
          <w:sz w:val="22"/>
          <w:lang w:val="en-GB"/>
        </w:rPr>
        <w:t>.</w:t>
      </w:r>
    </w:p>
    <w:p w14:paraId="6B955FBE" w14:textId="44952980" w:rsidR="006C6D11" w:rsidRDefault="00C84264" w:rsidP="00BA1856">
      <w:pPr>
        <w:tabs>
          <w:tab w:val="left" w:pos="426"/>
        </w:tabs>
        <w:jc w:val="both"/>
        <w:rPr>
          <w:sz w:val="22"/>
          <w:lang w:val="en-GB"/>
        </w:rPr>
      </w:pPr>
      <w:r w:rsidRPr="00022394">
        <w:rPr>
          <w:sz w:val="22"/>
          <w:lang w:val="en-GB"/>
        </w:rPr>
        <w:t>Management takes note of the functional distribution of audit re</w:t>
      </w:r>
      <w:r w:rsidR="00131015" w:rsidRPr="00022394">
        <w:rPr>
          <w:sz w:val="22"/>
          <w:lang w:val="en-GB"/>
        </w:rPr>
        <w:t>commendations and recognize</w:t>
      </w:r>
      <w:r w:rsidR="00102C80">
        <w:rPr>
          <w:sz w:val="22"/>
          <w:lang w:val="en-GB"/>
        </w:rPr>
        <w:t>s</w:t>
      </w:r>
      <w:r w:rsidR="00131015" w:rsidRPr="00022394">
        <w:rPr>
          <w:sz w:val="22"/>
          <w:lang w:val="en-GB"/>
        </w:rPr>
        <w:t xml:space="preserve"> the</w:t>
      </w:r>
      <w:r w:rsidR="00EA57AB" w:rsidRPr="00022394">
        <w:rPr>
          <w:sz w:val="22"/>
          <w:lang w:val="en-GB"/>
        </w:rPr>
        <w:t xml:space="preserve"> </w:t>
      </w:r>
      <w:r w:rsidRPr="00022394">
        <w:rPr>
          <w:sz w:val="22"/>
          <w:lang w:val="en-GB"/>
        </w:rPr>
        <w:t>value of systematically sorting the recommendations for concerted</w:t>
      </w:r>
      <w:r w:rsidR="00861D45" w:rsidRPr="00022394">
        <w:rPr>
          <w:sz w:val="22"/>
          <w:lang w:val="en-GB"/>
        </w:rPr>
        <w:t xml:space="preserve"> functional</w:t>
      </w:r>
      <w:r w:rsidRPr="00022394">
        <w:rPr>
          <w:sz w:val="22"/>
          <w:lang w:val="en-GB"/>
        </w:rPr>
        <w:t xml:space="preserve"> action. </w:t>
      </w:r>
      <w:r w:rsidR="000F189D" w:rsidRPr="00022394">
        <w:rPr>
          <w:sz w:val="22"/>
          <w:lang w:val="en-GB"/>
        </w:rPr>
        <w:t>Management also appreciates the continued collaboration with IAIG in ensuring timely implementation of internal audit recommendations through incorporation of results into performance data</w:t>
      </w:r>
      <w:r w:rsidR="00574142">
        <w:rPr>
          <w:sz w:val="22"/>
          <w:lang w:val="en-GB"/>
        </w:rPr>
        <w:t xml:space="preserve"> for various UNOPS departments.</w:t>
      </w:r>
    </w:p>
    <w:p w14:paraId="716C0511" w14:textId="77777777" w:rsidR="006C6D11" w:rsidRPr="00BA1856" w:rsidRDefault="006C6D11" w:rsidP="006C6D11">
      <w:pPr>
        <w:pStyle w:val="Heading2"/>
      </w:pPr>
      <w:bookmarkStart w:id="61" w:name="_Toc512590059"/>
      <w:bookmarkStart w:id="62" w:name="_Toc445816827"/>
      <w:bookmarkStart w:id="63" w:name="_Toc445817109"/>
      <w:bookmarkStart w:id="64" w:name="_Toc447626878"/>
      <w:r w:rsidRPr="00AE752A">
        <w:t>UNOPS internal control framework and management of risks</w:t>
      </w:r>
      <w:bookmarkEnd w:id="61"/>
    </w:p>
    <w:p w14:paraId="2F505541" w14:textId="50DADC6A" w:rsidR="008F1770" w:rsidRDefault="008F1770" w:rsidP="00BA1856">
      <w:pPr>
        <w:tabs>
          <w:tab w:val="left" w:pos="426"/>
        </w:tabs>
        <w:jc w:val="both"/>
        <w:rPr>
          <w:sz w:val="22"/>
          <w:lang w:val="en-GB"/>
        </w:rPr>
      </w:pPr>
      <w:r>
        <w:rPr>
          <w:sz w:val="22"/>
          <w:lang w:val="en-GB"/>
        </w:rPr>
        <w:t xml:space="preserve">With its </w:t>
      </w:r>
      <w:r w:rsidR="005B7ED4">
        <w:rPr>
          <w:sz w:val="22"/>
          <w:lang w:val="en-GB"/>
        </w:rPr>
        <w:t>strategic p</w:t>
      </w:r>
      <w:r w:rsidR="00B83EBE">
        <w:rPr>
          <w:sz w:val="22"/>
          <w:lang w:val="en-GB"/>
        </w:rPr>
        <w:t xml:space="preserve">lan </w:t>
      </w:r>
      <w:r>
        <w:rPr>
          <w:sz w:val="22"/>
          <w:lang w:val="en-GB"/>
        </w:rPr>
        <w:t xml:space="preserve">2018-2021, UNOPS commits to organizational excellence, </w:t>
      </w:r>
      <w:r w:rsidR="00C64505">
        <w:rPr>
          <w:sz w:val="22"/>
          <w:lang w:val="en-GB"/>
        </w:rPr>
        <w:t>accountability and transparency, and to continuously improving its internal governance and ope</w:t>
      </w:r>
      <w:r w:rsidR="005B7ED4">
        <w:rPr>
          <w:sz w:val="22"/>
          <w:lang w:val="en-GB"/>
        </w:rPr>
        <w:t>rations. The main avenues</w:t>
      </w:r>
      <w:r w:rsidR="00C64505">
        <w:rPr>
          <w:sz w:val="22"/>
          <w:lang w:val="en-GB"/>
        </w:rPr>
        <w:t xml:space="preserve"> for improvement targeting </w:t>
      </w:r>
      <w:r w:rsidR="00281B47">
        <w:rPr>
          <w:sz w:val="22"/>
          <w:lang w:val="en-GB"/>
        </w:rPr>
        <w:t xml:space="preserve">policies, processes, structure and </w:t>
      </w:r>
      <w:r w:rsidR="00C64505">
        <w:rPr>
          <w:sz w:val="22"/>
          <w:lang w:val="en-GB"/>
        </w:rPr>
        <w:t>culture are UNOPS governance, risk and compliance initiative, and a specialized enterprise resource planning (ERP) solution.</w:t>
      </w:r>
    </w:p>
    <w:p w14:paraId="7C177A5E" w14:textId="2745361F" w:rsidR="001A38E0" w:rsidRPr="00BA1856" w:rsidRDefault="001A38E0" w:rsidP="001A38E0">
      <w:pPr>
        <w:pStyle w:val="Heading2"/>
        <w:rPr>
          <w:lang w:val="en-GB"/>
        </w:rPr>
      </w:pPr>
      <w:bookmarkStart w:id="65" w:name="_Toc512590060"/>
      <w:r>
        <w:rPr>
          <w:lang w:val="en-GB"/>
        </w:rPr>
        <w:t>Implementing a simplified policy framework</w:t>
      </w:r>
      <w:bookmarkEnd w:id="65"/>
    </w:p>
    <w:bookmarkEnd w:id="58"/>
    <w:bookmarkEnd w:id="62"/>
    <w:bookmarkEnd w:id="63"/>
    <w:bookmarkEnd w:id="64"/>
    <w:p w14:paraId="3E2BDD4B" w14:textId="25FDCACF" w:rsidR="000B2C4B" w:rsidRDefault="0018519D" w:rsidP="00CE5744">
      <w:pPr>
        <w:jc w:val="both"/>
        <w:rPr>
          <w:sz w:val="22"/>
          <w:lang w:val="en-GB"/>
        </w:rPr>
      </w:pPr>
      <w:r w:rsidRPr="00CE5744">
        <w:rPr>
          <w:sz w:val="22"/>
          <w:lang w:val="en-GB"/>
        </w:rPr>
        <w:t xml:space="preserve">In the context of </w:t>
      </w:r>
      <w:r w:rsidR="00EE5CDA">
        <w:rPr>
          <w:sz w:val="22"/>
          <w:lang w:val="en-GB"/>
        </w:rPr>
        <w:t>continuing the</w:t>
      </w:r>
      <w:r w:rsidRPr="00CE5744">
        <w:rPr>
          <w:sz w:val="22"/>
          <w:lang w:val="en-GB"/>
        </w:rPr>
        <w:t xml:space="preserve"> implementation of the Governance</w:t>
      </w:r>
      <w:r w:rsidR="00830775">
        <w:rPr>
          <w:sz w:val="22"/>
          <w:lang w:val="en-GB"/>
        </w:rPr>
        <w:t>, Risk and Compliance principled</w:t>
      </w:r>
      <w:r w:rsidRPr="00CE5744">
        <w:rPr>
          <w:sz w:val="22"/>
          <w:lang w:val="en-GB"/>
        </w:rPr>
        <w:t xml:space="preserve"> performance framework, the organization in 2017 commenced an exercise to adjust its policy framework and align it with the principles of simplification and empowerment. </w:t>
      </w:r>
      <w:r w:rsidR="000B2C4B">
        <w:rPr>
          <w:sz w:val="22"/>
          <w:lang w:val="en-GB"/>
        </w:rPr>
        <w:t xml:space="preserve">This is </w:t>
      </w:r>
      <w:r w:rsidR="008272FB">
        <w:rPr>
          <w:sz w:val="22"/>
          <w:lang w:val="en-GB"/>
        </w:rPr>
        <w:t>commensurate with</w:t>
      </w:r>
      <w:r w:rsidR="000B2C4B">
        <w:rPr>
          <w:sz w:val="22"/>
          <w:lang w:val="en-GB"/>
        </w:rPr>
        <w:t xml:space="preserve"> the Secretary General’s vision of a reformed United Nations, aiming to minimise confl</w:t>
      </w:r>
      <w:r w:rsidR="0084408D">
        <w:rPr>
          <w:sz w:val="22"/>
          <w:lang w:val="en-GB"/>
        </w:rPr>
        <w:t>ict of interest and mitigate potential</w:t>
      </w:r>
      <w:r w:rsidR="000B2C4B">
        <w:rPr>
          <w:sz w:val="22"/>
          <w:lang w:val="en-GB"/>
        </w:rPr>
        <w:t xml:space="preserve"> risks of errors.</w:t>
      </w:r>
    </w:p>
    <w:p w14:paraId="42AC7622" w14:textId="31C69160" w:rsidR="0018519D" w:rsidRPr="00CE5744" w:rsidRDefault="000B2C4B" w:rsidP="00CE5744">
      <w:pPr>
        <w:jc w:val="both"/>
        <w:rPr>
          <w:sz w:val="22"/>
          <w:lang w:val="en-GB"/>
        </w:rPr>
      </w:pPr>
      <w:r>
        <w:rPr>
          <w:sz w:val="22"/>
          <w:lang w:val="en-GB"/>
        </w:rPr>
        <w:t xml:space="preserve"> </w:t>
      </w:r>
      <w:r w:rsidR="0018519D" w:rsidRPr="00CE5744">
        <w:rPr>
          <w:sz w:val="22"/>
        </w:rPr>
        <w:t xml:space="preserve">At the highest level, the new internal policy framework is based on the key organizational principles that are imperative for all personnel. The framework clearly delegates authority for issuance of policy instruments to functional directors. Functional directors are, in turn, responsible and accountable for simplifying and reducing the volume of prescriptive content, </w:t>
      </w:r>
      <w:r w:rsidR="00CE0198">
        <w:rPr>
          <w:sz w:val="22"/>
        </w:rPr>
        <w:t xml:space="preserve">for </w:t>
      </w:r>
      <w:r w:rsidR="0018519D" w:rsidRPr="00CE5744">
        <w:rPr>
          <w:sz w:val="22"/>
        </w:rPr>
        <w:t>ensuring that business processes and tools enable efficient implementation and appropriate control, and for monitoring the exercise of functional delegations within the areas for which they are accountable.</w:t>
      </w:r>
    </w:p>
    <w:p w14:paraId="3DB4CF85" w14:textId="7A2561B4" w:rsidR="0018519D" w:rsidRPr="00BC67A6" w:rsidRDefault="0018519D" w:rsidP="0018519D">
      <w:pPr>
        <w:tabs>
          <w:tab w:val="left" w:pos="426"/>
        </w:tabs>
        <w:jc w:val="both"/>
        <w:rPr>
          <w:sz w:val="22"/>
          <w:lang w:val="en-GB"/>
        </w:rPr>
      </w:pPr>
      <w:r>
        <w:rPr>
          <w:sz w:val="22"/>
          <w:lang w:val="en-GB"/>
        </w:rPr>
        <w:t>T</w:t>
      </w:r>
      <w:r w:rsidRPr="0018519D">
        <w:rPr>
          <w:sz w:val="22"/>
          <w:lang w:val="en-GB"/>
        </w:rPr>
        <w:t xml:space="preserve">he organization </w:t>
      </w:r>
      <w:r w:rsidR="0026184B">
        <w:rPr>
          <w:sz w:val="22"/>
          <w:lang w:val="en-GB"/>
        </w:rPr>
        <w:t>neared</w:t>
      </w:r>
      <w:r>
        <w:rPr>
          <w:sz w:val="22"/>
          <w:lang w:val="en-GB"/>
        </w:rPr>
        <w:t xml:space="preserve"> the full replacement of its legislative framework at the end of quarter </w:t>
      </w:r>
      <w:r w:rsidR="00CE0198">
        <w:rPr>
          <w:sz w:val="22"/>
          <w:lang w:val="en-GB"/>
        </w:rPr>
        <w:t>one</w:t>
      </w:r>
      <w:r>
        <w:rPr>
          <w:sz w:val="22"/>
          <w:lang w:val="en-GB"/>
        </w:rPr>
        <w:t xml:space="preserve"> 2018, </w:t>
      </w:r>
      <w:r w:rsidRPr="00022394">
        <w:rPr>
          <w:sz w:val="22"/>
          <w:lang w:val="en-GB"/>
        </w:rPr>
        <w:t>with its policy framework comprising</w:t>
      </w:r>
      <w:r>
        <w:rPr>
          <w:sz w:val="22"/>
          <w:lang w:val="en-GB"/>
        </w:rPr>
        <w:t xml:space="preserve"> four Executive Office Directives, </w:t>
      </w:r>
      <w:r w:rsidR="0026184B">
        <w:rPr>
          <w:sz w:val="22"/>
          <w:lang w:val="en-GB"/>
        </w:rPr>
        <w:t>five</w:t>
      </w:r>
      <w:r>
        <w:rPr>
          <w:sz w:val="22"/>
          <w:lang w:val="en-GB"/>
        </w:rPr>
        <w:t xml:space="preserve"> Executive Office Instructions, </w:t>
      </w:r>
      <w:r w:rsidR="00186063">
        <w:rPr>
          <w:sz w:val="22"/>
          <w:lang w:val="en-GB"/>
        </w:rPr>
        <w:t xml:space="preserve">10 Operational Directives, </w:t>
      </w:r>
      <w:r w:rsidR="00CE0198">
        <w:rPr>
          <w:sz w:val="22"/>
          <w:lang w:val="en-GB"/>
        </w:rPr>
        <w:t xml:space="preserve">and </w:t>
      </w:r>
      <w:r w:rsidR="00186063">
        <w:rPr>
          <w:sz w:val="22"/>
          <w:lang w:val="en-GB"/>
        </w:rPr>
        <w:t>19</w:t>
      </w:r>
      <w:r>
        <w:rPr>
          <w:sz w:val="22"/>
          <w:lang w:val="en-GB"/>
        </w:rPr>
        <w:t xml:space="preserve"> O</w:t>
      </w:r>
      <w:r w:rsidR="00186063">
        <w:rPr>
          <w:sz w:val="22"/>
          <w:lang w:val="en-GB"/>
        </w:rPr>
        <w:t>perational Instructions</w:t>
      </w:r>
      <w:r w:rsidR="0026184B">
        <w:rPr>
          <w:sz w:val="22"/>
          <w:lang w:val="en-GB"/>
        </w:rPr>
        <w:t xml:space="preserve">. </w:t>
      </w:r>
      <w:r w:rsidR="00281B47">
        <w:rPr>
          <w:sz w:val="22"/>
          <w:lang w:val="en-GB"/>
        </w:rPr>
        <w:t>An additional</w:t>
      </w:r>
      <w:r w:rsidR="0026184B">
        <w:rPr>
          <w:sz w:val="22"/>
          <w:lang w:val="en-GB"/>
        </w:rPr>
        <w:t xml:space="preserve"> 1</w:t>
      </w:r>
      <w:r w:rsidR="00186063">
        <w:rPr>
          <w:sz w:val="22"/>
          <w:lang w:val="en-GB"/>
        </w:rPr>
        <w:t>2</w:t>
      </w:r>
      <w:r w:rsidR="0026184B">
        <w:rPr>
          <w:sz w:val="22"/>
          <w:lang w:val="en-GB"/>
        </w:rPr>
        <w:t xml:space="preserve"> Organizational Directives and </w:t>
      </w:r>
      <w:r w:rsidR="00186063">
        <w:rPr>
          <w:sz w:val="22"/>
          <w:lang w:val="en-GB"/>
        </w:rPr>
        <w:t>22</w:t>
      </w:r>
      <w:r w:rsidR="0026184B">
        <w:rPr>
          <w:sz w:val="22"/>
          <w:lang w:val="en-GB"/>
        </w:rPr>
        <w:t xml:space="preserve"> Administrative Instructions will be </w:t>
      </w:r>
      <w:r w:rsidR="00186063">
        <w:rPr>
          <w:sz w:val="22"/>
          <w:lang w:val="en-GB"/>
        </w:rPr>
        <w:t xml:space="preserve">abolished and/or </w:t>
      </w:r>
      <w:r w:rsidR="0026184B">
        <w:rPr>
          <w:sz w:val="22"/>
          <w:lang w:val="en-GB"/>
        </w:rPr>
        <w:t xml:space="preserve">replaced by the end of quarter </w:t>
      </w:r>
      <w:r w:rsidR="00CE0198">
        <w:rPr>
          <w:sz w:val="22"/>
          <w:lang w:val="en-GB"/>
        </w:rPr>
        <w:t>two</w:t>
      </w:r>
      <w:r w:rsidR="0026184B">
        <w:rPr>
          <w:sz w:val="22"/>
          <w:lang w:val="en-GB"/>
        </w:rPr>
        <w:t>, 2018</w:t>
      </w:r>
      <w:r w:rsidRPr="00B40186">
        <w:rPr>
          <w:vertAlign w:val="superscript"/>
        </w:rPr>
        <w:footnoteReference w:id="3"/>
      </w:r>
      <w:r w:rsidRPr="00022394">
        <w:rPr>
          <w:sz w:val="22"/>
        </w:rPr>
        <w:t xml:space="preserve">. </w:t>
      </w:r>
      <w:r>
        <w:rPr>
          <w:sz w:val="22"/>
        </w:rPr>
        <w:t>During 2018, m</w:t>
      </w:r>
      <w:r w:rsidRPr="00022394">
        <w:rPr>
          <w:sz w:val="22"/>
        </w:rPr>
        <w:t xml:space="preserve">anagement will continue to review and revise UNOPS </w:t>
      </w:r>
      <w:r>
        <w:rPr>
          <w:sz w:val="22"/>
        </w:rPr>
        <w:t>body of</w:t>
      </w:r>
      <w:r w:rsidRPr="00022394">
        <w:rPr>
          <w:sz w:val="22"/>
        </w:rPr>
        <w:t xml:space="preserve"> management policies to ensure </w:t>
      </w:r>
      <w:r>
        <w:rPr>
          <w:sz w:val="22"/>
          <w:lang w:val="en-GB"/>
        </w:rPr>
        <w:t>the policies’</w:t>
      </w:r>
      <w:r w:rsidRPr="00022394">
        <w:rPr>
          <w:sz w:val="22"/>
        </w:rPr>
        <w:t xml:space="preserve"> appropriateness for the organization’s ever-changing business environment and increasing maturity level.</w:t>
      </w:r>
    </w:p>
    <w:p w14:paraId="4AC17363" w14:textId="7569043F" w:rsidR="001A38E0" w:rsidRDefault="001A38E0" w:rsidP="001A38E0">
      <w:pPr>
        <w:pStyle w:val="Heading2"/>
      </w:pPr>
      <w:bookmarkStart w:id="66" w:name="_Toc512590061"/>
      <w:r>
        <w:lastRenderedPageBreak/>
        <w:t>Optimizing processes and integrating IT systems</w:t>
      </w:r>
      <w:bookmarkEnd w:id="66"/>
    </w:p>
    <w:p w14:paraId="1EC24A75" w14:textId="77777777" w:rsidR="0039758A" w:rsidRPr="0039758A" w:rsidRDefault="00CE0198" w:rsidP="00251FBB">
      <w:pPr>
        <w:tabs>
          <w:tab w:val="left" w:pos="426"/>
        </w:tabs>
        <w:jc w:val="both"/>
        <w:rPr>
          <w:sz w:val="22"/>
        </w:rPr>
      </w:pPr>
      <w:r w:rsidRPr="0039758A">
        <w:rPr>
          <w:sz w:val="22"/>
          <w:lang w:val="en-GB"/>
        </w:rPr>
        <w:t xml:space="preserve">In readying the organization for the implementation of </w:t>
      </w:r>
      <w:r w:rsidR="00E95132" w:rsidRPr="0039758A">
        <w:rPr>
          <w:sz w:val="22"/>
          <w:lang w:val="en-GB"/>
        </w:rPr>
        <w:t xml:space="preserve">the </w:t>
      </w:r>
      <w:r w:rsidRPr="0039758A">
        <w:rPr>
          <w:sz w:val="22"/>
          <w:lang w:val="en-GB"/>
        </w:rPr>
        <w:t xml:space="preserve">UNOPS </w:t>
      </w:r>
      <w:r w:rsidR="00E95132" w:rsidRPr="0039758A">
        <w:rPr>
          <w:sz w:val="22"/>
          <w:lang w:val="en-GB"/>
        </w:rPr>
        <w:t xml:space="preserve">strategic plan </w:t>
      </w:r>
      <w:r w:rsidRPr="0039758A">
        <w:rPr>
          <w:sz w:val="22"/>
          <w:lang w:val="en-GB"/>
        </w:rPr>
        <w:t xml:space="preserve">2018-2021, a new approach to internal business planning was initiated across all regions and HQ functions. The results of this process will provide direction for the </w:t>
      </w:r>
      <w:r w:rsidR="0039758A" w:rsidRPr="0039758A">
        <w:rPr>
          <w:sz w:val="22"/>
          <w:lang w:val="en-GB"/>
        </w:rPr>
        <w:t xml:space="preserve">four-year </w:t>
      </w:r>
      <w:r w:rsidRPr="0039758A">
        <w:rPr>
          <w:sz w:val="22"/>
          <w:lang w:val="en-GB"/>
        </w:rPr>
        <w:t xml:space="preserve">period of the </w:t>
      </w:r>
      <w:r w:rsidR="0039758A" w:rsidRPr="0039758A">
        <w:rPr>
          <w:sz w:val="22"/>
          <w:lang w:val="en-GB"/>
        </w:rPr>
        <w:t>strategic plan.</w:t>
      </w:r>
    </w:p>
    <w:p w14:paraId="2F93C42A" w14:textId="2FC9206B" w:rsidR="00F9619E" w:rsidRPr="0039758A" w:rsidRDefault="00AD7ADE" w:rsidP="00251FBB">
      <w:pPr>
        <w:tabs>
          <w:tab w:val="left" w:pos="426"/>
        </w:tabs>
        <w:jc w:val="both"/>
        <w:rPr>
          <w:sz w:val="22"/>
        </w:rPr>
      </w:pPr>
      <w:r w:rsidRPr="0039758A">
        <w:rPr>
          <w:sz w:val="22"/>
        </w:rPr>
        <w:t>In 2016</w:t>
      </w:r>
      <w:r w:rsidR="00F92410" w:rsidRPr="0039758A">
        <w:rPr>
          <w:sz w:val="22"/>
        </w:rPr>
        <w:t xml:space="preserve">, UNOPS </w:t>
      </w:r>
      <w:r w:rsidRPr="0039758A">
        <w:rPr>
          <w:sz w:val="22"/>
        </w:rPr>
        <w:t>launched its</w:t>
      </w:r>
      <w:r w:rsidR="00F92410" w:rsidRPr="0039758A">
        <w:rPr>
          <w:sz w:val="22"/>
        </w:rPr>
        <w:t xml:space="preserve"> n</w:t>
      </w:r>
      <w:r w:rsidR="00131015" w:rsidRPr="0039758A">
        <w:rPr>
          <w:sz w:val="22"/>
        </w:rPr>
        <w:t>ew enterprise resource planning</w:t>
      </w:r>
      <w:r w:rsidR="00186063" w:rsidRPr="0039758A">
        <w:rPr>
          <w:sz w:val="22"/>
        </w:rPr>
        <w:t xml:space="preserve"> (ERP)</w:t>
      </w:r>
      <w:r w:rsidRPr="0039758A">
        <w:rPr>
          <w:sz w:val="22"/>
        </w:rPr>
        <w:t xml:space="preserve"> system</w:t>
      </w:r>
      <w:r w:rsidR="00563ABA" w:rsidRPr="0039758A">
        <w:rPr>
          <w:sz w:val="22"/>
        </w:rPr>
        <w:t>.</w:t>
      </w:r>
      <w:r w:rsidRPr="0039758A">
        <w:rPr>
          <w:sz w:val="22"/>
        </w:rPr>
        <w:t xml:space="preserve"> </w:t>
      </w:r>
      <w:r w:rsidR="00FA005A">
        <w:rPr>
          <w:sz w:val="22"/>
        </w:rPr>
        <w:t>‘o</w:t>
      </w:r>
      <w:r w:rsidR="00563ABA" w:rsidRPr="0039758A">
        <w:rPr>
          <w:sz w:val="22"/>
        </w:rPr>
        <w:t>neUNOPS’ is a platform for organization-wide efficiency, control, and business intelligence, offering an integrated solution for core business processes and management information to ensure speed and compliance</w:t>
      </w:r>
      <w:r w:rsidR="00F92410" w:rsidRPr="0039758A">
        <w:rPr>
          <w:sz w:val="22"/>
        </w:rPr>
        <w:t xml:space="preserve">. </w:t>
      </w:r>
      <w:r w:rsidR="00563ABA" w:rsidRPr="0039758A">
        <w:rPr>
          <w:sz w:val="22"/>
        </w:rPr>
        <w:t xml:space="preserve">In 2017, UNOPS continued its efforts to </w:t>
      </w:r>
      <w:r w:rsidR="000E15E8" w:rsidRPr="0039758A">
        <w:rPr>
          <w:sz w:val="22"/>
        </w:rPr>
        <w:t>optimize supporting business processes and associated control</w:t>
      </w:r>
      <w:r w:rsidR="00575362" w:rsidRPr="0039758A">
        <w:rPr>
          <w:sz w:val="22"/>
        </w:rPr>
        <w:t>s</w:t>
      </w:r>
      <w:r w:rsidR="000E15E8" w:rsidRPr="0039758A">
        <w:rPr>
          <w:sz w:val="22"/>
        </w:rPr>
        <w:t xml:space="preserve"> in the ERP, while also </w:t>
      </w:r>
      <w:r w:rsidR="00563ABA" w:rsidRPr="0039758A">
        <w:rPr>
          <w:sz w:val="22"/>
        </w:rPr>
        <w:t>expand</w:t>
      </w:r>
      <w:r w:rsidR="000E15E8" w:rsidRPr="0039758A">
        <w:rPr>
          <w:sz w:val="22"/>
        </w:rPr>
        <w:t>ing</w:t>
      </w:r>
      <w:r w:rsidR="00102C80" w:rsidRPr="0039758A">
        <w:rPr>
          <w:sz w:val="22"/>
        </w:rPr>
        <w:t xml:space="preserve"> the</w:t>
      </w:r>
      <w:r w:rsidR="000E15E8" w:rsidRPr="0039758A">
        <w:rPr>
          <w:sz w:val="22"/>
        </w:rPr>
        <w:t xml:space="preserve"> overall</w:t>
      </w:r>
      <w:r w:rsidR="00102C80" w:rsidRPr="0039758A">
        <w:rPr>
          <w:sz w:val="22"/>
        </w:rPr>
        <w:t xml:space="preserve"> number of</w:t>
      </w:r>
      <w:r w:rsidR="00FA005A">
        <w:rPr>
          <w:sz w:val="22"/>
        </w:rPr>
        <w:t xml:space="preserve"> processes handled within o</w:t>
      </w:r>
      <w:r w:rsidR="00563ABA" w:rsidRPr="0039758A">
        <w:rPr>
          <w:sz w:val="22"/>
        </w:rPr>
        <w:t xml:space="preserve">neUNOPS, in close collaboration </w:t>
      </w:r>
      <w:r w:rsidR="00102C80" w:rsidRPr="0039758A">
        <w:rPr>
          <w:sz w:val="22"/>
        </w:rPr>
        <w:t xml:space="preserve">with </w:t>
      </w:r>
      <w:r w:rsidR="00563ABA" w:rsidRPr="0039758A">
        <w:rPr>
          <w:sz w:val="22"/>
        </w:rPr>
        <w:t>and significant input from UNOPS personnel in field locations</w:t>
      </w:r>
      <w:r w:rsidR="002D5D2F" w:rsidRPr="0039758A">
        <w:rPr>
          <w:sz w:val="22"/>
        </w:rPr>
        <w:t>.</w:t>
      </w:r>
      <w:r w:rsidR="00BE236D" w:rsidRPr="0039758A">
        <w:rPr>
          <w:sz w:val="22"/>
        </w:rPr>
        <w:t xml:space="preserve"> The successful closure of UNOPS 2016 Financial Statements </w:t>
      </w:r>
      <w:r w:rsidR="0065333C" w:rsidRPr="0039758A">
        <w:rPr>
          <w:sz w:val="22"/>
        </w:rPr>
        <w:t>was</w:t>
      </w:r>
      <w:r w:rsidR="00BE236D" w:rsidRPr="0039758A">
        <w:rPr>
          <w:sz w:val="22"/>
        </w:rPr>
        <w:t xml:space="preserve"> a testament to th</w:t>
      </w:r>
      <w:r w:rsidR="00FA005A">
        <w:rPr>
          <w:sz w:val="22"/>
        </w:rPr>
        <w:t>e stability and reliability of o</w:t>
      </w:r>
      <w:r w:rsidR="00BE236D" w:rsidRPr="0039758A">
        <w:rPr>
          <w:sz w:val="22"/>
        </w:rPr>
        <w:t>neUNOPS.</w:t>
      </w:r>
    </w:p>
    <w:p w14:paraId="278B3E07" w14:textId="77777777" w:rsidR="0065333C" w:rsidRPr="00022394" w:rsidRDefault="0065333C" w:rsidP="0065333C">
      <w:pPr>
        <w:tabs>
          <w:tab w:val="left" w:pos="426"/>
        </w:tabs>
        <w:jc w:val="both"/>
        <w:rPr>
          <w:sz w:val="22"/>
          <w:lang w:val="en-GB"/>
        </w:rPr>
      </w:pPr>
      <w:r w:rsidRPr="00022394">
        <w:rPr>
          <w:sz w:val="22"/>
          <w:lang w:val="en-GB"/>
        </w:rPr>
        <w:t xml:space="preserve">Tools supporting corporate processes are a critical contributor to organizational efficiency, effectiveness and compliance. </w:t>
      </w:r>
      <w:r>
        <w:rPr>
          <w:sz w:val="22"/>
          <w:lang w:val="en-GB"/>
        </w:rPr>
        <w:t>The organization will continue to expand and refine its integrated application architecture for the purpose of enhanced visibility of information internally, and a targeted management of risks.</w:t>
      </w:r>
    </w:p>
    <w:p w14:paraId="6CA8D46F" w14:textId="33CAA907" w:rsidR="00BF1244" w:rsidRPr="00022394" w:rsidRDefault="00BF1244" w:rsidP="00022394">
      <w:pPr>
        <w:tabs>
          <w:tab w:val="left" w:pos="426"/>
        </w:tabs>
        <w:jc w:val="both"/>
        <w:rPr>
          <w:sz w:val="22"/>
          <w:lang w:val="en-GB"/>
        </w:rPr>
      </w:pPr>
      <w:r w:rsidRPr="00022394">
        <w:rPr>
          <w:sz w:val="22"/>
          <w:lang w:val="en-GB"/>
        </w:rPr>
        <w:t>External certification of compliance with internationally recognized s</w:t>
      </w:r>
      <w:r w:rsidR="007D3BF8" w:rsidRPr="00022394">
        <w:rPr>
          <w:sz w:val="22"/>
          <w:lang w:val="en-GB"/>
        </w:rPr>
        <w:t xml:space="preserve">tandards is a central </w:t>
      </w:r>
      <w:r w:rsidR="00131015" w:rsidRPr="00022394">
        <w:rPr>
          <w:sz w:val="22"/>
          <w:lang w:val="en-GB"/>
        </w:rPr>
        <w:t>component</w:t>
      </w:r>
      <w:r w:rsidR="00DC42AD" w:rsidRPr="00022394">
        <w:rPr>
          <w:sz w:val="22"/>
          <w:lang w:val="en-GB"/>
        </w:rPr>
        <w:t xml:space="preserve"> </w:t>
      </w:r>
      <w:r w:rsidRPr="00022394">
        <w:rPr>
          <w:sz w:val="22"/>
          <w:lang w:val="en-GB"/>
        </w:rPr>
        <w:t>of UNOPS phased implementation of its risk management system</w:t>
      </w:r>
      <w:r w:rsidR="000C5C24" w:rsidRPr="00022394">
        <w:rPr>
          <w:sz w:val="22"/>
          <w:lang w:val="en-GB"/>
        </w:rPr>
        <w:t>s</w:t>
      </w:r>
      <w:r w:rsidRPr="00022394">
        <w:rPr>
          <w:sz w:val="22"/>
          <w:lang w:val="en-GB"/>
        </w:rPr>
        <w:t>. Furthermore, the organization is committed to benchmarking its effectiveness and results against a range of industries and organizational types.</w:t>
      </w:r>
    </w:p>
    <w:p w14:paraId="1C32F896" w14:textId="3D138DA3" w:rsidR="008F0562" w:rsidRDefault="008F0562" w:rsidP="008F0562">
      <w:pPr>
        <w:tabs>
          <w:tab w:val="left" w:pos="426"/>
        </w:tabs>
        <w:jc w:val="both"/>
        <w:rPr>
          <w:sz w:val="22"/>
          <w:lang w:val="en-GB"/>
        </w:rPr>
      </w:pPr>
      <w:r>
        <w:rPr>
          <w:sz w:val="22"/>
          <w:lang w:val="en-GB"/>
        </w:rPr>
        <w:t>In 2017</w:t>
      </w:r>
      <w:r w:rsidRPr="00022394">
        <w:rPr>
          <w:sz w:val="22"/>
          <w:lang w:val="en-GB"/>
        </w:rPr>
        <w:t xml:space="preserve">, the organization maintained its certifications against ISO 9001 for Quality Management. In addition, UNOPS expanded the coverage of its ISO 14001 certified environmental management system to cover infrastructure projects in </w:t>
      </w:r>
      <w:r>
        <w:rPr>
          <w:sz w:val="22"/>
          <w:lang w:val="en-GB"/>
        </w:rPr>
        <w:t>Tunisia and Sierra Leone</w:t>
      </w:r>
      <w:r w:rsidRPr="00022394">
        <w:rPr>
          <w:sz w:val="22"/>
          <w:lang w:val="en-GB"/>
        </w:rPr>
        <w:t xml:space="preserve">, alongside existing certifications </w:t>
      </w:r>
      <w:r w:rsidR="007E4CFD">
        <w:rPr>
          <w:sz w:val="22"/>
          <w:lang w:val="en-GB"/>
        </w:rPr>
        <w:t>for operations in</w:t>
      </w:r>
      <w:r w:rsidRPr="00022394">
        <w:rPr>
          <w:sz w:val="22"/>
          <w:lang w:val="en-GB"/>
        </w:rPr>
        <w:t xml:space="preserve"> </w:t>
      </w:r>
      <w:r>
        <w:rPr>
          <w:sz w:val="22"/>
          <w:lang w:val="en-GB"/>
        </w:rPr>
        <w:t xml:space="preserve">Ghana, Myanmar, </w:t>
      </w:r>
      <w:r w:rsidRPr="00022394">
        <w:rPr>
          <w:sz w:val="22"/>
          <w:lang w:val="en-GB"/>
        </w:rPr>
        <w:t xml:space="preserve">Afghanistan, Guatemala, </w:t>
      </w:r>
      <w:r w:rsidR="007E4CFD">
        <w:rPr>
          <w:sz w:val="22"/>
          <w:lang w:val="en-GB"/>
        </w:rPr>
        <w:t>Pristina</w:t>
      </w:r>
      <w:r w:rsidRPr="00022394">
        <w:rPr>
          <w:sz w:val="22"/>
          <w:lang w:val="en-GB"/>
        </w:rPr>
        <w:t>, Sri Lanka</w:t>
      </w:r>
      <w:r w:rsidRPr="008E6BE3">
        <w:rPr>
          <w:sz w:val="22"/>
          <w:lang w:val="en-GB"/>
        </w:rPr>
        <w:t xml:space="preserve"> </w:t>
      </w:r>
      <w:r>
        <w:rPr>
          <w:sz w:val="22"/>
          <w:lang w:val="en-GB"/>
        </w:rPr>
        <w:t xml:space="preserve">and </w:t>
      </w:r>
      <w:r w:rsidR="007E4CFD">
        <w:rPr>
          <w:sz w:val="22"/>
          <w:lang w:val="en-GB"/>
        </w:rPr>
        <w:t>Jerusalem</w:t>
      </w:r>
      <w:r w:rsidRPr="00022394">
        <w:rPr>
          <w:sz w:val="22"/>
          <w:lang w:val="en-GB"/>
        </w:rPr>
        <w:t>. Likewise, the organization successfully continued to implement a health and safety management system for infrastructure operations, which was certified against OHSAS</w:t>
      </w:r>
      <w:r w:rsidR="007E4CFD">
        <w:rPr>
          <w:sz w:val="22"/>
          <w:lang w:val="en-GB"/>
        </w:rPr>
        <w:t xml:space="preserve"> </w:t>
      </w:r>
      <w:r w:rsidRPr="00022394">
        <w:rPr>
          <w:sz w:val="22"/>
          <w:lang w:val="en-GB"/>
        </w:rPr>
        <w:t>18001</w:t>
      </w:r>
      <w:r w:rsidRPr="00022394">
        <w:rPr>
          <w:sz w:val="22"/>
        </w:rPr>
        <w:t xml:space="preserve">. </w:t>
      </w:r>
      <w:r w:rsidRPr="00022394">
        <w:rPr>
          <w:sz w:val="22"/>
          <w:lang w:val="en-GB"/>
        </w:rPr>
        <w:t>In addition to existing certification in Denmark, Pristina,</w:t>
      </w:r>
      <w:r>
        <w:rPr>
          <w:sz w:val="22"/>
          <w:lang w:val="en-GB"/>
        </w:rPr>
        <w:t xml:space="preserve"> Myanmar</w:t>
      </w:r>
      <w:r w:rsidRPr="00022394">
        <w:rPr>
          <w:sz w:val="22"/>
          <w:lang w:val="en-GB"/>
        </w:rPr>
        <w:t xml:space="preserve"> and Jerusalem, operations in </w:t>
      </w:r>
      <w:r>
        <w:rPr>
          <w:sz w:val="22"/>
          <w:lang w:val="en-GB"/>
        </w:rPr>
        <w:t>Ghana</w:t>
      </w:r>
      <w:r w:rsidRPr="00022394">
        <w:rPr>
          <w:sz w:val="22"/>
          <w:lang w:val="en-GB"/>
        </w:rPr>
        <w:t xml:space="preserve"> have </w:t>
      </w:r>
      <w:r>
        <w:rPr>
          <w:sz w:val="22"/>
          <w:lang w:val="en-GB"/>
        </w:rPr>
        <w:t>been certified</w:t>
      </w:r>
      <w:r w:rsidRPr="00022394">
        <w:rPr>
          <w:sz w:val="22"/>
          <w:lang w:val="en-GB"/>
        </w:rPr>
        <w:t>.</w:t>
      </w:r>
    </w:p>
    <w:p w14:paraId="13A67E72" w14:textId="7F38ACB2" w:rsidR="008F0562" w:rsidRPr="00BA1856" w:rsidRDefault="008F0562" w:rsidP="008F0562">
      <w:pPr>
        <w:tabs>
          <w:tab w:val="left" w:pos="426"/>
        </w:tabs>
        <w:jc w:val="both"/>
        <w:rPr>
          <w:sz w:val="22"/>
          <w:lang w:val="en-GB"/>
        </w:rPr>
      </w:pPr>
      <w:r>
        <w:rPr>
          <w:sz w:val="22"/>
          <w:lang w:val="en-GB"/>
        </w:rPr>
        <w:t>In the context of the midterm review</w:t>
      </w:r>
      <w:r w:rsidR="006A194D">
        <w:rPr>
          <w:sz w:val="22"/>
          <w:lang w:val="en-GB"/>
        </w:rPr>
        <w:t xml:space="preserve"> of the UNOPS strategic p</w:t>
      </w:r>
      <w:r w:rsidR="001A38E0">
        <w:rPr>
          <w:sz w:val="22"/>
          <w:lang w:val="en-GB"/>
        </w:rPr>
        <w:t>lan 2014-2017</w:t>
      </w:r>
      <w:r>
        <w:rPr>
          <w:sz w:val="22"/>
          <w:lang w:val="en-GB"/>
        </w:rPr>
        <w:t xml:space="preserve">, UNOPS underwent an assessment of its overall organizational maturity </w:t>
      </w:r>
      <w:r w:rsidR="00C65DA8">
        <w:rPr>
          <w:sz w:val="22"/>
          <w:lang w:val="en-GB"/>
        </w:rPr>
        <w:t>through a Recognized for Excellence assessment against the EFQM framework</w:t>
      </w:r>
      <w:r w:rsidR="006A194D">
        <w:rPr>
          <w:sz w:val="22"/>
          <w:lang w:val="en-GB"/>
        </w:rPr>
        <w:t>. This was the second time since</w:t>
      </w:r>
      <w:r w:rsidR="00C65DA8">
        <w:rPr>
          <w:sz w:val="22"/>
          <w:lang w:val="en-GB"/>
        </w:rPr>
        <w:t xml:space="preserve"> 2013 that the organization invited such as assessment, and the second</w:t>
      </w:r>
      <w:r w:rsidR="00575362">
        <w:rPr>
          <w:sz w:val="22"/>
          <w:lang w:val="en-GB"/>
        </w:rPr>
        <w:t xml:space="preserve"> time</w:t>
      </w:r>
      <w:r w:rsidR="00C65DA8">
        <w:rPr>
          <w:sz w:val="22"/>
          <w:lang w:val="en-GB"/>
        </w:rPr>
        <w:t xml:space="preserve"> it was recognized for excellence in management practices</w:t>
      </w:r>
      <w:r w:rsidR="00575362">
        <w:rPr>
          <w:sz w:val="22"/>
          <w:lang w:val="en-GB"/>
        </w:rPr>
        <w:t>, achieving recognition of improvement and progress, as reflected in a higher overall rating</w:t>
      </w:r>
      <w:r w:rsidR="00C65DA8">
        <w:rPr>
          <w:sz w:val="22"/>
          <w:lang w:val="en-GB"/>
        </w:rPr>
        <w:t>.</w:t>
      </w:r>
    </w:p>
    <w:p w14:paraId="3297E5D1" w14:textId="679AB3FD" w:rsidR="001A38E0" w:rsidRPr="001A38E0" w:rsidRDefault="001A38E0" w:rsidP="001A38E0">
      <w:pPr>
        <w:pStyle w:val="Heading2"/>
        <w:rPr>
          <w:szCs w:val="20"/>
        </w:rPr>
      </w:pPr>
      <w:bookmarkStart w:id="67" w:name="_Toc512590062"/>
      <w:r>
        <w:t xml:space="preserve">Adjusting structures </w:t>
      </w:r>
      <w:r w:rsidR="00680760">
        <w:t>and</w:t>
      </w:r>
      <w:r>
        <w:t xml:space="preserve"> </w:t>
      </w:r>
      <w:r w:rsidR="00680760">
        <w:t>minimizing conflicts of interest</w:t>
      </w:r>
      <w:bookmarkEnd w:id="67"/>
    </w:p>
    <w:p w14:paraId="08586203" w14:textId="6FCC2FA9" w:rsidR="001A38E0" w:rsidRPr="00BC67A6" w:rsidRDefault="001A38E0" w:rsidP="001A38E0">
      <w:pPr>
        <w:tabs>
          <w:tab w:val="left" w:pos="426"/>
        </w:tabs>
        <w:jc w:val="both"/>
        <w:rPr>
          <w:sz w:val="22"/>
        </w:rPr>
      </w:pPr>
      <w:r>
        <w:rPr>
          <w:sz w:val="22"/>
          <w:szCs w:val="22"/>
        </w:rPr>
        <w:t>In parallel with the comprehensive review and reissuance of its overall policy framework, UNOPS further clarified its</w:t>
      </w:r>
      <w:r w:rsidRPr="0018519D">
        <w:rPr>
          <w:sz w:val="22"/>
          <w:szCs w:val="22"/>
        </w:rPr>
        <w:t xml:space="preserve"> internal governance structures, empowering managers and minimizing conflicts of </w:t>
      </w:r>
      <w:r>
        <w:rPr>
          <w:sz w:val="22"/>
          <w:szCs w:val="22"/>
        </w:rPr>
        <w:t>interest.</w:t>
      </w:r>
      <w:r w:rsidRPr="0018519D">
        <w:rPr>
          <w:sz w:val="22"/>
          <w:szCs w:val="22"/>
        </w:rPr>
        <w:t xml:space="preserve"> </w:t>
      </w:r>
      <w:r>
        <w:rPr>
          <w:sz w:val="22"/>
          <w:szCs w:val="22"/>
        </w:rPr>
        <w:t xml:space="preserve">This included a </w:t>
      </w:r>
      <w:r w:rsidRPr="0018519D">
        <w:rPr>
          <w:sz w:val="22"/>
          <w:szCs w:val="22"/>
        </w:rPr>
        <w:t>number of adjustments to the organization’s str</w:t>
      </w:r>
      <w:r>
        <w:rPr>
          <w:sz w:val="22"/>
          <w:szCs w:val="22"/>
        </w:rPr>
        <w:t>ucture. Key changes in the internal governance model included the separation</w:t>
      </w:r>
      <w:r w:rsidRPr="0018519D">
        <w:rPr>
          <w:sz w:val="22"/>
          <w:szCs w:val="22"/>
        </w:rPr>
        <w:t xml:space="preserve"> of policy/control and strategic leadership functions from operational a</w:t>
      </w:r>
      <w:r>
        <w:rPr>
          <w:sz w:val="22"/>
          <w:szCs w:val="22"/>
        </w:rPr>
        <w:t>nd transactional functions</w:t>
      </w:r>
      <w:r w:rsidR="0065333C">
        <w:rPr>
          <w:sz w:val="22"/>
          <w:szCs w:val="22"/>
        </w:rPr>
        <w:t>. These changes were</w:t>
      </w:r>
      <w:r>
        <w:rPr>
          <w:sz w:val="22"/>
          <w:szCs w:val="22"/>
        </w:rPr>
        <w:t xml:space="preserve"> </w:t>
      </w:r>
      <w:r w:rsidRPr="0018519D">
        <w:rPr>
          <w:sz w:val="22"/>
          <w:szCs w:val="22"/>
        </w:rPr>
        <w:t xml:space="preserve">applied for the business units delivering shared services, as well as integrated business solutions to UNOPS partners; and the finance, ICT, HR, procurement and project management units. In addition, the function of monitoring </w:t>
      </w:r>
      <w:r w:rsidR="004A26BF">
        <w:rPr>
          <w:sz w:val="22"/>
          <w:szCs w:val="22"/>
        </w:rPr>
        <w:t xml:space="preserve">potential </w:t>
      </w:r>
      <w:r w:rsidRPr="0018519D">
        <w:rPr>
          <w:sz w:val="22"/>
          <w:szCs w:val="22"/>
        </w:rPr>
        <w:t>threats related to policy and controls in operations was embedded in a stand-alone unit with direct rapport to the Executive Director.</w:t>
      </w:r>
      <w:r>
        <w:rPr>
          <w:sz w:val="22"/>
          <w:szCs w:val="22"/>
        </w:rPr>
        <w:t xml:space="preserve"> Finally, the risk management function was integrated into the finance function.</w:t>
      </w:r>
    </w:p>
    <w:p w14:paraId="77F649CA" w14:textId="77777777" w:rsidR="00BC67A6" w:rsidRDefault="00BC67A6" w:rsidP="00BC67A6">
      <w:pPr>
        <w:tabs>
          <w:tab w:val="left" w:pos="426"/>
        </w:tabs>
        <w:jc w:val="both"/>
        <w:rPr>
          <w:sz w:val="22"/>
          <w:lang w:val="en-GB"/>
        </w:rPr>
      </w:pPr>
      <w:bookmarkStart w:id="68" w:name="_Toc347491731"/>
      <w:r w:rsidRPr="00022394">
        <w:rPr>
          <w:sz w:val="22"/>
          <w:lang w:val="en-GB"/>
        </w:rPr>
        <w:lastRenderedPageBreak/>
        <w:t>Management coordination and cross-functional integration are important means of mitigating risks. In 201</w:t>
      </w:r>
      <w:r>
        <w:rPr>
          <w:sz w:val="22"/>
          <w:lang w:val="en-GB"/>
        </w:rPr>
        <w:t>7</w:t>
      </w:r>
      <w:r w:rsidRPr="00022394">
        <w:rPr>
          <w:sz w:val="22"/>
          <w:lang w:val="en-GB"/>
        </w:rPr>
        <w:t xml:space="preserve">, UNOPS sustained efforts to strengthen the organization's management fora and throughout the year, the Senior </w:t>
      </w:r>
      <w:r>
        <w:rPr>
          <w:sz w:val="22"/>
          <w:lang w:val="en-GB"/>
        </w:rPr>
        <w:t>Leadership</w:t>
      </w:r>
      <w:r w:rsidRPr="00022394">
        <w:rPr>
          <w:sz w:val="22"/>
          <w:lang w:val="en-GB"/>
        </w:rPr>
        <w:t xml:space="preserve"> Group convened </w:t>
      </w:r>
      <w:r>
        <w:rPr>
          <w:sz w:val="22"/>
          <w:lang w:val="en-GB"/>
        </w:rPr>
        <w:t>16</w:t>
      </w:r>
      <w:r w:rsidRPr="00022394">
        <w:rPr>
          <w:sz w:val="22"/>
          <w:lang w:val="en-GB"/>
        </w:rPr>
        <w:t xml:space="preserve"> formal meetings allowing collective deliberation and executive advice on the strategic positioning of UNOPS; institutional reforms; and early identification of crisis, challenges and opportunities. Similarly, the Corporate Operations Group convened </w:t>
      </w:r>
      <w:r>
        <w:rPr>
          <w:sz w:val="22"/>
          <w:lang w:val="en-GB"/>
        </w:rPr>
        <w:t>eight</w:t>
      </w:r>
      <w:r w:rsidRPr="00022394">
        <w:rPr>
          <w:sz w:val="22"/>
          <w:lang w:val="en-GB"/>
        </w:rPr>
        <w:t xml:space="preserve"> formal meetings and two retreats, covering a wide range of recurring and ad hoc areas</w:t>
      </w:r>
      <w:r>
        <w:rPr>
          <w:sz w:val="22"/>
          <w:lang w:val="en-GB"/>
        </w:rPr>
        <w:t>,</w:t>
      </w:r>
      <w:r w:rsidRPr="00022394">
        <w:rPr>
          <w:sz w:val="22"/>
          <w:lang w:val="en-GB"/>
        </w:rPr>
        <w:t xml:space="preserve"> including, inter alia, corporate performance; key functions’ strategies</w:t>
      </w:r>
      <w:bookmarkEnd w:id="68"/>
      <w:r w:rsidRPr="00022394">
        <w:rPr>
          <w:sz w:val="22"/>
          <w:lang w:val="en-GB"/>
        </w:rPr>
        <w:t>; business and work planning;</w:t>
      </w:r>
      <w:r>
        <w:rPr>
          <w:sz w:val="22"/>
          <w:lang w:val="en-GB"/>
        </w:rPr>
        <w:t xml:space="preserve"> gender parity;</w:t>
      </w:r>
      <w:r w:rsidRPr="00022394">
        <w:rPr>
          <w:sz w:val="22"/>
          <w:lang w:val="en-GB"/>
        </w:rPr>
        <w:t xml:space="preserve"> a</w:t>
      </w:r>
      <w:r>
        <w:rPr>
          <w:sz w:val="22"/>
          <w:lang w:val="en-GB"/>
        </w:rPr>
        <w:t>nd integrity, fraud and ethics.</w:t>
      </w:r>
    </w:p>
    <w:p w14:paraId="68227A3E" w14:textId="1AB1CCAA" w:rsidR="00E16968" w:rsidRPr="00AE752A" w:rsidRDefault="001A38E0" w:rsidP="00D120BA">
      <w:pPr>
        <w:pStyle w:val="Heading2"/>
        <w:rPr>
          <w:lang w:val="en-GB"/>
        </w:rPr>
      </w:pPr>
      <w:bookmarkStart w:id="69" w:name="_Toc512590063"/>
      <w:r>
        <w:rPr>
          <w:lang w:val="en-GB"/>
        </w:rPr>
        <w:t>Driving a culture of engagement and risk management</w:t>
      </w:r>
      <w:bookmarkEnd w:id="69"/>
    </w:p>
    <w:p w14:paraId="3147FB46" w14:textId="4ECCC266" w:rsidR="00E06F40" w:rsidRDefault="00C71E61" w:rsidP="005E7C69">
      <w:pPr>
        <w:tabs>
          <w:tab w:val="left" w:pos="426"/>
        </w:tabs>
        <w:jc w:val="both"/>
        <w:rPr>
          <w:bCs/>
          <w:sz w:val="22"/>
        </w:rPr>
      </w:pPr>
      <w:r>
        <w:rPr>
          <w:bCs/>
          <w:sz w:val="22"/>
        </w:rPr>
        <w:t xml:space="preserve">In </w:t>
      </w:r>
      <w:r w:rsidR="00E06F40">
        <w:rPr>
          <w:bCs/>
          <w:sz w:val="22"/>
        </w:rPr>
        <w:t xml:space="preserve">2017 </w:t>
      </w:r>
      <w:r>
        <w:rPr>
          <w:bCs/>
          <w:sz w:val="22"/>
        </w:rPr>
        <w:t>the UNOPS People Survey was conducted for the second time</w:t>
      </w:r>
      <w:r w:rsidR="00C17BAA">
        <w:rPr>
          <w:bCs/>
          <w:sz w:val="22"/>
        </w:rPr>
        <w:t>, focusing on</w:t>
      </w:r>
      <w:r w:rsidR="00E06F40">
        <w:rPr>
          <w:bCs/>
          <w:sz w:val="22"/>
        </w:rPr>
        <w:t xml:space="preserve"> person</w:t>
      </w:r>
      <w:r w:rsidR="00C17BAA">
        <w:rPr>
          <w:bCs/>
          <w:sz w:val="22"/>
        </w:rPr>
        <w:t>nel engagement and its drivers</w:t>
      </w:r>
      <w:r w:rsidR="009E348E">
        <w:rPr>
          <w:bCs/>
          <w:sz w:val="22"/>
        </w:rPr>
        <w:t>. A high response rate of 82</w:t>
      </w:r>
      <w:r w:rsidR="00680760">
        <w:rPr>
          <w:bCs/>
          <w:sz w:val="22"/>
        </w:rPr>
        <w:t xml:space="preserve"> percent</w:t>
      </w:r>
      <w:r w:rsidR="009E348E">
        <w:rPr>
          <w:bCs/>
          <w:sz w:val="22"/>
        </w:rPr>
        <w:t xml:space="preserve"> globally </w:t>
      </w:r>
      <w:r w:rsidR="00124E0B">
        <w:rPr>
          <w:bCs/>
          <w:sz w:val="22"/>
        </w:rPr>
        <w:t>(2016: 67</w:t>
      </w:r>
      <w:r w:rsidR="00680760">
        <w:rPr>
          <w:bCs/>
          <w:sz w:val="22"/>
        </w:rPr>
        <w:t xml:space="preserve"> percent</w:t>
      </w:r>
      <w:r w:rsidR="00124E0B">
        <w:rPr>
          <w:bCs/>
          <w:sz w:val="22"/>
        </w:rPr>
        <w:t xml:space="preserve">) </w:t>
      </w:r>
      <w:r w:rsidR="009E348E">
        <w:rPr>
          <w:bCs/>
          <w:sz w:val="22"/>
        </w:rPr>
        <w:t xml:space="preserve">and an increased </w:t>
      </w:r>
      <w:r w:rsidR="008812A7">
        <w:rPr>
          <w:bCs/>
          <w:sz w:val="22"/>
        </w:rPr>
        <w:t xml:space="preserve">confidence in </w:t>
      </w:r>
      <w:r w:rsidR="00575362">
        <w:rPr>
          <w:bCs/>
          <w:sz w:val="22"/>
        </w:rPr>
        <w:t xml:space="preserve">management </w:t>
      </w:r>
      <w:r w:rsidR="008812A7">
        <w:rPr>
          <w:bCs/>
          <w:sz w:val="22"/>
        </w:rPr>
        <w:t>follow-up</w:t>
      </w:r>
      <w:r w:rsidR="009E348E">
        <w:rPr>
          <w:bCs/>
          <w:sz w:val="22"/>
        </w:rPr>
        <w:t xml:space="preserve"> </w:t>
      </w:r>
      <w:r w:rsidR="00C17BAA">
        <w:rPr>
          <w:bCs/>
          <w:sz w:val="22"/>
        </w:rPr>
        <w:t>indicate a generally positive perception of the new survey</w:t>
      </w:r>
      <w:r w:rsidR="001A38E0">
        <w:rPr>
          <w:bCs/>
          <w:sz w:val="22"/>
        </w:rPr>
        <w:t xml:space="preserve"> approach and </w:t>
      </w:r>
      <w:r w:rsidR="0065333C">
        <w:rPr>
          <w:bCs/>
          <w:sz w:val="22"/>
        </w:rPr>
        <w:t>targeted improvement efforts under</w:t>
      </w:r>
      <w:r w:rsidR="001A38E0">
        <w:rPr>
          <w:bCs/>
          <w:sz w:val="22"/>
        </w:rPr>
        <w:t>taken pursuant to the 2016 survey</w:t>
      </w:r>
      <w:r w:rsidR="00C17BAA">
        <w:rPr>
          <w:bCs/>
          <w:sz w:val="22"/>
        </w:rPr>
        <w:t>. At 4.18, the UNOPS employee engagement index is well above the external benchmarks of high performing and gl</w:t>
      </w:r>
      <w:r w:rsidR="00752B62">
        <w:rPr>
          <w:bCs/>
          <w:sz w:val="22"/>
        </w:rPr>
        <w:t>obal surveying organizations (4.07 and 3.88 respectively)</w:t>
      </w:r>
      <w:r w:rsidR="00C17BAA">
        <w:rPr>
          <w:bCs/>
          <w:sz w:val="22"/>
        </w:rPr>
        <w:t xml:space="preserve"> and slightly above the 2016 engagement index </w:t>
      </w:r>
      <w:r w:rsidR="008812A7">
        <w:rPr>
          <w:bCs/>
          <w:sz w:val="22"/>
        </w:rPr>
        <w:t xml:space="preserve">of 4.16. </w:t>
      </w:r>
      <w:r w:rsidR="000A7E22">
        <w:rPr>
          <w:bCs/>
          <w:sz w:val="22"/>
        </w:rPr>
        <w:t>S</w:t>
      </w:r>
      <w:r w:rsidR="008812A7">
        <w:rPr>
          <w:bCs/>
          <w:sz w:val="22"/>
        </w:rPr>
        <w:t>ubsequent action planning was undertaken to address matters raised by personnel, building on the 2016 people survey action planning process results, and supported by a variety of tools and learning resources.</w:t>
      </w:r>
    </w:p>
    <w:p w14:paraId="6361584C" w14:textId="577BEC59" w:rsidR="00E966A6" w:rsidRDefault="000A7E22" w:rsidP="00BA1856">
      <w:pPr>
        <w:tabs>
          <w:tab w:val="left" w:pos="426"/>
        </w:tabs>
        <w:jc w:val="both"/>
        <w:rPr>
          <w:sz w:val="22"/>
          <w:lang w:val="en-GB"/>
        </w:rPr>
      </w:pPr>
      <w:r>
        <w:rPr>
          <w:sz w:val="22"/>
          <w:lang w:val="en-GB"/>
        </w:rPr>
        <w:t>Taking further</w:t>
      </w:r>
      <w:r w:rsidR="00C65DA8">
        <w:rPr>
          <w:sz w:val="22"/>
          <w:lang w:val="en-GB"/>
        </w:rPr>
        <w:t xml:space="preserve"> the recommendations from the Gender Advisory Panel, </w:t>
      </w:r>
      <w:r w:rsidR="007E4CFD">
        <w:rPr>
          <w:sz w:val="22"/>
          <w:lang w:val="en-GB"/>
        </w:rPr>
        <w:t>whose launch was a concrete outcome from the</w:t>
      </w:r>
      <w:r w:rsidR="00C65DA8">
        <w:rPr>
          <w:sz w:val="22"/>
          <w:lang w:val="en-GB"/>
        </w:rPr>
        <w:t xml:space="preserve"> 2016 </w:t>
      </w:r>
      <w:r w:rsidR="005F5687">
        <w:rPr>
          <w:sz w:val="22"/>
          <w:lang w:val="en-GB"/>
        </w:rPr>
        <w:t>People Survey</w:t>
      </w:r>
      <w:r w:rsidR="00C65DA8">
        <w:rPr>
          <w:sz w:val="22"/>
          <w:lang w:val="en-GB"/>
        </w:rPr>
        <w:t>, a Gender Parity Strategy and a commensurate Gender Action Plan were established</w:t>
      </w:r>
      <w:r w:rsidR="005F5687">
        <w:rPr>
          <w:sz w:val="22"/>
          <w:lang w:val="en-GB"/>
        </w:rPr>
        <w:t xml:space="preserve">. Management </w:t>
      </w:r>
      <w:r w:rsidR="00C65DA8">
        <w:rPr>
          <w:sz w:val="22"/>
          <w:lang w:val="en-GB"/>
        </w:rPr>
        <w:t>continues to be</w:t>
      </w:r>
      <w:r w:rsidR="005F5687">
        <w:rPr>
          <w:sz w:val="22"/>
          <w:lang w:val="en-GB"/>
        </w:rPr>
        <w:t xml:space="preserve"> committed to achieving equal representation of genders across all UNOPS personnel by 2020, and to increasing the representation of women at senior and decision-making level.</w:t>
      </w:r>
    </w:p>
    <w:p w14:paraId="474A5545" w14:textId="5CFCFD10" w:rsidR="008E799B" w:rsidRPr="00BA1856" w:rsidRDefault="000A7E22" w:rsidP="00BA1856">
      <w:pPr>
        <w:tabs>
          <w:tab w:val="left" w:pos="426"/>
        </w:tabs>
        <w:jc w:val="both"/>
        <w:rPr>
          <w:sz w:val="22"/>
          <w:lang w:val="en-GB"/>
        </w:rPr>
      </w:pPr>
      <w:r>
        <w:rPr>
          <w:sz w:val="22"/>
          <w:lang w:val="en-GB"/>
        </w:rPr>
        <w:t>UNOPS</w:t>
      </w:r>
      <w:r w:rsidR="00E16968" w:rsidRPr="00022394">
        <w:rPr>
          <w:sz w:val="22"/>
          <w:lang w:val="en-GB"/>
        </w:rPr>
        <w:t xml:space="preserve"> offers its personnel access to individual certification programmes based on externally recognized international standards to address guidance and other causes of audit recommendations which </w:t>
      </w:r>
      <w:r w:rsidR="00E16968">
        <w:rPr>
          <w:sz w:val="22"/>
          <w:lang w:val="en-GB"/>
        </w:rPr>
        <w:t xml:space="preserve">may be </w:t>
      </w:r>
      <w:r w:rsidR="00E16968" w:rsidRPr="00022394">
        <w:rPr>
          <w:sz w:val="22"/>
          <w:lang w:val="en-GB"/>
        </w:rPr>
        <w:t xml:space="preserve">attributable to inadequate knowledge. In </w:t>
      </w:r>
      <w:r w:rsidR="00124E0B">
        <w:rPr>
          <w:sz w:val="22"/>
          <w:lang w:val="en-GB"/>
        </w:rPr>
        <w:t>2017</w:t>
      </w:r>
      <w:r w:rsidR="00E16968" w:rsidRPr="00022394">
        <w:rPr>
          <w:sz w:val="22"/>
          <w:lang w:val="en-GB"/>
        </w:rPr>
        <w:t xml:space="preserve"> more than </w:t>
      </w:r>
      <w:r w:rsidR="005B2DCD">
        <w:rPr>
          <w:sz w:val="22"/>
          <w:lang w:val="en-GB"/>
        </w:rPr>
        <w:t xml:space="preserve">2,500 </w:t>
      </w:r>
      <w:r w:rsidR="00E16968">
        <w:rPr>
          <w:sz w:val="22"/>
          <w:lang w:val="en-GB"/>
        </w:rPr>
        <w:t xml:space="preserve">personnel </w:t>
      </w:r>
      <w:r w:rsidR="00E16968" w:rsidRPr="00022394">
        <w:rPr>
          <w:sz w:val="22"/>
          <w:lang w:val="en-GB"/>
        </w:rPr>
        <w:t>benefited from UNOPS learning opportunities. The training included, inter alia, Prince2 Foundation and Prince2 Practitioner for project management;</w:t>
      </w:r>
      <w:r w:rsidR="005B2DCD">
        <w:rPr>
          <w:sz w:val="22"/>
          <w:lang w:val="en-GB"/>
        </w:rPr>
        <w:t xml:space="preserve"> procurement operations training</w:t>
      </w:r>
      <w:r w:rsidR="00E16968" w:rsidRPr="00022394">
        <w:rPr>
          <w:sz w:val="22"/>
          <w:lang w:val="en-GB"/>
        </w:rPr>
        <w:t xml:space="preserve">; and the </w:t>
      </w:r>
      <w:r w:rsidR="005B2DCD">
        <w:rPr>
          <w:sz w:val="22"/>
          <w:lang w:val="en-GB"/>
        </w:rPr>
        <w:t>Leading People</w:t>
      </w:r>
      <w:r w:rsidR="00E16968" w:rsidRPr="00022394">
        <w:rPr>
          <w:sz w:val="22"/>
          <w:lang w:val="en-GB"/>
        </w:rPr>
        <w:t xml:space="preserve"> programme. In addition to mandatory courses on gender awareness and the prevention of harassment, </w:t>
      </w:r>
      <w:r w:rsidR="00E16968" w:rsidRPr="005B2DCD">
        <w:rPr>
          <w:sz w:val="22"/>
          <w:lang w:val="en-GB"/>
        </w:rPr>
        <w:t>600</w:t>
      </w:r>
      <w:r w:rsidR="00E16968" w:rsidRPr="00022394">
        <w:rPr>
          <w:sz w:val="22"/>
          <w:lang w:val="en-GB"/>
        </w:rPr>
        <w:t xml:space="preserve"> </w:t>
      </w:r>
      <w:r w:rsidR="00E16968">
        <w:rPr>
          <w:sz w:val="22"/>
          <w:lang w:val="en-GB"/>
        </w:rPr>
        <w:t>personnel</w:t>
      </w:r>
      <w:r w:rsidR="00E16968" w:rsidRPr="00022394">
        <w:rPr>
          <w:sz w:val="22"/>
          <w:lang w:val="en-GB"/>
        </w:rPr>
        <w:t xml:space="preserve"> were supported through performance manageme</w:t>
      </w:r>
      <w:r w:rsidR="00E16968">
        <w:rPr>
          <w:sz w:val="22"/>
          <w:lang w:val="en-GB"/>
        </w:rPr>
        <w:t>nt training</w:t>
      </w:r>
      <w:r w:rsidR="005B2DCD">
        <w:rPr>
          <w:sz w:val="22"/>
          <w:lang w:val="en-GB"/>
        </w:rPr>
        <w:t>. In addition, a number of trainings throughout the year targeted fraud prevention, anti-corruption,</w:t>
      </w:r>
      <w:r w:rsidR="00C55B32">
        <w:rPr>
          <w:sz w:val="22"/>
          <w:lang w:val="en-GB"/>
        </w:rPr>
        <w:t xml:space="preserve"> and</w:t>
      </w:r>
      <w:r w:rsidR="005B2DCD">
        <w:rPr>
          <w:sz w:val="22"/>
          <w:lang w:val="en-GB"/>
        </w:rPr>
        <w:t xml:space="preserve"> managing grievances and ethics, with over 100 people being trained on these and similar topics.</w:t>
      </w:r>
      <w:r w:rsidR="00E16968">
        <w:rPr>
          <w:sz w:val="22"/>
          <w:lang w:val="en-GB"/>
        </w:rPr>
        <w:t xml:space="preserve"> </w:t>
      </w:r>
      <w:r w:rsidR="005B2DCD">
        <w:rPr>
          <w:sz w:val="22"/>
          <w:lang w:val="en-GB"/>
        </w:rPr>
        <w:t>In order to strengthen the consistency and overall results of recruitment processes, ove</w:t>
      </w:r>
      <w:r w:rsidR="00770F60">
        <w:rPr>
          <w:sz w:val="22"/>
          <w:lang w:val="en-GB"/>
        </w:rPr>
        <w:t>r 400 personnel were trained i</w:t>
      </w:r>
      <w:r w:rsidR="005B2DCD">
        <w:rPr>
          <w:sz w:val="22"/>
          <w:lang w:val="en-GB"/>
        </w:rPr>
        <w:t>n Competency Based Interviewing.</w:t>
      </w:r>
    </w:p>
    <w:p w14:paraId="14C49C45" w14:textId="0BC2D649" w:rsidR="00FD0DF7" w:rsidRDefault="00BC53ED" w:rsidP="003D7B60">
      <w:pPr>
        <w:pStyle w:val="Heading1"/>
      </w:pPr>
      <w:bookmarkStart w:id="70" w:name="_Toc447626881"/>
      <w:bookmarkStart w:id="71" w:name="_Toc512590064"/>
      <w:bookmarkEnd w:id="59"/>
      <w:r>
        <w:t xml:space="preserve">G. </w:t>
      </w:r>
      <w:r w:rsidR="003329A6" w:rsidRPr="004E068C">
        <w:t>UNOPS Ethics</w:t>
      </w:r>
      <w:bookmarkEnd w:id="70"/>
      <w:bookmarkEnd w:id="71"/>
    </w:p>
    <w:p w14:paraId="55ABD137" w14:textId="22938ED8" w:rsidR="00496024" w:rsidRPr="00022394" w:rsidRDefault="00FD0DF7" w:rsidP="00022394">
      <w:pPr>
        <w:tabs>
          <w:tab w:val="left" w:pos="426"/>
        </w:tabs>
        <w:jc w:val="both"/>
        <w:rPr>
          <w:sz w:val="22"/>
        </w:rPr>
      </w:pPr>
      <w:r w:rsidRPr="00022394">
        <w:rPr>
          <w:sz w:val="22"/>
          <w:lang w:val="en-GB"/>
        </w:rPr>
        <w:t xml:space="preserve">Established pursuant to General Assembly resolution 60/1, the UNOPS Ethics </w:t>
      </w:r>
      <w:r w:rsidR="00131015" w:rsidRPr="00022394">
        <w:rPr>
          <w:sz w:val="22"/>
          <w:lang w:val="en-GB"/>
        </w:rPr>
        <w:t>Office operates in</w:t>
      </w:r>
      <w:r w:rsidR="004E068C" w:rsidRPr="00022394">
        <w:rPr>
          <w:sz w:val="22"/>
        </w:rPr>
        <w:t xml:space="preserve"> </w:t>
      </w:r>
      <w:r w:rsidRPr="00022394">
        <w:rPr>
          <w:sz w:val="22"/>
          <w:lang w:val="en-GB"/>
        </w:rPr>
        <w:t>accordance with the terms of reference laid out in the Secretary-General’s bulletin (ST/SGB/2007/11, as amended). Its mandate is to promote the highest standards of integrity and to foster a culture of ethics, transparency and accountability within UNOPS.</w:t>
      </w:r>
    </w:p>
    <w:p w14:paraId="37D4EC80" w14:textId="6ECA24C7" w:rsidR="003D7B60" w:rsidRPr="00BA1856" w:rsidRDefault="00BA1856" w:rsidP="00BA1856">
      <w:pPr>
        <w:tabs>
          <w:tab w:val="left" w:pos="426"/>
        </w:tabs>
        <w:jc w:val="both"/>
        <w:rPr>
          <w:sz w:val="22"/>
          <w:lang w:val="en-GB"/>
        </w:rPr>
      </w:pPr>
      <w:r>
        <w:rPr>
          <w:sz w:val="22"/>
          <w:lang w:val="en-GB"/>
        </w:rPr>
        <w:t>M</w:t>
      </w:r>
      <w:r w:rsidR="00B41689" w:rsidRPr="00022394">
        <w:rPr>
          <w:sz w:val="22"/>
          <w:lang w:val="en-GB"/>
        </w:rPr>
        <w:t>anagement notes with appreciation the report on the Activitie</w:t>
      </w:r>
      <w:r w:rsidR="00496024" w:rsidRPr="00022394">
        <w:rPr>
          <w:sz w:val="22"/>
          <w:lang w:val="en-GB"/>
        </w:rPr>
        <w:t>s of the UNOPS Ethics Office in</w:t>
      </w:r>
      <w:r w:rsidR="004E068C" w:rsidRPr="00022394">
        <w:rPr>
          <w:sz w:val="22"/>
          <w:lang w:val="en-GB"/>
        </w:rPr>
        <w:t xml:space="preserve"> </w:t>
      </w:r>
      <w:r w:rsidR="00B41689" w:rsidRPr="00022394">
        <w:rPr>
          <w:sz w:val="22"/>
          <w:lang w:val="en-GB"/>
        </w:rPr>
        <w:t>201</w:t>
      </w:r>
      <w:r w:rsidR="00130C46">
        <w:rPr>
          <w:sz w:val="22"/>
          <w:lang w:val="en-GB"/>
        </w:rPr>
        <w:t>7</w:t>
      </w:r>
      <w:r w:rsidR="00496024" w:rsidRPr="00022394">
        <w:rPr>
          <w:sz w:val="22"/>
          <w:lang w:val="en-GB"/>
        </w:rPr>
        <w:t xml:space="preserve"> </w:t>
      </w:r>
      <w:r w:rsidR="00B41689" w:rsidRPr="00022394">
        <w:rPr>
          <w:sz w:val="22"/>
          <w:lang w:val="en-GB"/>
        </w:rPr>
        <w:t>(DP/OPS</w:t>
      </w:r>
      <w:r w:rsidR="007E0F57" w:rsidRPr="00022394">
        <w:rPr>
          <w:sz w:val="22"/>
          <w:lang w:val="en-GB"/>
        </w:rPr>
        <w:t>/201</w:t>
      </w:r>
      <w:r w:rsidR="00130C46">
        <w:rPr>
          <w:sz w:val="22"/>
          <w:lang w:val="en-GB"/>
        </w:rPr>
        <w:t>8</w:t>
      </w:r>
      <w:r w:rsidR="007E0F57" w:rsidRPr="00022394">
        <w:rPr>
          <w:sz w:val="22"/>
          <w:lang w:val="en-GB"/>
        </w:rPr>
        <w:t>/4</w:t>
      </w:r>
      <w:r w:rsidR="00B41689" w:rsidRPr="00022394">
        <w:rPr>
          <w:sz w:val="22"/>
          <w:lang w:val="en-GB"/>
        </w:rPr>
        <w:t xml:space="preserve">), which covers the </w:t>
      </w:r>
      <w:r w:rsidR="00130C46">
        <w:rPr>
          <w:sz w:val="22"/>
          <w:lang w:val="en-GB"/>
        </w:rPr>
        <w:t>ninth</w:t>
      </w:r>
      <w:r w:rsidR="00B41689" w:rsidRPr="00022394">
        <w:rPr>
          <w:sz w:val="22"/>
          <w:lang w:val="en-GB"/>
        </w:rPr>
        <w:t xml:space="preserve"> full year of </w:t>
      </w:r>
      <w:r w:rsidR="00496024" w:rsidRPr="00022394">
        <w:rPr>
          <w:sz w:val="22"/>
          <w:lang w:val="en-GB"/>
        </w:rPr>
        <w:t>its operation as a separa</w:t>
      </w:r>
      <w:r w:rsidR="004E068C" w:rsidRPr="00022394">
        <w:rPr>
          <w:sz w:val="22"/>
          <w:lang w:val="en-GB"/>
        </w:rPr>
        <w:t xml:space="preserve">te and </w:t>
      </w:r>
      <w:r w:rsidR="00B41689" w:rsidRPr="00022394">
        <w:rPr>
          <w:sz w:val="22"/>
          <w:lang w:val="en-GB"/>
        </w:rPr>
        <w:t>independent function in UNOPS.</w:t>
      </w:r>
      <w:r w:rsidR="00B41689" w:rsidRPr="00022394">
        <w:rPr>
          <w:sz w:val="22"/>
        </w:rPr>
        <w:t xml:space="preserve"> </w:t>
      </w:r>
      <w:r w:rsidR="00B41689" w:rsidRPr="00022394">
        <w:rPr>
          <w:sz w:val="22"/>
          <w:lang w:val="en-GB"/>
        </w:rPr>
        <w:t>During the year, the Ethics Office has assisted the Executive Director in ensuring that all staff conduct themselves with integrity and professionalism and uphold the Charter of the United Nations.</w:t>
      </w:r>
    </w:p>
    <w:p w14:paraId="7E81C28A" w14:textId="77777777" w:rsidR="00B41689" w:rsidRPr="007B1182" w:rsidRDefault="00B41689" w:rsidP="00D120BA">
      <w:pPr>
        <w:pStyle w:val="Heading2"/>
        <w:rPr>
          <w:lang w:val="en-GB"/>
        </w:rPr>
      </w:pPr>
      <w:bookmarkStart w:id="72" w:name="_Toc447626882"/>
      <w:bookmarkStart w:id="73" w:name="_Toc512590065"/>
      <w:r w:rsidRPr="004E068C">
        <w:rPr>
          <w:lang w:val="en-GB"/>
        </w:rPr>
        <w:lastRenderedPageBreak/>
        <w:t>Administering the UNOPS financial disclosure programme</w:t>
      </w:r>
      <w:bookmarkEnd w:id="72"/>
      <w:bookmarkEnd w:id="73"/>
    </w:p>
    <w:p w14:paraId="50FB02F5" w14:textId="3580ADC5" w:rsidR="00A33655" w:rsidRPr="00022394" w:rsidRDefault="004F7202" w:rsidP="00022394">
      <w:pPr>
        <w:tabs>
          <w:tab w:val="left" w:pos="426"/>
        </w:tabs>
        <w:jc w:val="both"/>
        <w:rPr>
          <w:sz w:val="22"/>
        </w:rPr>
      </w:pPr>
      <w:r w:rsidRPr="00022394">
        <w:rPr>
          <w:sz w:val="22"/>
        </w:rPr>
        <w:t xml:space="preserve">Management notes with appreciation </w:t>
      </w:r>
      <w:r w:rsidR="00DD46BE">
        <w:rPr>
          <w:sz w:val="22"/>
        </w:rPr>
        <w:t xml:space="preserve">the successful conclusion of the </w:t>
      </w:r>
      <w:r w:rsidRPr="00022394">
        <w:rPr>
          <w:sz w:val="22"/>
        </w:rPr>
        <w:t>2016</w:t>
      </w:r>
      <w:r w:rsidR="00DD46BE">
        <w:rPr>
          <w:sz w:val="22"/>
        </w:rPr>
        <w:t xml:space="preserve"> pilot of the </w:t>
      </w:r>
      <w:r w:rsidR="001918BA" w:rsidRPr="00022394">
        <w:rPr>
          <w:sz w:val="22"/>
        </w:rPr>
        <w:t xml:space="preserve">new </w:t>
      </w:r>
      <w:r w:rsidR="00DD46BE">
        <w:rPr>
          <w:sz w:val="22"/>
        </w:rPr>
        <w:t xml:space="preserve">online </w:t>
      </w:r>
      <w:r w:rsidR="001918BA" w:rsidRPr="00022394">
        <w:rPr>
          <w:sz w:val="22"/>
        </w:rPr>
        <w:t>financial disclosure and</w:t>
      </w:r>
      <w:r w:rsidR="003D7B60" w:rsidRPr="00022394">
        <w:rPr>
          <w:sz w:val="22"/>
        </w:rPr>
        <w:t xml:space="preserve"> </w:t>
      </w:r>
      <w:r w:rsidRPr="00022394">
        <w:rPr>
          <w:sz w:val="22"/>
        </w:rPr>
        <w:t>conflict of interest</w:t>
      </w:r>
      <w:r w:rsidR="00DD46BE">
        <w:rPr>
          <w:sz w:val="22"/>
        </w:rPr>
        <w:t xml:space="preserve"> form.</w:t>
      </w:r>
      <w:r w:rsidRPr="00022394">
        <w:rPr>
          <w:sz w:val="22"/>
        </w:rPr>
        <w:t xml:space="preserve"> </w:t>
      </w:r>
      <w:r w:rsidR="00DD46BE" w:rsidRPr="00022394">
        <w:rPr>
          <w:sz w:val="22"/>
        </w:rPr>
        <w:t xml:space="preserve">The new form </w:t>
      </w:r>
      <w:r w:rsidR="00DD46BE">
        <w:rPr>
          <w:sz w:val="22"/>
        </w:rPr>
        <w:t>was made</w:t>
      </w:r>
      <w:r w:rsidR="00DD46BE" w:rsidRPr="00022394">
        <w:rPr>
          <w:sz w:val="22"/>
        </w:rPr>
        <w:t xml:space="preserve"> available in all three UNOPS working languages for all personnel required to file annual disclosure statements.</w:t>
      </w:r>
      <w:r w:rsidR="00DD46BE">
        <w:rPr>
          <w:sz w:val="22"/>
        </w:rPr>
        <w:t xml:space="preserve"> As per the assessment of the Ethics Office, the new fo</w:t>
      </w:r>
      <w:r w:rsidR="004064A5">
        <w:rPr>
          <w:sz w:val="22"/>
        </w:rPr>
        <w:t>rm met expectations with regard</w:t>
      </w:r>
      <w:r w:rsidR="00DD46BE">
        <w:rPr>
          <w:sz w:val="22"/>
        </w:rPr>
        <w:t xml:space="preserve"> to </w:t>
      </w:r>
      <w:r w:rsidR="00A33655" w:rsidRPr="00022394">
        <w:rPr>
          <w:sz w:val="22"/>
        </w:rPr>
        <w:t>better identify</w:t>
      </w:r>
      <w:r w:rsidR="00C55B32">
        <w:rPr>
          <w:sz w:val="22"/>
        </w:rPr>
        <w:t>ing</w:t>
      </w:r>
      <w:r w:rsidR="00A33655" w:rsidRPr="00022394">
        <w:rPr>
          <w:sz w:val="22"/>
        </w:rPr>
        <w:t xml:space="preserve"> and more effectively manag</w:t>
      </w:r>
      <w:r w:rsidR="00C55B32">
        <w:rPr>
          <w:sz w:val="22"/>
        </w:rPr>
        <w:t>ing</w:t>
      </w:r>
      <w:r w:rsidR="00A33655" w:rsidRPr="00022394">
        <w:rPr>
          <w:sz w:val="22"/>
        </w:rPr>
        <w:t xml:space="preserve"> actual, potential and </w:t>
      </w:r>
      <w:r w:rsidR="0066050D" w:rsidRPr="00022394">
        <w:rPr>
          <w:sz w:val="22"/>
        </w:rPr>
        <w:t>perceived conflicts of interest</w:t>
      </w:r>
      <w:r w:rsidR="00DD46BE">
        <w:rPr>
          <w:sz w:val="22"/>
        </w:rPr>
        <w:t xml:space="preserve">. It also </w:t>
      </w:r>
      <w:r w:rsidRPr="00022394">
        <w:rPr>
          <w:sz w:val="22"/>
        </w:rPr>
        <w:t>reduce</w:t>
      </w:r>
      <w:r w:rsidR="00DD46BE">
        <w:rPr>
          <w:sz w:val="22"/>
        </w:rPr>
        <w:t>d</w:t>
      </w:r>
      <w:r w:rsidRPr="00022394">
        <w:rPr>
          <w:sz w:val="22"/>
        </w:rPr>
        <w:t xml:space="preserve"> the time spent on follow-up questions per email after revie</w:t>
      </w:r>
      <w:r w:rsidR="005D6605" w:rsidRPr="00022394">
        <w:rPr>
          <w:sz w:val="22"/>
        </w:rPr>
        <w:t xml:space="preserve">w of completed forms; </w:t>
      </w:r>
      <w:r w:rsidR="00DD46BE">
        <w:rPr>
          <w:sz w:val="22"/>
        </w:rPr>
        <w:t xml:space="preserve">and was generally appreciated as being less intrusive and more </w:t>
      </w:r>
      <w:r w:rsidR="004064A5">
        <w:rPr>
          <w:sz w:val="22"/>
        </w:rPr>
        <w:t>expedient</w:t>
      </w:r>
      <w:r w:rsidRPr="00022394">
        <w:rPr>
          <w:sz w:val="22"/>
        </w:rPr>
        <w:t>.</w:t>
      </w:r>
    </w:p>
    <w:p w14:paraId="0ED2F834" w14:textId="24B4DAFD" w:rsidR="00484E5C" w:rsidRPr="00BA1856" w:rsidRDefault="00B41689" w:rsidP="00BA1856">
      <w:pPr>
        <w:tabs>
          <w:tab w:val="left" w:pos="426"/>
        </w:tabs>
        <w:jc w:val="both"/>
        <w:rPr>
          <w:sz w:val="22"/>
          <w:lang w:val="en-GB"/>
        </w:rPr>
      </w:pPr>
      <w:r w:rsidRPr="00022394">
        <w:rPr>
          <w:sz w:val="22"/>
          <w:lang w:val="en-GB"/>
        </w:rPr>
        <w:t>Management notes</w:t>
      </w:r>
      <w:r w:rsidR="008E6BE3">
        <w:rPr>
          <w:sz w:val="22"/>
          <w:lang w:val="en-GB"/>
        </w:rPr>
        <w:t xml:space="preserve"> with appreciation </w:t>
      </w:r>
      <w:r w:rsidRPr="00022394">
        <w:rPr>
          <w:sz w:val="22"/>
          <w:lang w:val="en-GB"/>
        </w:rPr>
        <w:t>that</w:t>
      </w:r>
      <w:r w:rsidR="0066050D" w:rsidRPr="00022394">
        <w:rPr>
          <w:sz w:val="22"/>
          <w:lang w:val="en-GB"/>
        </w:rPr>
        <w:t xml:space="preserve"> </w:t>
      </w:r>
      <w:r w:rsidR="00D61C18" w:rsidRPr="00022394">
        <w:rPr>
          <w:sz w:val="22"/>
          <w:lang w:val="en-GB"/>
        </w:rPr>
        <w:t xml:space="preserve">all </w:t>
      </w:r>
      <w:r w:rsidR="00DD46BE">
        <w:rPr>
          <w:sz w:val="22"/>
          <w:lang w:val="en-GB"/>
        </w:rPr>
        <w:t>690</w:t>
      </w:r>
      <w:r w:rsidR="00D61C18" w:rsidRPr="00022394">
        <w:rPr>
          <w:sz w:val="22"/>
          <w:lang w:val="en-GB"/>
        </w:rPr>
        <w:t xml:space="preserve"> personnel required to file a financial disclosure and conflict of interest statement had done so</w:t>
      </w:r>
      <w:r w:rsidR="007F0D76">
        <w:rPr>
          <w:sz w:val="22"/>
          <w:lang w:val="en-GB"/>
        </w:rPr>
        <w:t>, resulting a 100</w:t>
      </w:r>
      <w:r w:rsidR="00680760">
        <w:rPr>
          <w:sz w:val="22"/>
          <w:lang w:val="en-GB"/>
        </w:rPr>
        <w:t xml:space="preserve"> percent</w:t>
      </w:r>
      <w:r w:rsidR="007F0D76">
        <w:rPr>
          <w:sz w:val="22"/>
          <w:lang w:val="en-GB"/>
        </w:rPr>
        <w:t xml:space="preserve"> filing rate</w:t>
      </w:r>
      <w:r w:rsidR="00D61C18" w:rsidRPr="00022394">
        <w:rPr>
          <w:sz w:val="22"/>
          <w:lang w:val="en-GB"/>
        </w:rPr>
        <w:t xml:space="preserve">. </w:t>
      </w:r>
      <w:r w:rsidR="0066050D" w:rsidRPr="00022394">
        <w:rPr>
          <w:sz w:val="22"/>
          <w:lang w:val="en-GB"/>
        </w:rPr>
        <w:t xml:space="preserve">Managements further notes that an analysis of the </w:t>
      </w:r>
      <w:r w:rsidR="005F2558">
        <w:rPr>
          <w:sz w:val="22"/>
          <w:lang w:val="en-GB"/>
        </w:rPr>
        <w:t>2017 filings</w:t>
      </w:r>
      <w:r w:rsidR="0066050D" w:rsidRPr="00022394">
        <w:rPr>
          <w:sz w:val="22"/>
          <w:lang w:val="en-GB"/>
        </w:rPr>
        <w:t xml:space="preserve"> will be provided to the Executive Board in the 201</w:t>
      </w:r>
      <w:r w:rsidR="005F2558">
        <w:rPr>
          <w:sz w:val="22"/>
          <w:lang w:val="en-GB"/>
        </w:rPr>
        <w:t>8</w:t>
      </w:r>
      <w:r w:rsidR="0066050D" w:rsidRPr="00022394">
        <w:rPr>
          <w:sz w:val="22"/>
          <w:lang w:val="en-GB"/>
        </w:rPr>
        <w:t xml:space="preserve"> Annual Report of the Ethics Office.</w:t>
      </w:r>
    </w:p>
    <w:p w14:paraId="4E888FC6" w14:textId="77777777" w:rsidR="00B41689" w:rsidRPr="004E068C" w:rsidRDefault="00B41689" w:rsidP="00D120BA">
      <w:pPr>
        <w:pStyle w:val="Heading2"/>
        <w:rPr>
          <w:lang w:val="en-GB"/>
        </w:rPr>
      </w:pPr>
      <w:bookmarkStart w:id="74" w:name="_Toc447626883"/>
      <w:bookmarkStart w:id="75" w:name="_Toc512590066"/>
      <w:r w:rsidRPr="004E068C">
        <w:rPr>
          <w:lang w:val="en-GB"/>
        </w:rPr>
        <w:t>Protecting staff against retaliation for reporting misconduct</w:t>
      </w:r>
      <w:bookmarkEnd w:id="74"/>
      <w:bookmarkEnd w:id="75"/>
    </w:p>
    <w:p w14:paraId="0ED03BC0" w14:textId="5F17062B" w:rsidR="00687D5E" w:rsidRPr="00BA1856" w:rsidRDefault="00BA1856" w:rsidP="00BA1856">
      <w:pPr>
        <w:tabs>
          <w:tab w:val="left" w:pos="426"/>
        </w:tabs>
        <w:jc w:val="both"/>
        <w:rPr>
          <w:sz w:val="22"/>
        </w:rPr>
      </w:pPr>
      <w:r>
        <w:rPr>
          <w:sz w:val="22"/>
          <w:lang w:val="en-GB"/>
        </w:rPr>
        <w:t>M</w:t>
      </w:r>
      <w:r w:rsidR="00B41689" w:rsidRPr="00022394">
        <w:rPr>
          <w:sz w:val="22"/>
          <w:lang w:val="en-GB"/>
        </w:rPr>
        <w:t>anagement notes the importance of the ethics function’s impartial p</w:t>
      </w:r>
      <w:r w:rsidR="00231910" w:rsidRPr="00022394">
        <w:rPr>
          <w:sz w:val="22"/>
          <w:lang w:val="en-GB"/>
        </w:rPr>
        <w:t>reliminary review of</w:t>
      </w:r>
      <w:r w:rsidR="00E21BE1" w:rsidRPr="00022394">
        <w:rPr>
          <w:sz w:val="22"/>
        </w:rPr>
        <w:t xml:space="preserve"> </w:t>
      </w:r>
      <w:r w:rsidR="00131015" w:rsidRPr="00022394">
        <w:rPr>
          <w:sz w:val="22"/>
          <w:lang w:val="en-GB"/>
        </w:rPr>
        <w:t>complaints</w:t>
      </w:r>
      <w:r w:rsidR="00231910" w:rsidRPr="00022394">
        <w:rPr>
          <w:sz w:val="22"/>
          <w:lang w:val="en-GB"/>
        </w:rPr>
        <w:t xml:space="preserve"> </w:t>
      </w:r>
      <w:r w:rsidR="00B41689" w:rsidRPr="00022394">
        <w:rPr>
          <w:sz w:val="22"/>
          <w:lang w:val="en-GB"/>
        </w:rPr>
        <w:t>of retaliation, its close collaboration with IAIG, and its advice on measure</w:t>
      </w:r>
      <w:r w:rsidR="00C55B32">
        <w:rPr>
          <w:sz w:val="22"/>
          <w:lang w:val="en-GB"/>
        </w:rPr>
        <w:t>s</w:t>
      </w:r>
      <w:r w:rsidR="00B41689" w:rsidRPr="00022394">
        <w:rPr>
          <w:sz w:val="22"/>
          <w:lang w:val="en-GB"/>
        </w:rPr>
        <w:t xml:space="preserve"> to protect from retaliation. Furthermore, management concurs with the Ethics Office that raising further awareness of the policy on protection against retaliation is an important means of preventing retaliation and promoting an environment that encourages personnel to speak out against behaviour that places the reputatio</w:t>
      </w:r>
      <w:r w:rsidR="00CA2EB3" w:rsidRPr="00022394">
        <w:rPr>
          <w:sz w:val="22"/>
          <w:lang w:val="en-GB"/>
        </w:rPr>
        <w:t xml:space="preserve">n and </w:t>
      </w:r>
      <w:r>
        <w:rPr>
          <w:sz w:val="22"/>
          <w:lang w:val="en-GB"/>
        </w:rPr>
        <w:t>standing of UNOPS at risk.</w:t>
      </w:r>
    </w:p>
    <w:p w14:paraId="35CCDAF8" w14:textId="4F13CDD3" w:rsidR="00B41689" w:rsidRPr="004E068C" w:rsidRDefault="00B41689" w:rsidP="00D120BA">
      <w:pPr>
        <w:pStyle w:val="Heading2"/>
        <w:rPr>
          <w:lang w:val="en-GB"/>
        </w:rPr>
      </w:pPr>
      <w:bookmarkStart w:id="76" w:name="_Toc447626884"/>
      <w:bookmarkStart w:id="77" w:name="_Toc512590067"/>
      <w:r w:rsidRPr="004E068C">
        <w:rPr>
          <w:lang w:val="en-GB"/>
        </w:rPr>
        <w:t>Developing standards, training and education, and reaching out on ethics issues</w:t>
      </w:r>
      <w:bookmarkEnd w:id="76"/>
      <w:bookmarkEnd w:id="77"/>
    </w:p>
    <w:p w14:paraId="612813E2" w14:textId="3E5A667D" w:rsidR="00B41689" w:rsidRPr="00F9619E" w:rsidRDefault="00B41689" w:rsidP="00022394">
      <w:pPr>
        <w:tabs>
          <w:tab w:val="left" w:pos="426"/>
        </w:tabs>
        <w:jc w:val="both"/>
        <w:rPr>
          <w:sz w:val="22"/>
        </w:rPr>
      </w:pPr>
      <w:r w:rsidRPr="00022394">
        <w:rPr>
          <w:sz w:val="22"/>
          <w:lang w:val="en-GB"/>
        </w:rPr>
        <w:t>Management appreciates the Office’s active contributions</w:t>
      </w:r>
      <w:r w:rsidR="00675662">
        <w:rPr>
          <w:sz w:val="22"/>
          <w:lang w:val="en-GB"/>
        </w:rPr>
        <w:t xml:space="preserve"> to</w:t>
      </w:r>
      <w:r w:rsidR="00131015" w:rsidRPr="00022394">
        <w:rPr>
          <w:sz w:val="22"/>
          <w:lang w:val="en-GB"/>
        </w:rPr>
        <w:t>, and collaboration with</w:t>
      </w:r>
      <w:r w:rsidR="00675662">
        <w:rPr>
          <w:sz w:val="22"/>
          <w:lang w:val="en-GB"/>
        </w:rPr>
        <w:t>, the</w:t>
      </w:r>
      <w:r w:rsidR="00131015" w:rsidRPr="00022394">
        <w:rPr>
          <w:sz w:val="22"/>
          <w:lang w:val="en-GB"/>
        </w:rPr>
        <w:t xml:space="preserve"> audit,</w:t>
      </w:r>
      <w:r w:rsidR="00357E41" w:rsidRPr="00022394">
        <w:rPr>
          <w:sz w:val="22"/>
          <w:lang w:val="en-GB"/>
        </w:rPr>
        <w:t xml:space="preserve"> </w:t>
      </w:r>
      <w:r w:rsidRPr="00022394">
        <w:rPr>
          <w:sz w:val="22"/>
          <w:lang w:val="en-GB"/>
        </w:rPr>
        <w:t>investigations and human resources</w:t>
      </w:r>
      <w:r w:rsidR="00DF2482">
        <w:rPr>
          <w:sz w:val="22"/>
          <w:lang w:val="en-GB"/>
        </w:rPr>
        <w:t xml:space="preserve"> as well as procurement</w:t>
      </w:r>
      <w:r w:rsidR="00675662">
        <w:rPr>
          <w:sz w:val="22"/>
          <w:lang w:val="en-GB"/>
        </w:rPr>
        <w:t xml:space="preserve"> functions</w:t>
      </w:r>
      <w:r w:rsidRPr="00022394">
        <w:rPr>
          <w:sz w:val="22"/>
          <w:lang w:val="en-GB"/>
        </w:rPr>
        <w:t>, to further develop training materials on ethics issues</w:t>
      </w:r>
      <w:r w:rsidR="00DF2482">
        <w:rPr>
          <w:sz w:val="22"/>
          <w:lang w:val="en-GB"/>
        </w:rPr>
        <w:t xml:space="preserve"> and provide training to colleagues. In 2017 this</w:t>
      </w:r>
      <w:r w:rsidR="00A3435A" w:rsidRPr="00022394">
        <w:rPr>
          <w:sz w:val="22"/>
          <w:lang w:val="en-GB"/>
        </w:rPr>
        <w:t xml:space="preserve"> </w:t>
      </w:r>
      <w:r w:rsidR="00DF2482">
        <w:rPr>
          <w:sz w:val="22"/>
          <w:lang w:val="en-GB"/>
        </w:rPr>
        <w:t>included</w:t>
      </w:r>
      <w:r w:rsidR="00D27028">
        <w:rPr>
          <w:sz w:val="22"/>
          <w:lang w:val="en-GB"/>
        </w:rPr>
        <w:t>, inter alia,</w:t>
      </w:r>
      <w:r w:rsidR="00DF2482">
        <w:rPr>
          <w:sz w:val="22"/>
          <w:lang w:val="en-GB"/>
        </w:rPr>
        <w:t xml:space="preserve"> </w:t>
      </w:r>
      <w:r w:rsidR="002E2C11" w:rsidRPr="00022394">
        <w:rPr>
          <w:sz w:val="22"/>
          <w:lang w:val="en-GB"/>
        </w:rPr>
        <w:t>interactive ethics training sessions to field colleagues attending the Project Management Foundation Course</w:t>
      </w:r>
      <w:r w:rsidR="00DF2482">
        <w:rPr>
          <w:sz w:val="22"/>
          <w:lang w:val="en-GB"/>
        </w:rPr>
        <w:t>;</w:t>
      </w:r>
      <w:r w:rsidR="002E2C11" w:rsidRPr="00022394">
        <w:rPr>
          <w:sz w:val="22"/>
          <w:lang w:val="en-GB"/>
        </w:rPr>
        <w:t xml:space="preserve"> </w:t>
      </w:r>
      <w:r w:rsidR="00DF2482">
        <w:rPr>
          <w:sz w:val="22"/>
          <w:lang w:val="en-GB"/>
        </w:rPr>
        <w:t xml:space="preserve">a presentation </w:t>
      </w:r>
      <w:r w:rsidR="00DF2482" w:rsidRPr="00022394">
        <w:rPr>
          <w:sz w:val="22"/>
          <w:lang w:val="en-GB"/>
        </w:rPr>
        <w:t xml:space="preserve">on </w:t>
      </w:r>
      <w:r w:rsidR="00675662">
        <w:rPr>
          <w:sz w:val="22"/>
          <w:lang w:val="en-GB"/>
        </w:rPr>
        <w:t>E</w:t>
      </w:r>
      <w:r w:rsidR="00DF2482" w:rsidRPr="00022394">
        <w:rPr>
          <w:sz w:val="22"/>
          <w:lang w:val="en-GB"/>
        </w:rPr>
        <w:t xml:space="preserve">thics in </w:t>
      </w:r>
      <w:r w:rsidR="00675662">
        <w:rPr>
          <w:sz w:val="22"/>
          <w:lang w:val="en-GB"/>
        </w:rPr>
        <w:t>P</w:t>
      </w:r>
      <w:r w:rsidR="00DF2482" w:rsidRPr="00022394">
        <w:rPr>
          <w:sz w:val="22"/>
          <w:lang w:val="en-GB"/>
        </w:rPr>
        <w:t xml:space="preserve">rocurement for the Procurement Operations </w:t>
      </w:r>
      <w:r w:rsidR="00DF2482" w:rsidRPr="00F9619E">
        <w:rPr>
          <w:sz w:val="22"/>
          <w:lang w:val="en-GB"/>
        </w:rPr>
        <w:t>Training</w:t>
      </w:r>
      <w:r w:rsidR="00DF2482">
        <w:rPr>
          <w:sz w:val="22"/>
          <w:lang w:val="en-GB"/>
        </w:rPr>
        <w:t>;</w:t>
      </w:r>
      <w:r w:rsidR="00DF2482" w:rsidRPr="00022394">
        <w:rPr>
          <w:sz w:val="22"/>
          <w:lang w:val="en-GB"/>
        </w:rPr>
        <w:t xml:space="preserve"> </w:t>
      </w:r>
      <w:r w:rsidR="00DF2482">
        <w:rPr>
          <w:sz w:val="22"/>
          <w:lang w:val="en-GB"/>
        </w:rPr>
        <w:t>a segment on Ethics in Procurement for the new interactive e-learning course on Ethics and Fraud Prevention in Procurement</w:t>
      </w:r>
      <w:r w:rsidR="0067090C">
        <w:rPr>
          <w:sz w:val="22"/>
          <w:lang w:val="en-GB"/>
        </w:rPr>
        <w:t>; and the update of the Standards of Conduct and Ethics segment in the Certification in HR Essentials online course</w:t>
      </w:r>
      <w:r w:rsidR="00675662">
        <w:rPr>
          <w:sz w:val="22"/>
          <w:lang w:val="en-GB"/>
        </w:rPr>
        <w:t xml:space="preserve"> for HR practitioners</w:t>
      </w:r>
      <w:r w:rsidR="0067090C">
        <w:rPr>
          <w:sz w:val="22"/>
          <w:lang w:val="en-GB"/>
        </w:rPr>
        <w:t>.</w:t>
      </w:r>
    </w:p>
    <w:p w14:paraId="3CBBF7BB" w14:textId="65EBCFF2" w:rsidR="002A77E7" w:rsidRPr="002A77E7" w:rsidRDefault="002A77E7" w:rsidP="00022394">
      <w:pPr>
        <w:tabs>
          <w:tab w:val="left" w:pos="426"/>
        </w:tabs>
        <w:jc w:val="both"/>
        <w:rPr>
          <w:sz w:val="22"/>
        </w:rPr>
      </w:pPr>
      <w:r>
        <w:rPr>
          <w:sz w:val="22"/>
          <w:lang w:val="en-GB"/>
        </w:rPr>
        <w:t xml:space="preserve">Management welcomes the introduction of the online course Ethics and Integrity at the United Nations, which is mandatory for all UNOPS personnel. Management also notes with appreciation the inclusion of the course in the new online learning and training platform </w:t>
      </w:r>
      <w:r w:rsidR="00DF2482">
        <w:rPr>
          <w:sz w:val="22"/>
          <w:lang w:val="en-GB"/>
        </w:rPr>
        <w:t>Learning Zone</w:t>
      </w:r>
      <w:r>
        <w:rPr>
          <w:sz w:val="22"/>
          <w:lang w:val="en-GB"/>
        </w:rPr>
        <w:t>, and the related efforts to increase visibility of completion rates</w:t>
      </w:r>
      <w:r w:rsidR="00675662">
        <w:rPr>
          <w:sz w:val="22"/>
          <w:lang w:val="en-GB"/>
        </w:rPr>
        <w:t>, which will continue into 2018</w:t>
      </w:r>
      <w:r>
        <w:rPr>
          <w:sz w:val="22"/>
          <w:lang w:val="en-GB"/>
        </w:rPr>
        <w:t>.</w:t>
      </w:r>
    </w:p>
    <w:p w14:paraId="398D98DA" w14:textId="0CDE06EA" w:rsidR="00B41689" w:rsidRPr="00022394" w:rsidRDefault="00B41689" w:rsidP="00022394">
      <w:pPr>
        <w:tabs>
          <w:tab w:val="left" w:pos="426"/>
        </w:tabs>
        <w:jc w:val="both"/>
        <w:rPr>
          <w:sz w:val="22"/>
        </w:rPr>
      </w:pPr>
      <w:r w:rsidRPr="00022394">
        <w:rPr>
          <w:sz w:val="22"/>
          <w:lang w:val="en-GB"/>
        </w:rPr>
        <w:t xml:space="preserve">Management notes the Ethics Officer’s engagement with the UNOPS </w:t>
      </w:r>
      <w:r w:rsidR="00B86FCD" w:rsidRPr="00022394">
        <w:rPr>
          <w:sz w:val="22"/>
          <w:lang w:val="en-GB"/>
        </w:rPr>
        <w:t>Audit Advisory Committee.</w:t>
      </w:r>
      <w:r w:rsidR="00A57D2D" w:rsidRPr="00022394">
        <w:rPr>
          <w:sz w:val="22"/>
        </w:rPr>
        <w:t xml:space="preserve"> </w:t>
      </w:r>
      <w:r w:rsidR="00131015" w:rsidRPr="00022394">
        <w:rPr>
          <w:sz w:val="22"/>
          <w:lang w:val="en-GB"/>
        </w:rPr>
        <w:t>It</w:t>
      </w:r>
      <w:r w:rsidR="00B86FCD" w:rsidRPr="00022394">
        <w:rPr>
          <w:sz w:val="22"/>
          <w:lang w:val="en-GB"/>
        </w:rPr>
        <w:t xml:space="preserve"> </w:t>
      </w:r>
      <w:r w:rsidRPr="00022394">
        <w:rPr>
          <w:sz w:val="22"/>
          <w:lang w:val="en-GB"/>
        </w:rPr>
        <w:t>further notes that the Officer, as ex officio member of senior management groups, has been kept abreast of agendas and minutes of UNOPS senior management meetings, and participated as observer in relevant meetings.</w:t>
      </w:r>
    </w:p>
    <w:p w14:paraId="5C8921A6" w14:textId="6B34DADE" w:rsidR="00B41689" w:rsidRPr="00022394" w:rsidRDefault="00B41689" w:rsidP="00022394">
      <w:pPr>
        <w:tabs>
          <w:tab w:val="left" w:pos="426"/>
        </w:tabs>
        <w:jc w:val="both"/>
        <w:rPr>
          <w:sz w:val="22"/>
        </w:rPr>
      </w:pPr>
      <w:r w:rsidRPr="00022394">
        <w:rPr>
          <w:sz w:val="22"/>
        </w:rPr>
        <w:t>Management notes</w:t>
      </w:r>
      <w:r w:rsidR="0067090C">
        <w:rPr>
          <w:sz w:val="22"/>
        </w:rPr>
        <w:t xml:space="preserve"> the contributions made by the Ethics Office in 2017 to the new organizational directive on Human Resources, Ethics and Culture, which was </w:t>
      </w:r>
      <w:r w:rsidR="00675662">
        <w:rPr>
          <w:sz w:val="22"/>
        </w:rPr>
        <w:t>promulgated</w:t>
      </w:r>
      <w:r w:rsidR="0067090C">
        <w:rPr>
          <w:sz w:val="22"/>
        </w:rPr>
        <w:t xml:space="preserve"> in 2017 in the context of implementing the new governance, risk and compliance framework; to the formulation of a risk appetite statement for the Ethics Office; and to panels on gender parity and knowledge management. Management further notes </w:t>
      </w:r>
      <w:r w:rsidRPr="00022394">
        <w:rPr>
          <w:sz w:val="22"/>
        </w:rPr>
        <w:t xml:space="preserve">the efforts undertaken by the Ethics Officer </w:t>
      </w:r>
      <w:r w:rsidR="00EA3FA1">
        <w:rPr>
          <w:sz w:val="22"/>
        </w:rPr>
        <w:t>to</w:t>
      </w:r>
      <w:r w:rsidR="00DF2482">
        <w:rPr>
          <w:sz w:val="22"/>
        </w:rPr>
        <w:t xml:space="preserve"> </w:t>
      </w:r>
      <w:r w:rsidR="0067090C">
        <w:rPr>
          <w:sz w:val="22"/>
        </w:rPr>
        <w:t>also</w:t>
      </w:r>
      <w:r w:rsidR="00EA3FA1">
        <w:rPr>
          <w:sz w:val="22"/>
        </w:rPr>
        <w:t xml:space="preserve"> </w:t>
      </w:r>
      <w:r w:rsidR="00DF2482">
        <w:rPr>
          <w:sz w:val="22"/>
        </w:rPr>
        <w:t>strengthen</w:t>
      </w:r>
      <w:r w:rsidR="00EA3FA1">
        <w:rPr>
          <w:sz w:val="22"/>
        </w:rPr>
        <w:t xml:space="preserve"> its</w:t>
      </w:r>
      <w:r w:rsidR="00DF2482">
        <w:rPr>
          <w:sz w:val="22"/>
        </w:rPr>
        <w:t xml:space="preserve"> outr</w:t>
      </w:r>
      <w:r w:rsidR="00675662">
        <w:rPr>
          <w:sz w:val="22"/>
        </w:rPr>
        <w:t>each and communication efforts.</w:t>
      </w:r>
    </w:p>
    <w:p w14:paraId="75A3D77E" w14:textId="47C3C402" w:rsidR="005E7C69" w:rsidRPr="00BA1856" w:rsidRDefault="00B41689" w:rsidP="00BA1856">
      <w:pPr>
        <w:tabs>
          <w:tab w:val="left" w:pos="426"/>
        </w:tabs>
        <w:jc w:val="both"/>
        <w:rPr>
          <w:sz w:val="22"/>
          <w:lang w:val="en-GB"/>
        </w:rPr>
      </w:pPr>
      <w:r w:rsidRPr="00022394">
        <w:rPr>
          <w:sz w:val="22"/>
          <w:lang w:val="en-GB"/>
        </w:rPr>
        <w:lastRenderedPageBreak/>
        <w:t>In addition,</w:t>
      </w:r>
      <w:r w:rsidR="003F1E85" w:rsidRPr="00022394">
        <w:rPr>
          <w:sz w:val="22"/>
          <w:lang w:val="en-GB"/>
        </w:rPr>
        <w:t xml:space="preserve"> management appreciates</w:t>
      </w:r>
      <w:r w:rsidRPr="00022394">
        <w:rPr>
          <w:sz w:val="22"/>
          <w:lang w:val="en-GB"/>
        </w:rPr>
        <w:t xml:space="preserve"> the Ethics Officer</w:t>
      </w:r>
      <w:r w:rsidR="003F1E85" w:rsidRPr="00022394">
        <w:rPr>
          <w:sz w:val="22"/>
          <w:lang w:val="en-GB"/>
        </w:rPr>
        <w:t xml:space="preserve">’s close collaboration </w:t>
      </w:r>
      <w:r w:rsidRPr="00022394">
        <w:rPr>
          <w:sz w:val="22"/>
          <w:lang w:val="en-GB"/>
        </w:rPr>
        <w:t>with other</w:t>
      </w:r>
      <w:r w:rsidR="00BA32E8" w:rsidRPr="00022394">
        <w:rPr>
          <w:sz w:val="22"/>
          <w:lang w:val="en-GB"/>
        </w:rPr>
        <w:t xml:space="preserve"> corporate</w:t>
      </w:r>
      <w:r w:rsidR="004E068C" w:rsidRPr="00022394">
        <w:rPr>
          <w:sz w:val="22"/>
        </w:rPr>
        <w:t xml:space="preserve"> </w:t>
      </w:r>
      <w:r w:rsidR="00131015" w:rsidRPr="00022394">
        <w:rPr>
          <w:sz w:val="22"/>
          <w:lang w:val="en-GB"/>
        </w:rPr>
        <w:t>functions, including</w:t>
      </w:r>
      <w:r w:rsidR="00BA32E8" w:rsidRPr="00022394">
        <w:rPr>
          <w:sz w:val="22"/>
          <w:lang w:val="en-GB"/>
        </w:rPr>
        <w:t xml:space="preserve"> </w:t>
      </w:r>
      <w:r w:rsidRPr="00022394">
        <w:rPr>
          <w:sz w:val="22"/>
          <w:lang w:val="en-GB"/>
        </w:rPr>
        <w:t>procurement, human resources, legal, internal audit and investigation</w:t>
      </w:r>
      <w:r w:rsidR="00C5068C">
        <w:rPr>
          <w:sz w:val="22"/>
          <w:lang w:val="en-GB"/>
        </w:rPr>
        <w:t>s</w:t>
      </w:r>
      <w:r w:rsidRPr="00022394">
        <w:rPr>
          <w:sz w:val="22"/>
          <w:lang w:val="en-GB"/>
        </w:rPr>
        <w:t xml:space="preserve"> providing advice and guidance on </w:t>
      </w:r>
      <w:r w:rsidR="00DF2482">
        <w:rPr>
          <w:sz w:val="22"/>
          <w:lang w:val="en-GB"/>
        </w:rPr>
        <w:t>instances of allegations of harassment, abuse of authority or discrimination</w:t>
      </w:r>
      <w:r w:rsidRPr="00022394">
        <w:rPr>
          <w:sz w:val="22"/>
          <w:lang w:val="en-GB"/>
        </w:rPr>
        <w:t xml:space="preserve">; and </w:t>
      </w:r>
      <w:r w:rsidR="00675662">
        <w:rPr>
          <w:sz w:val="22"/>
          <w:lang w:val="en-GB"/>
        </w:rPr>
        <w:t xml:space="preserve">the Officer’s </w:t>
      </w:r>
      <w:r w:rsidRPr="00022394">
        <w:rPr>
          <w:sz w:val="22"/>
          <w:lang w:val="en-GB"/>
        </w:rPr>
        <w:t>support</w:t>
      </w:r>
      <w:r w:rsidR="00675662">
        <w:rPr>
          <w:sz w:val="22"/>
          <w:lang w:val="en-GB"/>
        </w:rPr>
        <w:t xml:space="preserve"> to</w:t>
      </w:r>
      <w:r w:rsidRPr="00022394">
        <w:rPr>
          <w:sz w:val="22"/>
          <w:lang w:val="en-GB"/>
        </w:rPr>
        <w:t xml:space="preserve"> specific initiatives targeting anti-corruption and identification of risk in procurement.</w:t>
      </w:r>
      <w:bookmarkStart w:id="78" w:name="_Toc447626885"/>
    </w:p>
    <w:p w14:paraId="0CF73DC1" w14:textId="524AC4DA" w:rsidR="00B41689" w:rsidRPr="004E068C" w:rsidRDefault="00B41689" w:rsidP="00D120BA">
      <w:pPr>
        <w:pStyle w:val="Heading2"/>
      </w:pPr>
      <w:bookmarkStart w:id="79" w:name="_Toc512590068"/>
      <w:r w:rsidRPr="004E068C">
        <w:t>Providing confidential advice and guidance to staff on ethical issues</w:t>
      </w:r>
      <w:bookmarkEnd w:id="78"/>
      <w:bookmarkEnd w:id="79"/>
    </w:p>
    <w:p w14:paraId="3B09D056" w14:textId="68DCF027" w:rsidR="005E7C69" w:rsidRPr="00BA1856" w:rsidRDefault="00BA1856" w:rsidP="00BA1856">
      <w:pPr>
        <w:tabs>
          <w:tab w:val="left" w:pos="426"/>
        </w:tabs>
        <w:jc w:val="both"/>
        <w:rPr>
          <w:sz w:val="22"/>
          <w:lang w:val="en-GB"/>
        </w:rPr>
      </w:pPr>
      <w:r>
        <w:rPr>
          <w:sz w:val="22"/>
          <w:lang w:val="en-GB"/>
        </w:rPr>
        <w:t>M</w:t>
      </w:r>
      <w:r w:rsidR="00B41689" w:rsidRPr="00022394">
        <w:rPr>
          <w:sz w:val="22"/>
          <w:lang w:val="en-GB"/>
        </w:rPr>
        <w:t xml:space="preserve">anagement notes that during </w:t>
      </w:r>
      <w:r w:rsidR="00980F60" w:rsidRPr="00022394">
        <w:rPr>
          <w:sz w:val="22"/>
          <w:lang w:val="en-GB"/>
        </w:rPr>
        <w:t>201</w:t>
      </w:r>
      <w:r w:rsidR="00B9411A">
        <w:rPr>
          <w:sz w:val="22"/>
          <w:lang w:val="en-GB"/>
        </w:rPr>
        <w:t>7</w:t>
      </w:r>
      <w:r w:rsidR="00B41689" w:rsidRPr="00022394">
        <w:rPr>
          <w:sz w:val="22"/>
          <w:lang w:val="en-GB"/>
        </w:rPr>
        <w:t xml:space="preserve"> the O</w:t>
      </w:r>
      <w:r w:rsidR="006759B0" w:rsidRPr="00022394">
        <w:rPr>
          <w:sz w:val="22"/>
          <w:lang w:val="en-GB"/>
        </w:rPr>
        <w:t xml:space="preserve">ffice received </w:t>
      </w:r>
      <w:r w:rsidR="00B9411A">
        <w:rPr>
          <w:sz w:val="22"/>
          <w:lang w:val="en-GB"/>
        </w:rPr>
        <w:t>346</w:t>
      </w:r>
      <w:r w:rsidR="00980F60" w:rsidRPr="00022394">
        <w:rPr>
          <w:sz w:val="22"/>
          <w:lang w:val="en-GB"/>
        </w:rPr>
        <w:t xml:space="preserve"> reques</w:t>
      </w:r>
      <w:r w:rsidR="000C13E0" w:rsidRPr="00022394">
        <w:rPr>
          <w:sz w:val="22"/>
          <w:lang w:val="en-GB"/>
        </w:rPr>
        <w:t>ts for advice services compared</w:t>
      </w:r>
      <w:r w:rsidR="00A57D2D" w:rsidRPr="00022394">
        <w:rPr>
          <w:sz w:val="22"/>
          <w:lang w:val="en-GB"/>
        </w:rPr>
        <w:t xml:space="preserve"> </w:t>
      </w:r>
      <w:r w:rsidR="00980F60" w:rsidRPr="00022394">
        <w:rPr>
          <w:sz w:val="22"/>
          <w:lang w:val="en-GB"/>
        </w:rPr>
        <w:t xml:space="preserve">to </w:t>
      </w:r>
      <w:r w:rsidR="00B9411A">
        <w:rPr>
          <w:sz w:val="22"/>
          <w:lang w:val="en-GB"/>
        </w:rPr>
        <w:t>337</w:t>
      </w:r>
      <w:r w:rsidR="00B41689" w:rsidRPr="00022394">
        <w:rPr>
          <w:sz w:val="22"/>
          <w:lang w:val="en-GB"/>
        </w:rPr>
        <w:t xml:space="preserve"> </w:t>
      </w:r>
      <w:r w:rsidR="00980F60" w:rsidRPr="00022394">
        <w:rPr>
          <w:sz w:val="22"/>
          <w:lang w:val="en-GB"/>
        </w:rPr>
        <w:t>in 201</w:t>
      </w:r>
      <w:r w:rsidR="00B9411A">
        <w:rPr>
          <w:sz w:val="22"/>
          <w:lang w:val="en-GB"/>
        </w:rPr>
        <w:t>6</w:t>
      </w:r>
      <w:r w:rsidR="00B41689" w:rsidRPr="00022394">
        <w:rPr>
          <w:sz w:val="22"/>
          <w:lang w:val="en-GB"/>
        </w:rPr>
        <w:t>. It is furt</w:t>
      </w:r>
      <w:r w:rsidR="000C13E0" w:rsidRPr="00022394">
        <w:rPr>
          <w:sz w:val="22"/>
          <w:lang w:val="en-GB"/>
        </w:rPr>
        <w:t>her noted that in 201</w:t>
      </w:r>
      <w:r w:rsidR="00B9411A">
        <w:rPr>
          <w:sz w:val="22"/>
          <w:lang w:val="en-GB"/>
        </w:rPr>
        <w:t>7</w:t>
      </w:r>
      <w:r w:rsidR="000C13E0" w:rsidRPr="00022394">
        <w:rPr>
          <w:sz w:val="22"/>
          <w:lang w:val="en-GB"/>
        </w:rPr>
        <w:t xml:space="preserve">, </w:t>
      </w:r>
      <w:r w:rsidR="00B9411A">
        <w:rPr>
          <w:sz w:val="22"/>
          <w:lang w:val="en-GB"/>
        </w:rPr>
        <w:t>36</w:t>
      </w:r>
      <w:r w:rsidR="000C13E0" w:rsidRPr="00022394">
        <w:rPr>
          <w:sz w:val="22"/>
          <w:lang w:val="en-GB"/>
        </w:rPr>
        <w:t xml:space="preserve"> percent of all requests for services pertained to ethics advice, demonstrating the significance of the advisory function of the Ethics Office</w:t>
      </w:r>
      <w:r w:rsidR="00163E1C">
        <w:rPr>
          <w:sz w:val="22"/>
          <w:lang w:val="en-GB"/>
        </w:rPr>
        <w:t>. This rate also seems to</w:t>
      </w:r>
      <w:r w:rsidR="00B41689" w:rsidRPr="00022394">
        <w:rPr>
          <w:sz w:val="22"/>
          <w:lang w:val="en-GB"/>
        </w:rPr>
        <w:t xml:space="preserve"> indicate general awareness and confidence among personnel to engage with the ethics function for advice. </w:t>
      </w:r>
      <w:r w:rsidR="000C13E0" w:rsidRPr="00022394">
        <w:rPr>
          <w:sz w:val="22"/>
          <w:lang w:val="en-GB"/>
        </w:rPr>
        <w:t xml:space="preserve">Management further notes with appreciation that there has been a notable increase in reported employment-related concerns since the </w:t>
      </w:r>
      <w:r w:rsidR="00C5068C">
        <w:rPr>
          <w:sz w:val="22"/>
          <w:lang w:val="en-GB"/>
        </w:rPr>
        <w:t xml:space="preserve">UNOPS internal </w:t>
      </w:r>
      <w:bookmarkStart w:id="80" w:name="_Toc447626886"/>
      <w:r>
        <w:rPr>
          <w:sz w:val="22"/>
          <w:lang w:val="en-GB"/>
        </w:rPr>
        <w:t>speak-up campaign.</w:t>
      </w:r>
    </w:p>
    <w:p w14:paraId="12EA83E1" w14:textId="77777777" w:rsidR="00B41689" w:rsidRPr="004E068C" w:rsidRDefault="00B41689" w:rsidP="00D120BA">
      <w:pPr>
        <w:pStyle w:val="Heading2"/>
        <w:rPr>
          <w:lang w:val="en-GB"/>
        </w:rPr>
      </w:pPr>
      <w:bookmarkStart w:id="81" w:name="_Toc512590069"/>
      <w:r w:rsidRPr="004E068C">
        <w:rPr>
          <w:lang w:val="en-GB"/>
        </w:rPr>
        <w:t>Supporting ethics standard-setting and policy coherence within the UN system</w:t>
      </w:r>
      <w:bookmarkEnd w:id="80"/>
      <w:bookmarkEnd w:id="81"/>
    </w:p>
    <w:p w14:paraId="1B7D4932" w14:textId="54599AED" w:rsidR="00B41689" w:rsidRPr="00022394" w:rsidRDefault="00B41689" w:rsidP="00022394">
      <w:pPr>
        <w:tabs>
          <w:tab w:val="left" w:pos="426"/>
        </w:tabs>
        <w:jc w:val="both"/>
        <w:rPr>
          <w:sz w:val="22"/>
        </w:rPr>
      </w:pPr>
      <w:r w:rsidRPr="00022394">
        <w:rPr>
          <w:sz w:val="22"/>
          <w:lang w:val="en-GB"/>
        </w:rPr>
        <w:t xml:space="preserve">Also </w:t>
      </w:r>
      <w:r w:rsidR="004A19F8" w:rsidRPr="00022394">
        <w:rPr>
          <w:sz w:val="22"/>
          <w:lang w:val="en-GB"/>
        </w:rPr>
        <w:t>in 201</w:t>
      </w:r>
      <w:r w:rsidR="00957BFE">
        <w:rPr>
          <w:sz w:val="22"/>
          <w:lang w:val="en-GB"/>
        </w:rPr>
        <w:t>7</w:t>
      </w:r>
      <w:r w:rsidRPr="00022394">
        <w:rPr>
          <w:sz w:val="22"/>
          <w:lang w:val="en-GB"/>
        </w:rPr>
        <w:t>, the Office has exercised its mandate in close coordina</w:t>
      </w:r>
      <w:r w:rsidR="00131015" w:rsidRPr="00022394">
        <w:rPr>
          <w:sz w:val="22"/>
          <w:lang w:val="en-GB"/>
        </w:rPr>
        <w:t>tion and collaboration with the</w:t>
      </w:r>
      <w:r w:rsidR="00A7521D" w:rsidRPr="00022394">
        <w:rPr>
          <w:sz w:val="22"/>
        </w:rPr>
        <w:t xml:space="preserve"> </w:t>
      </w:r>
      <w:r w:rsidRPr="00022394">
        <w:rPr>
          <w:sz w:val="22"/>
          <w:lang w:val="en-GB"/>
        </w:rPr>
        <w:t>Ethics Panel of the United Nations and played an active role in the Ethics Network for Mul</w:t>
      </w:r>
      <w:r w:rsidR="00957BFE">
        <w:rPr>
          <w:sz w:val="22"/>
          <w:lang w:val="en-GB"/>
        </w:rPr>
        <w:t>tilateral Organizations.</w:t>
      </w:r>
    </w:p>
    <w:p w14:paraId="7C29E191" w14:textId="0BCCEEDB" w:rsidR="00DC5D29" w:rsidRPr="004E068C" w:rsidRDefault="00B41689" w:rsidP="00022394">
      <w:pPr>
        <w:tabs>
          <w:tab w:val="left" w:pos="426"/>
        </w:tabs>
        <w:jc w:val="both"/>
      </w:pPr>
      <w:r w:rsidRPr="00022394">
        <w:rPr>
          <w:sz w:val="22"/>
        </w:rPr>
        <w:t>Finally, management notes the services provided by</w:t>
      </w:r>
      <w:r w:rsidR="004E068C" w:rsidRPr="00022394">
        <w:rPr>
          <w:sz w:val="22"/>
        </w:rPr>
        <w:t xml:space="preserve"> the Ethics Office </w:t>
      </w:r>
      <w:r w:rsidR="0067090C">
        <w:rPr>
          <w:sz w:val="22"/>
        </w:rPr>
        <w:t>as an outside reviewer for request for review by personnel in whistleblower cases for</w:t>
      </w:r>
      <w:r w:rsidR="004A19F8" w:rsidRPr="00022394">
        <w:rPr>
          <w:sz w:val="22"/>
        </w:rPr>
        <w:t xml:space="preserve"> </w:t>
      </w:r>
      <w:r w:rsidR="0067090C">
        <w:rPr>
          <w:sz w:val="22"/>
        </w:rPr>
        <w:t>the World Intellectu</w:t>
      </w:r>
      <w:r w:rsidR="00957BFE">
        <w:rPr>
          <w:sz w:val="22"/>
        </w:rPr>
        <w:t>al property Organization (WIPO).</w:t>
      </w:r>
      <w:r w:rsidR="00DC5D29">
        <w:br w:type="page"/>
      </w:r>
    </w:p>
    <w:p w14:paraId="6DBF6837" w14:textId="77777777" w:rsidR="00717C61" w:rsidRPr="00613FD1" w:rsidRDefault="00B41689" w:rsidP="00BA7900">
      <w:pPr>
        <w:pStyle w:val="Heading1"/>
      </w:pPr>
      <w:bookmarkStart w:id="82" w:name="_Toc447626887"/>
      <w:bookmarkStart w:id="83" w:name="_Toc512590070"/>
      <w:r w:rsidRPr="00720541">
        <w:lastRenderedPageBreak/>
        <w:t>Annexes</w:t>
      </w:r>
      <w:bookmarkEnd w:id="82"/>
      <w:bookmarkEnd w:id="83"/>
    </w:p>
    <w:p w14:paraId="630DFF96" w14:textId="77777777" w:rsidR="00717C61" w:rsidRDefault="00717C61" w:rsidP="00D120BA">
      <w:pPr>
        <w:pStyle w:val="Heading2"/>
      </w:pPr>
      <w:bookmarkStart w:id="84" w:name="_Toc347491746"/>
      <w:bookmarkStart w:id="85" w:name="_Toc445816831"/>
      <w:bookmarkStart w:id="86" w:name="_Toc445817113"/>
      <w:bookmarkStart w:id="87" w:name="_Toc447626888"/>
      <w:bookmarkStart w:id="88" w:name="_Toc512590071"/>
      <w:bookmarkStart w:id="89" w:name="_Toc347491747"/>
      <w:r>
        <w:t xml:space="preserve">Annex I – Extract from UNOPS </w:t>
      </w:r>
      <w:r w:rsidRPr="005A0FEB">
        <w:t>Financial Regulations and Rule</w:t>
      </w:r>
      <w:r>
        <w:t>s, effective 1 Jan. 2012</w:t>
      </w:r>
      <w:bookmarkEnd w:id="84"/>
      <w:bookmarkEnd w:id="85"/>
      <w:bookmarkEnd w:id="86"/>
      <w:bookmarkEnd w:id="87"/>
      <w:bookmarkEnd w:id="88"/>
    </w:p>
    <w:p w14:paraId="16479445" w14:textId="77777777" w:rsidR="00717C61" w:rsidRPr="005A0FEB" w:rsidRDefault="00717C61" w:rsidP="00BA1856">
      <w:pPr>
        <w:numPr>
          <w:ilvl w:val="0"/>
          <w:numId w:val="0"/>
        </w:numPr>
        <w:ind w:left="720" w:right="283" w:hanging="360"/>
        <w:jc w:val="both"/>
        <w:rPr>
          <w:b/>
          <w:i/>
          <w:sz w:val="22"/>
          <w:szCs w:val="22"/>
          <w:lang w:val="en-GB"/>
        </w:rPr>
      </w:pPr>
      <w:r w:rsidRPr="005A0FEB">
        <w:rPr>
          <w:b/>
          <w:i/>
          <w:sz w:val="22"/>
          <w:szCs w:val="22"/>
          <w:lang w:val="en-GB"/>
        </w:rPr>
        <w:t>Regulation 6.01</w:t>
      </w:r>
    </w:p>
    <w:p w14:paraId="530FEA91" w14:textId="2A8EEFF5" w:rsidR="00717C61" w:rsidRPr="005A0FEB" w:rsidRDefault="00717C61" w:rsidP="00BA1856">
      <w:pPr>
        <w:numPr>
          <w:ilvl w:val="0"/>
          <w:numId w:val="0"/>
        </w:numPr>
        <w:ind w:left="360" w:right="283"/>
        <w:jc w:val="both"/>
        <w:rPr>
          <w:i/>
          <w:sz w:val="22"/>
          <w:szCs w:val="22"/>
          <w:lang w:val="en-GB"/>
        </w:rPr>
      </w:pPr>
      <w:r w:rsidRPr="005A0FEB">
        <w:rPr>
          <w:i/>
          <w:sz w:val="22"/>
          <w:szCs w:val="22"/>
          <w:lang w:val="en-GB"/>
        </w:rPr>
        <w:t>The Internal Audit and Investigations Group shall be responsible f</w:t>
      </w:r>
      <w:r w:rsidR="00BA1856">
        <w:rPr>
          <w:i/>
          <w:sz w:val="22"/>
          <w:szCs w:val="22"/>
          <w:lang w:val="en-GB"/>
        </w:rPr>
        <w:t xml:space="preserve">or the internal audit of UNOPS. </w:t>
      </w:r>
      <w:r w:rsidRPr="005A0FEB">
        <w:rPr>
          <w:i/>
          <w:sz w:val="22"/>
          <w:szCs w:val="22"/>
          <w:lang w:val="en-GB"/>
        </w:rPr>
        <w:t>It shall conduct independent, objective assurance and advisory activities in conformity with the International Standards for the Professional Practice of Internal Auditing. It shall evaluate and contribute to the improvement of governance, risk management and control processes, and report thereon. It shall exercise operational independence in the performance of its duties.</w:t>
      </w:r>
    </w:p>
    <w:p w14:paraId="244E0A1F" w14:textId="77777777" w:rsidR="00717C61" w:rsidRPr="005A0FEB" w:rsidRDefault="00717C61" w:rsidP="00BA1856">
      <w:pPr>
        <w:numPr>
          <w:ilvl w:val="0"/>
          <w:numId w:val="0"/>
        </w:numPr>
        <w:ind w:left="360" w:right="283"/>
        <w:jc w:val="both"/>
        <w:rPr>
          <w:b/>
          <w:i/>
          <w:sz w:val="22"/>
          <w:szCs w:val="22"/>
          <w:lang w:val="en-GB"/>
        </w:rPr>
      </w:pPr>
      <w:r w:rsidRPr="005A0FEB">
        <w:rPr>
          <w:b/>
          <w:i/>
          <w:sz w:val="22"/>
          <w:szCs w:val="22"/>
          <w:lang w:val="en-GB"/>
        </w:rPr>
        <w:t>Regulation 6.02</w:t>
      </w:r>
    </w:p>
    <w:p w14:paraId="60E70826" w14:textId="77777777" w:rsidR="00717C61" w:rsidRPr="005A0FEB" w:rsidRDefault="00717C61" w:rsidP="00BA1856">
      <w:pPr>
        <w:numPr>
          <w:ilvl w:val="0"/>
          <w:numId w:val="0"/>
        </w:numPr>
        <w:ind w:left="360" w:right="283"/>
        <w:jc w:val="both"/>
        <w:rPr>
          <w:i/>
          <w:sz w:val="22"/>
          <w:szCs w:val="22"/>
          <w:lang w:val="en-GB"/>
        </w:rPr>
      </w:pPr>
      <w:r w:rsidRPr="005A0FEB">
        <w:rPr>
          <w:i/>
          <w:sz w:val="22"/>
          <w:szCs w:val="22"/>
          <w:lang w:val="en-GB"/>
        </w:rPr>
        <w:t>The Internal Audit and Investigations Group shall be responsible for assessing and</w:t>
      </w:r>
      <w:r>
        <w:rPr>
          <w:i/>
          <w:sz w:val="22"/>
          <w:szCs w:val="22"/>
          <w:lang w:val="en-GB"/>
        </w:rPr>
        <w:t xml:space="preserve"> </w:t>
      </w:r>
      <w:r w:rsidRPr="005A0FEB">
        <w:rPr>
          <w:i/>
          <w:sz w:val="22"/>
          <w:szCs w:val="22"/>
          <w:lang w:val="en-GB"/>
        </w:rPr>
        <w:t>investigating allegations of fraud and corruption committed by UNOPS personnel or</w:t>
      </w:r>
      <w:r>
        <w:rPr>
          <w:i/>
          <w:sz w:val="22"/>
          <w:szCs w:val="22"/>
          <w:lang w:val="en-GB"/>
        </w:rPr>
        <w:t xml:space="preserve"> </w:t>
      </w:r>
      <w:r w:rsidRPr="005A0FEB">
        <w:rPr>
          <w:i/>
          <w:sz w:val="22"/>
          <w:szCs w:val="22"/>
          <w:lang w:val="en-GB"/>
        </w:rPr>
        <w:t>committed by others to the detriment of UNOPS.</w:t>
      </w:r>
    </w:p>
    <w:p w14:paraId="518BFEB2" w14:textId="77777777" w:rsidR="00717C61" w:rsidRPr="005A0FEB" w:rsidRDefault="00717C61" w:rsidP="00BA1856">
      <w:pPr>
        <w:numPr>
          <w:ilvl w:val="0"/>
          <w:numId w:val="0"/>
        </w:numPr>
        <w:ind w:left="360" w:right="283"/>
        <w:jc w:val="both"/>
        <w:rPr>
          <w:b/>
          <w:i/>
          <w:sz w:val="22"/>
          <w:szCs w:val="22"/>
          <w:lang w:val="en-GB"/>
        </w:rPr>
      </w:pPr>
      <w:r w:rsidRPr="005A0FEB">
        <w:rPr>
          <w:b/>
          <w:i/>
          <w:sz w:val="22"/>
          <w:szCs w:val="22"/>
          <w:lang w:val="en-GB"/>
        </w:rPr>
        <w:t>Regulation 6.03</w:t>
      </w:r>
    </w:p>
    <w:p w14:paraId="02B6DD97" w14:textId="77777777" w:rsidR="00717C61" w:rsidRPr="005A0FEB" w:rsidRDefault="00717C61" w:rsidP="00BA1856">
      <w:pPr>
        <w:numPr>
          <w:ilvl w:val="0"/>
          <w:numId w:val="0"/>
        </w:numPr>
        <w:ind w:left="360" w:right="283"/>
        <w:jc w:val="both"/>
        <w:rPr>
          <w:i/>
          <w:sz w:val="22"/>
          <w:szCs w:val="22"/>
          <w:lang w:val="en-GB"/>
        </w:rPr>
      </w:pPr>
      <w:r w:rsidRPr="005A0FEB">
        <w:rPr>
          <w:i/>
          <w:sz w:val="22"/>
          <w:szCs w:val="22"/>
          <w:lang w:val="en-GB"/>
        </w:rPr>
        <w:t>The internal audit function</w:t>
      </w:r>
      <w:r>
        <w:rPr>
          <w:i/>
          <w:sz w:val="22"/>
          <w:szCs w:val="22"/>
          <w:lang w:val="en-GB"/>
        </w:rPr>
        <w:t>’</w:t>
      </w:r>
      <w:r w:rsidRPr="005A0FEB">
        <w:rPr>
          <w:i/>
          <w:sz w:val="22"/>
          <w:szCs w:val="22"/>
          <w:lang w:val="en-GB"/>
        </w:rPr>
        <w:t>s purpose, authority and responsibility shall be further defined in the Charter of the Internal Audit and Investigations Group.</w:t>
      </w:r>
    </w:p>
    <w:p w14:paraId="3C4BAA3C" w14:textId="77777777" w:rsidR="00717C61" w:rsidRPr="005A0FEB" w:rsidRDefault="00717C61" w:rsidP="00BA1856">
      <w:pPr>
        <w:numPr>
          <w:ilvl w:val="0"/>
          <w:numId w:val="0"/>
        </w:numPr>
        <w:ind w:left="360" w:right="283"/>
        <w:jc w:val="both"/>
        <w:rPr>
          <w:b/>
          <w:i/>
          <w:sz w:val="22"/>
          <w:szCs w:val="22"/>
          <w:lang w:val="en-GB"/>
        </w:rPr>
      </w:pPr>
      <w:r w:rsidRPr="005A0FEB">
        <w:rPr>
          <w:b/>
          <w:i/>
          <w:sz w:val="22"/>
          <w:szCs w:val="22"/>
          <w:lang w:val="en-GB"/>
        </w:rPr>
        <w:t>Rule 106.01</w:t>
      </w:r>
    </w:p>
    <w:p w14:paraId="3DCE875B" w14:textId="77777777" w:rsidR="00717C61" w:rsidRPr="005A0FEB" w:rsidRDefault="00717C61" w:rsidP="00BA1856">
      <w:pPr>
        <w:numPr>
          <w:ilvl w:val="0"/>
          <w:numId w:val="0"/>
        </w:numPr>
        <w:ind w:left="360" w:right="283"/>
        <w:jc w:val="both"/>
        <w:rPr>
          <w:i/>
          <w:sz w:val="22"/>
          <w:szCs w:val="22"/>
          <w:lang w:val="en-GB"/>
        </w:rPr>
      </w:pPr>
      <w:r w:rsidRPr="005A0FEB">
        <w:rPr>
          <w:i/>
          <w:sz w:val="22"/>
          <w:szCs w:val="22"/>
          <w:lang w:val="en-GB"/>
        </w:rPr>
        <w:t>The Internal Audit function shall evaluate the adequacy and effectiveness of governance, risk management and control processes regarding the:</w:t>
      </w:r>
    </w:p>
    <w:p w14:paraId="372B7371" w14:textId="77777777" w:rsidR="00717C61" w:rsidRPr="005A0FEB" w:rsidRDefault="00717C61" w:rsidP="00BA1856">
      <w:pPr>
        <w:numPr>
          <w:ilvl w:val="0"/>
          <w:numId w:val="0"/>
        </w:numPr>
        <w:ind w:left="360" w:right="283"/>
        <w:jc w:val="both"/>
        <w:rPr>
          <w:i/>
          <w:sz w:val="22"/>
          <w:szCs w:val="22"/>
          <w:lang w:val="en-GB"/>
        </w:rPr>
      </w:pPr>
      <w:r w:rsidRPr="005A0FEB">
        <w:rPr>
          <w:i/>
          <w:sz w:val="22"/>
          <w:szCs w:val="22"/>
          <w:lang w:val="en-GB"/>
        </w:rPr>
        <w:t>(a) reliability and integrity of financial and other information;</w:t>
      </w:r>
    </w:p>
    <w:p w14:paraId="18F89789" w14:textId="77777777" w:rsidR="00717C61" w:rsidRPr="005A0FEB" w:rsidRDefault="00717C61" w:rsidP="00BA1856">
      <w:pPr>
        <w:numPr>
          <w:ilvl w:val="0"/>
          <w:numId w:val="0"/>
        </w:numPr>
        <w:ind w:left="360" w:right="283"/>
        <w:jc w:val="both"/>
        <w:rPr>
          <w:i/>
          <w:sz w:val="22"/>
          <w:szCs w:val="22"/>
          <w:lang w:val="en-GB"/>
        </w:rPr>
      </w:pPr>
      <w:r w:rsidRPr="005A0FEB">
        <w:rPr>
          <w:i/>
          <w:sz w:val="22"/>
          <w:szCs w:val="22"/>
          <w:lang w:val="en-GB"/>
        </w:rPr>
        <w:t>(b) effectiveness and efficiency of operations;</w:t>
      </w:r>
    </w:p>
    <w:p w14:paraId="13DA2250" w14:textId="77777777" w:rsidR="00717C61" w:rsidRPr="005A0FEB" w:rsidRDefault="00717C61" w:rsidP="00BA1856">
      <w:pPr>
        <w:numPr>
          <w:ilvl w:val="0"/>
          <w:numId w:val="0"/>
        </w:numPr>
        <w:ind w:left="360" w:right="283"/>
        <w:jc w:val="both"/>
        <w:rPr>
          <w:i/>
          <w:sz w:val="22"/>
          <w:szCs w:val="22"/>
          <w:lang w:val="en-GB"/>
        </w:rPr>
      </w:pPr>
      <w:r>
        <w:rPr>
          <w:i/>
          <w:sz w:val="22"/>
          <w:szCs w:val="22"/>
          <w:lang w:val="en-GB"/>
        </w:rPr>
        <w:t>(</w:t>
      </w:r>
      <w:r w:rsidRPr="005A0FEB">
        <w:rPr>
          <w:i/>
          <w:sz w:val="22"/>
          <w:szCs w:val="22"/>
          <w:lang w:val="en-GB"/>
        </w:rPr>
        <w:t>c) safeguarding of assets; and</w:t>
      </w:r>
    </w:p>
    <w:p w14:paraId="32630BBD" w14:textId="77777777" w:rsidR="00717C61" w:rsidRPr="005A0FEB" w:rsidRDefault="00717C61" w:rsidP="00BA1856">
      <w:pPr>
        <w:numPr>
          <w:ilvl w:val="0"/>
          <w:numId w:val="0"/>
        </w:numPr>
        <w:ind w:left="360" w:right="283"/>
        <w:rPr>
          <w:i/>
          <w:sz w:val="22"/>
          <w:szCs w:val="22"/>
          <w:lang w:val="en-GB"/>
        </w:rPr>
      </w:pPr>
      <w:r w:rsidRPr="005A0FEB">
        <w:rPr>
          <w:i/>
          <w:sz w:val="22"/>
          <w:szCs w:val="22"/>
          <w:lang w:val="en-GB"/>
        </w:rPr>
        <w:t>(d) compliance with legislative mandates, regulations, rules, policies and procedures.</w:t>
      </w:r>
    </w:p>
    <w:p w14:paraId="77BC5379" w14:textId="77777777" w:rsidR="00717C61" w:rsidRPr="005A0FEB" w:rsidRDefault="00717C61" w:rsidP="00BA1856">
      <w:pPr>
        <w:numPr>
          <w:ilvl w:val="0"/>
          <w:numId w:val="0"/>
        </w:numPr>
        <w:ind w:left="360" w:right="283"/>
        <w:jc w:val="both"/>
        <w:rPr>
          <w:b/>
          <w:i/>
          <w:sz w:val="22"/>
          <w:szCs w:val="22"/>
          <w:lang w:val="en-GB"/>
        </w:rPr>
      </w:pPr>
      <w:r w:rsidRPr="005A0FEB">
        <w:rPr>
          <w:b/>
          <w:i/>
          <w:sz w:val="22"/>
          <w:szCs w:val="22"/>
          <w:lang w:val="en-GB"/>
        </w:rPr>
        <w:t>Rule 106.02</w:t>
      </w:r>
    </w:p>
    <w:p w14:paraId="0EDB438B" w14:textId="77777777" w:rsidR="00717C61" w:rsidRPr="005A0FEB" w:rsidRDefault="00717C61" w:rsidP="00BA1856">
      <w:pPr>
        <w:numPr>
          <w:ilvl w:val="0"/>
          <w:numId w:val="0"/>
        </w:numPr>
        <w:ind w:left="360" w:right="283"/>
        <w:jc w:val="both"/>
        <w:rPr>
          <w:i/>
          <w:sz w:val="22"/>
          <w:szCs w:val="22"/>
          <w:lang w:val="en-GB"/>
        </w:rPr>
      </w:pPr>
      <w:r w:rsidRPr="005A0FEB">
        <w:rPr>
          <w:i/>
          <w:sz w:val="22"/>
          <w:szCs w:val="22"/>
          <w:lang w:val="en-GB"/>
        </w:rPr>
        <w:t>The Internal Audit and Investigations Group shall have free access to the organization’s records, personnel and premises, as necessary, in its opinion, for the performance of its duties.</w:t>
      </w:r>
    </w:p>
    <w:p w14:paraId="78FA3D43" w14:textId="77777777" w:rsidR="00717C61" w:rsidRPr="005A0FEB" w:rsidRDefault="00717C61" w:rsidP="00BA1856">
      <w:pPr>
        <w:numPr>
          <w:ilvl w:val="0"/>
          <w:numId w:val="0"/>
        </w:numPr>
        <w:ind w:left="360" w:right="283"/>
        <w:jc w:val="both"/>
        <w:rPr>
          <w:b/>
          <w:i/>
          <w:sz w:val="22"/>
          <w:szCs w:val="22"/>
          <w:lang w:val="en-GB"/>
        </w:rPr>
      </w:pPr>
      <w:r w:rsidRPr="005A0FEB">
        <w:rPr>
          <w:b/>
          <w:i/>
          <w:sz w:val="22"/>
          <w:szCs w:val="22"/>
          <w:lang w:val="en-GB"/>
        </w:rPr>
        <w:t>Rule 106.03</w:t>
      </w:r>
    </w:p>
    <w:p w14:paraId="330D3232" w14:textId="77777777" w:rsidR="00717C61" w:rsidRPr="005A0FEB" w:rsidRDefault="00717C61" w:rsidP="00BA1856">
      <w:pPr>
        <w:numPr>
          <w:ilvl w:val="0"/>
          <w:numId w:val="0"/>
        </w:numPr>
        <w:ind w:left="360" w:right="283"/>
        <w:jc w:val="both"/>
        <w:rPr>
          <w:i/>
          <w:sz w:val="22"/>
          <w:szCs w:val="22"/>
          <w:lang w:val="en-GB"/>
        </w:rPr>
      </w:pPr>
      <w:r w:rsidRPr="005A0FEB">
        <w:rPr>
          <w:i/>
          <w:sz w:val="22"/>
          <w:szCs w:val="22"/>
          <w:lang w:val="en-GB"/>
        </w:rPr>
        <w:t>The Internal Audit and Investigations Group shall submit its results to the Executive Director and other senior managers as appropriate. At least annually, the Director of the Internal Audit and Investigations Group shall submit a report to the Executive Board on the internal audit and investigation activities and on significant findings, providing insight into the efficient and effective utilization of resources.</w:t>
      </w:r>
    </w:p>
    <w:p w14:paraId="48FC7709" w14:textId="586F618A" w:rsidR="006516F1" w:rsidRDefault="006516F1" w:rsidP="00BA1856">
      <w:pPr>
        <w:numPr>
          <w:ilvl w:val="0"/>
          <w:numId w:val="0"/>
        </w:numPr>
        <w:spacing w:after="200" w:line="276" w:lineRule="auto"/>
        <w:ind w:left="360"/>
      </w:pPr>
      <w:bookmarkStart w:id="90" w:name="_Toc445816832"/>
      <w:bookmarkStart w:id="91" w:name="_Toc445817114"/>
      <w:bookmarkStart w:id="92" w:name="_Toc447626889"/>
    </w:p>
    <w:p w14:paraId="4219469D" w14:textId="5EDB5065" w:rsidR="00066649" w:rsidRDefault="00066649" w:rsidP="00BA1856">
      <w:pPr>
        <w:numPr>
          <w:ilvl w:val="0"/>
          <w:numId w:val="0"/>
        </w:numPr>
        <w:ind w:left="360" w:right="735"/>
        <w:rPr>
          <w:b/>
        </w:rPr>
      </w:pPr>
    </w:p>
    <w:p w14:paraId="78A58978" w14:textId="321161ED" w:rsidR="00221CA0" w:rsidRDefault="001B1C10" w:rsidP="00D120BA">
      <w:pPr>
        <w:pStyle w:val="Heading2"/>
      </w:pPr>
      <w:bookmarkStart w:id="93" w:name="_Toc512590072"/>
      <w:r w:rsidRPr="00066649">
        <w:lastRenderedPageBreak/>
        <w:t xml:space="preserve">Annex II – UNOPS policies effective </w:t>
      </w:r>
      <w:bookmarkEnd w:id="89"/>
      <w:bookmarkEnd w:id="90"/>
      <w:bookmarkEnd w:id="91"/>
      <w:bookmarkEnd w:id="92"/>
      <w:r w:rsidR="008C6F07">
        <w:t>as of 31 March 2018</w:t>
      </w:r>
      <w:bookmarkEnd w:id="93"/>
    </w:p>
    <w:p w14:paraId="5FE6982A" w14:textId="77777777" w:rsidR="00562660" w:rsidRPr="00562660" w:rsidRDefault="00562660" w:rsidP="00562660">
      <w:pPr>
        <w:numPr>
          <w:ilvl w:val="0"/>
          <w:numId w:val="0"/>
        </w:numPr>
      </w:pPr>
    </w:p>
    <w:tbl>
      <w:tblPr>
        <w:tblStyle w:val="PlainTable31"/>
        <w:tblW w:w="9351" w:type="dxa"/>
        <w:tblLook w:val="04A0" w:firstRow="1" w:lastRow="0" w:firstColumn="1" w:lastColumn="0" w:noHBand="0" w:noVBand="1"/>
      </w:tblPr>
      <w:tblGrid>
        <w:gridCol w:w="1331"/>
        <w:gridCol w:w="8020"/>
      </w:tblGrid>
      <w:tr w:rsidR="008C6F07" w:rsidRPr="008C6F07" w14:paraId="50109F63" w14:textId="77777777" w:rsidTr="004E49FE">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331" w:type="dxa"/>
            <w:noWrap/>
            <w:hideMark/>
          </w:tcPr>
          <w:p w14:paraId="1CFB8E03" w14:textId="77777777" w:rsidR="008C6F07" w:rsidRPr="008C6F07" w:rsidRDefault="008C6F07" w:rsidP="008C6F07">
            <w:pPr>
              <w:numPr>
                <w:ilvl w:val="0"/>
                <w:numId w:val="0"/>
              </w:numPr>
              <w:spacing w:before="0" w:after="0"/>
              <w:jc w:val="center"/>
              <w:rPr>
                <w:rFonts w:ascii="Calibri" w:hAnsi="Calibri" w:cs="Calibri"/>
                <w:color w:val="000000" w:themeColor="text1"/>
                <w:sz w:val="22"/>
                <w:szCs w:val="22"/>
              </w:rPr>
            </w:pPr>
            <w:r w:rsidRPr="008C6F07">
              <w:rPr>
                <w:rFonts w:ascii="Calibri" w:hAnsi="Calibri" w:cs="Calibri"/>
                <w:color w:val="000000" w:themeColor="text1"/>
                <w:sz w:val="22"/>
                <w:szCs w:val="22"/>
              </w:rPr>
              <w:t>Policy</w:t>
            </w:r>
          </w:p>
        </w:tc>
        <w:tc>
          <w:tcPr>
            <w:tcW w:w="8020" w:type="dxa"/>
            <w:noWrap/>
            <w:hideMark/>
          </w:tcPr>
          <w:p w14:paraId="7983CB06" w14:textId="77777777" w:rsidR="008C6F07" w:rsidRPr="008C6F07" w:rsidRDefault="008C6F07" w:rsidP="008C6F07">
            <w:pPr>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8C6F07">
              <w:rPr>
                <w:rFonts w:ascii="Calibri" w:hAnsi="Calibri" w:cs="Calibri"/>
                <w:color w:val="000000" w:themeColor="text1"/>
                <w:sz w:val="22"/>
                <w:szCs w:val="22"/>
              </w:rPr>
              <w:t>Title</w:t>
            </w:r>
          </w:p>
        </w:tc>
      </w:tr>
      <w:tr w:rsidR="008C6F07" w:rsidRPr="008C6F07" w14:paraId="35E8602F" w14:textId="77777777" w:rsidTr="004E49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1" w:type="dxa"/>
            <w:noWrap/>
            <w:hideMark/>
          </w:tcPr>
          <w:p w14:paraId="28BF7CB2" w14:textId="77777777" w:rsidR="008C6F07" w:rsidRPr="008C6F07" w:rsidRDefault="008C6F07" w:rsidP="004E49FE">
            <w:pPr>
              <w:numPr>
                <w:ilvl w:val="0"/>
                <w:numId w:val="0"/>
              </w:numPr>
              <w:spacing w:before="0" w:after="0"/>
              <w:jc w:val="center"/>
              <w:rPr>
                <w:rFonts w:ascii="Calibri" w:hAnsi="Calibri" w:cs="Calibri"/>
                <w:color w:val="000000" w:themeColor="text1"/>
                <w:sz w:val="22"/>
                <w:szCs w:val="22"/>
              </w:rPr>
            </w:pPr>
            <w:r w:rsidRPr="008C6F07">
              <w:rPr>
                <w:rFonts w:ascii="Calibri" w:hAnsi="Calibri" w:cs="Calibri"/>
                <w:color w:val="000000" w:themeColor="text1"/>
                <w:sz w:val="22"/>
                <w:szCs w:val="22"/>
              </w:rPr>
              <w:t>EDP</w:t>
            </w:r>
          </w:p>
        </w:tc>
        <w:tc>
          <w:tcPr>
            <w:tcW w:w="8020" w:type="dxa"/>
            <w:noWrap/>
            <w:hideMark/>
          </w:tcPr>
          <w:p w14:paraId="551F8970" w14:textId="77777777" w:rsidR="008C6F07" w:rsidRPr="008C6F07" w:rsidRDefault="008C6F07" w:rsidP="008C6F07">
            <w:pPr>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8C6F07">
              <w:rPr>
                <w:rFonts w:ascii="Calibri" w:hAnsi="Calibri" w:cs="Calibri"/>
                <w:color w:val="000000" w:themeColor="text1"/>
                <w:sz w:val="22"/>
                <w:szCs w:val="22"/>
              </w:rPr>
              <w:t>Executive Director Principles</w:t>
            </w:r>
          </w:p>
        </w:tc>
      </w:tr>
      <w:tr w:rsidR="008C6F07" w:rsidRPr="008C6F07" w14:paraId="59A7055D" w14:textId="77777777" w:rsidTr="004E49FE">
        <w:trPr>
          <w:trHeight w:val="300"/>
        </w:trPr>
        <w:tc>
          <w:tcPr>
            <w:cnfStyle w:val="001000000000" w:firstRow="0" w:lastRow="0" w:firstColumn="1" w:lastColumn="0" w:oddVBand="0" w:evenVBand="0" w:oddHBand="0" w:evenHBand="0" w:firstRowFirstColumn="0" w:firstRowLastColumn="0" w:lastRowFirstColumn="0" w:lastRowLastColumn="0"/>
            <w:tcW w:w="1331" w:type="dxa"/>
            <w:noWrap/>
            <w:hideMark/>
          </w:tcPr>
          <w:p w14:paraId="2EBEC464" w14:textId="77777777" w:rsidR="008C6F07" w:rsidRPr="008C6F07" w:rsidRDefault="008C6F07" w:rsidP="004E49FE">
            <w:pPr>
              <w:numPr>
                <w:ilvl w:val="0"/>
                <w:numId w:val="0"/>
              </w:numPr>
              <w:spacing w:before="0" w:after="0"/>
              <w:jc w:val="center"/>
              <w:rPr>
                <w:rFonts w:ascii="Calibri" w:hAnsi="Calibri" w:cs="Calibri"/>
                <w:color w:val="000000" w:themeColor="text1"/>
                <w:sz w:val="22"/>
                <w:szCs w:val="22"/>
              </w:rPr>
            </w:pPr>
            <w:r w:rsidRPr="008C6F07">
              <w:rPr>
                <w:rFonts w:ascii="Calibri" w:hAnsi="Calibri" w:cs="Calibri"/>
                <w:color w:val="000000" w:themeColor="text1"/>
                <w:sz w:val="22"/>
                <w:szCs w:val="22"/>
              </w:rPr>
              <w:t>EOD</w:t>
            </w:r>
          </w:p>
        </w:tc>
        <w:tc>
          <w:tcPr>
            <w:tcW w:w="8020" w:type="dxa"/>
            <w:noWrap/>
            <w:hideMark/>
          </w:tcPr>
          <w:p w14:paraId="6780F795" w14:textId="77777777" w:rsidR="008C6F07" w:rsidRPr="008C6F07" w:rsidRDefault="008C6F07" w:rsidP="008C6F07">
            <w:pPr>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8C6F07">
              <w:rPr>
                <w:rFonts w:ascii="Calibri" w:hAnsi="Calibri" w:cs="Calibri"/>
                <w:color w:val="000000" w:themeColor="text1"/>
                <w:sz w:val="22"/>
                <w:szCs w:val="22"/>
              </w:rPr>
              <w:t>Legislative Framework</w:t>
            </w:r>
          </w:p>
        </w:tc>
      </w:tr>
      <w:tr w:rsidR="008C6F07" w:rsidRPr="008C6F07" w14:paraId="02D4454C" w14:textId="77777777" w:rsidTr="004E49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1" w:type="dxa"/>
            <w:noWrap/>
            <w:hideMark/>
          </w:tcPr>
          <w:p w14:paraId="7785B2BF" w14:textId="77777777" w:rsidR="008C6F07" w:rsidRPr="008C6F07" w:rsidRDefault="008C6F07" w:rsidP="004E49FE">
            <w:pPr>
              <w:numPr>
                <w:ilvl w:val="0"/>
                <w:numId w:val="0"/>
              </w:numPr>
              <w:spacing w:before="0" w:after="0"/>
              <w:jc w:val="center"/>
              <w:rPr>
                <w:rFonts w:ascii="Calibri" w:hAnsi="Calibri" w:cs="Calibri"/>
                <w:color w:val="000000" w:themeColor="text1"/>
                <w:sz w:val="22"/>
                <w:szCs w:val="22"/>
              </w:rPr>
            </w:pPr>
            <w:r w:rsidRPr="008C6F07">
              <w:rPr>
                <w:rFonts w:ascii="Calibri" w:hAnsi="Calibri" w:cs="Calibri"/>
                <w:color w:val="000000" w:themeColor="text1"/>
                <w:sz w:val="22"/>
                <w:szCs w:val="22"/>
              </w:rPr>
              <w:t>EOD</w:t>
            </w:r>
          </w:p>
        </w:tc>
        <w:tc>
          <w:tcPr>
            <w:tcW w:w="8020" w:type="dxa"/>
            <w:noWrap/>
            <w:hideMark/>
          </w:tcPr>
          <w:p w14:paraId="5F275427" w14:textId="77777777" w:rsidR="008C6F07" w:rsidRPr="008C6F07" w:rsidRDefault="008C6F07" w:rsidP="008C6F07">
            <w:pPr>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8C6F07">
              <w:rPr>
                <w:rFonts w:ascii="Calibri" w:hAnsi="Calibri" w:cs="Calibri"/>
                <w:color w:val="000000" w:themeColor="text1"/>
                <w:sz w:val="22"/>
                <w:szCs w:val="22"/>
              </w:rPr>
              <w:t>Organizational Principles and Governance Model</w:t>
            </w:r>
          </w:p>
        </w:tc>
      </w:tr>
      <w:tr w:rsidR="008C6F07" w:rsidRPr="008C6F07" w14:paraId="6AF9DA01" w14:textId="77777777" w:rsidTr="004E49FE">
        <w:trPr>
          <w:trHeight w:val="300"/>
        </w:trPr>
        <w:tc>
          <w:tcPr>
            <w:cnfStyle w:val="001000000000" w:firstRow="0" w:lastRow="0" w:firstColumn="1" w:lastColumn="0" w:oddVBand="0" w:evenVBand="0" w:oddHBand="0" w:evenHBand="0" w:firstRowFirstColumn="0" w:firstRowLastColumn="0" w:lastRowFirstColumn="0" w:lastRowLastColumn="0"/>
            <w:tcW w:w="1331" w:type="dxa"/>
            <w:noWrap/>
            <w:hideMark/>
          </w:tcPr>
          <w:p w14:paraId="24732205" w14:textId="77777777" w:rsidR="008C6F07" w:rsidRPr="008C6F07" w:rsidRDefault="008C6F07" w:rsidP="004E49FE">
            <w:pPr>
              <w:numPr>
                <w:ilvl w:val="0"/>
                <w:numId w:val="0"/>
              </w:numPr>
              <w:spacing w:before="0" w:after="0"/>
              <w:jc w:val="center"/>
              <w:rPr>
                <w:rFonts w:ascii="Calibri" w:hAnsi="Calibri" w:cs="Calibri"/>
                <w:color w:val="000000" w:themeColor="text1"/>
                <w:sz w:val="22"/>
                <w:szCs w:val="22"/>
              </w:rPr>
            </w:pPr>
            <w:r w:rsidRPr="008C6F07">
              <w:rPr>
                <w:rFonts w:ascii="Calibri" w:hAnsi="Calibri" w:cs="Calibri"/>
                <w:color w:val="000000" w:themeColor="text1"/>
                <w:sz w:val="22"/>
                <w:szCs w:val="22"/>
              </w:rPr>
              <w:t>EOD</w:t>
            </w:r>
          </w:p>
        </w:tc>
        <w:tc>
          <w:tcPr>
            <w:tcW w:w="8020" w:type="dxa"/>
            <w:noWrap/>
            <w:hideMark/>
          </w:tcPr>
          <w:p w14:paraId="6FECD024" w14:textId="77777777" w:rsidR="008C6F07" w:rsidRPr="008C6F07" w:rsidRDefault="008C6F07" w:rsidP="008C6F07">
            <w:pPr>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8C6F07">
              <w:rPr>
                <w:rFonts w:ascii="Calibri" w:hAnsi="Calibri" w:cs="Calibri"/>
                <w:color w:val="000000" w:themeColor="text1"/>
                <w:sz w:val="22"/>
                <w:szCs w:val="22"/>
              </w:rPr>
              <w:t>Health &amp; Safety and Social &amp; Environmental Management</w:t>
            </w:r>
          </w:p>
        </w:tc>
      </w:tr>
      <w:tr w:rsidR="008C6F07" w:rsidRPr="008C6F07" w14:paraId="7CCE85F5" w14:textId="77777777" w:rsidTr="004E49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1" w:type="dxa"/>
            <w:noWrap/>
            <w:hideMark/>
          </w:tcPr>
          <w:p w14:paraId="0E2D4BFB" w14:textId="77777777" w:rsidR="008C6F07" w:rsidRPr="008C6F07" w:rsidRDefault="008C6F07" w:rsidP="004E49FE">
            <w:pPr>
              <w:numPr>
                <w:ilvl w:val="0"/>
                <w:numId w:val="0"/>
              </w:numPr>
              <w:spacing w:before="0" w:after="0"/>
              <w:jc w:val="center"/>
              <w:rPr>
                <w:rFonts w:ascii="Calibri" w:hAnsi="Calibri" w:cs="Calibri"/>
                <w:color w:val="000000" w:themeColor="text1"/>
                <w:sz w:val="22"/>
                <w:szCs w:val="22"/>
              </w:rPr>
            </w:pPr>
            <w:r w:rsidRPr="008C6F07">
              <w:rPr>
                <w:rFonts w:ascii="Calibri" w:hAnsi="Calibri" w:cs="Calibri"/>
                <w:color w:val="000000" w:themeColor="text1"/>
                <w:sz w:val="22"/>
                <w:szCs w:val="22"/>
              </w:rPr>
              <w:t>EOD</w:t>
            </w:r>
          </w:p>
        </w:tc>
        <w:tc>
          <w:tcPr>
            <w:tcW w:w="8020" w:type="dxa"/>
            <w:noWrap/>
            <w:hideMark/>
          </w:tcPr>
          <w:p w14:paraId="7AC89A25" w14:textId="77777777" w:rsidR="008C6F07" w:rsidRPr="008C6F07" w:rsidRDefault="008C6F07" w:rsidP="008C6F07">
            <w:pPr>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8C6F07">
              <w:rPr>
                <w:rFonts w:ascii="Calibri" w:hAnsi="Calibri" w:cs="Calibri"/>
                <w:color w:val="000000" w:themeColor="text1"/>
                <w:sz w:val="22"/>
                <w:szCs w:val="22"/>
              </w:rPr>
              <w:t>Financial Regulations and Rules</w:t>
            </w:r>
          </w:p>
        </w:tc>
      </w:tr>
      <w:tr w:rsidR="008C6F07" w:rsidRPr="008C6F07" w14:paraId="2E0411FC" w14:textId="77777777" w:rsidTr="004E49FE">
        <w:trPr>
          <w:trHeight w:val="300"/>
        </w:trPr>
        <w:tc>
          <w:tcPr>
            <w:cnfStyle w:val="001000000000" w:firstRow="0" w:lastRow="0" w:firstColumn="1" w:lastColumn="0" w:oddVBand="0" w:evenVBand="0" w:oddHBand="0" w:evenHBand="0" w:firstRowFirstColumn="0" w:firstRowLastColumn="0" w:lastRowFirstColumn="0" w:lastRowLastColumn="0"/>
            <w:tcW w:w="1331" w:type="dxa"/>
            <w:noWrap/>
            <w:hideMark/>
          </w:tcPr>
          <w:p w14:paraId="19F60669" w14:textId="77777777" w:rsidR="008C6F07" w:rsidRPr="008C6F07" w:rsidRDefault="008C6F07" w:rsidP="004E49FE">
            <w:pPr>
              <w:numPr>
                <w:ilvl w:val="0"/>
                <w:numId w:val="0"/>
              </w:numPr>
              <w:spacing w:before="0" w:after="0"/>
              <w:jc w:val="center"/>
              <w:rPr>
                <w:rFonts w:ascii="Calibri" w:hAnsi="Calibri" w:cs="Calibri"/>
                <w:color w:val="000000" w:themeColor="text1"/>
                <w:sz w:val="22"/>
                <w:szCs w:val="22"/>
              </w:rPr>
            </w:pPr>
            <w:r w:rsidRPr="008C6F07">
              <w:rPr>
                <w:rFonts w:ascii="Calibri" w:hAnsi="Calibri" w:cs="Calibri"/>
                <w:color w:val="000000" w:themeColor="text1"/>
                <w:sz w:val="22"/>
                <w:szCs w:val="22"/>
              </w:rPr>
              <w:t>EOI</w:t>
            </w:r>
          </w:p>
        </w:tc>
        <w:tc>
          <w:tcPr>
            <w:tcW w:w="8020" w:type="dxa"/>
            <w:noWrap/>
            <w:hideMark/>
          </w:tcPr>
          <w:p w14:paraId="0E60AE1C" w14:textId="77777777" w:rsidR="008C6F07" w:rsidRPr="008C6F07" w:rsidRDefault="008C6F07" w:rsidP="008C6F07">
            <w:pPr>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8C6F07">
              <w:rPr>
                <w:rFonts w:ascii="Calibri" w:hAnsi="Calibri" w:cs="Calibri"/>
                <w:color w:val="000000" w:themeColor="text1"/>
                <w:sz w:val="22"/>
                <w:szCs w:val="22"/>
              </w:rPr>
              <w:t>Drafting and Promulgating Requirements for Directives and Instructions</w:t>
            </w:r>
          </w:p>
        </w:tc>
      </w:tr>
      <w:tr w:rsidR="008C6F07" w:rsidRPr="008C6F07" w14:paraId="5A390BAF" w14:textId="77777777" w:rsidTr="004E49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1" w:type="dxa"/>
            <w:noWrap/>
            <w:hideMark/>
          </w:tcPr>
          <w:p w14:paraId="6D32B1A8" w14:textId="77777777" w:rsidR="008C6F07" w:rsidRPr="008C6F07" w:rsidRDefault="008C6F07" w:rsidP="004E49FE">
            <w:pPr>
              <w:numPr>
                <w:ilvl w:val="0"/>
                <w:numId w:val="0"/>
              </w:numPr>
              <w:spacing w:before="0" w:after="0"/>
              <w:jc w:val="center"/>
              <w:rPr>
                <w:rFonts w:ascii="Calibri" w:hAnsi="Calibri" w:cs="Calibri"/>
                <w:color w:val="000000" w:themeColor="text1"/>
                <w:sz w:val="22"/>
                <w:szCs w:val="22"/>
              </w:rPr>
            </w:pPr>
            <w:r w:rsidRPr="008C6F07">
              <w:rPr>
                <w:rFonts w:ascii="Calibri" w:hAnsi="Calibri" w:cs="Calibri"/>
                <w:color w:val="000000" w:themeColor="text1"/>
                <w:sz w:val="22"/>
                <w:szCs w:val="22"/>
              </w:rPr>
              <w:t>EOI</w:t>
            </w:r>
          </w:p>
        </w:tc>
        <w:tc>
          <w:tcPr>
            <w:tcW w:w="8020" w:type="dxa"/>
            <w:noWrap/>
            <w:hideMark/>
          </w:tcPr>
          <w:p w14:paraId="4CD67450" w14:textId="77777777" w:rsidR="008C6F07" w:rsidRPr="008C6F07" w:rsidRDefault="008C6F07" w:rsidP="008C6F07">
            <w:pPr>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8C6F07">
              <w:rPr>
                <w:rFonts w:ascii="Calibri" w:hAnsi="Calibri" w:cs="Calibri"/>
                <w:color w:val="000000" w:themeColor="text1"/>
                <w:sz w:val="22"/>
                <w:szCs w:val="22"/>
              </w:rPr>
              <w:t>Implementation of Three levels of requirements for Health &amp; Safety and Social &amp; Environmental Management</w:t>
            </w:r>
          </w:p>
        </w:tc>
      </w:tr>
      <w:tr w:rsidR="008C6F07" w:rsidRPr="008C6F07" w14:paraId="2079C789" w14:textId="77777777" w:rsidTr="004E49FE">
        <w:trPr>
          <w:trHeight w:val="300"/>
        </w:trPr>
        <w:tc>
          <w:tcPr>
            <w:cnfStyle w:val="001000000000" w:firstRow="0" w:lastRow="0" w:firstColumn="1" w:lastColumn="0" w:oddVBand="0" w:evenVBand="0" w:oddHBand="0" w:evenHBand="0" w:firstRowFirstColumn="0" w:firstRowLastColumn="0" w:lastRowFirstColumn="0" w:lastRowLastColumn="0"/>
            <w:tcW w:w="1331" w:type="dxa"/>
            <w:noWrap/>
            <w:hideMark/>
          </w:tcPr>
          <w:p w14:paraId="5982249F" w14:textId="77777777" w:rsidR="008C6F07" w:rsidRPr="008C6F07" w:rsidRDefault="008C6F07" w:rsidP="004E49FE">
            <w:pPr>
              <w:numPr>
                <w:ilvl w:val="0"/>
                <w:numId w:val="0"/>
              </w:numPr>
              <w:spacing w:before="0" w:after="0"/>
              <w:jc w:val="center"/>
              <w:rPr>
                <w:rFonts w:ascii="Calibri" w:hAnsi="Calibri" w:cs="Calibri"/>
                <w:color w:val="000000" w:themeColor="text1"/>
                <w:sz w:val="22"/>
                <w:szCs w:val="22"/>
              </w:rPr>
            </w:pPr>
            <w:r w:rsidRPr="008C6F07">
              <w:rPr>
                <w:rFonts w:ascii="Calibri" w:hAnsi="Calibri" w:cs="Calibri"/>
                <w:color w:val="000000" w:themeColor="text1"/>
                <w:sz w:val="22"/>
                <w:szCs w:val="22"/>
              </w:rPr>
              <w:t>EOI</w:t>
            </w:r>
          </w:p>
        </w:tc>
        <w:tc>
          <w:tcPr>
            <w:tcW w:w="8020" w:type="dxa"/>
            <w:noWrap/>
            <w:hideMark/>
          </w:tcPr>
          <w:p w14:paraId="70C3BEC0" w14:textId="77777777" w:rsidR="008C6F07" w:rsidRPr="008C6F07" w:rsidRDefault="008C6F07" w:rsidP="008C6F07">
            <w:pPr>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8C6F07">
              <w:rPr>
                <w:rFonts w:ascii="Calibri" w:hAnsi="Calibri" w:cs="Calibri"/>
                <w:color w:val="000000" w:themeColor="text1"/>
                <w:sz w:val="22"/>
                <w:szCs w:val="22"/>
              </w:rPr>
              <w:t>Policy and process management</w:t>
            </w:r>
          </w:p>
        </w:tc>
      </w:tr>
      <w:tr w:rsidR="008C6F07" w:rsidRPr="008C6F07" w14:paraId="676A5B8D" w14:textId="77777777" w:rsidTr="004E49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1" w:type="dxa"/>
            <w:noWrap/>
            <w:hideMark/>
          </w:tcPr>
          <w:p w14:paraId="7AE888F0" w14:textId="77777777" w:rsidR="008C6F07" w:rsidRPr="008C6F07" w:rsidRDefault="008C6F07" w:rsidP="004E49FE">
            <w:pPr>
              <w:numPr>
                <w:ilvl w:val="0"/>
                <w:numId w:val="0"/>
              </w:numPr>
              <w:spacing w:before="0" w:after="0"/>
              <w:jc w:val="center"/>
              <w:rPr>
                <w:rFonts w:ascii="Calibri" w:hAnsi="Calibri" w:cs="Calibri"/>
                <w:color w:val="000000" w:themeColor="text1"/>
                <w:sz w:val="22"/>
                <w:szCs w:val="22"/>
              </w:rPr>
            </w:pPr>
            <w:r w:rsidRPr="008C6F07">
              <w:rPr>
                <w:rFonts w:ascii="Calibri" w:hAnsi="Calibri" w:cs="Calibri"/>
                <w:color w:val="000000" w:themeColor="text1"/>
                <w:sz w:val="22"/>
                <w:szCs w:val="22"/>
              </w:rPr>
              <w:t>EOI</w:t>
            </w:r>
          </w:p>
        </w:tc>
        <w:tc>
          <w:tcPr>
            <w:tcW w:w="8020" w:type="dxa"/>
            <w:noWrap/>
            <w:hideMark/>
          </w:tcPr>
          <w:p w14:paraId="45DA6BE7" w14:textId="77777777" w:rsidR="008C6F07" w:rsidRPr="008C6F07" w:rsidRDefault="008C6F07" w:rsidP="008C6F07">
            <w:pPr>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8C6F07">
              <w:rPr>
                <w:rFonts w:ascii="Calibri" w:hAnsi="Calibri" w:cs="Calibri"/>
                <w:color w:val="000000" w:themeColor="text1"/>
                <w:sz w:val="22"/>
                <w:szCs w:val="22"/>
              </w:rPr>
              <w:t>HSSE - Incident Reporting</w:t>
            </w:r>
          </w:p>
        </w:tc>
      </w:tr>
      <w:tr w:rsidR="008C6F07" w:rsidRPr="008C6F07" w14:paraId="5C028A71" w14:textId="77777777" w:rsidTr="004E49FE">
        <w:trPr>
          <w:trHeight w:val="300"/>
        </w:trPr>
        <w:tc>
          <w:tcPr>
            <w:cnfStyle w:val="001000000000" w:firstRow="0" w:lastRow="0" w:firstColumn="1" w:lastColumn="0" w:oddVBand="0" w:evenVBand="0" w:oddHBand="0" w:evenHBand="0" w:firstRowFirstColumn="0" w:firstRowLastColumn="0" w:lastRowFirstColumn="0" w:lastRowLastColumn="0"/>
            <w:tcW w:w="1331" w:type="dxa"/>
            <w:noWrap/>
            <w:hideMark/>
          </w:tcPr>
          <w:p w14:paraId="764719DE" w14:textId="77777777" w:rsidR="008C6F07" w:rsidRPr="008C6F07" w:rsidRDefault="008C6F07" w:rsidP="004E49FE">
            <w:pPr>
              <w:numPr>
                <w:ilvl w:val="0"/>
                <w:numId w:val="0"/>
              </w:numPr>
              <w:spacing w:before="0" w:after="0"/>
              <w:jc w:val="center"/>
              <w:rPr>
                <w:rFonts w:ascii="Calibri" w:hAnsi="Calibri" w:cs="Calibri"/>
                <w:color w:val="000000" w:themeColor="text1"/>
                <w:sz w:val="22"/>
                <w:szCs w:val="22"/>
              </w:rPr>
            </w:pPr>
            <w:r w:rsidRPr="008C6F07">
              <w:rPr>
                <w:rFonts w:ascii="Calibri" w:hAnsi="Calibri" w:cs="Calibri"/>
                <w:color w:val="000000" w:themeColor="text1"/>
                <w:sz w:val="22"/>
                <w:szCs w:val="22"/>
              </w:rPr>
              <w:t>EOI</w:t>
            </w:r>
          </w:p>
        </w:tc>
        <w:tc>
          <w:tcPr>
            <w:tcW w:w="8020" w:type="dxa"/>
            <w:noWrap/>
            <w:hideMark/>
          </w:tcPr>
          <w:p w14:paraId="20B85E33" w14:textId="77777777" w:rsidR="008C6F07" w:rsidRPr="008C6F07" w:rsidRDefault="008C6F07" w:rsidP="008C6F07">
            <w:pPr>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8C6F07">
              <w:rPr>
                <w:rFonts w:ascii="Calibri" w:hAnsi="Calibri" w:cs="Calibri"/>
                <w:color w:val="000000" w:themeColor="text1"/>
                <w:sz w:val="22"/>
                <w:szCs w:val="22"/>
              </w:rPr>
              <w:t>UNOPS Organizational Structure</w:t>
            </w:r>
          </w:p>
        </w:tc>
      </w:tr>
      <w:tr w:rsidR="008C6F07" w:rsidRPr="008C6F07" w14:paraId="0B448FE6" w14:textId="77777777" w:rsidTr="004E49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1" w:type="dxa"/>
            <w:noWrap/>
            <w:hideMark/>
          </w:tcPr>
          <w:p w14:paraId="07499422" w14:textId="77777777" w:rsidR="008C6F07" w:rsidRPr="008C6F07" w:rsidRDefault="008C6F07" w:rsidP="004E49FE">
            <w:pPr>
              <w:numPr>
                <w:ilvl w:val="0"/>
                <w:numId w:val="0"/>
              </w:numPr>
              <w:spacing w:before="0" w:after="0"/>
              <w:jc w:val="center"/>
              <w:rPr>
                <w:rFonts w:ascii="Calibri" w:hAnsi="Calibri" w:cs="Calibri"/>
                <w:color w:val="000000" w:themeColor="text1"/>
                <w:sz w:val="22"/>
                <w:szCs w:val="22"/>
              </w:rPr>
            </w:pPr>
            <w:r w:rsidRPr="008C6F07">
              <w:rPr>
                <w:rFonts w:ascii="Calibri" w:hAnsi="Calibri" w:cs="Calibri"/>
                <w:color w:val="000000" w:themeColor="text1"/>
                <w:sz w:val="22"/>
                <w:szCs w:val="22"/>
              </w:rPr>
              <w:t>OPD</w:t>
            </w:r>
          </w:p>
        </w:tc>
        <w:tc>
          <w:tcPr>
            <w:tcW w:w="8020" w:type="dxa"/>
            <w:noWrap/>
            <w:hideMark/>
          </w:tcPr>
          <w:p w14:paraId="2CC48C3B" w14:textId="77777777" w:rsidR="008C6F07" w:rsidRPr="008C6F07" w:rsidRDefault="008C6F07" w:rsidP="008C6F07">
            <w:pPr>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8C6F07">
              <w:rPr>
                <w:rFonts w:ascii="Calibri" w:hAnsi="Calibri" w:cs="Calibri"/>
                <w:color w:val="000000" w:themeColor="text1"/>
                <w:sz w:val="22"/>
                <w:szCs w:val="22"/>
              </w:rPr>
              <w:t>ICT &amp; Digital Systems management</w:t>
            </w:r>
          </w:p>
        </w:tc>
      </w:tr>
      <w:tr w:rsidR="008C6F07" w:rsidRPr="008C6F07" w14:paraId="4903A510" w14:textId="77777777" w:rsidTr="004E49FE">
        <w:trPr>
          <w:trHeight w:val="300"/>
        </w:trPr>
        <w:tc>
          <w:tcPr>
            <w:cnfStyle w:val="001000000000" w:firstRow="0" w:lastRow="0" w:firstColumn="1" w:lastColumn="0" w:oddVBand="0" w:evenVBand="0" w:oddHBand="0" w:evenHBand="0" w:firstRowFirstColumn="0" w:firstRowLastColumn="0" w:lastRowFirstColumn="0" w:lastRowLastColumn="0"/>
            <w:tcW w:w="1331" w:type="dxa"/>
            <w:noWrap/>
            <w:hideMark/>
          </w:tcPr>
          <w:p w14:paraId="60512393" w14:textId="77777777" w:rsidR="008C6F07" w:rsidRPr="008C6F07" w:rsidRDefault="008C6F07" w:rsidP="004E49FE">
            <w:pPr>
              <w:numPr>
                <w:ilvl w:val="0"/>
                <w:numId w:val="0"/>
              </w:numPr>
              <w:spacing w:before="0" w:after="0"/>
              <w:jc w:val="center"/>
              <w:rPr>
                <w:rFonts w:ascii="Calibri" w:hAnsi="Calibri" w:cs="Calibri"/>
                <w:color w:val="000000" w:themeColor="text1"/>
                <w:sz w:val="22"/>
                <w:szCs w:val="22"/>
              </w:rPr>
            </w:pPr>
            <w:r w:rsidRPr="008C6F07">
              <w:rPr>
                <w:rFonts w:ascii="Calibri" w:hAnsi="Calibri" w:cs="Calibri"/>
                <w:color w:val="000000" w:themeColor="text1"/>
                <w:sz w:val="22"/>
                <w:szCs w:val="22"/>
              </w:rPr>
              <w:t>OPD</w:t>
            </w:r>
          </w:p>
        </w:tc>
        <w:tc>
          <w:tcPr>
            <w:tcW w:w="8020" w:type="dxa"/>
            <w:noWrap/>
            <w:hideMark/>
          </w:tcPr>
          <w:p w14:paraId="23CEA103" w14:textId="77777777" w:rsidR="008C6F07" w:rsidRPr="008C6F07" w:rsidRDefault="008C6F07" w:rsidP="008C6F07">
            <w:pPr>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8C6F07">
              <w:rPr>
                <w:rFonts w:ascii="Calibri" w:hAnsi="Calibri" w:cs="Calibri"/>
                <w:color w:val="000000" w:themeColor="text1"/>
                <w:sz w:val="22"/>
                <w:szCs w:val="22"/>
              </w:rPr>
              <w:t>Finance and Asset Management</w:t>
            </w:r>
          </w:p>
        </w:tc>
      </w:tr>
      <w:tr w:rsidR="008C6F07" w:rsidRPr="008C6F07" w14:paraId="7981F97C" w14:textId="77777777" w:rsidTr="004E49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1" w:type="dxa"/>
            <w:noWrap/>
            <w:hideMark/>
          </w:tcPr>
          <w:p w14:paraId="2BE040C3" w14:textId="77777777" w:rsidR="008C6F07" w:rsidRPr="008C6F07" w:rsidRDefault="008C6F07" w:rsidP="004E49FE">
            <w:pPr>
              <w:numPr>
                <w:ilvl w:val="0"/>
                <w:numId w:val="0"/>
              </w:numPr>
              <w:spacing w:before="0" w:after="0"/>
              <w:jc w:val="center"/>
              <w:rPr>
                <w:rFonts w:ascii="Calibri" w:hAnsi="Calibri" w:cs="Calibri"/>
                <w:color w:val="000000" w:themeColor="text1"/>
                <w:sz w:val="22"/>
                <w:szCs w:val="22"/>
              </w:rPr>
            </w:pPr>
            <w:r w:rsidRPr="008C6F07">
              <w:rPr>
                <w:rFonts w:ascii="Calibri" w:hAnsi="Calibri" w:cs="Calibri"/>
                <w:color w:val="000000" w:themeColor="text1"/>
                <w:sz w:val="22"/>
                <w:szCs w:val="22"/>
              </w:rPr>
              <w:t>OPD</w:t>
            </w:r>
          </w:p>
        </w:tc>
        <w:tc>
          <w:tcPr>
            <w:tcW w:w="8020" w:type="dxa"/>
            <w:noWrap/>
            <w:hideMark/>
          </w:tcPr>
          <w:p w14:paraId="55214C89" w14:textId="77777777" w:rsidR="008C6F07" w:rsidRPr="008C6F07" w:rsidRDefault="008C6F07" w:rsidP="008C6F07">
            <w:pPr>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8C6F07">
              <w:rPr>
                <w:rFonts w:ascii="Calibri" w:hAnsi="Calibri" w:cs="Calibri"/>
                <w:color w:val="000000" w:themeColor="text1"/>
                <w:sz w:val="22"/>
                <w:szCs w:val="22"/>
              </w:rPr>
              <w:t>Strategy Setting</w:t>
            </w:r>
          </w:p>
        </w:tc>
      </w:tr>
      <w:tr w:rsidR="008C6F07" w:rsidRPr="008C6F07" w14:paraId="660AB45D" w14:textId="77777777" w:rsidTr="004E49FE">
        <w:trPr>
          <w:trHeight w:val="300"/>
        </w:trPr>
        <w:tc>
          <w:tcPr>
            <w:cnfStyle w:val="001000000000" w:firstRow="0" w:lastRow="0" w:firstColumn="1" w:lastColumn="0" w:oddVBand="0" w:evenVBand="0" w:oddHBand="0" w:evenHBand="0" w:firstRowFirstColumn="0" w:firstRowLastColumn="0" w:lastRowFirstColumn="0" w:lastRowLastColumn="0"/>
            <w:tcW w:w="1331" w:type="dxa"/>
            <w:noWrap/>
            <w:hideMark/>
          </w:tcPr>
          <w:p w14:paraId="0A4D0276" w14:textId="77777777" w:rsidR="008C6F07" w:rsidRPr="008C6F07" w:rsidRDefault="008C6F07" w:rsidP="004E49FE">
            <w:pPr>
              <w:numPr>
                <w:ilvl w:val="0"/>
                <w:numId w:val="0"/>
              </w:numPr>
              <w:spacing w:before="0" w:after="0"/>
              <w:jc w:val="center"/>
              <w:rPr>
                <w:rFonts w:ascii="Calibri" w:hAnsi="Calibri" w:cs="Calibri"/>
                <w:color w:val="000000" w:themeColor="text1"/>
                <w:sz w:val="22"/>
                <w:szCs w:val="22"/>
              </w:rPr>
            </w:pPr>
            <w:r w:rsidRPr="008C6F07">
              <w:rPr>
                <w:rFonts w:ascii="Calibri" w:hAnsi="Calibri" w:cs="Calibri"/>
                <w:color w:val="000000" w:themeColor="text1"/>
                <w:sz w:val="22"/>
                <w:szCs w:val="22"/>
              </w:rPr>
              <w:t>OPD</w:t>
            </w:r>
          </w:p>
        </w:tc>
        <w:tc>
          <w:tcPr>
            <w:tcW w:w="8020" w:type="dxa"/>
            <w:noWrap/>
            <w:hideMark/>
          </w:tcPr>
          <w:p w14:paraId="47641872" w14:textId="77777777" w:rsidR="008C6F07" w:rsidRPr="008C6F07" w:rsidRDefault="008C6F07" w:rsidP="008C6F07">
            <w:pPr>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8C6F07">
              <w:rPr>
                <w:rFonts w:ascii="Calibri" w:hAnsi="Calibri" w:cs="Calibri"/>
                <w:color w:val="000000" w:themeColor="text1"/>
                <w:sz w:val="22"/>
                <w:szCs w:val="22"/>
              </w:rPr>
              <w:t>Value proposition and Cost Recovery Model</w:t>
            </w:r>
          </w:p>
        </w:tc>
      </w:tr>
      <w:tr w:rsidR="008C6F07" w:rsidRPr="008C6F07" w14:paraId="4ECB1B5A" w14:textId="77777777" w:rsidTr="004E49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1" w:type="dxa"/>
            <w:noWrap/>
            <w:hideMark/>
          </w:tcPr>
          <w:p w14:paraId="43B643A7" w14:textId="77777777" w:rsidR="008C6F07" w:rsidRPr="008C6F07" w:rsidRDefault="008C6F07" w:rsidP="004E49FE">
            <w:pPr>
              <w:numPr>
                <w:ilvl w:val="0"/>
                <w:numId w:val="0"/>
              </w:numPr>
              <w:spacing w:before="0" w:after="0"/>
              <w:jc w:val="center"/>
              <w:rPr>
                <w:rFonts w:ascii="Calibri" w:hAnsi="Calibri" w:cs="Calibri"/>
                <w:color w:val="000000" w:themeColor="text1"/>
                <w:sz w:val="22"/>
                <w:szCs w:val="22"/>
              </w:rPr>
            </w:pPr>
            <w:r w:rsidRPr="008C6F07">
              <w:rPr>
                <w:rFonts w:ascii="Calibri" w:hAnsi="Calibri" w:cs="Calibri"/>
                <w:color w:val="000000" w:themeColor="text1"/>
                <w:sz w:val="22"/>
                <w:szCs w:val="22"/>
              </w:rPr>
              <w:t>OPD</w:t>
            </w:r>
          </w:p>
        </w:tc>
        <w:tc>
          <w:tcPr>
            <w:tcW w:w="8020" w:type="dxa"/>
            <w:noWrap/>
            <w:hideMark/>
          </w:tcPr>
          <w:p w14:paraId="424E3EC6" w14:textId="77777777" w:rsidR="008C6F07" w:rsidRPr="008C6F07" w:rsidRDefault="008C6F07" w:rsidP="008C6F07">
            <w:pPr>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8C6F07">
              <w:rPr>
                <w:rFonts w:ascii="Calibri" w:hAnsi="Calibri" w:cs="Calibri"/>
                <w:color w:val="000000" w:themeColor="text1"/>
                <w:sz w:val="22"/>
                <w:szCs w:val="22"/>
              </w:rPr>
              <w:t>Management of UNOPS Partners and Resulting Agreements</w:t>
            </w:r>
          </w:p>
        </w:tc>
      </w:tr>
      <w:tr w:rsidR="008C6F07" w:rsidRPr="008C6F07" w14:paraId="1EB688A0" w14:textId="77777777" w:rsidTr="004E49FE">
        <w:trPr>
          <w:trHeight w:val="300"/>
        </w:trPr>
        <w:tc>
          <w:tcPr>
            <w:cnfStyle w:val="001000000000" w:firstRow="0" w:lastRow="0" w:firstColumn="1" w:lastColumn="0" w:oddVBand="0" w:evenVBand="0" w:oddHBand="0" w:evenHBand="0" w:firstRowFirstColumn="0" w:firstRowLastColumn="0" w:lastRowFirstColumn="0" w:lastRowLastColumn="0"/>
            <w:tcW w:w="1331" w:type="dxa"/>
            <w:noWrap/>
            <w:hideMark/>
          </w:tcPr>
          <w:p w14:paraId="60E53B56" w14:textId="77777777" w:rsidR="008C6F07" w:rsidRPr="008C6F07" w:rsidRDefault="008C6F07" w:rsidP="004E49FE">
            <w:pPr>
              <w:numPr>
                <w:ilvl w:val="0"/>
                <w:numId w:val="0"/>
              </w:numPr>
              <w:spacing w:before="0" w:after="0"/>
              <w:jc w:val="center"/>
              <w:rPr>
                <w:rFonts w:ascii="Calibri" w:hAnsi="Calibri" w:cs="Calibri"/>
                <w:color w:val="000000" w:themeColor="text1"/>
                <w:sz w:val="22"/>
                <w:szCs w:val="22"/>
              </w:rPr>
            </w:pPr>
            <w:r w:rsidRPr="008C6F07">
              <w:rPr>
                <w:rFonts w:ascii="Calibri" w:hAnsi="Calibri" w:cs="Calibri"/>
                <w:color w:val="000000" w:themeColor="text1"/>
                <w:sz w:val="22"/>
                <w:szCs w:val="22"/>
              </w:rPr>
              <w:t>OPD</w:t>
            </w:r>
          </w:p>
        </w:tc>
        <w:tc>
          <w:tcPr>
            <w:tcW w:w="8020" w:type="dxa"/>
            <w:noWrap/>
            <w:hideMark/>
          </w:tcPr>
          <w:p w14:paraId="552244CE" w14:textId="77777777" w:rsidR="008C6F07" w:rsidRPr="008C6F07" w:rsidRDefault="008C6F07" w:rsidP="008C6F07">
            <w:pPr>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8C6F07">
              <w:rPr>
                <w:rFonts w:ascii="Calibri" w:hAnsi="Calibri" w:cs="Calibri"/>
                <w:color w:val="000000" w:themeColor="text1"/>
                <w:sz w:val="22"/>
                <w:szCs w:val="22"/>
              </w:rPr>
              <w:t>Human Resources, Ethics and Culture</w:t>
            </w:r>
          </w:p>
        </w:tc>
      </w:tr>
      <w:tr w:rsidR="008C6F07" w:rsidRPr="008C6F07" w14:paraId="716C5E9C" w14:textId="77777777" w:rsidTr="004E49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1" w:type="dxa"/>
            <w:noWrap/>
            <w:hideMark/>
          </w:tcPr>
          <w:p w14:paraId="5BA42A48" w14:textId="77777777" w:rsidR="008C6F07" w:rsidRPr="008C6F07" w:rsidRDefault="008C6F07" w:rsidP="004E49FE">
            <w:pPr>
              <w:numPr>
                <w:ilvl w:val="0"/>
                <w:numId w:val="0"/>
              </w:numPr>
              <w:spacing w:before="0" w:after="0"/>
              <w:jc w:val="center"/>
              <w:rPr>
                <w:rFonts w:ascii="Calibri" w:hAnsi="Calibri" w:cs="Calibri"/>
                <w:color w:val="000000" w:themeColor="text1"/>
                <w:sz w:val="22"/>
                <w:szCs w:val="22"/>
              </w:rPr>
            </w:pPr>
            <w:r w:rsidRPr="008C6F07">
              <w:rPr>
                <w:rFonts w:ascii="Calibri" w:hAnsi="Calibri" w:cs="Calibri"/>
                <w:color w:val="000000" w:themeColor="text1"/>
                <w:sz w:val="22"/>
                <w:szCs w:val="22"/>
              </w:rPr>
              <w:t>OPD</w:t>
            </w:r>
          </w:p>
        </w:tc>
        <w:tc>
          <w:tcPr>
            <w:tcW w:w="8020" w:type="dxa"/>
            <w:noWrap/>
            <w:hideMark/>
          </w:tcPr>
          <w:p w14:paraId="43F6E2EC" w14:textId="77777777" w:rsidR="008C6F07" w:rsidRPr="008C6F07" w:rsidRDefault="008C6F07" w:rsidP="008C6F07">
            <w:pPr>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8C6F07">
              <w:rPr>
                <w:rFonts w:ascii="Calibri" w:hAnsi="Calibri" w:cs="Calibri"/>
                <w:color w:val="000000" w:themeColor="text1"/>
                <w:sz w:val="22"/>
                <w:szCs w:val="22"/>
              </w:rPr>
              <w:t>Procurement</w:t>
            </w:r>
          </w:p>
        </w:tc>
      </w:tr>
      <w:tr w:rsidR="008C6F07" w:rsidRPr="008C6F07" w14:paraId="6F280A79" w14:textId="77777777" w:rsidTr="004E49FE">
        <w:trPr>
          <w:trHeight w:val="300"/>
        </w:trPr>
        <w:tc>
          <w:tcPr>
            <w:cnfStyle w:val="001000000000" w:firstRow="0" w:lastRow="0" w:firstColumn="1" w:lastColumn="0" w:oddVBand="0" w:evenVBand="0" w:oddHBand="0" w:evenHBand="0" w:firstRowFirstColumn="0" w:firstRowLastColumn="0" w:lastRowFirstColumn="0" w:lastRowLastColumn="0"/>
            <w:tcW w:w="1331" w:type="dxa"/>
            <w:noWrap/>
            <w:hideMark/>
          </w:tcPr>
          <w:p w14:paraId="13C76EEB" w14:textId="77777777" w:rsidR="008C6F07" w:rsidRPr="008C6F07" w:rsidRDefault="008C6F07" w:rsidP="004E49FE">
            <w:pPr>
              <w:numPr>
                <w:ilvl w:val="0"/>
                <w:numId w:val="0"/>
              </w:numPr>
              <w:spacing w:before="0" w:after="0"/>
              <w:jc w:val="center"/>
              <w:rPr>
                <w:rFonts w:ascii="Calibri" w:hAnsi="Calibri" w:cs="Calibri"/>
                <w:color w:val="000000" w:themeColor="text1"/>
                <w:sz w:val="22"/>
                <w:szCs w:val="22"/>
              </w:rPr>
            </w:pPr>
            <w:r w:rsidRPr="008C6F07">
              <w:rPr>
                <w:rFonts w:ascii="Calibri" w:hAnsi="Calibri" w:cs="Calibri"/>
                <w:color w:val="000000" w:themeColor="text1"/>
                <w:sz w:val="22"/>
                <w:szCs w:val="22"/>
              </w:rPr>
              <w:t>OPD</w:t>
            </w:r>
          </w:p>
        </w:tc>
        <w:tc>
          <w:tcPr>
            <w:tcW w:w="8020" w:type="dxa"/>
            <w:noWrap/>
            <w:hideMark/>
          </w:tcPr>
          <w:p w14:paraId="64F6E7D0" w14:textId="77777777" w:rsidR="008C6F07" w:rsidRPr="008C6F07" w:rsidRDefault="008C6F07" w:rsidP="008C6F07">
            <w:pPr>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8C6F07">
              <w:rPr>
                <w:rFonts w:ascii="Calibri" w:hAnsi="Calibri" w:cs="Calibri"/>
                <w:color w:val="000000" w:themeColor="text1"/>
                <w:sz w:val="22"/>
                <w:szCs w:val="22"/>
              </w:rPr>
              <w:t>Safety and Security</w:t>
            </w:r>
          </w:p>
        </w:tc>
      </w:tr>
      <w:tr w:rsidR="008C6F07" w:rsidRPr="008C6F07" w14:paraId="2A6D2BFE" w14:textId="77777777" w:rsidTr="004E49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1" w:type="dxa"/>
            <w:noWrap/>
            <w:hideMark/>
          </w:tcPr>
          <w:p w14:paraId="6E26C415" w14:textId="77777777" w:rsidR="008C6F07" w:rsidRPr="008C6F07" w:rsidRDefault="008C6F07" w:rsidP="004E49FE">
            <w:pPr>
              <w:numPr>
                <w:ilvl w:val="0"/>
                <w:numId w:val="0"/>
              </w:numPr>
              <w:spacing w:before="0" w:after="0"/>
              <w:jc w:val="center"/>
              <w:rPr>
                <w:rFonts w:ascii="Calibri" w:hAnsi="Calibri" w:cs="Calibri"/>
                <w:color w:val="000000" w:themeColor="text1"/>
                <w:sz w:val="22"/>
                <w:szCs w:val="22"/>
              </w:rPr>
            </w:pPr>
            <w:r w:rsidRPr="008C6F07">
              <w:rPr>
                <w:rFonts w:ascii="Calibri" w:hAnsi="Calibri" w:cs="Calibri"/>
                <w:color w:val="000000" w:themeColor="text1"/>
                <w:sz w:val="22"/>
                <w:szCs w:val="22"/>
              </w:rPr>
              <w:t>OPD</w:t>
            </w:r>
          </w:p>
        </w:tc>
        <w:tc>
          <w:tcPr>
            <w:tcW w:w="8020" w:type="dxa"/>
            <w:noWrap/>
            <w:hideMark/>
          </w:tcPr>
          <w:p w14:paraId="603D4AD8" w14:textId="77777777" w:rsidR="008C6F07" w:rsidRPr="008C6F07" w:rsidRDefault="008C6F07" w:rsidP="008C6F07">
            <w:pPr>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8C6F07">
              <w:rPr>
                <w:rFonts w:ascii="Calibri" w:hAnsi="Calibri" w:cs="Calibri"/>
                <w:color w:val="000000" w:themeColor="text1"/>
                <w:sz w:val="22"/>
                <w:szCs w:val="22"/>
              </w:rPr>
              <w:t>Risk Management</w:t>
            </w:r>
          </w:p>
        </w:tc>
      </w:tr>
      <w:tr w:rsidR="008C6F07" w:rsidRPr="008C6F07" w14:paraId="545366FF" w14:textId="77777777" w:rsidTr="004E49FE">
        <w:trPr>
          <w:trHeight w:val="300"/>
        </w:trPr>
        <w:tc>
          <w:tcPr>
            <w:cnfStyle w:val="001000000000" w:firstRow="0" w:lastRow="0" w:firstColumn="1" w:lastColumn="0" w:oddVBand="0" w:evenVBand="0" w:oddHBand="0" w:evenHBand="0" w:firstRowFirstColumn="0" w:firstRowLastColumn="0" w:lastRowFirstColumn="0" w:lastRowLastColumn="0"/>
            <w:tcW w:w="1331" w:type="dxa"/>
            <w:noWrap/>
            <w:hideMark/>
          </w:tcPr>
          <w:p w14:paraId="393D7BDA" w14:textId="77777777" w:rsidR="008C6F07" w:rsidRPr="008C6F07" w:rsidRDefault="008C6F07" w:rsidP="004E49FE">
            <w:pPr>
              <w:numPr>
                <w:ilvl w:val="0"/>
                <w:numId w:val="0"/>
              </w:numPr>
              <w:spacing w:before="0" w:after="0"/>
              <w:jc w:val="center"/>
              <w:rPr>
                <w:rFonts w:ascii="Calibri" w:hAnsi="Calibri" w:cs="Calibri"/>
                <w:color w:val="000000" w:themeColor="text1"/>
                <w:sz w:val="22"/>
                <w:szCs w:val="22"/>
              </w:rPr>
            </w:pPr>
            <w:r w:rsidRPr="008C6F07">
              <w:rPr>
                <w:rFonts w:ascii="Calibri" w:hAnsi="Calibri" w:cs="Calibri"/>
                <w:color w:val="000000" w:themeColor="text1"/>
                <w:sz w:val="22"/>
                <w:szCs w:val="22"/>
              </w:rPr>
              <w:t>OPD</w:t>
            </w:r>
          </w:p>
        </w:tc>
        <w:tc>
          <w:tcPr>
            <w:tcW w:w="8020" w:type="dxa"/>
            <w:noWrap/>
            <w:hideMark/>
          </w:tcPr>
          <w:p w14:paraId="06C5261A" w14:textId="77777777" w:rsidR="008C6F07" w:rsidRPr="008C6F07" w:rsidRDefault="008C6F07" w:rsidP="008C6F07">
            <w:pPr>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8C6F07">
              <w:rPr>
                <w:rFonts w:ascii="Calibri" w:hAnsi="Calibri" w:cs="Calibri"/>
                <w:color w:val="000000" w:themeColor="text1"/>
                <w:sz w:val="22"/>
                <w:szCs w:val="22"/>
              </w:rPr>
              <w:t>Internal Audit and Investigations Charter</w:t>
            </w:r>
          </w:p>
        </w:tc>
      </w:tr>
      <w:tr w:rsidR="004E49FE" w:rsidRPr="001F01DB" w14:paraId="74457377" w14:textId="77777777" w:rsidTr="004E49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1" w:type="dxa"/>
            <w:noWrap/>
            <w:hideMark/>
          </w:tcPr>
          <w:p w14:paraId="55363106" w14:textId="77777777" w:rsidR="004E49FE" w:rsidRPr="001F01DB" w:rsidRDefault="004E49FE" w:rsidP="00316656">
            <w:pPr>
              <w:numPr>
                <w:ilvl w:val="0"/>
                <w:numId w:val="0"/>
              </w:numPr>
              <w:spacing w:before="0" w:after="0"/>
              <w:ind w:left="360"/>
              <w:rPr>
                <w:rFonts w:ascii="Calibri" w:hAnsi="Calibri" w:cs="Calibri"/>
                <w:color w:val="000000" w:themeColor="text1"/>
                <w:sz w:val="22"/>
                <w:szCs w:val="22"/>
              </w:rPr>
            </w:pPr>
            <w:r w:rsidRPr="001F01DB">
              <w:rPr>
                <w:rFonts w:ascii="Calibri" w:hAnsi="Calibri" w:cs="Calibri"/>
                <w:color w:val="000000" w:themeColor="text1"/>
                <w:sz w:val="22"/>
                <w:szCs w:val="22"/>
              </w:rPr>
              <w:t>OD</w:t>
            </w:r>
          </w:p>
        </w:tc>
        <w:tc>
          <w:tcPr>
            <w:tcW w:w="8020" w:type="dxa"/>
            <w:noWrap/>
            <w:hideMark/>
          </w:tcPr>
          <w:p w14:paraId="1B039A5C" w14:textId="77777777" w:rsidR="004E49FE" w:rsidRPr="001F01DB" w:rsidRDefault="004E49FE" w:rsidP="00316656">
            <w:pPr>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1F01DB">
              <w:rPr>
                <w:rFonts w:ascii="Calibri" w:hAnsi="Calibri" w:cs="Calibri"/>
                <w:color w:val="000000" w:themeColor="text1"/>
                <w:sz w:val="22"/>
                <w:szCs w:val="22"/>
              </w:rPr>
              <w:t>Engagement Acceptance</w:t>
            </w:r>
          </w:p>
        </w:tc>
      </w:tr>
      <w:tr w:rsidR="004E49FE" w:rsidRPr="001F01DB" w14:paraId="52F01255" w14:textId="77777777" w:rsidTr="00ED67D8">
        <w:trPr>
          <w:trHeight w:val="300"/>
        </w:trPr>
        <w:tc>
          <w:tcPr>
            <w:cnfStyle w:val="001000000000" w:firstRow="0" w:lastRow="0" w:firstColumn="1" w:lastColumn="0" w:oddVBand="0" w:evenVBand="0" w:oddHBand="0" w:evenHBand="0" w:firstRowFirstColumn="0" w:firstRowLastColumn="0" w:lastRowFirstColumn="0" w:lastRowLastColumn="0"/>
            <w:tcW w:w="1331" w:type="dxa"/>
            <w:shd w:val="clear" w:color="auto" w:fill="auto"/>
            <w:noWrap/>
            <w:hideMark/>
          </w:tcPr>
          <w:p w14:paraId="276B9757" w14:textId="77777777" w:rsidR="004E49FE" w:rsidRPr="001F01DB" w:rsidRDefault="004E49FE" w:rsidP="00316656">
            <w:pPr>
              <w:numPr>
                <w:ilvl w:val="0"/>
                <w:numId w:val="0"/>
              </w:numPr>
              <w:spacing w:before="0" w:after="0"/>
              <w:ind w:left="360"/>
              <w:rPr>
                <w:rFonts w:ascii="Calibri" w:hAnsi="Calibri" w:cs="Calibri"/>
                <w:color w:val="000000" w:themeColor="text1"/>
                <w:sz w:val="22"/>
                <w:szCs w:val="22"/>
              </w:rPr>
            </w:pPr>
            <w:r w:rsidRPr="001F01DB">
              <w:rPr>
                <w:rFonts w:ascii="Calibri" w:hAnsi="Calibri" w:cs="Calibri"/>
                <w:color w:val="000000" w:themeColor="text1"/>
                <w:sz w:val="22"/>
                <w:szCs w:val="22"/>
              </w:rPr>
              <w:t>OD</w:t>
            </w:r>
          </w:p>
        </w:tc>
        <w:tc>
          <w:tcPr>
            <w:tcW w:w="8020" w:type="dxa"/>
            <w:shd w:val="clear" w:color="auto" w:fill="auto"/>
            <w:noWrap/>
            <w:hideMark/>
          </w:tcPr>
          <w:p w14:paraId="6599A8DD" w14:textId="77777777" w:rsidR="004E49FE" w:rsidRPr="001F01DB" w:rsidRDefault="004E49FE" w:rsidP="00316656">
            <w:pPr>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1F01DB">
              <w:rPr>
                <w:rFonts w:ascii="Calibri" w:hAnsi="Calibri" w:cs="Calibri"/>
                <w:color w:val="000000" w:themeColor="text1"/>
                <w:sz w:val="22"/>
                <w:szCs w:val="22"/>
              </w:rPr>
              <w:t>Audit Advisory Committee and Strategic Advisory Group of Experts Terms of Reference</w:t>
            </w:r>
          </w:p>
        </w:tc>
      </w:tr>
      <w:tr w:rsidR="004E49FE" w:rsidRPr="001F01DB" w14:paraId="30C65D80" w14:textId="77777777" w:rsidTr="004E49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1" w:type="dxa"/>
            <w:noWrap/>
            <w:hideMark/>
          </w:tcPr>
          <w:p w14:paraId="5EFC1DDE" w14:textId="77777777" w:rsidR="004E49FE" w:rsidRPr="001F01DB" w:rsidRDefault="004E49FE" w:rsidP="00316656">
            <w:pPr>
              <w:numPr>
                <w:ilvl w:val="0"/>
                <w:numId w:val="0"/>
              </w:numPr>
              <w:spacing w:before="0" w:after="0"/>
              <w:ind w:left="360"/>
              <w:rPr>
                <w:rFonts w:ascii="Calibri" w:hAnsi="Calibri" w:cs="Calibri"/>
                <w:color w:val="000000" w:themeColor="text1"/>
                <w:sz w:val="22"/>
                <w:szCs w:val="22"/>
              </w:rPr>
            </w:pPr>
            <w:r w:rsidRPr="001F01DB">
              <w:rPr>
                <w:rFonts w:ascii="Calibri" w:hAnsi="Calibri" w:cs="Calibri"/>
                <w:color w:val="000000" w:themeColor="text1"/>
                <w:sz w:val="22"/>
                <w:szCs w:val="22"/>
              </w:rPr>
              <w:t>OD</w:t>
            </w:r>
          </w:p>
        </w:tc>
        <w:tc>
          <w:tcPr>
            <w:tcW w:w="8020" w:type="dxa"/>
            <w:noWrap/>
            <w:hideMark/>
          </w:tcPr>
          <w:p w14:paraId="0912C96F" w14:textId="77777777" w:rsidR="004E49FE" w:rsidRPr="001F01DB" w:rsidRDefault="004E49FE" w:rsidP="00316656">
            <w:pPr>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1F01DB">
              <w:rPr>
                <w:rFonts w:ascii="Calibri" w:hAnsi="Calibri" w:cs="Calibri"/>
                <w:color w:val="000000" w:themeColor="text1"/>
                <w:sz w:val="22"/>
                <w:szCs w:val="22"/>
              </w:rPr>
              <w:t>Internal Control for UNOPS offices</w:t>
            </w:r>
          </w:p>
        </w:tc>
      </w:tr>
      <w:tr w:rsidR="004E49FE" w:rsidRPr="001F01DB" w14:paraId="70647BD3" w14:textId="77777777" w:rsidTr="004E49FE">
        <w:trPr>
          <w:trHeight w:val="300"/>
        </w:trPr>
        <w:tc>
          <w:tcPr>
            <w:cnfStyle w:val="001000000000" w:firstRow="0" w:lastRow="0" w:firstColumn="1" w:lastColumn="0" w:oddVBand="0" w:evenVBand="0" w:oddHBand="0" w:evenHBand="0" w:firstRowFirstColumn="0" w:firstRowLastColumn="0" w:lastRowFirstColumn="0" w:lastRowLastColumn="0"/>
            <w:tcW w:w="1331" w:type="dxa"/>
            <w:noWrap/>
            <w:hideMark/>
          </w:tcPr>
          <w:p w14:paraId="278B3459" w14:textId="77777777" w:rsidR="004E49FE" w:rsidRPr="001F01DB" w:rsidRDefault="004E49FE" w:rsidP="00316656">
            <w:pPr>
              <w:numPr>
                <w:ilvl w:val="0"/>
                <w:numId w:val="0"/>
              </w:numPr>
              <w:spacing w:before="0" w:after="0"/>
              <w:ind w:left="360"/>
              <w:rPr>
                <w:rFonts w:ascii="Calibri" w:hAnsi="Calibri" w:cs="Calibri"/>
                <w:color w:val="000000" w:themeColor="text1"/>
                <w:sz w:val="22"/>
                <w:szCs w:val="22"/>
              </w:rPr>
            </w:pPr>
            <w:r w:rsidRPr="001F01DB">
              <w:rPr>
                <w:rFonts w:ascii="Calibri" w:hAnsi="Calibri" w:cs="Calibri"/>
                <w:color w:val="000000" w:themeColor="text1"/>
                <w:sz w:val="22"/>
                <w:szCs w:val="22"/>
              </w:rPr>
              <w:t>OD</w:t>
            </w:r>
          </w:p>
        </w:tc>
        <w:tc>
          <w:tcPr>
            <w:tcW w:w="8020" w:type="dxa"/>
            <w:noWrap/>
            <w:hideMark/>
          </w:tcPr>
          <w:p w14:paraId="2263F96C" w14:textId="77777777" w:rsidR="004E49FE" w:rsidRPr="001F01DB" w:rsidRDefault="004E49FE" w:rsidP="00316656">
            <w:pPr>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1F01DB">
              <w:rPr>
                <w:rFonts w:ascii="Calibri" w:hAnsi="Calibri" w:cs="Calibri"/>
                <w:color w:val="000000" w:themeColor="text1"/>
                <w:sz w:val="22"/>
                <w:szCs w:val="22"/>
              </w:rPr>
              <w:t>Document Retention</w:t>
            </w:r>
          </w:p>
        </w:tc>
      </w:tr>
      <w:tr w:rsidR="004E49FE" w:rsidRPr="001F01DB" w14:paraId="755A23E3" w14:textId="77777777" w:rsidTr="004E49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1" w:type="dxa"/>
            <w:noWrap/>
            <w:hideMark/>
          </w:tcPr>
          <w:p w14:paraId="59EF3474" w14:textId="77777777" w:rsidR="004E49FE" w:rsidRPr="001F01DB" w:rsidRDefault="004E49FE" w:rsidP="00316656">
            <w:pPr>
              <w:numPr>
                <w:ilvl w:val="0"/>
                <w:numId w:val="0"/>
              </w:numPr>
              <w:spacing w:before="0" w:after="0"/>
              <w:ind w:left="360"/>
              <w:rPr>
                <w:rFonts w:ascii="Calibri" w:hAnsi="Calibri" w:cs="Calibri"/>
                <w:color w:val="000000" w:themeColor="text1"/>
                <w:sz w:val="22"/>
                <w:szCs w:val="22"/>
              </w:rPr>
            </w:pPr>
            <w:r w:rsidRPr="001F01DB">
              <w:rPr>
                <w:rFonts w:ascii="Calibri" w:hAnsi="Calibri" w:cs="Calibri"/>
                <w:color w:val="000000" w:themeColor="text1"/>
                <w:sz w:val="22"/>
                <w:szCs w:val="22"/>
              </w:rPr>
              <w:t>OD</w:t>
            </w:r>
          </w:p>
        </w:tc>
        <w:tc>
          <w:tcPr>
            <w:tcW w:w="8020" w:type="dxa"/>
            <w:noWrap/>
            <w:hideMark/>
          </w:tcPr>
          <w:p w14:paraId="48BC2812" w14:textId="77777777" w:rsidR="004E49FE" w:rsidRPr="001F01DB" w:rsidRDefault="004E49FE" w:rsidP="00316656">
            <w:pPr>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1F01DB">
              <w:rPr>
                <w:rFonts w:ascii="Calibri" w:hAnsi="Calibri" w:cs="Calibri"/>
                <w:color w:val="000000" w:themeColor="text1"/>
                <w:sz w:val="22"/>
                <w:szCs w:val="22"/>
              </w:rPr>
              <w:t>Electronic Communications</w:t>
            </w:r>
          </w:p>
        </w:tc>
      </w:tr>
      <w:tr w:rsidR="004E49FE" w:rsidRPr="001F01DB" w14:paraId="03862358" w14:textId="77777777" w:rsidTr="004E49FE">
        <w:trPr>
          <w:trHeight w:val="300"/>
        </w:trPr>
        <w:tc>
          <w:tcPr>
            <w:cnfStyle w:val="001000000000" w:firstRow="0" w:lastRow="0" w:firstColumn="1" w:lastColumn="0" w:oddVBand="0" w:evenVBand="0" w:oddHBand="0" w:evenHBand="0" w:firstRowFirstColumn="0" w:firstRowLastColumn="0" w:lastRowFirstColumn="0" w:lastRowLastColumn="0"/>
            <w:tcW w:w="1331" w:type="dxa"/>
            <w:noWrap/>
            <w:hideMark/>
          </w:tcPr>
          <w:p w14:paraId="1E1FA424" w14:textId="77777777" w:rsidR="004E49FE" w:rsidRPr="001F01DB" w:rsidRDefault="004E49FE" w:rsidP="00316656">
            <w:pPr>
              <w:numPr>
                <w:ilvl w:val="0"/>
                <w:numId w:val="0"/>
              </w:numPr>
              <w:spacing w:before="0" w:after="0"/>
              <w:ind w:left="360"/>
              <w:rPr>
                <w:rFonts w:ascii="Calibri" w:hAnsi="Calibri" w:cs="Calibri"/>
                <w:color w:val="000000" w:themeColor="text1"/>
                <w:sz w:val="22"/>
                <w:szCs w:val="22"/>
              </w:rPr>
            </w:pPr>
            <w:r w:rsidRPr="001F01DB">
              <w:rPr>
                <w:rFonts w:ascii="Calibri" w:hAnsi="Calibri" w:cs="Calibri"/>
                <w:color w:val="000000" w:themeColor="text1"/>
                <w:sz w:val="22"/>
                <w:szCs w:val="22"/>
              </w:rPr>
              <w:t>OD</w:t>
            </w:r>
          </w:p>
        </w:tc>
        <w:tc>
          <w:tcPr>
            <w:tcW w:w="8020" w:type="dxa"/>
            <w:noWrap/>
            <w:hideMark/>
          </w:tcPr>
          <w:p w14:paraId="3EE8C97A" w14:textId="77777777" w:rsidR="004E49FE" w:rsidRPr="001F01DB" w:rsidRDefault="004E49FE" w:rsidP="00316656">
            <w:pPr>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1F01DB">
              <w:rPr>
                <w:rFonts w:ascii="Calibri" w:hAnsi="Calibri" w:cs="Calibri"/>
                <w:color w:val="000000" w:themeColor="text1"/>
                <w:sz w:val="22"/>
                <w:szCs w:val="22"/>
              </w:rPr>
              <w:t>ICT Project Acceptance</w:t>
            </w:r>
          </w:p>
        </w:tc>
      </w:tr>
      <w:tr w:rsidR="004E49FE" w:rsidRPr="001F01DB" w14:paraId="40FB0D0F" w14:textId="77777777" w:rsidTr="004E49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1" w:type="dxa"/>
            <w:noWrap/>
            <w:hideMark/>
          </w:tcPr>
          <w:p w14:paraId="4C068829" w14:textId="77777777" w:rsidR="004E49FE" w:rsidRPr="001F01DB" w:rsidRDefault="004E49FE" w:rsidP="00316656">
            <w:pPr>
              <w:numPr>
                <w:ilvl w:val="0"/>
                <w:numId w:val="0"/>
              </w:numPr>
              <w:spacing w:before="0" w:after="0"/>
              <w:ind w:left="360"/>
              <w:rPr>
                <w:rFonts w:ascii="Calibri" w:hAnsi="Calibri" w:cs="Calibri"/>
                <w:color w:val="000000" w:themeColor="text1"/>
                <w:sz w:val="22"/>
                <w:szCs w:val="22"/>
              </w:rPr>
            </w:pPr>
            <w:r w:rsidRPr="001F01DB">
              <w:rPr>
                <w:rFonts w:ascii="Calibri" w:hAnsi="Calibri" w:cs="Calibri"/>
                <w:color w:val="000000" w:themeColor="text1"/>
                <w:sz w:val="22"/>
                <w:szCs w:val="22"/>
              </w:rPr>
              <w:t>OD</w:t>
            </w:r>
          </w:p>
        </w:tc>
        <w:tc>
          <w:tcPr>
            <w:tcW w:w="8020" w:type="dxa"/>
            <w:noWrap/>
            <w:hideMark/>
          </w:tcPr>
          <w:p w14:paraId="31A278A5" w14:textId="77777777" w:rsidR="004E49FE" w:rsidRPr="001F01DB" w:rsidRDefault="004E49FE" w:rsidP="00316656">
            <w:pPr>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1F01DB">
              <w:rPr>
                <w:rFonts w:ascii="Calibri" w:hAnsi="Calibri" w:cs="Calibri"/>
                <w:color w:val="000000" w:themeColor="text1"/>
                <w:sz w:val="22"/>
                <w:szCs w:val="22"/>
              </w:rPr>
              <w:t>Internal Control and Risk Management Framework</w:t>
            </w:r>
          </w:p>
        </w:tc>
      </w:tr>
      <w:tr w:rsidR="004E49FE" w:rsidRPr="001F01DB" w14:paraId="02E8E373" w14:textId="77777777" w:rsidTr="004E49FE">
        <w:trPr>
          <w:trHeight w:val="300"/>
        </w:trPr>
        <w:tc>
          <w:tcPr>
            <w:cnfStyle w:val="001000000000" w:firstRow="0" w:lastRow="0" w:firstColumn="1" w:lastColumn="0" w:oddVBand="0" w:evenVBand="0" w:oddHBand="0" w:evenHBand="0" w:firstRowFirstColumn="0" w:firstRowLastColumn="0" w:lastRowFirstColumn="0" w:lastRowLastColumn="0"/>
            <w:tcW w:w="1331" w:type="dxa"/>
            <w:noWrap/>
            <w:hideMark/>
          </w:tcPr>
          <w:p w14:paraId="7A30DE59" w14:textId="77777777" w:rsidR="004E49FE" w:rsidRPr="001F01DB" w:rsidRDefault="004E49FE" w:rsidP="00316656">
            <w:pPr>
              <w:numPr>
                <w:ilvl w:val="0"/>
                <w:numId w:val="0"/>
              </w:numPr>
              <w:spacing w:before="0" w:after="0"/>
              <w:ind w:left="360"/>
              <w:rPr>
                <w:rFonts w:ascii="Calibri" w:hAnsi="Calibri" w:cs="Calibri"/>
                <w:color w:val="000000" w:themeColor="text1"/>
                <w:sz w:val="22"/>
                <w:szCs w:val="22"/>
              </w:rPr>
            </w:pPr>
            <w:r w:rsidRPr="001F01DB">
              <w:rPr>
                <w:rFonts w:ascii="Calibri" w:hAnsi="Calibri" w:cs="Calibri"/>
                <w:color w:val="000000" w:themeColor="text1"/>
                <w:sz w:val="22"/>
                <w:szCs w:val="22"/>
              </w:rPr>
              <w:t>OD</w:t>
            </w:r>
          </w:p>
        </w:tc>
        <w:tc>
          <w:tcPr>
            <w:tcW w:w="8020" w:type="dxa"/>
            <w:noWrap/>
            <w:hideMark/>
          </w:tcPr>
          <w:p w14:paraId="3FCEFDBC" w14:textId="77777777" w:rsidR="004E49FE" w:rsidRPr="001F01DB" w:rsidRDefault="004E49FE" w:rsidP="00316656">
            <w:pPr>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1F01DB">
              <w:rPr>
                <w:rFonts w:ascii="Calibri" w:hAnsi="Calibri" w:cs="Calibri"/>
                <w:color w:val="000000" w:themeColor="text1"/>
                <w:sz w:val="22"/>
                <w:szCs w:val="22"/>
              </w:rPr>
              <w:t>Information Disclosure</w:t>
            </w:r>
          </w:p>
        </w:tc>
      </w:tr>
      <w:tr w:rsidR="004E49FE" w:rsidRPr="001F01DB" w14:paraId="1AE576A8" w14:textId="77777777" w:rsidTr="004E49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1" w:type="dxa"/>
            <w:noWrap/>
            <w:hideMark/>
          </w:tcPr>
          <w:p w14:paraId="3B6A7790" w14:textId="77777777" w:rsidR="004E49FE" w:rsidRPr="001F01DB" w:rsidRDefault="004E49FE" w:rsidP="00316656">
            <w:pPr>
              <w:numPr>
                <w:ilvl w:val="0"/>
                <w:numId w:val="0"/>
              </w:numPr>
              <w:spacing w:before="0" w:after="0"/>
              <w:ind w:left="360"/>
              <w:rPr>
                <w:rFonts w:ascii="Calibri" w:hAnsi="Calibri" w:cs="Calibri"/>
                <w:color w:val="000000" w:themeColor="text1"/>
                <w:sz w:val="22"/>
                <w:szCs w:val="22"/>
              </w:rPr>
            </w:pPr>
            <w:r w:rsidRPr="001F01DB">
              <w:rPr>
                <w:rFonts w:ascii="Calibri" w:hAnsi="Calibri" w:cs="Calibri"/>
                <w:color w:val="000000" w:themeColor="text1"/>
                <w:sz w:val="22"/>
                <w:szCs w:val="22"/>
              </w:rPr>
              <w:t>OD</w:t>
            </w:r>
          </w:p>
        </w:tc>
        <w:tc>
          <w:tcPr>
            <w:tcW w:w="8020" w:type="dxa"/>
            <w:noWrap/>
            <w:hideMark/>
          </w:tcPr>
          <w:p w14:paraId="7E799F69" w14:textId="77777777" w:rsidR="004E49FE" w:rsidRPr="001F01DB" w:rsidRDefault="004E49FE" w:rsidP="00316656">
            <w:pPr>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1F01DB">
              <w:rPr>
                <w:rFonts w:ascii="Calibri" w:hAnsi="Calibri" w:cs="Calibri"/>
                <w:color w:val="000000" w:themeColor="text1"/>
                <w:sz w:val="22"/>
                <w:szCs w:val="22"/>
              </w:rPr>
              <w:t>Establishment and Approval of Write-offs and Provisions for Write-offs</w:t>
            </w:r>
          </w:p>
        </w:tc>
      </w:tr>
      <w:tr w:rsidR="004E49FE" w:rsidRPr="001F01DB" w14:paraId="3A3352DC" w14:textId="77777777" w:rsidTr="004E49FE">
        <w:trPr>
          <w:trHeight w:val="300"/>
        </w:trPr>
        <w:tc>
          <w:tcPr>
            <w:cnfStyle w:val="001000000000" w:firstRow="0" w:lastRow="0" w:firstColumn="1" w:lastColumn="0" w:oddVBand="0" w:evenVBand="0" w:oddHBand="0" w:evenHBand="0" w:firstRowFirstColumn="0" w:firstRowLastColumn="0" w:lastRowFirstColumn="0" w:lastRowLastColumn="0"/>
            <w:tcW w:w="1331" w:type="dxa"/>
            <w:noWrap/>
            <w:hideMark/>
          </w:tcPr>
          <w:p w14:paraId="7005DA14" w14:textId="77777777" w:rsidR="004E49FE" w:rsidRPr="001F01DB" w:rsidRDefault="004E49FE" w:rsidP="00316656">
            <w:pPr>
              <w:numPr>
                <w:ilvl w:val="0"/>
                <w:numId w:val="0"/>
              </w:numPr>
              <w:spacing w:before="0" w:after="0"/>
              <w:ind w:left="360"/>
              <w:rPr>
                <w:rFonts w:ascii="Calibri" w:hAnsi="Calibri" w:cs="Calibri"/>
                <w:color w:val="000000" w:themeColor="text1"/>
                <w:sz w:val="22"/>
                <w:szCs w:val="22"/>
              </w:rPr>
            </w:pPr>
            <w:r w:rsidRPr="001F01DB">
              <w:rPr>
                <w:rFonts w:ascii="Calibri" w:hAnsi="Calibri" w:cs="Calibri"/>
                <w:color w:val="000000" w:themeColor="text1"/>
                <w:sz w:val="22"/>
                <w:szCs w:val="22"/>
              </w:rPr>
              <w:t>OD</w:t>
            </w:r>
          </w:p>
        </w:tc>
        <w:tc>
          <w:tcPr>
            <w:tcW w:w="8020" w:type="dxa"/>
            <w:noWrap/>
            <w:hideMark/>
          </w:tcPr>
          <w:p w14:paraId="2B8C234F" w14:textId="77777777" w:rsidR="004E49FE" w:rsidRPr="001F01DB" w:rsidRDefault="004E49FE" w:rsidP="00316656">
            <w:pPr>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1F01DB">
              <w:rPr>
                <w:rFonts w:ascii="Calibri" w:hAnsi="Calibri" w:cs="Calibri"/>
                <w:color w:val="000000" w:themeColor="text1"/>
                <w:sz w:val="22"/>
                <w:szCs w:val="22"/>
              </w:rPr>
              <w:t>Framework for Delegations of Authority</w:t>
            </w:r>
          </w:p>
        </w:tc>
      </w:tr>
      <w:tr w:rsidR="004E49FE" w:rsidRPr="001F01DB" w14:paraId="62899955" w14:textId="77777777" w:rsidTr="004E49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1" w:type="dxa"/>
            <w:noWrap/>
            <w:hideMark/>
          </w:tcPr>
          <w:p w14:paraId="5DFE8E7F" w14:textId="77777777" w:rsidR="004E49FE" w:rsidRPr="001F01DB" w:rsidRDefault="004E49FE" w:rsidP="00316656">
            <w:pPr>
              <w:numPr>
                <w:ilvl w:val="0"/>
                <w:numId w:val="0"/>
              </w:numPr>
              <w:spacing w:before="0" w:after="0"/>
              <w:ind w:left="360"/>
              <w:rPr>
                <w:rFonts w:ascii="Calibri" w:hAnsi="Calibri" w:cs="Calibri"/>
                <w:color w:val="000000" w:themeColor="text1"/>
                <w:sz w:val="22"/>
                <w:szCs w:val="22"/>
              </w:rPr>
            </w:pPr>
            <w:r w:rsidRPr="001F01DB">
              <w:rPr>
                <w:rFonts w:ascii="Calibri" w:hAnsi="Calibri" w:cs="Calibri"/>
                <w:color w:val="000000" w:themeColor="text1"/>
                <w:sz w:val="22"/>
                <w:szCs w:val="22"/>
              </w:rPr>
              <w:t>OD</w:t>
            </w:r>
          </w:p>
        </w:tc>
        <w:tc>
          <w:tcPr>
            <w:tcW w:w="8020" w:type="dxa"/>
            <w:noWrap/>
            <w:hideMark/>
          </w:tcPr>
          <w:p w14:paraId="09AD9068" w14:textId="77777777" w:rsidR="004E49FE" w:rsidRPr="001F01DB" w:rsidRDefault="004E49FE" w:rsidP="00316656">
            <w:pPr>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1F01DB">
              <w:rPr>
                <w:rFonts w:ascii="Calibri" w:hAnsi="Calibri" w:cs="Calibri"/>
                <w:color w:val="000000" w:themeColor="text1"/>
                <w:sz w:val="22"/>
                <w:szCs w:val="22"/>
              </w:rPr>
              <w:t>Policy for Partnership with Non-UN and Non-state entities</w:t>
            </w:r>
          </w:p>
        </w:tc>
      </w:tr>
      <w:tr w:rsidR="004E49FE" w:rsidRPr="001F01DB" w14:paraId="2F4B1A18" w14:textId="77777777" w:rsidTr="004E49FE">
        <w:trPr>
          <w:trHeight w:val="300"/>
        </w:trPr>
        <w:tc>
          <w:tcPr>
            <w:cnfStyle w:val="001000000000" w:firstRow="0" w:lastRow="0" w:firstColumn="1" w:lastColumn="0" w:oddVBand="0" w:evenVBand="0" w:oddHBand="0" w:evenHBand="0" w:firstRowFirstColumn="0" w:firstRowLastColumn="0" w:lastRowFirstColumn="0" w:lastRowLastColumn="0"/>
            <w:tcW w:w="1331" w:type="dxa"/>
            <w:noWrap/>
            <w:hideMark/>
          </w:tcPr>
          <w:p w14:paraId="53CC2A85" w14:textId="77777777" w:rsidR="004E49FE" w:rsidRPr="001F01DB" w:rsidRDefault="004E49FE" w:rsidP="00316656">
            <w:pPr>
              <w:numPr>
                <w:ilvl w:val="0"/>
                <w:numId w:val="0"/>
              </w:numPr>
              <w:spacing w:before="0" w:after="0"/>
              <w:ind w:left="360"/>
              <w:rPr>
                <w:rFonts w:ascii="Calibri" w:hAnsi="Calibri" w:cs="Calibri"/>
                <w:color w:val="000000" w:themeColor="text1"/>
                <w:sz w:val="22"/>
                <w:szCs w:val="22"/>
              </w:rPr>
            </w:pPr>
            <w:r w:rsidRPr="001F01DB">
              <w:rPr>
                <w:rFonts w:ascii="Calibri" w:hAnsi="Calibri" w:cs="Calibri"/>
                <w:color w:val="000000" w:themeColor="text1"/>
                <w:sz w:val="22"/>
                <w:szCs w:val="22"/>
              </w:rPr>
              <w:t>OD</w:t>
            </w:r>
          </w:p>
        </w:tc>
        <w:tc>
          <w:tcPr>
            <w:tcW w:w="8020" w:type="dxa"/>
            <w:noWrap/>
            <w:hideMark/>
          </w:tcPr>
          <w:p w14:paraId="5A880595" w14:textId="77777777" w:rsidR="004E49FE" w:rsidRPr="001F01DB" w:rsidRDefault="004E49FE" w:rsidP="00316656">
            <w:pPr>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1F01DB">
              <w:rPr>
                <w:rFonts w:ascii="Calibri" w:hAnsi="Calibri" w:cs="Calibri"/>
                <w:color w:val="000000" w:themeColor="text1"/>
                <w:sz w:val="22"/>
                <w:szCs w:val="22"/>
              </w:rPr>
              <w:t>Hosting Services</w:t>
            </w:r>
          </w:p>
        </w:tc>
      </w:tr>
    </w:tbl>
    <w:p w14:paraId="7D6F8B43" w14:textId="106DA1E0" w:rsidR="00FE1BFE" w:rsidRDefault="00FE1BFE" w:rsidP="001F01DB">
      <w:pPr>
        <w:numPr>
          <w:ilvl w:val="0"/>
          <w:numId w:val="0"/>
        </w:numPr>
        <w:spacing w:before="0" w:after="200" w:line="276" w:lineRule="auto"/>
      </w:pPr>
      <w:r>
        <w:br w:type="page"/>
      </w:r>
    </w:p>
    <w:tbl>
      <w:tblPr>
        <w:tblStyle w:val="PlainTable31"/>
        <w:tblW w:w="9552" w:type="dxa"/>
        <w:tblLook w:val="04A0" w:firstRow="1" w:lastRow="0" w:firstColumn="1" w:lastColumn="0" w:noHBand="0" w:noVBand="1"/>
      </w:tblPr>
      <w:tblGrid>
        <w:gridCol w:w="1332"/>
        <w:gridCol w:w="8220"/>
      </w:tblGrid>
      <w:tr w:rsidR="001F01DB" w:rsidRPr="001F01DB" w14:paraId="582120D2" w14:textId="77777777" w:rsidTr="00F21FD8">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1332" w:type="dxa"/>
            <w:noWrap/>
          </w:tcPr>
          <w:p w14:paraId="1435B52B" w14:textId="72038BCC" w:rsidR="001F01DB" w:rsidRPr="001F01DB" w:rsidRDefault="001F01DB" w:rsidP="001F01DB">
            <w:pPr>
              <w:numPr>
                <w:ilvl w:val="0"/>
                <w:numId w:val="0"/>
              </w:numPr>
              <w:spacing w:before="0" w:after="0"/>
              <w:jc w:val="center"/>
              <w:rPr>
                <w:rFonts w:ascii="Calibri" w:hAnsi="Calibri" w:cs="Calibri"/>
                <w:color w:val="000000" w:themeColor="text1"/>
                <w:sz w:val="22"/>
                <w:szCs w:val="22"/>
              </w:rPr>
            </w:pPr>
            <w:r>
              <w:rPr>
                <w:rFonts w:ascii="Calibri" w:hAnsi="Calibri" w:cs="Calibri"/>
                <w:color w:val="000000" w:themeColor="text1"/>
                <w:sz w:val="22"/>
                <w:szCs w:val="22"/>
              </w:rPr>
              <w:lastRenderedPageBreak/>
              <w:t>POLICY</w:t>
            </w:r>
          </w:p>
        </w:tc>
        <w:tc>
          <w:tcPr>
            <w:tcW w:w="8220" w:type="dxa"/>
            <w:noWrap/>
          </w:tcPr>
          <w:p w14:paraId="6B73E4E5" w14:textId="344E735C" w:rsidR="001F01DB" w:rsidRPr="001F01DB" w:rsidRDefault="001F01DB" w:rsidP="001F01DB">
            <w:pPr>
              <w:numPr>
                <w:ilvl w:val="0"/>
                <w:numId w:val="0"/>
              </w:numPr>
              <w:spacing w:before="0" w:after="0"/>
              <w:ind w:left="360"/>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Pr>
                <w:rFonts w:ascii="Calibri" w:hAnsi="Calibri" w:cs="Calibri"/>
                <w:color w:val="000000" w:themeColor="text1"/>
                <w:sz w:val="22"/>
                <w:szCs w:val="22"/>
              </w:rPr>
              <w:t>Title</w:t>
            </w:r>
          </w:p>
        </w:tc>
      </w:tr>
      <w:tr w:rsidR="001F01DB" w:rsidRPr="001F01DB" w14:paraId="1859FCD3" w14:textId="77777777" w:rsidTr="001F01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2" w:type="dxa"/>
            <w:noWrap/>
            <w:hideMark/>
          </w:tcPr>
          <w:p w14:paraId="543BDCEB" w14:textId="77777777" w:rsidR="001F01DB" w:rsidRPr="001F01DB" w:rsidRDefault="001F01DB" w:rsidP="001F01DB">
            <w:pPr>
              <w:numPr>
                <w:ilvl w:val="0"/>
                <w:numId w:val="0"/>
              </w:numPr>
              <w:spacing w:before="0" w:after="0"/>
              <w:ind w:left="360"/>
              <w:rPr>
                <w:rFonts w:ascii="Calibri" w:hAnsi="Calibri" w:cs="Calibri"/>
                <w:color w:val="000000" w:themeColor="text1"/>
                <w:sz w:val="22"/>
                <w:szCs w:val="22"/>
              </w:rPr>
            </w:pPr>
            <w:r w:rsidRPr="001F01DB">
              <w:rPr>
                <w:rFonts w:ascii="Calibri" w:hAnsi="Calibri" w:cs="Calibri"/>
                <w:color w:val="000000" w:themeColor="text1"/>
                <w:sz w:val="22"/>
                <w:szCs w:val="22"/>
              </w:rPr>
              <w:t>OI</w:t>
            </w:r>
          </w:p>
        </w:tc>
        <w:tc>
          <w:tcPr>
            <w:tcW w:w="8220" w:type="dxa"/>
            <w:noWrap/>
            <w:hideMark/>
          </w:tcPr>
          <w:p w14:paraId="179709A7" w14:textId="77777777" w:rsidR="001F01DB" w:rsidRPr="001F01DB" w:rsidRDefault="001F01DB" w:rsidP="001F01DB">
            <w:pPr>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1F01DB">
              <w:rPr>
                <w:rFonts w:ascii="Calibri" w:hAnsi="Calibri" w:cs="Calibri"/>
                <w:color w:val="000000" w:themeColor="text1"/>
                <w:sz w:val="22"/>
                <w:szCs w:val="22"/>
              </w:rPr>
              <w:t>Budgeting and Internal Investment Management</w:t>
            </w:r>
          </w:p>
        </w:tc>
      </w:tr>
      <w:tr w:rsidR="001F01DB" w:rsidRPr="001F01DB" w14:paraId="4085690A" w14:textId="77777777" w:rsidTr="001F01DB">
        <w:trPr>
          <w:trHeight w:val="300"/>
        </w:trPr>
        <w:tc>
          <w:tcPr>
            <w:cnfStyle w:val="001000000000" w:firstRow="0" w:lastRow="0" w:firstColumn="1" w:lastColumn="0" w:oddVBand="0" w:evenVBand="0" w:oddHBand="0" w:evenHBand="0" w:firstRowFirstColumn="0" w:firstRowLastColumn="0" w:lastRowFirstColumn="0" w:lastRowLastColumn="0"/>
            <w:tcW w:w="1332" w:type="dxa"/>
            <w:noWrap/>
            <w:hideMark/>
          </w:tcPr>
          <w:p w14:paraId="4F44E41F" w14:textId="77777777" w:rsidR="001F01DB" w:rsidRPr="001F01DB" w:rsidRDefault="001F01DB" w:rsidP="001F01DB">
            <w:pPr>
              <w:numPr>
                <w:ilvl w:val="0"/>
                <w:numId w:val="0"/>
              </w:numPr>
              <w:spacing w:before="0" w:after="0"/>
              <w:ind w:left="360"/>
              <w:rPr>
                <w:rFonts w:ascii="Calibri" w:hAnsi="Calibri" w:cs="Calibri"/>
                <w:color w:val="000000" w:themeColor="text1"/>
                <w:sz w:val="22"/>
                <w:szCs w:val="22"/>
              </w:rPr>
            </w:pPr>
            <w:r w:rsidRPr="001F01DB">
              <w:rPr>
                <w:rFonts w:ascii="Calibri" w:hAnsi="Calibri" w:cs="Calibri"/>
                <w:color w:val="000000" w:themeColor="text1"/>
                <w:sz w:val="22"/>
                <w:szCs w:val="22"/>
              </w:rPr>
              <w:t>OI</w:t>
            </w:r>
          </w:p>
        </w:tc>
        <w:tc>
          <w:tcPr>
            <w:tcW w:w="8220" w:type="dxa"/>
            <w:noWrap/>
            <w:hideMark/>
          </w:tcPr>
          <w:p w14:paraId="20F05F51" w14:textId="77777777" w:rsidR="001F01DB" w:rsidRPr="001F01DB" w:rsidRDefault="001F01DB" w:rsidP="001F01DB">
            <w:pPr>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1F01DB">
              <w:rPr>
                <w:rFonts w:ascii="Calibri" w:hAnsi="Calibri" w:cs="Calibri"/>
                <w:color w:val="000000" w:themeColor="text1"/>
                <w:sz w:val="22"/>
                <w:szCs w:val="22"/>
              </w:rPr>
              <w:t>Fixed and Intangible Asset Management</w:t>
            </w:r>
          </w:p>
        </w:tc>
      </w:tr>
      <w:tr w:rsidR="001F01DB" w:rsidRPr="001F01DB" w14:paraId="4EA0BE12" w14:textId="77777777" w:rsidTr="001F01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2" w:type="dxa"/>
            <w:noWrap/>
            <w:hideMark/>
          </w:tcPr>
          <w:p w14:paraId="591B6A77" w14:textId="77777777" w:rsidR="001F01DB" w:rsidRPr="001F01DB" w:rsidRDefault="001F01DB" w:rsidP="001F01DB">
            <w:pPr>
              <w:numPr>
                <w:ilvl w:val="0"/>
                <w:numId w:val="0"/>
              </w:numPr>
              <w:spacing w:before="0" w:after="0"/>
              <w:ind w:left="360"/>
              <w:rPr>
                <w:rFonts w:ascii="Calibri" w:hAnsi="Calibri" w:cs="Calibri"/>
                <w:color w:val="000000" w:themeColor="text1"/>
                <w:sz w:val="22"/>
                <w:szCs w:val="22"/>
              </w:rPr>
            </w:pPr>
            <w:r w:rsidRPr="001F01DB">
              <w:rPr>
                <w:rFonts w:ascii="Calibri" w:hAnsi="Calibri" w:cs="Calibri"/>
                <w:color w:val="000000" w:themeColor="text1"/>
                <w:sz w:val="22"/>
                <w:szCs w:val="22"/>
              </w:rPr>
              <w:t>OI</w:t>
            </w:r>
          </w:p>
        </w:tc>
        <w:tc>
          <w:tcPr>
            <w:tcW w:w="8220" w:type="dxa"/>
            <w:noWrap/>
            <w:hideMark/>
          </w:tcPr>
          <w:p w14:paraId="0BD03C2A" w14:textId="77777777" w:rsidR="001F01DB" w:rsidRPr="001F01DB" w:rsidRDefault="001F01DB" w:rsidP="001F01DB">
            <w:pPr>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1F01DB">
              <w:rPr>
                <w:rFonts w:ascii="Calibri" w:hAnsi="Calibri" w:cs="Calibri"/>
                <w:color w:val="000000" w:themeColor="text1"/>
                <w:sz w:val="22"/>
                <w:szCs w:val="22"/>
              </w:rPr>
              <w:t>Statement of Investment Principles and Investment Committee Terms of Reference</w:t>
            </w:r>
          </w:p>
        </w:tc>
      </w:tr>
      <w:tr w:rsidR="001F01DB" w:rsidRPr="001F01DB" w14:paraId="39471F01" w14:textId="77777777" w:rsidTr="001F01DB">
        <w:trPr>
          <w:trHeight w:val="300"/>
        </w:trPr>
        <w:tc>
          <w:tcPr>
            <w:cnfStyle w:val="001000000000" w:firstRow="0" w:lastRow="0" w:firstColumn="1" w:lastColumn="0" w:oddVBand="0" w:evenVBand="0" w:oddHBand="0" w:evenHBand="0" w:firstRowFirstColumn="0" w:firstRowLastColumn="0" w:lastRowFirstColumn="0" w:lastRowLastColumn="0"/>
            <w:tcW w:w="1332" w:type="dxa"/>
            <w:noWrap/>
            <w:hideMark/>
          </w:tcPr>
          <w:p w14:paraId="07A895D4" w14:textId="77777777" w:rsidR="001F01DB" w:rsidRPr="001F01DB" w:rsidRDefault="001F01DB" w:rsidP="001F01DB">
            <w:pPr>
              <w:numPr>
                <w:ilvl w:val="0"/>
                <w:numId w:val="0"/>
              </w:numPr>
              <w:spacing w:before="0" w:after="0"/>
              <w:ind w:left="360"/>
              <w:rPr>
                <w:rFonts w:ascii="Calibri" w:hAnsi="Calibri" w:cs="Calibri"/>
                <w:color w:val="000000" w:themeColor="text1"/>
                <w:sz w:val="22"/>
                <w:szCs w:val="22"/>
              </w:rPr>
            </w:pPr>
            <w:r w:rsidRPr="001F01DB">
              <w:rPr>
                <w:rFonts w:ascii="Calibri" w:hAnsi="Calibri" w:cs="Calibri"/>
                <w:color w:val="000000" w:themeColor="text1"/>
                <w:sz w:val="22"/>
                <w:szCs w:val="22"/>
              </w:rPr>
              <w:t>OI</w:t>
            </w:r>
          </w:p>
        </w:tc>
        <w:tc>
          <w:tcPr>
            <w:tcW w:w="8220" w:type="dxa"/>
            <w:noWrap/>
            <w:hideMark/>
          </w:tcPr>
          <w:p w14:paraId="69889EF5" w14:textId="77777777" w:rsidR="001F01DB" w:rsidRPr="001F01DB" w:rsidRDefault="001F01DB" w:rsidP="001F01DB">
            <w:pPr>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1F01DB">
              <w:rPr>
                <w:rFonts w:ascii="Calibri" w:hAnsi="Calibri" w:cs="Calibri"/>
                <w:color w:val="000000" w:themeColor="text1"/>
                <w:sz w:val="22"/>
                <w:szCs w:val="22"/>
              </w:rPr>
              <w:t>Personnel Management Framework</w:t>
            </w:r>
          </w:p>
        </w:tc>
      </w:tr>
      <w:tr w:rsidR="001F01DB" w:rsidRPr="001F01DB" w14:paraId="6138BA93" w14:textId="77777777" w:rsidTr="001F01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2" w:type="dxa"/>
            <w:noWrap/>
            <w:hideMark/>
          </w:tcPr>
          <w:p w14:paraId="787D48D2" w14:textId="77777777" w:rsidR="001F01DB" w:rsidRPr="001F01DB" w:rsidRDefault="001F01DB" w:rsidP="001F01DB">
            <w:pPr>
              <w:numPr>
                <w:ilvl w:val="0"/>
                <w:numId w:val="0"/>
              </w:numPr>
              <w:spacing w:before="0" w:after="0"/>
              <w:ind w:left="360"/>
              <w:rPr>
                <w:rFonts w:ascii="Calibri" w:hAnsi="Calibri" w:cs="Calibri"/>
                <w:color w:val="000000" w:themeColor="text1"/>
                <w:sz w:val="22"/>
                <w:szCs w:val="22"/>
              </w:rPr>
            </w:pPr>
            <w:r w:rsidRPr="001F01DB">
              <w:rPr>
                <w:rFonts w:ascii="Calibri" w:hAnsi="Calibri" w:cs="Calibri"/>
                <w:color w:val="000000" w:themeColor="text1"/>
                <w:sz w:val="22"/>
                <w:szCs w:val="22"/>
              </w:rPr>
              <w:t>OI</w:t>
            </w:r>
          </w:p>
        </w:tc>
        <w:tc>
          <w:tcPr>
            <w:tcW w:w="8220" w:type="dxa"/>
            <w:noWrap/>
            <w:hideMark/>
          </w:tcPr>
          <w:p w14:paraId="795F89DC" w14:textId="77777777" w:rsidR="001F01DB" w:rsidRPr="001F01DB" w:rsidRDefault="001F01DB" w:rsidP="001F01DB">
            <w:pPr>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1F01DB">
              <w:rPr>
                <w:rFonts w:ascii="Calibri" w:hAnsi="Calibri" w:cs="Calibri"/>
                <w:color w:val="000000" w:themeColor="text1"/>
                <w:sz w:val="22"/>
                <w:szCs w:val="22"/>
              </w:rPr>
              <w:t>Procurement Procedures</w:t>
            </w:r>
          </w:p>
        </w:tc>
      </w:tr>
      <w:tr w:rsidR="001F01DB" w:rsidRPr="001F01DB" w14:paraId="6F8DB038" w14:textId="77777777" w:rsidTr="001F01DB">
        <w:trPr>
          <w:trHeight w:val="300"/>
        </w:trPr>
        <w:tc>
          <w:tcPr>
            <w:cnfStyle w:val="001000000000" w:firstRow="0" w:lastRow="0" w:firstColumn="1" w:lastColumn="0" w:oddVBand="0" w:evenVBand="0" w:oddHBand="0" w:evenHBand="0" w:firstRowFirstColumn="0" w:firstRowLastColumn="0" w:lastRowFirstColumn="0" w:lastRowLastColumn="0"/>
            <w:tcW w:w="1332" w:type="dxa"/>
            <w:noWrap/>
            <w:hideMark/>
          </w:tcPr>
          <w:p w14:paraId="585A8AC5" w14:textId="77777777" w:rsidR="001F01DB" w:rsidRPr="001F01DB" w:rsidRDefault="001F01DB" w:rsidP="001F01DB">
            <w:pPr>
              <w:numPr>
                <w:ilvl w:val="0"/>
                <w:numId w:val="0"/>
              </w:numPr>
              <w:spacing w:before="0" w:after="0"/>
              <w:ind w:left="360"/>
              <w:rPr>
                <w:rFonts w:ascii="Calibri" w:hAnsi="Calibri" w:cs="Calibri"/>
                <w:color w:val="000000" w:themeColor="text1"/>
                <w:sz w:val="22"/>
                <w:szCs w:val="22"/>
              </w:rPr>
            </w:pPr>
            <w:r w:rsidRPr="001F01DB">
              <w:rPr>
                <w:rFonts w:ascii="Calibri" w:hAnsi="Calibri" w:cs="Calibri"/>
                <w:color w:val="000000" w:themeColor="text1"/>
                <w:sz w:val="22"/>
                <w:szCs w:val="22"/>
              </w:rPr>
              <w:t>OI</w:t>
            </w:r>
          </w:p>
        </w:tc>
        <w:tc>
          <w:tcPr>
            <w:tcW w:w="8220" w:type="dxa"/>
            <w:noWrap/>
            <w:hideMark/>
          </w:tcPr>
          <w:p w14:paraId="248A7A97" w14:textId="77777777" w:rsidR="001F01DB" w:rsidRPr="001F01DB" w:rsidRDefault="001F01DB" w:rsidP="001F01DB">
            <w:pPr>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1F01DB">
              <w:rPr>
                <w:rFonts w:ascii="Calibri" w:hAnsi="Calibri" w:cs="Calibri"/>
                <w:color w:val="000000" w:themeColor="text1"/>
                <w:sz w:val="22"/>
                <w:szCs w:val="22"/>
              </w:rPr>
              <w:t>Vendor Sanctions</w:t>
            </w:r>
          </w:p>
        </w:tc>
      </w:tr>
      <w:tr w:rsidR="001F01DB" w:rsidRPr="001F01DB" w14:paraId="7551FDC4" w14:textId="77777777" w:rsidTr="001F01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2" w:type="dxa"/>
            <w:noWrap/>
            <w:hideMark/>
          </w:tcPr>
          <w:p w14:paraId="29AE4B7B" w14:textId="77777777" w:rsidR="001F01DB" w:rsidRPr="001F01DB" w:rsidRDefault="001F01DB" w:rsidP="001F01DB">
            <w:pPr>
              <w:numPr>
                <w:ilvl w:val="0"/>
                <w:numId w:val="0"/>
              </w:numPr>
              <w:spacing w:before="0" w:after="0"/>
              <w:ind w:left="360"/>
              <w:rPr>
                <w:rFonts w:ascii="Calibri" w:hAnsi="Calibri" w:cs="Calibri"/>
                <w:color w:val="000000" w:themeColor="text1"/>
                <w:sz w:val="22"/>
                <w:szCs w:val="22"/>
              </w:rPr>
            </w:pPr>
            <w:r w:rsidRPr="001F01DB">
              <w:rPr>
                <w:rFonts w:ascii="Calibri" w:hAnsi="Calibri" w:cs="Calibri"/>
                <w:color w:val="000000" w:themeColor="text1"/>
                <w:sz w:val="22"/>
                <w:szCs w:val="22"/>
              </w:rPr>
              <w:t>OI</w:t>
            </w:r>
          </w:p>
        </w:tc>
        <w:tc>
          <w:tcPr>
            <w:tcW w:w="8220" w:type="dxa"/>
            <w:noWrap/>
            <w:hideMark/>
          </w:tcPr>
          <w:p w14:paraId="1E928055" w14:textId="77777777" w:rsidR="001F01DB" w:rsidRPr="001F01DB" w:rsidRDefault="001F01DB" w:rsidP="001F01DB">
            <w:pPr>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1F01DB">
              <w:rPr>
                <w:rFonts w:ascii="Calibri" w:hAnsi="Calibri" w:cs="Calibri"/>
                <w:color w:val="000000" w:themeColor="text1"/>
                <w:sz w:val="22"/>
                <w:szCs w:val="22"/>
              </w:rPr>
              <w:t>Project Management</w:t>
            </w:r>
          </w:p>
        </w:tc>
      </w:tr>
      <w:tr w:rsidR="001F01DB" w:rsidRPr="001F01DB" w14:paraId="51EDF98B" w14:textId="77777777" w:rsidTr="001F01DB">
        <w:trPr>
          <w:trHeight w:val="300"/>
        </w:trPr>
        <w:tc>
          <w:tcPr>
            <w:cnfStyle w:val="001000000000" w:firstRow="0" w:lastRow="0" w:firstColumn="1" w:lastColumn="0" w:oddVBand="0" w:evenVBand="0" w:oddHBand="0" w:evenHBand="0" w:firstRowFirstColumn="0" w:firstRowLastColumn="0" w:lastRowFirstColumn="0" w:lastRowLastColumn="0"/>
            <w:tcW w:w="1332" w:type="dxa"/>
            <w:noWrap/>
            <w:hideMark/>
          </w:tcPr>
          <w:p w14:paraId="65812D94" w14:textId="77777777" w:rsidR="001F01DB" w:rsidRPr="001F01DB" w:rsidRDefault="001F01DB" w:rsidP="001F01DB">
            <w:pPr>
              <w:numPr>
                <w:ilvl w:val="0"/>
                <w:numId w:val="0"/>
              </w:numPr>
              <w:spacing w:before="0" w:after="0"/>
              <w:ind w:left="360"/>
              <w:rPr>
                <w:rFonts w:ascii="Calibri" w:hAnsi="Calibri" w:cs="Calibri"/>
                <w:color w:val="000000" w:themeColor="text1"/>
                <w:sz w:val="22"/>
                <w:szCs w:val="22"/>
              </w:rPr>
            </w:pPr>
            <w:r w:rsidRPr="001F01DB">
              <w:rPr>
                <w:rFonts w:ascii="Calibri" w:hAnsi="Calibri" w:cs="Calibri"/>
                <w:color w:val="000000" w:themeColor="text1"/>
                <w:sz w:val="22"/>
                <w:szCs w:val="22"/>
              </w:rPr>
              <w:t>OI</w:t>
            </w:r>
          </w:p>
        </w:tc>
        <w:tc>
          <w:tcPr>
            <w:tcW w:w="8220" w:type="dxa"/>
            <w:noWrap/>
            <w:hideMark/>
          </w:tcPr>
          <w:p w14:paraId="27BE7DD4" w14:textId="77777777" w:rsidR="001F01DB" w:rsidRPr="001F01DB" w:rsidRDefault="001F01DB" w:rsidP="001F01DB">
            <w:pPr>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1F01DB">
              <w:rPr>
                <w:rFonts w:ascii="Calibri" w:hAnsi="Calibri" w:cs="Calibri"/>
                <w:color w:val="000000" w:themeColor="text1"/>
                <w:sz w:val="22"/>
                <w:szCs w:val="22"/>
              </w:rPr>
              <w:t>Design Review of Infrastructure Works</w:t>
            </w:r>
          </w:p>
        </w:tc>
      </w:tr>
      <w:tr w:rsidR="001F01DB" w:rsidRPr="001F01DB" w14:paraId="2D87A427" w14:textId="77777777" w:rsidTr="001F01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2" w:type="dxa"/>
            <w:noWrap/>
            <w:hideMark/>
          </w:tcPr>
          <w:p w14:paraId="318B26EF" w14:textId="77777777" w:rsidR="001F01DB" w:rsidRPr="001F01DB" w:rsidRDefault="001F01DB" w:rsidP="001F01DB">
            <w:pPr>
              <w:numPr>
                <w:ilvl w:val="0"/>
                <w:numId w:val="0"/>
              </w:numPr>
              <w:spacing w:before="0" w:after="0"/>
              <w:ind w:left="360"/>
              <w:rPr>
                <w:rFonts w:ascii="Calibri" w:hAnsi="Calibri" w:cs="Calibri"/>
                <w:color w:val="000000" w:themeColor="text1"/>
                <w:sz w:val="22"/>
                <w:szCs w:val="22"/>
              </w:rPr>
            </w:pPr>
            <w:r w:rsidRPr="001F01DB">
              <w:rPr>
                <w:rFonts w:ascii="Calibri" w:hAnsi="Calibri" w:cs="Calibri"/>
                <w:color w:val="000000" w:themeColor="text1"/>
                <w:sz w:val="22"/>
                <w:szCs w:val="22"/>
              </w:rPr>
              <w:t>OI</w:t>
            </w:r>
          </w:p>
        </w:tc>
        <w:tc>
          <w:tcPr>
            <w:tcW w:w="8220" w:type="dxa"/>
            <w:noWrap/>
            <w:hideMark/>
          </w:tcPr>
          <w:p w14:paraId="426165B5" w14:textId="77777777" w:rsidR="001F01DB" w:rsidRPr="001F01DB" w:rsidRDefault="001F01DB" w:rsidP="001F01DB">
            <w:pPr>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1F01DB">
              <w:rPr>
                <w:rFonts w:ascii="Calibri" w:hAnsi="Calibri" w:cs="Calibri"/>
                <w:color w:val="000000" w:themeColor="text1"/>
                <w:sz w:val="22"/>
                <w:szCs w:val="22"/>
              </w:rPr>
              <w:t>Quality Management</w:t>
            </w:r>
          </w:p>
        </w:tc>
      </w:tr>
      <w:tr w:rsidR="001F01DB" w:rsidRPr="001F01DB" w14:paraId="56BF5F21" w14:textId="77777777" w:rsidTr="001F01DB">
        <w:trPr>
          <w:trHeight w:val="300"/>
        </w:trPr>
        <w:tc>
          <w:tcPr>
            <w:cnfStyle w:val="001000000000" w:firstRow="0" w:lastRow="0" w:firstColumn="1" w:lastColumn="0" w:oddVBand="0" w:evenVBand="0" w:oddHBand="0" w:evenHBand="0" w:firstRowFirstColumn="0" w:firstRowLastColumn="0" w:lastRowFirstColumn="0" w:lastRowLastColumn="0"/>
            <w:tcW w:w="1332" w:type="dxa"/>
            <w:noWrap/>
            <w:hideMark/>
          </w:tcPr>
          <w:p w14:paraId="47B12603" w14:textId="77777777" w:rsidR="001F01DB" w:rsidRPr="001F01DB" w:rsidRDefault="001F01DB" w:rsidP="001F01DB">
            <w:pPr>
              <w:numPr>
                <w:ilvl w:val="0"/>
                <w:numId w:val="0"/>
              </w:numPr>
              <w:spacing w:before="0" w:after="0"/>
              <w:ind w:left="360"/>
              <w:rPr>
                <w:rFonts w:ascii="Calibri" w:hAnsi="Calibri" w:cs="Calibri"/>
                <w:color w:val="000000" w:themeColor="text1"/>
                <w:sz w:val="22"/>
                <w:szCs w:val="22"/>
              </w:rPr>
            </w:pPr>
            <w:r w:rsidRPr="001F01DB">
              <w:rPr>
                <w:rFonts w:ascii="Calibri" w:hAnsi="Calibri" w:cs="Calibri"/>
                <w:color w:val="000000" w:themeColor="text1"/>
                <w:sz w:val="22"/>
                <w:szCs w:val="22"/>
              </w:rPr>
              <w:t>OI</w:t>
            </w:r>
          </w:p>
        </w:tc>
        <w:tc>
          <w:tcPr>
            <w:tcW w:w="8220" w:type="dxa"/>
            <w:noWrap/>
            <w:hideMark/>
          </w:tcPr>
          <w:p w14:paraId="720C239E" w14:textId="77777777" w:rsidR="001F01DB" w:rsidRPr="001F01DB" w:rsidRDefault="001F01DB" w:rsidP="001F01DB">
            <w:pPr>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1F01DB">
              <w:rPr>
                <w:rFonts w:ascii="Calibri" w:hAnsi="Calibri" w:cs="Calibri"/>
                <w:color w:val="000000" w:themeColor="text1"/>
                <w:sz w:val="22"/>
                <w:szCs w:val="22"/>
              </w:rPr>
              <w:t>Construction Supervision</w:t>
            </w:r>
          </w:p>
        </w:tc>
      </w:tr>
      <w:tr w:rsidR="001F01DB" w:rsidRPr="001F01DB" w14:paraId="1D3A7797" w14:textId="77777777" w:rsidTr="001F01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2" w:type="dxa"/>
            <w:noWrap/>
            <w:hideMark/>
          </w:tcPr>
          <w:p w14:paraId="06B16336" w14:textId="77777777" w:rsidR="001F01DB" w:rsidRPr="001F01DB" w:rsidRDefault="001F01DB" w:rsidP="001F01DB">
            <w:pPr>
              <w:numPr>
                <w:ilvl w:val="0"/>
                <w:numId w:val="0"/>
              </w:numPr>
              <w:spacing w:before="0" w:after="0"/>
              <w:ind w:left="360"/>
              <w:rPr>
                <w:rFonts w:ascii="Calibri" w:hAnsi="Calibri" w:cs="Calibri"/>
                <w:color w:val="000000" w:themeColor="text1"/>
                <w:sz w:val="22"/>
                <w:szCs w:val="22"/>
              </w:rPr>
            </w:pPr>
            <w:r w:rsidRPr="001F01DB">
              <w:rPr>
                <w:rFonts w:ascii="Calibri" w:hAnsi="Calibri" w:cs="Calibri"/>
                <w:color w:val="000000" w:themeColor="text1"/>
                <w:sz w:val="22"/>
                <w:szCs w:val="22"/>
              </w:rPr>
              <w:t>OI</w:t>
            </w:r>
          </w:p>
        </w:tc>
        <w:tc>
          <w:tcPr>
            <w:tcW w:w="8220" w:type="dxa"/>
            <w:noWrap/>
            <w:hideMark/>
          </w:tcPr>
          <w:p w14:paraId="5E37C982" w14:textId="77777777" w:rsidR="001F01DB" w:rsidRPr="001F01DB" w:rsidRDefault="001F01DB" w:rsidP="001F01DB">
            <w:pPr>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1F01DB">
              <w:rPr>
                <w:rFonts w:ascii="Calibri" w:hAnsi="Calibri" w:cs="Calibri"/>
                <w:color w:val="000000" w:themeColor="text1"/>
                <w:sz w:val="22"/>
                <w:szCs w:val="22"/>
              </w:rPr>
              <w:t>UNOPS Works Contracts</w:t>
            </w:r>
          </w:p>
        </w:tc>
      </w:tr>
      <w:tr w:rsidR="001F01DB" w:rsidRPr="001F01DB" w14:paraId="1A24B5D3" w14:textId="77777777" w:rsidTr="001F01DB">
        <w:trPr>
          <w:trHeight w:val="300"/>
        </w:trPr>
        <w:tc>
          <w:tcPr>
            <w:cnfStyle w:val="001000000000" w:firstRow="0" w:lastRow="0" w:firstColumn="1" w:lastColumn="0" w:oddVBand="0" w:evenVBand="0" w:oddHBand="0" w:evenHBand="0" w:firstRowFirstColumn="0" w:firstRowLastColumn="0" w:lastRowFirstColumn="0" w:lastRowLastColumn="0"/>
            <w:tcW w:w="1332" w:type="dxa"/>
            <w:noWrap/>
            <w:hideMark/>
          </w:tcPr>
          <w:p w14:paraId="670A9CE4" w14:textId="77777777" w:rsidR="001F01DB" w:rsidRPr="001F01DB" w:rsidRDefault="001F01DB" w:rsidP="001F01DB">
            <w:pPr>
              <w:numPr>
                <w:ilvl w:val="0"/>
                <w:numId w:val="0"/>
              </w:numPr>
              <w:spacing w:before="0" w:after="0"/>
              <w:ind w:left="360"/>
              <w:rPr>
                <w:rFonts w:ascii="Calibri" w:hAnsi="Calibri" w:cs="Calibri"/>
                <w:color w:val="000000" w:themeColor="text1"/>
                <w:sz w:val="22"/>
                <w:szCs w:val="22"/>
              </w:rPr>
            </w:pPr>
            <w:r w:rsidRPr="001F01DB">
              <w:rPr>
                <w:rFonts w:ascii="Calibri" w:hAnsi="Calibri" w:cs="Calibri"/>
                <w:color w:val="000000" w:themeColor="text1"/>
                <w:sz w:val="22"/>
                <w:szCs w:val="22"/>
              </w:rPr>
              <w:t>OI</w:t>
            </w:r>
          </w:p>
        </w:tc>
        <w:tc>
          <w:tcPr>
            <w:tcW w:w="8220" w:type="dxa"/>
            <w:noWrap/>
            <w:hideMark/>
          </w:tcPr>
          <w:p w14:paraId="1D31CA25" w14:textId="77777777" w:rsidR="001F01DB" w:rsidRPr="001F01DB" w:rsidRDefault="001F01DB" w:rsidP="001F01DB">
            <w:pPr>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1F01DB">
              <w:rPr>
                <w:rFonts w:ascii="Calibri" w:hAnsi="Calibri" w:cs="Calibri"/>
                <w:color w:val="000000" w:themeColor="text1"/>
                <w:sz w:val="22"/>
                <w:szCs w:val="22"/>
              </w:rPr>
              <w:t>Protection Against Retaliation</w:t>
            </w:r>
          </w:p>
        </w:tc>
      </w:tr>
      <w:tr w:rsidR="001F01DB" w:rsidRPr="001F01DB" w14:paraId="347860C3" w14:textId="77777777" w:rsidTr="001F01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2" w:type="dxa"/>
            <w:noWrap/>
            <w:hideMark/>
          </w:tcPr>
          <w:p w14:paraId="0D6024F7" w14:textId="77777777" w:rsidR="001F01DB" w:rsidRPr="001F01DB" w:rsidRDefault="001F01DB" w:rsidP="001F01DB">
            <w:pPr>
              <w:numPr>
                <w:ilvl w:val="0"/>
                <w:numId w:val="0"/>
              </w:numPr>
              <w:spacing w:before="0" w:after="0"/>
              <w:ind w:left="360"/>
              <w:rPr>
                <w:rFonts w:ascii="Calibri" w:hAnsi="Calibri" w:cs="Calibri"/>
                <w:color w:val="000000" w:themeColor="text1"/>
                <w:sz w:val="22"/>
                <w:szCs w:val="22"/>
              </w:rPr>
            </w:pPr>
            <w:r w:rsidRPr="001F01DB">
              <w:rPr>
                <w:rFonts w:ascii="Calibri" w:hAnsi="Calibri" w:cs="Calibri"/>
                <w:color w:val="000000" w:themeColor="text1"/>
                <w:sz w:val="22"/>
                <w:szCs w:val="22"/>
              </w:rPr>
              <w:t>OI</w:t>
            </w:r>
          </w:p>
        </w:tc>
        <w:tc>
          <w:tcPr>
            <w:tcW w:w="8220" w:type="dxa"/>
            <w:noWrap/>
            <w:hideMark/>
          </w:tcPr>
          <w:p w14:paraId="3C76CBE2" w14:textId="77777777" w:rsidR="001F01DB" w:rsidRPr="001F01DB" w:rsidRDefault="001F01DB" w:rsidP="001F01DB">
            <w:pPr>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1F01DB">
              <w:rPr>
                <w:rFonts w:ascii="Calibri" w:hAnsi="Calibri" w:cs="Calibri"/>
                <w:color w:val="000000" w:themeColor="text1"/>
                <w:sz w:val="22"/>
                <w:szCs w:val="22"/>
              </w:rPr>
              <w:t>Financial Disclosures and Conflict of Interest Statements</w:t>
            </w:r>
          </w:p>
        </w:tc>
      </w:tr>
      <w:tr w:rsidR="001F01DB" w:rsidRPr="001F01DB" w14:paraId="7DDA1A49" w14:textId="77777777" w:rsidTr="001F01DB">
        <w:trPr>
          <w:trHeight w:val="300"/>
        </w:trPr>
        <w:tc>
          <w:tcPr>
            <w:cnfStyle w:val="001000000000" w:firstRow="0" w:lastRow="0" w:firstColumn="1" w:lastColumn="0" w:oddVBand="0" w:evenVBand="0" w:oddHBand="0" w:evenHBand="0" w:firstRowFirstColumn="0" w:firstRowLastColumn="0" w:lastRowFirstColumn="0" w:lastRowLastColumn="0"/>
            <w:tcW w:w="1332" w:type="dxa"/>
            <w:noWrap/>
            <w:hideMark/>
          </w:tcPr>
          <w:p w14:paraId="0924F382" w14:textId="77777777" w:rsidR="001F01DB" w:rsidRPr="001F01DB" w:rsidRDefault="001F01DB" w:rsidP="001F01DB">
            <w:pPr>
              <w:numPr>
                <w:ilvl w:val="0"/>
                <w:numId w:val="0"/>
              </w:numPr>
              <w:spacing w:before="0" w:after="0"/>
              <w:ind w:left="360"/>
              <w:rPr>
                <w:rFonts w:ascii="Calibri" w:hAnsi="Calibri" w:cs="Calibri"/>
                <w:color w:val="000000" w:themeColor="text1"/>
                <w:sz w:val="22"/>
                <w:szCs w:val="22"/>
              </w:rPr>
            </w:pPr>
            <w:r w:rsidRPr="001F01DB">
              <w:rPr>
                <w:rFonts w:ascii="Calibri" w:hAnsi="Calibri" w:cs="Calibri"/>
                <w:color w:val="000000" w:themeColor="text1"/>
                <w:sz w:val="22"/>
                <w:szCs w:val="22"/>
              </w:rPr>
              <w:t>OI</w:t>
            </w:r>
          </w:p>
        </w:tc>
        <w:tc>
          <w:tcPr>
            <w:tcW w:w="8220" w:type="dxa"/>
            <w:noWrap/>
            <w:hideMark/>
          </w:tcPr>
          <w:p w14:paraId="699E6D75" w14:textId="77777777" w:rsidR="001F01DB" w:rsidRPr="001F01DB" w:rsidRDefault="001F01DB" w:rsidP="001F01DB">
            <w:pPr>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1F01DB">
              <w:rPr>
                <w:rFonts w:ascii="Calibri" w:hAnsi="Calibri" w:cs="Calibri"/>
                <w:color w:val="000000" w:themeColor="text1"/>
                <w:sz w:val="22"/>
                <w:szCs w:val="22"/>
              </w:rPr>
              <w:t>Prohibition of Accepting Gifts</w:t>
            </w:r>
          </w:p>
        </w:tc>
      </w:tr>
      <w:tr w:rsidR="001F01DB" w:rsidRPr="001F01DB" w14:paraId="337427EF" w14:textId="77777777" w:rsidTr="001F01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2" w:type="dxa"/>
            <w:noWrap/>
            <w:hideMark/>
          </w:tcPr>
          <w:p w14:paraId="332F5B3B" w14:textId="77777777" w:rsidR="001F01DB" w:rsidRPr="001F01DB" w:rsidRDefault="001F01DB" w:rsidP="001F01DB">
            <w:pPr>
              <w:numPr>
                <w:ilvl w:val="0"/>
                <w:numId w:val="0"/>
              </w:numPr>
              <w:spacing w:before="0" w:after="0"/>
              <w:ind w:left="360"/>
              <w:rPr>
                <w:rFonts w:ascii="Calibri" w:hAnsi="Calibri" w:cs="Calibri"/>
                <w:color w:val="000000" w:themeColor="text1"/>
                <w:sz w:val="22"/>
                <w:szCs w:val="22"/>
              </w:rPr>
            </w:pPr>
            <w:r w:rsidRPr="001F01DB">
              <w:rPr>
                <w:rFonts w:ascii="Calibri" w:hAnsi="Calibri" w:cs="Calibri"/>
                <w:color w:val="000000" w:themeColor="text1"/>
                <w:sz w:val="22"/>
                <w:szCs w:val="22"/>
              </w:rPr>
              <w:t>OI</w:t>
            </w:r>
          </w:p>
        </w:tc>
        <w:tc>
          <w:tcPr>
            <w:tcW w:w="8220" w:type="dxa"/>
            <w:noWrap/>
            <w:hideMark/>
          </w:tcPr>
          <w:p w14:paraId="3ACBB1E3" w14:textId="77777777" w:rsidR="001F01DB" w:rsidRPr="001F01DB" w:rsidRDefault="001F01DB" w:rsidP="001F01DB">
            <w:pPr>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1F01DB">
              <w:rPr>
                <w:rFonts w:ascii="Calibri" w:hAnsi="Calibri" w:cs="Calibri"/>
                <w:color w:val="000000" w:themeColor="text1"/>
                <w:sz w:val="22"/>
                <w:szCs w:val="22"/>
              </w:rPr>
              <w:t>Official Duty Travel</w:t>
            </w:r>
          </w:p>
        </w:tc>
      </w:tr>
      <w:tr w:rsidR="001F01DB" w:rsidRPr="001F01DB" w14:paraId="5E26EAFF" w14:textId="77777777" w:rsidTr="001F01DB">
        <w:trPr>
          <w:trHeight w:val="300"/>
        </w:trPr>
        <w:tc>
          <w:tcPr>
            <w:cnfStyle w:val="001000000000" w:firstRow="0" w:lastRow="0" w:firstColumn="1" w:lastColumn="0" w:oddVBand="0" w:evenVBand="0" w:oddHBand="0" w:evenHBand="0" w:firstRowFirstColumn="0" w:firstRowLastColumn="0" w:lastRowFirstColumn="0" w:lastRowLastColumn="0"/>
            <w:tcW w:w="1332" w:type="dxa"/>
            <w:noWrap/>
            <w:hideMark/>
          </w:tcPr>
          <w:p w14:paraId="0A2CC6D5" w14:textId="77777777" w:rsidR="001F01DB" w:rsidRPr="001F01DB" w:rsidRDefault="001F01DB" w:rsidP="001F01DB">
            <w:pPr>
              <w:numPr>
                <w:ilvl w:val="0"/>
                <w:numId w:val="0"/>
              </w:numPr>
              <w:spacing w:before="0" w:after="0"/>
              <w:ind w:left="360"/>
              <w:rPr>
                <w:rFonts w:ascii="Calibri" w:hAnsi="Calibri" w:cs="Calibri"/>
                <w:color w:val="000000" w:themeColor="text1"/>
                <w:sz w:val="22"/>
                <w:szCs w:val="22"/>
              </w:rPr>
            </w:pPr>
            <w:r w:rsidRPr="001F01DB">
              <w:rPr>
                <w:rFonts w:ascii="Calibri" w:hAnsi="Calibri" w:cs="Calibri"/>
                <w:color w:val="000000" w:themeColor="text1"/>
                <w:sz w:val="22"/>
                <w:szCs w:val="22"/>
              </w:rPr>
              <w:t>OI</w:t>
            </w:r>
          </w:p>
        </w:tc>
        <w:tc>
          <w:tcPr>
            <w:tcW w:w="8220" w:type="dxa"/>
            <w:noWrap/>
            <w:hideMark/>
          </w:tcPr>
          <w:p w14:paraId="72D48609" w14:textId="77777777" w:rsidR="001F01DB" w:rsidRPr="001F01DB" w:rsidRDefault="001F01DB" w:rsidP="001F01DB">
            <w:pPr>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1F01DB">
              <w:rPr>
                <w:rFonts w:ascii="Calibri" w:hAnsi="Calibri" w:cs="Calibri"/>
                <w:color w:val="000000" w:themeColor="text1"/>
                <w:sz w:val="22"/>
                <w:szCs w:val="22"/>
              </w:rPr>
              <w:t>Investigations and Measures Relating to Misconduct Allegations Against UNOPS Personnel</w:t>
            </w:r>
          </w:p>
        </w:tc>
      </w:tr>
      <w:tr w:rsidR="001F01DB" w:rsidRPr="001F01DB" w14:paraId="088145CE" w14:textId="77777777" w:rsidTr="001F01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2" w:type="dxa"/>
            <w:noWrap/>
            <w:hideMark/>
          </w:tcPr>
          <w:p w14:paraId="16122FDA" w14:textId="77777777" w:rsidR="001F01DB" w:rsidRPr="001F01DB" w:rsidRDefault="001F01DB" w:rsidP="001F01DB">
            <w:pPr>
              <w:numPr>
                <w:ilvl w:val="0"/>
                <w:numId w:val="0"/>
              </w:numPr>
              <w:spacing w:before="0" w:after="0"/>
              <w:ind w:left="360"/>
              <w:rPr>
                <w:rFonts w:ascii="Calibri" w:hAnsi="Calibri" w:cs="Calibri"/>
                <w:color w:val="000000" w:themeColor="text1"/>
                <w:sz w:val="22"/>
                <w:szCs w:val="22"/>
              </w:rPr>
            </w:pPr>
            <w:r w:rsidRPr="001F01DB">
              <w:rPr>
                <w:rFonts w:ascii="Calibri" w:hAnsi="Calibri" w:cs="Calibri"/>
                <w:color w:val="000000" w:themeColor="text1"/>
                <w:sz w:val="22"/>
                <w:szCs w:val="22"/>
              </w:rPr>
              <w:t>OI</w:t>
            </w:r>
          </w:p>
        </w:tc>
        <w:tc>
          <w:tcPr>
            <w:tcW w:w="8220" w:type="dxa"/>
            <w:noWrap/>
            <w:hideMark/>
          </w:tcPr>
          <w:p w14:paraId="52C2714C" w14:textId="77777777" w:rsidR="001F01DB" w:rsidRPr="001F01DB" w:rsidRDefault="001F01DB" w:rsidP="001F01DB">
            <w:pPr>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1F01DB">
              <w:rPr>
                <w:rFonts w:ascii="Calibri" w:hAnsi="Calibri" w:cs="Calibri"/>
                <w:color w:val="000000" w:themeColor="text1"/>
                <w:sz w:val="22"/>
                <w:szCs w:val="22"/>
              </w:rPr>
              <w:t>Policy to Address Fraud and Corruption</w:t>
            </w:r>
          </w:p>
        </w:tc>
      </w:tr>
      <w:tr w:rsidR="001F01DB" w:rsidRPr="001F01DB" w14:paraId="772B1B46" w14:textId="77777777" w:rsidTr="001F01DB">
        <w:trPr>
          <w:trHeight w:val="300"/>
        </w:trPr>
        <w:tc>
          <w:tcPr>
            <w:cnfStyle w:val="001000000000" w:firstRow="0" w:lastRow="0" w:firstColumn="1" w:lastColumn="0" w:oddVBand="0" w:evenVBand="0" w:oddHBand="0" w:evenHBand="0" w:firstRowFirstColumn="0" w:firstRowLastColumn="0" w:lastRowFirstColumn="0" w:lastRowLastColumn="0"/>
            <w:tcW w:w="1332" w:type="dxa"/>
            <w:noWrap/>
            <w:hideMark/>
          </w:tcPr>
          <w:p w14:paraId="625FB777" w14:textId="77777777" w:rsidR="001F01DB" w:rsidRPr="001F01DB" w:rsidRDefault="001F01DB" w:rsidP="001F01DB">
            <w:pPr>
              <w:numPr>
                <w:ilvl w:val="0"/>
                <w:numId w:val="0"/>
              </w:numPr>
              <w:spacing w:before="0" w:after="0"/>
              <w:ind w:left="360"/>
              <w:rPr>
                <w:rFonts w:ascii="Calibri" w:hAnsi="Calibri" w:cs="Calibri"/>
                <w:color w:val="000000" w:themeColor="text1"/>
                <w:sz w:val="22"/>
                <w:szCs w:val="22"/>
              </w:rPr>
            </w:pPr>
            <w:r w:rsidRPr="001F01DB">
              <w:rPr>
                <w:rFonts w:ascii="Calibri" w:hAnsi="Calibri" w:cs="Calibri"/>
                <w:color w:val="000000" w:themeColor="text1"/>
                <w:sz w:val="22"/>
                <w:szCs w:val="22"/>
              </w:rPr>
              <w:t>OI</w:t>
            </w:r>
          </w:p>
        </w:tc>
        <w:tc>
          <w:tcPr>
            <w:tcW w:w="8220" w:type="dxa"/>
            <w:noWrap/>
            <w:hideMark/>
          </w:tcPr>
          <w:p w14:paraId="0D0E42F3" w14:textId="77777777" w:rsidR="001F01DB" w:rsidRPr="001F01DB" w:rsidRDefault="001F01DB" w:rsidP="001F01DB">
            <w:pPr>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1F01DB">
              <w:rPr>
                <w:rFonts w:ascii="Calibri" w:hAnsi="Calibri" w:cs="Calibri"/>
                <w:color w:val="000000" w:themeColor="text1"/>
                <w:sz w:val="22"/>
                <w:szCs w:val="22"/>
              </w:rPr>
              <w:t>Aviation Safety</w:t>
            </w:r>
          </w:p>
        </w:tc>
      </w:tr>
      <w:tr w:rsidR="001F01DB" w:rsidRPr="001F01DB" w14:paraId="0FAC13C6" w14:textId="77777777" w:rsidTr="001F01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2" w:type="dxa"/>
            <w:noWrap/>
            <w:hideMark/>
          </w:tcPr>
          <w:p w14:paraId="4BC232B5" w14:textId="77777777" w:rsidR="001F01DB" w:rsidRPr="001F01DB" w:rsidRDefault="001F01DB" w:rsidP="001F01DB">
            <w:pPr>
              <w:numPr>
                <w:ilvl w:val="0"/>
                <w:numId w:val="0"/>
              </w:numPr>
              <w:spacing w:before="0" w:after="0"/>
              <w:ind w:left="360"/>
              <w:rPr>
                <w:rFonts w:ascii="Calibri" w:hAnsi="Calibri" w:cs="Calibri"/>
                <w:color w:val="000000" w:themeColor="text1"/>
                <w:sz w:val="22"/>
                <w:szCs w:val="22"/>
              </w:rPr>
            </w:pPr>
            <w:r w:rsidRPr="001F01DB">
              <w:rPr>
                <w:rFonts w:ascii="Calibri" w:hAnsi="Calibri" w:cs="Calibri"/>
                <w:color w:val="000000" w:themeColor="text1"/>
                <w:sz w:val="22"/>
                <w:szCs w:val="22"/>
              </w:rPr>
              <w:t>OI</w:t>
            </w:r>
          </w:p>
        </w:tc>
        <w:tc>
          <w:tcPr>
            <w:tcW w:w="8220" w:type="dxa"/>
            <w:noWrap/>
            <w:hideMark/>
          </w:tcPr>
          <w:p w14:paraId="74202158" w14:textId="77777777" w:rsidR="001F01DB" w:rsidRPr="001F01DB" w:rsidRDefault="001F01DB" w:rsidP="001F01DB">
            <w:pPr>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1F01DB">
              <w:rPr>
                <w:rFonts w:ascii="Calibri" w:hAnsi="Calibri" w:cs="Calibri"/>
                <w:color w:val="000000" w:themeColor="text1"/>
                <w:sz w:val="22"/>
                <w:szCs w:val="22"/>
              </w:rPr>
              <w:t>Safety and Security Management</w:t>
            </w:r>
          </w:p>
        </w:tc>
      </w:tr>
      <w:tr w:rsidR="001F01DB" w:rsidRPr="001F01DB" w14:paraId="396FF36C" w14:textId="77777777" w:rsidTr="001F01DB">
        <w:trPr>
          <w:trHeight w:val="300"/>
        </w:trPr>
        <w:tc>
          <w:tcPr>
            <w:cnfStyle w:val="001000000000" w:firstRow="0" w:lastRow="0" w:firstColumn="1" w:lastColumn="0" w:oddVBand="0" w:evenVBand="0" w:oddHBand="0" w:evenHBand="0" w:firstRowFirstColumn="0" w:firstRowLastColumn="0" w:lastRowFirstColumn="0" w:lastRowLastColumn="0"/>
            <w:tcW w:w="1332" w:type="dxa"/>
            <w:noWrap/>
            <w:hideMark/>
          </w:tcPr>
          <w:p w14:paraId="270A08D9" w14:textId="77777777" w:rsidR="001F01DB" w:rsidRPr="001F01DB" w:rsidRDefault="001F01DB" w:rsidP="001F01DB">
            <w:pPr>
              <w:numPr>
                <w:ilvl w:val="0"/>
                <w:numId w:val="0"/>
              </w:numPr>
              <w:spacing w:before="0" w:after="0"/>
              <w:ind w:left="360"/>
              <w:rPr>
                <w:rFonts w:ascii="Calibri" w:hAnsi="Calibri" w:cs="Calibri"/>
                <w:color w:val="000000" w:themeColor="text1"/>
                <w:sz w:val="22"/>
                <w:szCs w:val="22"/>
              </w:rPr>
            </w:pPr>
            <w:r w:rsidRPr="001F01DB">
              <w:rPr>
                <w:rFonts w:ascii="Calibri" w:hAnsi="Calibri" w:cs="Calibri"/>
                <w:color w:val="000000" w:themeColor="text1"/>
                <w:sz w:val="22"/>
                <w:szCs w:val="22"/>
              </w:rPr>
              <w:t>AI</w:t>
            </w:r>
          </w:p>
        </w:tc>
        <w:tc>
          <w:tcPr>
            <w:tcW w:w="8220" w:type="dxa"/>
            <w:noWrap/>
            <w:hideMark/>
          </w:tcPr>
          <w:p w14:paraId="47022C72" w14:textId="77777777" w:rsidR="001F01DB" w:rsidRPr="001F01DB" w:rsidRDefault="001F01DB" w:rsidP="001F01DB">
            <w:pPr>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1F01DB">
              <w:rPr>
                <w:rFonts w:ascii="Calibri" w:hAnsi="Calibri" w:cs="Calibri"/>
                <w:color w:val="000000" w:themeColor="text1"/>
                <w:sz w:val="22"/>
                <w:szCs w:val="22"/>
              </w:rPr>
              <w:t>Engagement Acceptance</w:t>
            </w:r>
          </w:p>
        </w:tc>
      </w:tr>
      <w:tr w:rsidR="001F01DB" w:rsidRPr="001F01DB" w14:paraId="3F38C1F9" w14:textId="77777777" w:rsidTr="001F01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2" w:type="dxa"/>
            <w:noWrap/>
            <w:hideMark/>
          </w:tcPr>
          <w:p w14:paraId="16DA4031" w14:textId="77777777" w:rsidR="001F01DB" w:rsidRPr="001F01DB" w:rsidRDefault="001F01DB" w:rsidP="001F01DB">
            <w:pPr>
              <w:numPr>
                <w:ilvl w:val="0"/>
                <w:numId w:val="0"/>
              </w:numPr>
              <w:spacing w:before="0" w:after="0"/>
              <w:ind w:left="360"/>
              <w:rPr>
                <w:rFonts w:ascii="Calibri" w:hAnsi="Calibri" w:cs="Calibri"/>
                <w:color w:val="000000" w:themeColor="text1"/>
                <w:sz w:val="22"/>
                <w:szCs w:val="22"/>
              </w:rPr>
            </w:pPr>
            <w:r w:rsidRPr="001F01DB">
              <w:rPr>
                <w:rFonts w:ascii="Calibri" w:hAnsi="Calibri" w:cs="Calibri"/>
                <w:color w:val="000000" w:themeColor="text1"/>
                <w:sz w:val="22"/>
                <w:szCs w:val="22"/>
              </w:rPr>
              <w:t>AI</w:t>
            </w:r>
          </w:p>
        </w:tc>
        <w:tc>
          <w:tcPr>
            <w:tcW w:w="8220" w:type="dxa"/>
            <w:noWrap/>
            <w:hideMark/>
          </w:tcPr>
          <w:p w14:paraId="4DDD55FE" w14:textId="77777777" w:rsidR="001F01DB" w:rsidRPr="001F01DB" w:rsidRDefault="001F01DB" w:rsidP="001F01DB">
            <w:pPr>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1F01DB">
              <w:rPr>
                <w:rFonts w:ascii="Calibri" w:hAnsi="Calibri" w:cs="Calibri"/>
                <w:color w:val="000000" w:themeColor="text1"/>
                <w:sz w:val="22"/>
                <w:szCs w:val="22"/>
              </w:rPr>
              <w:t>Grant Support</w:t>
            </w:r>
          </w:p>
        </w:tc>
      </w:tr>
      <w:tr w:rsidR="001F01DB" w:rsidRPr="001F01DB" w14:paraId="2380A282" w14:textId="77777777" w:rsidTr="001F01DB">
        <w:trPr>
          <w:trHeight w:val="300"/>
        </w:trPr>
        <w:tc>
          <w:tcPr>
            <w:cnfStyle w:val="001000000000" w:firstRow="0" w:lastRow="0" w:firstColumn="1" w:lastColumn="0" w:oddVBand="0" w:evenVBand="0" w:oddHBand="0" w:evenHBand="0" w:firstRowFirstColumn="0" w:firstRowLastColumn="0" w:lastRowFirstColumn="0" w:lastRowLastColumn="0"/>
            <w:tcW w:w="1332" w:type="dxa"/>
            <w:noWrap/>
            <w:hideMark/>
          </w:tcPr>
          <w:p w14:paraId="7F7638FB" w14:textId="77777777" w:rsidR="001F01DB" w:rsidRPr="001F01DB" w:rsidRDefault="001F01DB" w:rsidP="001F01DB">
            <w:pPr>
              <w:numPr>
                <w:ilvl w:val="0"/>
                <w:numId w:val="0"/>
              </w:numPr>
              <w:spacing w:before="0" w:after="0"/>
              <w:ind w:left="360"/>
              <w:rPr>
                <w:rFonts w:ascii="Calibri" w:hAnsi="Calibri" w:cs="Calibri"/>
                <w:color w:val="000000" w:themeColor="text1"/>
                <w:sz w:val="22"/>
                <w:szCs w:val="22"/>
              </w:rPr>
            </w:pPr>
            <w:r w:rsidRPr="001F01DB">
              <w:rPr>
                <w:rFonts w:ascii="Calibri" w:hAnsi="Calibri" w:cs="Calibri"/>
                <w:color w:val="000000" w:themeColor="text1"/>
                <w:sz w:val="22"/>
                <w:szCs w:val="22"/>
              </w:rPr>
              <w:t>AI</w:t>
            </w:r>
          </w:p>
        </w:tc>
        <w:tc>
          <w:tcPr>
            <w:tcW w:w="8220" w:type="dxa"/>
            <w:noWrap/>
            <w:hideMark/>
          </w:tcPr>
          <w:p w14:paraId="7574F8FB" w14:textId="77777777" w:rsidR="001F01DB" w:rsidRPr="001F01DB" w:rsidRDefault="001F01DB" w:rsidP="001F01DB">
            <w:pPr>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1F01DB">
              <w:rPr>
                <w:rFonts w:ascii="Calibri" w:hAnsi="Calibri" w:cs="Calibri"/>
                <w:color w:val="000000" w:themeColor="text1"/>
                <w:sz w:val="22"/>
                <w:szCs w:val="22"/>
              </w:rPr>
              <w:t>ICT Project Acceptance</w:t>
            </w:r>
          </w:p>
        </w:tc>
      </w:tr>
      <w:tr w:rsidR="001F01DB" w:rsidRPr="001F01DB" w14:paraId="69269553" w14:textId="77777777" w:rsidTr="001F01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2" w:type="dxa"/>
            <w:noWrap/>
            <w:hideMark/>
          </w:tcPr>
          <w:p w14:paraId="18E7094E" w14:textId="77777777" w:rsidR="001F01DB" w:rsidRPr="001F01DB" w:rsidRDefault="001F01DB" w:rsidP="001F01DB">
            <w:pPr>
              <w:numPr>
                <w:ilvl w:val="0"/>
                <w:numId w:val="0"/>
              </w:numPr>
              <w:spacing w:before="0" w:after="0"/>
              <w:ind w:left="360"/>
              <w:rPr>
                <w:rFonts w:ascii="Calibri" w:hAnsi="Calibri" w:cs="Calibri"/>
                <w:color w:val="000000" w:themeColor="text1"/>
                <w:sz w:val="22"/>
                <w:szCs w:val="22"/>
              </w:rPr>
            </w:pPr>
            <w:r w:rsidRPr="001F01DB">
              <w:rPr>
                <w:rFonts w:ascii="Calibri" w:hAnsi="Calibri" w:cs="Calibri"/>
                <w:color w:val="000000" w:themeColor="text1"/>
                <w:sz w:val="22"/>
                <w:szCs w:val="22"/>
              </w:rPr>
              <w:t>AI</w:t>
            </w:r>
          </w:p>
        </w:tc>
        <w:tc>
          <w:tcPr>
            <w:tcW w:w="8220" w:type="dxa"/>
            <w:noWrap/>
            <w:hideMark/>
          </w:tcPr>
          <w:p w14:paraId="725CB206" w14:textId="77777777" w:rsidR="001F01DB" w:rsidRPr="001F01DB" w:rsidRDefault="001F01DB" w:rsidP="001F01DB">
            <w:pPr>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1F01DB">
              <w:rPr>
                <w:rFonts w:ascii="Calibri" w:hAnsi="Calibri" w:cs="Calibri"/>
                <w:color w:val="000000" w:themeColor="text1"/>
                <w:sz w:val="22"/>
                <w:szCs w:val="22"/>
              </w:rPr>
              <w:t>(1) UNOPS Legal Advisors &amp; (2) Areas Requiring and Not Requiring Clearance from a UNOPS Legal Advisor</w:t>
            </w:r>
          </w:p>
        </w:tc>
      </w:tr>
      <w:tr w:rsidR="001F01DB" w:rsidRPr="001F01DB" w14:paraId="6573B4C9" w14:textId="77777777" w:rsidTr="001F01DB">
        <w:trPr>
          <w:trHeight w:val="300"/>
        </w:trPr>
        <w:tc>
          <w:tcPr>
            <w:cnfStyle w:val="001000000000" w:firstRow="0" w:lastRow="0" w:firstColumn="1" w:lastColumn="0" w:oddVBand="0" w:evenVBand="0" w:oddHBand="0" w:evenHBand="0" w:firstRowFirstColumn="0" w:firstRowLastColumn="0" w:lastRowFirstColumn="0" w:lastRowLastColumn="0"/>
            <w:tcW w:w="1332" w:type="dxa"/>
            <w:noWrap/>
            <w:hideMark/>
          </w:tcPr>
          <w:p w14:paraId="083B88D1" w14:textId="77777777" w:rsidR="001F01DB" w:rsidRPr="001F01DB" w:rsidRDefault="001F01DB" w:rsidP="001F01DB">
            <w:pPr>
              <w:numPr>
                <w:ilvl w:val="0"/>
                <w:numId w:val="0"/>
              </w:numPr>
              <w:spacing w:before="0" w:after="0"/>
              <w:ind w:left="360"/>
              <w:rPr>
                <w:rFonts w:ascii="Calibri" w:hAnsi="Calibri" w:cs="Calibri"/>
                <w:color w:val="000000" w:themeColor="text1"/>
                <w:sz w:val="22"/>
                <w:szCs w:val="22"/>
              </w:rPr>
            </w:pPr>
            <w:r w:rsidRPr="001F01DB">
              <w:rPr>
                <w:rFonts w:ascii="Calibri" w:hAnsi="Calibri" w:cs="Calibri"/>
                <w:color w:val="000000" w:themeColor="text1"/>
                <w:sz w:val="22"/>
                <w:szCs w:val="22"/>
              </w:rPr>
              <w:t>AI</w:t>
            </w:r>
          </w:p>
        </w:tc>
        <w:tc>
          <w:tcPr>
            <w:tcW w:w="8220" w:type="dxa"/>
            <w:noWrap/>
            <w:hideMark/>
          </w:tcPr>
          <w:p w14:paraId="6EFC7079" w14:textId="77777777" w:rsidR="001F01DB" w:rsidRPr="001F01DB" w:rsidRDefault="001F01DB" w:rsidP="001F01DB">
            <w:pPr>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1F01DB">
              <w:rPr>
                <w:rFonts w:ascii="Calibri" w:hAnsi="Calibri" w:cs="Calibri"/>
                <w:color w:val="000000" w:themeColor="text1"/>
                <w:sz w:val="22"/>
                <w:szCs w:val="22"/>
              </w:rPr>
              <w:t>Client Pricing</w:t>
            </w:r>
          </w:p>
        </w:tc>
      </w:tr>
      <w:tr w:rsidR="001F01DB" w:rsidRPr="001F01DB" w14:paraId="52D6F8CE" w14:textId="77777777" w:rsidTr="001F01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2" w:type="dxa"/>
            <w:noWrap/>
            <w:hideMark/>
          </w:tcPr>
          <w:p w14:paraId="22EB7357" w14:textId="77777777" w:rsidR="001F01DB" w:rsidRPr="001F01DB" w:rsidRDefault="001F01DB" w:rsidP="001F01DB">
            <w:pPr>
              <w:numPr>
                <w:ilvl w:val="0"/>
                <w:numId w:val="0"/>
              </w:numPr>
              <w:spacing w:before="0" w:after="0"/>
              <w:ind w:left="360"/>
              <w:rPr>
                <w:rFonts w:ascii="Calibri" w:hAnsi="Calibri" w:cs="Calibri"/>
                <w:color w:val="000000" w:themeColor="text1"/>
                <w:sz w:val="22"/>
                <w:szCs w:val="22"/>
              </w:rPr>
            </w:pPr>
            <w:r w:rsidRPr="001F01DB">
              <w:rPr>
                <w:rFonts w:ascii="Calibri" w:hAnsi="Calibri" w:cs="Calibri"/>
                <w:color w:val="000000" w:themeColor="text1"/>
                <w:sz w:val="22"/>
                <w:szCs w:val="22"/>
              </w:rPr>
              <w:t>AI</w:t>
            </w:r>
          </w:p>
        </w:tc>
        <w:tc>
          <w:tcPr>
            <w:tcW w:w="8220" w:type="dxa"/>
            <w:noWrap/>
            <w:hideMark/>
          </w:tcPr>
          <w:p w14:paraId="3DB48ECC" w14:textId="77777777" w:rsidR="001F01DB" w:rsidRPr="001F01DB" w:rsidRDefault="001F01DB" w:rsidP="001F01DB">
            <w:pPr>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1F01DB">
              <w:rPr>
                <w:rFonts w:ascii="Calibri" w:hAnsi="Calibri" w:cs="Calibri"/>
                <w:color w:val="000000" w:themeColor="text1"/>
                <w:sz w:val="22"/>
                <w:szCs w:val="22"/>
              </w:rPr>
              <w:t>Recovery of direct cost of shared services</w:t>
            </w:r>
          </w:p>
        </w:tc>
      </w:tr>
      <w:tr w:rsidR="001F01DB" w:rsidRPr="001F01DB" w14:paraId="5AD0E49B" w14:textId="77777777" w:rsidTr="001F01DB">
        <w:trPr>
          <w:trHeight w:val="300"/>
        </w:trPr>
        <w:tc>
          <w:tcPr>
            <w:cnfStyle w:val="001000000000" w:firstRow="0" w:lastRow="0" w:firstColumn="1" w:lastColumn="0" w:oddVBand="0" w:evenVBand="0" w:oddHBand="0" w:evenHBand="0" w:firstRowFirstColumn="0" w:firstRowLastColumn="0" w:lastRowFirstColumn="0" w:lastRowLastColumn="0"/>
            <w:tcW w:w="1332" w:type="dxa"/>
            <w:noWrap/>
            <w:hideMark/>
          </w:tcPr>
          <w:p w14:paraId="1C13E8BB" w14:textId="77777777" w:rsidR="001F01DB" w:rsidRPr="001F01DB" w:rsidRDefault="001F01DB" w:rsidP="001F01DB">
            <w:pPr>
              <w:numPr>
                <w:ilvl w:val="0"/>
                <w:numId w:val="0"/>
              </w:numPr>
              <w:spacing w:before="0" w:after="0"/>
              <w:ind w:left="360"/>
              <w:rPr>
                <w:rFonts w:ascii="Calibri" w:hAnsi="Calibri" w:cs="Calibri"/>
                <w:color w:val="000000" w:themeColor="text1"/>
                <w:sz w:val="22"/>
                <w:szCs w:val="22"/>
              </w:rPr>
            </w:pPr>
            <w:r w:rsidRPr="001F01DB">
              <w:rPr>
                <w:rFonts w:ascii="Calibri" w:hAnsi="Calibri" w:cs="Calibri"/>
                <w:color w:val="000000" w:themeColor="text1"/>
                <w:sz w:val="22"/>
                <w:szCs w:val="22"/>
              </w:rPr>
              <w:t>AI</w:t>
            </w:r>
          </w:p>
        </w:tc>
        <w:tc>
          <w:tcPr>
            <w:tcW w:w="8220" w:type="dxa"/>
            <w:noWrap/>
            <w:hideMark/>
          </w:tcPr>
          <w:p w14:paraId="42D40502" w14:textId="77777777" w:rsidR="001F01DB" w:rsidRPr="001F01DB" w:rsidRDefault="001F01DB" w:rsidP="001F01DB">
            <w:pPr>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1F01DB">
              <w:rPr>
                <w:rFonts w:ascii="Calibri" w:hAnsi="Calibri" w:cs="Calibri"/>
                <w:color w:val="000000" w:themeColor="text1"/>
                <w:sz w:val="22"/>
                <w:szCs w:val="22"/>
              </w:rPr>
              <w:t>Information disclosure</w:t>
            </w:r>
          </w:p>
        </w:tc>
      </w:tr>
      <w:tr w:rsidR="001F01DB" w:rsidRPr="001F01DB" w14:paraId="73C31621" w14:textId="77777777" w:rsidTr="001F01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2" w:type="dxa"/>
            <w:noWrap/>
            <w:hideMark/>
          </w:tcPr>
          <w:p w14:paraId="1ADF0812" w14:textId="77777777" w:rsidR="001F01DB" w:rsidRPr="001F01DB" w:rsidRDefault="001F01DB" w:rsidP="001F01DB">
            <w:pPr>
              <w:numPr>
                <w:ilvl w:val="0"/>
                <w:numId w:val="0"/>
              </w:numPr>
              <w:spacing w:before="0" w:after="0"/>
              <w:ind w:left="360"/>
              <w:rPr>
                <w:rFonts w:ascii="Calibri" w:hAnsi="Calibri" w:cs="Calibri"/>
                <w:color w:val="000000" w:themeColor="text1"/>
                <w:sz w:val="22"/>
                <w:szCs w:val="22"/>
              </w:rPr>
            </w:pPr>
            <w:r w:rsidRPr="001F01DB">
              <w:rPr>
                <w:rFonts w:ascii="Calibri" w:hAnsi="Calibri" w:cs="Calibri"/>
                <w:color w:val="000000" w:themeColor="text1"/>
                <w:sz w:val="22"/>
                <w:szCs w:val="22"/>
              </w:rPr>
              <w:t>AI</w:t>
            </w:r>
          </w:p>
        </w:tc>
        <w:tc>
          <w:tcPr>
            <w:tcW w:w="8220" w:type="dxa"/>
            <w:noWrap/>
            <w:hideMark/>
          </w:tcPr>
          <w:p w14:paraId="79455461" w14:textId="77777777" w:rsidR="001F01DB" w:rsidRPr="001F01DB" w:rsidRDefault="001F01DB" w:rsidP="001F01DB">
            <w:pPr>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1F01DB">
              <w:rPr>
                <w:rFonts w:ascii="Calibri" w:hAnsi="Calibri" w:cs="Calibri"/>
                <w:color w:val="000000" w:themeColor="text1"/>
                <w:sz w:val="22"/>
                <w:szCs w:val="22"/>
              </w:rPr>
              <w:t>Business Continuity Planning and Disaster Recovery Framework</w:t>
            </w:r>
          </w:p>
        </w:tc>
      </w:tr>
      <w:tr w:rsidR="001F01DB" w:rsidRPr="001F01DB" w14:paraId="487D6817" w14:textId="77777777" w:rsidTr="001F01DB">
        <w:trPr>
          <w:trHeight w:val="300"/>
        </w:trPr>
        <w:tc>
          <w:tcPr>
            <w:cnfStyle w:val="001000000000" w:firstRow="0" w:lastRow="0" w:firstColumn="1" w:lastColumn="0" w:oddVBand="0" w:evenVBand="0" w:oddHBand="0" w:evenHBand="0" w:firstRowFirstColumn="0" w:firstRowLastColumn="0" w:lastRowFirstColumn="0" w:lastRowLastColumn="0"/>
            <w:tcW w:w="1332" w:type="dxa"/>
            <w:noWrap/>
            <w:hideMark/>
          </w:tcPr>
          <w:p w14:paraId="1E34EACC" w14:textId="77777777" w:rsidR="001F01DB" w:rsidRPr="001F01DB" w:rsidRDefault="001F01DB" w:rsidP="001F01DB">
            <w:pPr>
              <w:numPr>
                <w:ilvl w:val="0"/>
                <w:numId w:val="0"/>
              </w:numPr>
              <w:spacing w:before="0" w:after="0"/>
              <w:ind w:left="360"/>
              <w:rPr>
                <w:rFonts w:ascii="Calibri" w:hAnsi="Calibri" w:cs="Calibri"/>
                <w:color w:val="000000" w:themeColor="text1"/>
                <w:sz w:val="22"/>
                <w:szCs w:val="22"/>
              </w:rPr>
            </w:pPr>
            <w:r w:rsidRPr="001F01DB">
              <w:rPr>
                <w:rFonts w:ascii="Calibri" w:hAnsi="Calibri" w:cs="Calibri"/>
                <w:color w:val="000000" w:themeColor="text1"/>
                <w:sz w:val="22"/>
                <w:szCs w:val="22"/>
              </w:rPr>
              <w:t>AI</w:t>
            </w:r>
          </w:p>
        </w:tc>
        <w:tc>
          <w:tcPr>
            <w:tcW w:w="8220" w:type="dxa"/>
            <w:noWrap/>
            <w:hideMark/>
          </w:tcPr>
          <w:p w14:paraId="6F2062DB" w14:textId="77777777" w:rsidR="001F01DB" w:rsidRPr="001F01DB" w:rsidRDefault="001F01DB" w:rsidP="001F01DB">
            <w:pPr>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1F01DB">
              <w:rPr>
                <w:rFonts w:ascii="Calibri" w:hAnsi="Calibri" w:cs="Calibri"/>
                <w:color w:val="000000" w:themeColor="text1"/>
                <w:sz w:val="22"/>
                <w:szCs w:val="22"/>
              </w:rPr>
              <w:t>Status of Delegations of Authority for procurement, finance and engagement acceptance which came into effect prior to Organizational Directive 34</w:t>
            </w:r>
          </w:p>
        </w:tc>
      </w:tr>
      <w:tr w:rsidR="001F01DB" w:rsidRPr="001F01DB" w14:paraId="6D7B2841" w14:textId="77777777" w:rsidTr="001F01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2" w:type="dxa"/>
            <w:noWrap/>
            <w:hideMark/>
          </w:tcPr>
          <w:p w14:paraId="0E0F1000" w14:textId="77777777" w:rsidR="001F01DB" w:rsidRPr="001F01DB" w:rsidRDefault="001F01DB" w:rsidP="001F01DB">
            <w:pPr>
              <w:numPr>
                <w:ilvl w:val="0"/>
                <w:numId w:val="0"/>
              </w:numPr>
              <w:spacing w:before="0" w:after="0"/>
              <w:ind w:left="360"/>
              <w:rPr>
                <w:rFonts w:ascii="Calibri" w:hAnsi="Calibri" w:cs="Calibri"/>
                <w:color w:val="000000" w:themeColor="text1"/>
                <w:sz w:val="22"/>
                <w:szCs w:val="22"/>
              </w:rPr>
            </w:pPr>
            <w:r w:rsidRPr="001F01DB">
              <w:rPr>
                <w:rFonts w:ascii="Calibri" w:hAnsi="Calibri" w:cs="Calibri"/>
                <w:color w:val="000000" w:themeColor="text1"/>
                <w:sz w:val="22"/>
                <w:szCs w:val="22"/>
              </w:rPr>
              <w:t>AI</w:t>
            </w:r>
          </w:p>
        </w:tc>
        <w:tc>
          <w:tcPr>
            <w:tcW w:w="8220" w:type="dxa"/>
            <w:noWrap/>
            <w:hideMark/>
          </w:tcPr>
          <w:p w14:paraId="72E59B13" w14:textId="77777777" w:rsidR="001F01DB" w:rsidRPr="001F01DB" w:rsidRDefault="001F01DB" w:rsidP="001F01DB">
            <w:pPr>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1F01DB">
              <w:rPr>
                <w:rFonts w:ascii="Calibri" w:hAnsi="Calibri" w:cs="Calibri"/>
                <w:color w:val="000000" w:themeColor="text1"/>
                <w:sz w:val="22"/>
                <w:szCs w:val="22"/>
              </w:rPr>
              <w:t>ATLAS security</w:t>
            </w:r>
          </w:p>
        </w:tc>
      </w:tr>
      <w:tr w:rsidR="001F01DB" w:rsidRPr="001F01DB" w14:paraId="780D064B" w14:textId="77777777" w:rsidTr="001F01DB">
        <w:trPr>
          <w:trHeight w:val="300"/>
        </w:trPr>
        <w:tc>
          <w:tcPr>
            <w:cnfStyle w:val="001000000000" w:firstRow="0" w:lastRow="0" w:firstColumn="1" w:lastColumn="0" w:oddVBand="0" w:evenVBand="0" w:oddHBand="0" w:evenHBand="0" w:firstRowFirstColumn="0" w:firstRowLastColumn="0" w:lastRowFirstColumn="0" w:lastRowLastColumn="0"/>
            <w:tcW w:w="1332" w:type="dxa"/>
            <w:noWrap/>
            <w:hideMark/>
          </w:tcPr>
          <w:p w14:paraId="28C4254C" w14:textId="77777777" w:rsidR="001F01DB" w:rsidRPr="001F01DB" w:rsidRDefault="001F01DB" w:rsidP="001F01DB">
            <w:pPr>
              <w:numPr>
                <w:ilvl w:val="0"/>
                <w:numId w:val="0"/>
              </w:numPr>
              <w:spacing w:before="0" w:after="0"/>
              <w:ind w:left="360"/>
              <w:rPr>
                <w:rFonts w:ascii="Calibri" w:hAnsi="Calibri" w:cs="Calibri"/>
                <w:color w:val="000000" w:themeColor="text1"/>
                <w:sz w:val="22"/>
                <w:szCs w:val="22"/>
              </w:rPr>
            </w:pPr>
            <w:r w:rsidRPr="001F01DB">
              <w:rPr>
                <w:rFonts w:ascii="Calibri" w:hAnsi="Calibri" w:cs="Calibri"/>
                <w:color w:val="000000" w:themeColor="text1"/>
                <w:sz w:val="22"/>
                <w:szCs w:val="22"/>
              </w:rPr>
              <w:t>AI</w:t>
            </w:r>
          </w:p>
        </w:tc>
        <w:tc>
          <w:tcPr>
            <w:tcW w:w="8220" w:type="dxa"/>
            <w:noWrap/>
            <w:hideMark/>
          </w:tcPr>
          <w:p w14:paraId="07D7ACCE" w14:textId="77777777" w:rsidR="001F01DB" w:rsidRPr="001F01DB" w:rsidRDefault="001F01DB" w:rsidP="001F01DB">
            <w:pPr>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1F01DB">
              <w:rPr>
                <w:rFonts w:ascii="Calibri" w:hAnsi="Calibri" w:cs="Calibri"/>
                <w:color w:val="000000" w:themeColor="text1"/>
                <w:sz w:val="22"/>
                <w:szCs w:val="22"/>
              </w:rPr>
              <w:t>Hosting Services</w:t>
            </w:r>
          </w:p>
        </w:tc>
      </w:tr>
      <w:tr w:rsidR="001F01DB" w:rsidRPr="001F01DB" w14:paraId="453EF4E6" w14:textId="77777777" w:rsidTr="001F01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2" w:type="dxa"/>
            <w:noWrap/>
            <w:hideMark/>
          </w:tcPr>
          <w:p w14:paraId="7ECB936A" w14:textId="77777777" w:rsidR="001F01DB" w:rsidRPr="001F01DB" w:rsidRDefault="001F01DB" w:rsidP="001F01DB">
            <w:pPr>
              <w:numPr>
                <w:ilvl w:val="0"/>
                <w:numId w:val="0"/>
              </w:numPr>
              <w:spacing w:before="0" w:after="0"/>
              <w:ind w:left="360"/>
              <w:rPr>
                <w:rFonts w:ascii="Calibri" w:hAnsi="Calibri" w:cs="Calibri"/>
                <w:color w:val="000000" w:themeColor="text1"/>
                <w:sz w:val="22"/>
                <w:szCs w:val="22"/>
              </w:rPr>
            </w:pPr>
            <w:r w:rsidRPr="001F01DB">
              <w:rPr>
                <w:rFonts w:ascii="Calibri" w:hAnsi="Calibri" w:cs="Calibri"/>
                <w:color w:val="000000" w:themeColor="text1"/>
                <w:sz w:val="22"/>
                <w:szCs w:val="22"/>
              </w:rPr>
              <w:t>AI</w:t>
            </w:r>
          </w:p>
        </w:tc>
        <w:tc>
          <w:tcPr>
            <w:tcW w:w="8220" w:type="dxa"/>
            <w:noWrap/>
            <w:hideMark/>
          </w:tcPr>
          <w:p w14:paraId="62E34E47" w14:textId="77777777" w:rsidR="001F01DB" w:rsidRPr="001F01DB" w:rsidRDefault="001F01DB" w:rsidP="001F01DB">
            <w:pPr>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1F01DB">
              <w:rPr>
                <w:rFonts w:ascii="Calibri" w:hAnsi="Calibri" w:cs="Calibri"/>
                <w:color w:val="000000" w:themeColor="text1"/>
                <w:sz w:val="22"/>
                <w:szCs w:val="22"/>
              </w:rPr>
              <w:t>Cash Management at Field Locations</w:t>
            </w:r>
          </w:p>
        </w:tc>
      </w:tr>
      <w:tr w:rsidR="001F01DB" w:rsidRPr="001F01DB" w14:paraId="049F07CC" w14:textId="77777777" w:rsidTr="001F01DB">
        <w:trPr>
          <w:trHeight w:val="300"/>
        </w:trPr>
        <w:tc>
          <w:tcPr>
            <w:cnfStyle w:val="001000000000" w:firstRow="0" w:lastRow="0" w:firstColumn="1" w:lastColumn="0" w:oddVBand="0" w:evenVBand="0" w:oddHBand="0" w:evenHBand="0" w:firstRowFirstColumn="0" w:firstRowLastColumn="0" w:lastRowFirstColumn="0" w:lastRowLastColumn="0"/>
            <w:tcW w:w="1332" w:type="dxa"/>
            <w:noWrap/>
            <w:hideMark/>
          </w:tcPr>
          <w:p w14:paraId="1B46061B" w14:textId="77777777" w:rsidR="001F01DB" w:rsidRPr="001F01DB" w:rsidRDefault="001F01DB" w:rsidP="001F01DB">
            <w:pPr>
              <w:numPr>
                <w:ilvl w:val="0"/>
                <w:numId w:val="0"/>
              </w:numPr>
              <w:spacing w:before="0" w:after="0"/>
              <w:ind w:left="360"/>
              <w:rPr>
                <w:rFonts w:ascii="Calibri" w:hAnsi="Calibri" w:cs="Calibri"/>
                <w:color w:val="000000" w:themeColor="text1"/>
                <w:sz w:val="22"/>
                <w:szCs w:val="22"/>
              </w:rPr>
            </w:pPr>
            <w:r w:rsidRPr="001F01DB">
              <w:rPr>
                <w:rFonts w:ascii="Calibri" w:hAnsi="Calibri" w:cs="Calibri"/>
                <w:color w:val="000000" w:themeColor="text1"/>
                <w:sz w:val="22"/>
                <w:szCs w:val="22"/>
              </w:rPr>
              <w:t>AI</w:t>
            </w:r>
          </w:p>
        </w:tc>
        <w:tc>
          <w:tcPr>
            <w:tcW w:w="8220" w:type="dxa"/>
            <w:noWrap/>
            <w:hideMark/>
          </w:tcPr>
          <w:p w14:paraId="6864F885" w14:textId="77777777" w:rsidR="001F01DB" w:rsidRPr="001F01DB" w:rsidRDefault="001F01DB" w:rsidP="001F01DB">
            <w:pPr>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1F01DB">
              <w:rPr>
                <w:rFonts w:ascii="Calibri" w:hAnsi="Calibri" w:cs="Calibri"/>
                <w:color w:val="000000" w:themeColor="text1"/>
                <w:sz w:val="22"/>
                <w:szCs w:val="22"/>
              </w:rPr>
              <w:t>Claims Reporting Obligations of UNOPS Personnel</w:t>
            </w:r>
          </w:p>
        </w:tc>
      </w:tr>
      <w:tr w:rsidR="001F01DB" w:rsidRPr="001F01DB" w14:paraId="60207DDC" w14:textId="77777777" w:rsidTr="001F01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2" w:type="dxa"/>
            <w:noWrap/>
            <w:hideMark/>
          </w:tcPr>
          <w:p w14:paraId="5D96718D" w14:textId="77777777" w:rsidR="001F01DB" w:rsidRPr="001F01DB" w:rsidRDefault="001F01DB" w:rsidP="001F01DB">
            <w:pPr>
              <w:numPr>
                <w:ilvl w:val="0"/>
                <w:numId w:val="0"/>
              </w:numPr>
              <w:spacing w:before="0" w:after="0"/>
              <w:ind w:left="360"/>
              <w:rPr>
                <w:rFonts w:ascii="Calibri" w:hAnsi="Calibri" w:cs="Calibri"/>
                <w:color w:val="000000" w:themeColor="text1"/>
                <w:sz w:val="22"/>
                <w:szCs w:val="22"/>
              </w:rPr>
            </w:pPr>
            <w:r w:rsidRPr="001F01DB">
              <w:rPr>
                <w:rFonts w:ascii="Calibri" w:hAnsi="Calibri" w:cs="Calibri"/>
                <w:color w:val="000000" w:themeColor="text1"/>
                <w:sz w:val="22"/>
                <w:szCs w:val="22"/>
              </w:rPr>
              <w:t>AI</w:t>
            </w:r>
          </w:p>
        </w:tc>
        <w:tc>
          <w:tcPr>
            <w:tcW w:w="8220" w:type="dxa"/>
            <w:noWrap/>
            <w:hideMark/>
          </w:tcPr>
          <w:p w14:paraId="6F8F1B8A" w14:textId="77777777" w:rsidR="001F01DB" w:rsidRPr="001F01DB" w:rsidRDefault="001F01DB" w:rsidP="001F01DB">
            <w:pPr>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1F01DB">
              <w:rPr>
                <w:rFonts w:ascii="Calibri" w:hAnsi="Calibri" w:cs="Calibri"/>
                <w:color w:val="000000" w:themeColor="text1"/>
                <w:sz w:val="22"/>
                <w:szCs w:val="22"/>
              </w:rPr>
              <w:t>Hospitality</w:t>
            </w:r>
          </w:p>
        </w:tc>
      </w:tr>
      <w:tr w:rsidR="001F01DB" w:rsidRPr="001F01DB" w14:paraId="623FE37B" w14:textId="77777777" w:rsidTr="001F01DB">
        <w:trPr>
          <w:trHeight w:val="300"/>
        </w:trPr>
        <w:tc>
          <w:tcPr>
            <w:cnfStyle w:val="001000000000" w:firstRow="0" w:lastRow="0" w:firstColumn="1" w:lastColumn="0" w:oddVBand="0" w:evenVBand="0" w:oddHBand="0" w:evenHBand="0" w:firstRowFirstColumn="0" w:firstRowLastColumn="0" w:lastRowFirstColumn="0" w:lastRowLastColumn="0"/>
            <w:tcW w:w="1332" w:type="dxa"/>
            <w:noWrap/>
            <w:hideMark/>
          </w:tcPr>
          <w:p w14:paraId="59893D28" w14:textId="77777777" w:rsidR="001F01DB" w:rsidRPr="001F01DB" w:rsidRDefault="001F01DB" w:rsidP="001F01DB">
            <w:pPr>
              <w:numPr>
                <w:ilvl w:val="0"/>
                <w:numId w:val="0"/>
              </w:numPr>
              <w:spacing w:before="0" w:after="0"/>
              <w:ind w:left="360"/>
              <w:rPr>
                <w:rFonts w:ascii="Calibri" w:hAnsi="Calibri" w:cs="Calibri"/>
                <w:color w:val="000000" w:themeColor="text1"/>
                <w:sz w:val="22"/>
                <w:szCs w:val="22"/>
              </w:rPr>
            </w:pPr>
            <w:r w:rsidRPr="001F01DB">
              <w:rPr>
                <w:rFonts w:ascii="Calibri" w:hAnsi="Calibri" w:cs="Calibri"/>
                <w:color w:val="000000" w:themeColor="text1"/>
                <w:sz w:val="22"/>
                <w:szCs w:val="22"/>
              </w:rPr>
              <w:t>AI</w:t>
            </w:r>
          </w:p>
        </w:tc>
        <w:tc>
          <w:tcPr>
            <w:tcW w:w="8220" w:type="dxa"/>
            <w:noWrap/>
            <w:hideMark/>
          </w:tcPr>
          <w:p w14:paraId="00FC1861" w14:textId="77777777" w:rsidR="001F01DB" w:rsidRPr="001F01DB" w:rsidRDefault="001F01DB" w:rsidP="001F01DB">
            <w:pPr>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1F01DB">
              <w:rPr>
                <w:rFonts w:ascii="Calibri" w:hAnsi="Calibri" w:cs="Calibri"/>
                <w:color w:val="000000" w:themeColor="text1"/>
                <w:sz w:val="22"/>
                <w:szCs w:val="22"/>
              </w:rPr>
              <w:t>IPSAS Compliant Accounting</w:t>
            </w:r>
          </w:p>
        </w:tc>
      </w:tr>
      <w:tr w:rsidR="001F01DB" w:rsidRPr="001F01DB" w14:paraId="0A98B8C1" w14:textId="77777777" w:rsidTr="001F01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2" w:type="dxa"/>
            <w:noWrap/>
            <w:hideMark/>
          </w:tcPr>
          <w:p w14:paraId="4806BFE6" w14:textId="77777777" w:rsidR="001F01DB" w:rsidRPr="001F01DB" w:rsidRDefault="001F01DB" w:rsidP="001F01DB">
            <w:pPr>
              <w:numPr>
                <w:ilvl w:val="0"/>
                <w:numId w:val="0"/>
              </w:numPr>
              <w:spacing w:before="0" w:after="0"/>
              <w:ind w:left="360"/>
              <w:rPr>
                <w:rFonts w:ascii="Calibri" w:hAnsi="Calibri" w:cs="Calibri"/>
                <w:color w:val="000000" w:themeColor="text1"/>
                <w:sz w:val="22"/>
                <w:szCs w:val="22"/>
              </w:rPr>
            </w:pPr>
            <w:r w:rsidRPr="001F01DB">
              <w:rPr>
                <w:rFonts w:ascii="Calibri" w:hAnsi="Calibri" w:cs="Calibri"/>
                <w:color w:val="000000" w:themeColor="text1"/>
                <w:sz w:val="22"/>
                <w:szCs w:val="22"/>
              </w:rPr>
              <w:t>AI</w:t>
            </w:r>
          </w:p>
        </w:tc>
        <w:tc>
          <w:tcPr>
            <w:tcW w:w="8220" w:type="dxa"/>
            <w:noWrap/>
            <w:hideMark/>
          </w:tcPr>
          <w:p w14:paraId="45FCB42B" w14:textId="77777777" w:rsidR="001F01DB" w:rsidRPr="001F01DB" w:rsidRDefault="001F01DB" w:rsidP="001F01DB">
            <w:pPr>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1F01DB">
              <w:rPr>
                <w:rFonts w:ascii="Calibri" w:hAnsi="Calibri" w:cs="Calibri"/>
                <w:color w:val="000000" w:themeColor="text1"/>
                <w:sz w:val="22"/>
                <w:szCs w:val="22"/>
              </w:rPr>
              <w:t>Mandatory Initialization of All Pages of All Documents Forming Part of Contracts or Agreements to which UNOPS is Party</w:t>
            </w:r>
          </w:p>
        </w:tc>
      </w:tr>
      <w:tr w:rsidR="001F01DB" w:rsidRPr="001F01DB" w14:paraId="1375B20D" w14:textId="77777777" w:rsidTr="00163E1C">
        <w:trPr>
          <w:trHeight w:val="300"/>
        </w:trPr>
        <w:tc>
          <w:tcPr>
            <w:cnfStyle w:val="001000000000" w:firstRow="0" w:lastRow="0" w:firstColumn="1" w:lastColumn="0" w:oddVBand="0" w:evenVBand="0" w:oddHBand="0" w:evenHBand="0" w:firstRowFirstColumn="0" w:firstRowLastColumn="0" w:lastRowFirstColumn="0" w:lastRowLastColumn="0"/>
            <w:tcW w:w="1332" w:type="dxa"/>
            <w:shd w:val="clear" w:color="auto" w:fill="auto"/>
            <w:noWrap/>
            <w:hideMark/>
          </w:tcPr>
          <w:p w14:paraId="1FF48381" w14:textId="77777777" w:rsidR="001F01DB" w:rsidRPr="001F01DB" w:rsidRDefault="001F01DB" w:rsidP="001F01DB">
            <w:pPr>
              <w:numPr>
                <w:ilvl w:val="0"/>
                <w:numId w:val="0"/>
              </w:numPr>
              <w:spacing w:before="0" w:after="0"/>
              <w:ind w:left="360"/>
              <w:rPr>
                <w:rFonts w:ascii="Calibri" w:hAnsi="Calibri" w:cs="Calibri"/>
                <w:color w:val="000000" w:themeColor="text1"/>
                <w:sz w:val="22"/>
                <w:szCs w:val="22"/>
              </w:rPr>
            </w:pPr>
            <w:r w:rsidRPr="001F01DB">
              <w:rPr>
                <w:rFonts w:ascii="Calibri" w:hAnsi="Calibri" w:cs="Calibri"/>
                <w:color w:val="000000" w:themeColor="text1"/>
                <w:sz w:val="22"/>
                <w:szCs w:val="22"/>
              </w:rPr>
              <w:t>AI</w:t>
            </w:r>
          </w:p>
        </w:tc>
        <w:tc>
          <w:tcPr>
            <w:tcW w:w="8220" w:type="dxa"/>
            <w:shd w:val="clear" w:color="auto" w:fill="auto"/>
            <w:noWrap/>
            <w:hideMark/>
          </w:tcPr>
          <w:p w14:paraId="0265B8F8" w14:textId="77777777" w:rsidR="001F01DB" w:rsidRPr="001F01DB" w:rsidRDefault="001F01DB" w:rsidP="001F01DB">
            <w:pPr>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1F01DB">
              <w:rPr>
                <w:rFonts w:ascii="Calibri" w:hAnsi="Calibri" w:cs="Calibri"/>
                <w:color w:val="000000" w:themeColor="text1"/>
                <w:sz w:val="22"/>
                <w:szCs w:val="22"/>
              </w:rPr>
              <w:t>Message to Staff Regarding HIV/AIDS</w:t>
            </w:r>
          </w:p>
        </w:tc>
      </w:tr>
      <w:tr w:rsidR="001F01DB" w:rsidRPr="001F01DB" w14:paraId="15199639" w14:textId="77777777" w:rsidTr="001F01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2" w:type="dxa"/>
            <w:noWrap/>
            <w:hideMark/>
          </w:tcPr>
          <w:p w14:paraId="253C59CB" w14:textId="77777777" w:rsidR="001F01DB" w:rsidRPr="001F01DB" w:rsidRDefault="001F01DB" w:rsidP="001F01DB">
            <w:pPr>
              <w:numPr>
                <w:ilvl w:val="0"/>
                <w:numId w:val="0"/>
              </w:numPr>
              <w:spacing w:before="0" w:after="0"/>
              <w:ind w:left="360"/>
              <w:rPr>
                <w:rFonts w:ascii="Calibri" w:hAnsi="Calibri" w:cs="Calibri"/>
                <w:color w:val="000000" w:themeColor="text1"/>
                <w:sz w:val="22"/>
                <w:szCs w:val="22"/>
              </w:rPr>
            </w:pPr>
            <w:r w:rsidRPr="001F01DB">
              <w:rPr>
                <w:rFonts w:ascii="Calibri" w:hAnsi="Calibri" w:cs="Calibri"/>
                <w:color w:val="000000" w:themeColor="text1"/>
                <w:sz w:val="22"/>
                <w:szCs w:val="22"/>
              </w:rPr>
              <w:t>AI</w:t>
            </w:r>
          </w:p>
        </w:tc>
        <w:tc>
          <w:tcPr>
            <w:tcW w:w="8220" w:type="dxa"/>
            <w:noWrap/>
            <w:hideMark/>
          </w:tcPr>
          <w:p w14:paraId="174D8CA7" w14:textId="77777777" w:rsidR="001F01DB" w:rsidRPr="001F01DB" w:rsidRDefault="001F01DB" w:rsidP="001F01DB">
            <w:pPr>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1F01DB">
              <w:rPr>
                <w:rFonts w:ascii="Calibri" w:hAnsi="Calibri" w:cs="Calibri"/>
                <w:color w:val="000000" w:themeColor="text1"/>
                <w:sz w:val="22"/>
                <w:szCs w:val="22"/>
              </w:rPr>
              <w:t>Partnerships with Non-UN and Non-state Entities</w:t>
            </w:r>
          </w:p>
        </w:tc>
      </w:tr>
      <w:tr w:rsidR="001F01DB" w:rsidRPr="001F01DB" w14:paraId="3CC56287" w14:textId="77777777" w:rsidTr="001F01DB">
        <w:trPr>
          <w:trHeight w:val="300"/>
        </w:trPr>
        <w:tc>
          <w:tcPr>
            <w:cnfStyle w:val="001000000000" w:firstRow="0" w:lastRow="0" w:firstColumn="1" w:lastColumn="0" w:oddVBand="0" w:evenVBand="0" w:oddHBand="0" w:evenHBand="0" w:firstRowFirstColumn="0" w:firstRowLastColumn="0" w:lastRowFirstColumn="0" w:lastRowLastColumn="0"/>
            <w:tcW w:w="1332" w:type="dxa"/>
            <w:noWrap/>
            <w:hideMark/>
          </w:tcPr>
          <w:p w14:paraId="11A4BAFD" w14:textId="77777777" w:rsidR="001F01DB" w:rsidRPr="001F01DB" w:rsidRDefault="001F01DB" w:rsidP="001F01DB">
            <w:pPr>
              <w:numPr>
                <w:ilvl w:val="0"/>
                <w:numId w:val="0"/>
              </w:numPr>
              <w:spacing w:before="0" w:after="0"/>
              <w:ind w:left="360"/>
              <w:rPr>
                <w:rFonts w:ascii="Calibri" w:hAnsi="Calibri" w:cs="Calibri"/>
                <w:color w:val="000000" w:themeColor="text1"/>
                <w:sz w:val="22"/>
                <w:szCs w:val="22"/>
              </w:rPr>
            </w:pPr>
            <w:r w:rsidRPr="001F01DB">
              <w:rPr>
                <w:rFonts w:ascii="Calibri" w:hAnsi="Calibri" w:cs="Calibri"/>
                <w:color w:val="000000" w:themeColor="text1"/>
                <w:sz w:val="22"/>
                <w:szCs w:val="22"/>
              </w:rPr>
              <w:t>AI</w:t>
            </w:r>
          </w:p>
        </w:tc>
        <w:tc>
          <w:tcPr>
            <w:tcW w:w="8220" w:type="dxa"/>
            <w:noWrap/>
            <w:hideMark/>
          </w:tcPr>
          <w:p w14:paraId="77A62AD0" w14:textId="77777777" w:rsidR="001F01DB" w:rsidRPr="001F01DB" w:rsidRDefault="001F01DB" w:rsidP="001F01DB">
            <w:pPr>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1F01DB">
              <w:rPr>
                <w:rFonts w:ascii="Calibri" w:hAnsi="Calibri" w:cs="Calibri"/>
                <w:color w:val="000000" w:themeColor="text1"/>
                <w:sz w:val="22"/>
                <w:szCs w:val="22"/>
              </w:rPr>
              <w:t>Post Employment Restrictions</w:t>
            </w:r>
          </w:p>
        </w:tc>
      </w:tr>
      <w:tr w:rsidR="001F01DB" w:rsidRPr="001F01DB" w14:paraId="6BE4EBE7" w14:textId="77777777" w:rsidTr="001F01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2" w:type="dxa"/>
            <w:noWrap/>
            <w:hideMark/>
          </w:tcPr>
          <w:p w14:paraId="7B619D58" w14:textId="77777777" w:rsidR="001F01DB" w:rsidRPr="001F01DB" w:rsidRDefault="001F01DB" w:rsidP="001F01DB">
            <w:pPr>
              <w:numPr>
                <w:ilvl w:val="0"/>
                <w:numId w:val="0"/>
              </w:numPr>
              <w:spacing w:before="0" w:after="0"/>
              <w:ind w:left="360"/>
              <w:rPr>
                <w:rFonts w:ascii="Calibri" w:hAnsi="Calibri" w:cs="Calibri"/>
                <w:color w:val="000000" w:themeColor="text1"/>
                <w:sz w:val="22"/>
                <w:szCs w:val="22"/>
              </w:rPr>
            </w:pPr>
            <w:r w:rsidRPr="001F01DB">
              <w:rPr>
                <w:rFonts w:ascii="Calibri" w:hAnsi="Calibri" w:cs="Calibri"/>
                <w:color w:val="000000" w:themeColor="text1"/>
                <w:sz w:val="22"/>
                <w:szCs w:val="22"/>
              </w:rPr>
              <w:t>AI</w:t>
            </w:r>
          </w:p>
        </w:tc>
        <w:tc>
          <w:tcPr>
            <w:tcW w:w="8220" w:type="dxa"/>
            <w:noWrap/>
            <w:hideMark/>
          </w:tcPr>
          <w:p w14:paraId="6ADE4409" w14:textId="77777777" w:rsidR="001F01DB" w:rsidRPr="001F01DB" w:rsidRDefault="001F01DB" w:rsidP="001F01DB">
            <w:pPr>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1F01DB">
              <w:rPr>
                <w:rFonts w:ascii="Calibri" w:hAnsi="Calibri" w:cs="Calibri"/>
                <w:color w:val="000000" w:themeColor="text1"/>
                <w:sz w:val="22"/>
                <w:szCs w:val="22"/>
              </w:rPr>
              <w:t>Solicitation on Premises</w:t>
            </w:r>
          </w:p>
        </w:tc>
      </w:tr>
      <w:tr w:rsidR="001F01DB" w:rsidRPr="001F01DB" w14:paraId="53A4F5E2" w14:textId="77777777" w:rsidTr="00163E1C">
        <w:trPr>
          <w:trHeight w:val="300"/>
        </w:trPr>
        <w:tc>
          <w:tcPr>
            <w:cnfStyle w:val="001000000000" w:firstRow="0" w:lastRow="0" w:firstColumn="1" w:lastColumn="0" w:oddVBand="0" w:evenVBand="0" w:oddHBand="0" w:evenHBand="0" w:firstRowFirstColumn="0" w:firstRowLastColumn="0" w:lastRowFirstColumn="0" w:lastRowLastColumn="0"/>
            <w:tcW w:w="1332" w:type="dxa"/>
            <w:shd w:val="clear" w:color="auto" w:fill="auto"/>
            <w:noWrap/>
            <w:hideMark/>
          </w:tcPr>
          <w:p w14:paraId="483AE6A4" w14:textId="77777777" w:rsidR="001F01DB" w:rsidRPr="001F01DB" w:rsidRDefault="001F01DB" w:rsidP="001F01DB">
            <w:pPr>
              <w:numPr>
                <w:ilvl w:val="0"/>
                <w:numId w:val="0"/>
              </w:numPr>
              <w:spacing w:before="0" w:after="0"/>
              <w:ind w:left="360"/>
              <w:rPr>
                <w:rFonts w:ascii="Calibri" w:hAnsi="Calibri" w:cs="Calibri"/>
                <w:color w:val="000000" w:themeColor="text1"/>
                <w:sz w:val="22"/>
                <w:szCs w:val="22"/>
              </w:rPr>
            </w:pPr>
            <w:r w:rsidRPr="001F01DB">
              <w:rPr>
                <w:rFonts w:ascii="Calibri" w:hAnsi="Calibri" w:cs="Calibri"/>
                <w:color w:val="000000" w:themeColor="text1"/>
                <w:sz w:val="22"/>
                <w:szCs w:val="22"/>
              </w:rPr>
              <w:lastRenderedPageBreak/>
              <w:t>AI</w:t>
            </w:r>
          </w:p>
        </w:tc>
        <w:tc>
          <w:tcPr>
            <w:tcW w:w="8220" w:type="dxa"/>
            <w:shd w:val="clear" w:color="auto" w:fill="auto"/>
            <w:noWrap/>
            <w:hideMark/>
          </w:tcPr>
          <w:p w14:paraId="16AF06CF" w14:textId="77777777" w:rsidR="001F01DB" w:rsidRPr="001F01DB" w:rsidRDefault="001F01DB" w:rsidP="001F01DB">
            <w:pPr>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1F01DB">
              <w:rPr>
                <w:rFonts w:ascii="Calibri" w:hAnsi="Calibri" w:cs="Calibri"/>
                <w:color w:val="000000" w:themeColor="text1"/>
                <w:sz w:val="22"/>
                <w:szCs w:val="22"/>
              </w:rPr>
              <w:t>Use of the UNOPS Facilities, Equipment and Other Property upon Separation and Transfer of Personnel</w:t>
            </w:r>
          </w:p>
        </w:tc>
      </w:tr>
      <w:tr w:rsidR="001F01DB" w:rsidRPr="001F01DB" w14:paraId="26B77E24" w14:textId="77777777" w:rsidTr="001F01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2" w:type="dxa"/>
            <w:noWrap/>
            <w:hideMark/>
          </w:tcPr>
          <w:p w14:paraId="7A79D243" w14:textId="77777777" w:rsidR="001F01DB" w:rsidRPr="001F01DB" w:rsidRDefault="001F01DB" w:rsidP="001F01DB">
            <w:pPr>
              <w:numPr>
                <w:ilvl w:val="0"/>
                <w:numId w:val="0"/>
              </w:numPr>
              <w:spacing w:before="0" w:after="0"/>
              <w:ind w:left="360"/>
              <w:rPr>
                <w:rFonts w:ascii="Calibri" w:hAnsi="Calibri" w:cs="Calibri"/>
                <w:color w:val="000000" w:themeColor="text1"/>
                <w:sz w:val="22"/>
                <w:szCs w:val="22"/>
              </w:rPr>
            </w:pPr>
            <w:r w:rsidRPr="001F01DB">
              <w:rPr>
                <w:rFonts w:ascii="Calibri" w:hAnsi="Calibri" w:cs="Calibri"/>
                <w:color w:val="000000" w:themeColor="text1"/>
                <w:sz w:val="22"/>
                <w:szCs w:val="22"/>
              </w:rPr>
              <w:t>AI</w:t>
            </w:r>
          </w:p>
        </w:tc>
        <w:tc>
          <w:tcPr>
            <w:tcW w:w="8220" w:type="dxa"/>
            <w:noWrap/>
            <w:hideMark/>
          </w:tcPr>
          <w:p w14:paraId="2E845B83" w14:textId="77777777" w:rsidR="001F01DB" w:rsidRPr="001F01DB" w:rsidRDefault="001F01DB" w:rsidP="001F01DB">
            <w:pPr>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1F01DB">
              <w:rPr>
                <w:rFonts w:ascii="Calibri" w:hAnsi="Calibri" w:cs="Calibri"/>
                <w:color w:val="000000" w:themeColor="text1"/>
                <w:sz w:val="22"/>
                <w:szCs w:val="22"/>
              </w:rPr>
              <w:t>Advance Financing</w:t>
            </w:r>
          </w:p>
        </w:tc>
      </w:tr>
    </w:tbl>
    <w:p w14:paraId="54811708" w14:textId="4966C58C" w:rsidR="00FE1BFE" w:rsidRDefault="00FE1BFE" w:rsidP="00FE1BFE">
      <w:pPr>
        <w:numPr>
          <w:ilvl w:val="0"/>
          <w:numId w:val="0"/>
        </w:numPr>
      </w:pPr>
    </w:p>
    <w:p w14:paraId="7DC3C508" w14:textId="77777777" w:rsidR="001F01DB" w:rsidRPr="004E49FE" w:rsidRDefault="001F01DB" w:rsidP="001F01DB">
      <w:pPr>
        <w:numPr>
          <w:ilvl w:val="0"/>
          <w:numId w:val="0"/>
        </w:numPr>
        <w:spacing w:before="0" w:after="200" w:line="276" w:lineRule="auto"/>
        <w:rPr>
          <w:b/>
        </w:rPr>
      </w:pPr>
      <w:r w:rsidRPr="004E49FE">
        <w:rPr>
          <w:b/>
        </w:rPr>
        <w:t>Legend</w:t>
      </w:r>
    </w:p>
    <w:p w14:paraId="5A6AC528" w14:textId="2EAA275C" w:rsidR="001F01DB" w:rsidRDefault="004E49FE" w:rsidP="001F01DB">
      <w:pPr>
        <w:pStyle w:val="ListParagraph"/>
        <w:numPr>
          <w:ilvl w:val="0"/>
          <w:numId w:val="40"/>
        </w:numPr>
        <w:spacing w:before="0" w:after="200" w:line="276" w:lineRule="auto"/>
      </w:pPr>
      <w:r>
        <w:t>EOD:</w:t>
      </w:r>
      <w:r>
        <w:tab/>
      </w:r>
      <w:r w:rsidR="001F01DB">
        <w:t>Executive Office Directives</w:t>
      </w:r>
    </w:p>
    <w:p w14:paraId="4D1A761C" w14:textId="5B00AFC3" w:rsidR="001F01DB" w:rsidRDefault="001F01DB" w:rsidP="001F01DB">
      <w:pPr>
        <w:pStyle w:val="ListParagraph"/>
        <w:numPr>
          <w:ilvl w:val="0"/>
          <w:numId w:val="40"/>
        </w:numPr>
        <w:spacing w:before="0" w:after="200" w:line="276" w:lineRule="auto"/>
      </w:pPr>
      <w:r>
        <w:t>EOI</w:t>
      </w:r>
      <w:r w:rsidR="004E49FE">
        <w:t>:</w:t>
      </w:r>
      <w:r w:rsidR="004E49FE">
        <w:tab/>
      </w:r>
      <w:r>
        <w:t>Executive Office Instructions</w:t>
      </w:r>
    </w:p>
    <w:p w14:paraId="0B31DD34" w14:textId="59CF72EB" w:rsidR="001F01DB" w:rsidRDefault="001F01DB" w:rsidP="001F01DB">
      <w:pPr>
        <w:pStyle w:val="ListParagraph"/>
        <w:numPr>
          <w:ilvl w:val="0"/>
          <w:numId w:val="40"/>
        </w:numPr>
        <w:spacing w:before="0" w:after="200" w:line="276" w:lineRule="auto"/>
      </w:pPr>
      <w:r>
        <w:t>OPD</w:t>
      </w:r>
      <w:r w:rsidR="004E49FE">
        <w:t>:</w:t>
      </w:r>
      <w:r w:rsidR="004E49FE">
        <w:tab/>
      </w:r>
      <w:r>
        <w:t>Operational Directive</w:t>
      </w:r>
    </w:p>
    <w:p w14:paraId="65BFAB9F" w14:textId="6931FDAD" w:rsidR="001F01DB" w:rsidRDefault="004E49FE" w:rsidP="001F01DB">
      <w:pPr>
        <w:pStyle w:val="ListParagraph"/>
        <w:numPr>
          <w:ilvl w:val="0"/>
          <w:numId w:val="40"/>
        </w:numPr>
        <w:spacing w:before="0" w:after="200" w:line="276" w:lineRule="auto"/>
      </w:pPr>
      <w:r>
        <w:t>OI:</w:t>
      </w:r>
      <w:r>
        <w:tab/>
      </w:r>
      <w:r w:rsidR="001F01DB">
        <w:t>Operational Instruction</w:t>
      </w:r>
    </w:p>
    <w:p w14:paraId="06B56C5F" w14:textId="144A1967" w:rsidR="001F01DB" w:rsidRDefault="001F01DB" w:rsidP="001F01DB">
      <w:pPr>
        <w:pStyle w:val="ListParagraph"/>
        <w:numPr>
          <w:ilvl w:val="0"/>
          <w:numId w:val="40"/>
        </w:numPr>
        <w:spacing w:before="0" w:after="200" w:line="276" w:lineRule="auto"/>
      </w:pPr>
      <w:r>
        <w:t>OD</w:t>
      </w:r>
      <w:r w:rsidR="004E49FE">
        <w:t>:</w:t>
      </w:r>
      <w:r w:rsidR="004E49FE">
        <w:tab/>
      </w:r>
      <w:r>
        <w:t>Organizational Directive (phasing out)</w:t>
      </w:r>
    </w:p>
    <w:p w14:paraId="2A0C8FAA" w14:textId="69B96991" w:rsidR="001F01DB" w:rsidRPr="00FE1BFE" w:rsidRDefault="004E49FE" w:rsidP="001F01DB">
      <w:pPr>
        <w:pStyle w:val="ListParagraph"/>
        <w:numPr>
          <w:ilvl w:val="0"/>
          <w:numId w:val="40"/>
        </w:numPr>
        <w:spacing w:before="0" w:after="200" w:line="276" w:lineRule="auto"/>
      </w:pPr>
      <w:r>
        <w:t>AI:</w:t>
      </w:r>
      <w:r>
        <w:tab/>
      </w:r>
      <w:r w:rsidR="001F01DB">
        <w:t>Administrative Instruction (phasing out)</w:t>
      </w:r>
    </w:p>
    <w:sectPr w:rsidR="001F01DB" w:rsidRPr="00FE1BFE" w:rsidSect="00B40186">
      <w:headerReference w:type="default" r:id="rId10"/>
      <w:footerReference w:type="default" r:id="rId11"/>
      <w:pgSz w:w="12240" w:h="15840"/>
      <w:pgMar w:top="1134" w:right="1418" w:bottom="1418" w:left="141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27144" w14:textId="77777777" w:rsidR="00A5051E" w:rsidRDefault="00A5051E" w:rsidP="00617558">
      <w:r>
        <w:separator/>
      </w:r>
    </w:p>
  </w:endnote>
  <w:endnote w:type="continuationSeparator" w:id="0">
    <w:p w14:paraId="2DDFD36C" w14:textId="77777777" w:rsidR="00A5051E" w:rsidRDefault="00A5051E" w:rsidP="0061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2965851"/>
      <w:docPartObj>
        <w:docPartGallery w:val="Page Numbers (Bottom of Page)"/>
        <w:docPartUnique/>
      </w:docPartObj>
    </w:sdtPr>
    <w:sdtEndPr>
      <w:rPr>
        <w:noProof/>
        <w:sz w:val="22"/>
        <w:szCs w:val="22"/>
      </w:rPr>
    </w:sdtEndPr>
    <w:sdtContent>
      <w:p w14:paraId="6577C23B" w14:textId="49A5B18F" w:rsidR="00D40BD8" w:rsidRPr="007B46A3" w:rsidRDefault="00D40BD8" w:rsidP="007B46A3">
        <w:pPr>
          <w:pStyle w:val="Footer"/>
          <w:numPr>
            <w:ilvl w:val="0"/>
            <w:numId w:val="0"/>
          </w:numPr>
          <w:ind w:left="720"/>
          <w:jc w:val="center"/>
          <w:rPr>
            <w:sz w:val="22"/>
            <w:szCs w:val="22"/>
          </w:rPr>
        </w:pPr>
        <w:r w:rsidRPr="002D2246">
          <w:rPr>
            <w:sz w:val="22"/>
            <w:szCs w:val="22"/>
          </w:rPr>
          <w:fldChar w:fldCharType="begin"/>
        </w:r>
        <w:r w:rsidRPr="002D2246">
          <w:rPr>
            <w:sz w:val="22"/>
            <w:szCs w:val="22"/>
          </w:rPr>
          <w:instrText xml:space="preserve"> PAGE   \* MERGEFORMAT </w:instrText>
        </w:r>
        <w:r w:rsidRPr="002D2246">
          <w:rPr>
            <w:sz w:val="22"/>
            <w:szCs w:val="22"/>
          </w:rPr>
          <w:fldChar w:fldCharType="separate"/>
        </w:r>
        <w:r w:rsidR="00F725B9">
          <w:rPr>
            <w:noProof/>
            <w:sz w:val="22"/>
            <w:szCs w:val="22"/>
          </w:rPr>
          <w:t>1</w:t>
        </w:r>
        <w:r w:rsidRPr="002D2246">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312BD" w14:textId="77777777" w:rsidR="00A5051E" w:rsidRDefault="00A5051E" w:rsidP="00C92E7B">
      <w:pPr>
        <w:numPr>
          <w:ilvl w:val="0"/>
          <w:numId w:val="0"/>
        </w:numPr>
      </w:pPr>
      <w:r>
        <w:separator/>
      </w:r>
    </w:p>
  </w:footnote>
  <w:footnote w:type="continuationSeparator" w:id="0">
    <w:p w14:paraId="6308581C" w14:textId="77777777" w:rsidR="00A5051E" w:rsidRDefault="00A5051E" w:rsidP="00617558">
      <w:r>
        <w:continuationSeparator/>
      </w:r>
    </w:p>
  </w:footnote>
  <w:footnote w:id="1">
    <w:p w14:paraId="3EF51E60" w14:textId="5BE50CDE" w:rsidR="00D40BD8" w:rsidRPr="00241D83" w:rsidRDefault="00D40BD8" w:rsidP="00241D83">
      <w:pPr>
        <w:pStyle w:val="FootnoteText"/>
        <w:numPr>
          <w:ilvl w:val="0"/>
          <w:numId w:val="0"/>
        </w:numPr>
        <w:spacing w:before="0" w:after="0"/>
        <w:rPr>
          <w:rFonts w:ascii="Times New Roman" w:hAnsi="Times New Roman"/>
        </w:rPr>
      </w:pPr>
      <w:r w:rsidRPr="00241D83">
        <w:rPr>
          <w:rStyle w:val="FootnoteReference"/>
          <w:rFonts w:ascii="Times New Roman" w:hAnsi="Times New Roman"/>
        </w:rPr>
        <w:footnoteRef/>
      </w:r>
      <w:r w:rsidRPr="00241D83">
        <w:rPr>
          <w:rFonts w:ascii="Times New Roman" w:hAnsi="Times New Roman"/>
        </w:rPr>
        <w:t xml:space="preserve"> As applicable to the reporting period covered by the Annual Report for 2017 of IAIG, and this management response</w:t>
      </w:r>
      <w:r>
        <w:rPr>
          <w:rFonts w:ascii="Times New Roman" w:hAnsi="Times New Roman"/>
        </w:rPr>
        <w:t>.</w:t>
      </w:r>
    </w:p>
  </w:footnote>
  <w:footnote w:id="2">
    <w:p w14:paraId="1AECECEC" w14:textId="77777777" w:rsidR="00D40BD8" w:rsidRPr="00241D83" w:rsidRDefault="00D40BD8" w:rsidP="00241D83">
      <w:pPr>
        <w:pStyle w:val="FootnoteText"/>
        <w:numPr>
          <w:ilvl w:val="0"/>
          <w:numId w:val="0"/>
        </w:numPr>
        <w:spacing w:before="0" w:after="0"/>
        <w:rPr>
          <w:rFonts w:ascii="Times New Roman" w:hAnsi="Times New Roman"/>
          <w:sz w:val="16"/>
          <w:szCs w:val="16"/>
        </w:rPr>
      </w:pPr>
      <w:r w:rsidRPr="00241D83">
        <w:rPr>
          <w:rStyle w:val="FootnoteReference"/>
          <w:rFonts w:ascii="Times New Roman" w:hAnsi="Times New Roman"/>
        </w:rPr>
        <w:footnoteRef/>
      </w:r>
      <w:r w:rsidRPr="00241D83">
        <w:rPr>
          <w:rStyle w:val="FootnoteReference"/>
          <w:rFonts w:ascii="Times New Roman" w:hAnsi="Times New Roman"/>
        </w:rPr>
        <w:t xml:space="preserve"> </w:t>
      </w:r>
      <w:r w:rsidRPr="00241D83">
        <w:rPr>
          <w:rStyle w:val="FootnoteReference"/>
          <w:rFonts w:ascii="Times New Roman" w:hAnsi="Times New Roman"/>
          <w:vertAlign w:val="baseline"/>
        </w:rPr>
        <w:t>An extract of Regulations 6.01, 6.02 and 6.03, and Rules 106.01, 106.02 and 106.03 can be found in Annex I.</w:t>
      </w:r>
    </w:p>
  </w:footnote>
  <w:footnote w:id="3">
    <w:p w14:paraId="355DD4BB" w14:textId="2FF1CF7A" w:rsidR="00D40BD8" w:rsidRPr="001661E4" w:rsidRDefault="00D40BD8" w:rsidP="0018519D">
      <w:pPr>
        <w:pStyle w:val="FootnoteText"/>
        <w:numPr>
          <w:ilvl w:val="0"/>
          <w:numId w:val="0"/>
        </w:numPr>
        <w:spacing w:before="0" w:after="0"/>
        <w:ind w:left="357"/>
        <w:rPr>
          <w:rFonts w:ascii="Times New Roman" w:hAnsi="Times New Roman"/>
          <w:sz w:val="16"/>
          <w:szCs w:val="16"/>
          <w:lang w:val="en-GB"/>
        </w:rPr>
      </w:pPr>
      <w:r w:rsidRPr="001661E4">
        <w:rPr>
          <w:rStyle w:val="FootnoteReference"/>
        </w:rPr>
        <w:footnoteRef/>
      </w:r>
      <w:r>
        <w:rPr>
          <w:rFonts w:ascii="Times New Roman" w:hAnsi="Times New Roman"/>
          <w:sz w:val="16"/>
          <w:szCs w:val="16"/>
          <w:lang w:val="en-GB"/>
        </w:rPr>
        <w:t xml:space="preserve"> </w:t>
      </w:r>
      <w:r w:rsidRPr="001661E4">
        <w:rPr>
          <w:rFonts w:ascii="Times New Roman" w:hAnsi="Times New Roman"/>
          <w:sz w:val="16"/>
          <w:szCs w:val="16"/>
          <w:lang w:val="en-GB"/>
        </w:rPr>
        <w:t>A c</w:t>
      </w:r>
      <w:r>
        <w:rPr>
          <w:rFonts w:ascii="Times New Roman" w:hAnsi="Times New Roman"/>
          <w:sz w:val="16"/>
          <w:szCs w:val="16"/>
          <w:lang w:val="en-GB"/>
        </w:rPr>
        <w:t>omplete list of policies effective as of 31 December 2017</w:t>
      </w:r>
      <w:r w:rsidRPr="001661E4">
        <w:rPr>
          <w:rFonts w:ascii="Times New Roman" w:hAnsi="Times New Roman"/>
          <w:sz w:val="16"/>
          <w:szCs w:val="16"/>
          <w:lang w:val="en-GB"/>
        </w:rPr>
        <w:t xml:space="preserve"> can be found in Annex </w:t>
      </w:r>
      <w:r>
        <w:rPr>
          <w:rFonts w:ascii="Times New Roman" w:hAnsi="Times New Roman"/>
          <w:sz w:val="16"/>
          <w:szCs w:val="16"/>
          <w:lang w:val="en-GB"/>
        </w:rPr>
        <w:t>II</w:t>
      </w:r>
      <w:r w:rsidRPr="001661E4">
        <w:rPr>
          <w:rFonts w:ascii="Times New Roman" w:hAnsi="Times New Roman"/>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162BC" w14:textId="4F4EE923" w:rsidR="00D40BD8" w:rsidRPr="00AF5409" w:rsidRDefault="00D40BD8" w:rsidP="007B46A3">
    <w:pPr>
      <w:pStyle w:val="Header"/>
      <w:numPr>
        <w:ilvl w:val="0"/>
        <w:numId w:val="0"/>
      </w:numPr>
      <w:ind w:left="720"/>
      <w:rPr>
        <w:sz w:val="22"/>
      </w:rPr>
    </w:pPr>
    <w:r w:rsidRPr="00AF5409">
      <w:rPr>
        <w:bCs/>
        <w:sz w:val="18"/>
      </w:rPr>
      <w:t>UNOPS Management Response to the Activity Report for 201</w:t>
    </w:r>
    <w:r>
      <w:rPr>
        <w:bCs/>
        <w:sz w:val="18"/>
      </w:rPr>
      <w:t>7</w:t>
    </w:r>
    <w:r w:rsidRPr="00AF5409">
      <w:rPr>
        <w:bCs/>
        <w:sz w:val="18"/>
      </w:rPr>
      <w:t xml:space="preserve"> of IAIG and the Activitie</w:t>
    </w:r>
    <w:r>
      <w:rPr>
        <w:bCs/>
        <w:sz w:val="18"/>
      </w:rPr>
      <w:t>s of the Ethics Officer in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decimal"/>
      <w:pStyle w:val="ARnumberedparas"/>
      <w:lvlText w:val="%1."/>
      <w:lvlJc w:val="left"/>
      <w:pPr>
        <w:tabs>
          <w:tab w:val="num" w:pos="490"/>
        </w:tabs>
        <w:ind w:left="2061" w:hanging="360"/>
      </w:pPr>
      <w:rPr>
        <w:b w:val="0"/>
        <w:sz w:val="20"/>
        <w:szCs w:val="20"/>
      </w:r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1" w15:restartNumberingAfterBreak="0">
    <w:nsid w:val="02B34353"/>
    <w:multiLevelType w:val="hybridMultilevel"/>
    <w:tmpl w:val="53B24302"/>
    <w:lvl w:ilvl="0" w:tplc="1DDE2764">
      <w:start w:val="1"/>
      <w:numFmt w:val="upperLetter"/>
      <w:lvlText w:val="%1."/>
      <w:lvlJc w:val="left"/>
      <w:pPr>
        <w:ind w:left="76" w:hanging="360"/>
      </w:pPr>
      <w:rPr>
        <w:rFonts w:ascii="Times New Roman" w:eastAsia="Times New Roman" w:hAnsi="Times New Roman" w:cs="Times New Roman" w:hint="default"/>
        <w:b/>
        <w:color w:val="auto"/>
        <w:u w:val="none"/>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 w15:restartNumberingAfterBreak="0">
    <w:nsid w:val="03057DA5"/>
    <w:multiLevelType w:val="hybridMultilevel"/>
    <w:tmpl w:val="5898179A"/>
    <w:lvl w:ilvl="0" w:tplc="B9C08F2E">
      <w:start w:val="1"/>
      <w:numFmt w:val="decimal"/>
      <w:lvlText w:val="%1."/>
      <w:lvlJc w:val="left"/>
      <w:pPr>
        <w:ind w:left="360" w:hanging="360"/>
      </w:pPr>
      <w:rPr>
        <w:rFonts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8E10EA"/>
    <w:multiLevelType w:val="hybridMultilevel"/>
    <w:tmpl w:val="EF8C9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DC68DD"/>
    <w:multiLevelType w:val="hybridMultilevel"/>
    <w:tmpl w:val="C498AE3C"/>
    <w:lvl w:ilvl="0" w:tplc="EA4AC4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A1F8D"/>
    <w:multiLevelType w:val="hybridMultilevel"/>
    <w:tmpl w:val="95926774"/>
    <w:lvl w:ilvl="0" w:tplc="6902F9FA">
      <w:start w:val="1"/>
      <w:numFmt w:val="upperLetter"/>
      <w:lvlText w:val="%1."/>
      <w:lvlJc w:val="left"/>
      <w:pPr>
        <w:ind w:left="76" w:hanging="360"/>
      </w:pPr>
      <w:rPr>
        <w:rFonts w:ascii="Times New Roman" w:eastAsia="Times New Roman" w:hAnsi="Times New Roman" w:cs="Times New Roman" w:hint="default"/>
        <w:b/>
        <w:color w:val="auto"/>
        <w:u w:val="none"/>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0A5F0ACE"/>
    <w:multiLevelType w:val="hybridMultilevel"/>
    <w:tmpl w:val="A5702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304DE7"/>
    <w:multiLevelType w:val="hybridMultilevel"/>
    <w:tmpl w:val="96CA6CBC"/>
    <w:lvl w:ilvl="0" w:tplc="2A649026">
      <w:start w:val="1"/>
      <w:numFmt w:val="decimal"/>
      <w:lvlText w:val="%1."/>
      <w:lvlJc w:val="left"/>
      <w:pPr>
        <w:ind w:left="720" w:hanging="360"/>
      </w:pPr>
      <w:rPr>
        <w:rFonts w:ascii="Times New Roman" w:hAnsi="Times New Roman" w:cs="Times New Roman" w:hint="default"/>
        <w:i w:val="0"/>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5616FB"/>
    <w:multiLevelType w:val="hybridMultilevel"/>
    <w:tmpl w:val="06FAEF08"/>
    <w:lvl w:ilvl="0" w:tplc="8F34568E">
      <w:start w:val="1"/>
      <w:numFmt w:val="decimal"/>
      <w:lvlText w:val="%1."/>
      <w:lvlJc w:val="left"/>
      <w:pPr>
        <w:ind w:left="567" w:hanging="567"/>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D4732E"/>
    <w:multiLevelType w:val="hybridMultilevel"/>
    <w:tmpl w:val="E4CE4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03014E"/>
    <w:multiLevelType w:val="hybridMultilevel"/>
    <w:tmpl w:val="DC3EB5A0"/>
    <w:lvl w:ilvl="0" w:tplc="928A2E92">
      <w:start w:val="1"/>
      <w:numFmt w:val="upperLetter"/>
      <w:lvlText w:val="%1."/>
      <w:lvlJc w:val="left"/>
      <w:pPr>
        <w:ind w:left="360" w:hanging="360"/>
      </w:pPr>
      <w:rPr>
        <w:rFonts w:hint="default"/>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5CE2D6E"/>
    <w:multiLevelType w:val="hybridMultilevel"/>
    <w:tmpl w:val="830258E2"/>
    <w:lvl w:ilvl="0" w:tplc="C4B4C8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FC016C"/>
    <w:multiLevelType w:val="hybridMultilevel"/>
    <w:tmpl w:val="3D6A7D84"/>
    <w:lvl w:ilvl="0" w:tplc="9F04CFAE">
      <w:start w:val="1"/>
      <w:numFmt w:val="lowerLetter"/>
      <w:lvlText w:val="%1."/>
      <w:lvlJc w:val="left"/>
      <w:pPr>
        <w:ind w:left="720" w:hanging="36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0373BF"/>
    <w:multiLevelType w:val="hybridMultilevel"/>
    <w:tmpl w:val="D3C49E6C"/>
    <w:lvl w:ilvl="0" w:tplc="AFF03DCC">
      <w:start w:val="7"/>
      <w:numFmt w:val="decimal"/>
      <w:lvlText w:val="%1."/>
      <w:lvlJc w:val="left"/>
      <w:pPr>
        <w:ind w:left="42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F278D9"/>
    <w:multiLevelType w:val="hybridMultilevel"/>
    <w:tmpl w:val="B9625936"/>
    <w:lvl w:ilvl="0" w:tplc="E8C4377E">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1C344C"/>
    <w:multiLevelType w:val="hybridMultilevel"/>
    <w:tmpl w:val="AACE5068"/>
    <w:lvl w:ilvl="0" w:tplc="04AC90D0">
      <w:start w:val="1"/>
      <w:numFmt w:val="upperLetter"/>
      <w:lvlText w:val="%1."/>
      <w:lvlJc w:val="left"/>
      <w:pPr>
        <w:ind w:left="36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186198"/>
    <w:multiLevelType w:val="hybridMultilevel"/>
    <w:tmpl w:val="2850D5D8"/>
    <w:lvl w:ilvl="0" w:tplc="2E945A00">
      <w:start w:val="1"/>
      <w:numFmt w:val="decimal"/>
      <w:pStyle w:val="Nor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50337A"/>
    <w:multiLevelType w:val="hybridMultilevel"/>
    <w:tmpl w:val="80CA69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7A4250"/>
    <w:multiLevelType w:val="hybridMultilevel"/>
    <w:tmpl w:val="7D1640D0"/>
    <w:lvl w:ilvl="0" w:tplc="32CE8082">
      <w:start w:val="1"/>
      <w:numFmt w:val="decimal"/>
      <w:lvlText w:val="%1."/>
      <w:lvlJc w:val="left"/>
      <w:pPr>
        <w:ind w:left="42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5F204D"/>
    <w:multiLevelType w:val="hybridMultilevel"/>
    <w:tmpl w:val="BD4EF8DC"/>
    <w:lvl w:ilvl="0" w:tplc="CE24BB96">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816A38"/>
    <w:multiLevelType w:val="hybridMultilevel"/>
    <w:tmpl w:val="FDDEC780"/>
    <w:lvl w:ilvl="0" w:tplc="EE1EB6EA">
      <w:start w:val="13"/>
      <w:numFmt w:val="decimal"/>
      <w:lvlText w:val="%1."/>
      <w:lvlJc w:val="left"/>
      <w:pPr>
        <w:ind w:left="420" w:hanging="420"/>
      </w:pPr>
      <w:rPr>
        <w:rFonts w:hint="default"/>
        <w:b w:val="0"/>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780A01"/>
    <w:multiLevelType w:val="hybridMultilevel"/>
    <w:tmpl w:val="B2722D0A"/>
    <w:lvl w:ilvl="0" w:tplc="250ED072">
      <w:start w:val="1"/>
      <w:numFmt w:val="upperLetter"/>
      <w:lvlText w:val="%1."/>
      <w:lvlJc w:val="left"/>
      <w:pPr>
        <w:ind w:left="76" w:hanging="360"/>
      </w:pPr>
      <w:rPr>
        <w:rFonts w:ascii="Times New Roman" w:eastAsia="Times New Roman" w:hAnsi="Times New Roman" w:cs="Times New Roman" w:hint="default"/>
        <w:b/>
        <w:color w:val="auto"/>
        <w:u w:val="none"/>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2" w15:restartNumberingAfterBreak="0">
    <w:nsid w:val="3E7853F9"/>
    <w:multiLevelType w:val="hybridMultilevel"/>
    <w:tmpl w:val="209EACBE"/>
    <w:lvl w:ilvl="0" w:tplc="9370C4A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1E40D19"/>
    <w:multiLevelType w:val="hybridMultilevel"/>
    <w:tmpl w:val="C64866E0"/>
    <w:lvl w:ilvl="0" w:tplc="17D497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EC3A91"/>
    <w:multiLevelType w:val="hybridMultilevel"/>
    <w:tmpl w:val="1570C114"/>
    <w:lvl w:ilvl="0" w:tplc="04090015">
      <w:start w:val="1"/>
      <w:numFmt w:val="upp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5" w15:restartNumberingAfterBreak="0">
    <w:nsid w:val="481A5CF7"/>
    <w:multiLevelType w:val="hybridMultilevel"/>
    <w:tmpl w:val="99C6E5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932BC5"/>
    <w:multiLevelType w:val="hybridMultilevel"/>
    <w:tmpl w:val="F862486E"/>
    <w:lvl w:ilvl="0" w:tplc="1982E6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B07D26"/>
    <w:multiLevelType w:val="hybridMultilevel"/>
    <w:tmpl w:val="1E6EE722"/>
    <w:lvl w:ilvl="0" w:tplc="DC1CAA5C">
      <w:start w:val="1"/>
      <w:numFmt w:val="upperLetter"/>
      <w:lvlText w:val="%1."/>
      <w:lvlJc w:val="left"/>
      <w:pPr>
        <w:ind w:left="76" w:hanging="360"/>
      </w:pPr>
      <w:rPr>
        <w:rFonts w:ascii="Times New Roman" w:eastAsia="Times New Roman" w:hAnsi="Times New Roman" w:cs="Times New Roman" w:hint="default"/>
        <w:b/>
        <w:color w:val="0000FF"/>
        <w:u w:val="single"/>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8" w15:restartNumberingAfterBreak="0">
    <w:nsid w:val="52DA3814"/>
    <w:multiLevelType w:val="hybridMultilevel"/>
    <w:tmpl w:val="AA6C5FEC"/>
    <w:lvl w:ilvl="0" w:tplc="5C28BFBE">
      <w:start w:val="1"/>
      <w:numFmt w:val="decimal"/>
      <w:lvlText w:val="%1."/>
      <w:lvlJc w:val="left"/>
      <w:pPr>
        <w:ind w:left="1636" w:hanging="360"/>
      </w:pPr>
      <w:rPr>
        <w:rFonts w:ascii="Times New Roman" w:hAnsi="Times New Roman" w:cs="Times New Roman" w:hint="default"/>
        <w:b w:val="0"/>
        <w:i w:val="0"/>
        <w:color w:val="auto"/>
        <w:sz w:val="20"/>
        <w:szCs w:val="20"/>
      </w:rPr>
    </w:lvl>
    <w:lvl w:ilvl="1" w:tplc="5BD42ADA">
      <w:start w:val="1"/>
      <w:numFmt w:val="lowerLetter"/>
      <w:lvlText w:val="(%2)"/>
      <w:lvlJc w:val="left"/>
      <w:pPr>
        <w:ind w:left="2347" w:hanging="360"/>
      </w:pPr>
      <w:rPr>
        <w:rFonts w:ascii="Times New Roman" w:hAnsi="Times New Roman" w:cs="Times New Roman" w:hint="default"/>
        <w:sz w:val="22"/>
        <w:szCs w:val="22"/>
      </w:rPr>
    </w:lvl>
    <w:lvl w:ilvl="2" w:tplc="0809001B">
      <w:start w:val="1"/>
      <w:numFmt w:val="lowerRoman"/>
      <w:lvlText w:val="%3."/>
      <w:lvlJc w:val="right"/>
      <w:pPr>
        <w:ind w:left="3067" w:hanging="180"/>
      </w:pPr>
    </w:lvl>
    <w:lvl w:ilvl="3" w:tplc="0809000F">
      <w:start w:val="1"/>
      <w:numFmt w:val="decimal"/>
      <w:lvlText w:val="%4."/>
      <w:lvlJc w:val="left"/>
      <w:pPr>
        <w:ind w:left="3787" w:hanging="360"/>
      </w:pPr>
    </w:lvl>
    <w:lvl w:ilvl="4" w:tplc="08090019">
      <w:start w:val="1"/>
      <w:numFmt w:val="lowerLetter"/>
      <w:lvlText w:val="%5."/>
      <w:lvlJc w:val="left"/>
      <w:pPr>
        <w:ind w:left="4507" w:hanging="360"/>
      </w:pPr>
    </w:lvl>
    <w:lvl w:ilvl="5" w:tplc="0809001B">
      <w:start w:val="1"/>
      <w:numFmt w:val="lowerRoman"/>
      <w:lvlText w:val="%6."/>
      <w:lvlJc w:val="right"/>
      <w:pPr>
        <w:ind w:left="5227" w:hanging="180"/>
      </w:pPr>
    </w:lvl>
    <w:lvl w:ilvl="6" w:tplc="0809000F">
      <w:start w:val="1"/>
      <w:numFmt w:val="decimal"/>
      <w:lvlText w:val="%7."/>
      <w:lvlJc w:val="left"/>
      <w:pPr>
        <w:ind w:left="5947" w:hanging="360"/>
      </w:pPr>
    </w:lvl>
    <w:lvl w:ilvl="7" w:tplc="08090019">
      <w:start w:val="1"/>
      <w:numFmt w:val="lowerLetter"/>
      <w:lvlText w:val="%8."/>
      <w:lvlJc w:val="left"/>
      <w:pPr>
        <w:ind w:left="6667" w:hanging="360"/>
      </w:pPr>
    </w:lvl>
    <w:lvl w:ilvl="8" w:tplc="0809001B">
      <w:start w:val="1"/>
      <w:numFmt w:val="lowerRoman"/>
      <w:lvlText w:val="%9."/>
      <w:lvlJc w:val="right"/>
      <w:pPr>
        <w:ind w:left="7387" w:hanging="180"/>
      </w:pPr>
    </w:lvl>
  </w:abstractNum>
  <w:abstractNum w:abstractNumId="29" w15:restartNumberingAfterBreak="0">
    <w:nsid w:val="59927813"/>
    <w:multiLevelType w:val="hybridMultilevel"/>
    <w:tmpl w:val="851859B4"/>
    <w:lvl w:ilvl="0" w:tplc="05280D4A">
      <w:start w:val="1"/>
      <w:numFmt w:val="decimal"/>
      <w:lvlText w:val="%1."/>
      <w:lvlJc w:val="left"/>
      <w:pPr>
        <w:ind w:left="420" w:hanging="420"/>
      </w:pPr>
      <w:rPr>
        <w:rFonts w:hint="default"/>
        <w:lang w:val="en-G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B84287C">
      <w:start w:val="6"/>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4932D0"/>
    <w:multiLevelType w:val="hybridMultilevel"/>
    <w:tmpl w:val="1F58F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641DE8"/>
    <w:multiLevelType w:val="hybridMultilevel"/>
    <w:tmpl w:val="684CBA42"/>
    <w:lvl w:ilvl="0" w:tplc="D2769B4E">
      <w:start w:val="1"/>
      <w:numFmt w:val="upperLetter"/>
      <w:lvlText w:val="%1."/>
      <w:lvlJc w:val="left"/>
      <w:pPr>
        <w:ind w:left="76" w:hanging="360"/>
      </w:pPr>
      <w:rPr>
        <w:rFonts w:ascii="Times New Roman" w:eastAsia="Times New Roman" w:hAnsi="Times New Roman" w:cs="Times New Roman" w:hint="default"/>
        <w:b/>
        <w:color w:val="0000FF"/>
        <w:u w:val="single"/>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2" w15:restartNumberingAfterBreak="0">
    <w:nsid w:val="691F2173"/>
    <w:multiLevelType w:val="hybridMultilevel"/>
    <w:tmpl w:val="A3F2FA48"/>
    <w:lvl w:ilvl="0" w:tplc="72D2566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69C745A1"/>
    <w:multiLevelType w:val="hybridMultilevel"/>
    <w:tmpl w:val="CFB87BC2"/>
    <w:lvl w:ilvl="0" w:tplc="04766F22">
      <w:start w:val="15"/>
      <w:numFmt w:val="decimal"/>
      <w:lvlText w:val="%1."/>
      <w:lvlJc w:val="left"/>
      <w:pPr>
        <w:ind w:left="42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9C1680"/>
    <w:multiLevelType w:val="hybridMultilevel"/>
    <w:tmpl w:val="DBEC8276"/>
    <w:lvl w:ilvl="0" w:tplc="8DD8F8A4">
      <w:start w:val="17"/>
      <w:numFmt w:val="decimal"/>
      <w:lvlText w:val="%1."/>
      <w:lvlJc w:val="left"/>
      <w:pPr>
        <w:ind w:left="420" w:hanging="42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4D4A1F"/>
    <w:multiLevelType w:val="hybridMultilevel"/>
    <w:tmpl w:val="A3707FCC"/>
    <w:lvl w:ilvl="0" w:tplc="52FE4420">
      <w:start w:val="1"/>
      <w:numFmt w:val="upperLetter"/>
      <w:lvlText w:val="%1."/>
      <w:lvlJc w:val="left"/>
      <w:pPr>
        <w:ind w:left="76" w:hanging="360"/>
      </w:pPr>
      <w:rPr>
        <w:rFonts w:ascii="Times New Roman" w:eastAsia="Times New Roman" w:hAnsi="Times New Roman" w:cs="Times New Roman" w:hint="default"/>
        <w:b/>
        <w:color w:val="auto"/>
        <w:u w:val="none"/>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6" w15:restartNumberingAfterBreak="0">
    <w:nsid w:val="76B30956"/>
    <w:multiLevelType w:val="hybridMultilevel"/>
    <w:tmpl w:val="EC44B54E"/>
    <w:lvl w:ilvl="0" w:tplc="D680995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8994572"/>
    <w:multiLevelType w:val="hybridMultilevel"/>
    <w:tmpl w:val="542C8A58"/>
    <w:lvl w:ilvl="0" w:tplc="C29EC92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23"/>
  </w:num>
  <w:num w:numId="3">
    <w:abstractNumId w:val="36"/>
  </w:num>
  <w:num w:numId="4">
    <w:abstractNumId w:val="32"/>
  </w:num>
  <w:num w:numId="5">
    <w:abstractNumId w:val="2"/>
  </w:num>
  <w:num w:numId="6">
    <w:abstractNumId w:val="11"/>
  </w:num>
  <w:num w:numId="7">
    <w:abstractNumId w:val="14"/>
  </w:num>
  <w:num w:numId="8">
    <w:abstractNumId w:val="18"/>
  </w:num>
  <w:num w:numId="9">
    <w:abstractNumId w:val="13"/>
  </w:num>
  <w:num w:numId="10">
    <w:abstractNumId w:val="20"/>
  </w:num>
  <w:num w:numId="11">
    <w:abstractNumId w:val="33"/>
  </w:num>
  <w:num w:numId="12">
    <w:abstractNumId w:val="34"/>
  </w:num>
  <w:num w:numId="13">
    <w:abstractNumId w:val="26"/>
  </w:num>
  <w:num w:numId="14">
    <w:abstractNumId w:val="4"/>
  </w:num>
  <w:num w:numId="15">
    <w:abstractNumId w:val="12"/>
  </w:num>
  <w:num w:numId="16">
    <w:abstractNumId w:val="6"/>
  </w:num>
  <w:num w:numId="17">
    <w:abstractNumId w:val="0"/>
  </w:num>
  <w:num w:numId="18">
    <w:abstractNumId w:val="7"/>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0"/>
  </w:num>
  <w:num w:numId="22">
    <w:abstractNumId w:val="31"/>
  </w:num>
  <w:num w:numId="23">
    <w:abstractNumId w:val="15"/>
  </w:num>
  <w:num w:numId="24">
    <w:abstractNumId w:val="27"/>
  </w:num>
  <w:num w:numId="25">
    <w:abstractNumId w:val="8"/>
  </w:num>
  <w:num w:numId="26">
    <w:abstractNumId w:val="28"/>
  </w:num>
  <w:num w:numId="27">
    <w:abstractNumId w:val="1"/>
  </w:num>
  <w:num w:numId="28">
    <w:abstractNumId w:val="21"/>
  </w:num>
  <w:num w:numId="29">
    <w:abstractNumId w:val="5"/>
  </w:num>
  <w:num w:numId="30">
    <w:abstractNumId w:val="22"/>
  </w:num>
  <w:num w:numId="31">
    <w:abstractNumId w:val="24"/>
  </w:num>
  <w:num w:numId="32">
    <w:abstractNumId w:val="37"/>
  </w:num>
  <w:num w:numId="33">
    <w:abstractNumId w:val="19"/>
  </w:num>
  <w:num w:numId="34">
    <w:abstractNumId w:val="35"/>
  </w:num>
  <w:num w:numId="35">
    <w:abstractNumId w:val="3"/>
  </w:num>
  <w:num w:numId="36">
    <w:abstractNumId w:val="16"/>
  </w:num>
  <w:num w:numId="37">
    <w:abstractNumId w:val="16"/>
    <w:lvlOverride w:ilvl="0">
      <w:startOverride w:val="1"/>
    </w:lvlOverride>
  </w:num>
  <w:num w:numId="38">
    <w:abstractNumId w:val="16"/>
    <w:lvlOverride w:ilvl="0">
      <w:startOverride w:val="1"/>
    </w:lvlOverride>
  </w:num>
  <w:num w:numId="39">
    <w:abstractNumId w:val="16"/>
  </w:num>
  <w:num w:numId="40">
    <w:abstractNumId w:val="25"/>
  </w:num>
  <w:num w:numId="41">
    <w:abstractNumId w:val="30"/>
  </w:num>
  <w:num w:numId="42">
    <w:abstractNumId w:val="9"/>
  </w:num>
  <w:num w:numId="43">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558"/>
    <w:rsid w:val="000024AD"/>
    <w:rsid w:val="000035DC"/>
    <w:rsid w:val="00004DF2"/>
    <w:rsid w:val="0000530F"/>
    <w:rsid w:val="0000606D"/>
    <w:rsid w:val="00006753"/>
    <w:rsid w:val="00006AE7"/>
    <w:rsid w:val="000138F6"/>
    <w:rsid w:val="000143C0"/>
    <w:rsid w:val="00014989"/>
    <w:rsid w:val="00017393"/>
    <w:rsid w:val="000216F2"/>
    <w:rsid w:val="00022394"/>
    <w:rsid w:val="00023CD4"/>
    <w:rsid w:val="000243C8"/>
    <w:rsid w:val="00033E79"/>
    <w:rsid w:val="00035DDF"/>
    <w:rsid w:val="00040712"/>
    <w:rsid w:val="00050386"/>
    <w:rsid w:val="0005483E"/>
    <w:rsid w:val="00054B38"/>
    <w:rsid w:val="000553D3"/>
    <w:rsid w:val="00057DB3"/>
    <w:rsid w:val="00060ECD"/>
    <w:rsid w:val="00062987"/>
    <w:rsid w:val="000639F5"/>
    <w:rsid w:val="0006587B"/>
    <w:rsid w:val="00066649"/>
    <w:rsid w:val="00067607"/>
    <w:rsid w:val="0007434C"/>
    <w:rsid w:val="00080401"/>
    <w:rsid w:val="00083C0C"/>
    <w:rsid w:val="000846C3"/>
    <w:rsid w:val="00091338"/>
    <w:rsid w:val="00091BE4"/>
    <w:rsid w:val="00094675"/>
    <w:rsid w:val="00094E72"/>
    <w:rsid w:val="00095A93"/>
    <w:rsid w:val="000978AE"/>
    <w:rsid w:val="000A4CCF"/>
    <w:rsid w:val="000A533C"/>
    <w:rsid w:val="000A5C18"/>
    <w:rsid w:val="000A7BB4"/>
    <w:rsid w:val="000A7E22"/>
    <w:rsid w:val="000B1FB6"/>
    <w:rsid w:val="000B28AE"/>
    <w:rsid w:val="000B2BCE"/>
    <w:rsid w:val="000B2C4B"/>
    <w:rsid w:val="000B450D"/>
    <w:rsid w:val="000B6B4F"/>
    <w:rsid w:val="000B7F20"/>
    <w:rsid w:val="000C13E0"/>
    <w:rsid w:val="000C1C77"/>
    <w:rsid w:val="000C3FFC"/>
    <w:rsid w:val="000C5325"/>
    <w:rsid w:val="000C53D9"/>
    <w:rsid w:val="000C5C24"/>
    <w:rsid w:val="000C78BB"/>
    <w:rsid w:val="000D03CA"/>
    <w:rsid w:val="000D310C"/>
    <w:rsid w:val="000D3869"/>
    <w:rsid w:val="000D7211"/>
    <w:rsid w:val="000E0E73"/>
    <w:rsid w:val="000E15E8"/>
    <w:rsid w:val="000E3E68"/>
    <w:rsid w:val="000E65E0"/>
    <w:rsid w:val="000E76A0"/>
    <w:rsid w:val="000F189D"/>
    <w:rsid w:val="000F4E20"/>
    <w:rsid w:val="00100658"/>
    <w:rsid w:val="00102C80"/>
    <w:rsid w:val="00104161"/>
    <w:rsid w:val="0010562D"/>
    <w:rsid w:val="00106800"/>
    <w:rsid w:val="00107829"/>
    <w:rsid w:val="00112FF2"/>
    <w:rsid w:val="00113D7B"/>
    <w:rsid w:val="00113DD8"/>
    <w:rsid w:val="00115664"/>
    <w:rsid w:val="00115C7F"/>
    <w:rsid w:val="00117705"/>
    <w:rsid w:val="00117758"/>
    <w:rsid w:val="00124E0B"/>
    <w:rsid w:val="00125F10"/>
    <w:rsid w:val="001309C5"/>
    <w:rsid w:val="00130C46"/>
    <w:rsid w:val="00131015"/>
    <w:rsid w:val="001319DA"/>
    <w:rsid w:val="0013443E"/>
    <w:rsid w:val="00134835"/>
    <w:rsid w:val="00135409"/>
    <w:rsid w:val="00140BAA"/>
    <w:rsid w:val="00141EC6"/>
    <w:rsid w:val="00142DA1"/>
    <w:rsid w:val="00144682"/>
    <w:rsid w:val="00144D49"/>
    <w:rsid w:val="00147C6C"/>
    <w:rsid w:val="00151029"/>
    <w:rsid w:val="0015167B"/>
    <w:rsid w:val="001520D1"/>
    <w:rsid w:val="00153D25"/>
    <w:rsid w:val="0015467B"/>
    <w:rsid w:val="0015515E"/>
    <w:rsid w:val="0015715F"/>
    <w:rsid w:val="00157558"/>
    <w:rsid w:val="00161118"/>
    <w:rsid w:val="00161ED7"/>
    <w:rsid w:val="00163E1C"/>
    <w:rsid w:val="00164BF9"/>
    <w:rsid w:val="00165FD3"/>
    <w:rsid w:val="0016657B"/>
    <w:rsid w:val="00167CF2"/>
    <w:rsid w:val="00170C6E"/>
    <w:rsid w:val="00172FE0"/>
    <w:rsid w:val="00174438"/>
    <w:rsid w:val="00181A80"/>
    <w:rsid w:val="00181C40"/>
    <w:rsid w:val="00182AB1"/>
    <w:rsid w:val="00183DA0"/>
    <w:rsid w:val="0018519D"/>
    <w:rsid w:val="00185930"/>
    <w:rsid w:val="00186063"/>
    <w:rsid w:val="001918BA"/>
    <w:rsid w:val="001939BE"/>
    <w:rsid w:val="001A0386"/>
    <w:rsid w:val="001A25A9"/>
    <w:rsid w:val="001A30E3"/>
    <w:rsid w:val="001A332B"/>
    <w:rsid w:val="001A38E0"/>
    <w:rsid w:val="001A3A76"/>
    <w:rsid w:val="001A6903"/>
    <w:rsid w:val="001B16D3"/>
    <w:rsid w:val="001B1C10"/>
    <w:rsid w:val="001B588A"/>
    <w:rsid w:val="001B72DE"/>
    <w:rsid w:val="001C119D"/>
    <w:rsid w:val="001C2BF2"/>
    <w:rsid w:val="001D16EE"/>
    <w:rsid w:val="001D21E8"/>
    <w:rsid w:val="001D76FE"/>
    <w:rsid w:val="001E19E5"/>
    <w:rsid w:val="001E4276"/>
    <w:rsid w:val="001E5D39"/>
    <w:rsid w:val="001E6669"/>
    <w:rsid w:val="001E6C44"/>
    <w:rsid w:val="001E743B"/>
    <w:rsid w:val="001F01DB"/>
    <w:rsid w:val="001F2D93"/>
    <w:rsid w:val="001F6B1A"/>
    <w:rsid w:val="00200251"/>
    <w:rsid w:val="00200308"/>
    <w:rsid w:val="00200D78"/>
    <w:rsid w:val="002013A4"/>
    <w:rsid w:val="00202D04"/>
    <w:rsid w:val="00202DE6"/>
    <w:rsid w:val="00203FA7"/>
    <w:rsid w:val="00206493"/>
    <w:rsid w:val="0021074A"/>
    <w:rsid w:val="00211AB5"/>
    <w:rsid w:val="00211B26"/>
    <w:rsid w:val="002129CB"/>
    <w:rsid w:val="00212AB2"/>
    <w:rsid w:val="00212DA6"/>
    <w:rsid w:val="00212ED5"/>
    <w:rsid w:val="002201B8"/>
    <w:rsid w:val="00221CA0"/>
    <w:rsid w:val="0022216A"/>
    <w:rsid w:val="0022217D"/>
    <w:rsid w:val="00224F28"/>
    <w:rsid w:val="00225597"/>
    <w:rsid w:val="00226307"/>
    <w:rsid w:val="00231910"/>
    <w:rsid w:val="00232E05"/>
    <w:rsid w:val="00236005"/>
    <w:rsid w:val="00237355"/>
    <w:rsid w:val="00237FEB"/>
    <w:rsid w:val="00241D83"/>
    <w:rsid w:val="00245322"/>
    <w:rsid w:val="0024675E"/>
    <w:rsid w:val="00246A45"/>
    <w:rsid w:val="00250C98"/>
    <w:rsid w:val="00250E83"/>
    <w:rsid w:val="002530BD"/>
    <w:rsid w:val="00255074"/>
    <w:rsid w:val="00255839"/>
    <w:rsid w:val="00257D6C"/>
    <w:rsid w:val="00260199"/>
    <w:rsid w:val="002606BB"/>
    <w:rsid w:val="0026184B"/>
    <w:rsid w:val="00263AE4"/>
    <w:rsid w:val="00263BC3"/>
    <w:rsid w:val="00265ABB"/>
    <w:rsid w:val="002704AF"/>
    <w:rsid w:val="0027096C"/>
    <w:rsid w:val="002747D0"/>
    <w:rsid w:val="0027625A"/>
    <w:rsid w:val="00276B17"/>
    <w:rsid w:val="00281326"/>
    <w:rsid w:val="00281A10"/>
    <w:rsid w:val="00281B47"/>
    <w:rsid w:val="0028315F"/>
    <w:rsid w:val="00285433"/>
    <w:rsid w:val="00287FFE"/>
    <w:rsid w:val="0029067B"/>
    <w:rsid w:val="0029436C"/>
    <w:rsid w:val="00297179"/>
    <w:rsid w:val="002974D4"/>
    <w:rsid w:val="002A1C78"/>
    <w:rsid w:val="002A3998"/>
    <w:rsid w:val="002A6B1C"/>
    <w:rsid w:val="002A6E65"/>
    <w:rsid w:val="002A77E7"/>
    <w:rsid w:val="002B2B45"/>
    <w:rsid w:val="002B4160"/>
    <w:rsid w:val="002B4469"/>
    <w:rsid w:val="002B46EC"/>
    <w:rsid w:val="002B4731"/>
    <w:rsid w:val="002B4967"/>
    <w:rsid w:val="002B6E36"/>
    <w:rsid w:val="002B76DB"/>
    <w:rsid w:val="002C04F0"/>
    <w:rsid w:val="002C14C5"/>
    <w:rsid w:val="002C3B5D"/>
    <w:rsid w:val="002C6D62"/>
    <w:rsid w:val="002D0C53"/>
    <w:rsid w:val="002D2147"/>
    <w:rsid w:val="002D2246"/>
    <w:rsid w:val="002D5D2F"/>
    <w:rsid w:val="002E045A"/>
    <w:rsid w:val="002E2C11"/>
    <w:rsid w:val="002E413D"/>
    <w:rsid w:val="002F6E7A"/>
    <w:rsid w:val="0030000B"/>
    <w:rsid w:val="003003BF"/>
    <w:rsid w:val="003011D6"/>
    <w:rsid w:val="00304794"/>
    <w:rsid w:val="0031187B"/>
    <w:rsid w:val="0031196F"/>
    <w:rsid w:val="003127AA"/>
    <w:rsid w:val="0031450F"/>
    <w:rsid w:val="00316656"/>
    <w:rsid w:val="00316798"/>
    <w:rsid w:val="00320C83"/>
    <w:rsid w:val="00324BA9"/>
    <w:rsid w:val="00324FA5"/>
    <w:rsid w:val="00325DBC"/>
    <w:rsid w:val="00327CBD"/>
    <w:rsid w:val="00330BDC"/>
    <w:rsid w:val="0033242F"/>
    <w:rsid w:val="003329A6"/>
    <w:rsid w:val="00334B51"/>
    <w:rsid w:val="0034097A"/>
    <w:rsid w:val="003414A2"/>
    <w:rsid w:val="0034457F"/>
    <w:rsid w:val="003446A5"/>
    <w:rsid w:val="00345B29"/>
    <w:rsid w:val="003464D7"/>
    <w:rsid w:val="00347DBE"/>
    <w:rsid w:val="00350E3D"/>
    <w:rsid w:val="0035497D"/>
    <w:rsid w:val="00355D8B"/>
    <w:rsid w:val="00357E41"/>
    <w:rsid w:val="003601DE"/>
    <w:rsid w:val="00360BBE"/>
    <w:rsid w:val="0036225C"/>
    <w:rsid w:val="00364C38"/>
    <w:rsid w:val="00365863"/>
    <w:rsid w:val="00370ECF"/>
    <w:rsid w:val="0037427C"/>
    <w:rsid w:val="00376258"/>
    <w:rsid w:val="003771B7"/>
    <w:rsid w:val="003775D9"/>
    <w:rsid w:val="00380274"/>
    <w:rsid w:val="0038093A"/>
    <w:rsid w:val="00380DCA"/>
    <w:rsid w:val="00381B9A"/>
    <w:rsid w:val="00383567"/>
    <w:rsid w:val="003842C7"/>
    <w:rsid w:val="00385703"/>
    <w:rsid w:val="0038689E"/>
    <w:rsid w:val="003875CF"/>
    <w:rsid w:val="003878E0"/>
    <w:rsid w:val="00393EA4"/>
    <w:rsid w:val="003944E5"/>
    <w:rsid w:val="00396CA8"/>
    <w:rsid w:val="0039758A"/>
    <w:rsid w:val="003A4F56"/>
    <w:rsid w:val="003A56D6"/>
    <w:rsid w:val="003A7402"/>
    <w:rsid w:val="003B0CD8"/>
    <w:rsid w:val="003B1F58"/>
    <w:rsid w:val="003B3E28"/>
    <w:rsid w:val="003B3E4E"/>
    <w:rsid w:val="003B47F0"/>
    <w:rsid w:val="003B48AA"/>
    <w:rsid w:val="003B4961"/>
    <w:rsid w:val="003B59D5"/>
    <w:rsid w:val="003B6813"/>
    <w:rsid w:val="003C02E0"/>
    <w:rsid w:val="003C0A78"/>
    <w:rsid w:val="003C53D4"/>
    <w:rsid w:val="003C7324"/>
    <w:rsid w:val="003D614C"/>
    <w:rsid w:val="003D793E"/>
    <w:rsid w:val="003D79E3"/>
    <w:rsid w:val="003D7B60"/>
    <w:rsid w:val="003E04CD"/>
    <w:rsid w:val="003E3346"/>
    <w:rsid w:val="003E549D"/>
    <w:rsid w:val="003E5CD9"/>
    <w:rsid w:val="003F1E85"/>
    <w:rsid w:val="003F3629"/>
    <w:rsid w:val="003F371E"/>
    <w:rsid w:val="003F584B"/>
    <w:rsid w:val="003F6F02"/>
    <w:rsid w:val="00402845"/>
    <w:rsid w:val="00403946"/>
    <w:rsid w:val="00404899"/>
    <w:rsid w:val="004064A5"/>
    <w:rsid w:val="00413137"/>
    <w:rsid w:val="0041334D"/>
    <w:rsid w:val="00413F18"/>
    <w:rsid w:val="00420B73"/>
    <w:rsid w:val="004241C1"/>
    <w:rsid w:val="00424898"/>
    <w:rsid w:val="00426A56"/>
    <w:rsid w:val="00427401"/>
    <w:rsid w:val="00430AF3"/>
    <w:rsid w:val="00434E60"/>
    <w:rsid w:val="0044036F"/>
    <w:rsid w:val="0044078D"/>
    <w:rsid w:val="00451A81"/>
    <w:rsid w:val="004522EA"/>
    <w:rsid w:val="0045410A"/>
    <w:rsid w:val="00456578"/>
    <w:rsid w:val="00461F07"/>
    <w:rsid w:val="004629F3"/>
    <w:rsid w:val="0046621B"/>
    <w:rsid w:val="004679BE"/>
    <w:rsid w:val="004701E0"/>
    <w:rsid w:val="004749A6"/>
    <w:rsid w:val="00475955"/>
    <w:rsid w:val="00482879"/>
    <w:rsid w:val="00482F3D"/>
    <w:rsid w:val="0048433E"/>
    <w:rsid w:val="00484E5C"/>
    <w:rsid w:val="00485349"/>
    <w:rsid w:val="00485AC2"/>
    <w:rsid w:val="0049099C"/>
    <w:rsid w:val="00490AD9"/>
    <w:rsid w:val="00490D49"/>
    <w:rsid w:val="00495388"/>
    <w:rsid w:val="00496024"/>
    <w:rsid w:val="004A0124"/>
    <w:rsid w:val="004A0B04"/>
    <w:rsid w:val="004A1014"/>
    <w:rsid w:val="004A19F8"/>
    <w:rsid w:val="004A1DA8"/>
    <w:rsid w:val="004A26BF"/>
    <w:rsid w:val="004A3B28"/>
    <w:rsid w:val="004A3F41"/>
    <w:rsid w:val="004A5560"/>
    <w:rsid w:val="004A61B3"/>
    <w:rsid w:val="004A6761"/>
    <w:rsid w:val="004B09EF"/>
    <w:rsid w:val="004B3CE5"/>
    <w:rsid w:val="004C0654"/>
    <w:rsid w:val="004C6828"/>
    <w:rsid w:val="004D3921"/>
    <w:rsid w:val="004D3E6E"/>
    <w:rsid w:val="004D451E"/>
    <w:rsid w:val="004D46B9"/>
    <w:rsid w:val="004D58D2"/>
    <w:rsid w:val="004D744D"/>
    <w:rsid w:val="004E01F2"/>
    <w:rsid w:val="004E03AC"/>
    <w:rsid w:val="004E068C"/>
    <w:rsid w:val="004E1197"/>
    <w:rsid w:val="004E1A8B"/>
    <w:rsid w:val="004E3272"/>
    <w:rsid w:val="004E4255"/>
    <w:rsid w:val="004E49FE"/>
    <w:rsid w:val="004E5C9F"/>
    <w:rsid w:val="004E616A"/>
    <w:rsid w:val="004F1C26"/>
    <w:rsid w:val="004F1CC4"/>
    <w:rsid w:val="004F7202"/>
    <w:rsid w:val="00504607"/>
    <w:rsid w:val="00511545"/>
    <w:rsid w:val="005132A4"/>
    <w:rsid w:val="005162FF"/>
    <w:rsid w:val="005175C7"/>
    <w:rsid w:val="0052141F"/>
    <w:rsid w:val="00521FBE"/>
    <w:rsid w:val="00523037"/>
    <w:rsid w:val="00527F9F"/>
    <w:rsid w:val="005311D5"/>
    <w:rsid w:val="0053497B"/>
    <w:rsid w:val="00542C73"/>
    <w:rsid w:val="005442A3"/>
    <w:rsid w:val="00544973"/>
    <w:rsid w:val="00545B55"/>
    <w:rsid w:val="00551AF8"/>
    <w:rsid w:val="00553545"/>
    <w:rsid w:val="0056028F"/>
    <w:rsid w:val="00562660"/>
    <w:rsid w:val="005630F2"/>
    <w:rsid w:val="00563ABA"/>
    <w:rsid w:val="00564443"/>
    <w:rsid w:val="00564E07"/>
    <w:rsid w:val="00566238"/>
    <w:rsid w:val="00567DED"/>
    <w:rsid w:val="00570884"/>
    <w:rsid w:val="00570F20"/>
    <w:rsid w:val="00574142"/>
    <w:rsid w:val="00574472"/>
    <w:rsid w:val="00575362"/>
    <w:rsid w:val="005754D3"/>
    <w:rsid w:val="00575A48"/>
    <w:rsid w:val="005765D6"/>
    <w:rsid w:val="00582065"/>
    <w:rsid w:val="00583516"/>
    <w:rsid w:val="005854EA"/>
    <w:rsid w:val="005869A0"/>
    <w:rsid w:val="005871C3"/>
    <w:rsid w:val="005935C0"/>
    <w:rsid w:val="005A0910"/>
    <w:rsid w:val="005A106D"/>
    <w:rsid w:val="005A36EB"/>
    <w:rsid w:val="005A4902"/>
    <w:rsid w:val="005A6802"/>
    <w:rsid w:val="005B1A52"/>
    <w:rsid w:val="005B2DCD"/>
    <w:rsid w:val="005B43FF"/>
    <w:rsid w:val="005B4673"/>
    <w:rsid w:val="005B6057"/>
    <w:rsid w:val="005B7E41"/>
    <w:rsid w:val="005B7ED4"/>
    <w:rsid w:val="005C2FA6"/>
    <w:rsid w:val="005C4F2F"/>
    <w:rsid w:val="005D0C02"/>
    <w:rsid w:val="005D1FCC"/>
    <w:rsid w:val="005D5AD3"/>
    <w:rsid w:val="005D6605"/>
    <w:rsid w:val="005D7ED5"/>
    <w:rsid w:val="005E345E"/>
    <w:rsid w:val="005E77C5"/>
    <w:rsid w:val="005E785F"/>
    <w:rsid w:val="005E7C69"/>
    <w:rsid w:val="005F147C"/>
    <w:rsid w:val="005F2558"/>
    <w:rsid w:val="005F40D5"/>
    <w:rsid w:val="005F55AA"/>
    <w:rsid w:val="005F5687"/>
    <w:rsid w:val="005F78B1"/>
    <w:rsid w:val="006004DE"/>
    <w:rsid w:val="0060226E"/>
    <w:rsid w:val="00603749"/>
    <w:rsid w:val="0060378A"/>
    <w:rsid w:val="006041F0"/>
    <w:rsid w:val="006059A8"/>
    <w:rsid w:val="00610FB8"/>
    <w:rsid w:val="00613FD1"/>
    <w:rsid w:val="006168A2"/>
    <w:rsid w:val="00617558"/>
    <w:rsid w:val="0062105C"/>
    <w:rsid w:val="00621713"/>
    <w:rsid w:val="0062283C"/>
    <w:rsid w:val="00625178"/>
    <w:rsid w:val="00625FE8"/>
    <w:rsid w:val="00627375"/>
    <w:rsid w:val="006317ED"/>
    <w:rsid w:val="006318DF"/>
    <w:rsid w:val="00633D7F"/>
    <w:rsid w:val="0064151B"/>
    <w:rsid w:val="00642781"/>
    <w:rsid w:val="00644C1F"/>
    <w:rsid w:val="00646D58"/>
    <w:rsid w:val="00647A57"/>
    <w:rsid w:val="006516F1"/>
    <w:rsid w:val="00652211"/>
    <w:rsid w:val="006532D9"/>
    <w:rsid w:val="0065333C"/>
    <w:rsid w:val="0065338D"/>
    <w:rsid w:val="00655B99"/>
    <w:rsid w:val="0066050D"/>
    <w:rsid w:val="00661D1E"/>
    <w:rsid w:val="00664A08"/>
    <w:rsid w:val="006658F7"/>
    <w:rsid w:val="00666BA5"/>
    <w:rsid w:val="00667148"/>
    <w:rsid w:val="006679C3"/>
    <w:rsid w:val="00667BAD"/>
    <w:rsid w:val="00670572"/>
    <w:rsid w:val="0067090C"/>
    <w:rsid w:val="00672227"/>
    <w:rsid w:val="00672312"/>
    <w:rsid w:val="0067538E"/>
    <w:rsid w:val="00675662"/>
    <w:rsid w:val="006759B0"/>
    <w:rsid w:val="00675BA1"/>
    <w:rsid w:val="006763FF"/>
    <w:rsid w:val="00677AA3"/>
    <w:rsid w:val="00680760"/>
    <w:rsid w:val="00682943"/>
    <w:rsid w:val="00682BB8"/>
    <w:rsid w:val="00685708"/>
    <w:rsid w:val="00687D5E"/>
    <w:rsid w:val="006902E0"/>
    <w:rsid w:val="00691F9B"/>
    <w:rsid w:val="00692540"/>
    <w:rsid w:val="006928DB"/>
    <w:rsid w:val="00694918"/>
    <w:rsid w:val="00694D33"/>
    <w:rsid w:val="0069565E"/>
    <w:rsid w:val="00695F1B"/>
    <w:rsid w:val="006A194D"/>
    <w:rsid w:val="006A2434"/>
    <w:rsid w:val="006A3A3A"/>
    <w:rsid w:val="006A4A6D"/>
    <w:rsid w:val="006A518E"/>
    <w:rsid w:val="006A55B3"/>
    <w:rsid w:val="006A6EA2"/>
    <w:rsid w:val="006A7149"/>
    <w:rsid w:val="006B0107"/>
    <w:rsid w:val="006B30E3"/>
    <w:rsid w:val="006B3E55"/>
    <w:rsid w:val="006B4A0B"/>
    <w:rsid w:val="006B7356"/>
    <w:rsid w:val="006C058B"/>
    <w:rsid w:val="006C2C49"/>
    <w:rsid w:val="006C4069"/>
    <w:rsid w:val="006C57C7"/>
    <w:rsid w:val="006C5D6A"/>
    <w:rsid w:val="006C6D11"/>
    <w:rsid w:val="006D14FC"/>
    <w:rsid w:val="006D567D"/>
    <w:rsid w:val="006D655C"/>
    <w:rsid w:val="006D7513"/>
    <w:rsid w:val="006E063F"/>
    <w:rsid w:val="006E0AEC"/>
    <w:rsid w:val="006E2FF6"/>
    <w:rsid w:val="006E5632"/>
    <w:rsid w:val="006E5EF8"/>
    <w:rsid w:val="006E6DB8"/>
    <w:rsid w:val="006E7A53"/>
    <w:rsid w:val="006F3605"/>
    <w:rsid w:val="006F6800"/>
    <w:rsid w:val="006F7722"/>
    <w:rsid w:val="0070561E"/>
    <w:rsid w:val="00705A94"/>
    <w:rsid w:val="00705F03"/>
    <w:rsid w:val="00706645"/>
    <w:rsid w:val="007066CA"/>
    <w:rsid w:val="00706A4E"/>
    <w:rsid w:val="00707CC1"/>
    <w:rsid w:val="007151B8"/>
    <w:rsid w:val="0071664C"/>
    <w:rsid w:val="00717C61"/>
    <w:rsid w:val="00720541"/>
    <w:rsid w:val="00722BFA"/>
    <w:rsid w:val="0072504C"/>
    <w:rsid w:val="007265C7"/>
    <w:rsid w:val="0073015E"/>
    <w:rsid w:val="007316A5"/>
    <w:rsid w:val="0073310F"/>
    <w:rsid w:val="00733878"/>
    <w:rsid w:val="007340F7"/>
    <w:rsid w:val="007345E0"/>
    <w:rsid w:val="00734B3A"/>
    <w:rsid w:val="007372E5"/>
    <w:rsid w:val="007433FB"/>
    <w:rsid w:val="0074388B"/>
    <w:rsid w:val="00746AE1"/>
    <w:rsid w:val="00750978"/>
    <w:rsid w:val="00750A17"/>
    <w:rsid w:val="00750E6A"/>
    <w:rsid w:val="00750F5B"/>
    <w:rsid w:val="00752B62"/>
    <w:rsid w:val="007538BC"/>
    <w:rsid w:val="00755BE3"/>
    <w:rsid w:val="00761215"/>
    <w:rsid w:val="007636B5"/>
    <w:rsid w:val="007648E0"/>
    <w:rsid w:val="00765147"/>
    <w:rsid w:val="00770F60"/>
    <w:rsid w:val="00771029"/>
    <w:rsid w:val="0077141E"/>
    <w:rsid w:val="0077187D"/>
    <w:rsid w:val="00771F87"/>
    <w:rsid w:val="007727CE"/>
    <w:rsid w:val="00773849"/>
    <w:rsid w:val="007762DD"/>
    <w:rsid w:val="00780492"/>
    <w:rsid w:val="00781806"/>
    <w:rsid w:val="007835A3"/>
    <w:rsid w:val="00786D93"/>
    <w:rsid w:val="00790041"/>
    <w:rsid w:val="00791783"/>
    <w:rsid w:val="007944CC"/>
    <w:rsid w:val="007A05F9"/>
    <w:rsid w:val="007A1284"/>
    <w:rsid w:val="007A7003"/>
    <w:rsid w:val="007A71D8"/>
    <w:rsid w:val="007A7AB5"/>
    <w:rsid w:val="007B1182"/>
    <w:rsid w:val="007B1741"/>
    <w:rsid w:val="007B30F0"/>
    <w:rsid w:val="007B325B"/>
    <w:rsid w:val="007B46A3"/>
    <w:rsid w:val="007B5EF6"/>
    <w:rsid w:val="007C4BD9"/>
    <w:rsid w:val="007C5104"/>
    <w:rsid w:val="007C7D9F"/>
    <w:rsid w:val="007D25B4"/>
    <w:rsid w:val="007D3BF8"/>
    <w:rsid w:val="007D550C"/>
    <w:rsid w:val="007E027B"/>
    <w:rsid w:val="007E0C18"/>
    <w:rsid w:val="007E0F57"/>
    <w:rsid w:val="007E1694"/>
    <w:rsid w:val="007E4BB0"/>
    <w:rsid w:val="007E4CFD"/>
    <w:rsid w:val="007E7D98"/>
    <w:rsid w:val="007F0D76"/>
    <w:rsid w:val="007F12EF"/>
    <w:rsid w:val="007F4FC8"/>
    <w:rsid w:val="007F50C3"/>
    <w:rsid w:val="007F60FC"/>
    <w:rsid w:val="007F6451"/>
    <w:rsid w:val="00801964"/>
    <w:rsid w:val="008030B0"/>
    <w:rsid w:val="00803201"/>
    <w:rsid w:val="008034B5"/>
    <w:rsid w:val="00803F34"/>
    <w:rsid w:val="008146BF"/>
    <w:rsid w:val="00816899"/>
    <w:rsid w:val="00816E45"/>
    <w:rsid w:val="00817C16"/>
    <w:rsid w:val="008216D9"/>
    <w:rsid w:val="00822567"/>
    <w:rsid w:val="00826A08"/>
    <w:rsid w:val="008272FB"/>
    <w:rsid w:val="00830775"/>
    <w:rsid w:val="00836C65"/>
    <w:rsid w:val="00840BAF"/>
    <w:rsid w:val="00841BB4"/>
    <w:rsid w:val="0084408D"/>
    <w:rsid w:val="0084600E"/>
    <w:rsid w:val="00846404"/>
    <w:rsid w:val="00846F02"/>
    <w:rsid w:val="00847A4F"/>
    <w:rsid w:val="00847FEE"/>
    <w:rsid w:val="0085025C"/>
    <w:rsid w:val="0085101A"/>
    <w:rsid w:val="008541BD"/>
    <w:rsid w:val="00855D07"/>
    <w:rsid w:val="00860180"/>
    <w:rsid w:val="00861968"/>
    <w:rsid w:val="00861D45"/>
    <w:rsid w:val="00863B4B"/>
    <w:rsid w:val="00865859"/>
    <w:rsid w:val="00865F0B"/>
    <w:rsid w:val="008663F3"/>
    <w:rsid w:val="0087038E"/>
    <w:rsid w:val="00871434"/>
    <w:rsid w:val="008726C4"/>
    <w:rsid w:val="00872774"/>
    <w:rsid w:val="00873C1E"/>
    <w:rsid w:val="00874DC2"/>
    <w:rsid w:val="00875290"/>
    <w:rsid w:val="00876AE9"/>
    <w:rsid w:val="008777BD"/>
    <w:rsid w:val="00880BEF"/>
    <w:rsid w:val="008812A7"/>
    <w:rsid w:val="00882E7F"/>
    <w:rsid w:val="0088343A"/>
    <w:rsid w:val="008862E2"/>
    <w:rsid w:val="008878EB"/>
    <w:rsid w:val="00891505"/>
    <w:rsid w:val="00891FDE"/>
    <w:rsid w:val="008923CD"/>
    <w:rsid w:val="00894231"/>
    <w:rsid w:val="00894B4E"/>
    <w:rsid w:val="00896EA7"/>
    <w:rsid w:val="00896F4C"/>
    <w:rsid w:val="008977AC"/>
    <w:rsid w:val="008A1578"/>
    <w:rsid w:val="008A28D4"/>
    <w:rsid w:val="008A4AC2"/>
    <w:rsid w:val="008A4F9B"/>
    <w:rsid w:val="008A5433"/>
    <w:rsid w:val="008B4DA9"/>
    <w:rsid w:val="008C2893"/>
    <w:rsid w:val="008C4290"/>
    <w:rsid w:val="008C5FA8"/>
    <w:rsid w:val="008C6F07"/>
    <w:rsid w:val="008D1104"/>
    <w:rsid w:val="008D358F"/>
    <w:rsid w:val="008D4114"/>
    <w:rsid w:val="008D4349"/>
    <w:rsid w:val="008D5F60"/>
    <w:rsid w:val="008E07E2"/>
    <w:rsid w:val="008E1035"/>
    <w:rsid w:val="008E6BE3"/>
    <w:rsid w:val="008E6FB6"/>
    <w:rsid w:val="008E799B"/>
    <w:rsid w:val="008F0562"/>
    <w:rsid w:val="008F1770"/>
    <w:rsid w:val="008F2339"/>
    <w:rsid w:val="008F402D"/>
    <w:rsid w:val="00902D2C"/>
    <w:rsid w:val="0090429F"/>
    <w:rsid w:val="009125FB"/>
    <w:rsid w:val="00913152"/>
    <w:rsid w:val="00922AA4"/>
    <w:rsid w:val="00924F23"/>
    <w:rsid w:val="009254DD"/>
    <w:rsid w:val="00925B8A"/>
    <w:rsid w:val="0092688A"/>
    <w:rsid w:val="00930846"/>
    <w:rsid w:val="009309EB"/>
    <w:rsid w:val="00930B2C"/>
    <w:rsid w:val="0093126E"/>
    <w:rsid w:val="00931562"/>
    <w:rsid w:val="0093374E"/>
    <w:rsid w:val="00937EEF"/>
    <w:rsid w:val="00943071"/>
    <w:rsid w:val="00943931"/>
    <w:rsid w:val="0094438D"/>
    <w:rsid w:val="00945FF3"/>
    <w:rsid w:val="009523EF"/>
    <w:rsid w:val="00952455"/>
    <w:rsid w:val="00954546"/>
    <w:rsid w:val="00957BFE"/>
    <w:rsid w:val="0096085A"/>
    <w:rsid w:val="0096147D"/>
    <w:rsid w:val="00961755"/>
    <w:rsid w:val="00961996"/>
    <w:rsid w:val="00964A6C"/>
    <w:rsid w:val="009651DD"/>
    <w:rsid w:val="00967DD4"/>
    <w:rsid w:val="00971745"/>
    <w:rsid w:val="00971FEE"/>
    <w:rsid w:val="0097279D"/>
    <w:rsid w:val="0098068A"/>
    <w:rsid w:val="00980F60"/>
    <w:rsid w:val="009824D3"/>
    <w:rsid w:val="00982830"/>
    <w:rsid w:val="00983825"/>
    <w:rsid w:val="009847C1"/>
    <w:rsid w:val="00985D77"/>
    <w:rsid w:val="00986551"/>
    <w:rsid w:val="00987133"/>
    <w:rsid w:val="00991984"/>
    <w:rsid w:val="00995389"/>
    <w:rsid w:val="00995597"/>
    <w:rsid w:val="0099562C"/>
    <w:rsid w:val="00995930"/>
    <w:rsid w:val="00995B22"/>
    <w:rsid w:val="00995B3F"/>
    <w:rsid w:val="00996BB2"/>
    <w:rsid w:val="009A0820"/>
    <w:rsid w:val="009A1E4C"/>
    <w:rsid w:val="009A425D"/>
    <w:rsid w:val="009B0FBA"/>
    <w:rsid w:val="009B22A0"/>
    <w:rsid w:val="009B63DB"/>
    <w:rsid w:val="009B7E07"/>
    <w:rsid w:val="009C1364"/>
    <w:rsid w:val="009C28CC"/>
    <w:rsid w:val="009D0B6B"/>
    <w:rsid w:val="009D1ED4"/>
    <w:rsid w:val="009D6CE1"/>
    <w:rsid w:val="009E13C3"/>
    <w:rsid w:val="009E348E"/>
    <w:rsid w:val="009E44F3"/>
    <w:rsid w:val="009E45A7"/>
    <w:rsid w:val="009E60D8"/>
    <w:rsid w:val="009E647B"/>
    <w:rsid w:val="009F0CD2"/>
    <w:rsid w:val="009F2C7E"/>
    <w:rsid w:val="00A00A7D"/>
    <w:rsid w:val="00A055B5"/>
    <w:rsid w:val="00A060B8"/>
    <w:rsid w:val="00A10898"/>
    <w:rsid w:val="00A14497"/>
    <w:rsid w:val="00A250E3"/>
    <w:rsid w:val="00A26677"/>
    <w:rsid w:val="00A33655"/>
    <w:rsid w:val="00A3435A"/>
    <w:rsid w:val="00A436A7"/>
    <w:rsid w:val="00A44A6F"/>
    <w:rsid w:val="00A45F54"/>
    <w:rsid w:val="00A46D5D"/>
    <w:rsid w:val="00A5051E"/>
    <w:rsid w:val="00A5407D"/>
    <w:rsid w:val="00A5449B"/>
    <w:rsid w:val="00A546D3"/>
    <w:rsid w:val="00A55D18"/>
    <w:rsid w:val="00A56166"/>
    <w:rsid w:val="00A579B9"/>
    <w:rsid w:val="00A57D2D"/>
    <w:rsid w:val="00A60614"/>
    <w:rsid w:val="00A628FB"/>
    <w:rsid w:val="00A65C58"/>
    <w:rsid w:val="00A70ACC"/>
    <w:rsid w:val="00A7205B"/>
    <w:rsid w:val="00A73B77"/>
    <w:rsid w:val="00A7486C"/>
    <w:rsid w:val="00A74943"/>
    <w:rsid w:val="00A7521D"/>
    <w:rsid w:val="00A7627C"/>
    <w:rsid w:val="00A764F0"/>
    <w:rsid w:val="00A80D51"/>
    <w:rsid w:val="00A825EA"/>
    <w:rsid w:val="00A86B75"/>
    <w:rsid w:val="00A956AA"/>
    <w:rsid w:val="00AA11CA"/>
    <w:rsid w:val="00AA30CE"/>
    <w:rsid w:val="00AB257D"/>
    <w:rsid w:val="00AC1762"/>
    <w:rsid w:val="00AC4756"/>
    <w:rsid w:val="00AC576E"/>
    <w:rsid w:val="00AC587C"/>
    <w:rsid w:val="00AC5E68"/>
    <w:rsid w:val="00AC6877"/>
    <w:rsid w:val="00AC76FF"/>
    <w:rsid w:val="00AC774B"/>
    <w:rsid w:val="00AD201B"/>
    <w:rsid w:val="00AD7ADE"/>
    <w:rsid w:val="00AE752A"/>
    <w:rsid w:val="00AF0F62"/>
    <w:rsid w:val="00AF1F32"/>
    <w:rsid w:val="00AF20AB"/>
    <w:rsid w:val="00AF43D8"/>
    <w:rsid w:val="00AF5409"/>
    <w:rsid w:val="00B023E1"/>
    <w:rsid w:val="00B04793"/>
    <w:rsid w:val="00B057ED"/>
    <w:rsid w:val="00B06881"/>
    <w:rsid w:val="00B07B1D"/>
    <w:rsid w:val="00B10D5C"/>
    <w:rsid w:val="00B12CA9"/>
    <w:rsid w:val="00B12E18"/>
    <w:rsid w:val="00B13471"/>
    <w:rsid w:val="00B15A38"/>
    <w:rsid w:val="00B166B4"/>
    <w:rsid w:val="00B178BA"/>
    <w:rsid w:val="00B1798A"/>
    <w:rsid w:val="00B20467"/>
    <w:rsid w:val="00B204D0"/>
    <w:rsid w:val="00B25778"/>
    <w:rsid w:val="00B353CC"/>
    <w:rsid w:val="00B35C90"/>
    <w:rsid w:val="00B35E8A"/>
    <w:rsid w:val="00B36EEC"/>
    <w:rsid w:val="00B37F7D"/>
    <w:rsid w:val="00B40186"/>
    <w:rsid w:val="00B41689"/>
    <w:rsid w:val="00B42F71"/>
    <w:rsid w:val="00B43014"/>
    <w:rsid w:val="00B43F0C"/>
    <w:rsid w:val="00B460FC"/>
    <w:rsid w:val="00B4663B"/>
    <w:rsid w:val="00B46C79"/>
    <w:rsid w:val="00B522B3"/>
    <w:rsid w:val="00B52D80"/>
    <w:rsid w:val="00B56412"/>
    <w:rsid w:val="00B64952"/>
    <w:rsid w:val="00B65B3B"/>
    <w:rsid w:val="00B66A5A"/>
    <w:rsid w:val="00B67194"/>
    <w:rsid w:val="00B70473"/>
    <w:rsid w:val="00B71BEF"/>
    <w:rsid w:val="00B71E6C"/>
    <w:rsid w:val="00B726CE"/>
    <w:rsid w:val="00B75F9E"/>
    <w:rsid w:val="00B76DB3"/>
    <w:rsid w:val="00B7767A"/>
    <w:rsid w:val="00B80948"/>
    <w:rsid w:val="00B816AB"/>
    <w:rsid w:val="00B818F5"/>
    <w:rsid w:val="00B83CF1"/>
    <w:rsid w:val="00B83EBE"/>
    <w:rsid w:val="00B84699"/>
    <w:rsid w:val="00B8658B"/>
    <w:rsid w:val="00B86FCD"/>
    <w:rsid w:val="00B9034B"/>
    <w:rsid w:val="00B9081A"/>
    <w:rsid w:val="00B911B7"/>
    <w:rsid w:val="00B91217"/>
    <w:rsid w:val="00B93A20"/>
    <w:rsid w:val="00B94016"/>
    <w:rsid w:val="00B9411A"/>
    <w:rsid w:val="00B95260"/>
    <w:rsid w:val="00BA1856"/>
    <w:rsid w:val="00BA32E8"/>
    <w:rsid w:val="00BA3399"/>
    <w:rsid w:val="00BA3F66"/>
    <w:rsid w:val="00BA57BA"/>
    <w:rsid w:val="00BA7900"/>
    <w:rsid w:val="00BB0C6A"/>
    <w:rsid w:val="00BB14A9"/>
    <w:rsid w:val="00BB5A9A"/>
    <w:rsid w:val="00BB74D4"/>
    <w:rsid w:val="00BC002B"/>
    <w:rsid w:val="00BC0183"/>
    <w:rsid w:val="00BC1F01"/>
    <w:rsid w:val="00BC360E"/>
    <w:rsid w:val="00BC3DD0"/>
    <w:rsid w:val="00BC3E66"/>
    <w:rsid w:val="00BC3F23"/>
    <w:rsid w:val="00BC53ED"/>
    <w:rsid w:val="00BC5945"/>
    <w:rsid w:val="00BC659B"/>
    <w:rsid w:val="00BC67A6"/>
    <w:rsid w:val="00BC6F57"/>
    <w:rsid w:val="00BD224B"/>
    <w:rsid w:val="00BD29AD"/>
    <w:rsid w:val="00BD67D6"/>
    <w:rsid w:val="00BE236D"/>
    <w:rsid w:val="00BE38D8"/>
    <w:rsid w:val="00BE482D"/>
    <w:rsid w:val="00BE5D27"/>
    <w:rsid w:val="00BE5F52"/>
    <w:rsid w:val="00BF0347"/>
    <w:rsid w:val="00BF1244"/>
    <w:rsid w:val="00BF2C3A"/>
    <w:rsid w:val="00BF2DD3"/>
    <w:rsid w:val="00BF3A2F"/>
    <w:rsid w:val="00BF427C"/>
    <w:rsid w:val="00C003B5"/>
    <w:rsid w:val="00C0075E"/>
    <w:rsid w:val="00C00DFC"/>
    <w:rsid w:val="00C01DD8"/>
    <w:rsid w:val="00C02A2F"/>
    <w:rsid w:val="00C039A5"/>
    <w:rsid w:val="00C03B5E"/>
    <w:rsid w:val="00C03BC6"/>
    <w:rsid w:val="00C04E1A"/>
    <w:rsid w:val="00C04EC8"/>
    <w:rsid w:val="00C07862"/>
    <w:rsid w:val="00C07EE8"/>
    <w:rsid w:val="00C118D3"/>
    <w:rsid w:val="00C15A76"/>
    <w:rsid w:val="00C178E3"/>
    <w:rsid w:val="00C17BAA"/>
    <w:rsid w:val="00C17E9B"/>
    <w:rsid w:val="00C221AE"/>
    <w:rsid w:val="00C22C8A"/>
    <w:rsid w:val="00C251FB"/>
    <w:rsid w:val="00C259EF"/>
    <w:rsid w:val="00C25ED6"/>
    <w:rsid w:val="00C26364"/>
    <w:rsid w:val="00C34DA0"/>
    <w:rsid w:val="00C35638"/>
    <w:rsid w:val="00C363BB"/>
    <w:rsid w:val="00C371CB"/>
    <w:rsid w:val="00C37C1F"/>
    <w:rsid w:val="00C4050C"/>
    <w:rsid w:val="00C40635"/>
    <w:rsid w:val="00C40939"/>
    <w:rsid w:val="00C42397"/>
    <w:rsid w:val="00C43659"/>
    <w:rsid w:val="00C500FF"/>
    <w:rsid w:val="00C5068C"/>
    <w:rsid w:val="00C50690"/>
    <w:rsid w:val="00C5237D"/>
    <w:rsid w:val="00C526B8"/>
    <w:rsid w:val="00C546C0"/>
    <w:rsid w:val="00C54913"/>
    <w:rsid w:val="00C55B32"/>
    <w:rsid w:val="00C55DFF"/>
    <w:rsid w:val="00C5772F"/>
    <w:rsid w:val="00C61A46"/>
    <w:rsid w:val="00C63262"/>
    <w:rsid w:val="00C6352F"/>
    <w:rsid w:val="00C64505"/>
    <w:rsid w:val="00C65B2F"/>
    <w:rsid w:val="00C65DA8"/>
    <w:rsid w:val="00C67343"/>
    <w:rsid w:val="00C678E2"/>
    <w:rsid w:val="00C7036F"/>
    <w:rsid w:val="00C71E61"/>
    <w:rsid w:val="00C7206E"/>
    <w:rsid w:val="00C75F9D"/>
    <w:rsid w:val="00C77ADB"/>
    <w:rsid w:val="00C80240"/>
    <w:rsid w:val="00C80593"/>
    <w:rsid w:val="00C80BFA"/>
    <w:rsid w:val="00C82857"/>
    <w:rsid w:val="00C84264"/>
    <w:rsid w:val="00C84B84"/>
    <w:rsid w:val="00C85EA1"/>
    <w:rsid w:val="00C90199"/>
    <w:rsid w:val="00C92E7B"/>
    <w:rsid w:val="00C9313F"/>
    <w:rsid w:val="00C947A8"/>
    <w:rsid w:val="00C948D6"/>
    <w:rsid w:val="00C94989"/>
    <w:rsid w:val="00C95CFC"/>
    <w:rsid w:val="00C9643B"/>
    <w:rsid w:val="00C96A71"/>
    <w:rsid w:val="00C976DB"/>
    <w:rsid w:val="00CA0064"/>
    <w:rsid w:val="00CA122E"/>
    <w:rsid w:val="00CA2EB3"/>
    <w:rsid w:val="00CA5142"/>
    <w:rsid w:val="00CA6B3A"/>
    <w:rsid w:val="00CA6F72"/>
    <w:rsid w:val="00CB029D"/>
    <w:rsid w:val="00CB3895"/>
    <w:rsid w:val="00CB70C3"/>
    <w:rsid w:val="00CB729B"/>
    <w:rsid w:val="00CC0816"/>
    <w:rsid w:val="00CC1997"/>
    <w:rsid w:val="00CC541C"/>
    <w:rsid w:val="00CD4078"/>
    <w:rsid w:val="00CE0198"/>
    <w:rsid w:val="00CE0E5A"/>
    <w:rsid w:val="00CE1A07"/>
    <w:rsid w:val="00CE30B0"/>
    <w:rsid w:val="00CE5744"/>
    <w:rsid w:val="00CE5CA3"/>
    <w:rsid w:val="00CE68A8"/>
    <w:rsid w:val="00CF1869"/>
    <w:rsid w:val="00CF1AE9"/>
    <w:rsid w:val="00CF24E1"/>
    <w:rsid w:val="00CF55E7"/>
    <w:rsid w:val="00CF68EB"/>
    <w:rsid w:val="00CF6B58"/>
    <w:rsid w:val="00D03FB2"/>
    <w:rsid w:val="00D05DA4"/>
    <w:rsid w:val="00D060C7"/>
    <w:rsid w:val="00D075FA"/>
    <w:rsid w:val="00D11BB4"/>
    <w:rsid w:val="00D120BA"/>
    <w:rsid w:val="00D154BA"/>
    <w:rsid w:val="00D15E2C"/>
    <w:rsid w:val="00D20590"/>
    <w:rsid w:val="00D21AA7"/>
    <w:rsid w:val="00D23AAD"/>
    <w:rsid w:val="00D25E41"/>
    <w:rsid w:val="00D26A65"/>
    <w:rsid w:val="00D27028"/>
    <w:rsid w:val="00D27286"/>
    <w:rsid w:val="00D27B3A"/>
    <w:rsid w:val="00D30042"/>
    <w:rsid w:val="00D32FA1"/>
    <w:rsid w:val="00D33712"/>
    <w:rsid w:val="00D35AE4"/>
    <w:rsid w:val="00D40BD8"/>
    <w:rsid w:val="00D41F2F"/>
    <w:rsid w:val="00D426A9"/>
    <w:rsid w:val="00D43D08"/>
    <w:rsid w:val="00D44369"/>
    <w:rsid w:val="00D4464D"/>
    <w:rsid w:val="00D458E8"/>
    <w:rsid w:val="00D45926"/>
    <w:rsid w:val="00D511CF"/>
    <w:rsid w:val="00D53C73"/>
    <w:rsid w:val="00D542AF"/>
    <w:rsid w:val="00D5565B"/>
    <w:rsid w:val="00D60B49"/>
    <w:rsid w:val="00D61C18"/>
    <w:rsid w:val="00D61F44"/>
    <w:rsid w:val="00D629B0"/>
    <w:rsid w:val="00D71BB7"/>
    <w:rsid w:val="00D72A83"/>
    <w:rsid w:val="00D72D0A"/>
    <w:rsid w:val="00D73B92"/>
    <w:rsid w:val="00D74F5C"/>
    <w:rsid w:val="00D75B8A"/>
    <w:rsid w:val="00D80899"/>
    <w:rsid w:val="00D81319"/>
    <w:rsid w:val="00D830FE"/>
    <w:rsid w:val="00D83903"/>
    <w:rsid w:val="00D84306"/>
    <w:rsid w:val="00D84AC9"/>
    <w:rsid w:val="00D86744"/>
    <w:rsid w:val="00D92902"/>
    <w:rsid w:val="00DA23DD"/>
    <w:rsid w:val="00DA5F4C"/>
    <w:rsid w:val="00DB20AD"/>
    <w:rsid w:val="00DB29F7"/>
    <w:rsid w:val="00DB60B5"/>
    <w:rsid w:val="00DB7034"/>
    <w:rsid w:val="00DC1AC8"/>
    <w:rsid w:val="00DC3A7E"/>
    <w:rsid w:val="00DC42AD"/>
    <w:rsid w:val="00DC4CFD"/>
    <w:rsid w:val="00DC4E2A"/>
    <w:rsid w:val="00DC5D29"/>
    <w:rsid w:val="00DD46BE"/>
    <w:rsid w:val="00DD59B9"/>
    <w:rsid w:val="00DE056E"/>
    <w:rsid w:val="00DE128C"/>
    <w:rsid w:val="00DE2027"/>
    <w:rsid w:val="00DE224E"/>
    <w:rsid w:val="00DE2CDC"/>
    <w:rsid w:val="00DE4F09"/>
    <w:rsid w:val="00DF14A6"/>
    <w:rsid w:val="00DF1B33"/>
    <w:rsid w:val="00DF2482"/>
    <w:rsid w:val="00DF2A44"/>
    <w:rsid w:val="00DF4BC5"/>
    <w:rsid w:val="00DF7796"/>
    <w:rsid w:val="00E04210"/>
    <w:rsid w:val="00E045F0"/>
    <w:rsid w:val="00E04891"/>
    <w:rsid w:val="00E05297"/>
    <w:rsid w:val="00E06F40"/>
    <w:rsid w:val="00E13B71"/>
    <w:rsid w:val="00E155D2"/>
    <w:rsid w:val="00E16009"/>
    <w:rsid w:val="00E16968"/>
    <w:rsid w:val="00E17BBC"/>
    <w:rsid w:val="00E20CF8"/>
    <w:rsid w:val="00E219C0"/>
    <w:rsid w:val="00E21BE1"/>
    <w:rsid w:val="00E25C83"/>
    <w:rsid w:val="00E27106"/>
    <w:rsid w:val="00E30403"/>
    <w:rsid w:val="00E30FB3"/>
    <w:rsid w:val="00E31A9F"/>
    <w:rsid w:val="00E34D29"/>
    <w:rsid w:val="00E36313"/>
    <w:rsid w:val="00E371D4"/>
    <w:rsid w:val="00E42E58"/>
    <w:rsid w:val="00E43218"/>
    <w:rsid w:val="00E45260"/>
    <w:rsid w:val="00E5560A"/>
    <w:rsid w:val="00E605DE"/>
    <w:rsid w:val="00E636C4"/>
    <w:rsid w:val="00E66669"/>
    <w:rsid w:val="00E67B1A"/>
    <w:rsid w:val="00E701B4"/>
    <w:rsid w:val="00E703C4"/>
    <w:rsid w:val="00E716E5"/>
    <w:rsid w:val="00E72E51"/>
    <w:rsid w:val="00E73E5E"/>
    <w:rsid w:val="00E7427A"/>
    <w:rsid w:val="00E75494"/>
    <w:rsid w:val="00E7718C"/>
    <w:rsid w:val="00E80AB9"/>
    <w:rsid w:val="00E873C7"/>
    <w:rsid w:val="00E8753B"/>
    <w:rsid w:val="00E90D43"/>
    <w:rsid w:val="00E93F25"/>
    <w:rsid w:val="00E95132"/>
    <w:rsid w:val="00E95462"/>
    <w:rsid w:val="00E95592"/>
    <w:rsid w:val="00E95DF6"/>
    <w:rsid w:val="00E962C8"/>
    <w:rsid w:val="00E966A6"/>
    <w:rsid w:val="00EA1CF4"/>
    <w:rsid w:val="00EA3FA1"/>
    <w:rsid w:val="00EA487C"/>
    <w:rsid w:val="00EA57AB"/>
    <w:rsid w:val="00EA5DC6"/>
    <w:rsid w:val="00EB3F83"/>
    <w:rsid w:val="00EB742F"/>
    <w:rsid w:val="00EC0F34"/>
    <w:rsid w:val="00EC1958"/>
    <w:rsid w:val="00EC3C8A"/>
    <w:rsid w:val="00EC4B90"/>
    <w:rsid w:val="00EC797A"/>
    <w:rsid w:val="00ED129B"/>
    <w:rsid w:val="00ED1DD8"/>
    <w:rsid w:val="00ED5ED5"/>
    <w:rsid w:val="00ED63A2"/>
    <w:rsid w:val="00ED6665"/>
    <w:rsid w:val="00ED67D8"/>
    <w:rsid w:val="00ED717F"/>
    <w:rsid w:val="00EE0622"/>
    <w:rsid w:val="00EE1B93"/>
    <w:rsid w:val="00EE48AF"/>
    <w:rsid w:val="00EE5CDA"/>
    <w:rsid w:val="00EE7807"/>
    <w:rsid w:val="00EE7D56"/>
    <w:rsid w:val="00EE7E3F"/>
    <w:rsid w:val="00EF1EE4"/>
    <w:rsid w:val="00EF3346"/>
    <w:rsid w:val="00EF7EE6"/>
    <w:rsid w:val="00F01429"/>
    <w:rsid w:val="00F03560"/>
    <w:rsid w:val="00F112C8"/>
    <w:rsid w:val="00F117E6"/>
    <w:rsid w:val="00F11D30"/>
    <w:rsid w:val="00F127DC"/>
    <w:rsid w:val="00F1573B"/>
    <w:rsid w:val="00F16F89"/>
    <w:rsid w:val="00F218E4"/>
    <w:rsid w:val="00F21FD8"/>
    <w:rsid w:val="00F22EFA"/>
    <w:rsid w:val="00F22F62"/>
    <w:rsid w:val="00F26B47"/>
    <w:rsid w:val="00F27B87"/>
    <w:rsid w:val="00F334C1"/>
    <w:rsid w:val="00F34345"/>
    <w:rsid w:val="00F34A6E"/>
    <w:rsid w:val="00F42221"/>
    <w:rsid w:val="00F449E7"/>
    <w:rsid w:val="00F45068"/>
    <w:rsid w:val="00F451DF"/>
    <w:rsid w:val="00F452FA"/>
    <w:rsid w:val="00F46953"/>
    <w:rsid w:val="00F50EEE"/>
    <w:rsid w:val="00F527BB"/>
    <w:rsid w:val="00F61783"/>
    <w:rsid w:val="00F63884"/>
    <w:rsid w:val="00F63F61"/>
    <w:rsid w:val="00F6537B"/>
    <w:rsid w:val="00F672E8"/>
    <w:rsid w:val="00F71A06"/>
    <w:rsid w:val="00F72278"/>
    <w:rsid w:val="00F725B9"/>
    <w:rsid w:val="00F73D4B"/>
    <w:rsid w:val="00F742F0"/>
    <w:rsid w:val="00F77BC4"/>
    <w:rsid w:val="00F807B7"/>
    <w:rsid w:val="00F83CE9"/>
    <w:rsid w:val="00F87B0E"/>
    <w:rsid w:val="00F87D2A"/>
    <w:rsid w:val="00F87D91"/>
    <w:rsid w:val="00F91B71"/>
    <w:rsid w:val="00F92410"/>
    <w:rsid w:val="00F9619E"/>
    <w:rsid w:val="00F96444"/>
    <w:rsid w:val="00F97528"/>
    <w:rsid w:val="00FA005A"/>
    <w:rsid w:val="00FA0454"/>
    <w:rsid w:val="00FA27F8"/>
    <w:rsid w:val="00FA2AE8"/>
    <w:rsid w:val="00FA3025"/>
    <w:rsid w:val="00FA342B"/>
    <w:rsid w:val="00FA396B"/>
    <w:rsid w:val="00FA5EAA"/>
    <w:rsid w:val="00FA6AF3"/>
    <w:rsid w:val="00FA7D0A"/>
    <w:rsid w:val="00FB0CEA"/>
    <w:rsid w:val="00FB1293"/>
    <w:rsid w:val="00FB2E07"/>
    <w:rsid w:val="00FB7C04"/>
    <w:rsid w:val="00FC1354"/>
    <w:rsid w:val="00FC46AB"/>
    <w:rsid w:val="00FC5565"/>
    <w:rsid w:val="00FC6412"/>
    <w:rsid w:val="00FC66D7"/>
    <w:rsid w:val="00FC7708"/>
    <w:rsid w:val="00FC787E"/>
    <w:rsid w:val="00FC7ECA"/>
    <w:rsid w:val="00FD09AD"/>
    <w:rsid w:val="00FD0DF7"/>
    <w:rsid w:val="00FD23EB"/>
    <w:rsid w:val="00FD4864"/>
    <w:rsid w:val="00FD6810"/>
    <w:rsid w:val="00FE1138"/>
    <w:rsid w:val="00FE1BFE"/>
    <w:rsid w:val="00FE1C7A"/>
    <w:rsid w:val="00FE31B4"/>
    <w:rsid w:val="00FE5ED0"/>
    <w:rsid w:val="00FE6497"/>
    <w:rsid w:val="00FF2A86"/>
    <w:rsid w:val="00FF33DD"/>
    <w:rsid w:val="00FF5C65"/>
    <w:rsid w:val="00FF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A5AF6"/>
  <w15:docId w15:val="{E32F039F-26B7-4E6B-8AB4-D2B41138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401"/>
    <w:pPr>
      <w:numPr>
        <w:numId w:val="36"/>
      </w:numPr>
      <w:spacing w:before="120" w:after="240" w:line="240" w:lineRule="auto"/>
      <w:ind w:left="357" w:firstLine="0"/>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427401"/>
    <w:pPr>
      <w:keepNext/>
      <w:keepLines/>
      <w:numPr>
        <w:numId w:val="0"/>
      </w:numPr>
      <w:tabs>
        <w:tab w:val="left" w:pos="426"/>
      </w:tabs>
      <w:spacing w:before="240" w:after="120"/>
      <w:outlineLvl w:val="0"/>
    </w:pPr>
    <w:rPr>
      <w:b/>
      <w:bCs/>
      <w:sz w:val="28"/>
      <w:szCs w:val="22"/>
      <w:lang w:val="en-GB"/>
    </w:rPr>
  </w:style>
  <w:style w:type="paragraph" w:styleId="Heading2">
    <w:name w:val="heading 2"/>
    <w:basedOn w:val="Normal"/>
    <w:next w:val="Normal"/>
    <w:link w:val="Heading2Char"/>
    <w:autoRedefine/>
    <w:unhideWhenUsed/>
    <w:qFormat/>
    <w:rsid w:val="00D120BA"/>
    <w:pPr>
      <w:keepNext/>
      <w:keepLines/>
      <w:numPr>
        <w:numId w:val="0"/>
      </w:numPr>
      <w:spacing w:before="0" w:after="0"/>
      <w:ind w:left="425" w:hanging="68"/>
      <w:contextualSpacing/>
      <w:outlineLvl w:val="1"/>
    </w:pPr>
    <w:rPr>
      <w:b/>
      <w:bCs/>
      <w:sz w:val="22"/>
      <w:szCs w:val="26"/>
    </w:rPr>
  </w:style>
  <w:style w:type="paragraph" w:styleId="Heading3">
    <w:name w:val="heading 3"/>
    <w:basedOn w:val="Normal"/>
    <w:next w:val="Normal"/>
    <w:link w:val="Heading3Char"/>
    <w:uiPriority w:val="9"/>
    <w:semiHidden/>
    <w:unhideWhenUsed/>
    <w:qFormat/>
    <w:rsid w:val="00D8674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203FA7"/>
    <w:pPr>
      <w:numPr>
        <w:numId w:val="0"/>
      </w:numPr>
      <w:tabs>
        <w:tab w:val="right" w:leader="dot" w:pos="8931"/>
      </w:tabs>
      <w:spacing w:after="120"/>
    </w:pPr>
    <w:rPr>
      <w:b/>
      <w:bCs/>
      <w:iCs/>
      <w:noProof/>
      <w:sz w:val="22"/>
      <w:szCs w:val="22"/>
    </w:rPr>
  </w:style>
  <w:style w:type="paragraph" w:styleId="TOC2">
    <w:name w:val="toc 2"/>
    <w:basedOn w:val="Normal"/>
    <w:next w:val="Normal"/>
    <w:autoRedefine/>
    <w:uiPriority w:val="39"/>
    <w:qFormat/>
    <w:rsid w:val="007B46A3"/>
    <w:pPr>
      <w:numPr>
        <w:numId w:val="0"/>
      </w:numPr>
      <w:tabs>
        <w:tab w:val="right" w:leader="dot" w:pos="8931"/>
      </w:tabs>
      <w:spacing w:after="0"/>
      <w:ind w:right="1089"/>
    </w:pPr>
    <w:rPr>
      <w:bCs/>
      <w:noProof/>
      <w:sz w:val="22"/>
      <w:szCs w:val="22"/>
      <w:lang w:val="en-GB"/>
    </w:rPr>
  </w:style>
  <w:style w:type="character" w:styleId="Hyperlink">
    <w:name w:val="Hyperlink"/>
    <w:uiPriority w:val="99"/>
    <w:unhideWhenUsed/>
    <w:rsid w:val="00617558"/>
    <w:rPr>
      <w:color w:val="0000FF"/>
      <w:u w:val="single"/>
    </w:rPr>
  </w:style>
  <w:style w:type="character" w:customStyle="1" w:styleId="Heading1Char">
    <w:name w:val="Heading 1 Char"/>
    <w:basedOn w:val="DefaultParagraphFont"/>
    <w:link w:val="Heading1"/>
    <w:rsid w:val="00427401"/>
    <w:rPr>
      <w:rFonts w:ascii="Times New Roman" w:eastAsia="Times New Roman" w:hAnsi="Times New Roman" w:cs="Times New Roman"/>
      <w:b/>
      <w:bCs/>
      <w:sz w:val="28"/>
      <w:lang w:val="en-GB"/>
    </w:rPr>
  </w:style>
  <w:style w:type="character" w:customStyle="1" w:styleId="Heading2Char">
    <w:name w:val="Heading 2 Char"/>
    <w:basedOn w:val="DefaultParagraphFont"/>
    <w:link w:val="Heading2"/>
    <w:rsid w:val="00D120BA"/>
    <w:rPr>
      <w:rFonts w:ascii="Times New Roman" w:eastAsia="Times New Roman" w:hAnsi="Times New Roman" w:cs="Times New Roman"/>
      <w:b/>
      <w:bCs/>
      <w:szCs w:val="26"/>
    </w:rPr>
  </w:style>
  <w:style w:type="paragraph" w:styleId="FootnoteText">
    <w:name w:val="footnote text"/>
    <w:basedOn w:val="Normal"/>
    <w:link w:val="FootnoteTextChar"/>
    <w:rsid w:val="00617558"/>
    <w:rPr>
      <w:rFonts w:ascii="Arial" w:hAnsi="Arial"/>
      <w:sz w:val="20"/>
    </w:rPr>
  </w:style>
  <w:style w:type="character" w:customStyle="1" w:styleId="FootnoteTextChar">
    <w:name w:val="Footnote Text Char"/>
    <w:basedOn w:val="DefaultParagraphFont"/>
    <w:link w:val="FootnoteText"/>
    <w:rsid w:val="00617558"/>
    <w:rPr>
      <w:rFonts w:ascii="Arial" w:eastAsia="Times New Roman" w:hAnsi="Arial" w:cs="Times New Roman"/>
      <w:sz w:val="20"/>
      <w:szCs w:val="20"/>
    </w:rPr>
  </w:style>
  <w:style w:type="character" w:styleId="FootnoteReference">
    <w:name w:val="footnote reference"/>
    <w:uiPriority w:val="99"/>
    <w:rsid w:val="00617558"/>
    <w:rPr>
      <w:vertAlign w:val="superscript"/>
    </w:rPr>
  </w:style>
  <w:style w:type="paragraph" w:styleId="ListParagraph">
    <w:name w:val="List Paragraph"/>
    <w:basedOn w:val="Normal"/>
    <w:uiPriority w:val="34"/>
    <w:qFormat/>
    <w:rsid w:val="00F87B0E"/>
    <w:pPr>
      <w:contextualSpacing/>
    </w:pPr>
  </w:style>
  <w:style w:type="paragraph" w:customStyle="1" w:styleId="Default">
    <w:name w:val="Default"/>
    <w:rsid w:val="00EA1CF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D86744"/>
    <w:rPr>
      <w:rFonts w:asciiTheme="majorHAnsi" w:eastAsiaTheme="majorEastAsia" w:hAnsiTheme="majorHAnsi" w:cstheme="majorBidi"/>
      <w:b/>
      <w:bCs/>
      <w:color w:val="4F81BD" w:themeColor="accent1"/>
      <w:sz w:val="24"/>
      <w:szCs w:val="20"/>
    </w:rPr>
  </w:style>
  <w:style w:type="paragraph" w:styleId="Caption">
    <w:name w:val="caption"/>
    <w:basedOn w:val="Normal"/>
    <w:next w:val="Normal"/>
    <w:unhideWhenUsed/>
    <w:qFormat/>
    <w:rsid w:val="006A7149"/>
    <w:rPr>
      <w:b/>
      <w:bCs/>
      <w:sz w:val="20"/>
    </w:rPr>
  </w:style>
  <w:style w:type="paragraph" w:styleId="BalloonText">
    <w:name w:val="Balloon Text"/>
    <w:basedOn w:val="Normal"/>
    <w:link w:val="BalloonTextChar"/>
    <w:uiPriority w:val="99"/>
    <w:semiHidden/>
    <w:unhideWhenUsed/>
    <w:rsid w:val="008777BD"/>
    <w:rPr>
      <w:rFonts w:ascii="Tahoma" w:hAnsi="Tahoma" w:cs="Tahoma"/>
      <w:sz w:val="16"/>
      <w:szCs w:val="16"/>
    </w:rPr>
  </w:style>
  <w:style w:type="character" w:customStyle="1" w:styleId="BalloonTextChar">
    <w:name w:val="Balloon Text Char"/>
    <w:basedOn w:val="DefaultParagraphFont"/>
    <w:link w:val="BalloonText"/>
    <w:uiPriority w:val="99"/>
    <w:semiHidden/>
    <w:rsid w:val="008777B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30403"/>
    <w:rPr>
      <w:sz w:val="16"/>
      <w:szCs w:val="16"/>
    </w:rPr>
  </w:style>
  <w:style w:type="paragraph" w:styleId="CommentText">
    <w:name w:val="annotation text"/>
    <w:basedOn w:val="Normal"/>
    <w:link w:val="CommentTextChar"/>
    <w:uiPriority w:val="99"/>
    <w:semiHidden/>
    <w:unhideWhenUsed/>
    <w:rsid w:val="00E30403"/>
    <w:rPr>
      <w:sz w:val="20"/>
    </w:rPr>
  </w:style>
  <w:style w:type="character" w:customStyle="1" w:styleId="CommentTextChar">
    <w:name w:val="Comment Text Char"/>
    <w:basedOn w:val="DefaultParagraphFont"/>
    <w:link w:val="CommentText"/>
    <w:uiPriority w:val="99"/>
    <w:semiHidden/>
    <w:rsid w:val="00E304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0403"/>
    <w:rPr>
      <w:b/>
      <w:bCs/>
    </w:rPr>
  </w:style>
  <w:style w:type="character" w:customStyle="1" w:styleId="CommentSubjectChar">
    <w:name w:val="Comment Subject Char"/>
    <w:basedOn w:val="CommentTextChar"/>
    <w:link w:val="CommentSubject"/>
    <w:uiPriority w:val="99"/>
    <w:semiHidden/>
    <w:rsid w:val="00E3040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129CB"/>
    <w:pPr>
      <w:tabs>
        <w:tab w:val="center" w:pos="4513"/>
        <w:tab w:val="right" w:pos="9026"/>
      </w:tabs>
    </w:pPr>
  </w:style>
  <w:style w:type="character" w:customStyle="1" w:styleId="HeaderChar">
    <w:name w:val="Header Char"/>
    <w:basedOn w:val="DefaultParagraphFont"/>
    <w:link w:val="Header"/>
    <w:uiPriority w:val="99"/>
    <w:rsid w:val="002129C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129CB"/>
    <w:pPr>
      <w:tabs>
        <w:tab w:val="center" w:pos="4513"/>
        <w:tab w:val="right" w:pos="9026"/>
      </w:tabs>
    </w:pPr>
  </w:style>
  <w:style w:type="character" w:customStyle="1" w:styleId="FooterChar">
    <w:name w:val="Footer Char"/>
    <w:basedOn w:val="DefaultParagraphFont"/>
    <w:link w:val="Footer"/>
    <w:uiPriority w:val="99"/>
    <w:rsid w:val="002129CB"/>
    <w:rPr>
      <w:rFonts w:ascii="Times New Roman" w:eastAsia="Times New Roman" w:hAnsi="Times New Roman" w:cs="Times New Roman"/>
      <w:sz w:val="24"/>
      <w:szCs w:val="20"/>
    </w:rPr>
  </w:style>
  <w:style w:type="paragraph" w:customStyle="1" w:styleId="ARnumberedparas">
    <w:name w:val="AR_numbered_paras"/>
    <w:basedOn w:val="Normal"/>
    <w:rsid w:val="00F92410"/>
    <w:pPr>
      <w:numPr>
        <w:numId w:val="17"/>
      </w:numPr>
      <w:suppressAutoHyphens/>
    </w:pPr>
    <w:rPr>
      <w:color w:val="000000"/>
      <w:spacing w:val="4"/>
      <w:w w:val="103"/>
      <w:kern w:val="1"/>
      <w:sz w:val="20"/>
      <w:lang w:val="en-GB" w:eastAsia="zh-CN"/>
    </w:rPr>
  </w:style>
  <w:style w:type="paragraph" w:styleId="TOCHeading">
    <w:name w:val="TOC Heading"/>
    <w:basedOn w:val="Heading1"/>
    <w:next w:val="Normal"/>
    <w:uiPriority w:val="39"/>
    <w:unhideWhenUsed/>
    <w:qFormat/>
    <w:rsid w:val="00285433"/>
    <w:pPr>
      <w:tabs>
        <w:tab w:val="clear" w:pos="426"/>
      </w:tabs>
      <w:spacing w:before="480" w:after="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SingleTxt">
    <w:name w:val="__Single Txt"/>
    <w:basedOn w:val="Normal"/>
    <w:rsid w:val="0036225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lang w:val="en-GB"/>
    </w:rPr>
  </w:style>
  <w:style w:type="table" w:styleId="TableGrid">
    <w:name w:val="Table Grid"/>
    <w:basedOn w:val="TableNormal"/>
    <w:uiPriority w:val="59"/>
    <w:rsid w:val="003B3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E413D"/>
    <w:rPr>
      <w:sz w:val="20"/>
    </w:rPr>
  </w:style>
  <w:style w:type="character" w:customStyle="1" w:styleId="EndnoteTextChar">
    <w:name w:val="Endnote Text Char"/>
    <w:basedOn w:val="DefaultParagraphFont"/>
    <w:link w:val="EndnoteText"/>
    <w:uiPriority w:val="99"/>
    <w:semiHidden/>
    <w:rsid w:val="002E413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E413D"/>
    <w:rPr>
      <w:vertAlign w:val="superscript"/>
    </w:rPr>
  </w:style>
  <w:style w:type="paragraph" w:styleId="NoSpacing">
    <w:name w:val="No Spacing"/>
    <w:aliases w:val="Table-style"/>
    <w:uiPriority w:val="1"/>
    <w:qFormat/>
    <w:rsid w:val="003944E5"/>
    <w:pPr>
      <w:spacing w:after="0" w:line="240" w:lineRule="auto"/>
      <w:contextualSpacing/>
    </w:pPr>
    <w:rPr>
      <w:rFonts w:ascii="Times New Roman" w:eastAsia="Times New Roman" w:hAnsi="Times New Roman" w:cs="Times New Roman"/>
      <w:sz w:val="20"/>
      <w:szCs w:val="20"/>
    </w:rPr>
  </w:style>
  <w:style w:type="table" w:customStyle="1" w:styleId="GridTable1Light1">
    <w:name w:val="Grid Table 1 Light1"/>
    <w:basedOn w:val="TableNormal"/>
    <w:uiPriority w:val="46"/>
    <w:rsid w:val="00FE1BF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8C6F0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9691">
      <w:bodyDiv w:val="1"/>
      <w:marLeft w:val="0"/>
      <w:marRight w:val="0"/>
      <w:marTop w:val="0"/>
      <w:marBottom w:val="0"/>
      <w:divBdr>
        <w:top w:val="none" w:sz="0" w:space="0" w:color="auto"/>
        <w:left w:val="none" w:sz="0" w:space="0" w:color="auto"/>
        <w:bottom w:val="none" w:sz="0" w:space="0" w:color="auto"/>
        <w:right w:val="none" w:sz="0" w:space="0" w:color="auto"/>
      </w:divBdr>
    </w:div>
    <w:div w:id="40173574">
      <w:bodyDiv w:val="1"/>
      <w:marLeft w:val="0"/>
      <w:marRight w:val="0"/>
      <w:marTop w:val="0"/>
      <w:marBottom w:val="0"/>
      <w:divBdr>
        <w:top w:val="none" w:sz="0" w:space="0" w:color="auto"/>
        <w:left w:val="none" w:sz="0" w:space="0" w:color="auto"/>
        <w:bottom w:val="none" w:sz="0" w:space="0" w:color="auto"/>
        <w:right w:val="none" w:sz="0" w:space="0" w:color="auto"/>
      </w:divBdr>
    </w:div>
    <w:div w:id="170536658">
      <w:bodyDiv w:val="1"/>
      <w:marLeft w:val="0"/>
      <w:marRight w:val="0"/>
      <w:marTop w:val="0"/>
      <w:marBottom w:val="0"/>
      <w:divBdr>
        <w:top w:val="none" w:sz="0" w:space="0" w:color="auto"/>
        <w:left w:val="none" w:sz="0" w:space="0" w:color="auto"/>
        <w:bottom w:val="none" w:sz="0" w:space="0" w:color="auto"/>
        <w:right w:val="none" w:sz="0" w:space="0" w:color="auto"/>
      </w:divBdr>
    </w:div>
    <w:div w:id="196234774">
      <w:bodyDiv w:val="1"/>
      <w:marLeft w:val="0"/>
      <w:marRight w:val="0"/>
      <w:marTop w:val="0"/>
      <w:marBottom w:val="0"/>
      <w:divBdr>
        <w:top w:val="none" w:sz="0" w:space="0" w:color="auto"/>
        <w:left w:val="none" w:sz="0" w:space="0" w:color="auto"/>
        <w:bottom w:val="none" w:sz="0" w:space="0" w:color="auto"/>
        <w:right w:val="none" w:sz="0" w:space="0" w:color="auto"/>
      </w:divBdr>
    </w:div>
    <w:div w:id="220211450">
      <w:bodyDiv w:val="1"/>
      <w:marLeft w:val="0"/>
      <w:marRight w:val="0"/>
      <w:marTop w:val="0"/>
      <w:marBottom w:val="0"/>
      <w:divBdr>
        <w:top w:val="none" w:sz="0" w:space="0" w:color="auto"/>
        <w:left w:val="none" w:sz="0" w:space="0" w:color="auto"/>
        <w:bottom w:val="none" w:sz="0" w:space="0" w:color="auto"/>
        <w:right w:val="none" w:sz="0" w:space="0" w:color="auto"/>
      </w:divBdr>
    </w:div>
    <w:div w:id="252517376">
      <w:bodyDiv w:val="1"/>
      <w:marLeft w:val="0"/>
      <w:marRight w:val="0"/>
      <w:marTop w:val="0"/>
      <w:marBottom w:val="0"/>
      <w:divBdr>
        <w:top w:val="none" w:sz="0" w:space="0" w:color="auto"/>
        <w:left w:val="none" w:sz="0" w:space="0" w:color="auto"/>
        <w:bottom w:val="none" w:sz="0" w:space="0" w:color="auto"/>
        <w:right w:val="none" w:sz="0" w:space="0" w:color="auto"/>
      </w:divBdr>
    </w:div>
    <w:div w:id="298076826">
      <w:bodyDiv w:val="1"/>
      <w:marLeft w:val="0"/>
      <w:marRight w:val="0"/>
      <w:marTop w:val="0"/>
      <w:marBottom w:val="0"/>
      <w:divBdr>
        <w:top w:val="none" w:sz="0" w:space="0" w:color="auto"/>
        <w:left w:val="none" w:sz="0" w:space="0" w:color="auto"/>
        <w:bottom w:val="none" w:sz="0" w:space="0" w:color="auto"/>
        <w:right w:val="none" w:sz="0" w:space="0" w:color="auto"/>
      </w:divBdr>
    </w:div>
    <w:div w:id="311257823">
      <w:bodyDiv w:val="1"/>
      <w:marLeft w:val="0"/>
      <w:marRight w:val="0"/>
      <w:marTop w:val="0"/>
      <w:marBottom w:val="0"/>
      <w:divBdr>
        <w:top w:val="none" w:sz="0" w:space="0" w:color="auto"/>
        <w:left w:val="none" w:sz="0" w:space="0" w:color="auto"/>
        <w:bottom w:val="none" w:sz="0" w:space="0" w:color="auto"/>
        <w:right w:val="none" w:sz="0" w:space="0" w:color="auto"/>
      </w:divBdr>
    </w:div>
    <w:div w:id="371611230">
      <w:bodyDiv w:val="1"/>
      <w:marLeft w:val="0"/>
      <w:marRight w:val="0"/>
      <w:marTop w:val="0"/>
      <w:marBottom w:val="0"/>
      <w:divBdr>
        <w:top w:val="none" w:sz="0" w:space="0" w:color="auto"/>
        <w:left w:val="none" w:sz="0" w:space="0" w:color="auto"/>
        <w:bottom w:val="none" w:sz="0" w:space="0" w:color="auto"/>
        <w:right w:val="none" w:sz="0" w:space="0" w:color="auto"/>
      </w:divBdr>
    </w:div>
    <w:div w:id="376055750">
      <w:bodyDiv w:val="1"/>
      <w:marLeft w:val="0"/>
      <w:marRight w:val="0"/>
      <w:marTop w:val="0"/>
      <w:marBottom w:val="0"/>
      <w:divBdr>
        <w:top w:val="none" w:sz="0" w:space="0" w:color="auto"/>
        <w:left w:val="none" w:sz="0" w:space="0" w:color="auto"/>
        <w:bottom w:val="none" w:sz="0" w:space="0" w:color="auto"/>
        <w:right w:val="none" w:sz="0" w:space="0" w:color="auto"/>
      </w:divBdr>
    </w:div>
    <w:div w:id="474833162">
      <w:bodyDiv w:val="1"/>
      <w:marLeft w:val="0"/>
      <w:marRight w:val="0"/>
      <w:marTop w:val="0"/>
      <w:marBottom w:val="0"/>
      <w:divBdr>
        <w:top w:val="none" w:sz="0" w:space="0" w:color="auto"/>
        <w:left w:val="none" w:sz="0" w:space="0" w:color="auto"/>
        <w:bottom w:val="none" w:sz="0" w:space="0" w:color="auto"/>
        <w:right w:val="none" w:sz="0" w:space="0" w:color="auto"/>
      </w:divBdr>
    </w:div>
    <w:div w:id="477305153">
      <w:bodyDiv w:val="1"/>
      <w:marLeft w:val="0"/>
      <w:marRight w:val="0"/>
      <w:marTop w:val="0"/>
      <w:marBottom w:val="0"/>
      <w:divBdr>
        <w:top w:val="none" w:sz="0" w:space="0" w:color="auto"/>
        <w:left w:val="none" w:sz="0" w:space="0" w:color="auto"/>
        <w:bottom w:val="none" w:sz="0" w:space="0" w:color="auto"/>
        <w:right w:val="none" w:sz="0" w:space="0" w:color="auto"/>
      </w:divBdr>
    </w:div>
    <w:div w:id="493302448">
      <w:bodyDiv w:val="1"/>
      <w:marLeft w:val="0"/>
      <w:marRight w:val="0"/>
      <w:marTop w:val="0"/>
      <w:marBottom w:val="0"/>
      <w:divBdr>
        <w:top w:val="none" w:sz="0" w:space="0" w:color="auto"/>
        <w:left w:val="none" w:sz="0" w:space="0" w:color="auto"/>
        <w:bottom w:val="none" w:sz="0" w:space="0" w:color="auto"/>
        <w:right w:val="none" w:sz="0" w:space="0" w:color="auto"/>
      </w:divBdr>
    </w:div>
    <w:div w:id="513878866">
      <w:bodyDiv w:val="1"/>
      <w:marLeft w:val="0"/>
      <w:marRight w:val="0"/>
      <w:marTop w:val="0"/>
      <w:marBottom w:val="0"/>
      <w:divBdr>
        <w:top w:val="none" w:sz="0" w:space="0" w:color="auto"/>
        <w:left w:val="none" w:sz="0" w:space="0" w:color="auto"/>
        <w:bottom w:val="none" w:sz="0" w:space="0" w:color="auto"/>
        <w:right w:val="none" w:sz="0" w:space="0" w:color="auto"/>
      </w:divBdr>
    </w:div>
    <w:div w:id="536282847">
      <w:bodyDiv w:val="1"/>
      <w:marLeft w:val="0"/>
      <w:marRight w:val="0"/>
      <w:marTop w:val="0"/>
      <w:marBottom w:val="0"/>
      <w:divBdr>
        <w:top w:val="none" w:sz="0" w:space="0" w:color="auto"/>
        <w:left w:val="none" w:sz="0" w:space="0" w:color="auto"/>
        <w:bottom w:val="none" w:sz="0" w:space="0" w:color="auto"/>
        <w:right w:val="none" w:sz="0" w:space="0" w:color="auto"/>
      </w:divBdr>
    </w:div>
    <w:div w:id="548537763">
      <w:bodyDiv w:val="1"/>
      <w:marLeft w:val="0"/>
      <w:marRight w:val="0"/>
      <w:marTop w:val="0"/>
      <w:marBottom w:val="0"/>
      <w:divBdr>
        <w:top w:val="none" w:sz="0" w:space="0" w:color="auto"/>
        <w:left w:val="none" w:sz="0" w:space="0" w:color="auto"/>
        <w:bottom w:val="none" w:sz="0" w:space="0" w:color="auto"/>
        <w:right w:val="none" w:sz="0" w:space="0" w:color="auto"/>
      </w:divBdr>
    </w:div>
    <w:div w:id="614600033">
      <w:bodyDiv w:val="1"/>
      <w:marLeft w:val="0"/>
      <w:marRight w:val="0"/>
      <w:marTop w:val="0"/>
      <w:marBottom w:val="0"/>
      <w:divBdr>
        <w:top w:val="none" w:sz="0" w:space="0" w:color="auto"/>
        <w:left w:val="none" w:sz="0" w:space="0" w:color="auto"/>
        <w:bottom w:val="none" w:sz="0" w:space="0" w:color="auto"/>
        <w:right w:val="none" w:sz="0" w:space="0" w:color="auto"/>
      </w:divBdr>
    </w:div>
    <w:div w:id="650597052">
      <w:bodyDiv w:val="1"/>
      <w:marLeft w:val="0"/>
      <w:marRight w:val="0"/>
      <w:marTop w:val="0"/>
      <w:marBottom w:val="0"/>
      <w:divBdr>
        <w:top w:val="none" w:sz="0" w:space="0" w:color="auto"/>
        <w:left w:val="none" w:sz="0" w:space="0" w:color="auto"/>
        <w:bottom w:val="none" w:sz="0" w:space="0" w:color="auto"/>
        <w:right w:val="none" w:sz="0" w:space="0" w:color="auto"/>
      </w:divBdr>
    </w:div>
    <w:div w:id="779448750">
      <w:bodyDiv w:val="1"/>
      <w:marLeft w:val="0"/>
      <w:marRight w:val="0"/>
      <w:marTop w:val="0"/>
      <w:marBottom w:val="0"/>
      <w:divBdr>
        <w:top w:val="none" w:sz="0" w:space="0" w:color="auto"/>
        <w:left w:val="none" w:sz="0" w:space="0" w:color="auto"/>
        <w:bottom w:val="none" w:sz="0" w:space="0" w:color="auto"/>
        <w:right w:val="none" w:sz="0" w:space="0" w:color="auto"/>
      </w:divBdr>
    </w:div>
    <w:div w:id="790787791">
      <w:bodyDiv w:val="1"/>
      <w:marLeft w:val="0"/>
      <w:marRight w:val="0"/>
      <w:marTop w:val="0"/>
      <w:marBottom w:val="0"/>
      <w:divBdr>
        <w:top w:val="none" w:sz="0" w:space="0" w:color="auto"/>
        <w:left w:val="none" w:sz="0" w:space="0" w:color="auto"/>
        <w:bottom w:val="none" w:sz="0" w:space="0" w:color="auto"/>
        <w:right w:val="none" w:sz="0" w:space="0" w:color="auto"/>
      </w:divBdr>
    </w:div>
    <w:div w:id="797333207">
      <w:bodyDiv w:val="1"/>
      <w:marLeft w:val="0"/>
      <w:marRight w:val="0"/>
      <w:marTop w:val="0"/>
      <w:marBottom w:val="0"/>
      <w:divBdr>
        <w:top w:val="none" w:sz="0" w:space="0" w:color="auto"/>
        <w:left w:val="none" w:sz="0" w:space="0" w:color="auto"/>
        <w:bottom w:val="none" w:sz="0" w:space="0" w:color="auto"/>
        <w:right w:val="none" w:sz="0" w:space="0" w:color="auto"/>
      </w:divBdr>
    </w:div>
    <w:div w:id="822963401">
      <w:bodyDiv w:val="1"/>
      <w:marLeft w:val="0"/>
      <w:marRight w:val="0"/>
      <w:marTop w:val="0"/>
      <w:marBottom w:val="0"/>
      <w:divBdr>
        <w:top w:val="none" w:sz="0" w:space="0" w:color="auto"/>
        <w:left w:val="none" w:sz="0" w:space="0" w:color="auto"/>
        <w:bottom w:val="none" w:sz="0" w:space="0" w:color="auto"/>
        <w:right w:val="none" w:sz="0" w:space="0" w:color="auto"/>
      </w:divBdr>
    </w:div>
    <w:div w:id="829489922">
      <w:bodyDiv w:val="1"/>
      <w:marLeft w:val="0"/>
      <w:marRight w:val="0"/>
      <w:marTop w:val="0"/>
      <w:marBottom w:val="0"/>
      <w:divBdr>
        <w:top w:val="none" w:sz="0" w:space="0" w:color="auto"/>
        <w:left w:val="none" w:sz="0" w:space="0" w:color="auto"/>
        <w:bottom w:val="none" w:sz="0" w:space="0" w:color="auto"/>
        <w:right w:val="none" w:sz="0" w:space="0" w:color="auto"/>
      </w:divBdr>
    </w:div>
    <w:div w:id="866483613">
      <w:bodyDiv w:val="1"/>
      <w:marLeft w:val="0"/>
      <w:marRight w:val="0"/>
      <w:marTop w:val="0"/>
      <w:marBottom w:val="0"/>
      <w:divBdr>
        <w:top w:val="none" w:sz="0" w:space="0" w:color="auto"/>
        <w:left w:val="none" w:sz="0" w:space="0" w:color="auto"/>
        <w:bottom w:val="none" w:sz="0" w:space="0" w:color="auto"/>
        <w:right w:val="none" w:sz="0" w:space="0" w:color="auto"/>
      </w:divBdr>
    </w:div>
    <w:div w:id="896820472">
      <w:bodyDiv w:val="1"/>
      <w:marLeft w:val="0"/>
      <w:marRight w:val="0"/>
      <w:marTop w:val="0"/>
      <w:marBottom w:val="0"/>
      <w:divBdr>
        <w:top w:val="none" w:sz="0" w:space="0" w:color="auto"/>
        <w:left w:val="none" w:sz="0" w:space="0" w:color="auto"/>
        <w:bottom w:val="none" w:sz="0" w:space="0" w:color="auto"/>
        <w:right w:val="none" w:sz="0" w:space="0" w:color="auto"/>
      </w:divBdr>
    </w:div>
    <w:div w:id="972057628">
      <w:bodyDiv w:val="1"/>
      <w:marLeft w:val="0"/>
      <w:marRight w:val="0"/>
      <w:marTop w:val="0"/>
      <w:marBottom w:val="0"/>
      <w:divBdr>
        <w:top w:val="none" w:sz="0" w:space="0" w:color="auto"/>
        <w:left w:val="none" w:sz="0" w:space="0" w:color="auto"/>
        <w:bottom w:val="none" w:sz="0" w:space="0" w:color="auto"/>
        <w:right w:val="none" w:sz="0" w:space="0" w:color="auto"/>
      </w:divBdr>
    </w:div>
    <w:div w:id="972907752">
      <w:bodyDiv w:val="1"/>
      <w:marLeft w:val="0"/>
      <w:marRight w:val="0"/>
      <w:marTop w:val="0"/>
      <w:marBottom w:val="0"/>
      <w:divBdr>
        <w:top w:val="none" w:sz="0" w:space="0" w:color="auto"/>
        <w:left w:val="none" w:sz="0" w:space="0" w:color="auto"/>
        <w:bottom w:val="none" w:sz="0" w:space="0" w:color="auto"/>
        <w:right w:val="none" w:sz="0" w:space="0" w:color="auto"/>
      </w:divBdr>
    </w:div>
    <w:div w:id="1103957233">
      <w:bodyDiv w:val="1"/>
      <w:marLeft w:val="0"/>
      <w:marRight w:val="0"/>
      <w:marTop w:val="0"/>
      <w:marBottom w:val="0"/>
      <w:divBdr>
        <w:top w:val="none" w:sz="0" w:space="0" w:color="auto"/>
        <w:left w:val="none" w:sz="0" w:space="0" w:color="auto"/>
        <w:bottom w:val="none" w:sz="0" w:space="0" w:color="auto"/>
        <w:right w:val="none" w:sz="0" w:space="0" w:color="auto"/>
      </w:divBdr>
    </w:div>
    <w:div w:id="1139417742">
      <w:bodyDiv w:val="1"/>
      <w:marLeft w:val="0"/>
      <w:marRight w:val="0"/>
      <w:marTop w:val="0"/>
      <w:marBottom w:val="0"/>
      <w:divBdr>
        <w:top w:val="none" w:sz="0" w:space="0" w:color="auto"/>
        <w:left w:val="none" w:sz="0" w:space="0" w:color="auto"/>
        <w:bottom w:val="none" w:sz="0" w:space="0" w:color="auto"/>
        <w:right w:val="none" w:sz="0" w:space="0" w:color="auto"/>
      </w:divBdr>
    </w:div>
    <w:div w:id="1227573588">
      <w:bodyDiv w:val="1"/>
      <w:marLeft w:val="0"/>
      <w:marRight w:val="0"/>
      <w:marTop w:val="0"/>
      <w:marBottom w:val="0"/>
      <w:divBdr>
        <w:top w:val="none" w:sz="0" w:space="0" w:color="auto"/>
        <w:left w:val="none" w:sz="0" w:space="0" w:color="auto"/>
        <w:bottom w:val="none" w:sz="0" w:space="0" w:color="auto"/>
        <w:right w:val="none" w:sz="0" w:space="0" w:color="auto"/>
      </w:divBdr>
    </w:div>
    <w:div w:id="1346833105">
      <w:bodyDiv w:val="1"/>
      <w:marLeft w:val="0"/>
      <w:marRight w:val="0"/>
      <w:marTop w:val="0"/>
      <w:marBottom w:val="0"/>
      <w:divBdr>
        <w:top w:val="none" w:sz="0" w:space="0" w:color="auto"/>
        <w:left w:val="none" w:sz="0" w:space="0" w:color="auto"/>
        <w:bottom w:val="none" w:sz="0" w:space="0" w:color="auto"/>
        <w:right w:val="none" w:sz="0" w:space="0" w:color="auto"/>
      </w:divBdr>
    </w:div>
    <w:div w:id="1366324263">
      <w:bodyDiv w:val="1"/>
      <w:marLeft w:val="0"/>
      <w:marRight w:val="0"/>
      <w:marTop w:val="0"/>
      <w:marBottom w:val="0"/>
      <w:divBdr>
        <w:top w:val="none" w:sz="0" w:space="0" w:color="auto"/>
        <w:left w:val="none" w:sz="0" w:space="0" w:color="auto"/>
        <w:bottom w:val="none" w:sz="0" w:space="0" w:color="auto"/>
        <w:right w:val="none" w:sz="0" w:space="0" w:color="auto"/>
      </w:divBdr>
    </w:div>
    <w:div w:id="1484660259">
      <w:bodyDiv w:val="1"/>
      <w:marLeft w:val="0"/>
      <w:marRight w:val="0"/>
      <w:marTop w:val="0"/>
      <w:marBottom w:val="0"/>
      <w:divBdr>
        <w:top w:val="none" w:sz="0" w:space="0" w:color="auto"/>
        <w:left w:val="none" w:sz="0" w:space="0" w:color="auto"/>
        <w:bottom w:val="none" w:sz="0" w:space="0" w:color="auto"/>
        <w:right w:val="none" w:sz="0" w:space="0" w:color="auto"/>
      </w:divBdr>
    </w:div>
    <w:div w:id="1548419880">
      <w:bodyDiv w:val="1"/>
      <w:marLeft w:val="0"/>
      <w:marRight w:val="0"/>
      <w:marTop w:val="0"/>
      <w:marBottom w:val="0"/>
      <w:divBdr>
        <w:top w:val="none" w:sz="0" w:space="0" w:color="auto"/>
        <w:left w:val="none" w:sz="0" w:space="0" w:color="auto"/>
        <w:bottom w:val="none" w:sz="0" w:space="0" w:color="auto"/>
        <w:right w:val="none" w:sz="0" w:space="0" w:color="auto"/>
      </w:divBdr>
    </w:div>
    <w:div w:id="1576237839">
      <w:bodyDiv w:val="1"/>
      <w:marLeft w:val="0"/>
      <w:marRight w:val="0"/>
      <w:marTop w:val="0"/>
      <w:marBottom w:val="0"/>
      <w:divBdr>
        <w:top w:val="none" w:sz="0" w:space="0" w:color="auto"/>
        <w:left w:val="none" w:sz="0" w:space="0" w:color="auto"/>
        <w:bottom w:val="none" w:sz="0" w:space="0" w:color="auto"/>
        <w:right w:val="none" w:sz="0" w:space="0" w:color="auto"/>
      </w:divBdr>
    </w:div>
    <w:div w:id="1582987300">
      <w:bodyDiv w:val="1"/>
      <w:marLeft w:val="0"/>
      <w:marRight w:val="0"/>
      <w:marTop w:val="0"/>
      <w:marBottom w:val="0"/>
      <w:divBdr>
        <w:top w:val="none" w:sz="0" w:space="0" w:color="auto"/>
        <w:left w:val="none" w:sz="0" w:space="0" w:color="auto"/>
        <w:bottom w:val="none" w:sz="0" w:space="0" w:color="auto"/>
        <w:right w:val="none" w:sz="0" w:space="0" w:color="auto"/>
      </w:divBdr>
    </w:div>
    <w:div w:id="1589341689">
      <w:bodyDiv w:val="1"/>
      <w:marLeft w:val="0"/>
      <w:marRight w:val="0"/>
      <w:marTop w:val="0"/>
      <w:marBottom w:val="0"/>
      <w:divBdr>
        <w:top w:val="none" w:sz="0" w:space="0" w:color="auto"/>
        <w:left w:val="none" w:sz="0" w:space="0" w:color="auto"/>
        <w:bottom w:val="none" w:sz="0" w:space="0" w:color="auto"/>
        <w:right w:val="none" w:sz="0" w:space="0" w:color="auto"/>
      </w:divBdr>
    </w:div>
    <w:div w:id="1772314161">
      <w:bodyDiv w:val="1"/>
      <w:marLeft w:val="0"/>
      <w:marRight w:val="0"/>
      <w:marTop w:val="0"/>
      <w:marBottom w:val="0"/>
      <w:divBdr>
        <w:top w:val="none" w:sz="0" w:space="0" w:color="auto"/>
        <w:left w:val="none" w:sz="0" w:space="0" w:color="auto"/>
        <w:bottom w:val="none" w:sz="0" w:space="0" w:color="auto"/>
        <w:right w:val="none" w:sz="0" w:space="0" w:color="auto"/>
      </w:divBdr>
    </w:div>
    <w:div w:id="1991135499">
      <w:bodyDiv w:val="1"/>
      <w:marLeft w:val="0"/>
      <w:marRight w:val="0"/>
      <w:marTop w:val="0"/>
      <w:marBottom w:val="0"/>
      <w:divBdr>
        <w:top w:val="none" w:sz="0" w:space="0" w:color="auto"/>
        <w:left w:val="none" w:sz="0" w:space="0" w:color="auto"/>
        <w:bottom w:val="none" w:sz="0" w:space="0" w:color="auto"/>
        <w:right w:val="none" w:sz="0" w:space="0" w:color="auto"/>
      </w:divBdr>
    </w:div>
    <w:div w:id="2009209670">
      <w:bodyDiv w:val="1"/>
      <w:marLeft w:val="0"/>
      <w:marRight w:val="0"/>
      <w:marTop w:val="0"/>
      <w:marBottom w:val="0"/>
      <w:divBdr>
        <w:top w:val="none" w:sz="0" w:space="0" w:color="auto"/>
        <w:left w:val="none" w:sz="0" w:space="0" w:color="auto"/>
        <w:bottom w:val="none" w:sz="0" w:space="0" w:color="auto"/>
        <w:right w:val="none" w:sz="0" w:space="0" w:color="auto"/>
      </w:divBdr>
    </w:div>
    <w:div w:id="2031712765">
      <w:bodyDiv w:val="1"/>
      <w:marLeft w:val="0"/>
      <w:marRight w:val="0"/>
      <w:marTop w:val="0"/>
      <w:marBottom w:val="0"/>
      <w:divBdr>
        <w:top w:val="none" w:sz="0" w:space="0" w:color="auto"/>
        <w:left w:val="none" w:sz="0" w:space="0" w:color="auto"/>
        <w:bottom w:val="none" w:sz="0" w:space="0" w:color="auto"/>
        <w:right w:val="none" w:sz="0" w:space="0" w:color="auto"/>
      </w:divBdr>
    </w:div>
    <w:div w:id="212861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rp.unops.local\files\DivisionData\ESU\08.%20Internal%20audit%20-%20management%20coordination%20and%20response\2017%20Management%20Response\Data-file-with-graphs_00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rp.unops.local\files\DivisionData\ESU\08.%20Internal%20audit%20-%20management%20coordination%20and%20response\2017%20Management%20Response\Data-file-with-graphs_00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[Data-file-with-graphs_00D.xlsx]Graph 1!PivotTable5</c:name>
    <c:fmtId val="-1"/>
  </c:pivotSource>
  <c:chart>
    <c:autoTitleDeleted val="0"/>
    <c:pivotFmts>
      <c:pivotFmt>
        <c:idx val="0"/>
        <c:spPr>
          <a:solidFill>
            <a:schemeClr val="accent5">
              <a:lumMod val="60000"/>
              <a:lumOff val="40000"/>
            </a:schemeClr>
          </a:solidFill>
          <a:ln>
            <a:noFill/>
          </a:ln>
          <a:effectLst/>
        </c:spPr>
        <c:marker>
          <c:symbol val="none"/>
        </c:marker>
      </c:pivotFmt>
      <c:pivotFmt>
        <c:idx val="1"/>
        <c:spPr>
          <a:solidFill>
            <a:srgbClr val="FF0000"/>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s>
    <c:plotArea>
      <c:layout/>
      <c:barChart>
        <c:barDir val="bar"/>
        <c:grouping val="stacked"/>
        <c:varyColors val="0"/>
        <c:ser>
          <c:idx val="0"/>
          <c:order val="0"/>
          <c:tx>
            <c:strRef>
              <c:f>'Graph 1'!$C$4:$C$5</c:f>
              <c:strCache>
                <c:ptCount val="1"/>
                <c:pt idx="0">
                  <c:v>a. Closed</c:v>
                </c:pt>
              </c:strCache>
            </c:strRef>
          </c:tx>
          <c:spPr>
            <a:solidFill>
              <a:schemeClr val="accent1">
                <a:lumMod val="60000"/>
                <a:lumOff val="40000"/>
              </a:schemeClr>
            </a:solidFill>
            <a:ln>
              <a:noFill/>
            </a:ln>
            <a:effectLst/>
          </c:spPr>
          <c:invertIfNegative val="0"/>
          <c:cat>
            <c:multiLvlStrRef>
              <c:f>'Graph 1'!$A$6:$B$31</c:f>
              <c:multiLvlStrCache>
                <c:ptCount val="25"/>
                <c:lvl>
                  <c:pt idx="0">
                    <c:v>2015</c:v>
                  </c:pt>
                  <c:pt idx="1">
                    <c:v>2016</c:v>
                  </c:pt>
                  <c:pt idx="2">
                    <c:v>2017</c:v>
                  </c:pt>
                  <c:pt idx="3">
                    <c:v>2015</c:v>
                  </c:pt>
                  <c:pt idx="4">
                    <c:v>2016</c:v>
                  </c:pt>
                  <c:pt idx="5">
                    <c:v>2017</c:v>
                  </c:pt>
                  <c:pt idx="6">
                    <c:v>2015</c:v>
                  </c:pt>
                  <c:pt idx="7">
                    <c:v>2016</c:v>
                  </c:pt>
                  <c:pt idx="8">
                    <c:v>2017</c:v>
                  </c:pt>
                  <c:pt idx="9">
                    <c:v>2015</c:v>
                  </c:pt>
                  <c:pt idx="10">
                    <c:v>2016</c:v>
                  </c:pt>
                  <c:pt idx="11">
                    <c:v>2017</c:v>
                  </c:pt>
                  <c:pt idx="12">
                    <c:v>2015</c:v>
                  </c:pt>
                  <c:pt idx="13">
                    <c:v>2016</c:v>
                  </c:pt>
                  <c:pt idx="14">
                    <c:v>2017</c:v>
                  </c:pt>
                  <c:pt idx="15">
                    <c:v>2017</c:v>
                  </c:pt>
                  <c:pt idx="16">
                    <c:v>2016</c:v>
                  </c:pt>
                  <c:pt idx="17">
                    <c:v>2017</c:v>
                  </c:pt>
                  <c:pt idx="18">
                    <c:v>2015</c:v>
                  </c:pt>
                  <c:pt idx="19">
                    <c:v>2016</c:v>
                  </c:pt>
                  <c:pt idx="20">
                    <c:v>2017</c:v>
                  </c:pt>
                  <c:pt idx="21">
                    <c:v>2015</c:v>
                  </c:pt>
                  <c:pt idx="22">
                    <c:v>2016</c:v>
                  </c:pt>
                  <c:pt idx="23">
                    <c:v>2017</c:v>
                  </c:pt>
                  <c:pt idx="24">
                    <c:v>2016</c:v>
                  </c:pt>
                </c:lvl>
                <c:lvl>
                  <c:pt idx="0">
                    <c:v>Finance</c:v>
                  </c:pt>
                  <c:pt idx="3">
                    <c:v>General Administration</c:v>
                  </c:pt>
                  <c:pt idx="6">
                    <c:v>Human Resources</c:v>
                  </c:pt>
                  <c:pt idx="9">
                    <c:v>ICT</c:v>
                  </c:pt>
                  <c:pt idx="12">
                    <c:v>Infrastructure</c:v>
                  </c:pt>
                  <c:pt idx="15">
                    <c:v>Legal</c:v>
                  </c:pt>
                  <c:pt idx="16">
                    <c:v>Partnerships</c:v>
                  </c:pt>
                  <c:pt idx="18">
                    <c:v>Procurement</c:v>
                  </c:pt>
                  <c:pt idx="21">
                    <c:v>Project Management</c:v>
                  </c:pt>
                  <c:pt idx="24">
                    <c:v>Security</c:v>
                  </c:pt>
                </c:lvl>
              </c:multiLvlStrCache>
            </c:multiLvlStrRef>
          </c:cat>
          <c:val>
            <c:numRef>
              <c:f>'Graph 1'!$C$6:$C$31</c:f>
              <c:numCache>
                <c:formatCode>General</c:formatCode>
                <c:ptCount val="25"/>
                <c:pt idx="0">
                  <c:v>5</c:v>
                </c:pt>
                <c:pt idx="1">
                  <c:v>43</c:v>
                </c:pt>
                <c:pt idx="2">
                  <c:v>7</c:v>
                </c:pt>
                <c:pt idx="3">
                  <c:v>1</c:v>
                </c:pt>
                <c:pt idx="4">
                  <c:v>6</c:v>
                </c:pt>
                <c:pt idx="5">
                  <c:v>1</c:v>
                </c:pt>
                <c:pt idx="6">
                  <c:v>5</c:v>
                </c:pt>
                <c:pt idx="7">
                  <c:v>18</c:v>
                </c:pt>
                <c:pt idx="8">
                  <c:v>2</c:v>
                </c:pt>
                <c:pt idx="9">
                  <c:v>4</c:v>
                </c:pt>
                <c:pt idx="10">
                  <c:v>15</c:v>
                </c:pt>
                <c:pt idx="12">
                  <c:v>6</c:v>
                </c:pt>
                <c:pt idx="13">
                  <c:v>1</c:v>
                </c:pt>
                <c:pt idx="16">
                  <c:v>5</c:v>
                </c:pt>
                <c:pt idx="18">
                  <c:v>8</c:v>
                </c:pt>
                <c:pt idx="19">
                  <c:v>31</c:v>
                </c:pt>
                <c:pt idx="20">
                  <c:v>1</c:v>
                </c:pt>
                <c:pt idx="21">
                  <c:v>1</c:v>
                </c:pt>
                <c:pt idx="22">
                  <c:v>22</c:v>
                </c:pt>
                <c:pt idx="23">
                  <c:v>1</c:v>
                </c:pt>
                <c:pt idx="24">
                  <c:v>2</c:v>
                </c:pt>
              </c:numCache>
            </c:numRef>
          </c:val>
          <c:extLst>
            <c:ext xmlns:c16="http://schemas.microsoft.com/office/drawing/2014/chart" uri="{C3380CC4-5D6E-409C-BE32-E72D297353CC}">
              <c16:uniqueId val="{00000000-F2A8-4623-A718-850754C60B96}"/>
            </c:ext>
          </c:extLst>
        </c:ser>
        <c:ser>
          <c:idx val="1"/>
          <c:order val="1"/>
          <c:tx>
            <c:strRef>
              <c:f>'Graph 1'!$D$4:$D$5</c:f>
              <c:strCache>
                <c:ptCount val="1"/>
                <c:pt idx="0">
                  <c:v>c. Open</c:v>
                </c:pt>
              </c:strCache>
            </c:strRef>
          </c:tx>
          <c:spPr>
            <a:solidFill>
              <a:schemeClr val="accent2">
                <a:lumMod val="75000"/>
              </a:schemeClr>
            </a:solidFill>
            <a:ln>
              <a:noFill/>
            </a:ln>
            <a:effectLst/>
          </c:spPr>
          <c:invertIfNegative val="0"/>
          <c:cat>
            <c:multiLvlStrRef>
              <c:f>'Graph 1'!$A$6:$B$31</c:f>
              <c:multiLvlStrCache>
                <c:ptCount val="25"/>
                <c:lvl>
                  <c:pt idx="0">
                    <c:v>2015</c:v>
                  </c:pt>
                  <c:pt idx="1">
                    <c:v>2016</c:v>
                  </c:pt>
                  <c:pt idx="2">
                    <c:v>2017</c:v>
                  </c:pt>
                  <c:pt idx="3">
                    <c:v>2015</c:v>
                  </c:pt>
                  <c:pt idx="4">
                    <c:v>2016</c:v>
                  </c:pt>
                  <c:pt idx="5">
                    <c:v>2017</c:v>
                  </c:pt>
                  <c:pt idx="6">
                    <c:v>2015</c:v>
                  </c:pt>
                  <c:pt idx="7">
                    <c:v>2016</c:v>
                  </c:pt>
                  <c:pt idx="8">
                    <c:v>2017</c:v>
                  </c:pt>
                  <c:pt idx="9">
                    <c:v>2015</c:v>
                  </c:pt>
                  <c:pt idx="10">
                    <c:v>2016</c:v>
                  </c:pt>
                  <c:pt idx="11">
                    <c:v>2017</c:v>
                  </c:pt>
                  <c:pt idx="12">
                    <c:v>2015</c:v>
                  </c:pt>
                  <c:pt idx="13">
                    <c:v>2016</c:v>
                  </c:pt>
                  <c:pt idx="14">
                    <c:v>2017</c:v>
                  </c:pt>
                  <c:pt idx="15">
                    <c:v>2017</c:v>
                  </c:pt>
                  <c:pt idx="16">
                    <c:v>2016</c:v>
                  </c:pt>
                  <c:pt idx="17">
                    <c:v>2017</c:v>
                  </c:pt>
                  <c:pt idx="18">
                    <c:v>2015</c:v>
                  </c:pt>
                  <c:pt idx="19">
                    <c:v>2016</c:v>
                  </c:pt>
                  <c:pt idx="20">
                    <c:v>2017</c:v>
                  </c:pt>
                  <c:pt idx="21">
                    <c:v>2015</c:v>
                  </c:pt>
                  <c:pt idx="22">
                    <c:v>2016</c:v>
                  </c:pt>
                  <c:pt idx="23">
                    <c:v>2017</c:v>
                  </c:pt>
                  <c:pt idx="24">
                    <c:v>2016</c:v>
                  </c:pt>
                </c:lvl>
                <c:lvl>
                  <c:pt idx="0">
                    <c:v>Finance</c:v>
                  </c:pt>
                  <c:pt idx="3">
                    <c:v>General Administration</c:v>
                  </c:pt>
                  <c:pt idx="6">
                    <c:v>Human Resources</c:v>
                  </c:pt>
                  <c:pt idx="9">
                    <c:v>ICT</c:v>
                  </c:pt>
                  <c:pt idx="12">
                    <c:v>Infrastructure</c:v>
                  </c:pt>
                  <c:pt idx="15">
                    <c:v>Legal</c:v>
                  </c:pt>
                  <c:pt idx="16">
                    <c:v>Partnerships</c:v>
                  </c:pt>
                  <c:pt idx="18">
                    <c:v>Procurement</c:v>
                  </c:pt>
                  <c:pt idx="21">
                    <c:v>Project Management</c:v>
                  </c:pt>
                  <c:pt idx="24">
                    <c:v>Security</c:v>
                  </c:pt>
                </c:lvl>
              </c:multiLvlStrCache>
            </c:multiLvlStrRef>
          </c:cat>
          <c:val>
            <c:numRef>
              <c:f>'Graph 1'!$D$6:$D$31</c:f>
              <c:numCache>
                <c:formatCode>General</c:formatCode>
                <c:ptCount val="25"/>
                <c:pt idx="0">
                  <c:v>1</c:v>
                </c:pt>
                <c:pt idx="1">
                  <c:v>27</c:v>
                </c:pt>
                <c:pt idx="2">
                  <c:v>19</c:v>
                </c:pt>
                <c:pt idx="4">
                  <c:v>3</c:v>
                </c:pt>
                <c:pt idx="5">
                  <c:v>20</c:v>
                </c:pt>
                <c:pt idx="6">
                  <c:v>1</c:v>
                </c:pt>
                <c:pt idx="7">
                  <c:v>12</c:v>
                </c:pt>
                <c:pt idx="8">
                  <c:v>17</c:v>
                </c:pt>
                <c:pt idx="9">
                  <c:v>3</c:v>
                </c:pt>
                <c:pt idx="11">
                  <c:v>1</c:v>
                </c:pt>
                <c:pt idx="12">
                  <c:v>7</c:v>
                </c:pt>
                <c:pt idx="14">
                  <c:v>2</c:v>
                </c:pt>
                <c:pt idx="15">
                  <c:v>2</c:v>
                </c:pt>
                <c:pt idx="16">
                  <c:v>1</c:v>
                </c:pt>
                <c:pt idx="17">
                  <c:v>1</c:v>
                </c:pt>
                <c:pt idx="19">
                  <c:v>2</c:v>
                </c:pt>
                <c:pt idx="20">
                  <c:v>51</c:v>
                </c:pt>
                <c:pt idx="22">
                  <c:v>3</c:v>
                </c:pt>
                <c:pt idx="23">
                  <c:v>37</c:v>
                </c:pt>
              </c:numCache>
            </c:numRef>
          </c:val>
          <c:extLst>
            <c:ext xmlns:c16="http://schemas.microsoft.com/office/drawing/2014/chart" uri="{C3380CC4-5D6E-409C-BE32-E72D297353CC}">
              <c16:uniqueId val="{00000001-F2A8-4623-A718-850754C60B96}"/>
            </c:ext>
          </c:extLst>
        </c:ser>
        <c:dLbls>
          <c:showLegendKey val="0"/>
          <c:showVal val="0"/>
          <c:showCatName val="0"/>
          <c:showSerName val="0"/>
          <c:showPercent val="0"/>
          <c:showBubbleSize val="0"/>
        </c:dLbls>
        <c:gapWidth val="150"/>
        <c:overlap val="100"/>
        <c:axId val="84224640"/>
        <c:axId val="84234624"/>
      </c:barChart>
      <c:catAx>
        <c:axId val="842246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4234624"/>
        <c:crosses val="autoZero"/>
        <c:auto val="1"/>
        <c:lblAlgn val="ctr"/>
        <c:lblOffset val="100"/>
        <c:noMultiLvlLbl val="0"/>
      </c:catAx>
      <c:valAx>
        <c:axId val="842346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4224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[Data-file-with-graphs_00D.xlsx]Graph 2!PivotTable8</c:name>
    <c:fmtId val="-1"/>
  </c:pivotSource>
  <c:chart>
    <c:autoTitleDeleted val="0"/>
    <c:pivotFmts>
      <c:pivotFmt>
        <c:idx val="0"/>
        <c:spPr>
          <a:solidFill>
            <a:schemeClr val="accent1"/>
          </a:solidFill>
          <a:ln>
            <a:noFill/>
          </a:ln>
          <a:effectLst/>
        </c:spPr>
        <c:marker>
          <c:symbol val="none"/>
        </c:marker>
      </c:pivotFmt>
      <c:pivotFmt>
        <c:idx val="1"/>
        <c:spPr>
          <a:solidFill>
            <a:srgbClr val="FF0000"/>
          </a:solidFill>
          <a:ln>
            <a:noFill/>
          </a:ln>
          <a:effectLst/>
        </c:spPr>
        <c:marker>
          <c:symbol val="none"/>
        </c:marker>
      </c:pivotFmt>
      <c:pivotFmt>
        <c:idx val="2"/>
        <c:spPr>
          <a:solidFill>
            <a:schemeClr val="accent5">
              <a:lumMod val="60000"/>
              <a:lumOff val="40000"/>
            </a:schemeClr>
          </a:solidFill>
          <a:ln>
            <a:noFill/>
          </a:ln>
          <a:effectLst/>
        </c:spPr>
        <c:marker>
          <c:symbol val="none"/>
        </c:marker>
      </c:pivotFmt>
      <c:pivotFmt>
        <c:idx val="3"/>
        <c:spPr>
          <a:solidFill>
            <a:schemeClr val="accent5">
              <a:lumMod val="60000"/>
              <a:lumOff val="40000"/>
            </a:schemeClr>
          </a:solidFill>
          <a:ln>
            <a:noFill/>
          </a:ln>
          <a:effectLst/>
        </c:spPr>
        <c:marker>
          <c:symbol val="none"/>
        </c:marker>
      </c:pivotFmt>
      <c:pivotFmt>
        <c:idx val="4"/>
        <c:spPr>
          <a:solidFill>
            <a:srgbClr val="FF0000"/>
          </a:solidFill>
          <a:ln>
            <a:noFill/>
          </a:ln>
          <a:effectLst/>
        </c:spPr>
        <c:marker>
          <c:symbol val="none"/>
        </c:marker>
      </c:pivotFmt>
      <c:pivotFmt>
        <c:idx val="5"/>
        <c:spPr>
          <a:solidFill>
            <a:schemeClr val="accent5">
              <a:lumMod val="60000"/>
              <a:lumOff val="40000"/>
            </a:schemeClr>
          </a:solidFill>
          <a:ln>
            <a:noFill/>
          </a:ln>
          <a:effectLst/>
        </c:spPr>
        <c:marker>
          <c:symbol val="none"/>
        </c:marker>
      </c:pivotFmt>
      <c:pivotFmt>
        <c:idx val="6"/>
        <c:spPr>
          <a:solidFill>
            <a:srgbClr val="FF0000"/>
          </a:solidFill>
          <a:ln>
            <a:noFill/>
          </a:ln>
          <a:effectLst/>
        </c:spPr>
        <c:marker>
          <c:symbol val="none"/>
        </c:marker>
      </c:pivotFmt>
    </c:pivotFmts>
    <c:plotArea>
      <c:layout/>
      <c:barChart>
        <c:barDir val="bar"/>
        <c:grouping val="stacked"/>
        <c:varyColors val="0"/>
        <c:ser>
          <c:idx val="0"/>
          <c:order val="0"/>
          <c:tx>
            <c:strRef>
              <c:f>'Graph 2'!$C$5:$C$6</c:f>
              <c:strCache>
                <c:ptCount val="1"/>
                <c:pt idx="0">
                  <c:v>a. Closed</c:v>
                </c:pt>
              </c:strCache>
            </c:strRef>
          </c:tx>
          <c:spPr>
            <a:solidFill>
              <a:schemeClr val="accent1">
                <a:lumMod val="60000"/>
                <a:lumOff val="40000"/>
              </a:schemeClr>
            </a:solidFill>
            <a:ln>
              <a:noFill/>
            </a:ln>
            <a:effectLst/>
          </c:spPr>
          <c:invertIfNegative val="0"/>
          <c:cat>
            <c:multiLvlStrRef>
              <c:f>'Graph 2'!$A$7:$B$23</c:f>
              <c:multiLvlStrCache>
                <c:ptCount val="16"/>
                <c:lvl>
                  <c:pt idx="0">
                    <c:v>2015</c:v>
                  </c:pt>
                  <c:pt idx="1">
                    <c:v>2016</c:v>
                  </c:pt>
                  <c:pt idx="2">
                    <c:v>2017</c:v>
                  </c:pt>
                  <c:pt idx="3">
                    <c:v>2015</c:v>
                  </c:pt>
                  <c:pt idx="4">
                    <c:v>2016</c:v>
                  </c:pt>
                  <c:pt idx="5">
                    <c:v>2017</c:v>
                  </c:pt>
                  <c:pt idx="6">
                    <c:v>2015</c:v>
                  </c:pt>
                  <c:pt idx="7">
                    <c:v>2016</c:v>
                  </c:pt>
                  <c:pt idx="8">
                    <c:v>2017</c:v>
                  </c:pt>
                  <c:pt idx="9">
                    <c:v>2017</c:v>
                  </c:pt>
                  <c:pt idx="10">
                    <c:v>2015</c:v>
                  </c:pt>
                  <c:pt idx="11">
                    <c:v>2016</c:v>
                  </c:pt>
                  <c:pt idx="12">
                    <c:v>2017</c:v>
                  </c:pt>
                  <c:pt idx="13">
                    <c:v>2015</c:v>
                  </c:pt>
                  <c:pt idx="14">
                    <c:v>2016</c:v>
                  </c:pt>
                  <c:pt idx="15">
                    <c:v>2017</c:v>
                  </c:pt>
                </c:lvl>
                <c:lvl>
                  <c:pt idx="0">
                    <c:v>Finance</c:v>
                  </c:pt>
                  <c:pt idx="3">
                    <c:v>General Administration</c:v>
                  </c:pt>
                  <c:pt idx="6">
                    <c:v>Human Resources</c:v>
                  </c:pt>
                  <c:pt idx="9">
                    <c:v>ICT</c:v>
                  </c:pt>
                  <c:pt idx="10">
                    <c:v>Procurement</c:v>
                  </c:pt>
                  <c:pt idx="13">
                    <c:v>Project Management</c:v>
                  </c:pt>
                </c:lvl>
              </c:multiLvlStrCache>
            </c:multiLvlStrRef>
          </c:cat>
          <c:val>
            <c:numRef>
              <c:f>'Graph 2'!$C$7:$C$23</c:f>
              <c:numCache>
                <c:formatCode>General</c:formatCode>
                <c:ptCount val="16"/>
                <c:pt idx="0">
                  <c:v>10</c:v>
                </c:pt>
                <c:pt idx="1">
                  <c:v>6</c:v>
                </c:pt>
                <c:pt idx="3">
                  <c:v>14</c:v>
                </c:pt>
                <c:pt idx="4">
                  <c:v>2</c:v>
                </c:pt>
                <c:pt idx="5">
                  <c:v>1</c:v>
                </c:pt>
                <c:pt idx="6">
                  <c:v>1</c:v>
                </c:pt>
                <c:pt idx="7">
                  <c:v>1</c:v>
                </c:pt>
                <c:pt idx="8">
                  <c:v>1</c:v>
                </c:pt>
                <c:pt idx="10">
                  <c:v>1</c:v>
                </c:pt>
                <c:pt idx="11">
                  <c:v>9</c:v>
                </c:pt>
                <c:pt idx="13">
                  <c:v>10</c:v>
                </c:pt>
                <c:pt idx="14">
                  <c:v>14</c:v>
                </c:pt>
              </c:numCache>
            </c:numRef>
          </c:val>
          <c:extLst>
            <c:ext xmlns:c16="http://schemas.microsoft.com/office/drawing/2014/chart" uri="{C3380CC4-5D6E-409C-BE32-E72D297353CC}">
              <c16:uniqueId val="{00000000-63D8-4B20-84AD-C0FA34645E8B}"/>
            </c:ext>
          </c:extLst>
        </c:ser>
        <c:ser>
          <c:idx val="1"/>
          <c:order val="1"/>
          <c:tx>
            <c:strRef>
              <c:f>'Graph 2'!$D$5:$D$6</c:f>
              <c:strCache>
                <c:ptCount val="1"/>
                <c:pt idx="0">
                  <c:v>c. Open</c:v>
                </c:pt>
              </c:strCache>
            </c:strRef>
          </c:tx>
          <c:spPr>
            <a:solidFill>
              <a:schemeClr val="accent2">
                <a:lumMod val="75000"/>
              </a:schemeClr>
            </a:solidFill>
            <a:ln>
              <a:noFill/>
            </a:ln>
            <a:effectLst/>
          </c:spPr>
          <c:invertIfNegative val="0"/>
          <c:cat>
            <c:multiLvlStrRef>
              <c:f>'Graph 2'!$A$7:$B$23</c:f>
              <c:multiLvlStrCache>
                <c:ptCount val="16"/>
                <c:lvl>
                  <c:pt idx="0">
                    <c:v>2015</c:v>
                  </c:pt>
                  <c:pt idx="1">
                    <c:v>2016</c:v>
                  </c:pt>
                  <c:pt idx="2">
                    <c:v>2017</c:v>
                  </c:pt>
                  <c:pt idx="3">
                    <c:v>2015</c:v>
                  </c:pt>
                  <c:pt idx="4">
                    <c:v>2016</c:v>
                  </c:pt>
                  <c:pt idx="5">
                    <c:v>2017</c:v>
                  </c:pt>
                  <c:pt idx="6">
                    <c:v>2015</c:v>
                  </c:pt>
                  <c:pt idx="7">
                    <c:v>2016</c:v>
                  </c:pt>
                  <c:pt idx="8">
                    <c:v>2017</c:v>
                  </c:pt>
                  <c:pt idx="9">
                    <c:v>2017</c:v>
                  </c:pt>
                  <c:pt idx="10">
                    <c:v>2015</c:v>
                  </c:pt>
                  <c:pt idx="11">
                    <c:v>2016</c:v>
                  </c:pt>
                  <c:pt idx="12">
                    <c:v>2017</c:v>
                  </c:pt>
                  <c:pt idx="13">
                    <c:v>2015</c:v>
                  </c:pt>
                  <c:pt idx="14">
                    <c:v>2016</c:v>
                  </c:pt>
                  <c:pt idx="15">
                    <c:v>2017</c:v>
                  </c:pt>
                </c:lvl>
                <c:lvl>
                  <c:pt idx="0">
                    <c:v>Finance</c:v>
                  </c:pt>
                  <c:pt idx="3">
                    <c:v>General Administration</c:v>
                  </c:pt>
                  <c:pt idx="6">
                    <c:v>Human Resources</c:v>
                  </c:pt>
                  <c:pt idx="9">
                    <c:v>ICT</c:v>
                  </c:pt>
                  <c:pt idx="10">
                    <c:v>Procurement</c:v>
                  </c:pt>
                  <c:pt idx="13">
                    <c:v>Project Management</c:v>
                  </c:pt>
                </c:lvl>
              </c:multiLvlStrCache>
            </c:multiLvlStrRef>
          </c:cat>
          <c:val>
            <c:numRef>
              <c:f>'Graph 2'!$D$7:$D$23</c:f>
              <c:numCache>
                <c:formatCode>General</c:formatCode>
                <c:ptCount val="16"/>
                <c:pt idx="1">
                  <c:v>3</c:v>
                </c:pt>
                <c:pt idx="2">
                  <c:v>34</c:v>
                </c:pt>
                <c:pt idx="5">
                  <c:v>18</c:v>
                </c:pt>
                <c:pt idx="8">
                  <c:v>1</c:v>
                </c:pt>
                <c:pt idx="9">
                  <c:v>13</c:v>
                </c:pt>
                <c:pt idx="11">
                  <c:v>1</c:v>
                </c:pt>
                <c:pt idx="12">
                  <c:v>7</c:v>
                </c:pt>
                <c:pt idx="14">
                  <c:v>3</c:v>
                </c:pt>
                <c:pt idx="15">
                  <c:v>40</c:v>
                </c:pt>
              </c:numCache>
            </c:numRef>
          </c:val>
          <c:extLst>
            <c:ext xmlns:c16="http://schemas.microsoft.com/office/drawing/2014/chart" uri="{C3380CC4-5D6E-409C-BE32-E72D297353CC}">
              <c16:uniqueId val="{00000001-63D8-4B20-84AD-C0FA34645E8B}"/>
            </c:ext>
          </c:extLst>
        </c:ser>
        <c:dLbls>
          <c:showLegendKey val="0"/>
          <c:showVal val="0"/>
          <c:showCatName val="0"/>
          <c:showSerName val="0"/>
          <c:showPercent val="0"/>
          <c:showBubbleSize val="0"/>
        </c:dLbls>
        <c:gapWidth val="150"/>
        <c:overlap val="100"/>
        <c:axId val="84260736"/>
        <c:axId val="84262272"/>
      </c:barChart>
      <c:catAx>
        <c:axId val="842607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262272"/>
        <c:crosses val="autoZero"/>
        <c:auto val="1"/>
        <c:lblAlgn val="ctr"/>
        <c:lblOffset val="100"/>
        <c:noMultiLvlLbl val="0"/>
      </c:catAx>
      <c:valAx>
        <c:axId val="842622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260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27D73-668B-4E8A-84B9-2F1B1B979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5780</Words>
  <Characters>36414</Characters>
  <Application>Microsoft Office Word</Application>
  <DocSecurity>0</DocSecurity>
  <Lines>888</Lines>
  <Paragraphs>307</Paragraphs>
  <ScaleCrop>false</ScaleCrop>
  <HeadingPairs>
    <vt:vector size="2" baseType="variant">
      <vt:variant>
        <vt:lpstr>Title</vt:lpstr>
      </vt:variant>
      <vt:variant>
        <vt:i4>1</vt:i4>
      </vt:variant>
    </vt:vector>
  </HeadingPairs>
  <TitlesOfParts>
    <vt:vector size="1" baseType="lpstr">
      <vt:lpstr/>
    </vt:vector>
  </TitlesOfParts>
  <Company>UNOPS</Company>
  <LinksUpToDate>false</LinksUpToDate>
  <CharactersWithSpaces>41887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MALMSTROM</dc:creator>
  <cp:keywords/>
  <dc:description/>
  <cp:lastModifiedBy>Svetlana Iazykova</cp:lastModifiedBy>
  <cp:revision>2</cp:revision>
  <cp:lastPrinted>2018-04-30T11:41:00Z</cp:lastPrinted>
  <dcterms:created xsi:type="dcterms:W3CDTF">2018-05-07T15:19:00Z</dcterms:created>
  <dcterms:modified xsi:type="dcterms:W3CDTF">2018-05-07T15:19:00Z</dcterms:modified>
</cp:coreProperties>
</file>