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4A" w:rsidRPr="00F0684A" w:rsidRDefault="00F0684A" w:rsidP="00F0684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  <w:lang w:val="en-GB"/>
        </w:rPr>
      </w:pPr>
      <w:bookmarkStart w:id="0" w:name="_Toc440563013"/>
      <w:bookmarkStart w:id="1" w:name="_GoBack"/>
      <w:bookmarkEnd w:id="1"/>
      <w:r w:rsidRPr="00F0684A">
        <w:rPr>
          <w:rFonts w:asciiTheme="majorHAnsi" w:eastAsiaTheme="majorEastAsia" w:hAnsiTheme="majorHAnsi" w:cstheme="majorBidi"/>
          <w:bCs/>
          <w:color w:val="2E74B5" w:themeColor="accent1" w:themeShade="BF"/>
          <w:sz w:val="28"/>
          <w:szCs w:val="28"/>
          <w:lang w:val="en-GB"/>
        </w:rPr>
        <w:t>Annex 1: Interim Cooperation Framework (2016-2017): Results and Resources Framework</w:t>
      </w:r>
      <w:bookmarkEnd w:id="0"/>
    </w:p>
    <w:p w:rsidR="00F0684A" w:rsidRPr="00F0684A" w:rsidRDefault="00F0684A" w:rsidP="00F0684A">
      <w:pPr>
        <w:rPr>
          <w:lang w:val="en-GB"/>
        </w:rPr>
      </w:pPr>
    </w:p>
    <w:tbl>
      <w:tblPr>
        <w:tblW w:w="52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4140"/>
        <w:gridCol w:w="1171"/>
        <w:gridCol w:w="2235"/>
        <w:gridCol w:w="1094"/>
      </w:tblGrid>
      <w:tr w:rsidR="00F0684A" w:rsidRPr="00F0684A" w:rsidTr="001D00D5">
        <w:trPr>
          <w:trHeight w:val="439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contextualSpacing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 xml:space="preserve">Results </w:t>
            </w:r>
          </w:p>
          <w:p w:rsidR="00F0684A" w:rsidRPr="00F0684A" w:rsidRDefault="00F0684A" w:rsidP="00F0684A">
            <w:pPr>
              <w:spacing w:after="0" w:line="240" w:lineRule="auto"/>
              <w:contextualSpacing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contextualSpacing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Indicators, baseline, targets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contextualSpacing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Means of verification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contextualSpacing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Indicative budget</w:t>
            </w:r>
          </w:p>
        </w:tc>
      </w:tr>
      <w:tr w:rsidR="00F0684A" w:rsidRPr="00F0684A" w:rsidTr="001D00D5">
        <w:trPr>
          <w:trHeight w:val="2954"/>
        </w:trPr>
        <w:tc>
          <w:tcPr>
            <w:tcW w:w="6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contextualSpacing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 xml:space="preserve">Outcome 1: Enhancing the resilience of communities </w:t>
            </w:r>
          </w:p>
        </w:tc>
        <w:tc>
          <w:tcPr>
            <w:tcW w:w="209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Indicator 1.1: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 % of targeted communities using 11 coping strategies or below. </w:t>
            </w:r>
            <w:r w:rsidRPr="00F0684A">
              <w:rPr>
                <w:rFonts w:ascii="Corbel" w:hAnsi="Corbel"/>
                <w:sz w:val="16"/>
                <w:szCs w:val="16"/>
                <w:lang w:val="en-GB"/>
              </w:rPr>
              <w:t>Coping Strategy Index (CSI), disaggregated by sex of household head  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Baseline (2014)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: (rCSI): 50%  of targeted communities use more than 11 coping strategies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Target (2017):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 100 % of targeted communities reduce the number of coping strategies to 11 or below (out of a score of 56) 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Indicator 1.2: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  Number of targeted </w:t>
            </w:r>
            <w:r w:rsidRPr="00F0684A">
              <w:rPr>
                <w:rFonts w:ascii="Corbel" w:hAnsi="Corbel"/>
                <w:sz w:val="16"/>
                <w:szCs w:val="16"/>
                <w:lang w:val="en-GB"/>
              </w:rPr>
              <w:t xml:space="preserve">communities have increased assets over the baseline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Baseline (2014):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 None of targeted communities have average of 2.4 functional assets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sz w:val="16"/>
                <w:szCs w:val="16"/>
                <w:lang w:val="en-GB"/>
              </w:rPr>
              <w:t>Target (2017):</w:t>
            </w:r>
            <w:r w:rsidRPr="00F0684A">
              <w:rPr>
                <w:rFonts w:ascii="Corbel" w:hAnsi="Corbel"/>
                <w:sz w:val="16"/>
                <w:szCs w:val="16"/>
                <w:lang w:val="en-GB"/>
              </w:rPr>
              <w:t xml:space="preserve"> 250 communities have community assets over the baseline average of 2.4 functional assets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Post Distribution Outcome Monitoring</w:t>
            </w: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Resilience Context Analysis</w:t>
            </w: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contextualSpacing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Food Security and Nutrition Monitoring System (FSNMS)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Community participation in activity and site selection and management starts at project inception and remains ongoing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Value of entitlement is attractive against work norms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Entitlements and complementary resources are sufficient to prevent negative coping strategies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Entitlements are supplemented by complementary foods, provided by partners or otherwise available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Households have access to local functioning markets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Limited price/currency inflation or fluctuation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USD 194 million</w:t>
            </w:r>
          </w:p>
        </w:tc>
      </w:tr>
      <w:tr w:rsidR="00F0684A" w:rsidRPr="00F0684A" w:rsidTr="001D00D5">
        <w:tc>
          <w:tcPr>
            <w:tcW w:w="6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contextualSpacing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Indicator 1.3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: % households with acceptable Food Consumption Score (FCS)</w:t>
            </w:r>
          </w:p>
          <w:p w:rsidR="00F0684A" w:rsidRPr="00F0684A" w:rsidRDefault="00F0684A" w:rsidP="00F0684A">
            <w:pPr>
              <w:contextualSpacing/>
              <w:rPr>
                <w:rFonts w:ascii="Corbel" w:hAnsi="Corbel" w:cstheme="majorBidi"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Baseline (2015):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 44% with population in target areas have acceptable food consumption. </w:t>
            </w:r>
          </w:p>
          <w:p w:rsidR="00F0684A" w:rsidRPr="00F0684A" w:rsidRDefault="00F0684A" w:rsidP="00F0684A">
            <w:pPr>
              <w:contextualSpacing/>
              <w:rPr>
                <w:rFonts w:ascii="Corbel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Target (2017):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 xml:space="preserve"> 65% of target population have acceptable food consumption scores.</w:t>
            </w: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F0684A" w:rsidRPr="00F0684A" w:rsidRDefault="00F0684A" w:rsidP="00F0684A">
      <w:pPr>
        <w:rPr>
          <w:lang w:val="en-GB"/>
        </w:rPr>
      </w:pPr>
    </w:p>
    <w:p w:rsidR="00F0684A" w:rsidRPr="00F0684A" w:rsidRDefault="00F0684A" w:rsidP="00F0684A">
      <w:pPr>
        <w:rPr>
          <w:lang w:val="en-GB"/>
        </w:rPr>
      </w:pPr>
    </w:p>
    <w:tbl>
      <w:tblPr>
        <w:tblW w:w="98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188"/>
        <w:gridCol w:w="1170"/>
        <w:gridCol w:w="2214"/>
        <w:gridCol w:w="1068"/>
      </w:tblGrid>
      <w:tr w:rsidR="00F0684A" w:rsidRPr="00F0684A" w:rsidTr="001D00D5">
        <w:trPr>
          <w:tblHeader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 w:cs="Times New Roman"/>
                <w:sz w:val="16"/>
                <w:szCs w:val="16"/>
                <w:lang w:val="en-GB"/>
              </w:rPr>
              <w:br w:type="page"/>
            </w: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>Results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>Indicators, baseline, targets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>Means of verification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0684A" w:rsidRPr="00F0684A" w:rsidRDefault="00F0684A" w:rsidP="00F0684A">
            <w:pPr>
              <w:spacing w:after="0" w:line="240" w:lineRule="auto"/>
              <w:contextualSpacing/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/>
                <w:sz w:val="16"/>
                <w:szCs w:val="16"/>
                <w:lang w:val="en-GB"/>
              </w:rPr>
              <w:t>Indicative  budget</w:t>
            </w:r>
          </w:p>
        </w:tc>
      </w:tr>
      <w:tr w:rsidR="00F0684A" w:rsidRPr="00F0684A" w:rsidTr="001D00D5">
        <w:trPr>
          <w:trHeight w:val="1285"/>
        </w:trPr>
        <w:tc>
          <w:tcPr>
            <w:tcW w:w="12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Outcome 2: Strengthening social services for the most vulnerable</w:t>
            </w:r>
          </w:p>
        </w:tc>
        <w:tc>
          <w:tcPr>
            <w:tcW w:w="418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Indicator 2.1: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 xml:space="preserve"> Proportion of births attended by skilled health professionals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Baseline (2013)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 xml:space="preserve">: 11%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Target (2017)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 xml:space="preserve">: 25% 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>In-Patient Department records, Health MIS, Ante Natal Care records</w:t>
            </w:r>
          </w:p>
        </w:tc>
        <w:tc>
          <w:tcPr>
            <w:tcW w:w="221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Investment in health infrastructure and human resources required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Lack of resources and insecurity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F0684A" w:rsidRPr="00F0684A" w:rsidRDefault="00F0684A" w:rsidP="00F0684A">
            <w:pPr>
              <w:spacing w:line="240" w:lineRule="auto"/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 xml:space="preserve"> </w:t>
            </w: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USD 383 million</w:t>
            </w:r>
          </w:p>
        </w:tc>
      </w:tr>
      <w:tr w:rsidR="00F0684A" w:rsidRPr="00F0684A" w:rsidTr="001D00D5">
        <w:tc>
          <w:tcPr>
            <w:tcW w:w="1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</w:p>
        </w:tc>
        <w:tc>
          <w:tcPr>
            <w:tcW w:w="4188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 xml:space="preserve">Indicator 2.2: 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>Moderate acute malnutrition treatment recovery rate in children and pregnant and lactating women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 xml:space="preserve">Baseline (2014) 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 xml:space="preserve">: 85%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Target (2017)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>: No less than 75% </w:t>
            </w:r>
          </w:p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>Programme monitoring, partner reports, Health MIS</w:t>
            </w:r>
          </w:p>
        </w:tc>
        <w:tc>
          <w:tcPr>
            <w:tcW w:w="2214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Partner capacity must be present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Ability to access care points and funding</w:t>
            </w:r>
          </w:p>
        </w:tc>
        <w:tc>
          <w:tcPr>
            <w:tcW w:w="1068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</w:p>
        </w:tc>
      </w:tr>
      <w:tr w:rsidR="00F0684A" w:rsidRPr="00F0684A" w:rsidTr="001D00D5"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</w:p>
        </w:tc>
        <w:tc>
          <w:tcPr>
            <w:tcW w:w="418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Indicator 2.3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>: % of children and adults enrolled in education (sex-disaggregated)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Baseline (2015)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 xml:space="preserve">: 35% Primary Net Enrollment Rate (30% girl, 39% boys); adults: 16% women, 40% men 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color w:val="212121"/>
                <w:sz w:val="16"/>
                <w:szCs w:val="16"/>
                <w:lang w:val="en-GB"/>
              </w:rPr>
              <w:t>Target (2017):</w:t>
            </w: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 xml:space="preserve"> 40% Primary NER (35% girls, 45% boys); adults 20% women, 44% men </w:t>
            </w:r>
          </w:p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  <w:t>Monitoring reports with sex-disaggregated figures, Education MIS</w:t>
            </w:r>
          </w:p>
        </w:tc>
        <w:tc>
          <w:tcPr>
            <w:tcW w:w="221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Peace prevails in most states and IDPs return home</w:t>
            </w: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spacing w:after="0" w:line="240" w:lineRule="auto"/>
              <w:rPr>
                <w:rFonts w:ascii="Corbel" w:hAnsi="Corbel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/>
                <w:sz w:val="16"/>
                <w:szCs w:val="16"/>
                <w:lang w:val="en-GB"/>
              </w:rPr>
              <w:t>Increased insecurity</w:t>
            </w:r>
          </w:p>
        </w:tc>
        <w:tc>
          <w:tcPr>
            <w:tcW w:w="10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</w:p>
        </w:tc>
      </w:tr>
    </w:tbl>
    <w:p w:rsidR="00F0684A" w:rsidRPr="00F0684A" w:rsidRDefault="00F0684A" w:rsidP="00F0684A">
      <w:pPr>
        <w:shd w:val="clear" w:color="auto" w:fill="FFFFFF"/>
        <w:spacing w:after="0" w:line="240" w:lineRule="auto"/>
        <w:rPr>
          <w:rFonts w:ascii="Corbel" w:hAnsi="Corbel" w:cs="Times New Roman"/>
          <w:color w:val="1F497D"/>
          <w:sz w:val="16"/>
          <w:szCs w:val="16"/>
          <w:lang w:val="en-GB"/>
        </w:rPr>
      </w:pPr>
    </w:p>
    <w:p w:rsidR="00F0684A" w:rsidRPr="00F0684A" w:rsidRDefault="00F0684A" w:rsidP="00F0684A">
      <w:pPr>
        <w:shd w:val="clear" w:color="auto" w:fill="FFFFFF"/>
        <w:spacing w:after="0" w:line="240" w:lineRule="auto"/>
        <w:rPr>
          <w:rFonts w:ascii="Corbel" w:hAnsi="Corbel" w:cs="Times New Roman"/>
          <w:color w:val="1F497D"/>
          <w:sz w:val="16"/>
          <w:szCs w:val="16"/>
          <w:lang w:val="en-GB"/>
        </w:rPr>
      </w:pPr>
    </w:p>
    <w:p w:rsidR="00F0684A" w:rsidRPr="00F0684A" w:rsidRDefault="00F0684A" w:rsidP="00F0684A">
      <w:pPr>
        <w:rPr>
          <w:rFonts w:ascii="Corbel" w:hAnsi="Corbel" w:cs="Times New Roman"/>
          <w:color w:val="1F497D"/>
          <w:sz w:val="16"/>
          <w:szCs w:val="16"/>
          <w:lang w:val="en-GB"/>
        </w:rPr>
      </w:pPr>
      <w:r w:rsidRPr="00F0684A">
        <w:rPr>
          <w:rFonts w:ascii="Corbel" w:hAnsi="Corbel" w:cs="Times New Roman"/>
          <w:color w:val="1F497D"/>
          <w:sz w:val="16"/>
          <w:szCs w:val="16"/>
          <w:lang w:val="en-GB"/>
        </w:rPr>
        <w:lastRenderedPageBreak/>
        <w:br w:type="page"/>
      </w:r>
    </w:p>
    <w:p w:rsidR="00F0684A" w:rsidRPr="00F0684A" w:rsidRDefault="00F0684A" w:rsidP="00F0684A">
      <w:pPr>
        <w:shd w:val="clear" w:color="auto" w:fill="FFFFFF"/>
        <w:spacing w:after="0" w:line="240" w:lineRule="auto"/>
        <w:rPr>
          <w:rFonts w:ascii="Corbel" w:hAnsi="Corbel" w:cs="Times New Roman"/>
          <w:color w:val="1F497D"/>
          <w:sz w:val="16"/>
          <w:szCs w:val="16"/>
          <w:lang w:val="en-GB"/>
        </w:rPr>
      </w:pPr>
    </w:p>
    <w:tbl>
      <w:tblPr>
        <w:tblW w:w="9872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4140"/>
        <w:gridCol w:w="1170"/>
        <w:gridCol w:w="2250"/>
        <w:gridCol w:w="1080"/>
      </w:tblGrid>
      <w:tr w:rsidR="00F0684A" w:rsidRPr="00F0684A" w:rsidTr="001D00D5">
        <w:trPr>
          <w:tblHeader/>
        </w:trPr>
        <w:tc>
          <w:tcPr>
            <w:tcW w:w="123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Times New Roman"/>
                <w:color w:val="1F497D"/>
                <w:sz w:val="16"/>
                <w:szCs w:val="16"/>
                <w:lang w:val="en-GB"/>
              </w:rPr>
              <w:br w:type="page"/>
            </w: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>Results</w:t>
            </w:r>
          </w:p>
        </w:tc>
        <w:tc>
          <w:tcPr>
            <w:tcW w:w="414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>Indicators, baseline, targets</w:t>
            </w:r>
          </w:p>
        </w:tc>
        <w:tc>
          <w:tcPr>
            <w:tcW w:w="11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>Means of verification</w:t>
            </w:r>
          </w:p>
        </w:tc>
        <w:tc>
          <w:tcPr>
            <w:tcW w:w="2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4A" w:rsidRPr="00F0684A" w:rsidRDefault="00F0684A" w:rsidP="00F0684A">
            <w:pPr>
              <w:spacing w:after="60" w:line="240" w:lineRule="auto"/>
              <w:rPr>
                <w:rFonts w:ascii="Corbel" w:hAnsi="Corbel" w:cs="Segoe UI"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080" w:type="dxa"/>
            <w:shd w:val="clear" w:color="auto" w:fill="E6E6E6"/>
          </w:tcPr>
          <w:p w:rsidR="00F0684A" w:rsidRPr="00F0684A" w:rsidRDefault="00F0684A" w:rsidP="00F0684A">
            <w:pPr>
              <w:tabs>
                <w:tab w:val="left" w:pos="1572"/>
              </w:tabs>
              <w:spacing w:after="60" w:line="240" w:lineRule="auto"/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Segoe UI"/>
                <w:b/>
                <w:bCs/>
                <w:color w:val="212121"/>
                <w:sz w:val="16"/>
                <w:szCs w:val="16"/>
                <w:lang w:val="en-GB"/>
              </w:rPr>
              <w:t xml:space="preserve">  Indicative budget</w:t>
            </w:r>
          </w:p>
        </w:tc>
      </w:tr>
    </w:tbl>
    <w:tbl>
      <w:tblPr>
        <w:tblStyle w:val="TableGrid"/>
        <w:tblW w:w="98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7"/>
        <w:gridCol w:w="2254"/>
        <w:gridCol w:w="1886"/>
        <w:gridCol w:w="1170"/>
        <w:gridCol w:w="2250"/>
        <w:gridCol w:w="1080"/>
      </w:tblGrid>
      <w:tr w:rsidR="00F0684A" w:rsidRPr="00F0684A" w:rsidTr="001D00D5">
        <w:trPr>
          <w:trHeight w:val="79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4A" w:rsidRPr="00F0684A" w:rsidRDefault="00F0684A" w:rsidP="00F0684A">
            <w:pPr>
              <w:spacing w:line="276" w:lineRule="auto"/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Outcome 3: Strengthening peace and governance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F0684A" w:rsidRDefault="00F0684A" w:rsidP="00F0684A">
            <w:pPr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Indicator 3.1: 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 xml:space="preserve">Number of targeted governance and security reforms are implemented </w:t>
            </w: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Baseline (2015): </w:t>
            </w:r>
            <w:r w:rsidRPr="00F0684A"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  <w:t>The constitution review process, l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egislative, military and civil service reforms</w:t>
            </w:r>
            <w:r w:rsidRPr="00F0684A"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  <w:t xml:space="preserve"> agreed as part of the peace agreement </w:t>
            </w: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Target (2017): 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 xml:space="preserve">16 civil service institutions reformed, 3 rule of law institutions’ Acts reviewed, permanent constitution drafted.   </w:t>
            </w: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Indicator 3.2: 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Percent of respondents who report increased personal safety and security disaggregated by gender.</w:t>
            </w: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Baseline:(2015): 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28.1% (male 27.1% and female 29.5%) respondents with</w:t>
            </w: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confidence in peace, safety and security</w:t>
            </w: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hAnsi="Corbel"/>
                <w:color w:val="000000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Target (2017): 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 xml:space="preserve">50%  </w:t>
            </w:r>
            <w:r w:rsidRPr="00F0684A">
              <w:rPr>
                <w:rFonts w:ascii="Corbel" w:hAnsi="Corbel"/>
                <w:color w:val="000000"/>
                <w:sz w:val="16"/>
                <w:szCs w:val="16"/>
                <w:shd w:val="clear" w:color="auto" w:fill="FFFFFF" w:themeFill="background1"/>
                <w:lang w:val="en-GB"/>
              </w:rPr>
              <w:t>(48% men and 52%  women)</w:t>
            </w: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contextualSpacing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Indicator 3.3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 xml:space="preserve">: Percent of transitional governance mechanisms with CSO/media participation. </w:t>
            </w:r>
          </w:p>
          <w:p w:rsidR="00F0684A" w:rsidRPr="00F0684A" w:rsidRDefault="00F0684A" w:rsidP="00F0684A">
            <w:pPr>
              <w:contextualSpacing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Baseline (2015): 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0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vertAlign w:val="superscript"/>
                <w:lang w:val="en-GB"/>
              </w:rPr>
              <w:footnoteReference w:id="1"/>
            </w:r>
          </w:p>
          <w:p w:rsidR="00F0684A" w:rsidRPr="00F0684A" w:rsidRDefault="00F0684A" w:rsidP="00F0684A">
            <w:pPr>
              <w:contextualSpacing/>
              <w:rPr>
                <w:rFonts w:ascii="Corbel" w:eastAsia="Times New Roman" w:hAnsi="Corbel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Target (2017): 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80%</w:t>
            </w:r>
          </w:p>
          <w:p w:rsidR="00F0684A" w:rsidRPr="00F0684A" w:rsidRDefault="00F0684A" w:rsidP="00F0684A">
            <w:pPr>
              <w:spacing w:line="276" w:lineRule="auto"/>
              <w:jc w:val="both"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jc w:val="right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4A" w:rsidRPr="00F0684A" w:rsidRDefault="00F0684A" w:rsidP="00F0684A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  <w:t>Government gazette</w:t>
            </w: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  <w:t>P</w:t>
            </w:r>
            <w:r w:rsidRPr="00F0684A">
              <w:rPr>
                <w:rFonts w:ascii="Corbel" w:hAnsi="Corbel" w:cs="Arial"/>
                <w:color w:val="000000" w:themeColor="text1"/>
                <w:sz w:val="16"/>
                <w:szCs w:val="16"/>
                <w:lang w:val="en-GB"/>
              </w:rPr>
              <w:t>ermanent constitution and NCRC reports</w:t>
            </w: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jc w:val="both"/>
              <w:rPr>
                <w:rFonts w:ascii="Corbel" w:hAnsi="Corbel" w:cs="Aria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Arial"/>
                <w:color w:val="000000" w:themeColor="text1"/>
                <w:sz w:val="16"/>
                <w:szCs w:val="16"/>
                <w:lang w:val="en-GB"/>
              </w:rPr>
              <w:t>Government line ministries reports</w:t>
            </w: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Arial"/>
                <w:color w:val="000000" w:themeColor="text1"/>
                <w:sz w:val="16"/>
                <w:szCs w:val="16"/>
                <w:lang w:val="en-GB"/>
              </w:rPr>
              <w:t>N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 xml:space="preserve">ational perception survey and Information </w:t>
            </w: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spacing w:line="276" w:lineRule="auto"/>
              <w:ind w:left="115"/>
              <w:jc w:val="both"/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Peace agreement holds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b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Donors actively and urgently re-engage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Political will to implement this response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UNCT is able to bring in the right internal capacity and agility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High level buy in from Organized Forces ensures UNCT is given access to state owned armories and stock</w:t>
            </w:r>
          </w:p>
          <w:p w:rsidR="00F0684A" w:rsidRPr="00F0684A" w:rsidRDefault="00F0684A" w:rsidP="00F0684A">
            <w:pPr>
              <w:contextualSpacing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 xml:space="preserve">TGoNU will not be able to take joint decisions. 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Competing interests within IGAD member states may compromise implementation of the agreement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Failure to pass a new UNMISS mandate that enables engagement on core aspects of the peace agreement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Macro-economic stability does not improve, perpetuating tensions, grievances and diminishes opportunities for recovery and return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4A" w:rsidRPr="00F0684A" w:rsidRDefault="00F0684A" w:rsidP="00F0684A">
            <w:pPr>
              <w:spacing w:line="276" w:lineRule="auto"/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USD 144 million</w:t>
            </w:r>
            <w:r w:rsidRPr="00F0684A" w:rsidDel="00871454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</w:tr>
      <w:tr w:rsidR="00F0684A" w:rsidRPr="00F0684A" w:rsidTr="001D00D5">
        <w:trPr>
          <w:gridAfter w:val="3"/>
          <w:wAfter w:w="4500" w:type="dxa"/>
          <w:trHeight w:val="79"/>
        </w:trPr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84A" w:rsidRPr="00F0684A" w:rsidRDefault="00F0684A" w:rsidP="00F0684A">
            <w:pPr>
              <w:contextualSpacing/>
              <w:jc w:val="both"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eastAsia="Times New Roman" w:hAnsi="Corbel"/>
                <w:b/>
                <w:color w:val="000000" w:themeColor="text1"/>
                <w:lang w:val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0684A" w:rsidRPr="00F0684A" w:rsidRDefault="00F0684A" w:rsidP="00F0684A">
            <w:pPr>
              <w:autoSpaceDE w:val="0"/>
              <w:autoSpaceDN w:val="0"/>
              <w:adjustRightInd w:val="0"/>
              <w:ind w:left="115"/>
              <w:jc w:val="both"/>
              <w:rPr>
                <w:rFonts w:ascii="Corbel" w:hAnsi="Corbe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ind w:left="-3509"/>
              <w:jc w:val="both"/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color w:val="000000" w:themeColor="text1"/>
                <w:sz w:val="16"/>
                <w:szCs w:val="16"/>
                <w:lang w:val="en-GB"/>
              </w:rPr>
              <w:t>South Sudan Interim Cooperation</w:t>
            </w:r>
          </w:p>
        </w:tc>
      </w:tr>
      <w:tr w:rsidR="00F0684A" w:rsidRPr="00F0684A" w:rsidTr="001D00D5">
        <w:trPr>
          <w:trHeight w:val="46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684A" w:rsidRPr="00F0684A" w:rsidRDefault="00F0684A" w:rsidP="00F0684A">
            <w:pPr>
              <w:contextualSpacing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sz w:val="16"/>
                <w:szCs w:val="16"/>
                <w:lang w:val="en-GB"/>
              </w:rPr>
              <w:t>Results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684A" w:rsidRPr="00F0684A" w:rsidRDefault="00F0684A" w:rsidP="00F0684A">
            <w:pPr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Indicators, baseline, targets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684A" w:rsidRPr="00F0684A" w:rsidRDefault="00F0684A" w:rsidP="00F0684A">
            <w:pPr>
              <w:contextualSpacing/>
              <w:rPr>
                <w:rFonts w:ascii="Corbel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Means of Verification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b/>
                <w:color w:val="000000"/>
                <w:kern w:val="24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b/>
                <w:color w:val="000000"/>
                <w:kern w:val="24"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684A" w:rsidRPr="00F0684A" w:rsidRDefault="00F0684A" w:rsidP="00F0684A">
            <w:pPr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Indicative Budget</w:t>
            </w:r>
          </w:p>
        </w:tc>
      </w:tr>
    </w:tbl>
    <w:tbl>
      <w:tblPr>
        <w:tblStyle w:val="TableGrid1"/>
        <w:tblW w:w="98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7"/>
        <w:gridCol w:w="4140"/>
        <w:gridCol w:w="1170"/>
        <w:gridCol w:w="2250"/>
        <w:gridCol w:w="1080"/>
      </w:tblGrid>
      <w:tr w:rsidR="00F0684A" w:rsidRPr="00F0684A" w:rsidTr="001D00D5">
        <w:trPr>
          <w:trHeight w:val="79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4A" w:rsidRPr="00F0684A" w:rsidRDefault="00F0684A" w:rsidP="00F0684A">
            <w:pPr>
              <w:contextualSpacing/>
              <w:rPr>
                <w:rFonts w:ascii="Corbel" w:hAnsi="Corbel" w:cs="Times New Roman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b/>
                <w:sz w:val="16"/>
                <w:szCs w:val="16"/>
                <w:lang w:val="en-GB"/>
              </w:rPr>
              <w:t>Outcome 4: Reinvigoration of the local economy Reinvigorated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F0684A" w:rsidRDefault="00F0684A" w:rsidP="00F0684A">
            <w:pPr>
              <w:rPr>
                <w:rFonts w:ascii="Corbel" w:hAnsi="Corbel" w:cs="Calibri"/>
                <w:i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Indicator 4.1: </w:t>
            </w:r>
            <w:r w:rsidRPr="00F0684A">
              <w:rPr>
                <w:rFonts w:ascii="Corbel" w:hAnsi="Corbel" w:cs="Calibri"/>
                <w:sz w:val="16"/>
                <w:szCs w:val="16"/>
                <w:lang w:val="en-GB"/>
              </w:rPr>
              <w:t>Number of value chain enabling strategies in agriculture, livestock and fisheries</w:t>
            </w:r>
          </w:p>
          <w:p w:rsidR="00F0684A" w:rsidRPr="00F0684A" w:rsidRDefault="00F0684A" w:rsidP="00F0684A">
            <w:pPr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Baseline (2015):  </w:t>
            </w:r>
            <w:r w:rsidRPr="00F0684A">
              <w:rPr>
                <w:rFonts w:ascii="Corbel" w:hAnsi="Corbel" w:cs="Calibri"/>
                <w:sz w:val="16"/>
                <w:szCs w:val="16"/>
                <w:lang w:val="en-GB"/>
              </w:rPr>
              <w:t xml:space="preserve">4 strategies </w:t>
            </w:r>
          </w:p>
          <w:p w:rsidR="00F0684A" w:rsidRPr="00F0684A" w:rsidRDefault="00F0684A" w:rsidP="00F0684A">
            <w:pPr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>Target (2017):</w:t>
            </w:r>
            <w:r w:rsidRPr="00F0684A">
              <w:rPr>
                <w:rFonts w:ascii="Corbel" w:hAnsi="Corbel" w:cs="Calibri"/>
                <w:sz w:val="16"/>
                <w:szCs w:val="16"/>
                <w:lang w:val="en-GB"/>
              </w:rPr>
              <w:t xml:space="preserve"> 4 additional strategies</w:t>
            </w: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F0684A" w:rsidRPr="00F0684A" w:rsidRDefault="00F0684A" w:rsidP="00F0684A">
            <w:pPr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rPr>
                <w:rFonts w:ascii="Corbel" w:hAnsi="Corbel" w:cs="Calibri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>Indicator 4.2</w:t>
            </w:r>
            <w:r w:rsidRPr="00F0684A">
              <w:rPr>
                <w:rFonts w:ascii="Corbel" w:hAnsi="Corbel" w:cs="Calibri"/>
                <w:sz w:val="16"/>
                <w:szCs w:val="16"/>
                <w:lang w:val="en-GB"/>
              </w:rPr>
              <w:t xml:space="preserve">: Number of Cooperatives and Micro Small and Medium sized Enterprises in place for production and marketing of produce </w:t>
            </w:r>
          </w:p>
          <w:p w:rsidR="00F0684A" w:rsidRPr="00F0684A" w:rsidRDefault="00F0684A" w:rsidP="00F0684A">
            <w:pPr>
              <w:jc w:val="both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Baseline (2015):  70 </w:t>
            </w:r>
          </w:p>
          <w:p w:rsidR="00F0684A" w:rsidRPr="00F0684A" w:rsidRDefault="00F0684A" w:rsidP="00F0684A">
            <w:pPr>
              <w:jc w:val="both"/>
              <w:rPr>
                <w:rFonts w:ascii="Corbel" w:hAnsi="Corbel" w:cs="Calibri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Target (2017):  60 </w:t>
            </w:r>
            <w:r w:rsidRPr="00F0684A">
              <w:rPr>
                <w:rFonts w:ascii="Corbel" w:hAnsi="Corbel" w:cs="Calibri"/>
                <w:sz w:val="16"/>
                <w:szCs w:val="16"/>
                <w:lang w:val="en-GB"/>
              </w:rPr>
              <w:t>new cooperatives and MSMEs formed</w:t>
            </w:r>
          </w:p>
          <w:p w:rsidR="00F0684A" w:rsidRPr="00F0684A" w:rsidRDefault="00F0684A" w:rsidP="00F0684A">
            <w:pPr>
              <w:ind w:left="720"/>
              <w:contextualSpacing/>
              <w:jc w:val="both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jc w:val="both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Indicator 4.3: </w:t>
            </w:r>
            <w:r w:rsidRPr="00F0684A">
              <w:rPr>
                <w:rFonts w:ascii="Corbel" w:hAnsi="Corbel" w:cs="Calibri"/>
                <w:sz w:val="16"/>
                <w:szCs w:val="16"/>
                <w:lang w:val="en-GB"/>
              </w:rPr>
              <w:t># of people benefiting from micro-finance/lending initiatives</w:t>
            </w: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F0684A" w:rsidRPr="00F0684A" w:rsidRDefault="00F0684A" w:rsidP="00F0684A">
            <w:pPr>
              <w:jc w:val="both"/>
              <w:rPr>
                <w:rFonts w:ascii="Corbel" w:hAnsi="Corbel" w:cs="Calibri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>Baseline (2013):</w:t>
            </w:r>
            <w:r w:rsidRPr="00F0684A">
              <w:rPr>
                <w:rFonts w:ascii="Corbel" w:hAnsi="Corbel" w:cs="Calibri"/>
                <w:sz w:val="16"/>
                <w:szCs w:val="16"/>
                <w:lang w:val="en-GB"/>
              </w:rPr>
              <w:t xml:space="preserve"> 25, 000 clients </w:t>
            </w:r>
          </w:p>
          <w:p w:rsidR="00F0684A" w:rsidRPr="00F0684A" w:rsidRDefault="00F0684A" w:rsidP="00F0684A">
            <w:pPr>
              <w:jc w:val="both"/>
              <w:rPr>
                <w:rFonts w:ascii="Corbel" w:hAnsi="Corbel" w:cs="Calibri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b/>
                <w:sz w:val="16"/>
                <w:szCs w:val="16"/>
                <w:lang w:val="en-GB"/>
              </w:rPr>
              <w:t>Target (2017)</w:t>
            </w:r>
            <w:r w:rsidRPr="00F0684A">
              <w:rPr>
                <w:rFonts w:ascii="Corbel" w:hAnsi="Corbel" w:cs="Calibri"/>
                <w:sz w:val="16"/>
                <w:szCs w:val="16"/>
                <w:lang w:val="en-GB"/>
              </w:rPr>
              <w:t>: 30, 000 clients (50% women and 50% men)</w:t>
            </w:r>
          </w:p>
          <w:p w:rsidR="00F0684A" w:rsidRPr="00F0684A" w:rsidRDefault="00F0684A" w:rsidP="00F0684A">
            <w:pPr>
              <w:jc w:val="both"/>
              <w:rPr>
                <w:rFonts w:ascii="Corbel" w:hAnsi="Corbel" w:cs="Calibri"/>
                <w:sz w:val="16"/>
                <w:szCs w:val="16"/>
                <w:u w:val="single"/>
                <w:lang w:val="en-GB"/>
              </w:rPr>
            </w:pPr>
          </w:p>
          <w:p w:rsidR="00F0684A" w:rsidRPr="00F0684A" w:rsidRDefault="00F0684A" w:rsidP="00F0684A">
            <w:pPr>
              <w:jc w:val="both"/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F0684A" w:rsidRDefault="00F0684A" w:rsidP="00F0684A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0684A"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/>
              </w:rPr>
              <w:t>WFP and FAO crop assessment Reports</w:t>
            </w:r>
          </w:p>
          <w:p w:rsidR="00F0684A" w:rsidRPr="00F0684A" w:rsidRDefault="00F0684A" w:rsidP="00F0684A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0684A"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/>
              </w:rPr>
              <w:t>Purchase for Progress (P4P) reports</w:t>
            </w:r>
          </w:p>
          <w:p w:rsidR="00F0684A" w:rsidRPr="00F0684A" w:rsidRDefault="00F0684A" w:rsidP="00F0684A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0684A"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/>
              </w:rPr>
              <w:t>Business registration  reports from Ministry of Justice</w:t>
            </w: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ind w:left="115"/>
              <w:jc w:val="both"/>
              <w:rPr>
                <w:rFonts w:ascii="Corbel" w:hAnsi="Corbel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Peace agreement is implemented in its letter and spirit and provides a stable policy and regulatory environment with wide ranging structural economic reforms carried out in a calibrated way whilst protecting the poor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 w:cs="Times New Roman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Macro-economic reforms and exchange rate stabilization initiatives are in place</w:t>
            </w:r>
          </w:p>
          <w:p w:rsidR="00F0684A" w:rsidRPr="00F0684A" w:rsidRDefault="00F0684A" w:rsidP="00F0684A">
            <w:pPr>
              <w:kinsoku w:val="0"/>
              <w:overflowPunct w:val="0"/>
              <w:ind w:left="252"/>
              <w:contextualSpacing/>
              <w:textAlignment w:val="baseline"/>
              <w:rPr>
                <w:rFonts w:ascii="Corbel" w:eastAsia="Times New Roman" w:hAnsi="Corbel" w:cs="Times New Roman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 xml:space="preserve">Private sector is willing to invest and engage </w:t>
            </w:r>
          </w:p>
          <w:p w:rsidR="00F0684A" w:rsidRPr="00F0684A" w:rsidRDefault="00F0684A" w:rsidP="00F0684A">
            <w:pPr>
              <w:kinsoku w:val="0"/>
              <w:overflowPunct w:val="0"/>
              <w:ind w:left="252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lastRenderedPageBreak/>
              <w:t>Communities are able to accept change and uptake new technology and interventions</w:t>
            </w: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 w:cs="Times New Roman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 xml:space="preserve">Donors are convinced of the sustainability of peace and begin to support development programmes </w:t>
            </w:r>
          </w:p>
          <w:p w:rsidR="00F0684A" w:rsidRPr="00F0684A" w:rsidRDefault="00F0684A" w:rsidP="00F0684A">
            <w:pPr>
              <w:kinsoku w:val="0"/>
              <w:overflowPunct w:val="0"/>
              <w:ind w:left="252"/>
              <w:contextualSpacing/>
              <w:textAlignment w:val="baseline"/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Times New Roman"/>
                <w:sz w:val="16"/>
                <w:szCs w:val="16"/>
                <w:lang w:val="en-GB"/>
              </w:rPr>
              <w:t>Economic services may not be targeted properly</w:t>
            </w:r>
          </w:p>
          <w:p w:rsidR="00F0684A" w:rsidRPr="00F0684A" w:rsidRDefault="00F0684A" w:rsidP="00F0684A">
            <w:pPr>
              <w:kinsoku w:val="0"/>
              <w:overflowPunct w:val="0"/>
              <w:ind w:left="252"/>
              <w:contextualSpacing/>
              <w:textAlignment w:val="baseline"/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Times New Roman"/>
                <w:sz w:val="16"/>
                <w:szCs w:val="16"/>
                <w:lang w:val="en-GB"/>
              </w:rPr>
              <w:t>Increased economic activities may not benefit women equally/in proportionate measures</w:t>
            </w:r>
          </w:p>
          <w:p w:rsidR="00F0684A" w:rsidRPr="00F0684A" w:rsidRDefault="00F0684A" w:rsidP="00F0684A">
            <w:pPr>
              <w:kinsoku w:val="0"/>
              <w:overflowPunct w:val="0"/>
              <w:ind w:left="252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 w:cs="Times New Roman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Donors may not be willing to support the peace agreement in a comprehensive and cohesive way</w:t>
            </w:r>
          </w:p>
          <w:p w:rsidR="00F0684A" w:rsidRPr="00F0684A" w:rsidRDefault="00F0684A" w:rsidP="00F0684A">
            <w:pPr>
              <w:kinsoku w:val="0"/>
              <w:overflowPunct w:val="0"/>
              <w:ind w:left="252"/>
              <w:contextualSpacing/>
              <w:textAlignment w:val="baseline"/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kinsoku w:val="0"/>
              <w:overflowPunct w:val="0"/>
              <w:contextualSpacing/>
              <w:textAlignment w:val="baseline"/>
              <w:rPr>
                <w:rFonts w:ascii="Corbel" w:eastAsia="Times New Roman" w:hAnsi="Corbel" w:cs="Times New Roman"/>
                <w:sz w:val="16"/>
                <w:szCs w:val="16"/>
                <w:lang w:val="en-GB"/>
              </w:rPr>
            </w:pPr>
            <w:r w:rsidRPr="00F0684A">
              <w:rPr>
                <w:rFonts w:ascii="Corbel" w:eastAsia="MS PGothic" w:hAnsi="Corbel" w:cs="Corbel"/>
                <w:color w:val="000000"/>
                <w:kern w:val="24"/>
                <w:sz w:val="16"/>
                <w:szCs w:val="16"/>
                <w:lang w:val="en-GB"/>
              </w:rPr>
              <w:t>Macro-economic stability may not improve, perpetuating tensions, grievances and diminishes opportunities for recovery and return</w:t>
            </w:r>
          </w:p>
          <w:p w:rsidR="00F0684A" w:rsidRPr="00F0684A" w:rsidRDefault="00F0684A" w:rsidP="00F0684A">
            <w:pPr>
              <w:contextualSpacing/>
              <w:jc w:val="both"/>
              <w:rPr>
                <w:rFonts w:ascii="Corbel" w:hAnsi="Corbel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4A" w:rsidRPr="00F0684A" w:rsidRDefault="00F0684A" w:rsidP="00F0684A">
            <w:pPr>
              <w:contextualSpacing/>
              <w:rPr>
                <w:rFonts w:ascii="Corbel" w:hAnsi="Corbel" w:cs="Times New Roman"/>
                <w:b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Times New Roman"/>
                <w:b/>
                <w:color w:val="000000"/>
                <w:sz w:val="16"/>
                <w:szCs w:val="16"/>
                <w:lang w:val="en-GB"/>
              </w:rPr>
              <w:lastRenderedPageBreak/>
              <w:t>USD 156 million</w:t>
            </w:r>
          </w:p>
        </w:tc>
      </w:tr>
    </w:tbl>
    <w:p w:rsidR="00F0684A" w:rsidRPr="00F0684A" w:rsidRDefault="00F0684A" w:rsidP="00F0684A">
      <w:pPr>
        <w:spacing w:line="254" w:lineRule="auto"/>
        <w:jc w:val="both"/>
        <w:rPr>
          <w:rFonts w:ascii="Corbel" w:eastAsia="Times New Roman" w:hAnsi="Corbel" w:cs="Mangal"/>
          <w:b/>
          <w:sz w:val="16"/>
          <w:szCs w:val="16"/>
          <w:lang w:val="en-GB"/>
        </w:rPr>
      </w:pPr>
    </w:p>
    <w:p w:rsidR="00F0684A" w:rsidRPr="00F0684A" w:rsidRDefault="00F0684A" w:rsidP="00F0684A">
      <w:pPr>
        <w:rPr>
          <w:lang w:val="en-GB"/>
        </w:rPr>
      </w:pPr>
    </w:p>
    <w:tbl>
      <w:tblPr>
        <w:tblStyle w:val="TableGrid1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4140"/>
        <w:gridCol w:w="1170"/>
        <w:gridCol w:w="2250"/>
        <w:gridCol w:w="1080"/>
      </w:tblGrid>
      <w:tr w:rsidR="00F0684A" w:rsidRPr="00F0684A" w:rsidTr="001D00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684A" w:rsidRPr="00F0684A" w:rsidRDefault="00F0684A" w:rsidP="00F0684A">
            <w:pPr>
              <w:spacing w:after="200" w:line="276" w:lineRule="auto"/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lang w:val="en-GB"/>
              </w:rPr>
              <w:br w:type="page"/>
            </w: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Results</w:t>
            </w: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684A" w:rsidRPr="00F0684A" w:rsidRDefault="00F0684A" w:rsidP="00F0684A">
            <w:pPr>
              <w:spacing w:after="200" w:line="276" w:lineRule="auto"/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Indicators, baseline, target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684A" w:rsidRPr="00F0684A" w:rsidRDefault="00F0684A" w:rsidP="00F0684A">
            <w:pPr>
              <w:spacing w:after="200" w:line="276" w:lineRule="auto"/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Means of verification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684A" w:rsidRPr="00F0684A" w:rsidRDefault="00F0684A" w:rsidP="00F0684A">
            <w:pPr>
              <w:spacing w:after="200" w:line="276" w:lineRule="auto"/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684A" w:rsidRPr="00F0684A" w:rsidRDefault="00F0684A" w:rsidP="00F0684A">
            <w:pPr>
              <w:spacing w:after="200" w:line="276" w:lineRule="auto"/>
              <w:contextualSpacing/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Indicative resources</w:t>
            </w:r>
          </w:p>
        </w:tc>
      </w:tr>
      <w:tr w:rsidR="00F0684A" w:rsidRPr="00F0684A" w:rsidTr="001D00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F0684A" w:rsidRDefault="00F0684A" w:rsidP="00F0684A">
            <w:pPr>
              <w:spacing w:after="200" w:line="276" w:lineRule="auto"/>
              <w:contextualSpacing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 xml:space="preserve">Outcome 5 - Cross-cutting improvement of the status of Women and Youth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F0684A" w:rsidRDefault="00F0684A" w:rsidP="00F0684A">
            <w:pPr>
              <w:spacing w:after="200" w:line="276" w:lineRule="auto"/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Indicator 5.1: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 xml:space="preserve">  % of women in parliament; % of women in cabinet ministerial positions</w:t>
            </w:r>
          </w:p>
          <w:p w:rsidR="00F0684A" w:rsidRPr="00F0684A" w:rsidRDefault="00F0684A" w:rsidP="00F0684A">
            <w:pPr>
              <w:spacing w:after="200" w:line="276" w:lineRule="auto"/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Baseline (2015)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: 26.5%; 10%</w:t>
            </w:r>
          </w:p>
          <w:p w:rsidR="00F0684A" w:rsidRPr="00F0684A" w:rsidRDefault="00F0684A" w:rsidP="00F0684A">
            <w:pPr>
              <w:spacing w:after="200" w:line="276" w:lineRule="auto"/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b/>
                <w:color w:val="000000" w:themeColor="text1"/>
                <w:sz w:val="16"/>
                <w:szCs w:val="16"/>
                <w:lang w:val="en-GB"/>
              </w:rPr>
              <w:t>Target: (2017)</w:t>
            </w: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 xml:space="preserve"> 30% and 15% according to the prevision of the Peace agreement </w:t>
            </w:r>
          </w:p>
          <w:p w:rsidR="00F0684A" w:rsidRPr="00F0684A" w:rsidRDefault="00F0684A" w:rsidP="00F0684A">
            <w:pPr>
              <w:spacing w:after="200" w:line="276" w:lineRule="auto"/>
              <w:contextualSpacing/>
              <w:jc w:val="both"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4A" w:rsidRPr="00F0684A" w:rsidRDefault="00F0684A" w:rsidP="00F068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hAnsi="Corbel" w:cs="Calibri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color w:val="000000"/>
                <w:sz w:val="16"/>
                <w:szCs w:val="16"/>
                <w:lang w:val="en-GB"/>
              </w:rPr>
              <w:t>Ministry of Information/ South, Records of Parliament</w:t>
            </w: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hAnsi="Corbel" w:cs="Calibri"/>
                <w:color w:val="000000"/>
                <w:sz w:val="16"/>
                <w:szCs w:val="16"/>
                <w:lang w:val="en-GB"/>
              </w:rPr>
            </w:pPr>
          </w:p>
          <w:p w:rsidR="00F0684A" w:rsidRPr="00F0684A" w:rsidRDefault="00F0684A" w:rsidP="00F068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hAnsi="Corbel" w:cs="Calibri"/>
                <w:color w:val="000000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 w:cs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F0684A" w:rsidRDefault="00F0684A" w:rsidP="00F0684A">
            <w:pPr>
              <w:spacing w:after="200" w:line="276" w:lineRule="auto"/>
              <w:rPr>
                <w:rFonts w:ascii="Corbel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sz w:val="16"/>
                <w:szCs w:val="16"/>
                <w:lang w:val="en-GB"/>
              </w:rPr>
              <w:t>Direct or indirect pressure of conservative forces against women’s engagement;</w:t>
            </w:r>
          </w:p>
          <w:p w:rsidR="00F0684A" w:rsidRPr="00F0684A" w:rsidRDefault="00F0684A" w:rsidP="00F0684A">
            <w:pPr>
              <w:spacing w:after="200" w:line="276" w:lineRule="auto"/>
              <w:rPr>
                <w:rFonts w:ascii="Corbel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hAnsi="Corbel"/>
                <w:sz w:val="16"/>
                <w:szCs w:val="16"/>
                <w:lang w:val="en-GB"/>
              </w:rPr>
              <w:t>Government commitment to women empowerment.</w:t>
            </w:r>
          </w:p>
          <w:p w:rsidR="00F0684A" w:rsidRPr="00F0684A" w:rsidRDefault="00F0684A" w:rsidP="00F0684A">
            <w:pPr>
              <w:spacing w:after="200" w:line="276" w:lineRule="auto"/>
              <w:rPr>
                <w:rFonts w:ascii="Corbel" w:hAnsi="Corbel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Direct or indirect pressure of conservative forces against youth empowerment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A" w:rsidRPr="00F0684A" w:rsidRDefault="00F0684A" w:rsidP="00F0684A">
            <w:pPr>
              <w:spacing w:after="200" w:line="276" w:lineRule="auto"/>
              <w:contextualSpacing/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</w:pPr>
            <w:r w:rsidRPr="00F0684A">
              <w:rPr>
                <w:rFonts w:ascii="Corbel" w:eastAsia="Times New Roman" w:hAnsi="Corbel"/>
                <w:color w:val="000000" w:themeColor="text1"/>
                <w:sz w:val="16"/>
                <w:szCs w:val="16"/>
                <w:lang w:val="en-GB"/>
              </w:rPr>
              <w:t>Cross-cutting: Resources provided under the four outcomes</w:t>
            </w:r>
          </w:p>
        </w:tc>
      </w:tr>
    </w:tbl>
    <w:p w:rsidR="00FB2AD0" w:rsidRDefault="00B42E20"/>
    <w:sectPr w:rsidR="00FB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20" w:rsidRDefault="00B42E20" w:rsidP="00F0684A">
      <w:pPr>
        <w:spacing w:after="0" w:line="240" w:lineRule="auto"/>
      </w:pPr>
      <w:r>
        <w:separator/>
      </w:r>
    </w:p>
  </w:endnote>
  <w:endnote w:type="continuationSeparator" w:id="0">
    <w:p w:rsidR="00B42E20" w:rsidRDefault="00B42E20" w:rsidP="00F0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20" w:rsidRDefault="00B42E20" w:rsidP="00F0684A">
      <w:pPr>
        <w:spacing w:after="0" w:line="240" w:lineRule="auto"/>
      </w:pPr>
      <w:r>
        <w:separator/>
      </w:r>
    </w:p>
  </w:footnote>
  <w:footnote w:type="continuationSeparator" w:id="0">
    <w:p w:rsidR="00B42E20" w:rsidRDefault="00B42E20" w:rsidP="00F0684A">
      <w:pPr>
        <w:spacing w:after="0" w:line="240" w:lineRule="auto"/>
      </w:pPr>
      <w:r>
        <w:continuationSeparator/>
      </w:r>
    </w:p>
  </w:footnote>
  <w:footnote w:id="1">
    <w:p w:rsidR="00F0684A" w:rsidRDefault="00F0684A" w:rsidP="00F0684A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5 suggested institutions/mechanisms in the peace agreement with an allocation for CSO involvement, not started any activity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4A"/>
    <w:rsid w:val="00776E61"/>
    <w:rsid w:val="00B42E20"/>
    <w:rsid w:val="00B439E7"/>
    <w:rsid w:val="00BB6BA2"/>
    <w:rsid w:val="00C04621"/>
    <w:rsid w:val="00D53B5C"/>
    <w:rsid w:val="00E72C35"/>
    <w:rsid w:val="00F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C541E-2733-4F3D-AAC8-D961B59D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68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8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84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0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Alkulaib</dc:creator>
  <cp:keywords/>
  <dc:description/>
  <cp:lastModifiedBy>Svetlana Iazykova</cp:lastModifiedBy>
  <cp:revision>2</cp:revision>
  <dcterms:created xsi:type="dcterms:W3CDTF">2016-02-25T23:07:00Z</dcterms:created>
  <dcterms:modified xsi:type="dcterms:W3CDTF">2016-02-25T23:07:00Z</dcterms:modified>
</cp:coreProperties>
</file>