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1890" w14:textId="4024FB84" w:rsidR="008E0FAB" w:rsidRPr="00A469EA" w:rsidRDefault="0073376F" w:rsidP="004B4476">
      <w:pPr>
        <w:tabs>
          <w:tab w:val="left" w:pos="1620"/>
          <w:tab w:val="left" w:pos="8640"/>
          <w:tab w:val="left" w:pos="8820"/>
          <w:tab w:val="left" w:pos="9180"/>
        </w:tabs>
        <w:ind w:hanging="1080"/>
        <w:rPr>
          <w:b/>
          <w:bCs/>
          <w:color w:val="000000"/>
          <w:lang w:val="en-GB" w:eastAsia="fr-FR"/>
        </w:rPr>
      </w:pPr>
      <w:r>
        <w:rPr>
          <w:b/>
          <w:bCs/>
          <w:color w:val="000000"/>
          <w:lang w:val="en-GB" w:eastAsia="fr-FR"/>
        </w:rPr>
        <w:t>First</w:t>
      </w:r>
      <w:r w:rsidRPr="00A469EA">
        <w:rPr>
          <w:b/>
          <w:bCs/>
          <w:color w:val="000000"/>
          <w:lang w:val="en-GB" w:eastAsia="fr-FR"/>
        </w:rPr>
        <w:t xml:space="preserve"> </w:t>
      </w:r>
      <w:r w:rsidR="003D4141" w:rsidRPr="00A469EA">
        <w:rPr>
          <w:b/>
          <w:bCs/>
          <w:color w:val="000000"/>
          <w:lang w:val="en-GB" w:eastAsia="fr-FR"/>
        </w:rPr>
        <w:t>regular session 201</w:t>
      </w:r>
      <w:r>
        <w:rPr>
          <w:b/>
          <w:bCs/>
          <w:color w:val="000000"/>
          <w:lang w:val="en-GB" w:eastAsia="fr-FR"/>
        </w:rPr>
        <w:t>8</w:t>
      </w:r>
    </w:p>
    <w:p w14:paraId="61E11391" w14:textId="05787E73" w:rsidR="008E0FAB" w:rsidRPr="00A469EA" w:rsidRDefault="002D372D" w:rsidP="004B4476">
      <w:pPr>
        <w:tabs>
          <w:tab w:val="left" w:pos="1620"/>
        </w:tabs>
        <w:ind w:hanging="1080"/>
        <w:rPr>
          <w:bCs/>
          <w:color w:val="000000"/>
          <w:lang w:val="en-GB" w:eastAsia="fr-FR"/>
        </w:rPr>
      </w:pPr>
      <w:r>
        <w:rPr>
          <w:bCs/>
          <w:color w:val="000000"/>
          <w:lang w:val="en-GB" w:eastAsia="fr-FR"/>
        </w:rPr>
        <w:t>22</w:t>
      </w:r>
      <w:r w:rsidR="008E0FAB" w:rsidRPr="00A469EA">
        <w:rPr>
          <w:bCs/>
          <w:color w:val="000000"/>
          <w:lang w:val="en-GB" w:eastAsia="fr-FR"/>
        </w:rPr>
        <w:t xml:space="preserve"> </w:t>
      </w:r>
      <w:r w:rsidR="00464286" w:rsidRPr="00A469EA">
        <w:rPr>
          <w:bCs/>
          <w:color w:val="000000"/>
          <w:lang w:val="en-GB" w:eastAsia="fr-FR"/>
        </w:rPr>
        <w:t>to</w:t>
      </w:r>
      <w:r w:rsidR="008E0FAB" w:rsidRPr="00A469EA">
        <w:rPr>
          <w:bCs/>
          <w:color w:val="000000"/>
          <w:lang w:val="en-GB" w:eastAsia="fr-FR"/>
        </w:rPr>
        <w:t xml:space="preserve"> </w:t>
      </w:r>
      <w:r>
        <w:rPr>
          <w:bCs/>
          <w:color w:val="000000"/>
          <w:lang w:val="en-GB" w:eastAsia="fr-FR"/>
        </w:rPr>
        <w:t>26</w:t>
      </w:r>
      <w:r w:rsidRPr="00A469EA">
        <w:rPr>
          <w:bCs/>
          <w:color w:val="000000"/>
          <w:lang w:val="en-GB" w:eastAsia="fr-FR"/>
        </w:rPr>
        <w:t xml:space="preserve"> </w:t>
      </w:r>
      <w:r w:rsidR="0073376F">
        <w:rPr>
          <w:bCs/>
          <w:color w:val="000000"/>
          <w:lang w:val="en-GB" w:eastAsia="fr-FR"/>
        </w:rPr>
        <w:t xml:space="preserve">January </w:t>
      </w:r>
      <w:r w:rsidR="008E0FAB" w:rsidRPr="00A469EA">
        <w:rPr>
          <w:bCs/>
          <w:color w:val="000000"/>
          <w:lang w:val="en-GB" w:eastAsia="fr-FR"/>
        </w:rPr>
        <w:t>201</w:t>
      </w:r>
      <w:r w:rsidR="0073376F">
        <w:rPr>
          <w:bCs/>
          <w:color w:val="000000"/>
          <w:lang w:val="en-GB" w:eastAsia="fr-FR"/>
        </w:rPr>
        <w:t>8</w:t>
      </w:r>
      <w:r w:rsidR="008E0FAB" w:rsidRPr="00A469EA">
        <w:rPr>
          <w:bCs/>
          <w:color w:val="000000"/>
          <w:lang w:val="en-GB" w:eastAsia="fr-FR"/>
        </w:rPr>
        <w:t>, New York</w:t>
      </w:r>
    </w:p>
    <w:p w14:paraId="12B897EA" w14:textId="7A97AEA8" w:rsidR="008E0FAB" w:rsidRPr="00A469EA" w:rsidRDefault="008E0FAB" w:rsidP="004B4476">
      <w:pPr>
        <w:tabs>
          <w:tab w:val="left" w:pos="1620"/>
        </w:tabs>
        <w:ind w:hanging="1080"/>
        <w:rPr>
          <w:bCs/>
          <w:color w:val="000000"/>
          <w:lang w:val="en-GB" w:eastAsia="fr-FR"/>
        </w:rPr>
      </w:pPr>
      <w:r w:rsidRPr="00A469EA">
        <w:rPr>
          <w:bCs/>
          <w:color w:val="000000"/>
          <w:lang w:val="en-GB" w:eastAsia="fr-FR"/>
        </w:rPr>
        <w:t xml:space="preserve">Item </w:t>
      </w:r>
      <w:r w:rsidR="0073376F">
        <w:rPr>
          <w:bCs/>
          <w:color w:val="000000"/>
          <w:lang w:val="en-GB" w:eastAsia="fr-FR"/>
        </w:rPr>
        <w:t>xx</w:t>
      </w:r>
      <w:r w:rsidRPr="00A469EA">
        <w:rPr>
          <w:bCs/>
          <w:color w:val="000000"/>
          <w:lang w:val="en-GB" w:eastAsia="fr-FR"/>
        </w:rPr>
        <w:t xml:space="preserve"> of the provisional agenda</w:t>
      </w:r>
    </w:p>
    <w:p w14:paraId="4EA8B79C" w14:textId="77777777" w:rsidR="008E0FAB" w:rsidRPr="00A469EA" w:rsidRDefault="008E0FAB" w:rsidP="004B4476">
      <w:pPr>
        <w:tabs>
          <w:tab w:val="left" w:pos="1620"/>
        </w:tabs>
        <w:ind w:hanging="1080"/>
        <w:rPr>
          <w:b/>
          <w:bCs/>
          <w:color w:val="000000"/>
          <w:lang w:val="en-GB" w:eastAsia="fr-FR"/>
        </w:rPr>
      </w:pPr>
      <w:r w:rsidRPr="00A469EA">
        <w:rPr>
          <w:b/>
          <w:bCs/>
          <w:color w:val="000000"/>
          <w:lang w:val="en-GB" w:eastAsia="fr-FR"/>
        </w:rPr>
        <w:t>Country programmes and related matters</w:t>
      </w:r>
    </w:p>
    <w:p w14:paraId="3998C014" w14:textId="77777777" w:rsidR="008E0FAB" w:rsidRPr="00A469EA" w:rsidRDefault="008E0FAB" w:rsidP="004B4476">
      <w:pPr>
        <w:tabs>
          <w:tab w:val="left" w:pos="1620"/>
        </w:tabs>
        <w:ind w:hanging="1080"/>
        <w:rPr>
          <w:b/>
          <w:color w:val="000000"/>
          <w:sz w:val="28"/>
          <w:szCs w:val="28"/>
          <w:lang w:val="en-GB" w:eastAsia="fr-FR"/>
        </w:rPr>
      </w:pPr>
    </w:p>
    <w:p w14:paraId="446B1E29" w14:textId="77777777" w:rsidR="00EE3C3E" w:rsidRPr="00A469EA" w:rsidRDefault="00EE3C3E" w:rsidP="004B4476">
      <w:pPr>
        <w:tabs>
          <w:tab w:val="left" w:pos="1620"/>
        </w:tabs>
        <w:ind w:right="-360" w:hanging="1080"/>
        <w:rPr>
          <w:b/>
          <w:bCs/>
          <w:color w:val="000000"/>
          <w:sz w:val="32"/>
          <w:szCs w:val="32"/>
          <w:lang w:val="en-GB" w:eastAsia="fr-FR"/>
        </w:rPr>
      </w:pPr>
    </w:p>
    <w:p w14:paraId="340D8207" w14:textId="5C19AA68" w:rsidR="008E0FAB" w:rsidRPr="00A469EA" w:rsidRDefault="008E0FAB" w:rsidP="004B4476">
      <w:pPr>
        <w:tabs>
          <w:tab w:val="left" w:pos="1620"/>
        </w:tabs>
        <w:ind w:right="-360" w:hanging="1080"/>
        <w:rPr>
          <w:b/>
          <w:color w:val="000000"/>
          <w:sz w:val="32"/>
          <w:szCs w:val="32"/>
          <w:lang w:val="en-GB" w:eastAsia="fr-FR"/>
        </w:rPr>
      </w:pPr>
      <w:r w:rsidRPr="00A469EA">
        <w:rPr>
          <w:b/>
          <w:bCs/>
          <w:color w:val="000000"/>
          <w:sz w:val="32"/>
          <w:szCs w:val="32"/>
          <w:lang w:val="en-GB" w:eastAsia="fr-FR"/>
        </w:rPr>
        <w:t>Draft country programme document for Pakistan (2018-2022)</w:t>
      </w:r>
    </w:p>
    <w:p w14:paraId="7C52EDBC" w14:textId="77777777" w:rsidR="00C65674" w:rsidRPr="00A469EA" w:rsidRDefault="00C65674" w:rsidP="00C65674">
      <w:pPr>
        <w:tabs>
          <w:tab w:val="left" w:pos="1620"/>
        </w:tabs>
        <w:ind w:left="-720" w:right="328" w:firstLine="990"/>
        <w:rPr>
          <w:color w:val="000000"/>
          <w:sz w:val="32"/>
          <w:szCs w:val="32"/>
          <w:lang w:val="en-GB" w:eastAsia="fr-FR"/>
        </w:rPr>
      </w:pPr>
    </w:p>
    <w:p w14:paraId="14775024" w14:textId="77777777" w:rsidR="00C65674" w:rsidRPr="00A469EA" w:rsidRDefault="00C65674" w:rsidP="00C65674">
      <w:pPr>
        <w:tabs>
          <w:tab w:val="left" w:pos="1620"/>
        </w:tabs>
        <w:ind w:left="-720" w:right="328" w:firstLine="990"/>
        <w:rPr>
          <w:color w:val="000000"/>
          <w:lang w:val="en-GB" w:eastAsia="fr-FR"/>
        </w:rPr>
      </w:pPr>
    </w:p>
    <w:p w14:paraId="5F6C9B27" w14:textId="3D57D416" w:rsidR="00C65674" w:rsidRPr="00A469EA" w:rsidRDefault="00C65674" w:rsidP="00F2424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hanging="180"/>
        <w:outlineLvl w:val="0"/>
        <w:rPr>
          <w:color w:val="000000"/>
          <w:spacing w:val="-2"/>
          <w:w w:val="103"/>
          <w:kern w:val="14"/>
          <w:sz w:val="28"/>
          <w:lang w:val="en-GB" w:eastAsia="fr-FR"/>
        </w:rPr>
      </w:pPr>
      <w:r w:rsidRPr="00A469EA">
        <w:rPr>
          <w:color w:val="000000"/>
          <w:kern w:val="14"/>
          <w:sz w:val="28"/>
          <w:lang w:val="en-GB" w:eastAsia="fr-FR"/>
        </w:rPr>
        <w:t>Contents</w:t>
      </w:r>
    </w:p>
    <w:tbl>
      <w:tblPr>
        <w:tblpPr w:leftFromText="180" w:rightFromText="180" w:vertAnchor="text" w:horzAnchor="margin" w:tblpXSpec="right" w:tblpY="199"/>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193A08" w:rsidRPr="00A469EA" w14:paraId="15119444" w14:textId="77777777" w:rsidTr="00193A08">
        <w:tc>
          <w:tcPr>
            <w:tcW w:w="1060" w:type="dxa"/>
            <w:shd w:val="clear" w:color="auto" w:fill="auto"/>
          </w:tcPr>
          <w:p w14:paraId="0DCF02AB" w14:textId="77777777" w:rsidR="00193A08" w:rsidRPr="00A469EA" w:rsidRDefault="00193A08" w:rsidP="00193A08">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9A605E1" w14:textId="77777777" w:rsidR="00193A08" w:rsidRPr="00A469EA" w:rsidRDefault="00193A08" w:rsidP="00193A08">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13C6593" w14:textId="77777777" w:rsidR="00193A08" w:rsidRPr="00A469EA" w:rsidRDefault="00193A08" w:rsidP="00193A08">
            <w:pPr>
              <w:tabs>
                <w:tab w:val="left" w:pos="1620"/>
              </w:tabs>
              <w:suppressAutoHyphens/>
              <w:spacing w:after="120"/>
              <w:jc w:val="right"/>
              <w:rPr>
                <w:i/>
                <w:color w:val="000000"/>
                <w:spacing w:val="4"/>
                <w:w w:val="103"/>
                <w:kern w:val="14"/>
                <w:sz w:val="14"/>
                <w:lang w:val="en-GB" w:eastAsia="fr-FR"/>
              </w:rPr>
            </w:pPr>
            <w:r w:rsidRPr="00A469EA">
              <w:rPr>
                <w:i/>
                <w:iCs/>
                <w:color w:val="000000"/>
                <w:kern w:val="14"/>
                <w:sz w:val="14"/>
                <w:lang w:val="en-GB" w:eastAsia="fr-FR"/>
              </w:rPr>
              <w:t>Page</w:t>
            </w:r>
          </w:p>
        </w:tc>
      </w:tr>
      <w:tr w:rsidR="00193A08" w:rsidRPr="00A469EA" w14:paraId="4F3A5C47" w14:textId="77777777" w:rsidTr="00193A08">
        <w:tc>
          <w:tcPr>
            <w:tcW w:w="9540" w:type="dxa"/>
            <w:gridSpan w:val="3"/>
            <w:shd w:val="clear" w:color="auto" w:fill="auto"/>
          </w:tcPr>
          <w:p w14:paraId="5E71C2B4" w14:textId="77777777" w:rsidR="00193A08" w:rsidRPr="00A469EA" w:rsidRDefault="00193A08" w:rsidP="00193A08">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A469EA">
              <w:rPr>
                <w:color w:val="000000"/>
                <w:kern w:val="14"/>
                <w:lang w:val="en-GB" w:eastAsia="fr-FR"/>
              </w:rPr>
              <w:tab/>
              <w:t>Programme rationale</w:t>
            </w:r>
            <w:r w:rsidRPr="00A469EA">
              <w:rPr>
                <w:color w:val="000000"/>
                <w:sz w:val="24"/>
                <w:szCs w:val="24"/>
                <w:lang w:val="en-GB" w:eastAsia="fr-FR"/>
              </w:rPr>
              <w:tab/>
            </w:r>
          </w:p>
        </w:tc>
        <w:tc>
          <w:tcPr>
            <w:tcW w:w="362" w:type="dxa"/>
            <w:vMerge w:val="restart"/>
            <w:shd w:val="clear" w:color="auto" w:fill="auto"/>
            <w:vAlign w:val="bottom"/>
          </w:tcPr>
          <w:p w14:paraId="4D47509A" w14:textId="77777777" w:rsidR="00193A08" w:rsidRPr="00A469EA" w:rsidRDefault="00193A08" w:rsidP="00193A08">
            <w:pPr>
              <w:tabs>
                <w:tab w:val="left" w:pos="1620"/>
              </w:tabs>
              <w:suppressAutoHyphens/>
              <w:spacing w:after="120" w:line="240" w:lineRule="exact"/>
              <w:jc w:val="right"/>
              <w:rPr>
                <w:color w:val="000000"/>
                <w:spacing w:val="4"/>
                <w:w w:val="103"/>
                <w:kern w:val="14"/>
                <w:lang w:val="en-GB" w:eastAsia="fr-FR"/>
              </w:rPr>
            </w:pPr>
            <w:r w:rsidRPr="00A469EA">
              <w:rPr>
                <w:color w:val="000000"/>
                <w:kern w:val="14"/>
                <w:lang w:val="en-GB" w:eastAsia="fr-FR"/>
              </w:rPr>
              <w:t>2</w:t>
            </w:r>
          </w:p>
          <w:p w14:paraId="43EBFC49" w14:textId="12B8A899" w:rsidR="00193A08" w:rsidRPr="00A469EA" w:rsidRDefault="00CF609C" w:rsidP="00193A08">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3</w:t>
            </w:r>
          </w:p>
        </w:tc>
      </w:tr>
      <w:tr w:rsidR="00193A08" w:rsidRPr="00A469EA" w14:paraId="78298B6A" w14:textId="77777777" w:rsidTr="00193A08">
        <w:tc>
          <w:tcPr>
            <w:tcW w:w="9540" w:type="dxa"/>
            <w:gridSpan w:val="3"/>
            <w:shd w:val="clear" w:color="auto" w:fill="auto"/>
          </w:tcPr>
          <w:p w14:paraId="0CF2EEE1" w14:textId="77777777" w:rsidR="00193A08" w:rsidRPr="00A469EA" w:rsidRDefault="00193A08" w:rsidP="00193A08">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A469EA">
              <w:rPr>
                <w:color w:val="000000"/>
                <w:kern w:val="14"/>
                <w:lang w:val="en-GB" w:eastAsia="fr-FR"/>
              </w:rPr>
              <w:tab/>
              <w:t>Programme priorities and partnerships………………………………………………….</w:t>
            </w:r>
            <w:r w:rsidRPr="00A469EA">
              <w:rPr>
                <w:color w:val="000000"/>
                <w:kern w:val="14"/>
                <w:sz w:val="17"/>
                <w:lang w:val="en-GB" w:eastAsia="fr-FR"/>
              </w:rPr>
              <w:tab/>
            </w:r>
            <w:r w:rsidRPr="00A469EA">
              <w:rPr>
                <w:color w:val="000000"/>
                <w:kern w:val="14"/>
                <w:lang w:val="en-GB" w:eastAsia="fr-FR"/>
              </w:rPr>
              <w:t>……….…</w:t>
            </w:r>
          </w:p>
        </w:tc>
        <w:tc>
          <w:tcPr>
            <w:tcW w:w="362" w:type="dxa"/>
            <w:vMerge/>
            <w:shd w:val="clear" w:color="auto" w:fill="auto"/>
            <w:vAlign w:val="bottom"/>
          </w:tcPr>
          <w:p w14:paraId="5EC2F478" w14:textId="77777777" w:rsidR="00193A08" w:rsidRPr="00A469EA" w:rsidRDefault="00193A08" w:rsidP="00193A08">
            <w:pPr>
              <w:tabs>
                <w:tab w:val="left" w:pos="1620"/>
              </w:tabs>
              <w:suppressAutoHyphens/>
              <w:spacing w:after="120" w:line="240" w:lineRule="exact"/>
              <w:jc w:val="right"/>
              <w:rPr>
                <w:color w:val="000000"/>
                <w:spacing w:val="4"/>
                <w:w w:val="103"/>
                <w:kern w:val="14"/>
                <w:lang w:val="en-GB" w:eastAsia="fr-FR"/>
              </w:rPr>
            </w:pPr>
          </w:p>
        </w:tc>
      </w:tr>
      <w:tr w:rsidR="00193A08" w:rsidRPr="00A469EA" w14:paraId="4AC5B79B" w14:textId="77777777" w:rsidTr="00193A08">
        <w:tc>
          <w:tcPr>
            <w:tcW w:w="9540" w:type="dxa"/>
            <w:gridSpan w:val="3"/>
            <w:shd w:val="clear" w:color="auto" w:fill="auto"/>
          </w:tcPr>
          <w:p w14:paraId="6CD649F5" w14:textId="77777777" w:rsidR="00193A08" w:rsidRPr="00A469EA" w:rsidRDefault="00193A08" w:rsidP="00193A08">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A469EA">
              <w:rPr>
                <w:color w:val="000000"/>
                <w:kern w:val="14"/>
                <w:lang w:val="en-GB" w:eastAsia="fr-FR"/>
              </w:rPr>
              <w:tab/>
              <w:t>Programme and risk management</w:t>
            </w:r>
            <w:r w:rsidRPr="00A469EA">
              <w:rPr>
                <w:color w:val="000000"/>
                <w:sz w:val="24"/>
                <w:szCs w:val="24"/>
                <w:lang w:val="en-GB" w:eastAsia="fr-FR"/>
              </w:rPr>
              <w:tab/>
            </w:r>
          </w:p>
        </w:tc>
        <w:tc>
          <w:tcPr>
            <w:tcW w:w="362" w:type="dxa"/>
            <w:vMerge w:val="restart"/>
            <w:shd w:val="clear" w:color="auto" w:fill="auto"/>
            <w:vAlign w:val="bottom"/>
          </w:tcPr>
          <w:p w14:paraId="73E01DEF" w14:textId="1E52487D" w:rsidR="00193A08" w:rsidRPr="00A469EA" w:rsidRDefault="00CF609C" w:rsidP="00193A08">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77E9433F" w14:textId="6714C419" w:rsidR="00193A08" w:rsidRPr="00A469EA" w:rsidRDefault="00CF609C" w:rsidP="00193A08">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7</w:t>
            </w:r>
          </w:p>
        </w:tc>
      </w:tr>
      <w:tr w:rsidR="00193A08" w:rsidRPr="00A469EA" w14:paraId="68029954" w14:textId="77777777" w:rsidTr="00193A08">
        <w:tc>
          <w:tcPr>
            <w:tcW w:w="9540" w:type="dxa"/>
            <w:gridSpan w:val="3"/>
            <w:shd w:val="clear" w:color="auto" w:fill="auto"/>
          </w:tcPr>
          <w:p w14:paraId="1E21888E" w14:textId="77777777" w:rsidR="00193A08" w:rsidRPr="00A469EA" w:rsidRDefault="00193A08" w:rsidP="00193A08">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A469EA">
              <w:rPr>
                <w:color w:val="000000"/>
                <w:kern w:val="14"/>
                <w:lang w:val="en-GB" w:eastAsia="fr-FR"/>
              </w:rPr>
              <w:tab/>
              <w:t>Monitoring and evaluation</w:t>
            </w:r>
            <w:r w:rsidRPr="00A469EA">
              <w:rPr>
                <w:color w:val="000000"/>
                <w:sz w:val="24"/>
                <w:szCs w:val="24"/>
                <w:lang w:val="en-GB" w:eastAsia="fr-FR"/>
              </w:rPr>
              <w:tab/>
            </w:r>
            <w:r w:rsidRPr="00A469EA">
              <w:rPr>
                <w:color w:val="000000"/>
                <w:lang w:val="en-GB" w:eastAsia="fr-FR"/>
              </w:rPr>
              <w:t>…………………………………………………….……………………</w:t>
            </w:r>
          </w:p>
        </w:tc>
        <w:tc>
          <w:tcPr>
            <w:tcW w:w="362" w:type="dxa"/>
            <w:vMerge/>
            <w:shd w:val="clear" w:color="auto" w:fill="auto"/>
            <w:vAlign w:val="bottom"/>
          </w:tcPr>
          <w:p w14:paraId="078081DC" w14:textId="77777777" w:rsidR="00193A08" w:rsidRPr="00A469EA" w:rsidRDefault="00193A08" w:rsidP="00193A08">
            <w:pPr>
              <w:tabs>
                <w:tab w:val="left" w:pos="1620"/>
              </w:tabs>
              <w:suppressAutoHyphens/>
              <w:spacing w:after="120" w:line="240" w:lineRule="exact"/>
              <w:jc w:val="right"/>
              <w:rPr>
                <w:color w:val="000000"/>
                <w:spacing w:val="4"/>
                <w:w w:val="103"/>
                <w:kern w:val="14"/>
                <w:lang w:val="en-GB" w:eastAsia="fr-FR"/>
              </w:rPr>
            </w:pPr>
          </w:p>
        </w:tc>
      </w:tr>
      <w:tr w:rsidR="00193A08" w:rsidRPr="00A469EA" w14:paraId="763A636A" w14:textId="77777777" w:rsidTr="00193A08">
        <w:tc>
          <w:tcPr>
            <w:tcW w:w="9369" w:type="dxa"/>
            <w:gridSpan w:val="2"/>
            <w:shd w:val="clear" w:color="auto" w:fill="auto"/>
          </w:tcPr>
          <w:p w14:paraId="46C12580" w14:textId="77777777" w:rsidR="00193A08" w:rsidRPr="00A469EA" w:rsidRDefault="00193A08" w:rsidP="00193A0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A469EA">
              <w:rPr>
                <w:color w:val="000000"/>
                <w:kern w:val="14"/>
                <w:lang w:val="en-GB" w:eastAsia="fr-FR"/>
              </w:rPr>
              <w:t xml:space="preserve">     Annex</w:t>
            </w:r>
          </w:p>
        </w:tc>
        <w:tc>
          <w:tcPr>
            <w:tcW w:w="533" w:type="dxa"/>
            <w:gridSpan w:val="2"/>
            <w:shd w:val="clear" w:color="auto" w:fill="auto"/>
            <w:vAlign w:val="bottom"/>
          </w:tcPr>
          <w:p w14:paraId="7AC86E3F" w14:textId="77777777" w:rsidR="00193A08" w:rsidRPr="00A469EA" w:rsidRDefault="00193A08" w:rsidP="00193A08">
            <w:pPr>
              <w:tabs>
                <w:tab w:val="left" w:pos="1620"/>
              </w:tabs>
              <w:suppressAutoHyphens/>
              <w:spacing w:after="120" w:line="240" w:lineRule="exact"/>
              <w:jc w:val="right"/>
              <w:rPr>
                <w:color w:val="000000"/>
                <w:spacing w:val="4"/>
                <w:w w:val="103"/>
                <w:kern w:val="14"/>
                <w:lang w:val="en-GB" w:eastAsia="fr-FR"/>
              </w:rPr>
            </w:pPr>
          </w:p>
        </w:tc>
      </w:tr>
      <w:tr w:rsidR="00193A08" w:rsidRPr="00A469EA" w14:paraId="0CC490C5" w14:textId="77777777" w:rsidTr="00193A08">
        <w:tc>
          <w:tcPr>
            <w:tcW w:w="9369" w:type="dxa"/>
            <w:gridSpan w:val="2"/>
            <w:shd w:val="clear" w:color="auto" w:fill="auto"/>
          </w:tcPr>
          <w:p w14:paraId="3904D584" w14:textId="77777777" w:rsidR="00193A08" w:rsidRPr="00A469EA" w:rsidRDefault="00193A08" w:rsidP="00193A0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A469EA">
              <w:rPr>
                <w:color w:val="000000"/>
                <w:kern w:val="14"/>
                <w:lang w:val="en-GB" w:eastAsia="fr-FR"/>
              </w:rPr>
              <w:t>Results and resources framework for Pakistan (2018-2022)</w:t>
            </w:r>
            <w:r w:rsidRPr="00A469EA">
              <w:rPr>
                <w:color w:val="000000"/>
                <w:sz w:val="24"/>
                <w:szCs w:val="24"/>
                <w:lang w:val="en-GB" w:eastAsia="fr-FR"/>
              </w:rPr>
              <w:tab/>
            </w:r>
            <w:r w:rsidRPr="00A469EA">
              <w:rPr>
                <w:color w:val="000000"/>
                <w:lang w:val="en-GB" w:eastAsia="fr-FR"/>
              </w:rPr>
              <w:t>………………………………………</w:t>
            </w:r>
          </w:p>
        </w:tc>
        <w:tc>
          <w:tcPr>
            <w:tcW w:w="533" w:type="dxa"/>
            <w:gridSpan w:val="2"/>
            <w:shd w:val="clear" w:color="auto" w:fill="auto"/>
            <w:vAlign w:val="bottom"/>
          </w:tcPr>
          <w:p w14:paraId="097FF41C" w14:textId="257024C8" w:rsidR="00193A08" w:rsidRPr="00A469EA" w:rsidRDefault="00CF609C" w:rsidP="00193A08">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6D7016DF" w14:textId="77777777" w:rsidR="00F24244" w:rsidRPr="00A469EA" w:rsidRDefault="00F24244" w:rsidP="00F24244">
      <w:pPr>
        <w:ind w:hanging="990"/>
        <w:rPr>
          <w:lang w:val="en-GB"/>
        </w:rPr>
      </w:pPr>
    </w:p>
    <w:p w14:paraId="65D17861" w14:textId="77777777" w:rsidR="006E3838" w:rsidRPr="00A469EA" w:rsidRDefault="006E3838" w:rsidP="006E3838">
      <w:pPr>
        <w:tabs>
          <w:tab w:val="left" w:pos="1620"/>
        </w:tabs>
        <w:rPr>
          <w:color w:val="000000"/>
          <w:lang w:val="en-GB" w:eastAsia="fr-FR"/>
        </w:rPr>
      </w:pPr>
    </w:p>
    <w:p w14:paraId="4E331155" w14:textId="77777777" w:rsidR="00F24244" w:rsidRPr="00A469EA" w:rsidRDefault="00F24244" w:rsidP="00F24244">
      <w:pPr>
        <w:ind w:hanging="990"/>
        <w:rPr>
          <w:lang w:val="en-GB"/>
        </w:rPr>
      </w:pPr>
    </w:p>
    <w:p w14:paraId="67FFF199" w14:textId="43D9F73A" w:rsidR="00A918A7" w:rsidRPr="00A469EA" w:rsidRDefault="00785474" w:rsidP="00614D4E">
      <w:pPr>
        <w:pStyle w:val="ListParagraph"/>
        <w:numPr>
          <w:ilvl w:val="0"/>
          <w:numId w:val="57"/>
        </w:numPr>
        <w:tabs>
          <w:tab w:val="left" w:pos="1620"/>
        </w:tabs>
        <w:ind w:left="0" w:hanging="270"/>
        <w:rPr>
          <w:b/>
          <w:color w:val="000000"/>
          <w:sz w:val="32"/>
          <w:szCs w:val="32"/>
          <w:lang w:val="en-GB" w:eastAsia="fr-FR"/>
        </w:rPr>
      </w:pPr>
      <w:r w:rsidRPr="00A469EA">
        <w:rPr>
          <w:lang w:val="en-GB"/>
        </w:rPr>
        <w:br w:type="page"/>
      </w:r>
      <w:r w:rsidR="00614D4E" w:rsidRPr="00A469EA">
        <w:rPr>
          <w:b/>
          <w:bCs/>
          <w:color w:val="000000"/>
          <w:sz w:val="24"/>
          <w:szCs w:val="24"/>
          <w:lang w:val="en-GB"/>
        </w:rPr>
        <w:lastRenderedPageBreak/>
        <w:t>Programme r</w:t>
      </w:r>
      <w:r w:rsidR="0059112A" w:rsidRPr="00A469EA">
        <w:rPr>
          <w:b/>
          <w:bCs/>
          <w:color w:val="000000"/>
          <w:sz w:val="24"/>
          <w:szCs w:val="24"/>
          <w:lang w:val="en-GB"/>
        </w:rPr>
        <w:t>ationale</w:t>
      </w:r>
      <w:r w:rsidR="00A113D7" w:rsidRPr="00A469EA">
        <w:rPr>
          <w:b/>
          <w:bCs/>
          <w:color w:val="000000"/>
          <w:sz w:val="24"/>
          <w:szCs w:val="24"/>
          <w:lang w:val="en-GB"/>
        </w:rPr>
        <w:t xml:space="preserve"> </w:t>
      </w:r>
    </w:p>
    <w:p w14:paraId="349E2CDA" w14:textId="77777777" w:rsidR="00864686" w:rsidRPr="00A469EA" w:rsidRDefault="00864686" w:rsidP="00B27B86">
      <w:pPr>
        <w:tabs>
          <w:tab w:val="left" w:pos="360"/>
        </w:tabs>
        <w:ind w:right="450"/>
        <w:rPr>
          <w:color w:val="444444"/>
          <w:lang w:val="en-GB"/>
        </w:rPr>
      </w:pPr>
    </w:p>
    <w:p w14:paraId="25F8837F" w14:textId="516E591D" w:rsidR="00436F45" w:rsidRPr="00A469EA" w:rsidRDefault="008943AD" w:rsidP="00B27B86">
      <w:pPr>
        <w:pStyle w:val="ListParagraph"/>
        <w:numPr>
          <w:ilvl w:val="0"/>
          <w:numId w:val="39"/>
        </w:numPr>
        <w:tabs>
          <w:tab w:val="left" w:pos="360"/>
        </w:tabs>
        <w:spacing w:after="120"/>
        <w:ind w:left="0" w:right="450" w:firstLine="0"/>
        <w:jc w:val="both"/>
        <w:rPr>
          <w:lang w:val="en-GB"/>
        </w:rPr>
      </w:pPr>
      <w:r w:rsidRPr="00A469EA">
        <w:rPr>
          <w:lang w:val="en-GB"/>
        </w:rPr>
        <w:t>Pakistan is the sixth most populous country in the world, with a population of 195</w:t>
      </w:r>
      <w:r w:rsidR="001E74FB" w:rsidRPr="00A469EA">
        <w:rPr>
          <w:lang w:val="en-GB"/>
        </w:rPr>
        <w:t>.</w:t>
      </w:r>
      <w:r w:rsidR="001A1DEA" w:rsidRPr="00A469EA">
        <w:rPr>
          <w:lang w:val="en-GB"/>
        </w:rPr>
        <w:t>4</w:t>
      </w:r>
      <w:r w:rsidRPr="00A469EA">
        <w:rPr>
          <w:lang w:val="en-GB"/>
        </w:rPr>
        <w:t xml:space="preserve"> million, growing at an annual rate of 1.89</w:t>
      </w:r>
      <w:r w:rsidR="00464286" w:rsidRPr="00A469EA">
        <w:rPr>
          <w:lang w:val="en-GB"/>
        </w:rPr>
        <w:t>.</w:t>
      </w:r>
      <w:r w:rsidRPr="00A469EA">
        <w:rPr>
          <w:rStyle w:val="FootnoteReference"/>
          <w:rFonts w:asciiTheme="majorBidi" w:hAnsiTheme="majorBidi" w:cstheme="majorBidi"/>
          <w:lang w:val="en-GB"/>
        </w:rPr>
        <w:footnoteReference w:id="2"/>
      </w:r>
      <w:r w:rsidRPr="00A469EA">
        <w:rPr>
          <w:lang w:val="en-GB"/>
        </w:rPr>
        <w:t xml:space="preserve"> </w:t>
      </w:r>
      <w:r w:rsidR="00687537" w:rsidRPr="00A469EA">
        <w:rPr>
          <w:lang w:val="en-GB"/>
        </w:rPr>
        <w:t xml:space="preserve">The country </w:t>
      </w:r>
      <w:r w:rsidRPr="00A469EA">
        <w:rPr>
          <w:lang w:val="en-GB"/>
        </w:rPr>
        <w:t>has made positive strides to address its d</w:t>
      </w:r>
      <w:r w:rsidR="00687537" w:rsidRPr="00A469EA">
        <w:rPr>
          <w:lang w:val="en-GB"/>
        </w:rPr>
        <w:t xml:space="preserve">evelopment challenges through </w:t>
      </w:r>
      <w:r w:rsidR="00464286" w:rsidRPr="00A469EA">
        <w:rPr>
          <w:lang w:val="en-GB"/>
        </w:rPr>
        <w:t xml:space="preserve">the </w:t>
      </w:r>
      <w:r w:rsidRPr="00A469EA">
        <w:rPr>
          <w:lang w:val="en-GB"/>
        </w:rPr>
        <w:t xml:space="preserve">structural transformation of </w:t>
      </w:r>
      <w:r w:rsidR="00DE6E4A" w:rsidRPr="00A469EA">
        <w:rPr>
          <w:lang w:val="en-GB"/>
        </w:rPr>
        <w:t xml:space="preserve">its </w:t>
      </w:r>
      <w:r w:rsidRPr="00A469EA">
        <w:rPr>
          <w:lang w:val="en-GB"/>
        </w:rPr>
        <w:t>economy</w:t>
      </w:r>
      <w:r w:rsidRPr="00A469EA">
        <w:rPr>
          <w:rStyle w:val="FootnoteReference"/>
          <w:rFonts w:asciiTheme="majorBidi" w:hAnsiTheme="majorBidi" w:cstheme="majorBidi"/>
          <w:lang w:val="en-GB"/>
        </w:rPr>
        <w:footnoteReference w:id="3"/>
      </w:r>
      <w:r w:rsidRPr="00A469EA">
        <w:rPr>
          <w:lang w:val="en-GB"/>
        </w:rPr>
        <w:t xml:space="preserve"> and </w:t>
      </w:r>
      <w:r w:rsidR="00464286" w:rsidRPr="00A469EA">
        <w:rPr>
          <w:lang w:val="en-GB"/>
        </w:rPr>
        <w:t xml:space="preserve">the </w:t>
      </w:r>
      <w:r w:rsidR="00CF6557" w:rsidRPr="00A469EA">
        <w:rPr>
          <w:lang w:val="en-GB"/>
        </w:rPr>
        <w:t xml:space="preserve">peaceful, </w:t>
      </w:r>
      <w:r w:rsidRPr="00A469EA">
        <w:rPr>
          <w:lang w:val="en-GB"/>
        </w:rPr>
        <w:t>democratic</w:t>
      </w:r>
      <w:r w:rsidR="00CF6557" w:rsidRPr="00A469EA">
        <w:rPr>
          <w:lang w:val="en-GB"/>
        </w:rPr>
        <w:t>,</w:t>
      </w:r>
      <w:r w:rsidRPr="00A469EA">
        <w:rPr>
          <w:lang w:val="en-GB"/>
        </w:rPr>
        <w:t xml:space="preserve"> political transition </w:t>
      </w:r>
      <w:r w:rsidR="00E543B9" w:rsidRPr="00A469EA">
        <w:rPr>
          <w:lang w:val="en-GB"/>
        </w:rPr>
        <w:t xml:space="preserve">of </w:t>
      </w:r>
      <w:r w:rsidRPr="00A469EA">
        <w:rPr>
          <w:lang w:val="en-GB"/>
        </w:rPr>
        <w:t xml:space="preserve">2013 with </w:t>
      </w:r>
      <w:r w:rsidR="00E543B9" w:rsidRPr="00A469EA">
        <w:rPr>
          <w:lang w:val="en-GB"/>
        </w:rPr>
        <w:t xml:space="preserve">its </w:t>
      </w:r>
      <w:r w:rsidRPr="00A469EA">
        <w:rPr>
          <w:lang w:val="en-GB"/>
        </w:rPr>
        <w:t xml:space="preserve">strong reform mandate. </w:t>
      </w:r>
    </w:p>
    <w:p w14:paraId="3601BE7C" w14:textId="4A316C96" w:rsidR="008943AD" w:rsidRPr="00A469EA" w:rsidRDefault="00436F45" w:rsidP="00B27B86">
      <w:pPr>
        <w:pStyle w:val="ListParagraph"/>
        <w:numPr>
          <w:ilvl w:val="0"/>
          <w:numId w:val="39"/>
        </w:numPr>
        <w:tabs>
          <w:tab w:val="left" w:pos="360"/>
        </w:tabs>
        <w:spacing w:after="120"/>
        <w:ind w:left="0" w:right="450" w:firstLine="0"/>
        <w:jc w:val="both"/>
        <w:rPr>
          <w:lang w:val="en-GB"/>
        </w:rPr>
      </w:pPr>
      <w:r w:rsidRPr="00A469EA">
        <w:rPr>
          <w:lang w:val="en-GB"/>
        </w:rPr>
        <w:t>T</w:t>
      </w:r>
      <w:r w:rsidR="008943AD" w:rsidRPr="00A469EA">
        <w:rPr>
          <w:lang w:val="en-GB"/>
        </w:rPr>
        <w:t xml:space="preserve">he Government </w:t>
      </w:r>
      <w:r w:rsidRPr="00A469EA">
        <w:rPr>
          <w:lang w:val="en-GB"/>
        </w:rPr>
        <w:t xml:space="preserve">has adopted </w:t>
      </w:r>
      <w:r w:rsidR="008943AD" w:rsidRPr="00A469EA">
        <w:rPr>
          <w:lang w:val="en-GB"/>
        </w:rPr>
        <w:t xml:space="preserve">a ‘whole-of-government’ approach to achieve the Sustainable Development Goals. The National Assembly </w:t>
      </w:r>
      <w:r w:rsidRPr="00A469EA">
        <w:rPr>
          <w:lang w:val="en-GB"/>
        </w:rPr>
        <w:t xml:space="preserve">has resolved to </w:t>
      </w:r>
      <w:r w:rsidR="008943AD" w:rsidRPr="00A469EA">
        <w:rPr>
          <w:lang w:val="en-GB"/>
        </w:rPr>
        <w:t xml:space="preserve">adopt the </w:t>
      </w:r>
      <w:r w:rsidR="00A469EA">
        <w:rPr>
          <w:lang w:val="en-GB"/>
        </w:rPr>
        <w:t>Goals</w:t>
      </w:r>
      <w:r w:rsidR="00A469EA" w:rsidRPr="00A469EA">
        <w:rPr>
          <w:lang w:val="en-GB"/>
        </w:rPr>
        <w:t xml:space="preserve"> </w:t>
      </w:r>
      <w:r w:rsidR="008943AD" w:rsidRPr="00A469EA">
        <w:rPr>
          <w:lang w:val="en-GB"/>
        </w:rPr>
        <w:t xml:space="preserve">as its development agenda </w:t>
      </w:r>
      <w:r w:rsidR="00464286" w:rsidRPr="00A469EA">
        <w:rPr>
          <w:lang w:val="en-GB"/>
        </w:rPr>
        <w:t xml:space="preserve">in </w:t>
      </w:r>
      <w:r w:rsidR="008943AD" w:rsidRPr="00A469EA">
        <w:rPr>
          <w:lang w:val="en-GB"/>
        </w:rPr>
        <w:t>Vision 2025</w:t>
      </w:r>
      <w:r w:rsidR="00464286" w:rsidRPr="00A469EA">
        <w:rPr>
          <w:lang w:val="en-GB"/>
        </w:rPr>
        <w:t>,</w:t>
      </w:r>
      <w:r w:rsidR="008943AD" w:rsidRPr="00A469EA">
        <w:rPr>
          <w:lang w:val="en-GB"/>
        </w:rPr>
        <w:t xml:space="preserve"> providing </w:t>
      </w:r>
      <w:r w:rsidRPr="00A469EA">
        <w:rPr>
          <w:lang w:val="en-GB"/>
        </w:rPr>
        <w:t>the overarc</w:t>
      </w:r>
      <w:r w:rsidR="00687537" w:rsidRPr="00A469EA">
        <w:rPr>
          <w:lang w:val="en-GB"/>
        </w:rPr>
        <w:t>h</w:t>
      </w:r>
      <w:r w:rsidRPr="00A469EA">
        <w:rPr>
          <w:lang w:val="en-GB"/>
        </w:rPr>
        <w:t xml:space="preserve">ing </w:t>
      </w:r>
      <w:r w:rsidR="00687537" w:rsidRPr="00A469EA">
        <w:rPr>
          <w:lang w:val="en-GB"/>
        </w:rPr>
        <w:t xml:space="preserve">national </w:t>
      </w:r>
      <w:r w:rsidR="008943AD" w:rsidRPr="00A469EA">
        <w:rPr>
          <w:lang w:val="en-GB"/>
        </w:rPr>
        <w:t>policy framework for development priorities</w:t>
      </w:r>
      <w:r w:rsidR="00464286" w:rsidRPr="00A469EA">
        <w:rPr>
          <w:lang w:val="en-GB"/>
        </w:rPr>
        <w:t>.</w:t>
      </w:r>
      <w:r w:rsidR="008943AD" w:rsidRPr="00A469EA">
        <w:rPr>
          <w:rStyle w:val="FootnoteReference"/>
          <w:rFonts w:asciiTheme="majorBidi" w:hAnsiTheme="majorBidi" w:cstheme="majorBidi"/>
          <w:lang w:val="en-GB"/>
        </w:rPr>
        <w:footnoteReference w:id="4"/>
      </w:r>
      <w:r w:rsidR="008943AD" w:rsidRPr="00A469EA">
        <w:rPr>
          <w:lang w:val="en-GB"/>
        </w:rPr>
        <w:t xml:space="preserve"> </w:t>
      </w:r>
    </w:p>
    <w:p w14:paraId="11CBA310" w14:textId="792B5A13" w:rsidR="008943AD" w:rsidRPr="00A469EA" w:rsidRDefault="008943AD" w:rsidP="00B27B86">
      <w:pPr>
        <w:pStyle w:val="ListParagraph"/>
        <w:numPr>
          <w:ilvl w:val="0"/>
          <w:numId w:val="39"/>
        </w:numPr>
        <w:tabs>
          <w:tab w:val="left" w:pos="360"/>
        </w:tabs>
        <w:spacing w:after="120"/>
        <w:ind w:left="0" w:right="450" w:firstLine="0"/>
        <w:jc w:val="both"/>
        <w:rPr>
          <w:b/>
          <w:bCs/>
          <w:lang w:val="en-GB"/>
        </w:rPr>
      </w:pPr>
      <w:r w:rsidRPr="00A469EA">
        <w:rPr>
          <w:lang w:val="en-GB"/>
        </w:rPr>
        <w:t xml:space="preserve">Pakistan </w:t>
      </w:r>
      <w:r w:rsidR="005E7E5F" w:rsidRPr="00A469EA">
        <w:rPr>
          <w:lang w:val="en-GB"/>
        </w:rPr>
        <w:t>aims to achieve many objectives pertaining to</w:t>
      </w:r>
      <w:r w:rsidRPr="00A469EA">
        <w:rPr>
          <w:lang w:val="en-GB"/>
        </w:rPr>
        <w:t xml:space="preserve"> governance, economic,</w:t>
      </w:r>
      <w:r w:rsidR="00A35D8A" w:rsidRPr="00A469EA">
        <w:rPr>
          <w:lang w:val="en-GB"/>
        </w:rPr>
        <w:t xml:space="preserve"> social</w:t>
      </w:r>
      <w:r w:rsidR="00B67FE6">
        <w:rPr>
          <w:lang w:val="en-GB"/>
        </w:rPr>
        <w:t xml:space="preserve"> </w:t>
      </w:r>
      <w:r w:rsidR="005E7E5F" w:rsidRPr="00A469EA">
        <w:rPr>
          <w:lang w:val="en-GB"/>
        </w:rPr>
        <w:t xml:space="preserve">and </w:t>
      </w:r>
      <w:r w:rsidRPr="00A469EA">
        <w:rPr>
          <w:lang w:val="en-GB"/>
        </w:rPr>
        <w:t xml:space="preserve"> </w:t>
      </w:r>
      <w:r w:rsidR="00B67FE6">
        <w:rPr>
          <w:lang w:val="en-GB"/>
        </w:rPr>
        <w:t>e</w:t>
      </w:r>
      <w:r w:rsidRPr="00A469EA">
        <w:rPr>
          <w:lang w:val="en-GB"/>
        </w:rPr>
        <w:t>nvironmental</w:t>
      </w:r>
      <w:r w:rsidR="005E7E5F" w:rsidRPr="00A469EA">
        <w:rPr>
          <w:lang w:val="en-GB"/>
        </w:rPr>
        <w:t xml:space="preserve"> matters, such as</w:t>
      </w:r>
      <w:r w:rsidR="00A35D8A" w:rsidRPr="00A469EA">
        <w:rPr>
          <w:lang w:val="en-GB"/>
        </w:rPr>
        <w:t>:</w:t>
      </w:r>
      <w:r w:rsidRPr="00A469EA">
        <w:rPr>
          <w:b/>
          <w:bCs/>
          <w:color w:val="5B9BD5" w:themeColor="accent1"/>
          <w:lang w:val="en-GB"/>
        </w:rPr>
        <w:t xml:space="preserve"> </w:t>
      </w:r>
    </w:p>
    <w:p w14:paraId="28F9AAF8" w14:textId="7D01DBCA" w:rsidR="00FB745E" w:rsidRPr="00A469EA" w:rsidRDefault="00600908" w:rsidP="00AF7CCF">
      <w:pPr>
        <w:pStyle w:val="ListParagraph"/>
        <w:numPr>
          <w:ilvl w:val="1"/>
          <w:numId w:val="58"/>
        </w:numPr>
        <w:spacing w:after="120"/>
        <w:ind w:left="720" w:right="450"/>
        <w:jc w:val="both"/>
        <w:rPr>
          <w:lang w:val="en-GB"/>
        </w:rPr>
      </w:pPr>
      <w:r w:rsidRPr="00A469EA">
        <w:rPr>
          <w:i/>
          <w:lang w:val="en-GB"/>
        </w:rPr>
        <w:t>Maximizing</w:t>
      </w:r>
      <w:r w:rsidR="008943AD" w:rsidRPr="00A469EA">
        <w:rPr>
          <w:i/>
          <w:lang w:val="en-GB"/>
        </w:rPr>
        <w:t xml:space="preserve"> </w:t>
      </w:r>
      <w:r w:rsidR="008943AD" w:rsidRPr="00A469EA">
        <w:rPr>
          <w:bCs/>
          <w:i/>
          <w:lang w:val="en-GB"/>
        </w:rPr>
        <w:t>democratic gains</w:t>
      </w:r>
      <w:r w:rsidR="008943AD" w:rsidRPr="00A469EA">
        <w:rPr>
          <w:lang w:val="en-GB"/>
        </w:rPr>
        <w:t xml:space="preserve"> </w:t>
      </w:r>
      <w:r w:rsidRPr="00A469EA">
        <w:rPr>
          <w:lang w:val="en-GB"/>
        </w:rPr>
        <w:t xml:space="preserve">through </w:t>
      </w:r>
      <w:r w:rsidR="008943AD" w:rsidRPr="00A469EA">
        <w:rPr>
          <w:lang w:val="en-GB"/>
        </w:rPr>
        <w:t xml:space="preserve">inclusive democratic processes, government </w:t>
      </w:r>
      <w:r w:rsidR="00CF609C" w:rsidRPr="00A469EA">
        <w:rPr>
          <w:lang w:val="en-GB"/>
        </w:rPr>
        <w:t>efficiency</w:t>
      </w:r>
      <w:r w:rsidR="00B26CA2" w:rsidRPr="00A469EA">
        <w:rPr>
          <w:lang w:val="en-GB"/>
        </w:rPr>
        <w:t>,</w:t>
      </w:r>
      <w:r w:rsidR="008943AD" w:rsidRPr="00A469EA">
        <w:rPr>
          <w:lang w:val="en-GB"/>
        </w:rPr>
        <w:t xml:space="preserve"> </w:t>
      </w:r>
      <w:r w:rsidR="00B26CA2" w:rsidRPr="00A469EA">
        <w:rPr>
          <w:lang w:val="en-GB"/>
        </w:rPr>
        <w:t>transparency</w:t>
      </w:r>
      <w:r w:rsidR="00A469EA">
        <w:rPr>
          <w:lang w:val="en-GB"/>
        </w:rPr>
        <w:t>,</w:t>
      </w:r>
      <w:r w:rsidRPr="00A469EA">
        <w:rPr>
          <w:rStyle w:val="FootnoteReference"/>
          <w:lang w:val="en-GB"/>
        </w:rPr>
        <w:footnoteReference w:id="5"/>
      </w:r>
      <w:r w:rsidR="001913EE" w:rsidRPr="00A469EA">
        <w:rPr>
          <w:lang w:val="en-GB"/>
        </w:rPr>
        <w:t xml:space="preserve"> </w:t>
      </w:r>
      <w:r w:rsidR="00B26CA2" w:rsidRPr="00A469EA">
        <w:rPr>
          <w:lang w:val="en-GB"/>
        </w:rPr>
        <w:t xml:space="preserve">accountability, </w:t>
      </w:r>
      <w:r w:rsidR="008943AD" w:rsidRPr="00A469EA">
        <w:rPr>
          <w:lang w:val="en-GB"/>
        </w:rPr>
        <w:t>rule of law and</w:t>
      </w:r>
      <w:r w:rsidR="004A1F18" w:rsidRPr="00A469EA">
        <w:rPr>
          <w:lang w:val="en-GB"/>
        </w:rPr>
        <w:t xml:space="preserve"> access to </w:t>
      </w:r>
      <w:r w:rsidR="008943AD" w:rsidRPr="00A469EA">
        <w:rPr>
          <w:lang w:val="en-GB"/>
        </w:rPr>
        <w:t>justice</w:t>
      </w:r>
      <w:r w:rsidR="002C76AA" w:rsidRPr="00A469EA">
        <w:rPr>
          <w:lang w:val="en-GB"/>
        </w:rPr>
        <w:t>;</w:t>
      </w:r>
    </w:p>
    <w:p w14:paraId="54BFC238" w14:textId="13456ED9" w:rsidR="008943AD" w:rsidRPr="00A469EA" w:rsidRDefault="00600908" w:rsidP="00AF7CCF">
      <w:pPr>
        <w:pStyle w:val="ListParagraph"/>
        <w:numPr>
          <w:ilvl w:val="1"/>
          <w:numId w:val="58"/>
        </w:numPr>
        <w:spacing w:after="120"/>
        <w:ind w:left="720" w:right="450"/>
        <w:jc w:val="both"/>
        <w:rPr>
          <w:lang w:val="en-GB"/>
        </w:rPr>
      </w:pPr>
      <w:r w:rsidRPr="00A469EA">
        <w:rPr>
          <w:i/>
          <w:lang w:val="en-GB"/>
        </w:rPr>
        <w:t xml:space="preserve">Attaining higher </w:t>
      </w:r>
      <w:r w:rsidR="00842B73" w:rsidRPr="00A469EA">
        <w:rPr>
          <w:i/>
          <w:lang w:val="en-GB"/>
        </w:rPr>
        <w:t xml:space="preserve">levels of </w:t>
      </w:r>
      <w:r w:rsidR="008943AD" w:rsidRPr="00A469EA">
        <w:rPr>
          <w:bCs/>
          <w:i/>
          <w:lang w:val="en-GB"/>
        </w:rPr>
        <w:t xml:space="preserve">human </w:t>
      </w:r>
      <w:r w:rsidRPr="00A469EA">
        <w:rPr>
          <w:bCs/>
          <w:i/>
          <w:lang w:val="en-GB"/>
        </w:rPr>
        <w:t>development to reduce</w:t>
      </w:r>
      <w:r w:rsidR="004A1F18" w:rsidRPr="00A469EA">
        <w:rPr>
          <w:lang w:val="en-GB"/>
        </w:rPr>
        <w:t xml:space="preserve"> </w:t>
      </w:r>
      <w:r w:rsidR="008943AD" w:rsidRPr="00A469EA">
        <w:rPr>
          <w:lang w:val="en-GB"/>
        </w:rPr>
        <w:t>poverty</w:t>
      </w:r>
      <w:r w:rsidRPr="00A469EA">
        <w:rPr>
          <w:lang w:val="en-GB"/>
        </w:rPr>
        <w:t xml:space="preserve"> and</w:t>
      </w:r>
      <w:r w:rsidR="008943AD" w:rsidRPr="00A469EA">
        <w:rPr>
          <w:lang w:val="en-GB"/>
        </w:rPr>
        <w:t xml:space="preserve"> inequalit</w:t>
      </w:r>
      <w:r w:rsidRPr="00A469EA">
        <w:rPr>
          <w:lang w:val="en-GB"/>
        </w:rPr>
        <w:t>ies</w:t>
      </w:r>
      <w:r w:rsidR="008943AD" w:rsidRPr="00A469EA">
        <w:rPr>
          <w:lang w:val="en-GB"/>
        </w:rPr>
        <w:t xml:space="preserve">, </w:t>
      </w:r>
      <w:r w:rsidRPr="00A469EA">
        <w:rPr>
          <w:lang w:val="en-GB"/>
        </w:rPr>
        <w:t xml:space="preserve">enhance </w:t>
      </w:r>
      <w:r w:rsidR="008943AD" w:rsidRPr="00A469EA">
        <w:rPr>
          <w:lang w:val="en-GB"/>
        </w:rPr>
        <w:t>stability</w:t>
      </w:r>
      <w:r w:rsidR="00434D0F" w:rsidRPr="00A469EA">
        <w:rPr>
          <w:lang w:val="en-GB"/>
        </w:rPr>
        <w:t xml:space="preserve"> and help </w:t>
      </w:r>
      <w:r w:rsidR="00A469EA">
        <w:rPr>
          <w:lang w:val="en-GB"/>
        </w:rPr>
        <w:t xml:space="preserve">to </w:t>
      </w:r>
      <w:r w:rsidR="00434D0F" w:rsidRPr="00A469EA">
        <w:rPr>
          <w:lang w:val="en-GB"/>
        </w:rPr>
        <w:t>capitali</w:t>
      </w:r>
      <w:r w:rsidR="00A469EA">
        <w:rPr>
          <w:lang w:val="en-GB"/>
        </w:rPr>
        <w:t>z</w:t>
      </w:r>
      <w:r w:rsidR="00434D0F" w:rsidRPr="00A469EA">
        <w:rPr>
          <w:lang w:val="en-GB"/>
        </w:rPr>
        <w:t xml:space="preserve">e </w:t>
      </w:r>
      <w:r w:rsidR="00A469EA">
        <w:rPr>
          <w:lang w:val="en-GB"/>
        </w:rPr>
        <w:t xml:space="preserve">in particular </w:t>
      </w:r>
      <w:r w:rsidR="00434D0F" w:rsidRPr="00A469EA">
        <w:rPr>
          <w:lang w:val="en-GB"/>
        </w:rPr>
        <w:t>on its young human resource</w:t>
      </w:r>
      <w:r w:rsidR="00A469EA">
        <w:rPr>
          <w:lang w:val="en-GB"/>
        </w:rPr>
        <w:t>s</w:t>
      </w:r>
      <w:r w:rsidR="002C76AA" w:rsidRPr="00A469EA">
        <w:rPr>
          <w:lang w:val="en-GB"/>
        </w:rPr>
        <w:t>;</w:t>
      </w:r>
      <w:r w:rsidR="008943AD" w:rsidRPr="00A469EA">
        <w:rPr>
          <w:lang w:val="en-GB"/>
        </w:rPr>
        <w:t xml:space="preserve"> </w:t>
      </w:r>
    </w:p>
    <w:p w14:paraId="70E5465E" w14:textId="6925E644" w:rsidR="007F2E8D" w:rsidRPr="00A469EA" w:rsidRDefault="00434D0F" w:rsidP="00AF7CCF">
      <w:pPr>
        <w:pStyle w:val="ListParagraph"/>
        <w:numPr>
          <w:ilvl w:val="1"/>
          <w:numId w:val="58"/>
        </w:numPr>
        <w:spacing w:after="120"/>
        <w:ind w:left="720" w:right="450"/>
        <w:jc w:val="both"/>
        <w:rPr>
          <w:lang w:val="en-GB"/>
        </w:rPr>
      </w:pPr>
      <w:r w:rsidRPr="00A469EA">
        <w:rPr>
          <w:i/>
          <w:lang w:val="en-GB"/>
        </w:rPr>
        <w:t xml:space="preserve">Reducing </w:t>
      </w:r>
      <w:r w:rsidR="00842B73" w:rsidRPr="00A469EA">
        <w:rPr>
          <w:i/>
          <w:lang w:val="en-GB"/>
        </w:rPr>
        <w:t>gender inequality</w:t>
      </w:r>
      <w:r w:rsidRPr="00A469EA">
        <w:rPr>
          <w:i/>
          <w:lang w:val="en-GB"/>
        </w:rPr>
        <w:t xml:space="preserve"> by advancing women’s social, economic and political empowerment</w:t>
      </w:r>
      <w:r w:rsidR="007F2E8D" w:rsidRPr="00A469EA">
        <w:rPr>
          <w:lang w:val="en-GB"/>
        </w:rPr>
        <w:t>;</w:t>
      </w:r>
      <w:r w:rsidR="00464286" w:rsidRPr="00A469EA">
        <w:rPr>
          <w:lang w:val="en-GB"/>
        </w:rPr>
        <w:t xml:space="preserve"> and</w:t>
      </w:r>
    </w:p>
    <w:p w14:paraId="767626D0" w14:textId="17EDAAE7" w:rsidR="008943AD" w:rsidRPr="00A469EA" w:rsidRDefault="002022D2" w:rsidP="00AF7CCF">
      <w:pPr>
        <w:pStyle w:val="ListParagraph"/>
        <w:numPr>
          <w:ilvl w:val="1"/>
          <w:numId w:val="58"/>
        </w:numPr>
        <w:spacing w:after="120"/>
        <w:ind w:left="720" w:right="450"/>
        <w:jc w:val="both"/>
        <w:rPr>
          <w:lang w:val="en-GB"/>
        </w:rPr>
      </w:pPr>
      <w:r w:rsidRPr="00A469EA">
        <w:rPr>
          <w:i/>
          <w:lang w:val="en-GB"/>
        </w:rPr>
        <w:t>Addressing</w:t>
      </w:r>
      <w:r w:rsidR="00A35D8A" w:rsidRPr="00A469EA">
        <w:rPr>
          <w:i/>
          <w:lang w:val="en-GB"/>
        </w:rPr>
        <w:t xml:space="preserve"> </w:t>
      </w:r>
      <w:r w:rsidR="00FB745E" w:rsidRPr="00A469EA">
        <w:rPr>
          <w:i/>
          <w:lang w:val="en-GB"/>
        </w:rPr>
        <w:t>v</w:t>
      </w:r>
      <w:r w:rsidR="008943AD" w:rsidRPr="00A469EA">
        <w:rPr>
          <w:i/>
          <w:lang w:val="en-GB"/>
        </w:rPr>
        <w:t xml:space="preserve">ulnerability to disasters </w:t>
      </w:r>
      <w:r w:rsidR="00A35D8A" w:rsidRPr="00A469EA">
        <w:rPr>
          <w:i/>
          <w:lang w:val="en-GB"/>
        </w:rPr>
        <w:t>and climate change</w:t>
      </w:r>
      <w:r w:rsidR="00A35D8A" w:rsidRPr="00A469EA">
        <w:rPr>
          <w:lang w:val="en-GB"/>
        </w:rPr>
        <w:t xml:space="preserve">, which includes </w:t>
      </w:r>
      <w:r w:rsidR="008943AD" w:rsidRPr="00A469EA">
        <w:rPr>
          <w:lang w:val="en-GB"/>
        </w:rPr>
        <w:t>environmental degradation, natural disasters</w:t>
      </w:r>
      <w:r w:rsidR="00665BB3" w:rsidRPr="00A469EA">
        <w:rPr>
          <w:lang w:val="en-GB"/>
        </w:rPr>
        <w:t xml:space="preserve"> and seismic activity</w:t>
      </w:r>
      <w:r w:rsidR="008943AD" w:rsidRPr="00A469EA">
        <w:rPr>
          <w:lang w:val="en-GB"/>
        </w:rPr>
        <w:t xml:space="preserve">.  </w:t>
      </w:r>
    </w:p>
    <w:p w14:paraId="1DD17851" w14:textId="69BA43E3" w:rsidR="008943AD" w:rsidRPr="00A469EA" w:rsidRDefault="00B152AD" w:rsidP="00AF7CCF">
      <w:pPr>
        <w:pStyle w:val="ListParagraph"/>
        <w:numPr>
          <w:ilvl w:val="0"/>
          <w:numId w:val="39"/>
        </w:numPr>
        <w:tabs>
          <w:tab w:val="left" w:pos="360"/>
        </w:tabs>
        <w:spacing w:after="120"/>
        <w:ind w:left="0" w:right="450" w:firstLine="0"/>
        <w:jc w:val="both"/>
        <w:rPr>
          <w:lang w:val="en-GB"/>
        </w:rPr>
      </w:pPr>
      <w:r w:rsidRPr="00A469EA">
        <w:rPr>
          <w:rFonts w:cs="Calibri"/>
          <w:lang w:val="en-GB"/>
        </w:rPr>
        <w:t xml:space="preserve">Over the previous </w:t>
      </w:r>
      <w:r w:rsidR="00630E4E">
        <w:rPr>
          <w:rFonts w:cs="Calibri"/>
          <w:lang w:val="en-GB"/>
        </w:rPr>
        <w:t>country programme</w:t>
      </w:r>
      <w:r w:rsidRPr="00A469EA">
        <w:rPr>
          <w:rFonts w:cs="Calibri"/>
          <w:lang w:val="en-GB"/>
        </w:rPr>
        <w:t xml:space="preserve">, </w:t>
      </w:r>
      <w:r w:rsidR="00630E4E">
        <w:rPr>
          <w:rFonts w:cs="Calibri"/>
          <w:lang w:val="en-GB"/>
        </w:rPr>
        <w:t xml:space="preserve">2013-2017, </w:t>
      </w:r>
      <w:r w:rsidRPr="00A469EA">
        <w:rPr>
          <w:rFonts w:cs="Calibri"/>
          <w:lang w:val="en-GB"/>
        </w:rPr>
        <w:t>political participation has improved in Pakistan, as has the stability of its democratic institutions</w:t>
      </w:r>
      <w:r w:rsidR="00066E27" w:rsidRPr="00A469EA">
        <w:rPr>
          <w:rFonts w:cs="Calibri"/>
          <w:lang w:val="en-GB"/>
        </w:rPr>
        <w:t>.</w:t>
      </w:r>
      <w:r w:rsidRPr="00A469EA">
        <w:rPr>
          <w:rStyle w:val="FootnoteReference"/>
          <w:lang w:val="en-GB"/>
        </w:rPr>
        <w:footnoteReference w:id="6"/>
      </w:r>
      <w:r w:rsidRPr="00A469EA">
        <w:rPr>
          <w:rFonts w:cs="Calibri"/>
          <w:lang w:val="en-GB"/>
        </w:rPr>
        <w:t xml:space="preserve"> Taking forward this positive trend will be vital for strengthening governance, transparency, accountability and the rule of law. Specifically, in rule of law, t</w:t>
      </w:r>
      <w:r w:rsidRPr="00A469EA">
        <w:rPr>
          <w:lang w:val="en-GB"/>
        </w:rPr>
        <w:t>here are supply-side constraints, which have resulted in a paucity of judges and lawyers,</w:t>
      </w:r>
      <w:r w:rsidRPr="00A469EA">
        <w:rPr>
          <w:rStyle w:val="FootnoteReference"/>
          <w:lang w:val="en-GB"/>
        </w:rPr>
        <w:footnoteReference w:id="7"/>
      </w:r>
      <w:r w:rsidRPr="00A469EA">
        <w:rPr>
          <w:lang w:val="en-GB"/>
        </w:rPr>
        <w:t xml:space="preserve"> with implications for the cost and availability of legal representation</w:t>
      </w:r>
      <w:r w:rsidR="00066E27" w:rsidRPr="00A469EA">
        <w:rPr>
          <w:lang w:val="en-GB"/>
        </w:rPr>
        <w:t>.</w:t>
      </w:r>
      <w:r w:rsidRPr="00A469EA">
        <w:rPr>
          <w:rStyle w:val="FootnoteReference"/>
          <w:lang w:val="en-GB"/>
        </w:rPr>
        <w:footnoteReference w:id="8"/>
      </w:r>
    </w:p>
    <w:p w14:paraId="239C1B8C" w14:textId="42DDBCBF" w:rsidR="00C846E0" w:rsidRPr="00A469EA" w:rsidRDefault="00C846E0" w:rsidP="0039439F">
      <w:pPr>
        <w:pStyle w:val="ListParagraph"/>
        <w:numPr>
          <w:ilvl w:val="0"/>
          <w:numId w:val="39"/>
        </w:numPr>
        <w:tabs>
          <w:tab w:val="left" w:pos="360"/>
        </w:tabs>
        <w:spacing w:after="120"/>
        <w:ind w:left="0" w:right="450" w:firstLine="0"/>
        <w:jc w:val="both"/>
        <w:rPr>
          <w:lang w:val="en-GB"/>
        </w:rPr>
      </w:pPr>
      <w:r w:rsidRPr="00A469EA">
        <w:rPr>
          <w:lang w:val="en-GB"/>
        </w:rPr>
        <w:t xml:space="preserve">In 2010, </w:t>
      </w:r>
      <w:r w:rsidR="00B75A66" w:rsidRPr="00A469EA">
        <w:rPr>
          <w:lang w:val="en-GB"/>
        </w:rPr>
        <w:t xml:space="preserve">the </w:t>
      </w:r>
      <w:r w:rsidRPr="00A469EA">
        <w:rPr>
          <w:lang w:val="en-GB"/>
        </w:rPr>
        <w:t>National Assembly approved the 18</w:t>
      </w:r>
      <w:r w:rsidRPr="00A469EA">
        <w:rPr>
          <w:vertAlign w:val="superscript"/>
          <w:lang w:val="en-GB"/>
        </w:rPr>
        <w:t>th</w:t>
      </w:r>
      <w:r w:rsidRPr="00A469EA">
        <w:rPr>
          <w:lang w:val="en-GB"/>
        </w:rPr>
        <w:t xml:space="preserve"> Amendment to the Constitution, which devolved administrative and budgetary authority to provincial governments. Whil</w:t>
      </w:r>
      <w:r w:rsidR="00B75A66" w:rsidRPr="00A469EA">
        <w:rPr>
          <w:lang w:val="en-GB"/>
        </w:rPr>
        <w:t>e</w:t>
      </w:r>
      <w:r w:rsidRPr="00A469EA">
        <w:rPr>
          <w:lang w:val="en-GB"/>
        </w:rPr>
        <w:t xml:space="preserve"> the establishment of local authorities at the district</w:t>
      </w:r>
      <w:r w:rsidR="00B75A66" w:rsidRPr="00A469EA">
        <w:rPr>
          <w:lang w:val="en-GB"/>
        </w:rPr>
        <w:t xml:space="preserve"> </w:t>
      </w:r>
      <w:r w:rsidRPr="00A469EA">
        <w:rPr>
          <w:lang w:val="en-GB"/>
        </w:rPr>
        <w:t xml:space="preserve">level is still in progress, </w:t>
      </w:r>
      <w:r w:rsidR="00051243" w:rsidRPr="00A469EA">
        <w:rPr>
          <w:lang w:val="en-GB"/>
        </w:rPr>
        <w:t xml:space="preserve">strengthening of </w:t>
      </w:r>
      <w:r w:rsidRPr="00A469EA">
        <w:rPr>
          <w:lang w:val="en-GB"/>
        </w:rPr>
        <w:t xml:space="preserve">local institutional capacities </w:t>
      </w:r>
      <w:r w:rsidR="00051243" w:rsidRPr="00A469EA">
        <w:rPr>
          <w:lang w:val="en-GB"/>
        </w:rPr>
        <w:t xml:space="preserve">are important </w:t>
      </w:r>
      <w:r w:rsidRPr="00A469EA">
        <w:rPr>
          <w:lang w:val="en-GB"/>
        </w:rPr>
        <w:t xml:space="preserve">in the wake of </w:t>
      </w:r>
      <w:r w:rsidR="00B75A66" w:rsidRPr="00A469EA">
        <w:rPr>
          <w:lang w:val="en-GB"/>
        </w:rPr>
        <w:t xml:space="preserve">the country’s </w:t>
      </w:r>
      <w:r w:rsidRPr="00A469EA">
        <w:rPr>
          <w:lang w:val="en-GB"/>
        </w:rPr>
        <w:t>decentralization</w:t>
      </w:r>
      <w:r w:rsidRPr="00A469EA">
        <w:rPr>
          <w:i/>
          <w:lang w:val="en-GB"/>
        </w:rPr>
        <w:t xml:space="preserve"> </w:t>
      </w:r>
      <w:r w:rsidRPr="00A469EA">
        <w:rPr>
          <w:lang w:val="en-GB"/>
        </w:rPr>
        <w:t>policy</w:t>
      </w:r>
      <w:r w:rsidR="00B75A66" w:rsidRPr="00A469EA">
        <w:rPr>
          <w:lang w:val="en-GB"/>
        </w:rPr>
        <w:t>.</w:t>
      </w:r>
      <w:r w:rsidRPr="00A469EA">
        <w:rPr>
          <w:rStyle w:val="FootnoteReference"/>
          <w:rFonts w:cstheme="majorBidi"/>
          <w:lang w:val="en-GB"/>
        </w:rPr>
        <w:footnoteReference w:id="9"/>
      </w:r>
    </w:p>
    <w:p w14:paraId="3C782987" w14:textId="54A2872C" w:rsidR="008943AD" w:rsidRPr="00A469EA" w:rsidRDefault="008943AD" w:rsidP="0039439F">
      <w:pPr>
        <w:pStyle w:val="ListParagraph"/>
        <w:numPr>
          <w:ilvl w:val="0"/>
          <w:numId w:val="39"/>
        </w:numPr>
        <w:tabs>
          <w:tab w:val="left" w:pos="360"/>
        </w:tabs>
        <w:spacing w:after="120"/>
        <w:ind w:left="0" w:right="450" w:firstLine="0"/>
        <w:jc w:val="both"/>
        <w:rPr>
          <w:lang w:val="en-GB"/>
        </w:rPr>
      </w:pPr>
      <w:r w:rsidRPr="00A469EA">
        <w:rPr>
          <w:lang w:val="en-GB"/>
        </w:rPr>
        <w:t xml:space="preserve">While Pakistan has approved </w:t>
      </w:r>
      <w:r w:rsidR="0018509A" w:rsidRPr="00A469EA">
        <w:rPr>
          <w:lang w:val="en-GB"/>
        </w:rPr>
        <w:t xml:space="preserve">a raft of </w:t>
      </w:r>
      <w:r w:rsidRPr="00A469EA">
        <w:rPr>
          <w:lang w:val="en-GB"/>
        </w:rPr>
        <w:t>new policy reforms and ratified several international treaties</w:t>
      </w:r>
      <w:r w:rsidR="00AE687C" w:rsidRPr="00A469EA">
        <w:rPr>
          <w:lang w:val="en-GB"/>
        </w:rPr>
        <w:t xml:space="preserve"> pertaining to environmental issues and democratic governance, challenges remain in translating international instruments into national laws and implementation thereof.</w:t>
      </w:r>
      <w:r w:rsidR="00AE687C" w:rsidRPr="00A469EA">
        <w:rPr>
          <w:rStyle w:val="FootnoteReference"/>
          <w:lang w:val="en-GB"/>
        </w:rPr>
        <w:footnoteReference w:id="10"/>
      </w:r>
      <w:r w:rsidR="00AE687C" w:rsidRPr="00A469EA">
        <w:rPr>
          <w:lang w:val="en-GB"/>
        </w:rPr>
        <w:t xml:space="preserve"> </w:t>
      </w:r>
    </w:p>
    <w:p w14:paraId="45D189B9" w14:textId="6FF5158A" w:rsidR="009F7E66" w:rsidRPr="00A469EA" w:rsidRDefault="00262BBE" w:rsidP="0039439F">
      <w:pPr>
        <w:pStyle w:val="ListParagraph"/>
        <w:numPr>
          <w:ilvl w:val="0"/>
          <w:numId w:val="39"/>
        </w:numPr>
        <w:tabs>
          <w:tab w:val="left" w:pos="360"/>
        </w:tabs>
        <w:spacing w:after="120"/>
        <w:ind w:left="0" w:right="450" w:firstLine="0"/>
        <w:jc w:val="both"/>
        <w:rPr>
          <w:lang w:val="en-GB"/>
        </w:rPr>
      </w:pPr>
      <w:r w:rsidRPr="00A469EA">
        <w:rPr>
          <w:lang w:val="en-GB"/>
        </w:rPr>
        <w:t xml:space="preserve">Economic and political empowerment of women has improved in Pakistan over the last few years. </w:t>
      </w:r>
      <w:r w:rsidR="00A469EA">
        <w:rPr>
          <w:lang w:val="en-GB"/>
        </w:rPr>
        <w:t xml:space="preserve">The </w:t>
      </w:r>
      <w:r w:rsidRPr="00A469EA">
        <w:rPr>
          <w:lang w:val="en-GB"/>
        </w:rPr>
        <w:t>female literacy ratio increased from 40 per</w:t>
      </w:r>
      <w:r w:rsidR="009F7E66" w:rsidRPr="00A469EA">
        <w:rPr>
          <w:lang w:val="en-GB"/>
        </w:rPr>
        <w:t xml:space="preserve"> </w:t>
      </w:r>
      <w:r w:rsidRPr="00A469EA">
        <w:rPr>
          <w:lang w:val="en-GB"/>
        </w:rPr>
        <w:t xml:space="preserve">cent </w:t>
      </w:r>
      <w:r w:rsidR="00A469EA">
        <w:rPr>
          <w:lang w:val="en-GB"/>
        </w:rPr>
        <w:t xml:space="preserve">in </w:t>
      </w:r>
      <w:r w:rsidR="00A469EA" w:rsidRPr="00A469EA">
        <w:rPr>
          <w:lang w:val="en-GB"/>
        </w:rPr>
        <w:t>2004-</w:t>
      </w:r>
      <w:r w:rsidR="00A469EA">
        <w:rPr>
          <w:lang w:val="en-GB"/>
        </w:rPr>
        <w:t>2005</w:t>
      </w:r>
      <w:r w:rsidR="00A469EA" w:rsidRPr="00A469EA">
        <w:rPr>
          <w:lang w:val="en-GB"/>
        </w:rPr>
        <w:t xml:space="preserve"> </w:t>
      </w:r>
      <w:r w:rsidRPr="00A469EA">
        <w:rPr>
          <w:lang w:val="en-GB"/>
        </w:rPr>
        <w:t>to 49 per</w:t>
      </w:r>
      <w:r w:rsidR="009F7E66" w:rsidRPr="00A469EA">
        <w:rPr>
          <w:lang w:val="en-GB"/>
        </w:rPr>
        <w:t xml:space="preserve"> </w:t>
      </w:r>
      <w:r w:rsidRPr="00A469EA">
        <w:rPr>
          <w:lang w:val="en-GB"/>
        </w:rPr>
        <w:t>cent in 2014-</w:t>
      </w:r>
      <w:r w:rsidR="00A469EA">
        <w:rPr>
          <w:lang w:val="en-GB"/>
        </w:rPr>
        <w:t>20</w:t>
      </w:r>
      <w:r w:rsidRPr="00A469EA">
        <w:rPr>
          <w:lang w:val="en-GB"/>
        </w:rPr>
        <w:t>15</w:t>
      </w:r>
      <w:r w:rsidR="00066E27" w:rsidRPr="00A469EA">
        <w:rPr>
          <w:lang w:val="en-GB"/>
        </w:rPr>
        <w:t>.</w:t>
      </w:r>
      <w:r w:rsidRPr="00A469EA">
        <w:rPr>
          <w:rStyle w:val="FootnoteReference"/>
          <w:lang w:val="en-GB"/>
        </w:rPr>
        <w:footnoteReference w:id="11"/>
      </w:r>
      <w:r w:rsidRPr="00A469EA">
        <w:rPr>
          <w:lang w:val="en-GB"/>
        </w:rPr>
        <w:t xml:space="preserve"> Currently, females occupy 20.6 per</w:t>
      </w:r>
      <w:r w:rsidR="009F7E66" w:rsidRPr="00A469EA">
        <w:rPr>
          <w:lang w:val="en-GB"/>
        </w:rPr>
        <w:t xml:space="preserve"> </w:t>
      </w:r>
      <w:r w:rsidRPr="00A469EA">
        <w:rPr>
          <w:lang w:val="en-GB"/>
        </w:rPr>
        <w:t xml:space="preserve">cent of seats in </w:t>
      </w:r>
      <w:r w:rsidR="00A469EA">
        <w:rPr>
          <w:lang w:val="en-GB"/>
        </w:rPr>
        <w:t xml:space="preserve">the </w:t>
      </w:r>
      <w:r w:rsidRPr="00A469EA">
        <w:rPr>
          <w:lang w:val="en-GB"/>
        </w:rPr>
        <w:t>National Assembly and 18.3 per</w:t>
      </w:r>
      <w:r w:rsidR="009F7E66" w:rsidRPr="00A469EA">
        <w:rPr>
          <w:lang w:val="en-GB"/>
        </w:rPr>
        <w:t xml:space="preserve"> </w:t>
      </w:r>
      <w:r w:rsidRPr="00A469EA">
        <w:rPr>
          <w:lang w:val="en-GB"/>
        </w:rPr>
        <w:t>cent of seats in the Senate</w:t>
      </w:r>
      <w:r w:rsidR="00A469EA">
        <w:rPr>
          <w:lang w:val="en-GB"/>
        </w:rPr>
        <w:t>,</w:t>
      </w:r>
      <w:r w:rsidRPr="00A469EA">
        <w:rPr>
          <w:lang w:val="en-GB"/>
        </w:rPr>
        <w:t xml:space="preserve"> demonstrating their increasing importance in decision</w:t>
      </w:r>
      <w:r w:rsidR="00A469EA">
        <w:rPr>
          <w:lang w:val="en-GB"/>
        </w:rPr>
        <w:t>-</w:t>
      </w:r>
      <w:r w:rsidRPr="00A469EA">
        <w:rPr>
          <w:lang w:val="en-GB"/>
        </w:rPr>
        <w:t>making and strategic roles</w:t>
      </w:r>
      <w:r w:rsidR="00066E27" w:rsidRPr="00A469EA">
        <w:rPr>
          <w:lang w:val="en-GB"/>
        </w:rPr>
        <w:t>.</w:t>
      </w:r>
      <w:r w:rsidRPr="00A469EA">
        <w:rPr>
          <w:rStyle w:val="FootnoteReference"/>
          <w:lang w:val="en-GB"/>
        </w:rPr>
        <w:footnoteReference w:id="12"/>
      </w:r>
      <w:r w:rsidRPr="00A469EA">
        <w:rPr>
          <w:lang w:val="en-GB"/>
        </w:rPr>
        <w:t xml:space="preserve"> </w:t>
      </w:r>
      <w:r w:rsidRPr="00A469EA">
        <w:rPr>
          <w:lang w:val="en-GB" w:eastAsia="en-GB"/>
        </w:rPr>
        <w:t xml:space="preserve">The Balochistan and </w:t>
      </w:r>
      <w:r w:rsidRPr="00A469EA">
        <w:rPr>
          <w:lang w:val="en-GB"/>
        </w:rPr>
        <w:t>Khyber</w:t>
      </w:r>
      <w:r w:rsidR="009F7E66" w:rsidRPr="00A469EA">
        <w:rPr>
          <w:lang w:val="en-GB"/>
        </w:rPr>
        <w:t xml:space="preserve"> </w:t>
      </w:r>
      <w:r w:rsidRPr="00A469EA">
        <w:rPr>
          <w:lang w:val="en-GB"/>
        </w:rPr>
        <w:t xml:space="preserve">Pakhtunkhwa </w:t>
      </w:r>
      <w:r w:rsidRPr="00A469EA">
        <w:rPr>
          <w:lang w:val="en-GB" w:eastAsia="en-GB"/>
        </w:rPr>
        <w:t xml:space="preserve">assemblies have elected women as their speakers </w:t>
      </w:r>
      <w:r w:rsidRPr="00A469EA">
        <w:rPr>
          <w:lang w:val="en-GB" w:eastAsia="en-GB"/>
        </w:rPr>
        <w:lastRenderedPageBreak/>
        <w:t>and have been proactive in enacting provincial legislation to address women empowerment issues.</w:t>
      </w:r>
      <w:r w:rsidRPr="00A469EA">
        <w:rPr>
          <w:lang w:val="en-GB"/>
        </w:rPr>
        <w:t xml:space="preserve"> However, gender gaps and inequality still remain a developmental challenge</w:t>
      </w:r>
      <w:r w:rsidR="00A469EA">
        <w:rPr>
          <w:lang w:val="en-GB"/>
        </w:rPr>
        <w:t>,</w:t>
      </w:r>
      <w:r w:rsidRPr="00A469EA">
        <w:rPr>
          <w:lang w:val="en-GB"/>
        </w:rPr>
        <w:t xml:space="preserve"> as evidenced in the gender development index</w:t>
      </w:r>
      <w:r w:rsidR="007B10BD" w:rsidRPr="00A469EA">
        <w:rPr>
          <w:lang w:val="en-GB"/>
        </w:rPr>
        <w:t>.</w:t>
      </w:r>
      <w:r w:rsidRPr="00A469EA">
        <w:rPr>
          <w:rStyle w:val="FootnoteReference"/>
          <w:lang w:val="en-GB"/>
        </w:rPr>
        <w:footnoteReference w:id="13"/>
      </w:r>
    </w:p>
    <w:p w14:paraId="0F674CAC" w14:textId="28E94EC8" w:rsidR="006F3CC2" w:rsidRPr="00A469EA" w:rsidRDefault="000F02E9" w:rsidP="0039439F">
      <w:pPr>
        <w:pStyle w:val="ListParagraph"/>
        <w:numPr>
          <w:ilvl w:val="0"/>
          <w:numId w:val="39"/>
        </w:numPr>
        <w:tabs>
          <w:tab w:val="left" w:pos="360"/>
        </w:tabs>
        <w:spacing w:after="120"/>
        <w:ind w:left="0" w:right="450" w:firstLine="0"/>
        <w:jc w:val="both"/>
        <w:rPr>
          <w:lang w:val="en-GB"/>
        </w:rPr>
      </w:pPr>
      <w:r w:rsidRPr="00A469EA">
        <w:rPr>
          <w:i/>
          <w:lang w:val="en-GB"/>
        </w:rPr>
        <w:t>Economic growth</w:t>
      </w:r>
      <w:r w:rsidRPr="00A469EA">
        <w:rPr>
          <w:lang w:val="en-GB"/>
        </w:rPr>
        <w:t xml:space="preserve"> peaked at </w:t>
      </w:r>
      <w:r w:rsidR="00262BBE" w:rsidRPr="00A469EA">
        <w:rPr>
          <w:lang w:val="en-GB"/>
        </w:rPr>
        <w:t xml:space="preserve">5.3 </w:t>
      </w:r>
      <w:r w:rsidRPr="00A469EA">
        <w:rPr>
          <w:lang w:val="en-GB"/>
        </w:rPr>
        <w:t>per</w:t>
      </w:r>
      <w:r w:rsidR="00981395" w:rsidRPr="00A469EA">
        <w:rPr>
          <w:lang w:val="en-GB"/>
        </w:rPr>
        <w:t xml:space="preserve"> </w:t>
      </w:r>
      <w:r w:rsidRPr="00A469EA">
        <w:rPr>
          <w:lang w:val="en-GB"/>
        </w:rPr>
        <w:t>cent</w:t>
      </w:r>
      <w:r w:rsidR="00262BBE" w:rsidRPr="00A469EA">
        <w:rPr>
          <w:rStyle w:val="FootnoteReference"/>
          <w:lang w:val="en-GB"/>
        </w:rPr>
        <w:footnoteReference w:id="14"/>
      </w:r>
      <w:r w:rsidRPr="00A469EA">
        <w:rPr>
          <w:lang w:val="en-GB"/>
        </w:rPr>
        <w:t xml:space="preserve"> in 20</w:t>
      </w:r>
      <w:r w:rsidR="00262BBE" w:rsidRPr="00A469EA">
        <w:rPr>
          <w:lang w:val="en-GB"/>
        </w:rPr>
        <w:t>16-</w:t>
      </w:r>
      <w:r w:rsidR="00A469EA">
        <w:rPr>
          <w:lang w:val="en-GB"/>
        </w:rPr>
        <w:t>20</w:t>
      </w:r>
      <w:r w:rsidR="00262BBE" w:rsidRPr="00A469EA">
        <w:rPr>
          <w:lang w:val="en-GB"/>
        </w:rPr>
        <w:t xml:space="preserve">17, the highest in a decade, as a result of improvements in the agriculture and services sectors. The overall macroeconomic stability, rise in foreign direct investment and domestic demand have contributed to rising economic growth. However, </w:t>
      </w:r>
      <w:r w:rsidR="00A469EA">
        <w:rPr>
          <w:lang w:val="en-GB"/>
        </w:rPr>
        <w:t xml:space="preserve">even </w:t>
      </w:r>
      <w:r w:rsidR="00262BBE" w:rsidRPr="00A469EA">
        <w:rPr>
          <w:lang w:val="en-GB"/>
        </w:rPr>
        <w:t>higher economic growth is required</w:t>
      </w:r>
      <w:r w:rsidR="00981395" w:rsidRPr="00A469EA">
        <w:rPr>
          <w:lang w:val="en-GB"/>
        </w:rPr>
        <w:t xml:space="preserve"> </w:t>
      </w:r>
      <w:r w:rsidRPr="00A469EA">
        <w:rPr>
          <w:lang w:val="en-GB"/>
        </w:rPr>
        <w:t xml:space="preserve">to </w:t>
      </w:r>
      <w:r w:rsidR="00262BBE" w:rsidRPr="00A469EA">
        <w:rPr>
          <w:lang w:val="en-GB"/>
        </w:rPr>
        <w:t>meet</w:t>
      </w:r>
      <w:r w:rsidRPr="00A469EA">
        <w:rPr>
          <w:lang w:val="en-GB"/>
        </w:rPr>
        <w:t xml:space="preserve"> </w:t>
      </w:r>
      <w:r w:rsidR="00A469EA">
        <w:rPr>
          <w:lang w:val="en-GB"/>
        </w:rPr>
        <w:t xml:space="preserve">the </w:t>
      </w:r>
      <w:r w:rsidRPr="00A469EA">
        <w:rPr>
          <w:lang w:val="en-GB"/>
        </w:rPr>
        <w:t xml:space="preserve">poverty reduction </w:t>
      </w:r>
      <w:r w:rsidR="00262BBE" w:rsidRPr="00A469EA">
        <w:rPr>
          <w:lang w:val="en-GB"/>
        </w:rPr>
        <w:t xml:space="preserve">objectives </w:t>
      </w:r>
      <w:r w:rsidR="00A469EA">
        <w:rPr>
          <w:lang w:val="en-GB"/>
        </w:rPr>
        <w:t xml:space="preserve">of </w:t>
      </w:r>
      <w:r w:rsidRPr="00A469EA">
        <w:rPr>
          <w:lang w:val="en-GB"/>
        </w:rPr>
        <w:t xml:space="preserve">the </w:t>
      </w:r>
      <w:r w:rsidR="00981395" w:rsidRPr="00A469EA">
        <w:rPr>
          <w:lang w:val="en-GB"/>
        </w:rPr>
        <w:t>2030 Agenda for S</w:t>
      </w:r>
      <w:r w:rsidRPr="00A469EA">
        <w:rPr>
          <w:lang w:val="en-GB"/>
        </w:rPr>
        <w:t xml:space="preserve">ustainable </w:t>
      </w:r>
      <w:r w:rsidR="00981395" w:rsidRPr="00A469EA">
        <w:rPr>
          <w:lang w:val="en-GB"/>
        </w:rPr>
        <w:t>D</w:t>
      </w:r>
      <w:r w:rsidRPr="00A469EA">
        <w:rPr>
          <w:lang w:val="en-GB"/>
        </w:rPr>
        <w:t>evelopment</w:t>
      </w:r>
      <w:r w:rsidR="00262BBE" w:rsidRPr="00A469EA">
        <w:rPr>
          <w:lang w:val="en-GB"/>
        </w:rPr>
        <w:t>.</w:t>
      </w:r>
      <w:r w:rsidRPr="00A469EA">
        <w:rPr>
          <w:lang w:val="en-GB"/>
        </w:rPr>
        <w:t xml:space="preserve"> </w:t>
      </w:r>
      <w:r w:rsidR="006F3CC2" w:rsidRPr="00A469EA">
        <w:rPr>
          <w:shd w:val="clear" w:color="auto" w:fill="FFFFFF"/>
          <w:lang w:val="en-GB" w:eastAsia="en-GB"/>
        </w:rPr>
        <w:t>Official unemployment</w:t>
      </w:r>
      <w:r w:rsidR="00201FE6" w:rsidRPr="00A469EA">
        <w:rPr>
          <w:shd w:val="clear" w:color="auto" w:fill="FFFFFF"/>
          <w:lang w:val="en-GB" w:eastAsia="en-GB"/>
        </w:rPr>
        <w:t xml:space="preserve"> stands at 5.</w:t>
      </w:r>
      <w:r w:rsidR="00262BBE" w:rsidRPr="00A469EA">
        <w:rPr>
          <w:shd w:val="clear" w:color="auto" w:fill="FFFFFF"/>
          <w:lang w:val="en-GB" w:eastAsia="en-GB"/>
        </w:rPr>
        <w:t>87</w:t>
      </w:r>
      <w:r w:rsidR="00201FE6" w:rsidRPr="00A469EA">
        <w:rPr>
          <w:shd w:val="clear" w:color="auto" w:fill="FFFFFF"/>
          <w:lang w:val="en-GB" w:eastAsia="en-GB"/>
        </w:rPr>
        <w:t xml:space="preserve"> per</w:t>
      </w:r>
      <w:r w:rsidR="00981395" w:rsidRPr="00A469EA">
        <w:rPr>
          <w:shd w:val="clear" w:color="auto" w:fill="FFFFFF"/>
          <w:lang w:val="en-GB" w:eastAsia="en-GB"/>
        </w:rPr>
        <w:t xml:space="preserve"> </w:t>
      </w:r>
      <w:r w:rsidR="00201FE6" w:rsidRPr="00A469EA">
        <w:rPr>
          <w:shd w:val="clear" w:color="auto" w:fill="FFFFFF"/>
          <w:lang w:val="en-GB" w:eastAsia="en-GB"/>
        </w:rPr>
        <w:t>cent</w:t>
      </w:r>
      <w:r w:rsidR="00A469EA">
        <w:rPr>
          <w:shd w:val="clear" w:color="auto" w:fill="FFFFFF"/>
          <w:lang w:val="en-GB" w:eastAsia="en-GB"/>
        </w:rPr>
        <w:t>,</w:t>
      </w:r>
      <w:r w:rsidR="00262BBE" w:rsidRPr="00A469EA">
        <w:rPr>
          <w:rStyle w:val="FootnoteReference"/>
          <w:shd w:val="clear" w:color="auto" w:fill="FFFFFF"/>
          <w:lang w:val="en-GB" w:eastAsia="en-GB"/>
        </w:rPr>
        <w:footnoteReference w:id="15"/>
      </w:r>
      <w:r w:rsidR="00201FE6" w:rsidRPr="00A469EA">
        <w:rPr>
          <w:shd w:val="clear" w:color="auto" w:fill="FFFFFF"/>
          <w:lang w:val="en-GB" w:eastAsia="en-GB"/>
        </w:rPr>
        <w:t xml:space="preserve"> </w:t>
      </w:r>
      <w:r w:rsidR="00201FE6" w:rsidRPr="00A469EA">
        <w:rPr>
          <w:lang w:val="en-GB"/>
        </w:rPr>
        <w:t xml:space="preserve">with youth unemployment </w:t>
      </w:r>
      <w:r w:rsidR="00E5794D" w:rsidRPr="00A469EA">
        <w:rPr>
          <w:lang w:val="en-GB"/>
        </w:rPr>
        <w:t xml:space="preserve">at </w:t>
      </w:r>
      <w:r w:rsidR="00B91103" w:rsidRPr="00A469EA">
        <w:rPr>
          <w:lang w:val="en-GB"/>
        </w:rPr>
        <w:t>10.75</w:t>
      </w:r>
      <w:r w:rsidR="00201FE6" w:rsidRPr="00A469EA">
        <w:rPr>
          <w:lang w:val="en-GB"/>
        </w:rPr>
        <w:t xml:space="preserve"> per</w:t>
      </w:r>
      <w:r w:rsidR="00981395" w:rsidRPr="00A469EA">
        <w:rPr>
          <w:lang w:val="en-GB"/>
        </w:rPr>
        <w:t xml:space="preserve"> </w:t>
      </w:r>
      <w:r w:rsidR="00201FE6" w:rsidRPr="00A469EA">
        <w:rPr>
          <w:lang w:val="en-GB"/>
        </w:rPr>
        <w:t>cent</w:t>
      </w:r>
      <w:r w:rsidR="00201FE6" w:rsidRPr="00A469EA">
        <w:rPr>
          <w:rStyle w:val="FootnoteReference"/>
          <w:rFonts w:asciiTheme="majorBidi" w:hAnsiTheme="majorBidi" w:cstheme="majorBidi"/>
          <w:lang w:val="en-GB"/>
        </w:rPr>
        <w:footnoteReference w:id="16"/>
      </w:r>
      <w:r w:rsidR="00201FE6" w:rsidRPr="00A469EA">
        <w:rPr>
          <w:lang w:val="en-GB"/>
        </w:rPr>
        <w:t xml:space="preserve"> </w:t>
      </w:r>
      <w:r w:rsidR="00B25489" w:rsidRPr="00A469EA">
        <w:rPr>
          <w:lang w:val="en-GB"/>
        </w:rPr>
        <w:t xml:space="preserve">out </w:t>
      </w:r>
      <w:r w:rsidR="00201FE6" w:rsidRPr="00A469EA">
        <w:rPr>
          <w:lang w:val="en-GB"/>
        </w:rPr>
        <w:t xml:space="preserve">of </w:t>
      </w:r>
      <w:r w:rsidR="00201FE6" w:rsidRPr="00A469EA">
        <w:rPr>
          <w:shd w:val="clear" w:color="auto" w:fill="FFFFFF"/>
          <w:lang w:val="en-GB" w:eastAsia="en-GB"/>
        </w:rPr>
        <w:t xml:space="preserve">a total </w:t>
      </w:r>
      <w:r w:rsidR="006F3CC2" w:rsidRPr="00A469EA">
        <w:rPr>
          <w:shd w:val="clear" w:color="auto" w:fill="FFFFFF"/>
          <w:lang w:val="en-GB" w:eastAsia="en-GB"/>
        </w:rPr>
        <w:t>labo</w:t>
      </w:r>
      <w:r w:rsidR="00981395" w:rsidRPr="00A469EA">
        <w:rPr>
          <w:shd w:val="clear" w:color="auto" w:fill="FFFFFF"/>
          <w:lang w:val="en-GB" w:eastAsia="en-GB"/>
        </w:rPr>
        <w:t>u</w:t>
      </w:r>
      <w:r w:rsidR="006F3CC2" w:rsidRPr="00A469EA">
        <w:rPr>
          <w:shd w:val="clear" w:color="auto" w:fill="FFFFFF"/>
          <w:lang w:val="en-GB" w:eastAsia="en-GB"/>
        </w:rPr>
        <w:t>r force of 61.04 million</w:t>
      </w:r>
      <w:r w:rsidR="00981395" w:rsidRPr="00A469EA">
        <w:rPr>
          <w:shd w:val="clear" w:color="auto" w:fill="FFFFFF"/>
          <w:lang w:val="en-GB" w:eastAsia="en-GB"/>
        </w:rPr>
        <w:t>.</w:t>
      </w:r>
      <w:r w:rsidR="006F3CC2" w:rsidRPr="00A469EA">
        <w:rPr>
          <w:rStyle w:val="FootnoteReference"/>
          <w:rFonts w:asciiTheme="majorBidi" w:hAnsiTheme="majorBidi" w:cstheme="majorBidi"/>
          <w:color w:val="000000"/>
          <w:shd w:val="clear" w:color="auto" w:fill="FFFFFF"/>
          <w:lang w:val="en-GB" w:eastAsia="en-GB"/>
        </w:rPr>
        <w:footnoteReference w:id="17"/>
      </w:r>
      <w:r w:rsidR="006F3CC2" w:rsidRPr="00A469EA">
        <w:rPr>
          <w:lang w:val="en-GB"/>
        </w:rPr>
        <w:t xml:space="preserve"> Pakistan needs to create 1.5 to 2.5 million jobs per year to </w:t>
      </w:r>
      <w:r w:rsidR="00740841" w:rsidRPr="00A469EA">
        <w:rPr>
          <w:lang w:val="en-GB"/>
        </w:rPr>
        <w:t xml:space="preserve">accommodate </w:t>
      </w:r>
      <w:r w:rsidR="006F3CC2" w:rsidRPr="00A469EA">
        <w:rPr>
          <w:lang w:val="en-GB"/>
        </w:rPr>
        <w:t xml:space="preserve">the annual </w:t>
      </w:r>
      <w:r w:rsidR="00740841" w:rsidRPr="00A469EA">
        <w:rPr>
          <w:lang w:val="en-GB"/>
        </w:rPr>
        <w:t xml:space="preserve">entry </w:t>
      </w:r>
      <w:r w:rsidR="006F3CC2" w:rsidRPr="00A469EA">
        <w:rPr>
          <w:lang w:val="en-GB"/>
        </w:rPr>
        <w:t xml:space="preserve">of over </w:t>
      </w:r>
      <w:r w:rsidR="00981395" w:rsidRPr="00A469EA">
        <w:rPr>
          <w:lang w:val="en-GB"/>
        </w:rPr>
        <w:t xml:space="preserve">four </w:t>
      </w:r>
      <w:r w:rsidR="006F3CC2" w:rsidRPr="00A469EA">
        <w:rPr>
          <w:lang w:val="en-GB"/>
        </w:rPr>
        <w:t xml:space="preserve">million youth </w:t>
      </w:r>
      <w:r w:rsidR="00740841" w:rsidRPr="00A469EA">
        <w:rPr>
          <w:lang w:val="en-GB"/>
        </w:rPr>
        <w:t xml:space="preserve">to </w:t>
      </w:r>
      <w:r w:rsidR="006F3CC2" w:rsidRPr="00A469EA">
        <w:rPr>
          <w:shd w:val="clear" w:color="auto" w:fill="FFFFFF"/>
          <w:lang w:val="en-GB" w:eastAsia="en-GB"/>
        </w:rPr>
        <w:t>the job market</w:t>
      </w:r>
      <w:r w:rsidR="00981395" w:rsidRPr="00A469EA">
        <w:rPr>
          <w:shd w:val="clear" w:color="auto" w:fill="FFFFFF"/>
          <w:lang w:val="en-GB" w:eastAsia="en-GB"/>
        </w:rPr>
        <w:t>.</w:t>
      </w:r>
      <w:r w:rsidR="006F3CC2" w:rsidRPr="00A469EA">
        <w:rPr>
          <w:rStyle w:val="FootnoteReference"/>
          <w:rFonts w:asciiTheme="majorBidi" w:hAnsiTheme="majorBidi" w:cstheme="majorBidi"/>
          <w:shd w:val="clear" w:color="auto" w:fill="FFFFFF"/>
          <w:lang w:val="en-GB" w:eastAsia="en-GB"/>
        </w:rPr>
        <w:footnoteReference w:id="18"/>
      </w:r>
      <w:r w:rsidR="006F3CC2" w:rsidRPr="00A469EA">
        <w:rPr>
          <w:lang w:val="en-GB"/>
        </w:rPr>
        <w:t xml:space="preserve"> </w:t>
      </w:r>
    </w:p>
    <w:p w14:paraId="413BAE6C" w14:textId="639E8D51" w:rsidR="007601D0" w:rsidRPr="00A469EA" w:rsidRDefault="00E5794D" w:rsidP="0039439F">
      <w:pPr>
        <w:pStyle w:val="ListParagraph"/>
        <w:numPr>
          <w:ilvl w:val="0"/>
          <w:numId w:val="39"/>
        </w:numPr>
        <w:tabs>
          <w:tab w:val="left" w:pos="360"/>
        </w:tabs>
        <w:spacing w:after="120"/>
        <w:ind w:left="0" w:right="450" w:firstLine="0"/>
        <w:jc w:val="both"/>
        <w:rPr>
          <w:lang w:val="en-GB"/>
        </w:rPr>
      </w:pPr>
      <w:r w:rsidRPr="00A469EA">
        <w:rPr>
          <w:lang w:val="en-GB"/>
        </w:rPr>
        <w:t>Consumption-based poverty fell from 57.9 per</w:t>
      </w:r>
      <w:r w:rsidR="00740841" w:rsidRPr="00A469EA">
        <w:rPr>
          <w:lang w:val="en-GB"/>
        </w:rPr>
        <w:t xml:space="preserve"> </w:t>
      </w:r>
      <w:r w:rsidRPr="00A469EA">
        <w:rPr>
          <w:lang w:val="en-GB"/>
        </w:rPr>
        <w:t>cent in 1998-</w:t>
      </w:r>
      <w:r w:rsidR="00740841" w:rsidRPr="00A469EA">
        <w:rPr>
          <w:lang w:val="en-GB"/>
        </w:rPr>
        <w:t>19</w:t>
      </w:r>
      <w:r w:rsidRPr="00A469EA">
        <w:rPr>
          <w:lang w:val="en-GB"/>
        </w:rPr>
        <w:t>99 to 29.5 per</w:t>
      </w:r>
      <w:r w:rsidR="00740841" w:rsidRPr="00A469EA">
        <w:rPr>
          <w:lang w:val="en-GB"/>
        </w:rPr>
        <w:t xml:space="preserve"> </w:t>
      </w:r>
      <w:r w:rsidRPr="00A469EA">
        <w:rPr>
          <w:lang w:val="en-GB"/>
        </w:rPr>
        <w:t>cent in 2015-2016</w:t>
      </w:r>
      <w:r w:rsidR="00740841" w:rsidRPr="00A469EA">
        <w:rPr>
          <w:lang w:val="en-GB"/>
        </w:rPr>
        <w:t>,</w:t>
      </w:r>
      <w:r w:rsidRPr="00A469EA">
        <w:rPr>
          <w:rStyle w:val="FootnoteReference"/>
          <w:rFonts w:asciiTheme="majorBidi" w:hAnsiTheme="majorBidi" w:cstheme="majorBidi"/>
          <w:lang w:val="en-GB"/>
        </w:rPr>
        <w:footnoteReference w:id="19"/>
      </w:r>
      <w:r w:rsidRPr="00A469EA">
        <w:rPr>
          <w:lang w:val="en-GB"/>
        </w:rPr>
        <w:t xml:space="preserve"> </w:t>
      </w:r>
      <w:r w:rsidR="00740841" w:rsidRPr="00A469EA">
        <w:rPr>
          <w:lang w:val="en-GB"/>
        </w:rPr>
        <w:t xml:space="preserve">while </w:t>
      </w:r>
      <w:r w:rsidRPr="00A469EA">
        <w:rPr>
          <w:lang w:val="en-GB"/>
        </w:rPr>
        <w:t>multi-dimensional poverty fell from 55.2 per</w:t>
      </w:r>
      <w:r w:rsidR="00740841" w:rsidRPr="00A469EA">
        <w:rPr>
          <w:lang w:val="en-GB"/>
        </w:rPr>
        <w:t xml:space="preserve"> </w:t>
      </w:r>
      <w:r w:rsidRPr="00A469EA">
        <w:rPr>
          <w:lang w:val="en-GB"/>
        </w:rPr>
        <w:t>cent in 2004-</w:t>
      </w:r>
      <w:r w:rsidR="00740841" w:rsidRPr="00A469EA">
        <w:rPr>
          <w:lang w:val="en-GB"/>
        </w:rPr>
        <w:t>20</w:t>
      </w:r>
      <w:r w:rsidRPr="00A469EA">
        <w:rPr>
          <w:lang w:val="en-GB"/>
        </w:rPr>
        <w:t>05 to 38.8 per</w:t>
      </w:r>
      <w:r w:rsidR="00740841" w:rsidRPr="00A469EA">
        <w:rPr>
          <w:lang w:val="en-GB"/>
        </w:rPr>
        <w:t xml:space="preserve"> </w:t>
      </w:r>
      <w:r w:rsidRPr="00A469EA">
        <w:rPr>
          <w:lang w:val="en-GB"/>
        </w:rPr>
        <w:t>cent in 2015-16</w:t>
      </w:r>
      <w:r w:rsidR="00740841" w:rsidRPr="00A469EA">
        <w:rPr>
          <w:lang w:val="en-GB"/>
        </w:rPr>
        <w:t>.</w:t>
      </w:r>
      <w:r w:rsidRPr="00A469EA">
        <w:rPr>
          <w:rStyle w:val="FootnoteReference"/>
          <w:rFonts w:asciiTheme="majorBidi" w:hAnsiTheme="majorBidi" w:cstheme="majorBidi"/>
          <w:lang w:val="en-GB"/>
        </w:rPr>
        <w:footnoteReference w:id="20"/>
      </w:r>
      <w:r w:rsidRPr="00A469EA">
        <w:rPr>
          <w:lang w:val="en-GB"/>
        </w:rPr>
        <w:t xml:space="preserve"> Yet d</w:t>
      </w:r>
      <w:r w:rsidR="0005573A" w:rsidRPr="00A469EA">
        <w:rPr>
          <w:lang w:val="en-GB"/>
        </w:rPr>
        <w:t xml:space="preserve">espite </w:t>
      </w:r>
      <w:r w:rsidR="00AA6D73" w:rsidRPr="00A469EA">
        <w:rPr>
          <w:lang w:val="en-GB"/>
        </w:rPr>
        <w:t>progress in reducing absolute poverty</w:t>
      </w:r>
      <w:r w:rsidR="00CE444B" w:rsidRPr="00A469EA">
        <w:rPr>
          <w:lang w:val="en-GB"/>
        </w:rPr>
        <w:t>,</w:t>
      </w:r>
      <w:r w:rsidR="00AA6D73" w:rsidRPr="00A469EA">
        <w:rPr>
          <w:lang w:val="en-GB"/>
        </w:rPr>
        <w:t xml:space="preserve"> </w:t>
      </w:r>
      <w:r w:rsidR="00C36D65" w:rsidRPr="00A469EA">
        <w:rPr>
          <w:lang w:val="en-GB"/>
        </w:rPr>
        <w:t>achieving sustainable human development for all Pakistanis remains an objective</w:t>
      </w:r>
      <w:r w:rsidR="00AA6D73" w:rsidRPr="00A469EA">
        <w:rPr>
          <w:lang w:val="en-GB"/>
        </w:rPr>
        <w:t xml:space="preserve">. </w:t>
      </w:r>
      <w:r w:rsidR="00C36D65" w:rsidRPr="00A469EA">
        <w:rPr>
          <w:lang w:val="en-GB"/>
        </w:rPr>
        <w:t xml:space="preserve">Pakistan ranks 147 </w:t>
      </w:r>
      <w:r w:rsidR="00A469EA">
        <w:rPr>
          <w:lang w:val="en-GB"/>
        </w:rPr>
        <w:t>o</w:t>
      </w:r>
      <w:r w:rsidR="00C36D65" w:rsidRPr="00A469EA">
        <w:rPr>
          <w:lang w:val="en-GB"/>
        </w:rPr>
        <w:t xml:space="preserve">n </w:t>
      </w:r>
      <w:r w:rsidR="00A469EA">
        <w:rPr>
          <w:lang w:val="en-GB"/>
        </w:rPr>
        <w:t xml:space="preserve">the </w:t>
      </w:r>
      <w:r w:rsidR="00C36D65" w:rsidRPr="00A469EA">
        <w:rPr>
          <w:lang w:val="en-GB"/>
        </w:rPr>
        <w:t>human development index</w:t>
      </w:r>
      <w:r w:rsidR="00A469EA">
        <w:rPr>
          <w:lang w:val="en-GB"/>
        </w:rPr>
        <w:t>,</w:t>
      </w:r>
      <w:r w:rsidR="00C36D65" w:rsidRPr="00A469EA">
        <w:rPr>
          <w:rStyle w:val="FootnoteReference"/>
          <w:lang w:val="en-GB"/>
        </w:rPr>
        <w:footnoteReference w:id="21"/>
      </w:r>
      <w:r w:rsidR="00C36D65" w:rsidRPr="00A469EA">
        <w:rPr>
          <w:lang w:val="en-GB"/>
        </w:rPr>
        <w:t xml:space="preserve"> which can be further improved by reducing inequalities and uneven development</w:t>
      </w:r>
      <w:r w:rsidR="00A469EA">
        <w:rPr>
          <w:lang w:val="en-GB"/>
        </w:rPr>
        <w:t>,</w:t>
      </w:r>
      <w:r w:rsidR="00C36D65" w:rsidRPr="00A469EA">
        <w:rPr>
          <w:lang w:val="en-GB"/>
        </w:rPr>
        <w:t xml:space="preserve"> particularly in rural areas</w:t>
      </w:r>
      <w:r w:rsidR="008943AD" w:rsidRPr="00A469EA">
        <w:rPr>
          <w:lang w:val="en-GB"/>
        </w:rPr>
        <w:t>.</w:t>
      </w:r>
    </w:p>
    <w:p w14:paraId="059DB7D1" w14:textId="1E338162" w:rsidR="00C36614" w:rsidRPr="00A469EA" w:rsidRDefault="000668BE" w:rsidP="0039439F">
      <w:pPr>
        <w:pStyle w:val="ListParagraph"/>
        <w:numPr>
          <w:ilvl w:val="0"/>
          <w:numId w:val="39"/>
        </w:numPr>
        <w:tabs>
          <w:tab w:val="left" w:pos="360"/>
        </w:tabs>
        <w:spacing w:after="120"/>
        <w:ind w:left="0" w:right="450" w:firstLine="0"/>
        <w:jc w:val="both"/>
        <w:rPr>
          <w:lang w:val="en-GB"/>
        </w:rPr>
      </w:pPr>
      <w:r w:rsidRPr="00A469EA">
        <w:rPr>
          <w:lang w:val="en-GB"/>
        </w:rPr>
        <w:t>Despite a volatile regional situation, Pakistan has been able to reduce the number of terrorist attacks and casualties over the past few years</w:t>
      </w:r>
      <w:r w:rsidR="00066E27" w:rsidRPr="00A469EA">
        <w:rPr>
          <w:lang w:val="en-GB"/>
        </w:rPr>
        <w:t>.</w:t>
      </w:r>
      <w:r w:rsidRPr="00A469EA">
        <w:rPr>
          <w:rStyle w:val="FootnoteReference"/>
          <w:lang w:val="en-GB"/>
        </w:rPr>
        <w:footnoteReference w:id="22"/>
      </w:r>
      <w:r w:rsidRPr="00A469EA">
        <w:rPr>
          <w:lang w:val="en-GB"/>
        </w:rPr>
        <w:t xml:space="preserve"> However, since terrorism has become a global threat, like many other countries in the region, Pakistan remains vulnerable</w:t>
      </w:r>
      <w:r w:rsidR="00A469EA">
        <w:rPr>
          <w:lang w:val="en-GB"/>
        </w:rPr>
        <w:t>,</w:t>
      </w:r>
      <w:r w:rsidRPr="00A469EA">
        <w:rPr>
          <w:lang w:val="en-GB"/>
        </w:rPr>
        <w:t xml:space="preserve"> costing the country over $118.32 billion in the past 15 years.</w:t>
      </w:r>
      <w:r w:rsidRPr="00A469EA">
        <w:rPr>
          <w:rStyle w:val="FootnoteReference"/>
          <w:lang w:val="en-GB"/>
        </w:rPr>
        <w:footnoteReference w:id="23"/>
      </w:r>
      <w:r w:rsidRPr="00A469EA">
        <w:rPr>
          <w:lang w:val="en-GB"/>
        </w:rPr>
        <w:t xml:space="preserve"> This </w:t>
      </w:r>
      <w:r w:rsidR="00B6473C">
        <w:rPr>
          <w:lang w:val="en-GB"/>
        </w:rPr>
        <w:t xml:space="preserve">has </w:t>
      </w:r>
      <w:r w:rsidRPr="00A469EA">
        <w:rPr>
          <w:lang w:val="en-GB"/>
        </w:rPr>
        <w:t>also resulted in hampering the Government’s efforts to focus on the development goals it sets for itself.</w:t>
      </w:r>
      <w:r w:rsidR="00FD7AD8" w:rsidRPr="00A469EA">
        <w:rPr>
          <w:lang w:val="en-GB"/>
        </w:rPr>
        <w:t xml:space="preserve"> </w:t>
      </w:r>
    </w:p>
    <w:p w14:paraId="2666085C" w14:textId="54A04B52" w:rsidR="005618F3" w:rsidRPr="00A469EA" w:rsidRDefault="00DB4BE3" w:rsidP="0039439F">
      <w:pPr>
        <w:pStyle w:val="ListParagraph"/>
        <w:numPr>
          <w:ilvl w:val="0"/>
          <w:numId w:val="39"/>
        </w:numPr>
        <w:tabs>
          <w:tab w:val="left" w:pos="360"/>
        </w:tabs>
        <w:ind w:left="0" w:right="450" w:firstLine="0"/>
        <w:jc w:val="both"/>
        <w:rPr>
          <w:lang w:val="en-GB"/>
        </w:rPr>
      </w:pPr>
      <w:r w:rsidRPr="00A469EA">
        <w:rPr>
          <w:lang w:val="en-GB"/>
        </w:rPr>
        <w:t xml:space="preserve">Pakistan is </w:t>
      </w:r>
      <w:r w:rsidR="009A70CA" w:rsidRPr="00A469EA">
        <w:rPr>
          <w:lang w:val="en-GB"/>
        </w:rPr>
        <w:t xml:space="preserve">also </w:t>
      </w:r>
      <w:r w:rsidRPr="00A469EA">
        <w:rPr>
          <w:lang w:val="en-GB"/>
        </w:rPr>
        <w:t xml:space="preserve">highly vulnerable to </w:t>
      </w:r>
      <w:r w:rsidR="008943AD" w:rsidRPr="00A469EA">
        <w:rPr>
          <w:bCs/>
          <w:lang w:val="en-GB"/>
        </w:rPr>
        <w:t xml:space="preserve">environmental </w:t>
      </w:r>
      <w:r w:rsidR="009A70CA" w:rsidRPr="00A469EA">
        <w:rPr>
          <w:bCs/>
          <w:lang w:val="en-GB"/>
        </w:rPr>
        <w:t>risks</w:t>
      </w:r>
      <w:r w:rsidR="00B6473C">
        <w:rPr>
          <w:bCs/>
          <w:lang w:val="en-GB"/>
        </w:rPr>
        <w:t>,</w:t>
      </w:r>
      <w:r w:rsidR="009A70CA" w:rsidRPr="00A469EA">
        <w:rPr>
          <w:bCs/>
          <w:lang w:val="en-GB"/>
        </w:rPr>
        <w:t xml:space="preserve"> </w:t>
      </w:r>
      <w:r w:rsidRPr="00A469EA">
        <w:rPr>
          <w:bCs/>
          <w:lang w:val="en-GB"/>
        </w:rPr>
        <w:t>rank</w:t>
      </w:r>
      <w:r w:rsidR="0036316B" w:rsidRPr="00A469EA">
        <w:rPr>
          <w:bCs/>
          <w:lang w:val="en-GB"/>
        </w:rPr>
        <w:t>ing</w:t>
      </w:r>
      <w:r w:rsidRPr="00A469EA">
        <w:rPr>
          <w:bCs/>
          <w:lang w:val="en-GB"/>
        </w:rPr>
        <w:t xml:space="preserve"> </w:t>
      </w:r>
      <w:r w:rsidR="0036316B" w:rsidRPr="00A469EA">
        <w:rPr>
          <w:lang w:val="en-GB"/>
        </w:rPr>
        <w:t xml:space="preserve">seventh </w:t>
      </w:r>
      <w:r w:rsidRPr="00A469EA">
        <w:rPr>
          <w:lang w:val="en-GB"/>
        </w:rPr>
        <w:t xml:space="preserve">on the </w:t>
      </w:r>
      <w:r w:rsidR="00451FD9" w:rsidRPr="00A469EA">
        <w:rPr>
          <w:lang w:val="en-GB"/>
        </w:rPr>
        <w:t>g</w:t>
      </w:r>
      <w:r w:rsidRPr="00A469EA">
        <w:rPr>
          <w:lang w:val="en-GB"/>
        </w:rPr>
        <w:t xml:space="preserve">lobal </w:t>
      </w:r>
      <w:r w:rsidR="00451FD9" w:rsidRPr="00A469EA">
        <w:rPr>
          <w:lang w:val="en-GB"/>
        </w:rPr>
        <w:t>c</w:t>
      </w:r>
      <w:r w:rsidRPr="00A469EA">
        <w:rPr>
          <w:lang w:val="en-GB"/>
        </w:rPr>
        <w:t xml:space="preserve">limate </w:t>
      </w:r>
      <w:r w:rsidR="00451FD9" w:rsidRPr="00A469EA">
        <w:rPr>
          <w:lang w:val="en-GB"/>
        </w:rPr>
        <w:t>r</w:t>
      </w:r>
      <w:r w:rsidRPr="00A469EA">
        <w:rPr>
          <w:lang w:val="en-GB"/>
        </w:rPr>
        <w:t xml:space="preserve">isk </w:t>
      </w:r>
      <w:r w:rsidR="00451FD9" w:rsidRPr="00A469EA">
        <w:rPr>
          <w:lang w:val="en-GB"/>
        </w:rPr>
        <w:t>i</w:t>
      </w:r>
      <w:r w:rsidRPr="00A469EA">
        <w:rPr>
          <w:lang w:val="en-GB"/>
        </w:rPr>
        <w:t>ndex 201</w:t>
      </w:r>
      <w:r w:rsidR="009F7E66" w:rsidRPr="00A469EA">
        <w:rPr>
          <w:lang w:val="en-GB"/>
        </w:rPr>
        <w:t>7</w:t>
      </w:r>
      <w:r w:rsidR="0036316B" w:rsidRPr="00A469EA">
        <w:rPr>
          <w:lang w:val="en-GB"/>
        </w:rPr>
        <w:t>.</w:t>
      </w:r>
      <w:r w:rsidRPr="00A469EA">
        <w:rPr>
          <w:rStyle w:val="FootnoteReference"/>
          <w:rFonts w:asciiTheme="majorBidi" w:hAnsiTheme="majorBidi" w:cstheme="majorBidi"/>
          <w:lang w:val="en-GB"/>
        </w:rPr>
        <w:footnoteReference w:id="24"/>
      </w:r>
      <w:r w:rsidR="00FA0622" w:rsidRPr="00A469EA">
        <w:rPr>
          <w:lang w:val="en-GB"/>
        </w:rPr>
        <w:t xml:space="preserve"> </w:t>
      </w:r>
      <w:r w:rsidR="0089286B" w:rsidRPr="00A469EA">
        <w:rPr>
          <w:color w:val="212121"/>
          <w:lang w:val="en-GB" w:eastAsia="en-GB"/>
        </w:rPr>
        <w:t xml:space="preserve">These </w:t>
      </w:r>
      <w:r w:rsidR="0036316B" w:rsidRPr="00A469EA">
        <w:rPr>
          <w:color w:val="212121"/>
          <w:lang w:val="en-GB" w:eastAsia="en-GB"/>
        </w:rPr>
        <w:t xml:space="preserve">risks </w:t>
      </w:r>
      <w:r w:rsidR="0089286B" w:rsidRPr="00A469EA">
        <w:rPr>
          <w:color w:val="212121"/>
          <w:lang w:val="en-GB" w:eastAsia="en-GB"/>
        </w:rPr>
        <w:t xml:space="preserve">include </w:t>
      </w:r>
      <w:r w:rsidR="009A70CA" w:rsidRPr="00A469EA">
        <w:rPr>
          <w:color w:val="212121"/>
          <w:lang w:val="en-GB" w:eastAsia="en-GB"/>
        </w:rPr>
        <w:t>droughts, glacial lake outburst</w:t>
      </w:r>
      <w:r w:rsidR="0005573A" w:rsidRPr="00A469EA">
        <w:rPr>
          <w:color w:val="212121"/>
          <w:lang w:val="en-GB" w:eastAsia="en-GB"/>
        </w:rPr>
        <w:t>s, floods</w:t>
      </w:r>
      <w:r w:rsidR="00F70578" w:rsidRPr="00A469EA">
        <w:rPr>
          <w:color w:val="212121"/>
          <w:lang w:val="en-GB" w:eastAsia="en-GB"/>
        </w:rPr>
        <w:t xml:space="preserve"> </w:t>
      </w:r>
      <w:r w:rsidR="00B6473C">
        <w:rPr>
          <w:color w:val="212121"/>
          <w:lang w:val="en-GB" w:eastAsia="en-GB"/>
        </w:rPr>
        <w:t xml:space="preserve">and </w:t>
      </w:r>
      <w:r w:rsidR="0089286B" w:rsidRPr="00A469EA">
        <w:rPr>
          <w:color w:val="212121"/>
          <w:lang w:val="en-GB" w:eastAsia="en-GB"/>
        </w:rPr>
        <w:t>earthquakes</w:t>
      </w:r>
      <w:r w:rsidR="0036316B" w:rsidRPr="00A469EA">
        <w:rPr>
          <w:color w:val="212121"/>
          <w:lang w:val="en-GB" w:eastAsia="en-GB"/>
        </w:rPr>
        <w:t xml:space="preserve"> (</w:t>
      </w:r>
      <w:r w:rsidR="0089286B" w:rsidRPr="00A469EA">
        <w:rPr>
          <w:color w:val="212121"/>
          <w:lang w:val="en-GB" w:eastAsia="en-GB"/>
        </w:rPr>
        <w:t xml:space="preserve">Pakistan </w:t>
      </w:r>
      <w:r w:rsidR="0036316B" w:rsidRPr="00A469EA">
        <w:rPr>
          <w:color w:val="212121"/>
          <w:lang w:val="en-GB" w:eastAsia="en-GB"/>
        </w:rPr>
        <w:t>lies</w:t>
      </w:r>
      <w:r w:rsidR="00F70578" w:rsidRPr="00A469EA">
        <w:rPr>
          <w:color w:val="212121"/>
          <w:lang w:val="en-GB" w:eastAsia="en-GB"/>
        </w:rPr>
        <w:t xml:space="preserve"> </w:t>
      </w:r>
      <w:r w:rsidR="0036316B" w:rsidRPr="00A469EA">
        <w:rPr>
          <w:color w:val="212121"/>
          <w:lang w:val="en-GB" w:eastAsia="en-GB"/>
        </w:rPr>
        <w:t>o</w:t>
      </w:r>
      <w:r w:rsidR="00F70578" w:rsidRPr="00A469EA">
        <w:rPr>
          <w:color w:val="212121"/>
          <w:lang w:val="en-GB" w:eastAsia="en-GB"/>
        </w:rPr>
        <w:t>n one of the most active seismic zones in the world</w:t>
      </w:r>
      <w:r w:rsidR="0036316B" w:rsidRPr="00A469EA">
        <w:rPr>
          <w:color w:val="212121"/>
          <w:lang w:val="en-GB" w:eastAsia="en-GB"/>
        </w:rPr>
        <w:t>)</w:t>
      </w:r>
      <w:r w:rsidR="00F70578" w:rsidRPr="00A469EA">
        <w:rPr>
          <w:color w:val="212121"/>
          <w:lang w:val="en-GB" w:eastAsia="en-GB"/>
        </w:rPr>
        <w:t xml:space="preserve">. </w:t>
      </w:r>
      <w:r w:rsidR="000E1F92" w:rsidRPr="00A469EA">
        <w:rPr>
          <w:lang w:val="en-GB"/>
        </w:rPr>
        <w:t>Deforestation impact</w:t>
      </w:r>
      <w:r w:rsidR="00DF0C87" w:rsidRPr="00A469EA">
        <w:rPr>
          <w:lang w:val="en-GB"/>
        </w:rPr>
        <w:t>s</w:t>
      </w:r>
      <w:r w:rsidR="000E1F92" w:rsidRPr="00A469EA">
        <w:rPr>
          <w:lang w:val="en-GB"/>
        </w:rPr>
        <w:t xml:space="preserve"> biodiversity, ecosystems and community livelihoods, especially for women in rural and tribal areas, and </w:t>
      </w:r>
      <w:r w:rsidR="000E1F92" w:rsidRPr="00A469EA">
        <w:rPr>
          <w:color w:val="212121"/>
          <w:lang w:val="en-GB" w:eastAsia="en-GB"/>
        </w:rPr>
        <w:t>c</w:t>
      </w:r>
      <w:r w:rsidR="00F70578" w:rsidRPr="00A469EA">
        <w:rPr>
          <w:color w:val="212121"/>
          <w:lang w:val="en-GB" w:eastAsia="en-GB"/>
        </w:rPr>
        <w:t>limate change o</w:t>
      </w:r>
      <w:r w:rsidR="00B215EE" w:rsidRPr="00A469EA">
        <w:rPr>
          <w:color w:val="212121"/>
          <w:lang w:val="en-GB" w:eastAsia="en-GB"/>
        </w:rPr>
        <w:t>nly exacerbate</w:t>
      </w:r>
      <w:r w:rsidR="00DF0C87" w:rsidRPr="00A469EA">
        <w:rPr>
          <w:color w:val="212121"/>
          <w:lang w:val="en-GB" w:eastAsia="en-GB"/>
        </w:rPr>
        <w:t>s</w:t>
      </w:r>
      <w:r w:rsidR="00B215EE" w:rsidRPr="00A469EA">
        <w:rPr>
          <w:color w:val="212121"/>
          <w:lang w:val="en-GB" w:eastAsia="en-GB"/>
        </w:rPr>
        <w:t xml:space="preserve"> </w:t>
      </w:r>
      <w:r w:rsidR="00CE444B" w:rsidRPr="00A469EA">
        <w:rPr>
          <w:color w:val="212121"/>
          <w:lang w:val="en-GB" w:eastAsia="en-GB"/>
        </w:rPr>
        <w:t xml:space="preserve">the country’s </w:t>
      </w:r>
      <w:r w:rsidR="000E1F92" w:rsidRPr="00A469EA">
        <w:rPr>
          <w:color w:val="212121"/>
          <w:lang w:val="en-GB" w:eastAsia="en-GB"/>
        </w:rPr>
        <w:t xml:space="preserve">significant </w:t>
      </w:r>
      <w:r w:rsidR="00E71C9D" w:rsidRPr="00A469EA">
        <w:rPr>
          <w:color w:val="212121"/>
          <w:lang w:val="en-GB" w:eastAsia="en-GB"/>
        </w:rPr>
        <w:t>challenge</w:t>
      </w:r>
      <w:r w:rsidR="00B215EE" w:rsidRPr="00A469EA">
        <w:rPr>
          <w:color w:val="212121"/>
          <w:lang w:val="en-GB" w:eastAsia="en-GB"/>
        </w:rPr>
        <w:t>s</w:t>
      </w:r>
      <w:r w:rsidR="0005573A" w:rsidRPr="00A469EA">
        <w:rPr>
          <w:color w:val="212121"/>
          <w:lang w:val="en-GB" w:eastAsia="en-GB"/>
        </w:rPr>
        <w:t xml:space="preserve">. </w:t>
      </w:r>
    </w:p>
    <w:p w14:paraId="58FD6DB9" w14:textId="77777777" w:rsidR="008943AD" w:rsidRPr="00A469EA" w:rsidRDefault="008943AD" w:rsidP="002C54A1">
      <w:pPr>
        <w:autoSpaceDE w:val="0"/>
        <w:autoSpaceDN w:val="0"/>
        <w:adjustRightInd w:val="0"/>
        <w:ind w:right="450"/>
        <w:jc w:val="both"/>
        <w:rPr>
          <w:rFonts w:asciiTheme="majorBidi" w:hAnsiTheme="majorBidi" w:cstheme="majorBidi"/>
          <w:lang w:val="en-GB"/>
        </w:rPr>
      </w:pPr>
    </w:p>
    <w:p w14:paraId="0D673E42" w14:textId="5E2C97FA" w:rsidR="008943AD" w:rsidRPr="00A469EA" w:rsidRDefault="008943AD" w:rsidP="0039439F">
      <w:pPr>
        <w:pStyle w:val="Heading2"/>
        <w:numPr>
          <w:ilvl w:val="0"/>
          <w:numId w:val="57"/>
        </w:numPr>
        <w:ind w:left="0" w:right="450" w:hanging="540"/>
        <w:jc w:val="both"/>
        <w:rPr>
          <w:rFonts w:ascii="Times New Roman" w:hAnsi="Times New Roman"/>
          <w:bCs/>
          <w:color w:val="000000"/>
          <w:sz w:val="24"/>
          <w:szCs w:val="24"/>
          <w:lang w:val="en-GB"/>
        </w:rPr>
      </w:pPr>
      <w:r w:rsidRPr="00A469EA">
        <w:rPr>
          <w:rFonts w:ascii="Times New Roman" w:hAnsi="Times New Roman"/>
          <w:bCs/>
          <w:color w:val="000000"/>
          <w:sz w:val="24"/>
          <w:szCs w:val="24"/>
          <w:lang w:val="en-GB"/>
        </w:rPr>
        <w:t xml:space="preserve">Programme </w:t>
      </w:r>
      <w:r w:rsidR="0039439F" w:rsidRPr="00A469EA">
        <w:rPr>
          <w:rFonts w:ascii="Times New Roman" w:hAnsi="Times New Roman"/>
          <w:bCs/>
          <w:color w:val="000000"/>
          <w:sz w:val="24"/>
          <w:szCs w:val="24"/>
          <w:lang w:val="en-GB"/>
        </w:rPr>
        <w:t>priorities and p</w:t>
      </w:r>
      <w:r w:rsidRPr="00A469EA">
        <w:rPr>
          <w:rFonts w:ascii="Times New Roman" w:hAnsi="Times New Roman"/>
          <w:bCs/>
          <w:color w:val="000000"/>
          <w:sz w:val="24"/>
          <w:szCs w:val="24"/>
          <w:lang w:val="en-GB"/>
        </w:rPr>
        <w:t xml:space="preserve">artnerships </w:t>
      </w:r>
    </w:p>
    <w:p w14:paraId="1D5B9F0F" w14:textId="77777777" w:rsidR="00DE2676" w:rsidRPr="00A469EA" w:rsidRDefault="00DE2676" w:rsidP="002C54A1">
      <w:pPr>
        <w:autoSpaceDE w:val="0"/>
        <w:autoSpaceDN w:val="0"/>
        <w:adjustRightInd w:val="0"/>
        <w:ind w:right="450"/>
        <w:jc w:val="both"/>
        <w:rPr>
          <w:rFonts w:asciiTheme="majorBidi" w:hAnsiTheme="majorBidi" w:cstheme="majorBidi"/>
          <w:bCs/>
          <w:color w:val="000000" w:themeColor="text1"/>
          <w:lang w:val="en-GB"/>
        </w:rPr>
      </w:pPr>
    </w:p>
    <w:p w14:paraId="589DA6EA" w14:textId="2954BCA8" w:rsidR="005E5F94" w:rsidRPr="00A469EA" w:rsidRDefault="00742B3A" w:rsidP="009F7E66">
      <w:pPr>
        <w:pStyle w:val="ListParagraph"/>
        <w:numPr>
          <w:ilvl w:val="0"/>
          <w:numId w:val="39"/>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A469EA">
        <w:rPr>
          <w:rFonts w:asciiTheme="majorBidi" w:hAnsiTheme="majorBidi" w:cstheme="majorBidi"/>
          <w:color w:val="000000" w:themeColor="text1"/>
          <w:lang w:val="en-GB"/>
        </w:rPr>
        <w:t xml:space="preserve">Given </w:t>
      </w:r>
      <w:r w:rsidR="00501D70" w:rsidRPr="00A469EA">
        <w:rPr>
          <w:rFonts w:asciiTheme="majorBidi" w:hAnsiTheme="majorBidi" w:cstheme="majorBidi"/>
          <w:color w:val="000000" w:themeColor="text1"/>
          <w:lang w:val="en-GB"/>
        </w:rPr>
        <w:t>th</w:t>
      </w:r>
      <w:r w:rsidRPr="00A469EA">
        <w:rPr>
          <w:rFonts w:asciiTheme="majorBidi" w:hAnsiTheme="majorBidi" w:cstheme="majorBidi"/>
          <w:color w:val="000000" w:themeColor="text1"/>
          <w:lang w:val="en-GB"/>
        </w:rPr>
        <w:t xml:space="preserve">is </w:t>
      </w:r>
      <w:r w:rsidR="00501D70" w:rsidRPr="00A469EA">
        <w:rPr>
          <w:rFonts w:asciiTheme="majorBidi" w:hAnsiTheme="majorBidi" w:cstheme="majorBidi"/>
          <w:color w:val="000000" w:themeColor="text1"/>
          <w:lang w:val="en-GB"/>
        </w:rPr>
        <w:t>contextual analysis</w:t>
      </w:r>
      <w:r w:rsidR="00B6473C">
        <w:rPr>
          <w:rFonts w:asciiTheme="majorBidi" w:hAnsiTheme="majorBidi" w:cstheme="majorBidi"/>
          <w:color w:val="000000" w:themeColor="text1"/>
          <w:lang w:val="en-GB"/>
        </w:rPr>
        <w:t xml:space="preserve"> and </w:t>
      </w:r>
      <w:r w:rsidR="00501D70" w:rsidRPr="00A469EA">
        <w:rPr>
          <w:rFonts w:asciiTheme="majorBidi" w:hAnsiTheme="majorBidi" w:cstheme="majorBidi"/>
          <w:color w:val="000000" w:themeColor="text1"/>
          <w:lang w:val="en-GB"/>
        </w:rPr>
        <w:t>the national development priorities of the Government,</w:t>
      </w:r>
      <w:r w:rsidR="00501D70" w:rsidRPr="00A469EA">
        <w:rPr>
          <w:rFonts w:asciiTheme="majorBidi" w:hAnsiTheme="majorBidi" w:cstheme="majorBidi"/>
          <w:bCs/>
          <w:color w:val="000000" w:themeColor="text1"/>
          <w:lang w:val="en-GB"/>
        </w:rPr>
        <w:t xml:space="preserve"> </w:t>
      </w:r>
      <w:r w:rsidR="00326C18" w:rsidRPr="00A469EA">
        <w:rPr>
          <w:rFonts w:asciiTheme="majorBidi" w:hAnsiTheme="majorBidi" w:cstheme="majorBidi"/>
          <w:bCs/>
          <w:color w:val="000000" w:themeColor="text1"/>
          <w:lang w:val="en-GB"/>
        </w:rPr>
        <w:t>UNDP will leverage its strong</w:t>
      </w:r>
      <w:r w:rsidRPr="00A469EA">
        <w:rPr>
          <w:rFonts w:asciiTheme="majorBidi" w:hAnsiTheme="majorBidi" w:cstheme="majorBidi"/>
          <w:bCs/>
          <w:color w:val="000000" w:themeColor="text1"/>
          <w:lang w:val="en-GB"/>
        </w:rPr>
        <w:t xml:space="preserve">, </w:t>
      </w:r>
      <w:r w:rsidR="00326C18" w:rsidRPr="00A469EA">
        <w:rPr>
          <w:rFonts w:asciiTheme="majorBidi" w:hAnsiTheme="majorBidi" w:cstheme="majorBidi"/>
          <w:bCs/>
          <w:color w:val="000000" w:themeColor="text1"/>
          <w:lang w:val="en-GB"/>
        </w:rPr>
        <w:t>trusted relationship with the national and provincial governments to accelerate a strong development-oriented agenda</w:t>
      </w:r>
      <w:r w:rsidRPr="00A469EA">
        <w:rPr>
          <w:rFonts w:asciiTheme="majorBidi" w:hAnsiTheme="majorBidi" w:cstheme="majorBidi"/>
          <w:bCs/>
          <w:color w:val="000000" w:themeColor="text1"/>
          <w:lang w:val="en-GB"/>
        </w:rPr>
        <w:t>,</w:t>
      </w:r>
      <w:r w:rsidR="00326C18" w:rsidRPr="00A469EA">
        <w:rPr>
          <w:rStyle w:val="FootnoteReference"/>
          <w:rFonts w:asciiTheme="majorBidi" w:hAnsiTheme="majorBidi"/>
          <w:bCs/>
          <w:color w:val="000000" w:themeColor="text1"/>
          <w:lang w:val="en-GB"/>
        </w:rPr>
        <w:footnoteReference w:id="25"/>
      </w:r>
      <w:r w:rsidR="00326C18" w:rsidRPr="00A469EA">
        <w:rPr>
          <w:rFonts w:asciiTheme="majorBidi" w:hAnsiTheme="majorBidi" w:cstheme="majorBidi"/>
          <w:bCs/>
          <w:color w:val="000000" w:themeColor="text1"/>
          <w:lang w:val="en-GB"/>
        </w:rPr>
        <w:t xml:space="preserve"> anchored in </w:t>
      </w:r>
      <w:r w:rsidRPr="00A469EA">
        <w:rPr>
          <w:rFonts w:asciiTheme="majorBidi" w:hAnsiTheme="majorBidi" w:cstheme="majorBidi"/>
          <w:bCs/>
          <w:color w:val="000000" w:themeColor="text1"/>
          <w:lang w:val="en-GB"/>
        </w:rPr>
        <w:t xml:space="preserve">the </w:t>
      </w:r>
      <w:r w:rsidR="00326C18" w:rsidRPr="00A469EA">
        <w:rPr>
          <w:rFonts w:asciiTheme="majorBidi" w:hAnsiTheme="majorBidi" w:cstheme="majorBidi"/>
          <w:bCs/>
          <w:color w:val="000000" w:themeColor="text1"/>
          <w:lang w:val="en-GB"/>
        </w:rPr>
        <w:t>UNDP</w:t>
      </w:r>
      <w:r w:rsidR="00821A77" w:rsidRPr="00A469EA">
        <w:rPr>
          <w:rFonts w:asciiTheme="majorBidi" w:hAnsiTheme="majorBidi" w:cstheme="majorBidi"/>
          <w:bCs/>
          <w:color w:val="000000" w:themeColor="text1"/>
          <w:lang w:val="en-GB"/>
        </w:rPr>
        <w:t xml:space="preserve"> core mandate and </w:t>
      </w:r>
      <w:r w:rsidRPr="00A469EA">
        <w:rPr>
          <w:rFonts w:asciiTheme="majorBidi" w:hAnsiTheme="majorBidi" w:cstheme="majorBidi"/>
          <w:bCs/>
          <w:color w:val="000000" w:themeColor="text1"/>
          <w:lang w:val="en-GB"/>
        </w:rPr>
        <w:t xml:space="preserve">new </w:t>
      </w:r>
      <w:r w:rsidR="00B6473C">
        <w:rPr>
          <w:rFonts w:asciiTheme="majorBidi" w:hAnsiTheme="majorBidi" w:cstheme="majorBidi"/>
          <w:bCs/>
          <w:color w:val="000000" w:themeColor="text1"/>
          <w:lang w:val="en-GB"/>
        </w:rPr>
        <w:t>s</w:t>
      </w:r>
      <w:r w:rsidR="00326C18" w:rsidRPr="00A469EA">
        <w:rPr>
          <w:rFonts w:asciiTheme="majorBidi" w:hAnsiTheme="majorBidi" w:cstheme="majorBidi"/>
          <w:bCs/>
          <w:color w:val="000000" w:themeColor="text1"/>
          <w:lang w:val="en-GB"/>
        </w:rPr>
        <w:t xml:space="preserve">trategic </w:t>
      </w:r>
      <w:r w:rsidR="00B6473C">
        <w:rPr>
          <w:rFonts w:asciiTheme="majorBidi" w:hAnsiTheme="majorBidi" w:cstheme="majorBidi"/>
          <w:bCs/>
          <w:color w:val="000000" w:themeColor="text1"/>
          <w:lang w:val="en-GB"/>
        </w:rPr>
        <w:t>p</w:t>
      </w:r>
      <w:r w:rsidR="00326C18" w:rsidRPr="00A469EA">
        <w:rPr>
          <w:rFonts w:asciiTheme="majorBidi" w:hAnsiTheme="majorBidi" w:cstheme="majorBidi"/>
          <w:bCs/>
          <w:color w:val="000000" w:themeColor="text1"/>
          <w:lang w:val="en-GB"/>
        </w:rPr>
        <w:t>lan</w:t>
      </w:r>
      <w:r w:rsidRPr="00A469EA">
        <w:rPr>
          <w:rFonts w:asciiTheme="majorBidi" w:hAnsiTheme="majorBidi" w:cstheme="majorBidi"/>
          <w:bCs/>
          <w:color w:val="000000" w:themeColor="text1"/>
          <w:lang w:val="en-GB"/>
        </w:rPr>
        <w:t>,</w:t>
      </w:r>
      <w:r w:rsidR="00326C18" w:rsidRPr="00A469EA">
        <w:rPr>
          <w:rFonts w:asciiTheme="majorBidi" w:hAnsiTheme="majorBidi" w:cstheme="majorBidi"/>
          <w:bCs/>
          <w:color w:val="000000" w:themeColor="text1"/>
          <w:lang w:val="en-GB"/>
        </w:rPr>
        <w:t xml:space="preserve"> 2018</w:t>
      </w:r>
      <w:r w:rsidRPr="00A469EA">
        <w:rPr>
          <w:rFonts w:asciiTheme="majorBidi" w:hAnsiTheme="majorBidi" w:cstheme="majorBidi"/>
          <w:bCs/>
          <w:color w:val="000000" w:themeColor="text1"/>
          <w:lang w:val="en-GB"/>
        </w:rPr>
        <w:t>-</w:t>
      </w:r>
      <w:r w:rsidR="00326C18" w:rsidRPr="00A469EA">
        <w:rPr>
          <w:rFonts w:asciiTheme="majorBidi" w:hAnsiTheme="majorBidi" w:cstheme="majorBidi"/>
          <w:bCs/>
          <w:color w:val="000000" w:themeColor="text1"/>
          <w:lang w:val="en-GB"/>
        </w:rPr>
        <w:t xml:space="preserve">2021. </w:t>
      </w:r>
      <w:r w:rsidR="00501D70" w:rsidRPr="00A469EA">
        <w:rPr>
          <w:rFonts w:asciiTheme="majorBidi" w:hAnsiTheme="majorBidi" w:cstheme="majorBidi"/>
          <w:color w:val="000000" w:themeColor="text1"/>
          <w:lang w:val="en-GB"/>
        </w:rPr>
        <w:t>T</w:t>
      </w:r>
      <w:r w:rsidR="008943AD" w:rsidRPr="00A469EA">
        <w:rPr>
          <w:rFonts w:asciiTheme="majorBidi" w:hAnsiTheme="majorBidi" w:cstheme="majorBidi"/>
          <w:color w:val="000000" w:themeColor="text1"/>
          <w:lang w:val="en-GB"/>
        </w:rPr>
        <w:t xml:space="preserve">he </w:t>
      </w:r>
      <w:r w:rsidR="00B215EE" w:rsidRPr="00A469EA">
        <w:rPr>
          <w:rFonts w:asciiTheme="majorBidi" w:hAnsiTheme="majorBidi" w:cstheme="majorBidi"/>
          <w:color w:val="000000" w:themeColor="text1"/>
          <w:lang w:val="en-GB"/>
        </w:rPr>
        <w:t xml:space="preserve">strategies of </w:t>
      </w:r>
      <w:r w:rsidR="00501D70" w:rsidRPr="00A469EA">
        <w:rPr>
          <w:rFonts w:asciiTheme="majorBidi" w:hAnsiTheme="majorBidi" w:cstheme="majorBidi"/>
          <w:color w:val="000000" w:themeColor="text1"/>
          <w:lang w:val="en-GB"/>
        </w:rPr>
        <w:t xml:space="preserve">this </w:t>
      </w:r>
      <w:r w:rsidRPr="00A469EA">
        <w:rPr>
          <w:rFonts w:asciiTheme="majorBidi" w:hAnsiTheme="majorBidi" w:cstheme="majorBidi"/>
          <w:color w:val="000000" w:themeColor="text1"/>
          <w:lang w:val="en-GB"/>
        </w:rPr>
        <w:t xml:space="preserve">country programme </w:t>
      </w:r>
      <w:r w:rsidR="00501D70" w:rsidRPr="00A469EA">
        <w:rPr>
          <w:rFonts w:asciiTheme="majorBidi" w:hAnsiTheme="majorBidi" w:cstheme="majorBidi"/>
          <w:color w:val="000000" w:themeColor="text1"/>
          <w:lang w:val="en-GB"/>
        </w:rPr>
        <w:t>have</w:t>
      </w:r>
      <w:r w:rsidR="00BD52B1" w:rsidRPr="00A469EA">
        <w:rPr>
          <w:rFonts w:asciiTheme="majorBidi" w:hAnsiTheme="majorBidi" w:cstheme="majorBidi"/>
          <w:color w:val="000000" w:themeColor="text1"/>
          <w:lang w:val="en-GB"/>
        </w:rPr>
        <w:t xml:space="preserve"> been </w:t>
      </w:r>
      <w:r w:rsidR="008943AD" w:rsidRPr="00A469EA">
        <w:rPr>
          <w:rFonts w:asciiTheme="majorBidi" w:hAnsiTheme="majorBidi" w:cstheme="majorBidi"/>
          <w:color w:val="000000" w:themeColor="text1"/>
          <w:lang w:val="en-GB"/>
        </w:rPr>
        <w:t xml:space="preserve">informed by </w:t>
      </w:r>
      <w:r w:rsidR="00777279" w:rsidRPr="00A469EA">
        <w:rPr>
          <w:rFonts w:asciiTheme="majorBidi" w:hAnsiTheme="majorBidi" w:cstheme="majorBidi"/>
          <w:color w:val="000000" w:themeColor="text1"/>
          <w:lang w:val="en-GB"/>
        </w:rPr>
        <w:t xml:space="preserve">recommendations generated in the recent </w:t>
      </w:r>
      <w:r w:rsidR="00B6473C">
        <w:rPr>
          <w:rFonts w:asciiTheme="majorBidi" w:hAnsiTheme="majorBidi" w:cstheme="majorBidi"/>
          <w:color w:val="000000" w:themeColor="text1"/>
          <w:lang w:val="en-GB"/>
        </w:rPr>
        <w:t>a</w:t>
      </w:r>
      <w:r w:rsidR="008943AD" w:rsidRPr="00A469EA">
        <w:rPr>
          <w:rFonts w:asciiTheme="majorBidi" w:hAnsiTheme="majorBidi" w:cstheme="majorBidi"/>
          <w:color w:val="000000" w:themeColor="text1"/>
          <w:lang w:val="en-GB"/>
        </w:rPr>
        <w:t xml:space="preserve">ssessment of </w:t>
      </w:r>
      <w:r w:rsidR="00B6473C">
        <w:rPr>
          <w:rFonts w:asciiTheme="majorBidi" w:hAnsiTheme="majorBidi" w:cstheme="majorBidi"/>
          <w:color w:val="000000" w:themeColor="text1"/>
          <w:lang w:val="en-GB"/>
        </w:rPr>
        <w:t>d</w:t>
      </w:r>
      <w:r w:rsidR="008943AD" w:rsidRPr="00A469EA">
        <w:rPr>
          <w:rFonts w:asciiTheme="majorBidi" w:hAnsiTheme="majorBidi" w:cstheme="majorBidi"/>
          <w:color w:val="000000" w:themeColor="text1"/>
          <w:lang w:val="en-GB"/>
        </w:rPr>
        <w:t xml:space="preserve">evelopment </w:t>
      </w:r>
      <w:r w:rsidR="00B6473C">
        <w:rPr>
          <w:rFonts w:asciiTheme="majorBidi" w:hAnsiTheme="majorBidi" w:cstheme="majorBidi"/>
          <w:color w:val="000000" w:themeColor="text1"/>
          <w:lang w:val="en-GB"/>
        </w:rPr>
        <w:t>r</w:t>
      </w:r>
      <w:r w:rsidR="008943AD" w:rsidRPr="00A469EA">
        <w:rPr>
          <w:rFonts w:asciiTheme="majorBidi" w:hAnsiTheme="majorBidi" w:cstheme="majorBidi"/>
          <w:color w:val="000000" w:themeColor="text1"/>
          <w:lang w:val="en-GB"/>
        </w:rPr>
        <w:t>esults</w:t>
      </w:r>
      <w:r w:rsidR="00C57F4F" w:rsidRPr="00A469EA">
        <w:rPr>
          <w:rFonts w:asciiTheme="majorBidi" w:hAnsiTheme="majorBidi" w:cstheme="majorBidi"/>
          <w:color w:val="000000" w:themeColor="text1"/>
          <w:lang w:val="en-GB"/>
        </w:rPr>
        <w:t xml:space="preserve"> (ADR)</w:t>
      </w:r>
      <w:r w:rsidRPr="00A469EA">
        <w:rPr>
          <w:rFonts w:asciiTheme="majorBidi" w:hAnsiTheme="majorBidi" w:cstheme="majorBidi"/>
          <w:color w:val="000000" w:themeColor="text1"/>
          <w:lang w:val="en-GB"/>
        </w:rPr>
        <w:t>,</w:t>
      </w:r>
      <w:r w:rsidR="00777279" w:rsidRPr="00A469EA">
        <w:rPr>
          <w:rStyle w:val="FootnoteReference"/>
          <w:rFonts w:asciiTheme="majorBidi" w:hAnsiTheme="majorBidi"/>
          <w:color w:val="000000" w:themeColor="text1"/>
          <w:lang w:val="en-GB"/>
        </w:rPr>
        <w:footnoteReference w:id="26"/>
      </w:r>
      <w:r w:rsidR="00BD52B1" w:rsidRPr="00A469EA">
        <w:rPr>
          <w:rFonts w:asciiTheme="majorBidi" w:hAnsiTheme="majorBidi" w:cstheme="majorBidi"/>
          <w:color w:val="000000" w:themeColor="text1"/>
          <w:lang w:val="en-GB"/>
        </w:rPr>
        <w:t xml:space="preserve"> stakeholder consultations and UNDP</w:t>
      </w:r>
      <w:r w:rsidR="00B6473C">
        <w:rPr>
          <w:rFonts w:asciiTheme="majorBidi" w:hAnsiTheme="majorBidi" w:cstheme="majorBidi"/>
          <w:color w:val="000000" w:themeColor="text1"/>
          <w:lang w:val="en-GB"/>
        </w:rPr>
        <w:t>-</w:t>
      </w:r>
      <w:r w:rsidR="00BD52B1" w:rsidRPr="00A469EA">
        <w:rPr>
          <w:rFonts w:asciiTheme="majorBidi" w:hAnsiTheme="majorBidi" w:cstheme="majorBidi"/>
          <w:color w:val="000000" w:themeColor="text1"/>
          <w:lang w:val="en-GB"/>
        </w:rPr>
        <w:t xml:space="preserve">established </w:t>
      </w:r>
      <w:r w:rsidR="002867F1" w:rsidRPr="00A469EA">
        <w:rPr>
          <w:rFonts w:asciiTheme="majorBidi" w:hAnsiTheme="majorBidi" w:cstheme="majorBidi"/>
          <w:color w:val="000000" w:themeColor="text1"/>
          <w:lang w:val="en-GB"/>
        </w:rPr>
        <w:t>areas of comparative advantage</w:t>
      </w:r>
      <w:r w:rsidR="008943AD" w:rsidRPr="00A469EA">
        <w:rPr>
          <w:rFonts w:asciiTheme="majorBidi" w:hAnsiTheme="majorBidi" w:cstheme="majorBidi"/>
          <w:color w:val="000000" w:themeColor="text1"/>
          <w:lang w:val="en-GB"/>
        </w:rPr>
        <w:t xml:space="preserve">. </w:t>
      </w:r>
    </w:p>
    <w:p w14:paraId="4D71B8D8" w14:textId="5F6D5244" w:rsidR="008943AD" w:rsidRPr="00A469EA" w:rsidRDefault="0029001B" w:rsidP="00F54C70">
      <w:pPr>
        <w:pStyle w:val="ListParagraph"/>
        <w:widowControl w:val="0"/>
        <w:numPr>
          <w:ilvl w:val="0"/>
          <w:numId w:val="39"/>
        </w:numPr>
        <w:tabs>
          <w:tab w:val="left" w:pos="0"/>
          <w:tab w:val="left" w:pos="450"/>
        </w:tabs>
        <w:autoSpaceDE w:val="0"/>
        <w:autoSpaceDN w:val="0"/>
        <w:adjustRightInd w:val="0"/>
        <w:spacing w:after="240"/>
        <w:ind w:left="0" w:right="450" w:firstLine="0"/>
        <w:contextualSpacing/>
        <w:jc w:val="both"/>
        <w:rPr>
          <w:rFonts w:asciiTheme="majorBidi" w:hAnsiTheme="majorBidi" w:cstheme="majorBidi"/>
          <w:bCs/>
          <w:lang w:val="en-GB"/>
        </w:rPr>
      </w:pPr>
      <w:r w:rsidRPr="00A469EA">
        <w:rPr>
          <w:rFonts w:asciiTheme="majorBidi" w:hAnsiTheme="majorBidi" w:cstheme="majorBidi"/>
          <w:bCs/>
          <w:lang w:val="en-GB"/>
        </w:rPr>
        <w:t>UNDP will pursue t</w:t>
      </w:r>
      <w:r w:rsidR="00864B56" w:rsidRPr="00A469EA">
        <w:rPr>
          <w:rFonts w:asciiTheme="majorBidi" w:hAnsiTheme="majorBidi" w:cstheme="majorBidi"/>
          <w:bCs/>
          <w:lang w:val="en-GB"/>
        </w:rPr>
        <w:t xml:space="preserve">he </w:t>
      </w:r>
      <w:r w:rsidR="00C57F4F" w:rsidRPr="00A469EA">
        <w:rPr>
          <w:rFonts w:asciiTheme="majorBidi" w:hAnsiTheme="majorBidi" w:cstheme="majorBidi"/>
          <w:bCs/>
          <w:lang w:val="en-GB"/>
        </w:rPr>
        <w:t xml:space="preserve">implementation </w:t>
      </w:r>
      <w:r w:rsidR="00C57F4F" w:rsidRPr="00A469EA">
        <w:rPr>
          <w:bCs/>
          <w:lang w:val="en-GB"/>
        </w:rPr>
        <w:t xml:space="preserve">of this country programme through the following three </w:t>
      </w:r>
      <w:r w:rsidR="00C57F4F" w:rsidRPr="00A469EA">
        <w:rPr>
          <w:bCs/>
          <w:lang w:val="en-GB"/>
        </w:rPr>
        <w:lastRenderedPageBreak/>
        <w:t>tiers:</w:t>
      </w:r>
    </w:p>
    <w:p w14:paraId="689624DE" w14:textId="77777777" w:rsidR="00037D92" w:rsidRPr="00A469EA" w:rsidRDefault="00037D92" w:rsidP="00F54C70">
      <w:pPr>
        <w:pStyle w:val="ListParagraph"/>
        <w:widowControl w:val="0"/>
        <w:tabs>
          <w:tab w:val="left" w:pos="0"/>
          <w:tab w:val="left" w:pos="450"/>
        </w:tabs>
        <w:autoSpaceDE w:val="0"/>
        <w:autoSpaceDN w:val="0"/>
        <w:adjustRightInd w:val="0"/>
        <w:spacing w:after="240"/>
        <w:ind w:left="0" w:right="450"/>
        <w:contextualSpacing/>
        <w:jc w:val="both"/>
        <w:rPr>
          <w:rFonts w:asciiTheme="majorBidi" w:hAnsiTheme="majorBidi" w:cstheme="majorBidi"/>
          <w:bCs/>
          <w:sz w:val="12"/>
          <w:szCs w:val="12"/>
          <w:lang w:val="en-GB"/>
        </w:rPr>
      </w:pPr>
    </w:p>
    <w:p w14:paraId="3BA6FBFE" w14:textId="7FF9DBCE" w:rsidR="008943AD" w:rsidRPr="00A469EA" w:rsidRDefault="00C42393" w:rsidP="00AF7CCF">
      <w:pPr>
        <w:pStyle w:val="ListParagraph"/>
        <w:numPr>
          <w:ilvl w:val="0"/>
          <w:numId w:val="60"/>
        </w:numPr>
        <w:tabs>
          <w:tab w:val="left" w:pos="450"/>
          <w:tab w:val="left" w:pos="1080"/>
        </w:tabs>
        <w:spacing w:after="120"/>
        <w:ind w:left="720" w:right="450"/>
        <w:jc w:val="both"/>
        <w:rPr>
          <w:lang w:val="en-GB"/>
        </w:rPr>
      </w:pPr>
      <w:r w:rsidRPr="00A469EA">
        <w:rPr>
          <w:lang w:val="en-GB"/>
        </w:rPr>
        <w:t>Fostering</w:t>
      </w:r>
      <w:r w:rsidR="0029001B" w:rsidRPr="00A469EA">
        <w:rPr>
          <w:lang w:val="en-GB"/>
        </w:rPr>
        <w:t xml:space="preserve"> a</w:t>
      </w:r>
      <w:r w:rsidR="008943AD" w:rsidRPr="00A469EA">
        <w:rPr>
          <w:lang w:val="en-GB"/>
        </w:rPr>
        <w:t xml:space="preserve">n </w:t>
      </w:r>
      <w:r w:rsidR="008943AD" w:rsidRPr="00A469EA">
        <w:rPr>
          <w:bCs/>
          <w:i/>
          <w:lang w:val="en-GB"/>
        </w:rPr>
        <w:t>enabling environment</w:t>
      </w:r>
      <w:r w:rsidR="008943AD" w:rsidRPr="00A469EA">
        <w:rPr>
          <w:lang w:val="en-GB"/>
        </w:rPr>
        <w:t xml:space="preserve"> </w:t>
      </w:r>
      <w:r w:rsidR="0029001B" w:rsidRPr="00A469EA">
        <w:rPr>
          <w:lang w:val="en-GB"/>
        </w:rPr>
        <w:t xml:space="preserve">in </w:t>
      </w:r>
      <w:r w:rsidR="008943AD" w:rsidRPr="00A469EA">
        <w:rPr>
          <w:lang w:val="en-GB"/>
        </w:rPr>
        <w:t>legislation,</w:t>
      </w:r>
      <w:r w:rsidR="003D330B" w:rsidRPr="00A469EA">
        <w:rPr>
          <w:lang w:val="en-GB"/>
        </w:rPr>
        <w:t xml:space="preserve"> regulatory frameworks and </w:t>
      </w:r>
      <w:r w:rsidR="0056386A" w:rsidRPr="00A469EA">
        <w:rPr>
          <w:lang w:val="en-GB"/>
        </w:rPr>
        <w:t xml:space="preserve">development </w:t>
      </w:r>
      <w:r w:rsidR="003D330B" w:rsidRPr="00A469EA">
        <w:rPr>
          <w:lang w:val="en-GB"/>
        </w:rPr>
        <w:t>policies</w:t>
      </w:r>
      <w:r w:rsidR="00983B15" w:rsidRPr="00A469EA">
        <w:rPr>
          <w:lang w:val="en-GB"/>
        </w:rPr>
        <w:t>, drawing on South-South best practice</w:t>
      </w:r>
      <w:r w:rsidR="0029001B" w:rsidRPr="00A469EA">
        <w:rPr>
          <w:lang w:val="en-GB"/>
        </w:rPr>
        <w:t>s</w:t>
      </w:r>
      <w:r w:rsidR="00B6473C">
        <w:rPr>
          <w:lang w:val="en-GB"/>
        </w:rPr>
        <w:t>;</w:t>
      </w:r>
    </w:p>
    <w:p w14:paraId="101E18F7" w14:textId="564A2C7B" w:rsidR="008943AD" w:rsidRPr="00A469EA" w:rsidRDefault="00C57F4F" w:rsidP="00AF7CCF">
      <w:pPr>
        <w:pStyle w:val="ListParagraph"/>
        <w:numPr>
          <w:ilvl w:val="0"/>
          <w:numId w:val="60"/>
        </w:numPr>
        <w:tabs>
          <w:tab w:val="left" w:pos="450"/>
          <w:tab w:val="left" w:pos="1080"/>
        </w:tabs>
        <w:spacing w:after="120"/>
        <w:ind w:left="720" w:right="450"/>
        <w:jc w:val="both"/>
        <w:rPr>
          <w:lang w:val="en-GB"/>
        </w:rPr>
      </w:pPr>
      <w:r w:rsidRPr="00A469EA">
        <w:rPr>
          <w:lang w:val="en-GB"/>
        </w:rPr>
        <w:t xml:space="preserve">Strengthening </w:t>
      </w:r>
      <w:r w:rsidR="00B6473C">
        <w:rPr>
          <w:lang w:val="en-GB"/>
        </w:rPr>
        <w:t xml:space="preserve">the </w:t>
      </w:r>
      <w:r w:rsidR="0029001B" w:rsidRPr="00A469EA">
        <w:rPr>
          <w:lang w:val="en-GB"/>
        </w:rPr>
        <w:t xml:space="preserve">capacity </w:t>
      </w:r>
      <w:r w:rsidRPr="00A469EA">
        <w:rPr>
          <w:lang w:val="en-GB"/>
        </w:rPr>
        <w:t xml:space="preserve">of </w:t>
      </w:r>
      <w:r w:rsidR="003D330B" w:rsidRPr="00A469EA">
        <w:rPr>
          <w:bCs/>
          <w:i/>
          <w:lang w:val="en-GB"/>
        </w:rPr>
        <w:t>i</w:t>
      </w:r>
      <w:r w:rsidR="008943AD" w:rsidRPr="00A469EA">
        <w:rPr>
          <w:bCs/>
          <w:i/>
          <w:lang w:val="en-GB"/>
        </w:rPr>
        <w:t>nstitution</w:t>
      </w:r>
      <w:r w:rsidR="003D330B" w:rsidRPr="00A469EA">
        <w:rPr>
          <w:bCs/>
          <w:i/>
          <w:lang w:val="en-GB"/>
        </w:rPr>
        <w:t xml:space="preserve">s and systems </w:t>
      </w:r>
      <w:r w:rsidR="008943AD" w:rsidRPr="00A469EA">
        <w:rPr>
          <w:lang w:val="en-GB"/>
        </w:rPr>
        <w:t xml:space="preserve">at all levels to </w:t>
      </w:r>
      <w:r w:rsidR="00983B15" w:rsidRPr="00A469EA">
        <w:rPr>
          <w:lang w:val="en-GB"/>
        </w:rPr>
        <w:t>provide innovative solutions</w:t>
      </w:r>
      <w:r w:rsidR="008943AD" w:rsidRPr="00A469EA">
        <w:rPr>
          <w:lang w:val="en-GB"/>
        </w:rPr>
        <w:t xml:space="preserve"> </w:t>
      </w:r>
      <w:r w:rsidR="003D330B" w:rsidRPr="00A469EA">
        <w:rPr>
          <w:lang w:val="en-GB"/>
        </w:rPr>
        <w:t xml:space="preserve">and implementation support </w:t>
      </w:r>
      <w:r w:rsidR="0029001B" w:rsidRPr="00A469EA">
        <w:rPr>
          <w:lang w:val="en-GB"/>
        </w:rPr>
        <w:t xml:space="preserve">for </w:t>
      </w:r>
      <w:r w:rsidR="000C159E" w:rsidRPr="00A469EA">
        <w:rPr>
          <w:lang w:val="en-GB"/>
        </w:rPr>
        <w:t xml:space="preserve">governance, </w:t>
      </w:r>
      <w:r w:rsidR="00AA2821" w:rsidRPr="00A469EA">
        <w:rPr>
          <w:lang w:val="en-GB"/>
        </w:rPr>
        <w:t xml:space="preserve">environmental </w:t>
      </w:r>
      <w:r w:rsidR="00CC03A4" w:rsidRPr="00A469EA">
        <w:rPr>
          <w:lang w:val="en-GB"/>
        </w:rPr>
        <w:t>sustainability</w:t>
      </w:r>
      <w:r w:rsidR="000C159E" w:rsidRPr="00A469EA">
        <w:rPr>
          <w:lang w:val="en-GB"/>
        </w:rPr>
        <w:t xml:space="preserve"> and </w:t>
      </w:r>
      <w:r w:rsidR="00C42393" w:rsidRPr="00A469EA">
        <w:rPr>
          <w:lang w:val="en-GB"/>
        </w:rPr>
        <w:t>stabilization</w:t>
      </w:r>
      <w:r w:rsidR="009B13C6" w:rsidRPr="00A469EA">
        <w:rPr>
          <w:lang w:val="en-GB"/>
        </w:rPr>
        <w:t xml:space="preserve"> processes</w:t>
      </w:r>
      <w:r w:rsidR="00B6473C">
        <w:rPr>
          <w:lang w:val="en-GB"/>
        </w:rPr>
        <w:t>;</w:t>
      </w:r>
    </w:p>
    <w:p w14:paraId="6DB07F77" w14:textId="76993DDA" w:rsidR="008943AD" w:rsidRPr="00A469EA" w:rsidRDefault="00FE4572" w:rsidP="00AF7CCF">
      <w:pPr>
        <w:pStyle w:val="ListParagraph"/>
        <w:numPr>
          <w:ilvl w:val="0"/>
          <w:numId w:val="60"/>
        </w:numPr>
        <w:tabs>
          <w:tab w:val="left" w:pos="450"/>
          <w:tab w:val="left" w:pos="1080"/>
        </w:tabs>
        <w:spacing w:after="120"/>
        <w:ind w:left="720" w:right="450"/>
        <w:jc w:val="both"/>
        <w:rPr>
          <w:lang w:val="en-GB"/>
        </w:rPr>
      </w:pPr>
      <w:r w:rsidRPr="00A469EA">
        <w:rPr>
          <w:lang w:val="en-GB"/>
        </w:rPr>
        <w:t>Supporti</w:t>
      </w:r>
      <w:r w:rsidR="00E43B01" w:rsidRPr="00A469EA">
        <w:rPr>
          <w:lang w:val="en-GB"/>
        </w:rPr>
        <w:t>n</w:t>
      </w:r>
      <w:r w:rsidRPr="00A469EA">
        <w:rPr>
          <w:lang w:val="en-GB"/>
        </w:rPr>
        <w:t xml:space="preserve">g </w:t>
      </w:r>
      <w:r w:rsidR="0057224B" w:rsidRPr="00A469EA">
        <w:rPr>
          <w:lang w:val="en-GB"/>
        </w:rPr>
        <w:t>the G</w:t>
      </w:r>
      <w:r w:rsidR="00C57F4F" w:rsidRPr="00A469EA">
        <w:rPr>
          <w:lang w:val="en-GB"/>
        </w:rPr>
        <w:t xml:space="preserve">overnment in </w:t>
      </w:r>
      <w:r w:rsidRPr="00A469EA">
        <w:rPr>
          <w:i/>
          <w:lang w:val="en-GB"/>
        </w:rPr>
        <w:t>c</w:t>
      </w:r>
      <w:r w:rsidR="008943AD" w:rsidRPr="00A469EA">
        <w:rPr>
          <w:bCs/>
          <w:i/>
          <w:lang w:val="en-GB"/>
        </w:rPr>
        <w:t>ommunit</w:t>
      </w:r>
      <w:r w:rsidR="00BB471C" w:rsidRPr="00A469EA">
        <w:rPr>
          <w:bCs/>
          <w:i/>
          <w:lang w:val="en-GB"/>
        </w:rPr>
        <w:t>y</w:t>
      </w:r>
      <w:r w:rsidRPr="00A469EA">
        <w:rPr>
          <w:bCs/>
          <w:i/>
          <w:lang w:val="en-GB"/>
        </w:rPr>
        <w:t>-</w:t>
      </w:r>
      <w:r w:rsidR="008943AD" w:rsidRPr="00A469EA">
        <w:rPr>
          <w:bCs/>
          <w:i/>
          <w:lang w:val="en-GB"/>
        </w:rPr>
        <w:t>level</w:t>
      </w:r>
      <w:r w:rsidR="008943AD" w:rsidRPr="00A469EA">
        <w:rPr>
          <w:i/>
          <w:lang w:val="en-GB"/>
        </w:rPr>
        <w:t xml:space="preserve"> </w:t>
      </w:r>
      <w:r w:rsidR="00BC2D86" w:rsidRPr="00A469EA">
        <w:rPr>
          <w:i/>
          <w:lang w:val="en-GB"/>
        </w:rPr>
        <w:t xml:space="preserve">interventions </w:t>
      </w:r>
      <w:r w:rsidR="00F94EA2" w:rsidRPr="00A469EA">
        <w:rPr>
          <w:lang w:val="en-GB"/>
        </w:rPr>
        <w:t xml:space="preserve">that </w:t>
      </w:r>
      <w:r w:rsidR="00BB471C" w:rsidRPr="00A469EA">
        <w:rPr>
          <w:lang w:val="en-GB"/>
        </w:rPr>
        <w:t xml:space="preserve">promote </w:t>
      </w:r>
      <w:r w:rsidR="00BC2D86" w:rsidRPr="00A469EA">
        <w:rPr>
          <w:lang w:val="en-GB"/>
        </w:rPr>
        <w:t xml:space="preserve">scalable </w:t>
      </w:r>
      <w:r w:rsidR="00BB471C" w:rsidRPr="00A469EA">
        <w:rPr>
          <w:lang w:val="en-GB"/>
        </w:rPr>
        <w:t>solutions</w:t>
      </w:r>
      <w:r w:rsidR="00C57F4F" w:rsidRPr="00A469EA">
        <w:rPr>
          <w:lang w:val="en-GB"/>
        </w:rPr>
        <w:t xml:space="preserve"> focus</w:t>
      </w:r>
      <w:r w:rsidR="00B6473C">
        <w:rPr>
          <w:lang w:val="en-GB"/>
        </w:rPr>
        <w:t>ed</w:t>
      </w:r>
      <w:r w:rsidR="00C57F4F" w:rsidRPr="00A469EA">
        <w:rPr>
          <w:lang w:val="en-GB"/>
        </w:rPr>
        <w:t xml:space="preserve"> on building local capacities</w:t>
      </w:r>
      <w:r w:rsidR="00BB471C" w:rsidRPr="00A469EA">
        <w:rPr>
          <w:lang w:val="en-GB"/>
        </w:rPr>
        <w:t xml:space="preserve">. </w:t>
      </w:r>
    </w:p>
    <w:p w14:paraId="065B50FD" w14:textId="01A1401F" w:rsidR="007601D0" w:rsidRPr="00A469EA" w:rsidRDefault="00D61D8E" w:rsidP="00F54C70">
      <w:pPr>
        <w:pStyle w:val="MediumGrid1-Accent21"/>
        <w:widowControl w:val="0"/>
        <w:numPr>
          <w:ilvl w:val="0"/>
          <w:numId w:val="39"/>
        </w:numPr>
        <w:tabs>
          <w:tab w:val="left" w:pos="450"/>
        </w:tabs>
        <w:autoSpaceDE w:val="0"/>
        <w:autoSpaceDN w:val="0"/>
        <w:adjustRightInd w:val="0"/>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 xml:space="preserve">The </w:t>
      </w:r>
      <w:r w:rsidR="00F94EA2" w:rsidRPr="00A469EA">
        <w:rPr>
          <w:rFonts w:asciiTheme="majorBidi" w:hAnsiTheme="majorBidi" w:cstheme="majorBidi"/>
          <w:lang w:val="en-GB"/>
        </w:rPr>
        <w:t>c</w:t>
      </w:r>
      <w:r w:rsidRPr="00A469EA">
        <w:rPr>
          <w:rFonts w:asciiTheme="majorBidi" w:hAnsiTheme="majorBidi" w:cstheme="majorBidi"/>
          <w:lang w:val="en-GB"/>
        </w:rPr>
        <w:t xml:space="preserve">ountry </w:t>
      </w:r>
      <w:r w:rsidR="00F94EA2" w:rsidRPr="00A469EA">
        <w:rPr>
          <w:rFonts w:asciiTheme="majorBidi" w:hAnsiTheme="majorBidi" w:cstheme="majorBidi"/>
          <w:lang w:val="en-GB"/>
        </w:rPr>
        <w:t>p</w:t>
      </w:r>
      <w:r w:rsidRPr="00A469EA">
        <w:rPr>
          <w:rFonts w:asciiTheme="majorBidi" w:hAnsiTheme="majorBidi" w:cstheme="majorBidi"/>
          <w:lang w:val="en-GB"/>
        </w:rPr>
        <w:t>rogramme</w:t>
      </w:r>
      <w:r w:rsidR="002867F1" w:rsidRPr="00A469EA">
        <w:rPr>
          <w:rFonts w:asciiTheme="majorBidi" w:hAnsiTheme="majorBidi" w:cstheme="majorBidi"/>
          <w:lang w:val="en-GB"/>
        </w:rPr>
        <w:t xml:space="preserve"> </w:t>
      </w:r>
      <w:r w:rsidR="005C0FDA" w:rsidRPr="00A469EA">
        <w:rPr>
          <w:rFonts w:asciiTheme="majorBidi" w:hAnsiTheme="majorBidi" w:cstheme="majorBidi"/>
          <w:lang w:val="en-GB"/>
        </w:rPr>
        <w:t>will concentrate on achieving</w:t>
      </w:r>
      <w:r w:rsidR="009B13C6" w:rsidRPr="00A469EA">
        <w:rPr>
          <w:rFonts w:asciiTheme="majorBidi" w:hAnsiTheme="majorBidi" w:cstheme="majorBidi"/>
          <w:lang w:val="en-GB"/>
        </w:rPr>
        <w:t xml:space="preserve"> two outcomes </w:t>
      </w:r>
      <w:r w:rsidR="00B6473C">
        <w:rPr>
          <w:rFonts w:asciiTheme="majorBidi" w:hAnsiTheme="majorBidi" w:cstheme="majorBidi"/>
          <w:lang w:val="en-GB"/>
        </w:rPr>
        <w:t xml:space="preserve">that </w:t>
      </w:r>
      <w:r w:rsidR="008943AD" w:rsidRPr="00A469EA">
        <w:rPr>
          <w:rFonts w:asciiTheme="majorBidi" w:hAnsiTheme="majorBidi" w:cstheme="majorBidi"/>
          <w:lang w:val="en-GB"/>
        </w:rPr>
        <w:t xml:space="preserve">are </w:t>
      </w:r>
      <w:r w:rsidR="009B13C6" w:rsidRPr="00A469EA">
        <w:rPr>
          <w:rFonts w:asciiTheme="majorBidi" w:hAnsiTheme="majorBidi" w:cstheme="majorBidi"/>
          <w:lang w:val="en-GB"/>
        </w:rPr>
        <w:t xml:space="preserve">aligned </w:t>
      </w:r>
      <w:r w:rsidR="005C0FDA" w:rsidRPr="00A469EA">
        <w:rPr>
          <w:rFonts w:asciiTheme="majorBidi" w:hAnsiTheme="majorBidi" w:cstheme="majorBidi"/>
          <w:lang w:val="en-GB"/>
        </w:rPr>
        <w:t xml:space="preserve">with </w:t>
      </w:r>
      <w:r w:rsidR="008943AD" w:rsidRPr="00A469EA">
        <w:rPr>
          <w:rFonts w:asciiTheme="majorBidi" w:hAnsiTheme="majorBidi" w:cstheme="majorBidi"/>
          <w:lang w:val="en-GB"/>
        </w:rPr>
        <w:t xml:space="preserve">the Vision 2025 and </w:t>
      </w:r>
      <w:r w:rsidR="00E50093" w:rsidRPr="00A469EA">
        <w:rPr>
          <w:rFonts w:asciiTheme="majorBidi" w:hAnsiTheme="majorBidi" w:cstheme="majorBidi"/>
          <w:lang w:val="en-GB"/>
        </w:rPr>
        <w:t xml:space="preserve">priority areas of </w:t>
      </w:r>
      <w:r w:rsidR="008943AD" w:rsidRPr="00A469EA">
        <w:rPr>
          <w:rFonts w:asciiTheme="majorBidi" w:hAnsiTheme="majorBidi" w:cstheme="majorBidi"/>
          <w:shd w:val="clear" w:color="auto" w:fill="FFFFFF"/>
          <w:lang w:val="en-GB" w:eastAsia="en-GB"/>
        </w:rPr>
        <w:t xml:space="preserve">the United Nations </w:t>
      </w:r>
      <w:r w:rsidR="00C57F4F" w:rsidRPr="00A469EA">
        <w:rPr>
          <w:lang w:val="en-GB"/>
        </w:rPr>
        <w:t>Sustainable Development Framework (UNSDF) for Pakistan</w:t>
      </w:r>
      <w:r w:rsidR="00C57F4F" w:rsidRPr="00A469EA" w:rsidDel="00C57F4F">
        <w:rPr>
          <w:rFonts w:asciiTheme="majorBidi" w:hAnsiTheme="majorBidi" w:cstheme="majorBidi"/>
          <w:shd w:val="clear" w:color="auto" w:fill="FFFFFF"/>
          <w:lang w:val="en-GB" w:eastAsia="en-GB"/>
        </w:rPr>
        <w:t xml:space="preserve"> </w:t>
      </w:r>
      <w:r w:rsidR="008943AD" w:rsidRPr="00A469EA">
        <w:rPr>
          <w:rFonts w:asciiTheme="majorBidi" w:hAnsiTheme="majorBidi" w:cstheme="majorBidi"/>
          <w:lang w:val="en-GB"/>
        </w:rPr>
        <w:t>/One</w:t>
      </w:r>
      <w:r w:rsidR="00B6473C">
        <w:rPr>
          <w:rFonts w:asciiTheme="majorBidi" w:hAnsiTheme="majorBidi" w:cstheme="majorBidi"/>
          <w:lang w:val="en-GB"/>
        </w:rPr>
        <w:t>-</w:t>
      </w:r>
      <w:r w:rsidR="002022D2" w:rsidRPr="00A469EA">
        <w:rPr>
          <w:rFonts w:asciiTheme="majorBidi" w:hAnsiTheme="majorBidi" w:cstheme="majorBidi"/>
          <w:lang w:val="en-GB"/>
        </w:rPr>
        <w:t>UN</w:t>
      </w:r>
      <w:r w:rsidR="00B6473C">
        <w:rPr>
          <w:rFonts w:asciiTheme="majorBidi" w:hAnsiTheme="majorBidi" w:cstheme="majorBidi"/>
          <w:lang w:val="en-GB"/>
        </w:rPr>
        <w:t xml:space="preserve"> </w:t>
      </w:r>
      <w:r w:rsidR="008943AD" w:rsidRPr="00A469EA">
        <w:rPr>
          <w:rFonts w:asciiTheme="majorBidi" w:hAnsiTheme="majorBidi" w:cstheme="majorBidi"/>
          <w:lang w:val="en-GB"/>
        </w:rPr>
        <w:t>Programme III</w:t>
      </w:r>
      <w:r w:rsidR="00F94EA2" w:rsidRPr="00A469EA">
        <w:rPr>
          <w:rFonts w:asciiTheme="majorBidi" w:hAnsiTheme="majorBidi" w:cstheme="majorBidi"/>
          <w:lang w:val="en-GB"/>
        </w:rPr>
        <w:t xml:space="preserve">, </w:t>
      </w:r>
      <w:r w:rsidR="008943AD" w:rsidRPr="00A469EA">
        <w:rPr>
          <w:rFonts w:asciiTheme="majorBidi" w:hAnsiTheme="majorBidi" w:cstheme="majorBidi"/>
          <w:lang w:val="en-GB"/>
        </w:rPr>
        <w:t>2018-2022</w:t>
      </w:r>
      <w:r w:rsidR="0031741F" w:rsidRPr="00A469EA">
        <w:rPr>
          <w:lang w:val="en-GB"/>
        </w:rPr>
        <w:t>, as agreed with the Government</w:t>
      </w:r>
      <w:r w:rsidR="00F94EA2" w:rsidRPr="00A469EA">
        <w:rPr>
          <w:rFonts w:asciiTheme="majorBidi" w:hAnsiTheme="majorBidi" w:cstheme="majorBidi"/>
          <w:lang w:val="en-GB"/>
        </w:rPr>
        <w:t>.</w:t>
      </w:r>
      <w:r w:rsidR="008943AD" w:rsidRPr="00A469EA">
        <w:rPr>
          <w:rFonts w:asciiTheme="majorBidi" w:hAnsiTheme="majorBidi" w:cstheme="majorBidi"/>
          <w:lang w:val="en-GB"/>
        </w:rPr>
        <w:t xml:space="preserve"> </w:t>
      </w:r>
    </w:p>
    <w:p w14:paraId="2FDA64EE" w14:textId="2ED359B4" w:rsidR="008943AD" w:rsidRPr="00A469EA" w:rsidRDefault="008943AD" w:rsidP="00F54C70">
      <w:pPr>
        <w:tabs>
          <w:tab w:val="left" w:pos="450"/>
        </w:tabs>
        <w:spacing w:after="120"/>
        <w:ind w:right="450"/>
        <w:rPr>
          <w:b/>
          <w:lang w:val="en-GB"/>
        </w:rPr>
      </w:pPr>
      <w:r w:rsidRPr="00A469EA">
        <w:rPr>
          <w:b/>
          <w:lang w:val="en-GB"/>
        </w:rPr>
        <w:t xml:space="preserve">Outcome </w:t>
      </w:r>
      <w:r w:rsidR="00A07A9D" w:rsidRPr="00A469EA">
        <w:rPr>
          <w:b/>
          <w:lang w:val="en-GB"/>
        </w:rPr>
        <w:t>1</w:t>
      </w:r>
      <w:r w:rsidR="002650EF" w:rsidRPr="00A469EA">
        <w:rPr>
          <w:b/>
          <w:lang w:val="en-GB"/>
        </w:rPr>
        <w:t xml:space="preserve"> (UNSDF Outcome 9):</w:t>
      </w:r>
      <w:r w:rsidR="00F94EA2" w:rsidRPr="00A469EA">
        <w:rPr>
          <w:b/>
          <w:lang w:val="en-GB"/>
        </w:rPr>
        <w:t xml:space="preserve"> Increased effectiveness and accountability of governance mechanisms</w:t>
      </w:r>
      <w:r w:rsidR="00A07A9D" w:rsidRPr="00A469EA">
        <w:rPr>
          <w:rStyle w:val="FootnoteReference"/>
          <w:b/>
          <w:lang w:val="en-GB"/>
        </w:rPr>
        <w:footnoteReference w:id="27"/>
      </w:r>
      <w:r w:rsidR="00B6473C">
        <w:rPr>
          <w:b/>
          <w:lang w:val="en-GB"/>
        </w:rPr>
        <w:t xml:space="preserve"> </w:t>
      </w:r>
    </w:p>
    <w:p w14:paraId="492AFC55" w14:textId="60F6C97B" w:rsidR="006834D8" w:rsidRPr="00A469EA" w:rsidRDefault="008943AD" w:rsidP="00F54C70">
      <w:pPr>
        <w:pStyle w:val="ListParagraph"/>
        <w:numPr>
          <w:ilvl w:val="0"/>
          <w:numId w:val="39"/>
        </w:numPr>
        <w:tabs>
          <w:tab w:val="left" w:pos="450"/>
        </w:tabs>
        <w:spacing w:after="120"/>
        <w:ind w:left="0" w:right="450" w:firstLine="0"/>
        <w:jc w:val="both"/>
        <w:rPr>
          <w:lang w:val="en-GB"/>
        </w:rPr>
      </w:pPr>
      <w:r w:rsidRPr="00A469EA">
        <w:rPr>
          <w:rFonts w:asciiTheme="majorBidi" w:hAnsiTheme="majorBidi" w:cstheme="majorBidi"/>
          <w:lang w:val="en-GB"/>
        </w:rPr>
        <w:t xml:space="preserve">At </w:t>
      </w:r>
      <w:r w:rsidR="00025F50" w:rsidRPr="00A469EA">
        <w:rPr>
          <w:rFonts w:asciiTheme="majorBidi" w:hAnsiTheme="majorBidi" w:cstheme="majorBidi"/>
          <w:lang w:val="en-GB"/>
        </w:rPr>
        <w:t xml:space="preserve">the </w:t>
      </w:r>
      <w:r w:rsidRPr="00A469EA">
        <w:rPr>
          <w:rFonts w:asciiTheme="majorBidi" w:hAnsiTheme="majorBidi" w:cstheme="majorBidi"/>
          <w:i/>
          <w:lang w:val="en-GB"/>
        </w:rPr>
        <w:t>enabling environment level</w:t>
      </w:r>
      <w:r w:rsidR="00C64725" w:rsidRPr="00A469EA">
        <w:rPr>
          <w:rFonts w:asciiTheme="majorBidi" w:hAnsiTheme="majorBidi" w:cstheme="majorBidi"/>
          <w:lang w:val="en-GB"/>
        </w:rPr>
        <w:t>,</w:t>
      </w:r>
      <w:r w:rsidRPr="00A469EA">
        <w:rPr>
          <w:rFonts w:asciiTheme="majorBidi" w:hAnsiTheme="majorBidi" w:cstheme="majorBidi"/>
          <w:lang w:val="en-GB"/>
        </w:rPr>
        <w:t xml:space="preserve"> UNDP </w:t>
      </w:r>
      <w:r w:rsidR="00B603D5" w:rsidRPr="00A469EA">
        <w:rPr>
          <w:rFonts w:asciiTheme="majorBidi" w:hAnsiTheme="majorBidi" w:cstheme="majorBidi"/>
          <w:lang w:val="en-GB"/>
        </w:rPr>
        <w:t xml:space="preserve">will support the shaping and implementation of </w:t>
      </w:r>
      <w:r w:rsidR="00B603D5" w:rsidRPr="00A469EA">
        <w:rPr>
          <w:lang w:val="en-GB"/>
        </w:rPr>
        <w:t>l</w:t>
      </w:r>
      <w:r w:rsidR="00025F50" w:rsidRPr="00A469EA">
        <w:rPr>
          <w:lang w:val="en-GB"/>
        </w:rPr>
        <w:t>egislative</w:t>
      </w:r>
      <w:r w:rsidR="00B603D5" w:rsidRPr="00A469EA">
        <w:rPr>
          <w:lang w:val="en-GB"/>
        </w:rPr>
        <w:t xml:space="preserve"> reforms, </w:t>
      </w:r>
      <w:r w:rsidRPr="00A469EA">
        <w:rPr>
          <w:lang w:val="en-GB"/>
        </w:rPr>
        <w:t xml:space="preserve">regulatory frameworks and </w:t>
      </w:r>
      <w:r w:rsidR="00B603D5" w:rsidRPr="00A469EA">
        <w:rPr>
          <w:lang w:val="en-GB"/>
        </w:rPr>
        <w:t xml:space="preserve">strategic </w:t>
      </w:r>
      <w:r w:rsidRPr="00A469EA">
        <w:rPr>
          <w:lang w:val="en-GB"/>
        </w:rPr>
        <w:t xml:space="preserve">policies </w:t>
      </w:r>
      <w:r w:rsidR="00B603D5" w:rsidRPr="00A469EA">
        <w:rPr>
          <w:lang w:val="en-GB"/>
        </w:rPr>
        <w:t xml:space="preserve">that </w:t>
      </w:r>
      <w:r w:rsidRPr="00A469EA">
        <w:rPr>
          <w:lang w:val="en-GB"/>
        </w:rPr>
        <w:t xml:space="preserve">strengthen </w:t>
      </w:r>
      <w:r w:rsidR="00B603D5" w:rsidRPr="00A469EA">
        <w:rPr>
          <w:lang w:val="en-GB"/>
        </w:rPr>
        <w:t xml:space="preserve">the application of </w:t>
      </w:r>
      <w:r w:rsidRPr="00A469EA">
        <w:rPr>
          <w:lang w:val="en-GB"/>
        </w:rPr>
        <w:t xml:space="preserve">democratic </w:t>
      </w:r>
      <w:r w:rsidR="00B603D5" w:rsidRPr="00A469EA">
        <w:rPr>
          <w:lang w:val="en-GB"/>
        </w:rPr>
        <w:t>principles and process</w:t>
      </w:r>
      <w:r w:rsidR="00D50043" w:rsidRPr="00A469EA">
        <w:rPr>
          <w:lang w:val="en-GB"/>
        </w:rPr>
        <w:t>es</w:t>
      </w:r>
      <w:r w:rsidR="00B603D5" w:rsidRPr="00A469EA">
        <w:rPr>
          <w:lang w:val="en-GB"/>
        </w:rPr>
        <w:t xml:space="preserve"> of </w:t>
      </w:r>
      <w:r w:rsidR="00D50043" w:rsidRPr="00A469EA">
        <w:rPr>
          <w:lang w:val="en-GB"/>
        </w:rPr>
        <w:t xml:space="preserve">good </w:t>
      </w:r>
      <w:r w:rsidRPr="00A469EA">
        <w:rPr>
          <w:lang w:val="en-GB"/>
        </w:rPr>
        <w:t>governance</w:t>
      </w:r>
      <w:r w:rsidR="00B603D5" w:rsidRPr="00A469EA">
        <w:rPr>
          <w:lang w:val="en-GB"/>
        </w:rPr>
        <w:t xml:space="preserve">. </w:t>
      </w:r>
      <w:r w:rsidR="00C64725" w:rsidRPr="00A469EA">
        <w:rPr>
          <w:lang w:val="en-GB"/>
        </w:rPr>
        <w:t>It will pay s</w:t>
      </w:r>
      <w:r w:rsidR="00B603D5" w:rsidRPr="00A469EA">
        <w:rPr>
          <w:lang w:val="en-GB"/>
        </w:rPr>
        <w:t xml:space="preserve">pecial attention </w:t>
      </w:r>
      <w:r w:rsidR="00DE61EA" w:rsidRPr="00A469EA">
        <w:rPr>
          <w:lang w:val="en-GB"/>
        </w:rPr>
        <w:t>to</w:t>
      </w:r>
      <w:r w:rsidR="00B603D5" w:rsidRPr="00A469EA">
        <w:rPr>
          <w:lang w:val="en-GB"/>
        </w:rPr>
        <w:t xml:space="preserve"> </w:t>
      </w:r>
      <w:r w:rsidR="00896CFE" w:rsidRPr="00A469EA">
        <w:rPr>
          <w:lang w:val="en-GB"/>
        </w:rPr>
        <w:t xml:space="preserve">promoting </w:t>
      </w:r>
      <w:r w:rsidR="00B603D5" w:rsidRPr="00A469EA">
        <w:rPr>
          <w:lang w:val="en-GB"/>
        </w:rPr>
        <w:t>integrity, transparency and accountability</w:t>
      </w:r>
      <w:r w:rsidR="00C64725" w:rsidRPr="00A469EA">
        <w:rPr>
          <w:lang w:val="en-GB"/>
        </w:rPr>
        <w:t>,</w:t>
      </w:r>
      <w:r w:rsidR="00B603D5" w:rsidRPr="00A469EA">
        <w:rPr>
          <w:lang w:val="en-GB"/>
        </w:rPr>
        <w:t xml:space="preserve"> as well </w:t>
      </w:r>
      <w:r w:rsidR="00C64725" w:rsidRPr="00A469EA">
        <w:rPr>
          <w:lang w:val="en-GB"/>
        </w:rPr>
        <w:t xml:space="preserve">as </w:t>
      </w:r>
      <w:r w:rsidR="00B603D5" w:rsidRPr="00A469EA">
        <w:rPr>
          <w:lang w:val="en-GB"/>
        </w:rPr>
        <w:t>greater response to voice, inclusion, participation and women’s empowerment</w:t>
      </w:r>
      <w:r w:rsidRPr="00A469EA">
        <w:rPr>
          <w:lang w:val="en-GB"/>
        </w:rPr>
        <w:t>.</w:t>
      </w:r>
      <w:r w:rsidR="00B603D5" w:rsidRPr="00A469EA">
        <w:rPr>
          <w:lang w:val="en-GB"/>
        </w:rPr>
        <w:t xml:space="preserve"> </w:t>
      </w:r>
      <w:r w:rsidR="00B0682C" w:rsidRPr="00A469EA">
        <w:rPr>
          <w:lang w:val="en-GB"/>
        </w:rPr>
        <w:t xml:space="preserve"> </w:t>
      </w:r>
    </w:p>
    <w:p w14:paraId="6FC635D4" w14:textId="06A0CCDD" w:rsidR="00447545" w:rsidRPr="00A469EA" w:rsidRDefault="004904B4" w:rsidP="00F54C70">
      <w:pPr>
        <w:pStyle w:val="ListParagraph"/>
        <w:numPr>
          <w:ilvl w:val="0"/>
          <w:numId w:val="39"/>
        </w:numPr>
        <w:tabs>
          <w:tab w:val="left" w:pos="450"/>
        </w:tabs>
        <w:spacing w:after="120"/>
        <w:ind w:left="0" w:right="450" w:firstLine="0"/>
        <w:jc w:val="both"/>
        <w:rPr>
          <w:lang w:val="en-GB"/>
        </w:rPr>
      </w:pPr>
      <w:r w:rsidRPr="00A469EA">
        <w:rPr>
          <w:rFonts w:asciiTheme="majorBidi" w:hAnsiTheme="majorBidi" w:cstheme="majorBidi"/>
          <w:i/>
          <w:lang w:val="en-GB"/>
        </w:rPr>
        <w:t>At the institutional level</w:t>
      </w:r>
      <w:r w:rsidRPr="00A469EA">
        <w:rPr>
          <w:rFonts w:asciiTheme="majorBidi" w:hAnsiTheme="majorBidi" w:cstheme="majorBidi"/>
          <w:lang w:val="en-GB"/>
        </w:rPr>
        <w:t>, UNDP will capitalize on the achievements</w:t>
      </w:r>
      <w:r w:rsidR="00C6186C" w:rsidRPr="00A469EA">
        <w:rPr>
          <w:rFonts w:asciiTheme="majorBidi" w:hAnsiTheme="majorBidi" w:cstheme="majorBidi"/>
          <w:lang w:val="en-GB"/>
        </w:rPr>
        <w:t xml:space="preserve"> </w:t>
      </w:r>
      <w:r w:rsidRPr="00A469EA">
        <w:rPr>
          <w:rFonts w:asciiTheme="majorBidi" w:hAnsiTheme="majorBidi" w:cstheme="majorBidi"/>
          <w:lang w:val="en-GB"/>
        </w:rPr>
        <w:t xml:space="preserve">of the previous cycle as recognized in </w:t>
      </w:r>
      <w:r w:rsidR="00BF4686" w:rsidRPr="00A469EA">
        <w:rPr>
          <w:rFonts w:asciiTheme="majorBidi" w:hAnsiTheme="majorBidi" w:cstheme="majorBidi"/>
          <w:lang w:val="en-GB"/>
        </w:rPr>
        <w:t xml:space="preserve">the </w:t>
      </w:r>
      <w:r w:rsidR="002650EF" w:rsidRPr="00A469EA">
        <w:rPr>
          <w:rFonts w:asciiTheme="majorBidi" w:hAnsiTheme="majorBidi" w:cstheme="majorBidi"/>
          <w:lang w:val="en-GB"/>
        </w:rPr>
        <w:t>ADR</w:t>
      </w:r>
      <w:r w:rsidR="00C64725" w:rsidRPr="00A469EA">
        <w:rPr>
          <w:rFonts w:asciiTheme="majorBidi" w:hAnsiTheme="majorBidi" w:cstheme="majorBidi"/>
          <w:lang w:val="en-GB"/>
        </w:rPr>
        <w:t xml:space="preserve"> </w:t>
      </w:r>
      <w:r w:rsidR="00BF4686" w:rsidRPr="00A469EA">
        <w:rPr>
          <w:rFonts w:asciiTheme="majorBidi" w:hAnsiTheme="majorBidi" w:cstheme="majorBidi"/>
          <w:lang w:val="en-GB"/>
        </w:rPr>
        <w:t xml:space="preserve">by investing in systematic </w:t>
      </w:r>
      <w:r w:rsidRPr="00A469EA">
        <w:rPr>
          <w:rFonts w:asciiTheme="majorBidi" w:hAnsiTheme="majorBidi" w:cstheme="majorBidi"/>
          <w:lang w:val="en-GB"/>
        </w:rPr>
        <w:t xml:space="preserve">capacity </w:t>
      </w:r>
      <w:r w:rsidR="00176741" w:rsidRPr="00A469EA">
        <w:rPr>
          <w:rFonts w:asciiTheme="majorBidi" w:hAnsiTheme="majorBidi" w:cstheme="majorBidi"/>
          <w:lang w:val="en-GB"/>
        </w:rPr>
        <w:t xml:space="preserve">development </w:t>
      </w:r>
      <w:r w:rsidRPr="00A469EA">
        <w:rPr>
          <w:rFonts w:asciiTheme="majorBidi" w:hAnsiTheme="majorBidi" w:cstheme="majorBidi"/>
          <w:lang w:val="en-GB"/>
        </w:rPr>
        <w:t>to</w:t>
      </w:r>
      <w:r w:rsidR="001F524A" w:rsidRPr="00A469EA">
        <w:rPr>
          <w:rFonts w:asciiTheme="majorBidi" w:hAnsiTheme="majorBidi" w:cstheme="majorBidi"/>
          <w:lang w:val="en-GB"/>
        </w:rPr>
        <w:t>:</w:t>
      </w:r>
    </w:p>
    <w:p w14:paraId="3312BB0B" w14:textId="6501F6E9" w:rsidR="00FA052D" w:rsidRPr="00A469EA" w:rsidRDefault="002650EF" w:rsidP="00AF7CCF">
      <w:pPr>
        <w:pStyle w:val="ListParagraph"/>
        <w:numPr>
          <w:ilvl w:val="0"/>
          <w:numId w:val="61"/>
        </w:numPr>
        <w:tabs>
          <w:tab w:val="left" w:pos="1080"/>
        </w:tabs>
        <w:spacing w:after="120"/>
        <w:ind w:left="720" w:right="450"/>
        <w:jc w:val="both"/>
        <w:rPr>
          <w:lang w:val="en-GB"/>
        </w:rPr>
      </w:pPr>
      <w:r w:rsidRPr="00A469EA">
        <w:rPr>
          <w:lang w:val="en-GB"/>
        </w:rPr>
        <w:t xml:space="preserve">Support </w:t>
      </w:r>
      <w:r w:rsidR="00BF4686" w:rsidRPr="00A469EA">
        <w:rPr>
          <w:lang w:val="en-GB"/>
        </w:rPr>
        <w:t xml:space="preserve">the </w:t>
      </w:r>
      <w:r w:rsidR="00BF4686" w:rsidRPr="00A469EA">
        <w:rPr>
          <w:b/>
          <w:lang w:val="en-GB"/>
        </w:rPr>
        <w:t>democratic process</w:t>
      </w:r>
      <w:r w:rsidR="00BF4686" w:rsidRPr="00A469EA">
        <w:rPr>
          <w:lang w:val="en-GB"/>
        </w:rPr>
        <w:t xml:space="preserve"> through </w:t>
      </w:r>
      <w:r w:rsidRPr="00A469EA">
        <w:rPr>
          <w:lang w:val="en-GB"/>
        </w:rPr>
        <w:t xml:space="preserve">assistance </w:t>
      </w:r>
      <w:r w:rsidR="00176741" w:rsidRPr="00A469EA">
        <w:rPr>
          <w:lang w:val="en-GB"/>
        </w:rPr>
        <w:t xml:space="preserve">to </w:t>
      </w:r>
      <w:r w:rsidR="00BF4686" w:rsidRPr="00A469EA">
        <w:rPr>
          <w:lang w:val="en-GB"/>
        </w:rPr>
        <w:t>the National Election Commission</w:t>
      </w:r>
      <w:r w:rsidR="00C64725" w:rsidRPr="00A469EA">
        <w:rPr>
          <w:lang w:val="en-GB"/>
        </w:rPr>
        <w:t>,</w:t>
      </w:r>
      <w:r w:rsidR="00BF4686" w:rsidRPr="00A469EA">
        <w:rPr>
          <w:lang w:val="en-GB"/>
        </w:rPr>
        <w:t xml:space="preserve"> Parliament</w:t>
      </w:r>
      <w:r w:rsidR="00ED644C" w:rsidRPr="00A469EA">
        <w:rPr>
          <w:lang w:val="en-GB"/>
        </w:rPr>
        <w:t xml:space="preserve"> and provincial </w:t>
      </w:r>
      <w:r w:rsidR="00C42393" w:rsidRPr="00A469EA">
        <w:rPr>
          <w:lang w:val="en-GB"/>
        </w:rPr>
        <w:t>assemblies</w:t>
      </w:r>
      <w:r w:rsidR="00176741" w:rsidRPr="00A469EA">
        <w:rPr>
          <w:lang w:val="en-GB"/>
        </w:rPr>
        <w:t xml:space="preserve">. UNDP will assist </w:t>
      </w:r>
      <w:r w:rsidR="00BF4686" w:rsidRPr="00A469EA">
        <w:rPr>
          <w:lang w:val="en-GB"/>
        </w:rPr>
        <w:t>women parliamentarians’ caucuses for effective oversight and participation</w:t>
      </w:r>
      <w:r w:rsidR="00C64725" w:rsidRPr="00A469EA">
        <w:rPr>
          <w:lang w:val="en-GB"/>
        </w:rPr>
        <w:t>,</w:t>
      </w:r>
      <w:r w:rsidR="00CC03A4" w:rsidRPr="00A469EA">
        <w:rPr>
          <w:lang w:val="en-GB"/>
        </w:rPr>
        <w:t xml:space="preserve"> in addition to </w:t>
      </w:r>
      <w:r w:rsidR="00176741" w:rsidRPr="00A469EA">
        <w:rPr>
          <w:lang w:val="en-GB"/>
        </w:rPr>
        <w:t>extend</w:t>
      </w:r>
      <w:r w:rsidR="00CC03A4" w:rsidRPr="00A469EA">
        <w:rPr>
          <w:lang w:val="en-GB"/>
        </w:rPr>
        <w:t>ing</w:t>
      </w:r>
      <w:r w:rsidR="00171590" w:rsidRPr="00A469EA">
        <w:rPr>
          <w:lang w:val="en-GB"/>
        </w:rPr>
        <w:t xml:space="preserve"> </w:t>
      </w:r>
      <w:r w:rsidR="00176741" w:rsidRPr="00A469EA">
        <w:rPr>
          <w:lang w:val="en-GB"/>
        </w:rPr>
        <w:t xml:space="preserve">support </w:t>
      </w:r>
      <w:r w:rsidR="00171590" w:rsidRPr="00A469EA">
        <w:rPr>
          <w:lang w:val="en-GB"/>
        </w:rPr>
        <w:t xml:space="preserve">to </w:t>
      </w:r>
      <w:r w:rsidR="00BF4686" w:rsidRPr="00A469EA">
        <w:rPr>
          <w:lang w:val="en-GB"/>
        </w:rPr>
        <w:t>the formulation of legislation to advance decentralization</w:t>
      </w:r>
      <w:r w:rsidR="00FA052D" w:rsidRPr="00A469EA">
        <w:rPr>
          <w:lang w:val="en-GB"/>
        </w:rPr>
        <w:t>. This will include the devolution of accountability, transparency and fiscal management, alongside support</w:t>
      </w:r>
      <w:r w:rsidR="00BF4686" w:rsidRPr="00A469EA">
        <w:rPr>
          <w:lang w:val="en-GB"/>
        </w:rPr>
        <w:t xml:space="preserve"> </w:t>
      </w:r>
      <w:r w:rsidR="00FA052D" w:rsidRPr="00A469EA">
        <w:rPr>
          <w:lang w:val="en-GB"/>
        </w:rPr>
        <w:t xml:space="preserve">for </w:t>
      </w:r>
      <w:r w:rsidR="00BF4686" w:rsidRPr="00A469EA">
        <w:rPr>
          <w:lang w:val="en-GB"/>
        </w:rPr>
        <w:t>inter-pr</w:t>
      </w:r>
      <w:r w:rsidR="00FA052D" w:rsidRPr="00A469EA">
        <w:rPr>
          <w:lang w:val="en-GB"/>
        </w:rPr>
        <w:t>ovincial mechanisms</w:t>
      </w:r>
      <w:r w:rsidR="005920D1" w:rsidRPr="00A469EA">
        <w:rPr>
          <w:lang w:val="en-GB"/>
        </w:rPr>
        <w:t xml:space="preserve">, most prominently using </w:t>
      </w:r>
      <w:r w:rsidR="00C64725" w:rsidRPr="00A469EA">
        <w:rPr>
          <w:lang w:val="en-GB"/>
        </w:rPr>
        <w:t xml:space="preserve">the organization’s </w:t>
      </w:r>
      <w:r w:rsidR="005920D1" w:rsidRPr="00A469EA">
        <w:rPr>
          <w:lang w:val="en-GB"/>
        </w:rPr>
        <w:t xml:space="preserve">comparative advantage of </w:t>
      </w:r>
      <w:r w:rsidR="00C64725" w:rsidRPr="00A469EA">
        <w:rPr>
          <w:lang w:val="en-GB"/>
        </w:rPr>
        <w:t xml:space="preserve">having </w:t>
      </w:r>
      <w:r w:rsidR="005920D1" w:rsidRPr="00A469EA">
        <w:rPr>
          <w:lang w:val="en-GB"/>
        </w:rPr>
        <w:t xml:space="preserve">access to </w:t>
      </w:r>
      <w:r w:rsidR="00ED644C" w:rsidRPr="00A469EA">
        <w:rPr>
          <w:lang w:val="en-GB"/>
        </w:rPr>
        <w:t>the Federally Administered Tribal Areas (</w:t>
      </w:r>
      <w:r w:rsidR="005920D1" w:rsidRPr="00A469EA">
        <w:rPr>
          <w:lang w:val="en-GB"/>
        </w:rPr>
        <w:t>FATA</w:t>
      </w:r>
      <w:r w:rsidR="00ED644C" w:rsidRPr="00A469EA">
        <w:rPr>
          <w:lang w:val="en-GB"/>
        </w:rPr>
        <w:t>)</w:t>
      </w:r>
      <w:r w:rsidR="005920D1" w:rsidRPr="00A469EA">
        <w:rPr>
          <w:lang w:val="en-GB"/>
        </w:rPr>
        <w:t xml:space="preserve"> in support of reform processes. </w:t>
      </w:r>
      <w:r w:rsidR="00BF4686" w:rsidRPr="00A469EA">
        <w:rPr>
          <w:lang w:val="en-GB"/>
        </w:rPr>
        <w:t xml:space="preserve"> </w:t>
      </w:r>
    </w:p>
    <w:p w14:paraId="64BCD0FF" w14:textId="6BEA127C" w:rsidR="00FA052D" w:rsidRPr="00A469EA" w:rsidRDefault="00C64725" w:rsidP="00AF7CCF">
      <w:pPr>
        <w:pStyle w:val="ListParagraph"/>
        <w:numPr>
          <w:ilvl w:val="0"/>
          <w:numId w:val="61"/>
        </w:numPr>
        <w:tabs>
          <w:tab w:val="left" w:pos="1080"/>
        </w:tabs>
        <w:spacing w:after="120"/>
        <w:ind w:left="720" w:right="450"/>
        <w:jc w:val="both"/>
        <w:rPr>
          <w:lang w:val="en-GB"/>
        </w:rPr>
      </w:pPr>
      <w:r w:rsidRPr="00A469EA">
        <w:rPr>
          <w:rFonts w:asciiTheme="majorBidi" w:hAnsiTheme="majorBidi" w:cstheme="majorBidi"/>
          <w:b/>
          <w:lang w:val="en-GB"/>
        </w:rPr>
        <w:t>Pursue s</w:t>
      </w:r>
      <w:r w:rsidR="00FA052D" w:rsidRPr="00A469EA">
        <w:rPr>
          <w:rFonts w:asciiTheme="majorBidi" w:hAnsiTheme="majorBidi" w:cstheme="majorBidi"/>
          <w:b/>
          <w:lang w:val="en-GB"/>
        </w:rPr>
        <w:t>ervice delivery and administrative reforms</w:t>
      </w:r>
      <w:r w:rsidR="00B67BE7" w:rsidRPr="00A469EA">
        <w:rPr>
          <w:rFonts w:asciiTheme="majorBidi" w:hAnsiTheme="majorBidi" w:cstheme="majorBidi"/>
          <w:b/>
          <w:lang w:val="en-GB"/>
        </w:rPr>
        <w:t xml:space="preserve"> </w:t>
      </w:r>
      <w:r w:rsidR="00FA052D" w:rsidRPr="00A469EA">
        <w:rPr>
          <w:rFonts w:asciiTheme="majorBidi" w:hAnsiTheme="majorBidi" w:cstheme="majorBidi"/>
          <w:lang w:val="en-GB"/>
        </w:rPr>
        <w:t xml:space="preserve">in cooperation with the </w:t>
      </w:r>
      <w:hyperlink r:id="rId12" w:history="1">
        <w:r w:rsidR="00FA052D" w:rsidRPr="00A469EA">
          <w:rPr>
            <w:rFonts w:asciiTheme="majorBidi" w:hAnsiTheme="majorBidi" w:cstheme="majorBidi"/>
            <w:lang w:val="en-GB"/>
          </w:rPr>
          <w:t>UNDP Global Centre for Public Service Excellence</w:t>
        </w:r>
      </w:hyperlink>
      <w:r w:rsidR="00FA052D" w:rsidRPr="00A469EA">
        <w:rPr>
          <w:rFonts w:asciiTheme="majorBidi" w:hAnsiTheme="majorBidi" w:cstheme="majorBidi"/>
          <w:lang w:val="en-GB"/>
        </w:rPr>
        <w:t xml:space="preserve"> for </w:t>
      </w:r>
      <w:r w:rsidR="00FA052D" w:rsidRPr="00A469EA">
        <w:rPr>
          <w:rFonts w:asciiTheme="majorBidi" w:hAnsiTheme="majorBidi" w:cstheme="majorBidi"/>
          <w:bCs/>
          <w:lang w:val="en-GB"/>
        </w:rPr>
        <w:t>South-South Cooperation</w:t>
      </w:r>
      <w:r w:rsidR="00B67BE7" w:rsidRPr="00A469EA">
        <w:rPr>
          <w:rFonts w:asciiTheme="majorBidi" w:hAnsiTheme="majorBidi" w:cstheme="majorBidi"/>
          <w:lang w:val="en-GB"/>
        </w:rPr>
        <w:t>. T</w:t>
      </w:r>
      <w:r w:rsidR="00FA052D" w:rsidRPr="00A469EA">
        <w:rPr>
          <w:rFonts w:asciiTheme="majorBidi" w:hAnsiTheme="majorBidi" w:cstheme="majorBidi"/>
          <w:lang w:val="en-GB"/>
        </w:rPr>
        <w:t xml:space="preserve">he </w:t>
      </w:r>
      <w:r w:rsidR="00451FD9" w:rsidRPr="00A469EA">
        <w:rPr>
          <w:rFonts w:asciiTheme="majorBidi" w:hAnsiTheme="majorBidi" w:cstheme="majorBidi"/>
          <w:lang w:val="en-GB"/>
        </w:rPr>
        <w:t>i</w:t>
      </w:r>
      <w:r w:rsidR="00FA052D" w:rsidRPr="00A469EA">
        <w:rPr>
          <w:rFonts w:asciiTheme="majorBidi" w:hAnsiTheme="majorBidi" w:cstheme="majorBidi"/>
          <w:lang w:val="en-GB"/>
        </w:rPr>
        <w:t xml:space="preserve">nstitutional </w:t>
      </w:r>
      <w:r w:rsidR="00451FD9" w:rsidRPr="00A469EA">
        <w:rPr>
          <w:rFonts w:asciiTheme="majorBidi" w:hAnsiTheme="majorBidi" w:cstheme="majorBidi"/>
          <w:lang w:val="en-GB"/>
        </w:rPr>
        <w:t>p</w:t>
      </w:r>
      <w:r w:rsidR="00FA052D" w:rsidRPr="00A469EA">
        <w:rPr>
          <w:rFonts w:asciiTheme="majorBidi" w:hAnsiTheme="majorBidi" w:cstheme="majorBidi"/>
          <w:lang w:val="en-GB"/>
        </w:rPr>
        <w:t xml:space="preserve">erformance </w:t>
      </w:r>
      <w:r w:rsidR="00451FD9" w:rsidRPr="00A469EA">
        <w:rPr>
          <w:rFonts w:asciiTheme="majorBidi" w:hAnsiTheme="majorBidi" w:cstheme="majorBidi"/>
          <w:lang w:val="en-GB"/>
        </w:rPr>
        <w:t>i</w:t>
      </w:r>
      <w:r w:rsidR="00FA052D" w:rsidRPr="00A469EA">
        <w:rPr>
          <w:rFonts w:asciiTheme="majorBidi" w:hAnsiTheme="majorBidi" w:cstheme="majorBidi"/>
          <w:lang w:val="en-GB"/>
        </w:rPr>
        <w:t xml:space="preserve">ndex will be rolled out to promote the </w:t>
      </w:r>
      <w:r w:rsidR="00B67BE7" w:rsidRPr="00A469EA">
        <w:rPr>
          <w:rFonts w:asciiTheme="majorBidi" w:hAnsiTheme="majorBidi" w:cstheme="majorBidi"/>
          <w:lang w:val="en-GB"/>
        </w:rPr>
        <w:t xml:space="preserve">responsiveness </w:t>
      </w:r>
      <w:r w:rsidR="00FA052D" w:rsidRPr="00A469EA">
        <w:rPr>
          <w:rFonts w:asciiTheme="majorBidi" w:hAnsiTheme="majorBidi" w:cstheme="majorBidi"/>
          <w:lang w:val="en-GB"/>
        </w:rPr>
        <w:t>of public sector institutions</w:t>
      </w:r>
      <w:r w:rsidR="00B67BE7" w:rsidRPr="00A469EA">
        <w:rPr>
          <w:rFonts w:asciiTheme="majorBidi" w:hAnsiTheme="majorBidi" w:cstheme="majorBidi"/>
          <w:lang w:val="en-GB"/>
        </w:rPr>
        <w:t xml:space="preserve"> and </w:t>
      </w:r>
      <w:r w:rsidR="00FA052D" w:rsidRPr="00A469EA">
        <w:rPr>
          <w:rFonts w:asciiTheme="majorBidi" w:hAnsiTheme="majorBidi" w:cstheme="majorBidi"/>
          <w:lang w:val="en-GB"/>
        </w:rPr>
        <w:t xml:space="preserve">the </w:t>
      </w:r>
      <w:r w:rsidR="00451FD9" w:rsidRPr="00A469EA">
        <w:rPr>
          <w:rFonts w:asciiTheme="majorBidi" w:hAnsiTheme="majorBidi" w:cstheme="majorBidi"/>
          <w:lang w:val="en-GB"/>
        </w:rPr>
        <w:t>c</w:t>
      </w:r>
      <w:r w:rsidR="00FA052D" w:rsidRPr="00A469EA">
        <w:rPr>
          <w:rFonts w:asciiTheme="majorBidi" w:hAnsiTheme="majorBidi" w:cstheme="majorBidi"/>
          <w:lang w:val="en-GB"/>
        </w:rPr>
        <w:t xml:space="preserve">itizen </w:t>
      </w:r>
      <w:r w:rsidR="00451FD9" w:rsidRPr="00A469EA">
        <w:rPr>
          <w:rFonts w:asciiTheme="majorBidi" w:hAnsiTheme="majorBidi" w:cstheme="majorBidi"/>
          <w:lang w:val="en-GB"/>
        </w:rPr>
        <w:t>s</w:t>
      </w:r>
      <w:r w:rsidR="00FA052D" w:rsidRPr="00A469EA">
        <w:rPr>
          <w:rFonts w:asciiTheme="majorBidi" w:hAnsiTheme="majorBidi" w:cstheme="majorBidi"/>
          <w:lang w:val="en-GB"/>
        </w:rPr>
        <w:t xml:space="preserve">atisfaction </w:t>
      </w:r>
      <w:r w:rsidR="00451FD9" w:rsidRPr="00A469EA">
        <w:rPr>
          <w:rFonts w:asciiTheme="majorBidi" w:hAnsiTheme="majorBidi" w:cstheme="majorBidi"/>
          <w:lang w:val="en-GB"/>
        </w:rPr>
        <w:t>i</w:t>
      </w:r>
      <w:r w:rsidR="00FA052D" w:rsidRPr="00A469EA">
        <w:rPr>
          <w:rFonts w:asciiTheme="majorBidi" w:hAnsiTheme="majorBidi" w:cstheme="majorBidi"/>
          <w:lang w:val="en-GB"/>
        </w:rPr>
        <w:t>ndex will be introduced as a complementary accountability and performance tool based on citizen’s perception of service delivery.</w:t>
      </w:r>
      <w:r w:rsidR="00FA052D" w:rsidRPr="00A469EA">
        <w:rPr>
          <w:lang w:val="en-GB"/>
        </w:rPr>
        <w:t xml:space="preserve"> </w:t>
      </w:r>
    </w:p>
    <w:p w14:paraId="62801F64" w14:textId="2C715547" w:rsidR="00BF4686" w:rsidRPr="00A469EA" w:rsidRDefault="005D6E7B" w:rsidP="00AF7CCF">
      <w:pPr>
        <w:pStyle w:val="ListParagraph"/>
        <w:numPr>
          <w:ilvl w:val="0"/>
          <w:numId w:val="61"/>
        </w:numPr>
        <w:tabs>
          <w:tab w:val="left" w:pos="1080"/>
        </w:tabs>
        <w:spacing w:after="120"/>
        <w:ind w:left="720" w:right="450"/>
        <w:jc w:val="both"/>
        <w:rPr>
          <w:rFonts w:asciiTheme="majorBidi" w:hAnsiTheme="majorBidi" w:cstheme="majorBidi"/>
          <w:lang w:val="en-GB"/>
        </w:rPr>
      </w:pPr>
      <w:r w:rsidRPr="00A469EA">
        <w:rPr>
          <w:lang w:val="en-GB"/>
        </w:rPr>
        <w:t>Support t</w:t>
      </w:r>
      <w:r w:rsidR="00BF4686" w:rsidRPr="00A469EA">
        <w:rPr>
          <w:lang w:val="en-GB"/>
        </w:rPr>
        <w:t xml:space="preserve">he primary </w:t>
      </w:r>
      <w:r w:rsidR="00BF4686" w:rsidRPr="00A469EA">
        <w:rPr>
          <w:b/>
          <w:lang w:val="en-GB"/>
        </w:rPr>
        <w:t>rule of law</w:t>
      </w:r>
      <w:r w:rsidR="00BF4686" w:rsidRPr="00A469EA">
        <w:rPr>
          <w:lang w:val="en-GB"/>
        </w:rPr>
        <w:t xml:space="preserve"> institutions</w:t>
      </w:r>
      <w:r w:rsidRPr="00A469EA">
        <w:rPr>
          <w:lang w:val="en-GB"/>
        </w:rPr>
        <w:t>,</w:t>
      </w:r>
      <w:r w:rsidR="000B2A9F" w:rsidRPr="00A469EA">
        <w:rPr>
          <w:lang w:val="en-GB"/>
        </w:rPr>
        <w:t xml:space="preserve"> </w:t>
      </w:r>
      <w:r w:rsidR="000B2A9F" w:rsidRPr="00A469EA">
        <w:rPr>
          <w:rFonts w:asciiTheme="majorBidi" w:hAnsiTheme="majorBidi" w:cstheme="majorBidi"/>
          <w:lang w:val="en-GB"/>
        </w:rPr>
        <w:t>including the police a</w:t>
      </w:r>
      <w:r w:rsidR="00227675" w:rsidRPr="00A469EA">
        <w:rPr>
          <w:rFonts w:asciiTheme="majorBidi" w:hAnsiTheme="majorBidi" w:cstheme="majorBidi"/>
          <w:lang w:val="en-GB"/>
        </w:rPr>
        <w:t>nd criminal justice bodies</w:t>
      </w:r>
      <w:r w:rsidR="000B2A9F" w:rsidRPr="00A469EA">
        <w:rPr>
          <w:rFonts w:asciiTheme="majorBidi" w:hAnsiTheme="majorBidi" w:cstheme="majorBidi"/>
          <w:lang w:val="en-GB"/>
        </w:rPr>
        <w:t xml:space="preserve"> </w:t>
      </w:r>
      <w:r w:rsidR="00227675" w:rsidRPr="00A469EA">
        <w:rPr>
          <w:rFonts w:asciiTheme="majorBidi" w:hAnsiTheme="majorBidi" w:cstheme="majorBidi"/>
          <w:lang w:val="en-GB"/>
        </w:rPr>
        <w:t xml:space="preserve">to increase access to justice and legal aid. </w:t>
      </w:r>
      <w:r w:rsidRPr="00A469EA">
        <w:rPr>
          <w:rFonts w:asciiTheme="majorBidi" w:hAnsiTheme="majorBidi" w:cstheme="majorBidi"/>
          <w:lang w:val="en-GB"/>
        </w:rPr>
        <w:t>UNDP will also s</w:t>
      </w:r>
      <w:r w:rsidR="000B2A9F" w:rsidRPr="00A469EA">
        <w:rPr>
          <w:rFonts w:asciiTheme="majorBidi" w:hAnsiTheme="majorBidi" w:cstheme="majorBidi"/>
          <w:lang w:val="en-GB"/>
        </w:rPr>
        <w:t xml:space="preserve">trengthen the </w:t>
      </w:r>
      <w:r w:rsidR="001324D8" w:rsidRPr="00A469EA">
        <w:rPr>
          <w:lang w:val="en-GB"/>
        </w:rPr>
        <w:t>federal and provincial institutional capacities for the effective implementation of governance mechanisms contributing to enhanced public service delivery.</w:t>
      </w:r>
    </w:p>
    <w:p w14:paraId="6B97CD9D" w14:textId="16AC5B7B" w:rsidR="00BF4686" w:rsidRPr="00A469EA" w:rsidRDefault="00BF4686" w:rsidP="00AF7CCF">
      <w:pPr>
        <w:pStyle w:val="ListParagraph"/>
        <w:numPr>
          <w:ilvl w:val="0"/>
          <w:numId w:val="61"/>
        </w:numPr>
        <w:tabs>
          <w:tab w:val="left" w:pos="1080"/>
        </w:tabs>
        <w:spacing w:after="120"/>
        <w:ind w:left="720" w:right="450"/>
        <w:jc w:val="both"/>
        <w:rPr>
          <w:lang w:val="en-GB"/>
        </w:rPr>
      </w:pPr>
      <w:r w:rsidRPr="00A469EA">
        <w:rPr>
          <w:lang w:val="en-GB"/>
        </w:rPr>
        <w:t>S</w:t>
      </w:r>
      <w:r w:rsidR="001F524A" w:rsidRPr="00A469EA">
        <w:rPr>
          <w:lang w:val="en-GB"/>
        </w:rPr>
        <w:t xml:space="preserve">trengthen </w:t>
      </w:r>
      <w:r w:rsidR="008A65A0" w:rsidRPr="00A469EA">
        <w:rPr>
          <w:lang w:val="en-GB"/>
        </w:rPr>
        <w:t xml:space="preserve">capacities </w:t>
      </w:r>
      <w:r w:rsidR="007A5F0C" w:rsidRPr="00A469EA">
        <w:rPr>
          <w:lang w:val="en-GB"/>
        </w:rPr>
        <w:t xml:space="preserve">for </w:t>
      </w:r>
      <w:r w:rsidR="007A5F0C" w:rsidRPr="00A469EA">
        <w:rPr>
          <w:b/>
          <w:lang w:val="en-GB"/>
        </w:rPr>
        <w:t>achievement</w:t>
      </w:r>
      <w:r w:rsidR="007A5F0C" w:rsidRPr="00A469EA">
        <w:rPr>
          <w:lang w:val="en-GB"/>
        </w:rPr>
        <w:t xml:space="preserve"> </w:t>
      </w:r>
      <w:r w:rsidR="009B6D0F">
        <w:rPr>
          <w:lang w:val="en-GB"/>
        </w:rPr>
        <w:t xml:space="preserve">of the Goals </w:t>
      </w:r>
      <w:r w:rsidR="007A5F0C" w:rsidRPr="00A469EA">
        <w:rPr>
          <w:lang w:val="en-GB"/>
        </w:rPr>
        <w:t>at the national and provincial level</w:t>
      </w:r>
      <w:r w:rsidR="008A65A0" w:rsidRPr="00A469EA">
        <w:rPr>
          <w:lang w:val="en-GB"/>
        </w:rPr>
        <w:t xml:space="preserve">, which </w:t>
      </w:r>
      <w:r w:rsidR="00925F05" w:rsidRPr="00A469EA">
        <w:rPr>
          <w:lang w:val="en-GB"/>
        </w:rPr>
        <w:t>will include</w:t>
      </w:r>
      <w:r w:rsidR="007A5F0C" w:rsidRPr="00A469EA">
        <w:rPr>
          <w:lang w:val="en-GB"/>
        </w:rPr>
        <w:t xml:space="preserve"> horizontal </w:t>
      </w:r>
      <w:r w:rsidR="00925F05" w:rsidRPr="00A469EA">
        <w:rPr>
          <w:lang w:val="en-GB"/>
        </w:rPr>
        <w:t xml:space="preserve">coordination </w:t>
      </w:r>
      <w:r w:rsidR="007A5F0C" w:rsidRPr="00A469EA">
        <w:rPr>
          <w:lang w:val="en-GB"/>
        </w:rPr>
        <w:t>across sectors</w:t>
      </w:r>
      <w:r w:rsidR="00925F05" w:rsidRPr="00A469EA">
        <w:rPr>
          <w:lang w:val="en-GB"/>
        </w:rPr>
        <w:t xml:space="preserve"> and </w:t>
      </w:r>
      <w:r w:rsidR="00B9322A" w:rsidRPr="00A469EA">
        <w:rPr>
          <w:lang w:val="en-GB"/>
        </w:rPr>
        <w:t xml:space="preserve">public-private </w:t>
      </w:r>
      <w:r w:rsidR="00C42393" w:rsidRPr="00A469EA">
        <w:rPr>
          <w:lang w:val="en-GB"/>
        </w:rPr>
        <w:t>partnerships</w:t>
      </w:r>
      <w:r w:rsidR="00925F05" w:rsidRPr="00A469EA">
        <w:rPr>
          <w:lang w:val="en-GB"/>
        </w:rPr>
        <w:t>, and</w:t>
      </w:r>
      <w:r w:rsidR="007A5F0C" w:rsidRPr="00A469EA">
        <w:rPr>
          <w:lang w:val="en-GB"/>
        </w:rPr>
        <w:t xml:space="preserve"> vertical</w:t>
      </w:r>
      <w:r w:rsidR="008A65A0" w:rsidRPr="00A469EA">
        <w:rPr>
          <w:lang w:val="en-GB"/>
        </w:rPr>
        <w:t xml:space="preserve"> coordination</w:t>
      </w:r>
      <w:r w:rsidR="007A5F0C" w:rsidRPr="00A469EA">
        <w:rPr>
          <w:lang w:val="en-GB"/>
        </w:rPr>
        <w:t xml:space="preserve"> across various levels of </w:t>
      </w:r>
      <w:r w:rsidR="0057224B" w:rsidRPr="00A469EA">
        <w:rPr>
          <w:lang w:val="en-GB"/>
        </w:rPr>
        <w:t>the G</w:t>
      </w:r>
      <w:r w:rsidR="007A5F0C" w:rsidRPr="00A469EA">
        <w:rPr>
          <w:lang w:val="en-GB"/>
        </w:rPr>
        <w:t xml:space="preserve">overnment. </w:t>
      </w:r>
      <w:r w:rsidR="00B0682C" w:rsidRPr="00A469EA">
        <w:rPr>
          <w:lang w:val="en-GB"/>
        </w:rPr>
        <w:t xml:space="preserve">This will include identification of gaps and assessment of progress towards the </w:t>
      </w:r>
      <w:r w:rsidR="009B6D0F">
        <w:rPr>
          <w:lang w:val="en-GB"/>
        </w:rPr>
        <w:t xml:space="preserve">Goals </w:t>
      </w:r>
      <w:r w:rsidR="00B0682C" w:rsidRPr="00A469EA">
        <w:rPr>
          <w:lang w:val="en-GB"/>
        </w:rPr>
        <w:t xml:space="preserve">through </w:t>
      </w:r>
      <w:r w:rsidRPr="00A469EA">
        <w:rPr>
          <w:lang w:val="en-GB"/>
        </w:rPr>
        <w:t>research, analysis</w:t>
      </w:r>
      <w:r w:rsidR="00983B15" w:rsidRPr="00A469EA">
        <w:rPr>
          <w:lang w:val="en-GB"/>
        </w:rPr>
        <w:t>, innovation</w:t>
      </w:r>
      <w:r w:rsidRPr="00A469EA">
        <w:rPr>
          <w:lang w:val="en-GB"/>
        </w:rPr>
        <w:t xml:space="preserve"> and advocacy, including the </w:t>
      </w:r>
      <w:r w:rsidR="008A65A0" w:rsidRPr="00A469EA">
        <w:rPr>
          <w:lang w:val="en-GB"/>
        </w:rPr>
        <w:t>n</w:t>
      </w:r>
      <w:r w:rsidRPr="00A469EA">
        <w:rPr>
          <w:lang w:val="en-GB"/>
        </w:rPr>
        <w:t xml:space="preserve">ational </w:t>
      </w:r>
      <w:r w:rsidR="008A65A0" w:rsidRPr="00A469EA">
        <w:rPr>
          <w:lang w:val="en-GB"/>
        </w:rPr>
        <w:t>h</w:t>
      </w:r>
      <w:r w:rsidRPr="00A469EA">
        <w:rPr>
          <w:lang w:val="en-GB"/>
        </w:rPr>
        <w:t xml:space="preserve">uman </w:t>
      </w:r>
      <w:r w:rsidR="008A65A0" w:rsidRPr="00A469EA">
        <w:rPr>
          <w:lang w:val="en-GB"/>
        </w:rPr>
        <w:t>d</w:t>
      </w:r>
      <w:r w:rsidRPr="00A469EA">
        <w:rPr>
          <w:lang w:val="en-GB"/>
        </w:rPr>
        <w:t xml:space="preserve">evelopment </w:t>
      </w:r>
      <w:r w:rsidR="008A65A0" w:rsidRPr="00A469EA">
        <w:rPr>
          <w:lang w:val="en-GB"/>
        </w:rPr>
        <w:t>i</w:t>
      </w:r>
      <w:r w:rsidRPr="00A469EA">
        <w:rPr>
          <w:lang w:val="en-GB"/>
        </w:rPr>
        <w:t xml:space="preserve">ndex, the </w:t>
      </w:r>
      <w:r w:rsidR="008A65A0" w:rsidRPr="00A469EA">
        <w:rPr>
          <w:lang w:val="en-GB"/>
        </w:rPr>
        <w:t>m</w:t>
      </w:r>
      <w:r w:rsidRPr="00A469EA">
        <w:rPr>
          <w:lang w:val="en-GB"/>
        </w:rPr>
        <w:t>ulti-</w:t>
      </w:r>
      <w:r w:rsidR="008A65A0" w:rsidRPr="00A469EA">
        <w:rPr>
          <w:lang w:val="en-GB"/>
        </w:rPr>
        <w:t>d</w:t>
      </w:r>
      <w:r w:rsidRPr="00A469EA">
        <w:rPr>
          <w:lang w:val="en-GB"/>
        </w:rPr>
        <w:t xml:space="preserve">imensional </w:t>
      </w:r>
      <w:r w:rsidR="008A65A0" w:rsidRPr="00A469EA">
        <w:rPr>
          <w:lang w:val="en-GB"/>
        </w:rPr>
        <w:t>p</w:t>
      </w:r>
      <w:r w:rsidRPr="00A469EA">
        <w:rPr>
          <w:lang w:val="en-GB"/>
        </w:rPr>
        <w:t xml:space="preserve">overty </w:t>
      </w:r>
      <w:r w:rsidR="008A65A0" w:rsidRPr="00A469EA">
        <w:rPr>
          <w:lang w:val="en-GB"/>
        </w:rPr>
        <w:t>i</w:t>
      </w:r>
      <w:r w:rsidRPr="00A469EA">
        <w:rPr>
          <w:lang w:val="en-GB"/>
        </w:rPr>
        <w:t xml:space="preserve">ndex and the </w:t>
      </w:r>
      <w:r w:rsidR="008A65A0" w:rsidRPr="00A469EA">
        <w:rPr>
          <w:lang w:val="en-GB"/>
        </w:rPr>
        <w:t>d</w:t>
      </w:r>
      <w:r w:rsidRPr="00A469EA">
        <w:rPr>
          <w:lang w:val="en-GB"/>
        </w:rPr>
        <w:t xml:space="preserve">evelopment </w:t>
      </w:r>
      <w:r w:rsidR="008A65A0" w:rsidRPr="00A469EA">
        <w:rPr>
          <w:lang w:val="en-GB"/>
        </w:rPr>
        <w:t>f</w:t>
      </w:r>
      <w:r w:rsidRPr="00A469EA">
        <w:rPr>
          <w:lang w:val="en-GB"/>
        </w:rPr>
        <w:t xml:space="preserve">inance </w:t>
      </w:r>
      <w:r w:rsidR="008A65A0" w:rsidRPr="00A469EA">
        <w:rPr>
          <w:lang w:val="en-GB"/>
        </w:rPr>
        <w:t>a</w:t>
      </w:r>
      <w:r w:rsidRPr="00A469EA">
        <w:rPr>
          <w:lang w:val="en-GB"/>
        </w:rPr>
        <w:t>ssessment.</w:t>
      </w:r>
    </w:p>
    <w:p w14:paraId="518AFA1B" w14:textId="1875104A" w:rsidR="00A2220F" w:rsidRPr="00A469EA" w:rsidRDefault="00BF4686" w:rsidP="00AF7CCF">
      <w:pPr>
        <w:pStyle w:val="ListParagraph"/>
        <w:numPr>
          <w:ilvl w:val="0"/>
          <w:numId w:val="61"/>
        </w:numPr>
        <w:tabs>
          <w:tab w:val="left" w:pos="1080"/>
        </w:tabs>
        <w:ind w:left="720" w:right="450"/>
        <w:jc w:val="both"/>
        <w:rPr>
          <w:lang w:val="en-GB"/>
        </w:rPr>
      </w:pPr>
      <w:r w:rsidRPr="00A469EA">
        <w:rPr>
          <w:rFonts w:asciiTheme="majorBidi" w:hAnsiTheme="majorBidi" w:cstheme="majorBidi"/>
          <w:lang w:val="en-GB"/>
        </w:rPr>
        <w:t xml:space="preserve">Support </w:t>
      </w:r>
      <w:r w:rsidRPr="00A469EA">
        <w:rPr>
          <w:rFonts w:asciiTheme="majorBidi" w:hAnsiTheme="majorBidi" w:cstheme="majorBidi"/>
          <w:b/>
          <w:lang w:val="en-GB"/>
        </w:rPr>
        <w:t>strategic policy dialogue</w:t>
      </w:r>
      <w:r w:rsidR="001324D8" w:rsidRPr="00A469EA">
        <w:rPr>
          <w:rFonts w:asciiTheme="majorBidi" w:hAnsiTheme="majorBidi" w:cstheme="majorBidi"/>
          <w:b/>
          <w:lang w:val="en-GB"/>
        </w:rPr>
        <w:t xml:space="preserve"> </w:t>
      </w:r>
      <w:r w:rsidR="00753043" w:rsidRPr="00A469EA">
        <w:rPr>
          <w:rFonts w:asciiTheme="majorBidi" w:hAnsiTheme="majorBidi" w:cstheme="majorBidi"/>
          <w:lang w:val="en-GB"/>
        </w:rPr>
        <w:t>t</w:t>
      </w:r>
      <w:r w:rsidRPr="00A469EA">
        <w:rPr>
          <w:rFonts w:asciiTheme="majorBidi" w:hAnsiTheme="majorBidi" w:cstheme="majorBidi"/>
          <w:lang w:val="en-GB"/>
        </w:rPr>
        <w:t>hrough multi-stakeholder consultations with parliament, provincial assemblies</w:t>
      </w:r>
      <w:r w:rsidR="00DB5562" w:rsidRPr="00A469EA">
        <w:rPr>
          <w:rFonts w:asciiTheme="majorBidi" w:hAnsiTheme="majorBidi" w:cstheme="majorBidi"/>
          <w:lang w:val="en-GB"/>
        </w:rPr>
        <w:t xml:space="preserve">, </w:t>
      </w:r>
      <w:r w:rsidR="002022D2" w:rsidRPr="00A469EA">
        <w:rPr>
          <w:rFonts w:asciiTheme="majorBidi" w:hAnsiTheme="majorBidi" w:cstheme="majorBidi"/>
          <w:lang w:val="en-GB"/>
        </w:rPr>
        <w:t xml:space="preserve">federal and provincial ministries, </w:t>
      </w:r>
      <w:r w:rsidRPr="00A469EA">
        <w:rPr>
          <w:rFonts w:asciiTheme="majorBidi" w:hAnsiTheme="majorBidi" w:cstheme="majorBidi"/>
          <w:lang w:val="en-GB"/>
        </w:rPr>
        <w:t xml:space="preserve">district authorities, the media, civil society, the private sector and academia. </w:t>
      </w:r>
      <w:r w:rsidRPr="00A469EA">
        <w:rPr>
          <w:lang w:val="en-GB"/>
        </w:rPr>
        <w:t xml:space="preserve">UNDP will </w:t>
      </w:r>
      <w:r w:rsidR="008A65A0" w:rsidRPr="00A469EA">
        <w:rPr>
          <w:lang w:val="en-GB"/>
        </w:rPr>
        <w:t xml:space="preserve">also </w:t>
      </w:r>
      <w:r w:rsidRPr="00A469EA">
        <w:rPr>
          <w:lang w:val="en-GB"/>
        </w:rPr>
        <w:t xml:space="preserve">support the Ministry of Planning, Development and Reform </w:t>
      </w:r>
      <w:r w:rsidR="00DB5562" w:rsidRPr="00A469EA">
        <w:rPr>
          <w:lang w:val="en-GB"/>
        </w:rPr>
        <w:t xml:space="preserve">through </w:t>
      </w:r>
      <w:r w:rsidRPr="00A469EA">
        <w:rPr>
          <w:lang w:val="en-GB"/>
        </w:rPr>
        <w:t>the Multidimensional Poverty Peer Network</w:t>
      </w:r>
      <w:r w:rsidRPr="00A469EA">
        <w:rPr>
          <w:rStyle w:val="FootnoteReference"/>
          <w:lang w:val="en-GB"/>
        </w:rPr>
        <w:footnoteReference w:id="28"/>
      </w:r>
      <w:r w:rsidR="00443556" w:rsidRPr="00A469EA">
        <w:rPr>
          <w:lang w:val="en-GB"/>
        </w:rPr>
        <w:t xml:space="preserve"> </w:t>
      </w:r>
      <w:r w:rsidR="00814F77" w:rsidRPr="00A469EA">
        <w:rPr>
          <w:lang w:val="en-GB"/>
        </w:rPr>
        <w:t xml:space="preserve">and similar </w:t>
      </w:r>
      <w:r w:rsidR="00661B45" w:rsidRPr="00A469EA">
        <w:rPr>
          <w:lang w:val="en-GB"/>
        </w:rPr>
        <w:t>global and regional cooperation ini</w:t>
      </w:r>
      <w:r w:rsidR="00C42393" w:rsidRPr="00A469EA">
        <w:rPr>
          <w:lang w:val="en-GB"/>
        </w:rPr>
        <w:t>ti</w:t>
      </w:r>
      <w:r w:rsidR="00661B45" w:rsidRPr="00A469EA">
        <w:rPr>
          <w:lang w:val="en-GB"/>
        </w:rPr>
        <w:t>atives</w:t>
      </w:r>
      <w:r w:rsidR="00814F77" w:rsidRPr="00A469EA">
        <w:rPr>
          <w:lang w:val="en-GB"/>
        </w:rPr>
        <w:t xml:space="preserve">, </w:t>
      </w:r>
      <w:r w:rsidR="00DB5562" w:rsidRPr="00A469EA">
        <w:rPr>
          <w:lang w:val="en-GB"/>
        </w:rPr>
        <w:t xml:space="preserve">and will </w:t>
      </w:r>
      <w:r w:rsidR="00443556" w:rsidRPr="00A469EA">
        <w:rPr>
          <w:lang w:val="en-GB"/>
        </w:rPr>
        <w:t>continu</w:t>
      </w:r>
      <w:r w:rsidR="00DB5562" w:rsidRPr="00A469EA">
        <w:rPr>
          <w:lang w:val="en-GB"/>
        </w:rPr>
        <w:t>e</w:t>
      </w:r>
      <w:r w:rsidR="00443556" w:rsidRPr="00A469EA">
        <w:rPr>
          <w:lang w:val="en-GB"/>
        </w:rPr>
        <w:t xml:space="preserve"> </w:t>
      </w:r>
      <w:r w:rsidR="00F02E94" w:rsidRPr="00A469EA">
        <w:rPr>
          <w:lang w:val="en-GB"/>
        </w:rPr>
        <w:t xml:space="preserve">to </w:t>
      </w:r>
      <w:r w:rsidR="00F02E94" w:rsidRPr="00A469EA">
        <w:rPr>
          <w:lang w:val="en-GB"/>
        </w:rPr>
        <w:lastRenderedPageBreak/>
        <w:t>publish the quarterly Development Advocate Pakistan journal to broaden dialogue on key development topics.</w:t>
      </w:r>
    </w:p>
    <w:p w14:paraId="7CB6BB0F" w14:textId="15AA4029" w:rsidR="002715CB" w:rsidRPr="00E7116B" w:rsidRDefault="002715CB" w:rsidP="002C54A1">
      <w:pPr>
        <w:ind w:right="450"/>
        <w:jc w:val="both"/>
        <w:rPr>
          <w:rFonts w:asciiTheme="majorBidi" w:hAnsiTheme="majorBidi" w:cstheme="majorBidi"/>
          <w:sz w:val="12"/>
          <w:szCs w:val="12"/>
          <w:lang w:val="en-GB"/>
        </w:rPr>
      </w:pPr>
    </w:p>
    <w:p w14:paraId="215A4882" w14:textId="0F2B7946" w:rsidR="00625F73" w:rsidRPr="00A469EA" w:rsidRDefault="008943AD" w:rsidP="00F63ECC">
      <w:pPr>
        <w:pStyle w:val="ListParagraph"/>
        <w:numPr>
          <w:ilvl w:val="0"/>
          <w:numId w:val="39"/>
        </w:numPr>
        <w:tabs>
          <w:tab w:val="left" w:pos="450"/>
        </w:tabs>
        <w:spacing w:after="120"/>
        <w:ind w:left="0" w:right="450" w:firstLine="0"/>
        <w:jc w:val="both"/>
        <w:rPr>
          <w:lang w:val="en-GB"/>
        </w:rPr>
      </w:pPr>
      <w:r w:rsidRPr="00A469EA">
        <w:rPr>
          <w:lang w:val="en-GB"/>
        </w:rPr>
        <w:t xml:space="preserve">At the </w:t>
      </w:r>
      <w:r w:rsidRPr="00A469EA">
        <w:rPr>
          <w:bCs/>
          <w:i/>
          <w:iCs/>
          <w:lang w:val="en-GB"/>
        </w:rPr>
        <w:t>community level</w:t>
      </w:r>
      <w:r w:rsidR="00DB5562" w:rsidRPr="00A469EA">
        <w:rPr>
          <w:b/>
          <w:bCs/>
          <w:iCs/>
          <w:lang w:val="en-GB"/>
        </w:rPr>
        <w:t>,</w:t>
      </w:r>
      <w:r w:rsidRPr="00A469EA">
        <w:rPr>
          <w:lang w:val="en-GB"/>
        </w:rPr>
        <w:t xml:space="preserve"> </w:t>
      </w:r>
      <w:r w:rsidR="00760108" w:rsidRPr="00A469EA">
        <w:rPr>
          <w:lang w:val="en-GB"/>
        </w:rPr>
        <w:t xml:space="preserve">UNDP </w:t>
      </w:r>
      <w:r w:rsidRPr="00A469EA">
        <w:rPr>
          <w:lang w:val="en-GB"/>
        </w:rPr>
        <w:t xml:space="preserve">interventions </w:t>
      </w:r>
      <w:r w:rsidR="00133F4B" w:rsidRPr="00A469EA">
        <w:rPr>
          <w:lang w:val="en-GB"/>
        </w:rPr>
        <w:t>to strengthen local governance will aim to</w:t>
      </w:r>
      <w:r w:rsidR="002C2F36" w:rsidRPr="00A469EA">
        <w:rPr>
          <w:lang w:val="en-GB"/>
        </w:rPr>
        <w:t xml:space="preserve"> </w:t>
      </w:r>
      <w:r w:rsidR="00B74A81" w:rsidRPr="00A469EA">
        <w:rPr>
          <w:lang w:val="en-GB"/>
        </w:rPr>
        <w:t xml:space="preserve">improve </w:t>
      </w:r>
      <w:r w:rsidR="002C2F36" w:rsidRPr="00A469EA">
        <w:rPr>
          <w:lang w:val="en-GB"/>
        </w:rPr>
        <w:t>service delivery through better target</w:t>
      </w:r>
      <w:r w:rsidR="00B74A81" w:rsidRPr="00A469EA">
        <w:rPr>
          <w:lang w:val="en-GB"/>
        </w:rPr>
        <w:t xml:space="preserve">ing, </w:t>
      </w:r>
      <w:r w:rsidR="002C2F36" w:rsidRPr="00A469EA">
        <w:rPr>
          <w:lang w:val="en-GB"/>
        </w:rPr>
        <w:t xml:space="preserve">participatory decision-making </w:t>
      </w:r>
      <w:r w:rsidR="001A7075" w:rsidRPr="00A469EA">
        <w:rPr>
          <w:lang w:val="en-GB"/>
        </w:rPr>
        <w:t xml:space="preserve">and </w:t>
      </w:r>
      <w:r w:rsidR="00C42393" w:rsidRPr="00A469EA">
        <w:rPr>
          <w:lang w:val="en-GB"/>
        </w:rPr>
        <w:t>accountability</w:t>
      </w:r>
      <w:r w:rsidR="002C2F36" w:rsidRPr="00A469EA">
        <w:rPr>
          <w:lang w:val="en-GB"/>
        </w:rPr>
        <w:t xml:space="preserve"> for results.</w:t>
      </w:r>
      <w:r w:rsidR="00760108" w:rsidRPr="00A469EA">
        <w:rPr>
          <w:lang w:val="en-GB"/>
        </w:rPr>
        <w:t xml:space="preserve"> </w:t>
      </w:r>
      <w:r w:rsidRPr="00A469EA">
        <w:rPr>
          <w:bCs/>
          <w:lang w:val="en-GB"/>
        </w:rPr>
        <w:t xml:space="preserve">To </w:t>
      </w:r>
      <w:r w:rsidR="00154667" w:rsidRPr="00A469EA">
        <w:rPr>
          <w:bCs/>
          <w:lang w:val="en-GB"/>
        </w:rPr>
        <w:t>maximize</w:t>
      </w:r>
      <w:r w:rsidR="00445E98" w:rsidRPr="00A469EA">
        <w:rPr>
          <w:bCs/>
          <w:lang w:val="en-GB"/>
        </w:rPr>
        <w:t xml:space="preserve"> </w:t>
      </w:r>
      <w:r w:rsidR="00154667" w:rsidRPr="00A469EA">
        <w:rPr>
          <w:bCs/>
          <w:lang w:val="en-GB"/>
        </w:rPr>
        <w:t>local impact</w:t>
      </w:r>
      <w:r w:rsidRPr="00A469EA">
        <w:rPr>
          <w:bCs/>
          <w:lang w:val="en-GB"/>
        </w:rPr>
        <w:t xml:space="preserve">, </w:t>
      </w:r>
      <w:r w:rsidR="00F64599" w:rsidRPr="00A469EA">
        <w:rPr>
          <w:bCs/>
          <w:lang w:val="en-GB"/>
        </w:rPr>
        <w:t xml:space="preserve">UNDP </w:t>
      </w:r>
      <w:r w:rsidR="00AA6C84" w:rsidRPr="00A469EA">
        <w:rPr>
          <w:bCs/>
          <w:lang w:val="en-GB"/>
        </w:rPr>
        <w:t xml:space="preserve">will </w:t>
      </w:r>
      <w:r w:rsidR="00B74A81" w:rsidRPr="00A469EA">
        <w:rPr>
          <w:bCs/>
          <w:lang w:val="en-GB"/>
        </w:rPr>
        <w:t xml:space="preserve">scale up successful </w:t>
      </w:r>
      <w:r w:rsidRPr="00A469EA">
        <w:rPr>
          <w:bCs/>
          <w:lang w:val="en-GB"/>
        </w:rPr>
        <w:t>interventions</w:t>
      </w:r>
      <w:r w:rsidR="00B74A81" w:rsidRPr="00A469EA">
        <w:rPr>
          <w:bCs/>
          <w:lang w:val="en-GB"/>
        </w:rPr>
        <w:t>, such as t</w:t>
      </w:r>
      <w:r w:rsidRPr="00A469EA">
        <w:rPr>
          <w:lang w:val="en-GB"/>
        </w:rPr>
        <w:t>he</w:t>
      </w:r>
      <w:r w:rsidRPr="00A469EA">
        <w:rPr>
          <w:bCs/>
          <w:lang w:val="en-GB"/>
        </w:rPr>
        <w:t xml:space="preserve"> </w:t>
      </w:r>
      <w:r w:rsidR="009B6D0F">
        <w:rPr>
          <w:lang w:val="en-GB"/>
        </w:rPr>
        <w:t>s</w:t>
      </w:r>
      <w:r w:rsidR="00133F4B" w:rsidRPr="00A469EA">
        <w:rPr>
          <w:lang w:val="en-GB"/>
        </w:rPr>
        <w:t xml:space="preserve">trengthening </w:t>
      </w:r>
      <w:r w:rsidR="009B6D0F">
        <w:rPr>
          <w:lang w:val="en-GB"/>
        </w:rPr>
        <w:t>r</w:t>
      </w:r>
      <w:r w:rsidR="00133F4B" w:rsidRPr="00A469EA">
        <w:rPr>
          <w:lang w:val="en-GB"/>
        </w:rPr>
        <w:t xml:space="preserve">ule of </w:t>
      </w:r>
      <w:r w:rsidR="009B6D0F">
        <w:rPr>
          <w:lang w:val="en-GB"/>
        </w:rPr>
        <w:t>l</w:t>
      </w:r>
      <w:r w:rsidR="00133F4B" w:rsidRPr="00A469EA">
        <w:rPr>
          <w:lang w:val="en-GB"/>
        </w:rPr>
        <w:t xml:space="preserve">aw </w:t>
      </w:r>
      <w:r w:rsidR="009B6D0F">
        <w:rPr>
          <w:lang w:val="en-GB"/>
        </w:rPr>
        <w:t>p</w:t>
      </w:r>
      <w:r w:rsidR="00133F4B" w:rsidRPr="00A469EA">
        <w:rPr>
          <w:lang w:val="en-GB"/>
        </w:rPr>
        <w:t>rogramme in Khyber</w:t>
      </w:r>
      <w:r w:rsidR="009F7E66" w:rsidRPr="00A469EA">
        <w:rPr>
          <w:lang w:val="en-GB"/>
        </w:rPr>
        <w:t xml:space="preserve"> </w:t>
      </w:r>
      <w:r w:rsidR="00133F4B" w:rsidRPr="00A469EA">
        <w:rPr>
          <w:lang w:val="en-GB"/>
        </w:rPr>
        <w:t>Pakhtunkhwa</w:t>
      </w:r>
      <w:r w:rsidR="009B6D0F">
        <w:rPr>
          <w:lang w:val="en-GB"/>
        </w:rPr>
        <w:t>,</w:t>
      </w:r>
      <w:r w:rsidR="00133F4B" w:rsidRPr="00A469EA">
        <w:rPr>
          <w:lang w:val="en-GB"/>
        </w:rPr>
        <w:t xml:space="preserve"> to </w:t>
      </w:r>
      <w:r w:rsidR="002022D2" w:rsidRPr="00A469EA">
        <w:rPr>
          <w:lang w:val="en-GB"/>
        </w:rPr>
        <w:t>other provinces</w:t>
      </w:r>
      <w:r w:rsidR="00133F4B" w:rsidRPr="00A469EA">
        <w:rPr>
          <w:lang w:val="en-GB"/>
        </w:rPr>
        <w:t xml:space="preserve"> in partnership with the </w:t>
      </w:r>
      <w:r w:rsidR="009B6D0F">
        <w:rPr>
          <w:lang w:val="en-GB"/>
        </w:rPr>
        <w:t>p</w:t>
      </w:r>
      <w:r w:rsidR="00133F4B" w:rsidRPr="00A469EA">
        <w:rPr>
          <w:lang w:val="en-GB"/>
        </w:rPr>
        <w:t xml:space="preserve">rovincial </w:t>
      </w:r>
      <w:r w:rsidR="009B6D0F">
        <w:rPr>
          <w:lang w:val="en-GB"/>
        </w:rPr>
        <w:t>g</w:t>
      </w:r>
      <w:r w:rsidR="00133F4B" w:rsidRPr="00A469EA">
        <w:rPr>
          <w:lang w:val="en-GB"/>
        </w:rPr>
        <w:t>overnment</w:t>
      </w:r>
      <w:r w:rsidR="002022D2" w:rsidRPr="00A469EA">
        <w:rPr>
          <w:lang w:val="en-GB"/>
        </w:rPr>
        <w:t>s</w:t>
      </w:r>
      <w:r w:rsidR="00133F4B" w:rsidRPr="00A469EA">
        <w:rPr>
          <w:lang w:val="en-GB"/>
        </w:rPr>
        <w:t>.</w:t>
      </w:r>
      <w:r w:rsidRPr="00A469EA">
        <w:rPr>
          <w:lang w:val="en-GB"/>
        </w:rPr>
        <w:t xml:space="preserve"> </w:t>
      </w:r>
    </w:p>
    <w:p w14:paraId="6680C7E9" w14:textId="0D6D91E6" w:rsidR="00B10DC0" w:rsidRPr="00A469EA" w:rsidRDefault="00DB5562" w:rsidP="00F63ECC">
      <w:pPr>
        <w:pStyle w:val="ListParagraph"/>
        <w:numPr>
          <w:ilvl w:val="0"/>
          <w:numId w:val="39"/>
        </w:numPr>
        <w:tabs>
          <w:tab w:val="left" w:pos="450"/>
        </w:tabs>
        <w:spacing w:after="120"/>
        <w:ind w:left="0" w:right="450" w:firstLine="0"/>
        <w:jc w:val="both"/>
        <w:rPr>
          <w:lang w:val="en-GB"/>
        </w:rPr>
      </w:pPr>
      <w:r w:rsidRPr="00A469EA">
        <w:rPr>
          <w:lang w:val="en-GB"/>
        </w:rPr>
        <w:t xml:space="preserve">To </w:t>
      </w:r>
      <w:r w:rsidR="00B10DC0" w:rsidRPr="00A469EA">
        <w:rPr>
          <w:lang w:val="en-GB"/>
        </w:rPr>
        <w:t xml:space="preserve">achieve </w:t>
      </w:r>
      <w:r w:rsidR="009B6D0F">
        <w:rPr>
          <w:lang w:val="en-GB"/>
        </w:rPr>
        <w:t>o</w:t>
      </w:r>
      <w:r w:rsidR="00133F4B" w:rsidRPr="00A469EA">
        <w:rPr>
          <w:lang w:val="en-GB"/>
        </w:rPr>
        <w:t xml:space="preserve">utputs under </w:t>
      </w:r>
      <w:r w:rsidR="009B6D0F">
        <w:rPr>
          <w:lang w:val="en-GB"/>
        </w:rPr>
        <w:t>o</w:t>
      </w:r>
      <w:r w:rsidR="00B10DC0" w:rsidRPr="00A469EA">
        <w:rPr>
          <w:lang w:val="en-GB"/>
        </w:rPr>
        <w:t xml:space="preserve">utcome </w:t>
      </w:r>
      <w:r w:rsidR="00ED644C" w:rsidRPr="00A469EA">
        <w:rPr>
          <w:lang w:val="en-GB"/>
        </w:rPr>
        <w:t>1</w:t>
      </w:r>
      <w:r w:rsidRPr="00A469EA">
        <w:rPr>
          <w:lang w:val="en-GB"/>
        </w:rPr>
        <w:t xml:space="preserve">, which are </w:t>
      </w:r>
      <w:r w:rsidR="00DE6FC9" w:rsidRPr="00A469EA">
        <w:rPr>
          <w:lang w:val="en-GB"/>
        </w:rPr>
        <w:t>integral to the</w:t>
      </w:r>
      <w:r w:rsidR="00B10DC0" w:rsidRPr="00A469EA">
        <w:rPr>
          <w:lang w:val="en-GB"/>
        </w:rPr>
        <w:t xml:space="preserve"> </w:t>
      </w:r>
      <w:r w:rsidR="00095DEF" w:rsidRPr="00A469EA">
        <w:rPr>
          <w:lang w:val="en-GB"/>
        </w:rPr>
        <w:t>UNSDF</w:t>
      </w:r>
      <w:r w:rsidR="009B6D0F">
        <w:rPr>
          <w:lang w:val="en-GB"/>
        </w:rPr>
        <w:t xml:space="preserve">, </w:t>
      </w:r>
      <w:r w:rsidR="00133F4B" w:rsidRPr="00A469EA">
        <w:rPr>
          <w:lang w:val="en-GB"/>
        </w:rPr>
        <w:t>2018-2022</w:t>
      </w:r>
      <w:r w:rsidR="005250F9" w:rsidRPr="00A469EA">
        <w:rPr>
          <w:lang w:val="en-GB"/>
        </w:rPr>
        <w:t>,</w:t>
      </w:r>
      <w:r w:rsidR="00B10DC0" w:rsidRPr="00A469EA">
        <w:rPr>
          <w:lang w:val="en-GB"/>
        </w:rPr>
        <w:t xml:space="preserve"> UNDP will exercise it</w:t>
      </w:r>
      <w:r w:rsidR="00F40BFD" w:rsidRPr="00A469EA">
        <w:rPr>
          <w:lang w:val="en-GB"/>
        </w:rPr>
        <w:t xml:space="preserve">s </w:t>
      </w:r>
      <w:r w:rsidR="00B10DC0" w:rsidRPr="00A469EA">
        <w:rPr>
          <w:lang w:val="en-GB"/>
        </w:rPr>
        <w:t>comparative advantage within the U</w:t>
      </w:r>
      <w:r w:rsidR="005250F9" w:rsidRPr="00A469EA">
        <w:rPr>
          <w:lang w:val="en-GB"/>
        </w:rPr>
        <w:t xml:space="preserve">nited </w:t>
      </w:r>
      <w:r w:rsidR="00B10DC0" w:rsidRPr="00A469EA">
        <w:rPr>
          <w:lang w:val="en-GB"/>
        </w:rPr>
        <w:t>N</w:t>
      </w:r>
      <w:r w:rsidR="005250F9" w:rsidRPr="00A469EA">
        <w:rPr>
          <w:lang w:val="en-GB"/>
        </w:rPr>
        <w:t>ations</w:t>
      </w:r>
      <w:r w:rsidR="00B10DC0" w:rsidRPr="00A469EA">
        <w:rPr>
          <w:lang w:val="en-GB"/>
        </w:rPr>
        <w:t xml:space="preserve"> system in the are</w:t>
      </w:r>
      <w:r w:rsidR="005250F9" w:rsidRPr="00A469EA">
        <w:rPr>
          <w:lang w:val="en-GB"/>
        </w:rPr>
        <w:t>a</w:t>
      </w:r>
      <w:r w:rsidR="00B10DC0" w:rsidRPr="00A469EA">
        <w:rPr>
          <w:lang w:val="en-GB"/>
        </w:rPr>
        <w:t xml:space="preserve"> of governance and </w:t>
      </w:r>
      <w:r w:rsidR="005250F9" w:rsidRPr="00A469EA">
        <w:rPr>
          <w:lang w:val="en-GB"/>
        </w:rPr>
        <w:t xml:space="preserve">forge </w:t>
      </w:r>
      <w:r w:rsidR="00B10DC0" w:rsidRPr="00A469EA">
        <w:rPr>
          <w:lang w:val="en-GB"/>
        </w:rPr>
        <w:t xml:space="preserve">partnership arrangements </w:t>
      </w:r>
      <w:r w:rsidR="002431F8" w:rsidRPr="00A469EA">
        <w:rPr>
          <w:lang w:val="en-GB"/>
        </w:rPr>
        <w:t xml:space="preserve">with </w:t>
      </w:r>
      <w:r w:rsidR="005359EE" w:rsidRPr="00A469EA">
        <w:rPr>
          <w:lang w:val="en-GB"/>
        </w:rPr>
        <w:t xml:space="preserve">the International Organization for Migration (IOM), the United Nations Educational, Scientific and </w:t>
      </w:r>
      <w:r w:rsidR="00C42393" w:rsidRPr="00A469EA">
        <w:rPr>
          <w:lang w:val="en-GB"/>
        </w:rPr>
        <w:t>Cultural</w:t>
      </w:r>
      <w:r w:rsidR="005359EE" w:rsidRPr="00A469EA">
        <w:rPr>
          <w:lang w:val="en-GB"/>
        </w:rPr>
        <w:t xml:space="preserve"> Organization (UNESCO), </w:t>
      </w:r>
      <w:r w:rsidR="009B6D0F">
        <w:rPr>
          <w:lang w:val="en-GB"/>
        </w:rPr>
        <w:t xml:space="preserve">the </w:t>
      </w:r>
      <w:r w:rsidR="00133F4B" w:rsidRPr="00A469EA">
        <w:rPr>
          <w:lang w:val="en-GB"/>
        </w:rPr>
        <w:t>United Nations Population Fund (</w:t>
      </w:r>
      <w:r w:rsidR="00B10DC0" w:rsidRPr="00A469EA">
        <w:rPr>
          <w:lang w:val="en-GB"/>
        </w:rPr>
        <w:t>UNFPA</w:t>
      </w:r>
      <w:r w:rsidR="00133F4B" w:rsidRPr="00A469EA">
        <w:rPr>
          <w:lang w:val="en-GB"/>
        </w:rPr>
        <w:t>)</w:t>
      </w:r>
      <w:r w:rsidR="00B10DC0" w:rsidRPr="00A469EA">
        <w:rPr>
          <w:lang w:val="en-GB"/>
        </w:rPr>
        <w:t xml:space="preserve">, </w:t>
      </w:r>
      <w:r w:rsidR="005250F9" w:rsidRPr="00A469EA">
        <w:rPr>
          <w:lang w:val="en-GB"/>
        </w:rPr>
        <w:t>the United Nations Human Settlements Programme (</w:t>
      </w:r>
      <w:r w:rsidR="00B10DC0" w:rsidRPr="00A469EA">
        <w:rPr>
          <w:lang w:val="en-GB"/>
        </w:rPr>
        <w:t>UN</w:t>
      </w:r>
      <w:r w:rsidR="005250F9" w:rsidRPr="00A469EA">
        <w:rPr>
          <w:lang w:val="en-GB"/>
        </w:rPr>
        <w:t>-</w:t>
      </w:r>
      <w:r w:rsidR="00B10DC0" w:rsidRPr="00A469EA">
        <w:rPr>
          <w:lang w:val="en-GB"/>
        </w:rPr>
        <w:t>Habitat</w:t>
      </w:r>
      <w:r w:rsidR="005250F9" w:rsidRPr="00A469EA">
        <w:rPr>
          <w:lang w:val="en-GB"/>
        </w:rPr>
        <w:t>)</w:t>
      </w:r>
      <w:r w:rsidR="00B10DC0" w:rsidRPr="00A469EA">
        <w:rPr>
          <w:lang w:val="en-GB"/>
        </w:rPr>
        <w:t xml:space="preserve">, </w:t>
      </w:r>
      <w:r w:rsidR="005250F9" w:rsidRPr="00A469EA">
        <w:rPr>
          <w:lang w:val="en-GB"/>
        </w:rPr>
        <w:t xml:space="preserve">the Office of the United Nations High Commissioner for </w:t>
      </w:r>
      <w:r w:rsidR="00C42393" w:rsidRPr="00A469EA">
        <w:rPr>
          <w:lang w:val="en-GB"/>
        </w:rPr>
        <w:t>Refugees</w:t>
      </w:r>
      <w:r w:rsidR="005250F9" w:rsidRPr="00A469EA">
        <w:rPr>
          <w:lang w:val="en-GB"/>
        </w:rPr>
        <w:t xml:space="preserve"> (</w:t>
      </w:r>
      <w:r w:rsidR="00B10DC0" w:rsidRPr="00A469EA">
        <w:rPr>
          <w:lang w:val="en-GB"/>
        </w:rPr>
        <w:t>UNHCR</w:t>
      </w:r>
      <w:r w:rsidR="005250F9" w:rsidRPr="00A469EA">
        <w:rPr>
          <w:lang w:val="en-GB"/>
        </w:rPr>
        <w:t>)</w:t>
      </w:r>
      <w:r w:rsidR="00B10DC0" w:rsidRPr="00A469EA">
        <w:rPr>
          <w:lang w:val="en-GB"/>
        </w:rPr>
        <w:t xml:space="preserve">, </w:t>
      </w:r>
      <w:r w:rsidR="005250F9" w:rsidRPr="00A469EA">
        <w:rPr>
          <w:lang w:val="en-GB"/>
        </w:rPr>
        <w:t>the United Nations Children’s Programme (</w:t>
      </w:r>
      <w:r w:rsidR="00B10DC0" w:rsidRPr="00A469EA">
        <w:rPr>
          <w:lang w:val="en-GB"/>
        </w:rPr>
        <w:t>UNICEF</w:t>
      </w:r>
      <w:r w:rsidR="005250F9" w:rsidRPr="00A469EA">
        <w:rPr>
          <w:lang w:val="en-GB"/>
        </w:rPr>
        <w:t>)</w:t>
      </w:r>
      <w:r w:rsidR="00B10DC0" w:rsidRPr="00A469EA">
        <w:rPr>
          <w:lang w:val="en-GB"/>
        </w:rPr>
        <w:t xml:space="preserve">, </w:t>
      </w:r>
      <w:r w:rsidR="005359EE" w:rsidRPr="00A469EA">
        <w:rPr>
          <w:lang w:val="en-GB"/>
        </w:rPr>
        <w:t xml:space="preserve">the United Nations Office for Drugs and Crime (UNODC), </w:t>
      </w:r>
      <w:r w:rsidR="009B6D0F">
        <w:rPr>
          <w:lang w:val="en-GB"/>
        </w:rPr>
        <w:t xml:space="preserve">the </w:t>
      </w:r>
      <w:r w:rsidR="00133F4B" w:rsidRPr="00A469EA">
        <w:rPr>
          <w:lang w:val="en-GB"/>
        </w:rPr>
        <w:t>United Nations Entity for Gender Equality and the Empowerment of Women (</w:t>
      </w:r>
      <w:r w:rsidR="005359EE" w:rsidRPr="00A469EA">
        <w:rPr>
          <w:lang w:val="en-GB"/>
        </w:rPr>
        <w:t>UN-Women</w:t>
      </w:r>
      <w:r w:rsidR="00133F4B" w:rsidRPr="00A469EA">
        <w:rPr>
          <w:lang w:val="en-GB"/>
        </w:rPr>
        <w:t>)</w:t>
      </w:r>
      <w:r w:rsidR="005359EE" w:rsidRPr="00A469EA">
        <w:rPr>
          <w:lang w:val="en-GB"/>
        </w:rPr>
        <w:t xml:space="preserve"> and </w:t>
      </w:r>
      <w:r w:rsidR="005250F9" w:rsidRPr="00A469EA">
        <w:rPr>
          <w:lang w:val="en-GB"/>
        </w:rPr>
        <w:t>the World Health Organization (</w:t>
      </w:r>
      <w:r w:rsidR="00B10DC0" w:rsidRPr="00A469EA">
        <w:rPr>
          <w:lang w:val="en-GB"/>
        </w:rPr>
        <w:t>WHO</w:t>
      </w:r>
      <w:r w:rsidR="005250F9" w:rsidRPr="00A469EA">
        <w:rPr>
          <w:lang w:val="en-GB"/>
        </w:rPr>
        <w:t>)</w:t>
      </w:r>
      <w:r w:rsidR="005359EE" w:rsidRPr="00A469EA">
        <w:rPr>
          <w:lang w:val="en-GB"/>
        </w:rPr>
        <w:t>.</w:t>
      </w:r>
    </w:p>
    <w:p w14:paraId="2A5F0378" w14:textId="79330AE3" w:rsidR="008943AD" w:rsidRPr="00A469EA" w:rsidRDefault="008943AD" w:rsidP="00F63ECC">
      <w:pPr>
        <w:tabs>
          <w:tab w:val="left" w:pos="450"/>
        </w:tabs>
        <w:spacing w:after="120"/>
        <w:ind w:right="450"/>
        <w:rPr>
          <w:b/>
          <w:bCs/>
          <w:lang w:val="en-GB"/>
        </w:rPr>
      </w:pPr>
      <w:r w:rsidRPr="00A469EA">
        <w:rPr>
          <w:b/>
          <w:bCs/>
          <w:lang w:val="en-GB"/>
        </w:rPr>
        <w:t>Outcome 2</w:t>
      </w:r>
      <w:r w:rsidR="00B329E1" w:rsidRPr="00A469EA">
        <w:rPr>
          <w:b/>
          <w:bCs/>
          <w:lang w:val="en-GB"/>
        </w:rPr>
        <w:t xml:space="preserve"> (UNSDF Outcome 6)</w:t>
      </w:r>
      <w:r w:rsidR="005359EE" w:rsidRPr="00A469EA">
        <w:rPr>
          <w:b/>
          <w:bCs/>
          <w:lang w:val="en-GB"/>
        </w:rPr>
        <w:t>:</w:t>
      </w:r>
      <w:r w:rsidR="00B60702" w:rsidRPr="00A469EA">
        <w:rPr>
          <w:b/>
          <w:bCs/>
          <w:lang w:val="en-GB"/>
        </w:rPr>
        <w:t xml:space="preserve"> Enhanced resilience and socioeconomic </w:t>
      </w:r>
      <w:r w:rsidR="002022D2" w:rsidRPr="00A469EA">
        <w:rPr>
          <w:b/>
          <w:bCs/>
          <w:lang w:val="en-GB"/>
        </w:rPr>
        <w:t xml:space="preserve">development </w:t>
      </w:r>
      <w:r w:rsidR="000038CD">
        <w:rPr>
          <w:b/>
          <w:bCs/>
          <w:lang w:val="en-GB"/>
        </w:rPr>
        <w:t>o</w:t>
      </w:r>
      <w:r w:rsidR="00B60702" w:rsidRPr="00A469EA">
        <w:rPr>
          <w:b/>
          <w:bCs/>
          <w:lang w:val="en-GB"/>
        </w:rPr>
        <w:t xml:space="preserve">f </w:t>
      </w:r>
      <w:r w:rsidR="00B329E1" w:rsidRPr="00A469EA">
        <w:rPr>
          <w:b/>
          <w:bCs/>
          <w:lang w:val="en-GB"/>
        </w:rPr>
        <w:t>communities</w:t>
      </w:r>
      <w:r w:rsidR="0006279C" w:rsidRPr="00A469EA">
        <w:rPr>
          <w:rStyle w:val="FootnoteReference"/>
          <w:b/>
          <w:bCs/>
          <w:lang w:val="en-GB"/>
        </w:rPr>
        <w:footnoteReference w:id="29"/>
      </w:r>
      <w:r w:rsidRPr="00A469EA">
        <w:rPr>
          <w:b/>
          <w:bCs/>
          <w:lang w:val="en-GB"/>
        </w:rPr>
        <w:t xml:space="preserve"> </w:t>
      </w:r>
    </w:p>
    <w:p w14:paraId="3DF0393D" w14:textId="56F92494" w:rsidR="00625F73" w:rsidRPr="00A469EA" w:rsidRDefault="008943AD" w:rsidP="00F63ECC">
      <w:pPr>
        <w:pStyle w:val="ListParagraph"/>
        <w:numPr>
          <w:ilvl w:val="0"/>
          <w:numId w:val="39"/>
        </w:numPr>
        <w:tabs>
          <w:tab w:val="left" w:pos="450"/>
        </w:tabs>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 xml:space="preserve">At the </w:t>
      </w:r>
      <w:r w:rsidRPr="00A469EA">
        <w:rPr>
          <w:rFonts w:asciiTheme="majorBidi" w:hAnsiTheme="majorBidi" w:cstheme="majorBidi"/>
          <w:bCs/>
          <w:i/>
          <w:iCs/>
          <w:lang w:val="en-GB"/>
        </w:rPr>
        <w:t>enabling environment level</w:t>
      </w:r>
      <w:r w:rsidRPr="00A469EA">
        <w:rPr>
          <w:rFonts w:asciiTheme="majorBidi" w:hAnsiTheme="majorBidi" w:cstheme="majorBidi"/>
          <w:lang w:val="en-GB"/>
        </w:rPr>
        <w:t xml:space="preserve">, UNDP will </w:t>
      </w:r>
      <w:r w:rsidR="00071975" w:rsidRPr="00A469EA">
        <w:rPr>
          <w:rFonts w:asciiTheme="majorBidi" w:hAnsiTheme="majorBidi" w:cstheme="majorBidi"/>
          <w:lang w:val="en-GB"/>
        </w:rPr>
        <w:t xml:space="preserve">build on </w:t>
      </w:r>
      <w:r w:rsidR="00B60702" w:rsidRPr="00A469EA">
        <w:rPr>
          <w:rFonts w:asciiTheme="majorBidi" w:hAnsiTheme="majorBidi" w:cstheme="majorBidi"/>
          <w:lang w:val="en-GB"/>
        </w:rPr>
        <w:t xml:space="preserve">its </w:t>
      </w:r>
      <w:r w:rsidR="00071975" w:rsidRPr="00A469EA">
        <w:rPr>
          <w:rFonts w:asciiTheme="majorBidi" w:hAnsiTheme="majorBidi" w:cstheme="majorBidi"/>
          <w:lang w:val="en-GB"/>
        </w:rPr>
        <w:t>impo</w:t>
      </w:r>
      <w:r w:rsidR="009F7834" w:rsidRPr="00A469EA">
        <w:rPr>
          <w:rFonts w:asciiTheme="majorBidi" w:hAnsiTheme="majorBidi" w:cstheme="majorBidi"/>
          <w:lang w:val="en-GB"/>
        </w:rPr>
        <w:t>r</w:t>
      </w:r>
      <w:r w:rsidR="00071975" w:rsidRPr="00A469EA">
        <w:rPr>
          <w:rFonts w:asciiTheme="majorBidi" w:hAnsiTheme="majorBidi" w:cstheme="majorBidi"/>
          <w:lang w:val="en-GB"/>
        </w:rPr>
        <w:t xml:space="preserve">tant contribution </w:t>
      </w:r>
      <w:r w:rsidR="00B60702" w:rsidRPr="00A469EA">
        <w:rPr>
          <w:rFonts w:asciiTheme="majorBidi" w:hAnsiTheme="majorBidi" w:cstheme="majorBidi"/>
          <w:lang w:val="en-GB"/>
        </w:rPr>
        <w:t xml:space="preserve">from </w:t>
      </w:r>
      <w:r w:rsidR="00071975" w:rsidRPr="00A469EA">
        <w:rPr>
          <w:rFonts w:asciiTheme="majorBidi" w:hAnsiTheme="majorBidi" w:cstheme="majorBidi"/>
          <w:lang w:val="en-GB"/>
        </w:rPr>
        <w:t xml:space="preserve">the previous cycle by </w:t>
      </w:r>
      <w:r w:rsidRPr="00A469EA">
        <w:rPr>
          <w:rFonts w:asciiTheme="majorBidi" w:hAnsiTheme="majorBidi" w:cstheme="majorBidi"/>
          <w:lang w:val="en-GB"/>
        </w:rPr>
        <w:t>integrat</w:t>
      </w:r>
      <w:r w:rsidR="000538BF" w:rsidRPr="00A469EA">
        <w:rPr>
          <w:rFonts w:asciiTheme="majorBidi" w:hAnsiTheme="majorBidi" w:cstheme="majorBidi"/>
          <w:lang w:val="en-GB"/>
        </w:rPr>
        <w:t>ing</w:t>
      </w:r>
      <w:r w:rsidR="005750E7" w:rsidRPr="00A469EA">
        <w:rPr>
          <w:rFonts w:asciiTheme="majorBidi" w:hAnsiTheme="majorBidi" w:cstheme="majorBidi"/>
          <w:lang w:val="en-GB"/>
        </w:rPr>
        <w:t xml:space="preserve"> disaster risk management and </w:t>
      </w:r>
      <w:r w:rsidRPr="00A469EA">
        <w:rPr>
          <w:rFonts w:asciiTheme="majorBidi" w:hAnsiTheme="majorBidi" w:cstheme="majorBidi"/>
          <w:lang w:val="en-GB"/>
        </w:rPr>
        <w:t xml:space="preserve">climate change </w:t>
      </w:r>
      <w:r w:rsidR="005750E7" w:rsidRPr="00A469EA">
        <w:rPr>
          <w:rFonts w:asciiTheme="majorBidi" w:hAnsiTheme="majorBidi" w:cstheme="majorBidi"/>
          <w:lang w:val="en-GB"/>
        </w:rPr>
        <w:t xml:space="preserve">strategies into national policy frameworks, </w:t>
      </w:r>
      <w:r w:rsidRPr="00A469EA">
        <w:rPr>
          <w:rFonts w:asciiTheme="majorBidi" w:hAnsiTheme="majorBidi" w:cstheme="majorBidi"/>
          <w:lang w:val="en-GB"/>
        </w:rPr>
        <w:t xml:space="preserve">public finance management systems and </w:t>
      </w:r>
      <w:r w:rsidR="005750E7" w:rsidRPr="00A469EA">
        <w:rPr>
          <w:rFonts w:asciiTheme="majorBidi" w:hAnsiTheme="majorBidi" w:cstheme="majorBidi"/>
          <w:lang w:val="en-GB"/>
        </w:rPr>
        <w:t>implementation mechanisms</w:t>
      </w:r>
      <w:r w:rsidR="009F7834" w:rsidRPr="00A469EA">
        <w:rPr>
          <w:rFonts w:asciiTheme="majorBidi" w:hAnsiTheme="majorBidi" w:cstheme="majorBidi"/>
          <w:lang w:val="en-GB"/>
        </w:rPr>
        <w:t>.</w:t>
      </w:r>
      <w:r w:rsidR="005750E7" w:rsidRPr="00A469EA">
        <w:rPr>
          <w:rFonts w:asciiTheme="majorBidi" w:hAnsiTheme="majorBidi" w:cstheme="majorBidi"/>
          <w:lang w:val="en-GB"/>
        </w:rPr>
        <w:t xml:space="preserve"> UNDP will also support </w:t>
      </w:r>
      <w:r w:rsidRPr="00A469EA">
        <w:rPr>
          <w:rFonts w:asciiTheme="majorBidi" w:hAnsiTheme="majorBidi" w:cstheme="majorBidi"/>
          <w:lang w:val="en-GB"/>
        </w:rPr>
        <w:t xml:space="preserve">access </w:t>
      </w:r>
      <w:r w:rsidR="00071975" w:rsidRPr="00A469EA">
        <w:rPr>
          <w:rFonts w:asciiTheme="majorBidi" w:hAnsiTheme="majorBidi" w:cstheme="majorBidi"/>
          <w:lang w:val="en-GB"/>
        </w:rPr>
        <w:t xml:space="preserve">to </w:t>
      </w:r>
      <w:r w:rsidRPr="00A469EA">
        <w:rPr>
          <w:rFonts w:asciiTheme="majorBidi" w:hAnsiTheme="majorBidi" w:cstheme="majorBidi"/>
          <w:lang w:val="en-GB"/>
        </w:rPr>
        <w:t>global climate/environment resources</w:t>
      </w:r>
      <w:r w:rsidR="00B60702" w:rsidRPr="00A469EA">
        <w:rPr>
          <w:rFonts w:asciiTheme="majorBidi" w:hAnsiTheme="majorBidi" w:cstheme="majorBidi"/>
          <w:lang w:val="en-GB"/>
        </w:rPr>
        <w:t>,</w:t>
      </w:r>
      <w:r w:rsidRPr="00A469EA">
        <w:rPr>
          <w:rFonts w:asciiTheme="majorBidi" w:hAnsiTheme="majorBidi" w:cstheme="majorBidi"/>
          <w:lang w:val="en-GB"/>
        </w:rPr>
        <w:t xml:space="preserve"> such as the Global Environment F</w:t>
      </w:r>
      <w:r w:rsidR="00D3712B" w:rsidRPr="00A469EA">
        <w:rPr>
          <w:rFonts w:asciiTheme="majorBidi" w:hAnsiTheme="majorBidi" w:cstheme="majorBidi"/>
          <w:lang w:val="en-GB"/>
        </w:rPr>
        <w:t>acility</w:t>
      </w:r>
      <w:r w:rsidR="00B60702" w:rsidRPr="00A469EA">
        <w:rPr>
          <w:rFonts w:asciiTheme="majorBidi" w:hAnsiTheme="majorBidi" w:cstheme="majorBidi"/>
          <w:lang w:val="en-GB"/>
        </w:rPr>
        <w:t xml:space="preserve"> </w:t>
      </w:r>
      <w:r w:rsidR="00D3712B" w:rsidRPr="00A469EA">
        <w:rPr>
          <w:rFonts w:asciiTheme="majorBidi" w:hAnsiTheme="majorBidi" w:cstheme="majorBidi"/>
          <w:lang w:val="en-GB"/>
        </w:rPr>
        <w:t>and the Green Climate Fund</w:t>
      </w:r>
      <w:r w:rsidRPr="00A469EA">
        <w:rPr>
          <w:rFonts w:asciiTheme="majorBidi" w:hAnsiTheme="majorBidi" w:cstheme="majorBidi"/>
          <w:lang w:val="en-GB"/>
        </w:rPr>
        <w:t xml:space="preserve">. </w:t>
      </w:r>
    </w:p>
    <w:p w14:paraId="4DE7219C" w14:textId="1B8F2698" w:rsidR="00625F73" w:rsidRPr="00A469EA" w:rsidRDefault="00865422" w:rsidP="00F63ECC">
      <w:pPr>
        <w:pStyle w:val="ListParagraph"/>
        <w:numPr>
          <w:ilvl w:val="0"/>
          <w:numId w:val="39"/>
        </w:numPr>
        <w:tabs>
          <w:tab w:val="left" w:pos="450"/>
        </w:tabs>
        <w:spacing w:after="120"/>
        <w:ind w:left="0" w:right="450" w:firstLine="0"/>
        <w:jc w:val="both"/>
        <w:rPr>
          <w:rFonts w:asciiTheme="majorBidi" w:hAnsiTheme="majorBidi" w:cstheme="majorBidi"/>
          <w:lang w:val="en-GB"/>
        </w:rPr>
      </w:pPr>
      <w:r w:rsidRPr="00A469EA">
        <w:rPr>
          <w:rFonts w:asciiTheme="majorBidi" w:hAnsiTheme="majorBidi" w:cstheme="majorBidi"/>
          <w:bCs/>
          <w:iCs/>
          <w:lang w:val="en-GB"/>
        </w:rPr>
        <w:t xml:space="preserve">On building </w:t>
      </w:r>
      <w:r w:rsidRPr="00A469EA">
        <w:rPr>
          <w:rFonts w:asciiTheme="majorBidi" w:hAnsiTheme="majorBidi" w:cstheme="majorBidi"/>
          <w:bCs/>
          <w:i/>
          <w:iCs/>
          <w:lang w:val="en-GB"/>
        </w:rPr>
        <w:t>institutional capacities</w:t>
      </w:r>
      <w:r w:rsidRPr="00A469EA">
        <w:rPr>
          <w:rFonts w:asciiTheme="majorBidi" w:hAnsiTheme="majorBidi" w:cstheme="majorBidi"/>
          <w:lang w:val="en-GB"/>
        </w:rPr>
        <w:t xml:space="preserve">, </w:t>
      </w:r>
      <w:r w:rsidR="00973BA1" w:rsidRPr="00A469EA">
        <w:rPr>
          <w:rFonts w:asciiTheme="majorBidi" w:hAnsiTheme="majorBidi" w:cstheme="majorBidi"/>
          <w:lang w:val="en-GB"/>
        </w:rPr>
        <w:t xml:space="preserve">UNDP </w:t>
      </w:r>
      <w:r w:rsidR="008943AD" w:rsidRPr="00A469EA">
        <w:rPr>
          <w:rFonts w:asciiTheme="majorBidi" w:hAnsiTheme="majorBidi" w:cstheme="majorBidi"/>
          <w:lang w:val="en-GB"/>
        </w:rPr>
        <w:t xml:space="preserve">will </w:t>
      </w:r>
      <w:r w:rsidRPr="00A469EA">
        <w:rPr>
          <w:rFonts w:asciiTheme="majorBidi" w:hAnsiTheme="majorBidi" w:cstheme="majorBidi"/>
          <w:lang w:val="en-GB"/>
        </w:rPr>
        <w:t xml:space="preserve">help </w:t>
      </w:r>
      <w:r w:rsidR="008943AD" w:rsidRPr="00A469EA">
        <w:rPr>
          <w:rFonts w:asciiTheme="majorBidi" w:hAnsiTheme="majorBidi" w:cstheme="majorBidi"/>
          <w:lang w:val="en-GB"/>
        </w:rPr>
        <w:t>the</w:t>
      </w:r>
      <w:r w:rsidR="0063489F" w:rsidRPr="00A469EA">
        <w:rPr>
          <w:rFonts w:asciiTheme="majorBidi" w:hAnsiTheme="majorBidi" w:cstheme="majorBidi"/>
          <w:lang w:val="en-GB"/>
        </w:rPr>
        <w:t xml:space="preserve"> </w:t>
      </w:r>
      <w:r w:rsidR="008943AD" w:rsidRPr="00A469EA">
        <w:rPr>
          <w:rFonts w:asciiTheme="majorBidi" w:hAnsiTheme="majorBidi" w:cstheme="majorBidi"/>
          <w:lang w:val="en-GB"/>
        </w:rPr>
        <w:t xml:space="preserve">Ministry of Finance and </w:t>
      </w:r>
      <w:r w:rsidR="0039789D" w:rsidRPr="00A469EA">
        <w:rPr>
          <w:rFonts w:asciiTheme="majorBidi" w:hAnsiTheme="majorBidi" w:cstheme="majorBidi"/>
          <w:lang w:val="en-GB"/>
        </w:rPr>
        <w:t xml:space="preserve">provincial </w:t>
      </w:r>
      <w:r w:rsidR="00645988">
        <w:rPr>
          <w:rFonts w:asciiTheme="majorBidi" w:hAnsiTheme="majorBidi" w:cstheme="majorBidi"/>
          <w:lang w:val="en-GB"/>
        </w:rPr>
        <w:t>f</w:t>
      </w:r>
      <w:r w:rsidR="008943AD" w:rsidRPr="00A469EA">
        <w:rPr>
          <w:rFonts w:asciiTheme="majorBidi" w:hAnsiTheme="majorBidi" w:cstheme="majorBidi"/>
          <w:lang w:val="en-GB"/>
        </w:rPr>
        <w:t xml:space="preserve">inance </w:t>
      </w:r>
      <w:r w:rsidR="00645988">
        <w:rPr>
          <w:rFonts w:asciiTheme="majorBidi" w:hAnsiTheme="majorBidi" w:cstheme="majorBidi"/>
          <w:lang w:val="en-GB"/>
        </w:rPr>
        <w:t>d</w:t>
      </w:r>
      <w:r w:rsidR="008943AD" w:rsidRPr="00A469EA">
        <w:rPr>
          <w:rFonts w:asciiTheme="majorBidi" w:hAnsiTheme="majorBidi" w:cstheme="majorBidi"/>
          <w:lang w:val="en-GB"/>
        </w:rPr>
        <w:t>epartment</w:t>
      </w:r>
      <w:r w:rsidR="00645988">
        <w:rPr>
          <w:rFonts w:asciiTheme="majorBidi" w:hAnsiTheme="majorBidi" w:cstheme="majorBidi"/>
          <w:lang w:val="en-GB"/>
        </w:rPr>
        <w:t>s</w:t>
      </w:r>
      <w:r w:rsidR="00D8705A" w:rsidRPr="00A469EA">
        <w:rPr>
          <w:rFonts w:asciiTheme="majorBidi" w:hAnsiTheme="majorBidi" w:cstheme="majorBidi"/>
          <w:lang w:val="en-GB"/>
        </w:rPr>
        <w:t xml:space="preserve"> </w:t>
      </w:r>
      <w:r w:rsidR="008943AD" w:rsidRPr="00A469EA">
        <w:rPr>
          <w:rFonts w:asciiTheme="majorBidi" w:hAnsiTheme="majorBidi" w:cstheme="majorBidi"/>
          <w:lang w:val="en-GB"/>
        </w:rPr>
        <w:t xml:space="preserve">to mainstream climate finance and strengthen institutional planning, budgeting and implementation of </w:t>
      </w:r>
      <w:r w:rsidR="00973BA1" w:rsidRPr="00A469EA">
        <w:rPr>
          <w:rFonts w:asciiTheme="majorBidi" w:hAnsiTheme="majorBidi" w:cstheme="majorBidi"/>
          <w:lang w:val="en-GB"/>
        </w:rPr>
        <w:t xml:space="preserve">integrated disaster risk management and </w:t>
      </w:r>
      <w:r w:rsidR="008943AD" w:rsidRPr="00A469EA">
        <w:rPr>
          <w:rFonts w:asciiTheme="majorBidi" w:hAnsiTheme="majorBidi" w:cstheme="majorBidi"/>
          <w:lang w:val="en-GB"/>
        </w:rPr>
        <w:t xml:space="preserve">climate change actions. </w:t>
      </w:r>
      <w:r w:rsidR="00B60702" w:rsidRPr="00A469EA">
        <w:rPr>
          <w:rFonts w:asciiTheme="majorBidi" w:hAnsiTheme="majorBidi" w:cstheme="majorBidi"/>
          <w:lang w:val="en-GB"/>
        </w:rPr>
        <w:t xml:space="preserve">It will strengthen the </w:t>
      </w:r>
      <w:r w:rsidR="0010661C" w:rsidRPr="00A469EA">
        <w:rPr>
          <w:rFonts w:asciiTheme="majorBidi" w:hAnsiTheme="majorBidi" w:cstheme="majorBidi"/>
          <w:lang w:val="en-GB"/>
        </w:rPr>
        <w:t>c</w:t>
      </w:r>
      <w:r w:rsidR="008943AD" w:rsidRPr="00A469EA">
        <w:rPr>
          <w:rFonts w:asciiTheme="majorBidi" w:hAnsiTheme="majorBidi" w:cstheme="majorBidi"/>
          <w:lang w:val="en-GB"/>
        </w:rPr>
        <w:t>apacities of the national and provincial disaster management authorities</w:t>
      </w:r>
      <w:r w:rsidR="0010661C" w:rsidRPr="00A469EA">
        <w:rPr>
          <w:rFonts w:asciiTheme="majorBidi" w:hAnsiTheme="majorBidi" w:cstheme="majorBidi"/>
          <w:lang w:val="en-GB"/>
        </w:rPr>
        <w:t xml:space="preserve"> </w:t>
      </w:r>
      <w:r w:rsidR="00B60702" w:rsidRPr="00A469EA">
        <w:rPr>
          <w:rFonts w:asciiTheme="majorBidi" w:hAnsiTheme="majorBidi" w:cstheme="majorBidi"/>
          <w:lang w:val="en-GB"/>
        </w:rPr>
        <w:t xml:space="preserve">to </w:t>
      </w:r>
      <w:r w:rsidRPr="00A469EA">
        <w:rPr>
          <w:rFonts w:asciiTheme="majorBidi" w:hAnsiTheme="majorBidi" w:cstheme="majorBidi"/>
          <w:lang w:val="en-GB"/>
        </w:rPr>
        <w:t xml:space="preserve">work in </w:t>
      </w:r>
      <w:r w:rsidR="0010661C" w:rsidRPr="00A469EA">
        <w:rPr>
          <w:rFonts w:asciiTheme="majorBidi" w:hAnsiTheme="majorBidi" w:cstheme="majorBidi"/>
          <w:lang w:val="en-GB"/>
        </w:rPr>
        <w:t>h</w:t>
      </w:r>
      <w:r w:rsidR="008943AD" w:rsidRPr="00A469EA">
        <w:rPr>
          <w:rFonts w:asciiTheme="majorBidi" w:hAnsiTheme="majorBidi" w:cstheme="majorBidi"/>
          <w:lang w:val="en-GB"/>
        </w:rPr>
        <w:t xml:space="preserve">igh risk areas. </w:t>
      </w:r>
    </w:p>
    <w:p w14:paraId="2CC5F6F3" w14:textId="6BC6F639" w:rsidR="00625F73" w:rsidRPr="00A469EA" w:rsidRDefault="00E9209B" w:rsidP="00F63ECC">
      <w:pPr>
        <w:pStyle w:val="ListParagraph"/>
        <w:numPr>
          <w:ilvl w:val="0"/>
          <w:numId w:val="39"/>
        </w:numPr>
        <w:tabs>
          <w:tab w:val="left" w:pos="450"/>
        </w:tabs>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 xml:space="preserve">Coordinated with </w:t>
      </w:r>
      <w:r w:rsidR="00645988">
        <w:rPr>
          <w:rFonts w:asciiTheme="majorBidi" w:hAnsiTheme="majorBidi" w:cstheme="majorBidi"/>
          <w:lang w:val="en-GB"/>
        </w:rPr>
        <w:t>o</w:t>
      </w:r>
      <w:r w:rsidR="000538BF" w:rsidRPr="00A469EA">
        <w:rPr>
          <w:rFonts w:asciiTheme="majorBidi" w:hAnsiTheme="majorBidi" w:cstheme="majorBidi"/>
          <w:lang w:val="en-GB"/>
        </w:rPr>
        <w:t xml:space="preserve">utcome 1, </w:t>
      </w:r>
      <w:r w:rsidR="0057224B" w:rsidRPr="00A469EA">
        <w:rPr>
          <w:rFonts w:asciiTheme="majorBidi" w:hAnsiTheme="majorBidi" w:cstheme="majorBidi"/>
          <w:lang w:val="en-GB"/>
        </w:rPr>
        <w:t>supporting the G</w:t>
      </w:r>
      <w:r w:rsidR="0039789D" w:rsidRPr="00A469EA">
        <w:rPr>
          <w:rFonts w:asciiTheme="majorBidi" w:hAnsiTheme="majorBidi" w:cstheme="majorBidi"/>
          <w:lang w:val="en-GB"/>
        </w:rPr>
        <w:t xml:space="preserve">overnment </w:t>
      </w:r>
      <w:r w:rsidR="000538BF" w:rsidRPr="00A469EA">
        <w:rPr>
          <w:rFonts w:asciiTheme="majorBidi" w:hAnsiTheme="majorBidi" w:cstheme="majorBidi"/>
          <w:lang w:val="en-GB"/>
        </w:rPr>
        <w:t xml:space="preserve">at </w:t>
      </w:r>
      <w:r w:rsidR="008943AD" w:rsidRPr="00A469EA">
        <w:rPr>
          <w:rFonts w:asciiTheme="majorBidi" w:hAnsiTheme="majorBidi" w:cstheme="majorBidi"/>
          <w:lang w:val="en-GB"/>
        </w:rPr>
        <w:t xml:space="preserve">the </w:t>
      </w:r>
      <w:r w:rsidR="008943AD" w:rsidRPr="00A469EA">
        <w:rPr>
          <w:rFonts w:asciiTheme="majorBidi" w:hAnsiTheme="majorBidi" w:cstheme="majorBidi"/>
          <w:bCs/>
          <w:i/>
          <w:iCs/>
          <w:lang w:val="en-GB"/>
        </w:rPr>
        <w:t>community level</w:t>
      </w:r>
      <w:r w:rsidR="0039789D" w:rsidRPr="00A469EA">
        <w:rPr>
          <w:rFonts w:asciiTheme="majorBidi" w:hAnsiTheme="majorBidi" w:cstheme="majorBidi"/>
          <w:bCs/>
          <w:i/>
          <w:iCs/>
          <w:lang w:val="en-GB"/>
        </w:rPr>
        <w:t>,</w:t>
      </w:r>
      <w:r w:rsidR="008943AD" w:rsidRPr="00A469EA">
        <w:rPr>
          <w:rFonts w:asciiTheme="majorBidi" w:hAnsiTheme="majorBidi" w:cstheme="majorBidi"/>
          <w:lang w:val="en-GB"/>
        </w:rPr>
        <w:t xml:space="preserve"> UNDP will target</w:t>
      </w:r>
      <w:r w:rsidR="00D6157B" w:rsidRPr="00A469EA">
        <w:rPr>
          <w:rFonts w:asciiTheme="majorBidi" w:hAnsiTheme="majorBidi" w:cstheme="majorBidi"/>
          <w:lang w:val="en-GB"/>
        </w:rPr>
        <w:t xml:space="preserve"> </w:t>
      </w:r>
      <w:r w:rsidRPr="00A469EA">
        <w:rPr>
          <w:rFonts w:asciiTheme="majorBidi" w:hAnsiTheme="majorBidi" w:cstheme="majorBidi"/>
          <w:lang w:val="en-GB"/>
        </w:rPr>
        <w:t xml:space="preserve">areas </w:t>
      </w:r>
      <w:r w:rsidR="00A63719" w:rsidRPr="00A469EA">
        <w:rPr>
          <w:rFonts w:asciiTheme="majorBidi" w:hAnsiTheme="majorBidi" w:cstheme="majorBidi"/>
          <w:lang w:val="en-GB"/>
        </w:rPr>
        <w:t xml:space="preserve">with </w:t>
      </w:r>
      <w:r w:rsidRPr="00A469EA">
        <w:rPr>
          <w:rFonts w:asciiTheme="majorBidi" w:hAnsiTheme="majorBidi" w:cstheme="majorBidi"/>
          <w:lang w:val="en-GB"/>
        </w:rPr>
        <w:t xml:space="preserve">high levels of </w:t>
      </w:r>
      <w:r w:rsidR="0039789D" w:rsidRPr="00A469EA">
        <w:rPr>
          <w:rFonts w:asciiTheme="majorBidi" w:hAnsiTheme="majorBidi" w:cstheme="majorBidi"/>
          <w:lang w:val="en-GB"/>
        </w:rPr>
        <w:t>poverty</w:t>
      </w:r>
      <w:r w:rsidR="00D6157B" w:rsidRPr="00A469EA">
        <w:rPr>
          <w:rFonts w:asciiTheme="majorBidi" w:hAnsiTheme="majorBidi" w:cstheme="majorBidi"/>
          <w:lang w:val="en-GB"/>
        </w:rPr>
        <w:t xml:space="preserve"> and high </w:t>
      </w:r>
      <w:r w:rsidR="008943AD" w:rsidRPr="00A469EA">
        <w:rPr>
          <w:rFonts w:asciiTheme="majorBidi" w:hAnsiTheme="majorBidi" w:cstheme="majorBidi"/>
          <w:lang w:val="en-GB"/>
        </w:rPr>
        <w:t>expos</w:t>
      </w:r>
      <w:r w:rsidR="00D6157B" w:rsidRPr="00A469EA">
        <w:rPr>
          <w:rFonts w:asciiTheme="majorBidi" w:hAnsiTheme="majorBidi" w:cstheme="majorBidi"/>
          <w:lang w:val="en-GB"/>
        </w:rPr>
        <w:t>ure</w:t>
      </w:r>
      <w:r w:rsidR="008943AD" w:rsidRPr="00A469EA">
        <w:rPr>
          <w:rFonts w:asciiTheme="majorBidi" w:hAnsiTheme="majorBidi" w:cstheme="majorBidi"/>
          <w:lang w:val="en-GB"/>
        </w:rPr>
        <w:t xml:space="preserve"> to </w:t>
      </w:r>
      <w:r w:rsidR="0039789D" w:rsidRPr="00A469EA">
        <w:rPr>
          <w:rFonts w:asciiTheme="majorBidi" w:hAnsiTheme="majorBidi" w:cstheme="majorBidi"/>
          <w:lang w:val="en-GB"/>
        </w:rPr>
        <w:t xml:space="preserve">climate change </w:t>
      </w:r>
      <w:r w:rsidR="008943AD" w:rsidRPr="00A469EA">
        <w:rPr>
          <w:rFonts w:asciiTheme="majorBidi" w:hAnsiTheme="majorBidi" w:cstheme="majorBidi"/>
          <w:lang w:val="en-GB"/>
        </w:rPr>
        <w:t xml:space="preserve">risks. </w:t>
      </w:r>
      <w:r w:rsidR="007A3469" w:rsidRPr="00A469EA">
        <w:rPr>
          <w:rFonts w:asciiTheme="majorBidi" w:hAnsiTheme="majorBidi" w:cstheme="majorBidi"/>
          <w:lang w:val="en-GB"/>
        </w:rPr>
        <w:t xml:space="preserve">UNDP </w:t>
      </w:r>
      <w:r w:rsidR="008943AD" w:rsidRPr="00A469EA">
        <w:rPr>
          <w:rFonts w:asciiTheme="majorBidi" w:hAnsiTheme="majorBidi" w:cstheme="majorBidi"/>
          <w:lang w:val="en-GB"/>
        </w:rPr>
        <w:t xml:space="preserve">will address </w:t>
      </w:r>
      <w:r w:rsidR="00425E29" w:rsidRPr="00A469EA">
        <w:rPr>
          <w:rFonts w:asciiTheme="majorBidi" w:hAnsiTheme="majorBidi" w:cstheme="majorBidi"/>
          <w:lang w:val="en-GB"/>
        </w:rPr>
        <w:t>the</w:t>
      </w:r>
      <w:r w:rsidR="00645988">
        <w:rPr>
          <w:rFonts w:asciiTheme="majorBidi" w:hAnsiTheme="majorBidi" w:cstheme="majorBidi"/>
          <w:lang w:val="en-GB"/>
        </w:rPr>
        <w:t>se</w:t>
      </w:r>
      <w:r w:rsidR="00425E29" w:rsidRPr="00A469EA">
        <w:rPr>
          <w:rFonts w:asciiTheme="majorBidi" w:hAnsiTheme="majorBidi" w:cstheme="majorBidi"/>
          <w:lang w:val="en-GB"/>
        </w:rPr>
        <w:t xml:space="preserve"> </w:t>
      </w:r>
      <w:r w:rsidR="00C94B17" w:rsidRPr="00A469EA">
        <w:rPr>
          <w:bCs/>
          <w:iCs/>
          <w:lang w:val="en-GB"/>
        </w:rPr>
        <w:t>development challenges</w:t>
      </w:r>
      <w:r w:rsidR="00425E29" w:rsidRPr="00A469EA">
        <w:rPr>
          <w:rFonts w:asciiTheme="majorBidi" w:hAnsiTheme="majorBidi" w:cstheme="majorBidi"/>
          <w:lang w:val="en-GB"/>
        </w:rPr>
        <w:t xml:space="preserve"> by </w:t>
      </w:r>
      <w:r w:rsidR="008943AD" w:rsidRPr="00A469EA">
        <w:rPr>
          <w:rFonts w:asciiTheme="majorBidi" w:hAnsiTheme="majorBidi" w:cstheme="majorBidi"/>
          <w:lang w:val="en-GB"/>
        </w:rPr>
        <w:t>creating livelihood</w:t>
      </w:r>
      <w:r w:rsidR="00425E29" w:rsidRPr="00A469EA">
        <w:rPr>
          <w:rFonts w:asciiTheme="majorBidi" w:hAnsiTheme="majorBidi" w:cstheme="majorBidi"/>
          <w:lang w:val="en-GB"/>
        </w:rPr>
        <w:t>s</w:t>
      </w:r>
      <w:r w:rsidR="008943AD" w:rsidRPr="00A469EA">
        <w:rPr>
          <w:rFonts w:asciiTheme="majorBidi" w:hAnsiTheme="majorBidi" w:cstheme="majorBidi"/>
          <w:lang w:val="en-GB"/>
        </w:rPr>
        <w:t xml:space="preserve"> and employment opportunities, </w:t>
      </w:r>
      <w:r w:rsidR="00425E29" w:rsidRPr="00A469EA">
        <w:rPr>
          <w:rFonts w:asciiTheme="majorBidi" w:hAnsiTheme="majorBidi" w:cstheme="majorBidi"/>
          <w:lang w:val="en-GB"/>
        </w:rPr>
        <w:t>str</w:t>
      </w:r>
      <w:r w:rsidR="004430BB" w:rsidRPr="00A469EA">
        <w:rPr>
          <w:rFonts w:asciiTheme="majorBidi" w:hAnsiTheme="majorBidi" w:cstheme="majorBidi"/>
          <w:lang w:val="en-GB"/>
        </w:rPr>
        <w:t>en</w:t>
      </w:r>
      <w:r w:rsidR="00425E29" w:rsidRPr="00A469EA">
        <w:rPr>
          <w:rFonts w:asciiTheme="majorBidi" w:hAnsiTheme="majorBidi" w:cstheme="majorBidi"/>
          <w:lang w:val="en-GB"/>
        </w:rPr>
        <w:t>gthening resilience</w:t>
      </w:r>
      <w:r w:rsidR="008943AD" w:rsidRPr="00A469EA">
        <w:rPr>
          <w:rFonts w:asciiTheme="majorBidi" w:hAnsiTheme="majorBidi" w:cstheme="majorBidi"/>
          <w:lang w:val="en-GB"/>
        </w:rPr>
        <w:t xml:space="preserve">, </w:t>
      </w:r>
      <w:r w:rsidR="00A63719" w:rsidRPr="00A469EA">
        <w:rPr>
          <w:rFonts w:asciiTheme="majorBidi" w:hAnsiTheme="majorBidi" w:cstheme="majorBidi"/>
          <w:lang w:val="en-GB"/>
        </w:rPr>
        <w:t xml:space="preserve">promoting </w:t>
      </w:r>
      <w:r w:rsidR="007A3469" w:rsidRPr="00A469EA">
        <w:rPr>
          <w:rFonts w:asciiTheme="majorBidi" w:hAnsiTheme="majorBidi" w:cstheme="majorBidi"/>
          <w:lang w:val="en-GB"/>
        </w:rPr>
        <w:t xml:space="preserve">climate change </w:t>
      </w:r>
      <w:r w:rsidR="00A63719" w:rsidRPr="00A469EA">
        <w:rPr>
          <w:rFonts w:asciiTheme="majorBidi" w:hAnsiTheme="majorBidi" w:cstheme="majorBidi"/>
          <w:lang w:val="en-GB"/>
        </w:rPr>
        <w:t xml:space="preserve">adaptation </w:t>
      </w:r>
      <w:r w:rsidR="008943AD" w:rsidRPr="00A469EA">
        <w:rPr>
          <w:rFonts w:asciiTheme="majorBidi" w:hAnsiTheme="majorBidi" w:cstheme="majorBidi"/>
          <w:lang w:val="en-GB"/>
        </w:rPr>
        <w:t xml:space="preserve">and working towards sustainable natural </w:t>
      </w:r>
      <w:r w:rsidR="000538BF" w:rsidRPr="00A469EA">
        <w:rPr>
          <w:rFonts w:asciiTheme="majorBidi" w:hAnsiTheme="majorBidi" w:cstheme="majorBidi"/>
          <w:lang w:val="en-GB"/>
        </w:rPr>
        <w:t xml:space="preserve">resource management. </w:t>
      </w:r>
      <w:r w:rsidR="008943AD" w:rsidRPr="00A469EA">
        <w:rPr>
          <w:rFonts w:asciiTheme="majorBidi" w:eastAsia="Cambria" w:hAnsiTheme="majorBidi" w:cstheme="majorBidi"/>
          <w:lang w:val="en-GB"/>
        </w:rPr>
        <w:t xml:space="preserve">UNDP will apply its social and environmental screening </w:t>
      </w:r>
      <w:r w:rsidR="000538BF" w:rsidRPr="00A469EA">
        <w:rPr>
          <w:rFonts w:asciiTheme="majorBidi" w:eastAsia="Cambria" w:hAnsiTheme="majorBidi" w:cstheme="majorBidi"/>
          <w:lang w:val="en-GB"/>
        </w:rPr>
        <w:t>methodology</w:t>
      </w:r>
      <w:r w:rsidR="00C94B17" w:rsidRPr="00A469EA">
        <w:rPr>
          <w:rStyle w:val="FootnoteReference"/>
          <w:rFonts w:asciiTheme="majorBidi" w:eastAsia="Cambria" w:hAnsiTheme="majorBidi"/>
          <w:lang w:val="en-GB"/>
        </w:rPr>
        <w:footnoteReference w:id="30"/>
      </w:r>
      <w:r w:rsidR="000538BF" w:rsidRPr="00A469EA">
        <w:rPr>
          <w:rFonts w:asciiTheme="majorBidi" w:eastAsia="Cambria" w:hAnsiTheme="majorBidi" w:cstheme="majorBidi"/>
          <w:lang w:val="en-GB"/>
        </w:rPr>
        <w:t xml:space="preserve"> </w:t>
      </w:r>
      <w:r w:rsidR="008943AD" w:rsidRPr="00A469EA">
        <w:rPr>
          <w:rFonts w:asciiTheme="majorBidi" w:eastAsia="Cambria" w:hAnsiTheme="majorBidi" w:cstheme="majorBidi"/>
          <w:lang w:val="en-GB"/>
        </w:rPr>
        <w:t>to identify and manage risks</w:t>
      </w:r>
      <w:r w:rsidR="004430BB" w:rsidRPr="00A469EA">
        <w:rPr>
          <w:rFonts w:asciiTheme="majorBidi" w:eastAsia="Cambria" w:hAnsiTheme="majorBidi" w:cstheme="majorBidi"/>
          <w:lang w:val="en-GB"/>
        </w:rPr>
        <w:t xml:space="preserve">, </w:t>
      </w:r>
      <w:r w:rsidR="002022D2" w:rsidRPr="00A469EA">
        <w:rPr>
          <w:rFonts w:asciiTheme="majorBidi" w:eastAsia="Cambria" w:hAnsiTheme="majorBidi" w:cstheme="majorBidi"/>
          <w:lang w:val="en-GB"/>
        </w:rPr>
        <w:t>and strengthen achievement of positive development outcomes,</w:t>
      </w:r>
      <w:r w:rsidR="00C94B17" w:rsidRPr="00A469EA">
        <w:rPr>
          <w:bCs/>
          <w:iCs/>
          <w:lang w:val="en-GB"/>
        </w:rPr>
        <w:t xml:space="preserve"> including gender equality and women’s empowerment. UNDP will also pursue recovery activities that promote rehabilitation</w:t>
      </w:r>
      <w:r w:rsidR="00645988">
        <w:rPr>
          <w:bCs/>
          <w:iCs/>
          <w:lang w:val="en-GB"/>
        </w:rPr>
        <w:t xml:space="preserve"> and </w:t>
      </w:r>
      <w:r w:rsidR="00C94B17" w:rsidRPr="00A469EA">
        <w:rPr>
          <w:bCs/>
          <w:iCs/>
          <w:lang w:val="en-GB"/>
        </w:rPr>
        <w:t>resilience and build local partnerships in areas most affected by displacement.</w:t>
      </w:r>
    </w:p>
    <w:p w14:paraId="50DF7CCA" w14:textId="699CF30F" w:rsidR="00F40BFD" w:rsidRPr="00A469EA" w:rsidRDefault="008943AD" w:rsidP="00F63ECC">
      <w:pPr>
        <w:pStyle w:val="ListParagraph"/>
        <w:numPr>
          <w:ilvl w:val="0"/>
          <w:numId w:val="39"/>
        </w:numPr>
        <w:tabs>
          <w:tab w:val="left" w:pos="450"/>
        </w:tabs>
        <w:spacing w:after="120"/>
        <w:ind w:left="0" w:right="450" w:firstLine="0"/>
        <w:jc w:val="both"/>
        <w:rPr>
          <w:lang w:val="en-GB"/>
        </w:rPr>
      </w:pPr>
      <w:r w:rsidRPr="00A469EA">
        <w:rPr>
          <w:rFonts w:asciiTheme="majorBidi" w:hAnsiTheme="majorBidi" w:cstheme="majorBidi"/>
          <w:lang w:val="en-GB"/>
        </w:rPr>
        <w:t xml:space="preserve">To achieve </w:t>
      </w:r>
      <w:r w:rsidR="009D3FAF" w:rsidRPr="00A469EA">
        <w:rPr>
          <w:rFonts w:asciiTheme="majorBidi" w:hAnsiTheme="majorBidi" w:cstheme="majorBidi"/>
          <w:lang w:val="en-GB"/>
        </w:rPr>
        <w:t>this</w:t>
      </w:r>
      <w:r w:rsidRPr="00A469EA">
        <w:rPr>
          <w:rFonts w:asciiTheme="majorBidi" w:hAnsiTheme="majorBidi" w:cstheme="majorBidi"/>
          <w:lang w:val="en-GB"/>
        </w:rPr>
        <w:t xml:space="preserve">, UNDP will capitalize on its </w:t>
      </w:r>
      <w:r w:rsidRPr="00A469EA">
        <w:rPr>
          <w:rFonts w:asciiTheme="majorBidi" w:hAnsiTheme="majorBidi" w:cstheme="majorBidi"/>
          <w:bCs/>
          <w:lang w:val="en-GB"/>
        </w:rPr>
        <w:t>comparative advantage</w:t>
      </w:r>
      <w:r w:rsidRPr="00A469EA">
        <w:rPr>
          <w:rFonts w:asciiTheme="majorBidi" w:hAnsiTheme="majorBidi" w:cstheme="majorBidi"/>
          <w:lang w:val="en-GB"/>
        </w:rPr>
        <w:t xml:space="preserve"> in the area</w:t>
      </w:r>
      <w:r w:rsidR="009D3FAF" w:rsidRPr="00A469EA">
        <w:rPr>
          <w:rFonts w:asciiTheme="majorBidi" w:hAnsiTheme="majorBidi" w:cstheme="majorBidi"/>
          <w:lang w:val="en-GB"/>
        </w:rPr>
        <w:t>s</w:t>
      </w:r>
      <w:r w:rsidRPr="00A469EA">
        <w:rPr>
          <w:rFonts w:asciiTheme="majorBidi" w:hAnsiTheme="majorBidi" w:cstheme="majorBidi"/>
          <w:lang w:val="en-GB"/>
        </w:rPr>
        <w:t xml:space="preserve"> of </w:t>
      </w:r>
      <w:r w:rsidR="009D3FAF" w:rsidRPr="00A469EA">
        <w:rPr>
          <w:rFonts w:asciiTheme="majorBidi" w:hAnsiTheme="majorBidi" w:cstheme="majorBidi"/>
          <w:lang w:val="en-GB"/>
        </w:rPr>
        <w:t>c</w:t>
      </w:r>
      <w:r w:rsidRPr="00A469EA">
        <w:rPr>
          <w:rFonts w:asciiTheme="majorBidi" w:hAnsiTheme="majorBidi" w:cstheme="majorBidi"/>
          <w:lang w:val="en-GB"/>
        </w:rPr>
        <w:t xml:space="preserve">limate </w:t>
      </w:r>
      <w:r w:rsidR="009D3FAF" w:rsidRPr="00A469EA">
        <w:rPr>
          <w:rFonts w:asciiTheme="majorBidi" w:hAnsiTheme="majorBidi" w:cstheme="majorBidi"/>
          <w:lang w:val="en-GB"/>
        </w:rPr>
        <w:t>c</w:t>
      </w:r>
      <w:r w:rsidRPr="00A469EA">
        <w:rPr>
          <w:rFonts w:asciiTheme="majorBidi" w:hAnsiTheme="majorBidi" w:cstheme="majorBidi"/>
          <w:lang w:val="en-GB"/>
        </w:rPr>
        <w:t>hange</w:t>
      </w:r>
      <w:r w:rsidR="00212AE2" w:rsidRPr="00A469EA">
        <w:rPr>
          <w:rFonts w:asciiTheme="majorBidi" w:hAnsiTheme="majorBidi" w:cstheme="majorBidi"/>
          <w:lang w:val="en-GB"/>
        </w:rPr>
        <w:t xml:space="preserve"> and </w:t>
      </w:r>
      <w:r w:rsidR="009D3FAF" w:rsidRPr="00A469EA">
        <w:rPr>
          <w:rFonts w:asciiTheme="majorBidi" w:hAnsiTheme="majorBidi" w:cstheme="majorBidi"/>
          <w:lang w:val="en-GB"/>
        </w:rPr>
        <w:t>d</w:t>
      </w:r>
      <w:r w:rsidR="00212AE2" w:rsidRPr="00A469EA">
        <w:rPr>
          <w:rFonts w:asciiTheme="majorBidi" w:hAnsiTheme="majorBidi" w:cstheme="majorBidi"/>
          <w:lang w:val="en-GB"/>
        </w:rPr>
        <w:t xml:space="preserve">isaster </w:t>
      </w:r>
      <w:r w:rsidR="009D3FAF" w:rsidRPr="00A469EA">
        <w:rPr>
          <w:rFonts w:asciiTheme="majorBidi" w:hAnsiTheme="majorBidi" w:cstheme="majorBidi"/>
          <w:lang w:val="en-GB"/>
        </w:rPr>
        <w:t>r</w:t>
      </w:r>
      <w:r w:rsidR="00212AE2" w:rsidRPr="00A469EA">
        <w:rPr>
          <w:rFonts w:asciiTheme="majorBidi" w:hAnsiTheme="majorBidi" w:cstheme="majorBidi"/>
          <w:lang w:val="en-GB"/>
        </w:rPr>
        <w:t xml:space="preserve">isk </w:t>
      </w:r>
      <w:r w:rsidR="009D3FAF" w:rsidRPr="00A469EA">
        <w:rPr>
          <w:rFonts w:asciiTheme="majorBidi" w:hAnsiTheme="majorBidi" w:cstheme="majorBidi"/>
          <w:lang w:val="en-GB"/>
        </w:rPr>
        <w:t>m</w:t>
      </w:r>
      <w:r w:rsidR="00212AE2" w:rsidRPr="00A469EA">
        <w:rPr>
          <w:rFonts w:asciiTheme="majorBidi" w:hAnsiTheme="majorBidi" w:cstheme="majorBidi"/>
          <w:lang w:val="en-GB"/>
        </w:rPr>
        <w:t>anagement</w:t>
      </w:r>
      <w:r w:rsidRPr="00A469EA">
        <w:rPr>
          <w:rFonts w:asciiTheme="majorBidi" w:hAnsiTheme="majorBidi" w:cstheme="majorBidi"/>
          <w:lang w:val="en-GB"/>
        </w:rPr>
        <w:t xml:space="preserve">, being the first </w:t>
      </w:r>
      <w:r w:rsidR="00025D6B" w:rsidRPr="00A469EA">
        <w:rPr>
          <w:rFonts w:asciiTheme="majorBidi" w:hAnsiTheme="majorBidi" w:cstheme="majorBidi"/>
          <w:lang w:val="en-GB"/>
        </w:rPr>
        <w:t xml:space="preserve">organization </w:t>
      </w:r>
      <w:r w:rsidR="00E9209B" w:rsidRPr="00A469EA">
        <w:rPr>
          <w:rFonts w:asciiTheme="majorBidi" w:hAnsiTheme="majorBidi" w:cstheme="majorBidi"/>
          <w:lang w:val="en-GB"/>
        </w:rPr>
        <w:t xml:space="preserve">to access </w:t>
      </w:r>
      <w:r w:rsidR="00025D6B" w:rsidRPr="00A469EA">
        <w:rPr>
          <w:rFonts w:asciiTheme="majorBidi" w:hAnsiTheme="majorBidi" w:cstheme="majorBidi"/>
          <w:lang w:val="en-GB"/>
        </w:rPr>
        <w:t>the</w:t>
      </w:r>
      <w:r w:rsidRPr="00A469EA">
        <w:rPr>
          <w:rFonts w:asciiTheme="majorBidi" w:hAnsiTheme="majorBidi" w:cstheme="majorBidi"/>
          <w:lang w:val="en-GB"/>
        </w:rPr>
        <w:t xml:space="preserve"> Green Climate Fund for Pakistan. </w:t>
      </w:r>
      <w:r w:rsidR="006D648E" w:rsidRPr="00A469EA">
        <w:rPr>
          <w:rFonts w:asciiTheme="majorBidi" w:hAnsiTheme="majorBidi" w:cstheme="majorBidi"/>
          <w:lang w:val="en-GB"/>
        </w:rPr>
        <w:t>UNDP will scale</w:t>
      </w:r>
      <w:r w:rsidR="009D3FAF" w:rsidRPr="00A469EA">
        <w:rPr>
          <w:rFonts w:asciiTheme="majorBidi" w:hAnsiTheme="majorBidi" w:cstheme="majorBidi"/>
          <w:lang w:val="en-GB"/>
        </w:rPr>
        <w:t xml:space="preserve"> </w:t>
      </w:r>
      <w:r w:rsidR="006D648E" w:rsidRPr="00A469EA">
        <w:rPr>
          <w:rFonts w:asciiTheme="majorBidi" w:hAnsiTheme="majorBidi" w:cstheme="majorBidi"/>
          <w:lang w:val="en-GB"/>
        </w:rPr>
        <w:t xml:space="preserve">up its </w:t>
      </w:r>
      <w:r w:rsidR="00645988">
        <w:rPr>
          <w:rFonts w:asciiTheme="majorBidi" w:hAnsiTheme="majorBidi" w:cstheme="majorBidi"/>
          <w:lang w:val="en-GB"/>
        </w:rPr>
        <w:t>g</w:t>
      </w:r>
      <w:r w:rsidR="006D648E" w:rsidRPr="00A469EA">
        <w:rPr>
          <w:rFonts w:asciiTheme="majorBidi" w:hAnsiTheme="majorBidi" w:cstheme="majorBidi"/>
          <w:lang w:val="en-GB"/>
        </w:rPr>
        <w:t xml:space="preserve">lacial </w:t>
      </w:r>
      <w:r w:rsidR="00645988">
        <w:rPr>
          <w:rFonts w:asciiTheme="majorBidi" w:hAnsiTheme="majorBidi" w:cstheme="majorBidi"/>
          <w:lang w:val="en-GB"/>
        </w:rPr>
        <w:t>l</w:t>
      </w:r>
      <w:r w:rsidR="006D648E" w:rsidRPr="00A469EA">
        <w:rPr>
          <w:rFonts w:asciiTheme="majorBidi" w:hAnsiTheme="majorBidi" w:cstheme="majorBidi"/>
          <w:lang w:val="en-GB"/>
        </w:rPr>
        <w:t xml:space="preserve">ake </w:t>
      </w:r>
      <w:r w:rsidR="00645988">
        <w:rPr>
          <w:rFonts w:asciiTheme="majorBidi" w:hAnsiTheme="majorBidi" w:cstheme="majorBidi"/>
          <w:lang w:val="en-GB"/>
        </w:rPr>
        <w:t>o</w:t>
      </w:r>
      <w:r w:rsidR="006D648E" w:rsidRPr="00A469EA">
        <w:rPr>
          <w:rFonts w:asciiTheme="majorBidi" w:hAnsiTheme="majorBidi" w:cstheme="majorBidi"/>
          <w:lang w:val="en-GB"/>
        </w:rPr>
        <w:t xml:space="preserve">utburst </w:t>
      </w:r>
      <w:r w:rsidR="00645988">
        <w:rPr>
          <w:rFonts w:asciiTheme="majorBidi" w:hAnsiTheme="majorBidi" w:cstheme="majorBidi"/>
          <w:lang w:val="en-GB"/>
        </w:rPr>
        <w:t>f</w:t>
      </w:r>
      <w:r w:rsidR="006D648E" w:rsidRPr="00A469EA">
        <w:rPr>
          <w:rFonts w:asciiTheme="majorBidi" w:hAnsiTheme="majorBidi" w:cstheme="majorBidi"/>
          <w:lang w:val="en-GB"/>
        </w:rPr>
        <w:t>loods programme</w:t>
      </w:r>
      <w:r w:rsidR="0013284D" w:rsidRPr="00A469EA">
        <w:rPr>
          <w:rFonts w:asciiTheme="majorBidi" w:hAnsiTheme="majorBidi" w:cstheme="majorBidi"/>
          <w:lang w:val="en-GB"/>
        </w:rPr>
        <w:t xml:space="preserve"> </w:t>
      </w:r>
      <w:r w:rsidRPr="00A469EA">
        <w:rPr>
          <w:rFonts w:asciiTheme="majorBidi" w:hAnsiTheme="majorBidi" w:cstheme="majorBidi"/>
          <w:lang w:val="en-GB"/>
        </w:rPr>
        <w:t xml:space="preserve">to </w:t>
      </w:r>
      <w:r w:rsidR="009D3FAF" w:rsidRPr="00A469EA">
        <w:rPr>
          <w:rFonts w:asciiTheme="majorBidi" w:hAnsiTheme="majorBidi" w:cstheme="majorBidi"/>
          <w:lang w:val="en-GB"/>
        </w:rPr>
        <w:t xml:space="preserve">help </w:t>
      </w:r>
      <w:r w:rsidRPr="00A469EA">
        <w:rPr>
          <w:rFonts w:asciiTheme="majorBidi" w:hAnsiTheme="majorBidi" w:cstheme="majorBidi"/>
          <w:lang w:val="en-GB"/>
        </w:rPr>
        <w:t>authorities and communities in northern Pakistan</w:t>
      </w:r>
      <w:r w:rsidR="006D648E" w:rsidRPr="00A469EA">
        <w:rPr>
          <w:rFonts w:asciiTheme="majorBidi" w:hAnsiTheme="majorBidi" w:cstheme="majorBidi"/>
          <w:lang w:val="en-GB"/>
        </w:rPr>
        <w:t xml:space="preserve"> </w:t>
      </w:r>
      <w:r w:rsidR="009D3FAF" w:rsidRPr="00A469EA">
        <w:rPr>
          <w:rFonts w:asciiTheme="majorBidi" w:hAnsiTheme="majorBidi" w:cstheme="majorBidi"/>
          <w:lang w:val="en-GB"/>
        </w:rPr>
        <w:t xml:space="preserve">to </w:t>
      </w:r>
      <w:r w:rsidR="00D71B48" w:rsidRPr="00A469EA">
        <w:rPr>
          <w:rFonts w:asciiTheme="majorBidi" w:hAnsiTheme="majorBidi" w:cstheme="majorBidi"/>
          <w:lang w:val="en-GB"/>
        </w:rPr>
        <w:t xml:space="preserve">address the </w:t>
      </w:r>
      <w:r w:rsidRPr="00A469EA">
        <w:rPr>
          <w:rFonts w:asciiTheme="majorBidi" w:hAnsiTheme="majorBidi" w:cstheme="majorBidi"/>
          <w:lang w:val="en-GB"/>
        </w:rPr>
        <w:t>impact of melting glaciers and changing monsoon patter</w:t>
      </w:r>
      <w:r w:rsidR="00D71B48" w:rsidRPr="00A469EA">
        <w:rPr>
          <w:rFonts w:asciiTheme="majorBidi" w:hAnsiTheme="majorBidi" w:cstheme="majorBidi"/>
          <w:lang w:val="en-GB"/>
        </w:rPr>
        <w:t>n</w:t>
      </w:r>
      <w:r w:rsidRPr="00A469EA">
        <w:rPr>
          <w:rFonts w:asciiTheme="majorBidi" w:hAnsiTheme="majorBidi" w:cstheme="majorBidi"/>
          <w:lang w:val="en-GB"/>
        </w:rPr>
        <w:t>s, which trigger floods</w:t>
      </w:r>
      <w:r w:rsidR="00ED644C" w:rsidRPr="00A469EA">
        <w:rPr>
          <w:rFonts w:asciiTheme="majorBidi" w:hAnsiTheme="majorBidi" w:cstheme="majorBidi"/>
          <w:lang w:val="en-GB"/>
        </w:rPr>
        <w:t xml:space="preserve"> and</w:t>
      </w:r>
      <w:r w:rsidRPr="00A469EA">
        <w:rPr>
          <w:rFonts w:asciiTheme="majorBidi" w:hAnsiTheme="majorBidi" w:cstheme="majorBidi"/>
          <w:lang w:val="en-GB"/>
        </w:rPr>
        <w:t xml:space="preserve"> landslides. </w:t>
      </w:r>
      <w:r w:rsidR="00C94B17" w:rsidRPr="00A469EA">
        <w:rPr>
          <w:rFonts w:asciiTheme="majorBidi" w:hAnsiTheme="majorBidi" w:cstheme="majorBidi"/>
          <w:lang w:val="en-GB"/>
        </w:rPr>
        <w:t xml:space="preserve">The programme </w:t>
      </w:r>
      <w:r w:rsidR="009D3FAF" w:rsidRPr="00A469EA">
        <w:rPr>
          <w:rFonts w:asciiTheme="majorBidi" w:hAnsiTheme="majorBidi" w:cstheme="majorBidi"/>
          <w:lang w:val="en-GB"/>
        </w:rPr>
        <w:t>will help to expand i</w:t>
      </w:r>
      <w:r w:rsidR="00212AE2" w:rsidRPr="00A469EA">
        <w:rPr>
          <w:rFonts w:asciiTheme="majorBidi" w:hAnsiTheme="majorBidi" w:cstheme="majorBidi"/>
          <w:lang w:val="en-GB"/>
        </w:rPr>
        <w:t xml:space="preserve">nnovative </w:t>
      </w:r>
      <w:r w:rsidR="00D71B48" w:rsidRPr="00A469EA">
        <w:rPr>
          <w:rFonts w:asciiTheme="majorBidi" w:hAnsiTheme="majorBidi" w:cstheme="majorBidi"/>
          <w:lang w:val="en-GB"/>
        </w:rPr>
        <w:t>e</w:t>
      </w:r>
      <w:r w:rsidRPr="00A469EA">
        <w:rPr>
          <w:rFonts w:asciiTheme="majorBidi" w:hAnsiTheme="majorBidi" w:cstheme="majorBidi"/>
          <w:lang w:val="en-GB"/>
        </w:rPr>
        <w:t>arly warning and mitigation measures</w:t>
      </w:r>
      <w:r w:rsidR="0085454A" w:rsidRPr="00A469EA">
        <w:rPr>
          <w:rStyle w:val="FootnoteReference"/>
          <w:rFonts w:asciiTheme="majorBidi" w:hAnsiTheme="majorBidi"/>
          <w:lang w:val="en-GB"/>
        </w:rPr>
        <w:footnoteReference w:id="31"/>
      </w:r>
      <w:r w:rsidR="0085454A" w:rsidRPr="00A469EA">
        <w:rPr>
          <w:rFonts w:asciiTheme="majorBidi" w:hAnsiTheme="majorBidi" w:cstheme="majorBidi"/>
          <w:lang w:val="en-GB"/>
        </w:rPr>
        <w:t xml:space="preserve"> </w:t>
      </w:r>
      <w:r w:rsidRPr="00A469EA">
        <w:rPr>
          <w:rFonts w:asciiTheme="majorBidi" w:hAnsiTheme="majorBidi" w:cstheme="majorBidi"/>
          <w:lang w:val="en-GB"/>
        </w:rPr>
        <w:t>to cover nearly 100</w:t>
      </w:r>
      <w:r w:rsidR="009D3FAF" w:rsidRPr="00A469EA">
        <w:rPr>
          <w:rFonts w:asciiTheme="majorBidi" w:hAnsiTheme="majorBidi" w:cstheme="majorBidi"/>
          <w:lang w:val="en-GB"/>
        </w:rPr>
        <w:t xml:space="preserve"> per cent</w:t>
      </w:r>
      <w:r w:rsidRPr="00A469EA">
        <w:rPr>
          <w:rFonts w:asciiTheme="majorBidi" w:hAnsiTheme="majorBidi" w:cstheme="majorBidi"/>
          <w:lang w:val="en-GB"/>
        </w:rPr>
        <w:t xml:space="preserve"> of </w:t>
      </w:r>
      <w:r w:rsidR="009D3FAF" w:rsidRPr="00A469EA">
        <w:rPr>
          <w:rFonts w:asciiTheme="majorBidi" w:hAnsiTheme="majorBidi" w:cstheme="majorBidi"/>
          <w:lang w:val="en-GB"/>
        </w:rPr>
        <w:t xml:space="preserve">the country’s </w:t>
      </w:r>
      <w:r w:rsidRPr="00A469EA">
        <w:rPr>
          <w:rFonts w:asciiTheme="majorBidi" w:hAnsiTheme="majorBidi" w:cstheme="majorBidi"/>
          <w:lang w:val="en-GB"/>
        </w:rPr>
        <w:t xml:space="preserve">glaciated areas, ultimately benefitting 29 million people. UNDP will also assist community-based disaster risk management </w:t>
      </w:r>
      <w:r w:rsidR="009D3FAF" w:rsidRPr="00A469EA">
        <w:rPr>
          <w:rFonts w:asciiTheme="majorBidi" w:hAnsiTheme="majorBidi" w:cstheme="majorBidi"/>
          <w:lang w:val="en-GB"/>
        </w:rPr>
        <w:t xml:space="preserve">efforts </w:t>
      </w:r>
      <w:r w:rsidRPr="00A469EA">
        <w:rPr>
          <w:rFonts w:asciiTheme="majorBidi" w:hAnsiTheme="majorBidi" w:cstheme="majorBidi"/>
          <w:lang w:val="en-GB"/>
        </w:rPr>
        <w:t>in high</w:t>
      </w:r>
      <w:r w:rsidR="009D3FAF" w:rsidRPr="00A469EA">
        <w:rPr>
          <w:rFonts w:asciiTheme="majorBidi" w:hAnsiTheme="majorBidi" w:cstheme="majorBidi"/>
          <w:lang w:val="en-GB"/>
        </w:rPr>
        <w:t xml:space="preserve"> </w:t>
      </w:r>
      <w:r w:rsidRPr="00A469EA">
        <w:rPr>
          <w:rFonts w:asciiTheme="majorBidi" w:hAnsiTheme="majorBidi" w:cstheme="majorBidi"/>
          <w:lang w:val="en-GB"/>
        </w:rPr>
        <w:t>risk areas</w:t>
      </w:r>
      <w:r w:rsidR="009D3FAF" w:rsidRPr="00A469EA">
        <w:rPr>
          <w:rFonts w:asciiTheme="majorBidi" w:hAnsiTheme="majorBidi" w:cstheme="majorBidi"/>
          <w:lang w:val="en-GB"/>
        </w:rPr>
        <w:t>,</w:t>
      </w:r>
      <w:r w:rsidRPr="00A469EA">
        <w:rPr>
          <w:rFonts w:asciiTheme="majorBidi" w:hAnsiTheme="majorBidi" w:cstheme="majorBidi"/>
          <w:lang w:val="en-GB"/>
        </w:rPr>
        <w:t xml:space="preserve"> </w:t>
      </w:r>
      <w:r w:rsidR="009D3FAF" w:rsidRPr="00A469EA">
        <w:rPr>
          <w:rFonts w:asciiTheme="majorBidi" w:hAnsiTheme="majorBidi" w:cstheme="majorBidi"/>
          <w:lang w:val="en-GB"/>
        </w:rPr>
        <w:t xml:space="preserve">and will </w:t>
      </w:r>
      <w:r w:rsidRPr="00A469EA">
        <w:rPr>
          <w:rFonts w:asciiTheme="majorBidi" w:hAnsiTheme="majorBidi" w:cstheme="majorBidi"/>
          <w:lang w:val="en-GB"/>
        </w:rPr>
        <w:t xml:space="preserve">strengthen preparedness and emergency response </w:t>
      </w:r>
      <w:r w:rsidRPr="00A469EA">
        <w:rPr>
          <w:rFonts w:asciiTheme="majorBidi" w:hAnsiTheme="majorBidi" w:cstheme="majorBidi"/>
          <w:lang w:val="en-GB"/>
        </w:rPr>
        <w:lastRenderedPageBreak/>
        <w:t>systems</w:t>
      </w:r>
      <w:r w:rsidR="00E9209B" w:rsidRPr="00A469EA">
        <w:rPr>
          <w:rFonts w:asciiTheme="majorBidi" w:hAnsiTheme="majorBidi" w:cstheme="majorBidi"/>
          <w:lang w:val="en-GB"/>
        </w:rPr>
        <w:t xml:space="preserve">. </w:t>
      </w:r>
      <w:r w:rsidR="00645988">
        <w:rPr>
          <w:rFonts w:asciiTheme="majorBidi" w:hAnsiTheme="majorBidi" w:cstheme="majorBidi"/>
          <w:lang w:val="en-GB"/>
        </w:rPr>
        <w:t>It will mobilize g</w:t>
      </w:r>
      <w:r w:rsidR="00CA4E10" w:rsidRPr="00A469EA">
        <w:rPr>
          <w:lang w:val="en-GB"/>
        </w:rPr>
        <w:t>rassroot</w:t>
      </w:r>
      <w:r w:rsidR="00645988">
        <w:rPr>
          <w:lang w:val="en-GB"/>
        </w:rPr>
        <w:t>s-</w:t>
      </w:r>
      <w:r w:rsidR="00823644" w:rsidRPr="00A469EA">
        <w:rPr>
          <w:lang w:val="en-GB"/>
        </w:rPr>
        <w:t>level</w:t>
      </w:r>
      <w:r w:rsidR="00CA4E10" w:rsidRPr="00A469EA">
        <w:rPr>
          <w:lang w:val="en-GB"/>
        </w:rPr>
        <w:t xml:space="preserve"> organizations for environmental protection through</w:t>
      </w:r>
      <w:r w:rsidR="00DC608E" w:rsidRPr="00A469EA">
        <w:rPr>
          <w:lang w:val="en-GB"/>
        </w:rPr>
        <w:t xml:space="preserve"> </w:t>
      </w:r>
      <w:r w:rsidR="00CA4E10" w:rsidRPr="00A469EA">
        <w:rPr>
          <w:lang w:val="en-GB"/>
        </w:rPr>
        <w:t>the G</w:t>
      </w:r>
      <w:r w:rsidR="009D3FAF" w:rsidRPr="00A469EA">
        <w:rPr>
          <w:lang w:val="en-GB"/>
        </w:rPr>
        <w:t xml:space="preserve">lobal </w:t>
      </w:r>
      <w:r w:rsidR="00CA4E10" w:rsidRPr="00A469EA">
        <w:rPr>
          <w:lang w:val="en-GB"/>
        </w:rPr>
        <w:t>E</w:t>
      </w:r>
      <w:r w:rsidR="009D3FAF" w:rsidRPr="00A469EA">
        <w:rPr>
          <w:lang w:val="en-GB"/>
        </w:rPr>
        <w:t xml:space="preserve">nvironment </w:t>
      </w:r>
      <w:r w:rsidR="00CA4E10" w:rsidRPr="00A469EA">
        <w:rPr>
          <w:lang w:val="en-GB"/>
        </w:rPr>
        <w:t>F</w:t>
      </w:r>
      <w:r w:rsidR="009D3FAF" w:rsidRPr="00A469EA">
        <w:rPr>
          <w:lang w:val="en-GB"/>
        </w:rPr>
        <w:t>acility</w:t>
      </w:r>
      <w:r w:rsidR="00CA4E10" w:rsidRPr="00A469EA">
        <w:rPr>
          <w:lang w:val="en-GB"/>
        </w:rPr>
        <w:t xml:space="preserve"> </w:t>
      </w:r>
      <w:r w:rsidRPr="00A469EA">
        <w:rPr>
          <w:lang w:val="en-GB"/>
        </w:rPr>
        <w:t>Small Grants Programme</w:t>
      </w:r>
      <w:r w:rsidR="00212AE2" w:rsidRPr="00A469EA">
        <w:rPr>
          <w:lang w:val="en-GB"/>
        </w:rPr>
        <w:t>.</w:t>
      </w:r>
    </w:p>
    <w:p w14:paraId="5BC36D26" w14:textId="631FB769" w:rsidR="00625F73" w:rsidRPr="00A469EA" w:rsidRDefault="00F40BFD" w:rsidP="00F63ECC">
      <w:pPr>
        <w:pStyle w:val="ListParagraph"/>
        <w:numPr>
          <w:ilvl w:val="0"/>
          <w:numId w:val="39"/>
        </w:numPr>
        <w:tabs>
          <w:tab w:val="left" w:pos="450"/>
        </w:tabs>
        <w:spacing w:after="120"/>
        <w:ind w:left="0" w:right="450" w:firstLine="0"/>
        <w:jc w:val="both"/>
        <w:rPr>
          <w:lang w:val="en-GB"/>
        </w:rPr>
      </w:pPr>
      <w:r w:rsidRPr="00A469EA">
        <w:rPr>
          <w:lang w:val="en-GB"/>
        </w:rPr>
        <w:t xml:space="preserve">In pursuit of </w:t>
      </w:r>
      <w:r w:rsidR="00A53073" w:rsidRPr="00A469EA">
        <w:rPr>
          <w:lang w:val="en-GB"/>
        </w:rPr>
        <w:t xml:space="preserve">achieving </w:t>
      </w:r>
      <w:r w:rsidR="00645988">
        <w:rPr>
          <w:lang w:val="en-GB"/>
        </w:rPr>
        <w:t>o</w:t>
      </w:r>
      <w:r w:rsidR="00A53073" w:rsidRPr="00A469EA">
        <w:rPr>
          <w:lang w:val="en-GB"/>
        </w:rPr>
        <w:t xml:space="preserve">utputs under </w:t>
      </w:r>
      <w:r w:rsidR="00645988">
        <w:rPr>
          <w:lang w:val="en-GB"/>
        </w:rPr>
        <w:t>o</w:t>
      </w:r>
      <w:r w:rsidR="0044112C" w:rsidRPr="00A469EA">
        <w:rPr>
          <w:lang w:val="en-GB"/>
        </w:rPr>
        <w:t xml:space="preserve">utcome 2, </w:t>
      </w:r>
      <w:r w:rsidRPr="00A469EA">
        <w:rPr>
          <w:lang w:val="en-GB"/>
        </w:rPr>
        <w:t xml:space="preserve">UNDP </w:t>
      </w:r>
      <w:r w:rsidR="0044112C" w:rsidRPr="00A469EA">
        <w:rPr>
          <w:lang w:val="en-GB"/>
        </w:rPr>
        <w:t xml:space="preserve">will </w:t>
      </w:r>
      <w:r w:rsidR="00D965F1" w:rsidRPr="00A469EA">
        <w:rPr>
          <w:lang w:val="en-GB"/>
        </w:rPr>
        <w:t>lever</w:t>
      </w:r>
      <w:r w:rsidR="00645988">
        <w:rPr>
          <w:lang w:val="en-GB"/>
        </w:rPr>
        <w:t>age</w:t>
      </w:r>
      <w:r w:rsidR="00D965F1" w:rsidRPr="00A469EA">
        <w:rPr>
          <w:lang w:val="en-GB"/>
        </w:rPr>
        <w:t xml:space="preserve"> </w:t>
      </w:r>
      <w:r w:rsidRPr="00A469EA">
        <w:rPr>
          <w:lang w:val="en-GB"/>
        </w:rPr>
        <w:t xml:space="preserve">its </w:t>
      </w:r>
      <w:r w:rsidRPr="00A469EA">
        <w:rPr>
          <w:i/>
          <w:lang w:val="en-GB"/>
        </w:rPr>
        <w:t>comparative advantage</w:t>
      </w:r>
      <w:r w:rsidRPr="00A469EA">
        <w:rPr>
          <w:lang w:val="en-GB"/>
        </w:rPr>
        <w:t xml:space="preserve"> within the U</w:t>
      </w:r>
      <w:r w:rsidR="0044112C" w:rsidRPr="00A469EA">
        <w:rPr>
          <w:lang w:val="en-GB"/>
        </w:rPr>
        <w:t xml:space="preserve">nited </w:t>
      </w:r>
      <w:r w:rsidRPr="00A469EA">
        <w:rPr>
          <w:lang w:val="en-GB"/>
        </w:rPr>
        <w:t>N</w:t>
      </w:r>
      <w:r w:rsidR="0044112C" w:rsidRPr="00A469EA">
        <w:rPr>
          <w:lang w:val="en-GB"/>
        </w:rPr>
        <w:t>ations</w:t>
      </w:r>
      <w:r w:rsidRPr="00A469EA">
        <w:rPr>
          <w:lang w:val="en-GB"/>
        </w:rPr>
        <w:t xml:space="preserve"> system to </w:t>
      </w:r>
      <w:r w:rsidR="0044112C" w:rsidRPr="00A469EA">
        <w:rPr>
          <w:lang w:val="en-GB"/>
        </w:rPr>
        <w:t xml:space="preserve">spearhead </w:t>
      </w:r>
      <w:r w:rsidR="00D965F1" w:rsidRPr="00A469EA">
        <w:rPr>
          <w:lang w:val="en-GB"/>
        </w:rPr>
        <w:t xml:space="preserve">support </w:t>
      </w:r>
      <w:r w:rsidR="0044112C" w:rsidRPr="00A469EA">
        <w:rPr>
          <w:lang w:val="en-GB"/>
        </w:rPr>
        <w:t xml:space="preserve">for national </w:t>
      </w:r>
      <w:r w:rsidR="00D965F1" w:rsidRPr="00A469EA">
        <w:rPr>
          <w:lang w:val="en-GB"/>
        </w:rPr>
        <w:t>authorities and people in pursuit of</w:t>
      </w:r>
      <w:r w:rsidRPr="00A469EA">
        <w:rPr>
          <w:lang w:val="en-GB"/>
        </w:rPr>
        <w:t xml:space="preserve"> the resilience agenda </w:t>
      </w:r>
      <w:r w:rsidR="00D965F1" w:rsidRPr="00A469EA">
        <w:rPr>
          <w:lang w:val="en-GB"/>
        </w:rPr>
        <w:t xml:space="preserve">in close </w:t>
      </w:r>
      <w:r w:rsidRPr="00A469EA">
        <w:rPr>
          <w:lang w:val="en-GB"/>
        </w:rPr>
        <w:t xml:space="preserve">collaboration with </w:t>
      </w:r>
      <w:r w:rsidR="0044112C" w:rsidRPr="00A469EA">
        <w:rPr>
          <w:lang w:val="en-GB"/>
        </w:rPr>
        <w:t xml:space="preserve">the Food and Agriculture </w:t>
      </w:r>
      <w:r w:rsidR="00C42393" w:rsidRPr="00A469EA">
        <w:rPr>
          <w:lang w:val="en-GB"/>
        </w:rPr>
        <w:t>Organization</w:t>
      </w:r>
      <w:r w:rsidR="0044112C" w:rsidRPr="00A469EA">
        <w:rPr>
          <w:lang w:val="en-GB"/>
        </w:rPr>
        <w:t xml:space="preserve"> of the United Nations (FAO), IOM, UNESCO, UNICEF, the United Nations Industrial Development Organization (</w:t>
      </w:r>
      <w:r w:rsidRPr="00A469EA">
        <w:rPr>
          <w:lang w:val="en-GB"/>
        </w:rPr>
        <w:t>UNIDO</w:t>
      </w:r>
      <w:r w:rsidR="0044112C" w:rsidRPr="00A469EA">
        <w:rPr>
          <w:lang w:val="en-GB"/>
        </w:rPr>
        <w:t>)</w:t>
      </w:r>
      <w:r w:rsidRPr="00A469EA">
        <w:rPr>
          <w:lang w:val="en-GB"/>
        </w:rPr>
        <w:t>, UN</w:t>
      </w:r>
      <w:r w:rsidR="0044112C" w:rsidRPr="00A469EA">
        <w:rPr>
          <w:lang w:val="en-GB"/>
        </w:rPr>
        <w:t>-</w:t>
      </w:r>
      <w:r w:rsidRPr="00A469EA">
        <w:rPr>
          <w:lang w:val="en-GB"/>
        </w:rPr>
        <w:t>Habitat, UN</w:t>
      </w:r>
      <w:r w:rsidR="0044112C" w:rsidRPr="00A469EA">
        <w:rPr>
          <w:lang w:val="en-GB"/>
        </w:rPr>
        <w:t>-</w:t>
      </w:r>
      <w:r w:rsidRPr="00A469EA">
        <w:rPr>
          <w:lang w:val="en-GB"/>
        </w:rPr>
        <w:t xml:space="preserve">Women, </w:t>
      </w:r>
      <w:r w:rsidR="00645988">
        <w:rPr>
          <w:lang w:val="en-GB"/>
        </w:rPr>
        <w:t xml:space="preserve">the </w:t>
      </w:r>
      <w:r w:rsidR="004B6B38" w:rsidRPr="00A469EA">
        <w:rPr>
          <w:lang w:val="en-GB"/>
        </w:rPr>
        <w:t>World Food Programme (</w:t>
      </w:r>
      <w:r w:rsidR="0044112C" w:rsidRPr="00A469EA">
        <w:rPr>
          <w:lang w:val="en-GB"/>
        </w:rPr>
        <w:t>WFP</w:t>
      </w:r>
      <w:r w:rsidR="004B6B38" w:rsidRPr="00A469EA">
        <w:rPr>
          <w:lang w:val="en-GB"/>
        </w:rPr>
        <w:t>)</w:t>
      </w:r>
      <w:r w:rsidR="0044112C" w:rsidRPr="00A469EA">
        <w:rPr>
          <w:lang w:val="en-GB"/>
        </w:rPr>
        <w:t xml:space="preserve"> and </w:t>
      </w:r>
      <w:r w:rsidRPr="00A469EA">
        <w:rPr>
          <w:lang w:val="en-GB"/>
        </w:rPr>
        <w:t>WHO.</w:t>
      </w:r>
    </w:p>
    <w:p w14:paraId="6CF4A571" w14:textId="622E9DB1" w:rsidR="00860804" w:rsidRPr="00A469EA" w:rsidRDefault="00860804" w:rsidP="00F63ECC">
      <w:pPr>
        <w:tabs>
          <w:tab w:val="left" w:pos="450"/>
        </w:tabs>
        <w:spacing w:after="120"/>
        <w:ind w:right="450"/>
        <w:jc w:val="both"/>
        <w:rPr>
          <w:rFonts w:asciiTheme="majorBidi" w:hAnsiTheme="majorBidi" w:cstheme="majorBidi"/>
          <w:b/>
          <w:lang w:val="en-GB"/>
        </w:rPr>
      </w:pPr>
      <w:r w:rsidRPr="00A469EA">
        <w:rPr>
          <w:rFonts w:asciiTheme="majorBidi" w:hAnsiTheme="majorBidi" w:cstheme="majorBidi"/>
          <w:b/>
          <w:lang w:val="en-GB"/>
        </w:rPr>
        <w:t xml:space="preserve">Achieving </w:t>
      </w:r>
      <w:r w:rsidR="006D2632">
        <w:rPr>
          <w:rFonts w:asciiTheme="majorBidi" w:hAnsiTheme="majorBidi" w:cstheme="majorBidi"/>
          <w:b/>
          <w:lang w:val="en-GB"/>
        </w:rPr>
        <w:t xml:space="preserve">the </w:t>
      </w:r>
      <w:r w:rsidR="0008487B" w:rsidRPr="00A469EA">
        <w:rPr>
          <w:b/>
          <w:lang w:val="en-GB"/>
        </w:rPr>
        <w:t>Sustainable Development Goals</w:t>
      </w:r>
      <w:r w:rsidRPr="00A469EA">
        <w:rPr>
          <w:rFonts w:asciiTheme="majorBidi" w:hAnsiTheme="majorBidi" w:cstheme="majorBidi"/>
          <w:b/>
          <w:lang w:val="en-GB"/>
        </w:rPr>
        <w:t xml:space="preserve"> in Pakistan </w:t>
      </w:r>
    </w:p>
    <w:p w14:paraId="02F68BA4" w14:textId="52CC353F" w:rsidR="0008487B" w:rsidRPr="00A469EA" w:rsidRDefault="0008487B" w:rsidP="00F63ECC">
      <w:pPr>
        <w:pStyle w:val="ListParagraph"/>
        <w:numPr>
          <w:ilvl w:val="0"/>
          <w:numId w:val="39"/>
        </w:numPr>
        <w:tabs>
          <w:tab w:val="left" w:pos="450"/>
        </w:tabs>
        <w:spacing w:after="120"/>
        <w:ind w:left="0" w:right="450" w:firstLine="0"/>
        <w:jc w:val="both"/>
        <w:rPr>
          <w:rFonts w:asciiTheme="majorBidi" w:hAnsiTheme="majorBidi" w:cstheme="majorBidi"/>
          <w:lang w:val="en-GB"/>
        </w:rPr>
      </w:pPr>
      <w:r w:rsidRPr="00A469EA">
        <w:rPr>
          <w:lang w:val="en-GB"/>
        </w:rPr>
        <w:t>UNDP will focus on empowering women to ensure that women are not just beneficiaries but genuine agents of change at all levels. Women’s leadership and empowerment will be integrated to feature prominently within all areas of UNDP programming in Pakistan</w:t>
      </w:r>
      <w:r w:rsidR="00AB1172">
        <w:rPr>
          <w:lang w:val="en-GB"/>
        </w:rPr>
        <w:t>.</w:t>
      </w:r>
      <w:r w:rsidRPr="00A469EA">
        <w:rPr>
          <w:rStyle w:val="FootnoteReference"/>
          <w:lang w:val="en-GB"/>
        </w:rPr>
        <w:footnoteReference w:id="32"/>
      </w:r>
      <w:r w:rsidRPr="00A469EA">
        <w:rPr>
          <w:lang w:val="en-GB"/>
        </w:rPr>
        <w:t xml:space="preserve"> UNDP will pursue an enhanced partnership with UN-Women.</w:t>
      </w:r>
    </w:p>
    <w:p w14:paraId="4A89AB44" w14:textId="4640851A" w:rsidR="00860804" w:rsidRPr="00A469EA" w:rsidRDefault="00860804" w:rsidP="00F63ECC">
      <w:pPr>
        <w:pStyle w:val="ListParagraph"/>
        <w:numPr>
          <w:ilvl w:val="0"/>
          <w:numId w:val="39"/>
        </w:numPr>
        <w:tabs>
          <w:tab w:val="left" w:pos="450"/>
        </w:tabs>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UNDP will build on what has proven to work</w:t>
      </w:r>
      <w:r w:rsidR="00F02E94" w:rsidRPr="00A469EA">
        <w:rPr>
          <w:rFonts w:asciiTheme="majorBidi" w:hAnsiTheme="majorBidi" w:cstheme="majorBidi"/>
          <w:lang w:val="en-GB"/>
        </w:rPr>
        <w:t xml:space="preserve"> in </w:t>
      </w:r>
      <w:r w:rsidRPr="00A469EA">
        <w:rPr>
          <w:rFonts w:asciiTheme="majorBidi" w:hAnsiTheme="majorBidi" w:cstheme="majorBidi"/>
          <w:lang w:val="en-GB"/>
        </w:rPr>
        <w:t xml:space="preserve">Pakistan and remains dedicated to its flagship programmes where they have </w:t>
      </w:r>
      <w:r w:rsidR="00EC7B08" w:rsidRPr="00A469EA">
        <w:rPr>
          <w:rFonts w:asciiTheme="majorBidi" w:hAnsiTheme="majorBidi" w:cstheme="majorBidi"/>
          <w:lang w:val="en-GB"/>
        </w:rPr>
        <w:t>deliver</w:t>
      </w:r>
      <w:r w:rsidR="00C85312" w:rsidRPr="00A469EA">
        <w:rPr>
          <w:rFonts w:asciiTheme="majorBidi" w:hAnsiTheme="majorBidi" w:cstheme="majorBidi"/>
          <w:lang w:val="en-GB"/>
        </w:rPr>
        <w:t>ed</w:t>
      </w:r>
      <w:r w:rsidR="00EC7B08" w:rsidRPr="00A469EA">
        <w:rPr>
          <w:rFonts w:asciiTheme="majorBidi" w:hAnsiTheme="majorBidi" w:cstheme="majorBidi"/>
          <w:lang w:val="en-GB"/>
        </w:rPr>
        <w:t xml:space="preserve"> strategic development results</w:t>
      </w:r>
      <w:r w:rsidR="00F63ECC" w:rsidRPr="00A469EA">
        <w:rPr>
          <w:rFonts w:asciiTheme="majorBidi" w:hAnsiTheme="majorBidi" w:cstheme="majorBidi"/>
          <w:lang w:val="en-GB"/>
        </w:rPr>
        <w:t xml:space="preserve">: </w:t>
      </w:r>
    </w:p>
    <w:p w14:paraId="0F67C3D3" w14:textId="07851642" w:rsidR="00860804" w:rsidRPr="00A469EA" w:rsidRDefault="00860804" w:rsidP="00AF7CCF">
      <w:pPr>
        <w:pStyle w:val="ListParagraph"/>
        <w:numPr>
          <w:ilvl w:val="0"/>
          <w:numId w:val="62"/>
        </w:numPr>
        <w:ind w:left="810" w:right="450"/>
        <w:jc w:val="both"/>
        <w:rPr>
          <w:rFonts w:asciiTheme="majorBidi" w:hAnsiTheme="majorBidi" w:cstheme="majorBidi"/>
          <w:lang w:val="en-GB"/>
        </w:rPr>
      </w:pPr>
      <w:r w:rsidRPr="00A469EA">
        <w:rPr>
          <w:rFonts w:asciiTheme="majorBidi" w:hAnsiTheme="majorBidi" w:cstheme="majorBidi"/>
          <w:lang w:val="en-GB"/>
        </w:rPr>
        <w:t>the FATA reform</w:t>
      </w:r>
      <w:r w:rsidR="00ED644C" w:rsidRPr="00A469EA">
        <w:rPr>
          <w:rFonts w:asciiTheme="majorBidi" w:hAnsiTheme="majorBidi" w:cstheme="majorBidi"/>
          <w:lang w:val="en-GB"/>
        </w:rPr>
        <w:t>s</w:t>
      </w:r>
      <w:r w:rsidRPr="00A469EA">
        <w:rPr>
          <w:rFonts w:asciiTheme="majorBidi" w:hAnsiTheme="majorBidi" w:cstheme="majorBidi"/>
          <w:lang w:val="en-GB"/>
        </w:rPr>
        <w:t xml:space="preserve"> </w:t>
      </w:r>
      <w:r w:rsidR="009A3949" w:rsidRPr="00A469EA">
        <w:rPr>
          <w:rFonts w:asciiTheme="majorBidi" w:hAnsiTheme="majorBidi" w:cstheme="majorBidi"/>
          <w:lang w:val="en-GB"/>
        </w:rPr>
        <w:t xml:space="preserve">and recovery </w:t>
      </w:r>
      <w:r w:rsidRPr="00A469EA">
        <w:rPr>
          <w:rFonts w:asciiTheme="majorBidi" w:hAnsiTheme="majorBidi" w:cstheme="majorBidi"/>
          <w:lang w:val="en-GB"/>
        </w:rPr>
        <w:t>programme</w:t>
      </w:r>
      <w:r w:rsidR="00176CD3" w:rsidRPr="00A469EA">
        <w:rPr>
          <w:rFonts w:asciiTheme="majorBidi" w:hAnsiTheme="majorBidi" w:cstheme="majorBidi"/>
          <w:lang w:val="en-GB"/>
        </w:rPr>
        <w:t>;</w:t>
      </w:r>
      <w:r w:rsidRPr="00A469EA">
        <w:rPr>
          <w:rFonts w:asciiTheme="majorBidi" w:hAnsiTheme="majorBidi" w:cstheme="majorBidi"/>
          <w:lang w:val="en-GB"/>
        </w:rPr>
        <w:t xml:space="preserve"> </w:t>
      </w:r>
    </w:p>
    <w:p w14:paraId="1AD02469" w14:textId="15BC21D1" w:rsidR="00860804" w:rsidRPr="00A469EA" w:rsidRDefault="00860804" w:rsidP="00AF7CCF">
      <w:pPr>
        <w:pStyle w:val="ListParagraph"/>
        <w:numPr>
          <w:ilvl w:val="0"/>
          <w:numId w:val="62"/>
        </w:numPr>
        <w:ind w:left="810" w:right="450"/>
        <w:jc w:val="both"/>
        <w:rPr>
          <w:rFonts w:asciiTheme="majorBidi" w:hAnsiTheme="majorBidi" w:cstheme="majorBidi"/>
          <w:lang w:val="en-GB"/>
        </w:rPr>
      </w:pPr>
      <w:r w:rsidRPr="00A469EA">
        <w:rPr>
          <w:rFonts w:asciiTheme="majorBidi" w:hAnsiTheme="majorBidi" w:cstheme="majorBidi"/>
          <w:lang w:val="en-GB"/>
        </w:rPr>
        <w:t xml:space="preserve">the </w:t>
      </w:r>
      <w:r w:rsidR="00AB1172">
        <w:rPr>
          <w:rFonts w:asciiTheme="majorBidi" w:hAnsiTheme="majorBidi" w:cstheme="majorBidi"/>
          <w:lang w:val="en-GB"/>
        </w:rPr>
        <w:t>r</w:t>
      </w:r>
      <w:r w:rsidRPr="00A469EA">
        <w:rPr>
          <w:rFonts w:asciiTheme="majorBidi" w:hAnsiTheme="majorBidi" w:cstheme="majorBidi"/>
          <w:lang w:val="en-GB"/>
        </w:rPr>
        <w:t xml:space="preserve">ule of </w:t>
      </w:r>
      <w:r w:rsidR="00AB1172">
        <w:rPr>
          <w:rFonts w:asciiTheme="majorBidi" w:hAnsiTheme="majorBidi" w:cstheme="majorBidi"/>
          <w:lang w:val="en-GB"/>
        </w:rPr>
        <w:t>l</w:t>
      </w:r>
      <w:r w:rsidRPr="00A469EA">
        <w:rPr>
          <w:rFonts w:asciiTheme="majorBidi" w:hAnsiTheme="majorBidi" w:cstheme="majorBidi"/>
          <w:lang w:val="en-GB"/>
        </w:rPr>
        <w:t xml:space="preserve">aw </w:t>
      </w:r>
      <w:r w:rsidR="00C42393" w:rsidRPr="00A469EA">
        <w:rPr>
          <w:rFonts w:asciiTheme="majorBidi" w:hAnsiTheme="majorBidi" w:cstheme="majorBidi"/>
          <w:lang w:val="en-GB"/>
        </w:rPr>
        <w:t>programme</w:t>
      </w:r>
      <w:r w:rsidRPr="00A469EA">
        <w:rPr>
          <w:rFonts w:asciiTheme="majorBidi" w:hAnsiTheme="majorBidi" w:cstheme="majorBidi"/>
          <w:lang w:val="en-GB"/>
        </w:rPr>
        <w:t xml:space="preserve">; </w:t>
      </w:r>
    </w:p>
    <w:p w14:paraId="3E1190CF" w14:textId="69010BD0" w:rsidR="00860804" w:rsidRPr="00A469EA" w:rsidRDefault="00860804" w:rsidP="00AF7CCF">
      <w:pPr>
        <w:pStyle w:val="ListParagraph"/>
        <w:numPr>
          <w:ilvl w:val="0"/>
          <w:numId w:val="62"/>
        </w:numPr>
        <w:ind w:left="810" w:right="450"/>
        <w:jc w:val="both"/>
        <w:rPr>
          <w:rFonts w:asciiTheme="majorBidi" w:hAnsiTheme="majorBidi" w:cstheme="majorBidi"/>
          <w:lang w:val="en-GB"/>
        </w:rPr>
      </w:pPr>
      <w:r w:rsidRPr="00A469EA">
        <w:rPr>
          <w:rFonts w:asciiTheme="majorBidi" w:hAnsiTheme="majorBidi" w:cstheme="majorBidi"/>
          <w:lang w:val="en-GB"/>
        </w:rPr>
        <w:t xml:space="preserve">the </w:t>
      </w:r>
      <w:r w:rsidR="00AB1172">
        <w:rPr>
          <w:rFonts w:asciiTheme="majorBidi" w:hAnsiTheme="majorBidi" w:cstheme="majorBidi"/>
          <w:lang w:val="en-GB"/>
        </w:rPr>
        <w:t>g</w:t>
      </w:r>
      <w:r w:rsidRPr="00A469EA">
        <w:rPr>
          <w:rFonts w:asciiTheme="majorBidi" w:hAnsiTheme="majorBidi" w:cstheme="majorBidi"/>
          <w:lang w:val="en-GB"/>
        </w:rPr>
        <w:t xml:space="preserve">lacial </w:t>
      </w:r>
      <w:r w:rsidR="00AB1172">
        <w:rPr>
          <w:rFonts w:asciiTheme="majorBidi" w:hAnsiTheme="majorBidi" w:cstheme="majorBidi"/>
          <w:lang w:val="en-GB"/>
        </w:rPr>
        <w:t>l</w:t>
      </w:r>
      <w:r w:rsidRPr="00A469EA">
        <w:rPr>
          <w:rFonts w:asciiTheme="majorBidi" w:hAnsiTheme="majorBidi" w:cstheme="majorBidi"/>
          <w:lang w:val="en-GB"/>
        </w:rPr>
        <w:t xml:space="preserve">ake </w:t>
      </w:r>
      <w:r w:rsidR="00AB1172">
        <w:rPr>
          <w:rFonts w:asciiTheme="majorBidi" w:hAnsiTheme="majorBidi" w:cstheme="majorBidi"/>
          <w:lang w:val="en-GB"/>
        </w:rPr>
        <w:t>o</w:t>
      </w:r>
      <w:r w:rsidRPr="00A469EA">
        <w:rPr>
          <w:rFonts w:asciiTheme="majorBidi" w:hAnsiTheme="majorBidi" w:cstheme="majorBidi"/>
          <w:lang w:val="en-GB"/>
        </w:rPr>
        <w:t xml:space="preserve">utburst </w:t>
      </w:r>
      <w:r w:rsidR="00AB1172">
        <w:rPr>
          <w:rFonts w:asciiTheme="majorBidi" w:hAnsiTheme="majorBidi" w:cstheme="majorBidi"/>
          <w:lang w:val="en-GB"/>
        </w:rPr>
        <w:t>f</w:t>
      </w:r>
      <w:r w:rsidRPr="00A469EA">
        <w:rPr>
          <w:rFonts w:asciiTheme="majorBidi" w:hAnsiTheme="majorBidi" w:cstheme="majorBidi"/>
          <w:lang w:val="en-GB"/>
        </w:rPr>
        <w:t>loods initiative</w:t>
      </w:r>
      <w:r w:rsidR="00176CD3" w:rsidRPr="00A469EA">
        <w:rPr>
          <w:rFonts w:asciiTheme="majorBidi" w:hAnsiTheme="majorBidi" w:cstheme="majorBidi"/>
          <w:lang w:val="en-GB"/>
        </w:rPr>
        <w:t>;</w:t>
      </w:r>
      <w:r w:rsidRPr="00A469EA">
        <w:rPr>
          <w:rFonts w:asciiTheme="majorBidi" w:hAnsiTheme="majorBidi" w:cstheme="majorBidi"/>
          <w:lang w:val="en-GB"/>
        </w:rPr>
        <w:t xml:space="preserve"> and</w:t>
      </w:r>
    </w:p>
    <w:p w14:paraId="42ED25AC" w14:textId="682F1C3A" w:rsidR="00860804" w:rsidRPr="00A469EA" w:rsidRDefault="00860804" w:rsidP="00AF7CCF">
      <w:pPr>
        <w:pStyle w:val="ListParagraph"/>
        <w:numPr>
          <w:ilvl w:val="0"/>
          <w:numId w:val="62"/>
        </w:numPr>
        <w:spacing w:after="120"/>
        <w:ind w:left="810" w:right="450"/>
        <w:jc w:val="both"/>
        <w:rPr>
          <w:rFonts w:asciiTheme="majorBidi" w:hAnsiTheme="majorBidi" w:cstheme="majorBidi"/>
          <w:lang w:val="en-GB"/>
        </w:rPr>
      </w:pPr>
      <w:r w:rsidRPr="00A469EA">
        <w:rPr>
          <w:rFonts w:asciiTheme="majorBidi" w:hAnsiTheme="majorBidi" w:cstheme="majorBidi"/>
          <w:lang w:val="en-GB"/>
        </w:rPr>
        <w:t xml:space="preserve">the </w:t>
      </w:r>
      <w:r w:rsidR="00EC7B08" w:rsidRPr="00A469EA">
        <w:rPr>
          <w:rFonts w:asciiTheme="majorBidi" w:hAnsiTheme="majorBidi" w:cstheme="majorBidi"/>
          <w:lang w:val="en-GB"/>
        </w:rPr>
        <w:t>p</w:t>
      </w:r>
      <w:r w:rsidRPr="00A469EA">
        <w:rPr>
          <w:rFonts w:asciiTheme="majorBidi" w:hAnsiTheme="majorBidi" w:cstheme="majorBidi"/>
          <w:lang w:val="en-GB"/>
        </w:rPr>
        <w:t>ioneering strategically</w:t>
      </w:r>
      <w:r w:rsidR="00176CD3" w:rsidRPr="00A469EA">
        <w:rPr>
          <w:rFonts w:asciiTheme="majorBidi" w:hAnsiTheme="majorBidi" w:cstheme="majorBidi"/>
          <w:lang w:val="en-GB"/>
        </w:rPr>
        <w:t xml:space="preserve"> </w:t>
      </w:r>
      <w:r w:rsidRPr="00A469EA">
        <w:rPr>
          <w:rFonts w:asciiTheme="majorBidi" w:hAnsiTheme="majorBidi" w:cstheme="majorBidi"/>
          <w:lang w:val="en-GB"/>
        </w:rPr>
        <w:t xml:space="preserve">oriented </w:t>
      </w:r>
      <w:r w:rsidR="00AB1172">
        <w:rPr>
          <w:rFonts w:asciiTheme="majorBidi" w:hAnsiTheme="majorBidi" w:cstheme="majorBidi"/>
          <w:lang w:val="en-GB"/>
        </w:rPr>
        <w:t xml:space="preserve">Sustainable Development Goals </w:t>
      </w:r>
      <w:r w:rsidRPr="00A469EA">
        <w:rPr>
          <w:rFonts w:asciiTheme="majorBidi" w:hAnsiTheme="majorBidi" w:cstheme="majorBidi"/>
          <w:lang w:val="en-GB"/>
        </w:rPr>
        <w:t>policy and implementation support at national and provincial levels.</w:t>
      </w:r>
    </w:p>
    <w:p w14:paraId="56A46C5A" w14:textId="5EC0F7C5" w:rsidR="00860804" w:rsidRPr="00A469EA" w:rsidRDefault="00860804" w:rsidP="00F63ECC">
      <w:pPr>
        <w:pStyle w:val="ListParagraph"/>
        <w:numPr>
          <w:ilvl w:val="0"/>
          <w:numId w:val="39"/>
        </w:numPr>
        <w:tabs>
          <w:tab w:val="left" w:pos="450"/>
        </w:tabs>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 xml:space="preserve">UNDP will enhance national ownership for the </w:t>
      </w:r>
      <w:r w:rsidR="00AB1172">
        <w:rPr>
          <w:rFonts w:asciiTheme="majorBidi" w:hAnsiTheme="majorBidi" w:cstheme="majorBidi"/>
          <w:lang w:val="en-GB"/>
        </w:rPr>
        <w:t xml:space="preserve">Goals </w:t>
      </w:r>
      <w:r w:rsidRPr="00A469EA">
        <w:rPr>
          <w:rFonts w:asciiTheme="majorBidi" w:hAnsiTheme="majorBidi" w:cstheme="majorBidi"/>
          <w:lang w:val="en-GB"/>
        </w:rPr>
        <w:t xml:space="preserve">through joint programming and co-financing. </w:t>
      </w:r>
      <w:r w:rsidR="00814BD1" w:rsidRPr="00A469EA">
        <w:rPr>
          <w:rFonts w:asciiTheme="majorBidi" w:hAnsiTheme="majorBidi" w:cstheme="majorBidi"/>
          <w:lang w:val="en-GB"/>
        </w:rPr>
        <w:t>S</w:t>
      </w:r>
      <w:r w:rsidRPr="00A469EA">
        <w:rPr>
          <w:rFonts w:asciiTheme="majorBidi" w:hAnsiTheme="majorBidi" w:cstheme="majorBidi"/>
          <w:lang w:val="en-GB"/>
        </w:rPr>
        <w:t xml:space="preserve">uccessful implementation of the country programme is contingent on the mobilization of </w:t>
      </w:r>
      <w:r w:rsidR="00D1798C" w:rsidRPr="00A469EA">
        <w:rPr>
          <w:rFonts w:asciiTheme="majorBidi" w:hAnsiTheme="majorBidi" w:cstheme="majorBidi"/>
          <w:lang w:val="en-GB"/>
        </w:rPr>
        <w:t xml:space="preserve">domestic </w:t>
      </w:r>
      <w:r w:rsidRPr="00A469EA">
        <w:rPr>
          <w:rFonts w:asciiTheme="majorBidi" w:hAnsiTheme="majorBidi" w:cstheme="majorBidi"/>
          <w:lang w:val="en-GB"/>
        </w:rPr>
        <w:t>resources amounting to 30 per</w:t>
      </w:r>
      <w:r w:rsidR="00AB7BFC" w:rsidRPr="00A469EA">
        <w:rPr>
          <w:rFonts w:asciiTheme="majorBidi" w:hAnsiTheme="majorBidi" w:cstheme="majorBidi"/>
          <w:lang w:val="en-GB"/>
        </w:rPr>
        <w:t xml:space="preserve"> </w:t>
      </w:r>
      <w:r w:rsidRPr="00A469EA">
        <w:rPr>
          <w:rFonts w:asciiTheme="majorBidi" w:hAnsiTheme="majorBidi" w:cstheme="majorBidi"/>
          <w:lang w:val="en-GB"/>
        </w:rPr>
        <w:t xml:space="preserve">cent of the total envelope. UNDP will leverage private sector funding for the </w:t>
      </w:r>
      <w:r w:rsidR="00AB1172">
        <w:rPr>
          <w:rFonts w:asciiTheme="majorBidi" w:hAnsiTheme="majorBidi" w:cstheme="majorBidi"/>
          <w:lang w:val="en-GB"/>
        </w:rPr>
        <w:t xml:space="preserve">Goals </w:t>
      </w:r>
      <w:r w:rsidRPr="00A469EA">
        <w:rPr>
          <w:rFonts w:asciiTheme="majorBidi" w:hAnsiTheme="majorBidi" w:cstheme="majorBidi"/>
          <w:lang w:val="en-GB"/>
        </w:rPr>
        <w:t>by utilizing a m</w:t>
      </w:r>
      <w:r w:rsidR="00B10E91" w:rsidRPr="00A469EA">
        <w:rPr>
          <w:rFonts w:asciiTheme="majorBidi" w:hAnsiTheme="majorBidi" w:cstheme="majorBidi"/>
          <w:lang w:val="en-GB"/>
        </w:rPr>
        <w:t>ix of instruments to attract</w:t>
      </w:r>
      <w:r w:rsidRPr="00A469EA">
        <w:rPr>
          <w:rFonts w:asciiTheme="majorBidi" w:hAnsiTheme="majorBidi" w:cstheme="majorBidi"/>
          <w:lang w:val="en-GB"/>
        </w:rPr>
        <w:t xml:space="preserve"> private sector investors, including </w:t>
      </w:r>
      <w:r w:rsidR="00AB1172">
        <w:rPr>
          <w:rFonts w:asciiTheme="majorBidi" w:hAnsiTheme="majorBidi" w:cstheme="majorBidi"/>
          <w:lang w:val="en-GB"/>
        </w:rPr>
        <w:t xml:space="preserve">the </w:t>
      </w:r>
      <w:r w:rsidRPr="00A469EA">
        <w:rPr>
          <w:rFonts w:asciiTheme="majorBidi" w:hAnsiTheme="majorBidi" w:cstheme="majorBidi"/>
          <w:lang w:val="en-GB"/>
        </w:rPr>
        <w:t>develop</w:t>
      </w:r>
      <w:r w:rsidR="00AB1172">
        <w:rPr>
          <w:rFonts w:asciiTheme="majorBidi" w:hAnsiTheme="majorBidi" w:cstheme="majorBidi"/>
          <w:lang w:val="en-GB"/>
        </w:rPr>
        <w:t>ment of</w:t>
      </w:r>
      <w:r w:rsidRPr="00A469EA">
        <w:rPr>
          <w:rFonts w:asciiTheme="majorBidi" w:hAnsiTheme="majorBidi" w:cstheme="majorBidi"/>
          <w:lang w:val="en-GB"/>
        </w:rPr>
        <w:t xml:space="preserve"> an engagement strategy to scale </w:t>
      </w:r>
      <w:r w:rsidR="00AB1172">
        <w:rPr>
          <w:rFonts w:asciiTheme="majorBidi" w:hAnsiTheme="majorBidi" w:cstheme="majorBidi"/>
          <w:lang w:val="en-GB"/>
        </w:rPr>
        <w:t xml:space="preserve">up </w:t>
      </w:r>
      <w:r w:rsidRPr="00A469EA">
        <w:rPr>
          <w:rFonts w:asciiTheme="majorBidi" w:hAnsiTheme="majorBidi" w:cstheme="majorBidi"/>
          <w:lang w:val="en-GB"/>
        </w:rPr>
        <w:t>partnerships by accessing corporate social responsibility initiatives and explor</w:t>
      </w:r>
      <w:r w:rsidR="00AB7BFC" w:rsidRPr="00A469EA">
        <w:rPr>
          <w:rFonts w:asciiTheme="majorBidi" w:hAnsiTheme="majorBidi" w:cstheme="majorBidi"/>
          <w:lang w:val="en-GB"/>
        </w:rPr>
        <w:t>ing</w:t>
      </w:r>
      <w:r w:rsidRPr="00A469EA">
        <w:rPr>
          <w:rFonts w:asciiTheme="majorBidi" w:hAnsiTheme="majorBidi" w:cstheme="majorBidi"/>
          <w:lang w:val="en-GB"/>
        </w:rPr>
        <w:t xml:space="preserve"> blended finance models.</w:t>
      </w:r>
    </w:p>
    <w:p w14:paraId="5E845E53" w14:textId="6A7A624D" w:rsidR="00860804" w:rsidRPr="00A469EA" w:rsidRDefault="00AB7BFC" w:rsidP="00F63ECC">
      <w:pPr>
        <w:pStyle w:val="ListParagraph"/>
        <w:numPr>
          <w:ilvl w:val="0"/>
          <w:numId w:val="39"/>
        </w:numPr>
        <w:tabs>
          <w:tab w:val="left" w:pos="450"/>
        </w:tabs>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UNDP will pursue p</w:t>
      </w:r>
      <w:r w:rsidR="00860804" w:rsidRPr="00A469EA">
        <w:rPr>
          <w:rFonts w:asciiTheme="majorBidi" w:hAnsiTheme="majorBidi" w:cstheme="majorBidi"/>
          <w:lang w:val="en-GB"/>
        </w:rPr>
        <w:t>rovincial</w:t>
      </w:r>
      <w:r w:rsidR="00AB1172">
        <w:rPr>
          <w:rFonts w:asciiTheme="majorBidi" w:hAnsiTheme="majorBidi" w:cstheme="majorBidi"/>
          <w:lang w:val="en-GB"/>
        </w:rPr>
        <w:t>-</w:t>
      </w:r>
      <w:r w:rsidR="00860804" w:rsidRPr="00A469EA">
        <w:rPr>
          <w:rFonts w:asciiTheme="majorBidi" w:hAnsiTheme="majorBidi" w:cstheme="majorBidi"/>
          <w:lang w:val="en-GB"/>
        </w:rPr>
        <w:t xml:space="preserve">level programming </w:t>
      </w:r>
      <w:r w:rsidR="00B10E91" w:rsidRPr="00A469EA">
        <w:rPr>
          <w:rFonts w:asciiTheme="majorBidi" w:hAnsiTheme="majorBidi" w:cstheme="majorBidi"/>
          <w:lang w:val="en-GB"/>
        </w:rPr>
        <w:t>in this programme cycle</w:t>
      </w:r>
      <w:r w:rsidR="00AB1172">
        <w:rPr>
          <w:rFonts w:asciiTheme="majorBidi" w:hAnsiTheme="majorBidi" w:cstheme="majorBidi"/>
          <w:lang w:val="en-GB"/>
        </w:rPr>
        <w:t>,</w:t>
      </w:r>
      <w:r w:rsidR="00B10E91" w:rsidRPr="00A469EA">
        <w:rPr>
          <w:rFonts w:asciiTheme="majorBidi" w:hAnsiTheme="majorBidi" w:cstheme="majorBidi"/>
          <w:lang w:val="en-GB"/>
        </w:rPr>
        <w:t xml:space="preserve"> since</w:t>
      </w:r>
      <w:r w:rsidR="00860804" w:rsidRPr="00A469EA">
        <w:rPr>
          <w:rFonts w:asciiTheme="majorBidi" w:hAnsiTheme="majorBidi" w:cstheme="majorBidi"/>
          <w:lang w:val="en-GB"/>
        </w:rPr>
        <w:t xml:space="preserve"> </w:t>
      </w:r>
      <w:r w:rsidR="00B10E91" w:rsidRPr="00A469EA">
        <w:rPr>
          <w:rFonts w:asciiTheme="majorBidi" w:hAnsiTheme="majorBidi" w:cstheme="majorBidi"/>
          <w:lang w:val="en-GB"/>
        </w:rPr>
        <w:t>d</w:t>
      </w:r>
      <w:r w:rsidR="00860804" w:rsidRPr="00A469EA">
        <w:rPr>
          <w:rFonts w:asciiTheme="majorBidi" w:hAnsiTheme="majorBidi" w:cstheme="majorBidi"/>
          <w:lang w:val="en-GB"/>
        </w:rPr>
        <w:t>evolution</w:t>
      </w:r>
      <w:r w:rsidR="00814BD1" w:rsidRPr="00A469EA">
        <w:rPr>
          <w:rStyle w:val="FootnoteReference"/>
          <w:rFonts w:asciiTheme="majorBidi" w:hAnsiTheme="majorBidi"/>
          <w:lang w:val="en-GB"/>
        </w:rPr>
        <w:footnoteReference w:id="33"/>
      </w:r>
      <w:r w:rsidR="00860804" w:rsidRPr="00A469EA">
        <w:rPr>
          <w:rFonts w:asciiTheme="majorBidi" w:hAnsiTheme="majorBidi" w:cstheme="majorBidi"/>
          <w:lang w:val="en-GB"/>
        </w:rPr>
        <w:t xml:space="preserve"> </w:t>
      </w:r>
      <w:r w:rsidR="00B10E91" w:rsidRPr="00A469EA">
        <w:rPr>
          <w:rFonts w:asciiTheme="majorBidi" w:hAnsiTheme="majorBidi" w:cstheme="majorBidi"/>
          <w:lang w:val="en-GB"/>
        </w:rPr>
        <w:t>represents a development game</w:t>
      </w:r>
      <w:r w:rsidR="00AB1172">
        <w:rPr>
          <w:rFonts w:asciiTheme="majorBidi" w:hAnsiTheme="majorBidi" w:cstheme="majorBidi"/>
          <w:lang w:val="en-GB"/>
        </w:rPr>
        <w:t xml:space="preserve"> </w:t>
      </w:r>
      <w:r w:rsidR="00B10E91" w:rsidRPr="00A469EA">
        <w:rPr>
          <w:rFonts w:asciiTheme="majorBidi" w:hAnsiTheme="majorBidi" w:cstheme="majorBidi"/>
          <w:lang w:val="en-GB"/>
        </w:rPr>
        <w:t>changer in Pakistan</w:t>
      </w:r>
      <w:r w:rsidR="00F02E94" w:rsidRPr="00A469EA">
        <w:rPr>
          <w:rFonts w:asciiTheme="majorBidi" w:hAnsiTheme="majorBidi" w:cstheme="majorBidi"/>
          <w:lang w:val="en-GB"/>
        </w:rPr>
        <w:t xml:space="preserve">. </w:t>
      </w:r>
      <w:r w:rsidR="00860804" w:rsidRPr="00A469EA">
        <w:rPr>
          <w:rFonts w:asciiTheme="majorBidi" w:hAnsiTheme="majorBidi" w:cstheme="majorBidi"/>
          <w:lang w:val="en-GB"/>
        </w:rPr>
        <w:t>Consistent with this approach, UNDP remains committed to maintaining its field presence</w:t>
      </w:r>
      <w:r w:rsidR="00F02E94" w:rsidRPr="00A469EA">
        <w:rPr>
          <w:rFonts w:asciiTheme="majorBidi" w:hAnsiTheme="majorBidi" w:cstheme="majorBidi"/>
          <w:lang w:val="en-GB"/>
        </w:rPr>
        <w:t xml:space="preserve"> </w:t>
      </w:r>
      <w:r w:rsidR="00860804" w:rsidRPr="00A469EA">
        <w:rPr>
          <w:rFonts w:asciiTheme="majorBidi" w:hAnsiTheme="majorBidi" w:cstheme="majorBidi"/>
          <w:lang w:val="en-GB"/>
        </w:rPr>
        <w:t xml:space="preserve">in </w:t>
      </w:r>
      <w:r w:rsidR="002022D2" w:rsidRPr="00A469EA">
        <w:rPr>
          <w:rFonts w:asciiTheme="majorBidi" w:hAnsiTheme="majorBidi" w:cstheme="majorBidi"/>
          <w:lang w:val="en-GB"/>
        </w:rPr>
        <w:t>all provinces</w:t>
      </w:r>
      <w:r w:rsidR="00860804" w:rsidRPr="00A469EA">
        <w:rPr>
          <w:rFonts w:asciiTheme="majorBidi" w:hAnsiTheme="majorBidi" w:cstheme="majorBidi"/>
          <w:lang w:val="en-GB"/>
        </w:rPr>
        <w:t xml:space="preserve">. </w:t>
      </w:r>
    </w:p>
    <w:p w14:paraId="4677EA57" w14:textId="2DCE4CBB" w:rsidR="00860804" w:rsidRPr="00A469EA" w:rsidRDefault="00860804" w:rsidP="00F63ECC">
      <w:pPr>
        <w:pStyle w:val="ListParagraph"/>
        <w:numPr>
          <w:ilvl w:val="0"/>
          <w:numId w:val="39"/>
        </w:numPr>
        <w:tabs>
          <w:tab w:val="left" w:pos="450"/>
        </w:tabs>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 xml:space="preserve">UNDP will exploit its position as the </w:t>
      </w:r>
      <w:r w:rsidR="00CB714D" w:rsidRPr="00A469EA">
        <w:rPr>
          <w:rFonts w:asciiTheme="majorBidi" w:hAnsiTheme="majorBidi" w:cstheme="majorBidi"/>
          <w:lang w:val="en-GB"/>
        </w:rPr>
        <w:t>S</w:t>
      </w:r>
      <w:r w:rsidRPr="00A469EA">
        <w:rPr>
          <w:rFonts w:asciiTheme="majorBidi" w:hAnsiTheme="majorBidi" w:cstheme="majorBidi"/>
          <w:lang w:val="en-GB"/>
        </w:rPr>
        <w:t>outh-</w:t>
      </w:r>
      <w:r w:rsidR="00CB714D" w:rsidRPr="00A469EA">
        <w:rPr>
          <w:rFonts w:asciiTheme="majorBidi" w:hAnsiTheme="majorBidi" w:cstheme="majorBidi"/>
          <w:lang w:val="en-GB"/>
        </w:rPr>
        <w:t>S</w:t>
      </w:r>
      <w:r w:rsidRPr="00A469EA">
        <w:rPr>
          <w:rFonts w:asciiTheme="majorBidi" w:hAnsiTheme="majorBidi" w:cstheme="majorBidi"/>
          <w:lang w:val="en-GB"/>
        </w:rPr>
        <w:t xml:space="preserve">outh development knowledge </w:t>
      </w:r>
      <w:r w:rsidR="009733B3" w:rsidRPr="00A469EA">
        <w:rPr>
          <w:rFonts w:asciiTheme="majorBidi" w:hAnsiTheme="majorBidi" w:cstheme="majorBidi"/>
          <w:lang w:val="en-GB"/>
        </w:rPr>
        <w:t xml:space="preserve">broker </w:t>
      </w:r>
      <w:r w:rsidRPr="00A469EA">
        <w:rPr>
          <w:rFonts w:asciiTheme="majorBidi" w:hAnsiTheme="majorBidi" w:cstheme="majorBidi"/>
          <w:lang w:val="en-GB"/>
        </w:rPr>
        <w:t xml:space="preserve">to ensure </w:t>
      </w:r>
      <w:r w:rsidR="002022D2" w:rsidRPr="00A469EA">
        <w:rPr>
          <w:rFonts w:asciiTheme="majorBidi" w:hAnsiTheme="majorBidi" w:cstheme="majorBidi"/>
          <w:lang w:val="en-GB"/>
        </w:rPr>
        <w:t xml:space="preserve">that </w:t>
      </w:r>
      <w:r w:rsidRPr="00A469EA">
        <w:rPr>
          <w:rFonts w:asciiTheme="majorBidi" w:hAnsiTheme="majorBidi" w:cstheme="majorBidi"/>
          <w:lang w:val="en-GB"/>
        </w:rPr>
        <w:t xml:space="preserve">Pakistan </w:t>
      </w:r>
      <w:r w:rsidR="00B10E91" w:rsidRPr="00A469EA">
        <w:rPr>
          <w:rFonts w:asciiTheme="majorBidi" w:hAnsiTheme="majorBidi" w:cstheme="majorBidi"/>
          <w:lang w:val="en-GB"/>
        </w:rPr>
        <w:t xml:space="preserve">secures the </w:t>
      </w:r>
      <w:r w:rsidRPr="00A469EA">
        <w:rPr>
          <w:rFonts w:asciiTheme="majorBidi" w:hAnsiTheme="majorBidi" w:cstheme="majorBidi"/>
          <w:lang w:val="en-GB"/>
        </w:rPr>
        <w:t>benefits from the exchange of innovative solutions, technologies and investment models for accelerated attainment</w:t>
      </w:r>
      <w:r w:rsidR="00AB1172">
        <w:rPr>
          <w:rFonts w:asciiTheme="majorBidi" w:hAnsiTheme="majorBidi" w:cstheme="majorBidi"/>
          <w:lang w:val="en-GB"/>
        </w:rPr>
        <w:t xml:space="preserve"> of the Goals</w:t>
      </w:r>
      <w:r w:rsidRPr="00A469EA">
        <w:rPr>
          <w:rFonts w:asciiTheme="majorBidi" w:hAnsiTheme="majorBidi" w:cstheme="majorBidi"/>
          <w:lang w:val="en-GB"/>
        </w:rPr>
        <w:t>.</w:t>
      </w:r>
      <w:r w:rsidR="00F02E94" w:rsidRPr="00A469EA">
        <w:rPr>
          <w:lang w:val="en-GB"/>
        </w:rPr>
        <w:t xml:space="preserve"> </w:t>
      </w:r>
      <w:r w:rsidR="00F02E94" w:rsidRPr="00A469EA">
        <w:rPr>
          <w:rFonts w:asciiTheme="majorBidi" w:hAnsiTheme="majorBidi" w:cstheme="majorBidi"/>
          <w:lang w:val="en-GB"/>
        </w:rPr>
        <w:t>UNDP will continue to promote the development impact of the China-Pakistan Economic Corridor and facilitate cooperation among countries sharing the Himalaya, Hindu-Kush, Karakoram and Tien Shan mountain ranges.</w:t>
      </w:r>
    </w:p>
    <w:p w14:paraId="3D9A0674" w14:textId="4ACEA503" w:rsidR="00132D44" w:rsidRPr="00A469EA" w:rsidRDefault="00F02E94" w:rsidP="00F63ECC">
      <w:pPr>
        <w:pStyle w:val="ListParagraph"/>
        <w:numPr>
          <w:ilvl w:val="0"/>
          <w:numId w:val="39"/>
        </w:numPr>
        <w:tabs>
          <w:tab w:val="left" w:pos="450"/>
        </w:tabs>
        <w:ind w:left="0" w:right="450" w:firstLine="0"/>
        <w:jc w:val="both"/>
        <w:rPr>
          <w:rFonts w:asciiTheme="majorBidi" w:hAnsiTheme="majorBidi" w:cstheme="majorBidi"/>
          <w:lang w:val="en-GB"/>
        </w:rPr>
      </w:pPr>
      <w:r w:rsidRPr="00A469EA">
        <w:rPr>
          <w:rFonts w:asciiTheme="majorBidi" w:hAnsiTheme="majorBidi" w:cstheme="majorBidi"/>
          <w:lang w:val="en-GB"/>
        </w:rPr>
        <w:t>U</w:t>
      </w:r>
      <w:r w:rsidR="008943AD" w:rsidRPr="00A469EA">
        <w:rPr>
          <w:rFonts w:asciiTheme="majorBidi" w:hAnsiTheme="majorBidi" w:cstheme="majorBidi"/>
          <w:lang w:val="en-GB"/>
        </w:rPr>
        <w:t>NDP</w:t>
      </w:r>
      <w:r w:rsidR="005671D8" w:rsidRPr="00A469EA">
        <w:rPr>
          <w:rFonts w:asciiTheme="majorBidi" w:hAnsiTheme="majorBidi" w:cstheme="majorBidi"/>
          <w:lang w:val="en-GB"/>
        </w:rPr>
        <w:t xml:space="preserve"> will pursue </w:t>
      </w:r>
      <w:r w:rsidR="008943AD" w:rsidRPr="00A469EA">
        <w:rPr>
          <w:rFonts w:asciiTheme="majorBidi" w:hAnsiTheme="majorBidi" w:cstheme="majorBidi"/>
          <w:lang w:val="en-GB"/>
        </w:rPr>
        <w:t>partner</w:t>
      </w:r>
      <w:r w:rsidR="005671D8" w:rsidRPr="00A469EA">
        <w:rPr>
          <w:rFonts w:asciiTheme="majorBidi" w:hAnsiTheme="majorBidi" w:cstheme="majorBidi"/>
          <w:lang w:val="en-GB"/>
        </w:rPr>
        <w:t>ships</w:t>
      </w:r>
      <w:r w:rsidR="008943AD" w:rsidRPr="00A469EA">
        <w:rPr>
          <w:rFonts w:asciiTheme="majorBidi" w:hAnsiTheme="majorBidi" w:cstheme="majorBidi"/>
          <w:lang w:val="en-GB"/>
        </w:rPr>
        <w:t xml:space="preserve"> with the Government, U</w:t>
      </w:r>
      <w:r w:rsidR="00CB714D" w:rsidRPr="00A469EA">
        <w:rPr>
          <w:rFonts w:asciiTheme="majorBidi" w:hAnsiTheme="majorBidi" w:cstheme="majorBidi"/>
          <w:lang w:val="en-GB"/>
        </w:rPr>
        <w:t xml:space="preserve">nited </w:t>
      </w:r>
      <w:r w:rsidR="008943AD" w:rsidRPr="00A469EA">
        <w:rPr>
          <w:rFonts w:asciiTheme="majorBidi" w:hAnsiTheme="majorBidi" w:cstheme="majorBidi"/>
          <w:lang w:val="en-GB"/>
        </w:rPr>
        <w:t>N</w:t>
      </w:r>
      <w:r w:rsidR="00CB714D" w:rsidRPr="00A469EA">
        <w:rPr>
          <w:rFonts w:asciiTheme="majorBidi" w:hAnsiTheme="majorBidi" w:cstheme="majorBidi"/>
          <w:lang w:val="en-GB"/>
        </w:rPr>
        <w:t>ations</w:t>
      </w:r>
      <w:r w:rsidR="008943AD" w:rsidRPr="00A469EA">
        <w:rPr>
          <w:rFonts w:asciiTheme="majorBidi" w:hAnsiTheme="majorBidi" w:cstheme="majorBidi"/>
          <w:lang w:val="en-GB"/>
        </w:rPr>
        <w:t xml:space="preserve"> </w:t>
      </w:r>
      <w:r w:rsidR="00AB1172">
        <w:rPr>
          <w:rFonts w:asciiTheme="majorBidi" w:hAnsiTheme="majorBidi" w:cstheme="majorBidi"/>
          <w:lang w:val="en-GB"/>
        </w:rPr>
        <w:t>o</w:t>
      </w:r>
      <w:r w:rsidR="00CB714D" w:rsidRPr="00A469EA">
        <w:rPr>
          <w:rFonts w:asciiTheme="majorBidi" w:hAnsiTheme="majorBidi" w:cstheme="majorBidi"/>
          <w:lang w:val="en-GB"/>
        </w:rPr>
        <w:t xml:space="preserve">rganizations </w:t>
      </w:r>
      <w:r w:rsidR="00D42896" w:rsidRPr="00A469EA">
        <w:rPr>
          <w:rFonts w:asciiTheme="majorBidi" w:hAnsiTheme="majorBidi" w:cstheme="majorBidi"/>
          <w:lang w:val="en-GB"/>
        </w:rPr>
        <w:t xml:space="preserve">and </w:t>
      </w:r>
      <w:r w:rsidR="008943AD" w:rsidRPr="00A469EA">
        <w:rPr>
          <w:rFonts w:asciiTheme="majorBidi" w:hAnsiTheme="majorBidi" w:cstheme="majorBidi"/>
          <w:lang w:val="en-GB"/>
        </w:rPr>
        <w:t>the private sector</w:t>
      </w:r>
      <w:r w:rsidR="005671D8" w:rsidRPr="00A469EA">
        <w:rPr>
          <w:rFonts w:asciiTheme="majorBidi" w:hAnsiTheme="majorBidi" w:cstheme="majorBidi"/>
          <w:lang w:val="en-GB"/>
        </w:rPr>
        <w:t xml:space="preserve"> to meet the goals of the </w:t>
      </w:r>
      <w:r w:rsidR="00CB714D" w:rsidRPr="00A469EA">
        <w:rPr>
          <w:rFonts w:asciiTheme="majorBidi" w:hAnsiTheme="majorBidi" w:cstheme="majorBidi"/>
          <w:lang w:val="en-GB"/>
        </w:rPr>
        <w:t>country programme</w:t>
      </w:r>
      <w:r w:rsidR="00AB1172">
        <w:rPr>
          <w:rFonts w:asciiTheme="majorBidi" w:hAnsiTheme="majorBidi" w:cstheme="majorBidi"/>
          <w:lang w:val="en-GB"/>
        </w:rPr>
        <w:t>,</w:t>
      </w:r>
      <w:r w:rsidR="00D1798C" w:rsidRPr="00A469EA">
        <w:rPr>
          <w:rFonts w:asciiTheme="majorBidi" w:hAnsiTheme="majorBidi" w:cstheme="majorBidi"/>
          <w:lang w:val="en-GB"/>
        </w:rPr>
        <w:t xml:space="preserve"> </w:t>
      </w:r>
      <w:r w:rsidR="00D1798C" w:rsidRPr="00A469EA">
        <w:rPr>
          <w:lang w:val="en-GB"/>
        </w:rPr>
        <w:t xml:space="preserve">such as scaling up the successful private-public partnership model for youth employment in Sindh </w:t>
      </w:r>
      <w:r w:rsidR="00AB1172">
        <w:rPr>
          <w:lang w:val="en-GB"/>
        </w:rPr>
        <w:t xml:space="preserve">and </w:t>
      </w:r>
      <w:r w:rsidR="00D1798C" w:rsidRPr="00A469EA">
        <w:rPr>
          <w:lang w:val="en-GB"/>
        </w:rPr>
        <w:t>other provinces.</w:t>
      </w:r>
      <w:r w:rsidR="005671D8" w:rsidRPr="00A469EA">
        <w:rPr>
          <w:rFonts w:asciiTheme="majorBidi" w:hAnsiTheme="majorBidi" w:cstheme="majorBidi"/>
          <w:lang w:val="en-GB"/>
        </w:rPr>
        <w:t xml:space="preserve"> </w:t>
      </w:r>
      <w:r w:rsidR="00D1798C" w:rsidRPr="00A469EA">
        <w:rPr>
          <w:rFonts w:asciiTheme="majorBidi" w:hAnsiTheme="majorBidi" w:cstheme="majorBidi"/>
          <w:lang w:val="en-GB"/>
        </w:rPr>
        <w:t xml:space="preserve">UNDP </w:t>
      </w:r>
      <w:r w:rsidRPr="00A469EA">
        <w:rPr>
          <w:rFonts w:asciiTheme="majorBidi" w:hAnsiTheme="majorBidi" w:cstheme="majorBidi"/>
          <w:lang w:val="en-GB"/>
        </w:rPr>
        <w:t>will deepen its own collaboration with U</w:t>
      </w:r>
      <w:r w:rsidR="00CB714D" w:rsidRPr="00A469EA">
        <w:rPr>
          <w:rFonts w:asciiTheme="majorBidi" w:hAnsiTheme="majorBidi" w:cstheme="majorBidi"/>
          <w:lang w:val="en-GB"/>
        </w:rPr>
        <w:t xml:space="preserve">nited </w:t>
      </w:r>
      <w:r w:rsidRPr="00A469EA">
        <w:rPr>
          <w:rFonts w:asciiTheme="majorBidi" w:hAnsiTheme="majorBidi" w:cstheme="majorBidi"/>
          <w:lang w:val="en-GB"/>
        </w:rPr>
        <w:t>N</w:t>
      </w:r>
      <w:r w:rsidR="00CB714D" w:rsidRPr="00A469EA">
        <w:rPr>
          <w:rFonts w:asciiTheme="majorBidi" w:hAnsiTheme="majorBidi" w:cstheme="majorBidi"/>
          <w:lang w:val="en-GB"/>
        </w:rPr>
        <w:t>ations</w:t>
      </w:r>
      <w:r w:rsidRPr="00A469EA">
        <w:rPr>
          <w:rFonts w:asciiTheme="majorBidi" w:hAnsiTheme="majorBidi" w:cstheme="majorBidi"/>
          <w:lang w:val="en-GB"/>
        </w:rPr>
        <w:t xml:space="preserve"> </w:t>
      </w:r>
      <w:r w:rsidR="00AB1172">
        <w:rPr>
          <w:rFonts w:asciiTheme="majorBidi" w:hAnsiTheme="majorBidi" w:cstheme="majorBidi"/>
          <w:lang w:val="en-GB"/>
        </w:rPr>
        <w:t>o</w:t>
      </w:r>
      <w:r w:rsidR="00CB714D" w:rsidRPr="00A469EA">
        <w:rPr>
          <w:rFonts w:asciiTheme="majorBidi" w:hAnsiTheme="majorBidi" w:cstheme="majorBidi"/>
          <w:lang w:val="en-GB"/>
        </w:rPr>
        <w:t xml:space="preserve">rganizations </w:t>
      </w:r>
      <w:r w:rsidRPr="00A469EA">
        <w:rPr>
          <w:rFonts w:asciiTheme="majorBidi" w:hAnsiTheme="majorBidi" w:cstheme="majorBidi"/>
          <w:lang w:val="en-GB"/>
        </w:rPr>
        <w:t>to ensure that humanitarian, early recovery and resilience</w:t>
      </w:r>
      <w:r w:rsidR="00CB714D" w:rsidRPr="00A469EA">
        <w:rPr>
          <w:rFonts w:asciiTheme="majorBidi" w:hAnsiTheme="majorBidi" w:cstheme="majorBidi"/>
          <w:lang w:val="en-GB"/>
        </w:rPr>
        <w:t>-</w:t>
      </w:r>
      <w:r w:rsidRPr="00A469EA">
        <w:rPr>
          <w:rFonts w:asciiTheme="majorBidi" w:hAnsiTheme="majorBidi" w:cstheme="majorBidi"/>
          <w:lang w:val="en-GB"/>
        </w:rPr>
        <w:t>oriented programming at all levels contributes to</w:t>
      </w:r>
      <w:r w:rsidR="00D42896" w:rsidRPr="00A469EA">
        <w:rPr>
          <w:rFonts w:asciiTheme="majorBidi" w:hAnsiTheme="majorBidi" w:cstheme="majorBidi"/>
          <w:lang w:val="en-GB"/>
        </w:rPr>
        <w:t xml:space="preserve"> </w:t>
      </w:r>
      <w:r w:rsidR="00CB714D" w:rsidRPr="00A469EA">
        <w:rPr>
          <w:rFonts w:asciiTheme="majorBidi" w:hAnsiTheme="majorBidi" w:cstheme="majorBidi"/>
          <w:lang w:val="en-GB"/>
        </w:rPr>
        <w:t xml:space="preserve">the country’s </w:t>
      </w:r>
      <w:r w:rsidRPr="00A469EA">
        <w:rPr>
          <w:rFonts w:asciiTheme="majorBidi" w:hAnsiTheme="majorBidi" w:cstheme="majorBidi"/>
          <w:lang w:val="en-GB"/>
        </w:rPr>
        <w:t>sustainable longer</w:t>
      </w:r>
      <w:r w:rsidR="00AB1172">
        <w:rPr>
          <w:rFonts w:asciiTheme="majorBidi" w:hAnsiTheme="majorBidi" w:cstheme="majorBidi"/>
          <w:lang w:val="en-GB"/>
        </w:rPr>
        <w:t>-</w:t>
      </w:r>
      <w:r w:rsidRPr="00A469EA">
        <w:rPr>
          <w:rFonts w:asciiTheme="majorBidi" w:hAnsiTheme="majorBidi" w:cstheme="majorBidi"/>
          <w:lang w:val="en-GB"/>
        </w:rPr>
        <w:t xml:space="preserve">term development outcomes. </w:t>
      </w:r>
    </w:p>
    <w:p w14:paraId="11AF16F9" w14:textId="1414294A" w:rsidR="00257F40" w:rsidRPr="00A469EA" w:rsidRDefault="00257F40">
      <w:pPr>
        <w:rPr>
          <w:rFonts w:asciiTheme="majorBidi" w:hAnsiTheme="majorBidi" w:cstheme="majorBidi"/>
          <w:lang w:val="en-GB"/>
        </w:rPr>
      </w:pPr>
    </w:p>
    <w:p w14:paraId="021BA476" w14:textId="3C0D9294" w:rsidR="008943AD" w:rsidRPr="00A469EA" w:rsidRDefault="008943AD" w:rsidP="00F63ECC">
      <w:pPr>
        <w:pStyle w:val="Heading2"/>
        <w:numPr>
          <w:ilvl w:val="0"/>
          <w:numId w:val="57"/>
        </w:numPr>
        <w:ind w:left="0" w:right="450" w:hanging="540"/>
        <w:jc w:val="both"/>
        <w:rPr>
          <w:rFonts w:ascii="Times New Roman" w:hAnsi="Times New Roman"/>
          <w:bCs/>
          <w:color w:val="000000"/>
          <w:sz w:val="24"/>
          <w:szCs w:val="24"/>
          <w:lang w:val="en-GB"/>
        </w:rPr>
      </w:pPr>
      <w:r w:rsidRPr="00A469EA">
        <w:rPr>
          <w:rFonts w:ascii="Times New Roman" w:hAnsi="Times New Roman"/>
          <w:bCs/>
          <w:color w:val="000000"/>
          <w:sz w:val="24"/>
          <w:szCs w:val="24"/>
          <w:lang w:val="en-GB"/>
        </w:rPr>
        <w:t xml:space="preserve">Programme and </w:t>
      </w:r>
      <w:r w:rsidR="00F63ECC" w:rsidRPr="00A469EA">
        <w:rPr>
          <w:rFonts w:ascii="Times New Roman" w:hAnsi="Times New Roman"/>
          <w:bCs/>
          <w:color w:val="000000"/>
          <w:sz w:val="24"/>
          <w:szCs w:val="24"/>
          <w:lang w:val="en-GB"/>
        </w:rPr>
        <w:t>risk m</w:t>
      </w:r>
      <w:r w:rsidRPr="00A469EA">
        <w:rPr>
          <w:rFonts w:ascii="Times New Roman" w:hAnsi="Times New Roman"/>
          <w:bCs/>
          <w:color w:val="000000"/>
          <w:sz w:val="24"/>
          <w:szCs w:val="24"/>
          <w:lang w:val="en-GB"/>
        </w:rPr>
        <w:t xml:space="preserve">anagement </w:t>
      </w:r>
    </w:p>
    <w:p w14:paraId="798105DA" w14:textId="77777777" w:rsidR="008943AD" w:rsidRPr="00A469EA" w:rsidRDefault="008943AD" w:rsidP="002C54A1">
      <w:pPr>
        <w:pStyle w:val="MediumGrid1-Accent21"/>
        <w:widowControl w:val="0"/>
        <w:autoSpaceDE w:val="0"/>
        <w:autoSpaceDN w:val="0"/>
        <w:adjustRightInd w:val="0"/>
        <w:ind w:left="0" w:right="450"/>
        <w:jc w:val="both"/>
        <w:rPr>
          <w:rFonts w:asciiTheme="majorBidi" w:hAnsiTheme="majorBidi" w:cstheme="majorBidi"/>
          <w:lang w:val="en-GB"/>
        </w:rPr>
      </w:pPr>
    </w:p>
    <w:p w14:paraId="25DA8B53" w14:textId="030D1A8C" w:rsidR="0004363E" w:rsidRPr="00A469EA" w:rsidRDefault="008943AD"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hAnsiTheme="majorBidi" w:cstheme="majorBidi"/>
          <w:lang w:val="en-GB"/>
        </w:rPr>
      </w:pPr>
      <w:r w:rsidRPr="00A469EA">
        <w:rPr>
          <w:rFonts w:asciiTheme="majorBidi" w:hAnsiTheme="majorBidi" w:cstheme="majorBidi"/>
          <w:color w:val="000000"/>
          <w:lang w:val="en-GB"/>
        </w:rPr>
        <w:t xml:space="preserve">This </w:t>
      </w:r>
      <w:r w:rsidR="00CE6DC2" w:rsidRPr="00A469EA">
        <w:rPr>
          <w:rFonts w:asciiTheme="majorBidi" w:hAnsiTheme="majorBidi" w:cstheme="majorBidi"/>
          <w:color w:val="000000"/>
          <w:lang w:val="en-GB"/>
        </w:rPr>
        <w:t xml:space="preserve">country programme </w:t>
      </w:r>
      <w:r w:rsidRPr="00A469EA">
        <w:rPr>
          <w:rFonts w:asciiTheme="majorBidi" w:hAnsiTheme="majorBidi" w:cstheme="majorBidi"/>
          <w:color w:val="000000"/>
          <w:lang w:val="en-GB"/>
        </w:rPr>
        <w:t xml:space="preserve">outlines UNDP contributions to national results and serves as the primary unit of accountability to the Executive Board for results alignment and resources assigned to the programme at country level. Accountabilities </w:t>
      </w:r>
      <w:r w:rsidRPr="00A469EA">
        <w:rPr>
          <w:rFonts w:asciiTheme="majorBidi" w:hAnsiTheme="majorBidi" w:cstheme="majorBidi"/>
          <w:lang w:val="en-GB"/>
        </w:rPr>
        <w:t xml:space="preserve">of managers at the country, regional and headquarters levels with respect to country programmes is prescribed in </w:t>
      </w:r>
      <w:r w:rsidR="00CE6DC2" w:rsidRPr="00A469EA">
        <w:rPr>
          <w:rFonts w:asciiTheme="majorBidi" w:hAnsiTheme="majorBidi" w:cstheme="majorBidi"/>
          <w:lang w:val="en-GB"/>
        </w:rPr>
        <w:t xml:space="preserve">the </w:t>
      </w:r>
      <w:r w:rsidRPr="00A469EA">
        <w:rPr>
          <w:rFonts w:asciiTheme="majorBidi" w:hAnsiTheme="majorBidi" w:cstheme="majorBidi"/>
          <w:lang w:val="en-GB"/>
        </w:rPr>
        <w:t xml:space="preserve">UNDP </w:t>
      </w:r>
      <w:r w:rsidR="00AB1172">
        <w:rPr>
          <w:rFonts w:asciiTheme="majorBidi" w:hAnsiTheme="majorBidi" w:cstheme="majorBidi"/>
          <w:lang w:val="en-GB"/>
        </w:rPr>
        <w:t>p</w:t>
      </w:r>
      <w:r w:rsidRPr="00A469EA">
        <w:rPr>
          <w:rFonts w:asciiTheme="majorBidi" w:hAnsiTheme="majorBidi" w:cstheme="majorBidi"/>
          <w:lang w:val="en-GB"/>
        </w:rPr>
        <w:t xml:space="preserve">rogramme and </w:t>
      </w:r>
      <w:r w:rsidR="00AB1172">
        <w:rPr>
          <w:rFonts w:asciiTheme="majorBidi" w:hAnsiTheme="majorBidi" w:cstheme="majorBidi"/>
          <w:lang w:val="en-GB"/>
        </w:rPr>
        <w:t>o</w:t>
      </w:r>
      <w:r w:rsidRPr="00A469EA">
        <w:rPr>
          <w:rFonts w:asciiTheme="majorBidi" w:hAnsiTheme="majorBidi" w:cstheme="majorBidi"/>
          <w:lang w:val="en-GB"/>
        </w:rPr>
        <w:t xml:space="preserve">perations </w:t>
      </w:r>
      <w:r w:rsidR="00AB1172">
        <w:rPr>
          <w:rFonts w:asciiTheme="majorBidi" w:hAnsiTheme="majorBidi" w:cstheme="majorBidi"/>
          <w:lang w:val="en-GB"/>
        </w:rPr>
        <w:t>p</w:t>
      </w:r>
      <w:r w:rsidRPr="00A469EA">
        <w:rPr>
          <w:rFonts w:asciiTheme="majorBidi" w:hAnsiTheme="majorBidi" w:cstheme="majorBidi"/>
          <w:lang w:val="en-GB"/>
        </w:rPr>
        <w:t xml:space="preserve">olicies and </w:t>
      </w:r>
      <w:r w:rsidR="00AB1172">
        <w:rPr>
          <w:rFonts w:asciiTheme="majorBidi" w:hAnsiTheme="majorBidi" w:cstheme="majorBidi"/>
          <w:lang w:val="en-GB"/>
        </w:rPr>
        <w:t>p</w:t>
      </w:r>
      <w:r w:rsidRPr="00A469EA">
        <w:rPr>
          <w:rFonts w:asciiTheme="majorBidi" w:hAnsiTheme="majorBidi" w:cstheme="majorBidi"/>
          <w:lang w:val="en-GB"/>
        </w:rPr>
        <w:t xml:space="preserve">rocedures, and the </w:t>
      </w:r>
      <w:r w:rsidR="00CE6DC2" w:rsidRPr="00A469EA">
        <w:rPr>
          <w:rFonts w:asciiTheme="majorBidi" w:hAnsiTheme="majorBidi" w:cstheme="majorBidi"/>
          <w:lang w:val="en-GB"/>
        </w:rPr>
        <w:t>i</w:t>
      </w:r>
      <w:r w:rsidRPr="00A469EA">
        <w:rPr>
          <w:rFonts w:asciiTheme="majorBidi" w:hAnsiTheme="majorBidi" w:cstheme="majorBidi"/>
          <w:lang w:val="en-GB"/>
        </w:rPr>
        <w:t xml:space="preserve">nternal </w:t>
      </w:r>
      <w:r w:rsidR="00CE6DC2" w:rsidRPr="00A469EA">
        <w:rPr>
          <w:rFonts w:asciiTheme="majorBidi" w:hAnsiTheme="majorBidi" w:cstheme="majorBidi"/>
          <w:lang w:val="en-GB"/>
        </w:rPr>
        <w:t>c</w:t>
      </w:r>
      <w:r w:rsidRPr="00A469EA">
        <w:rPr>
          <w:rFonts w:asciiTheme="majorBidi" w:hAnsiTheme="majorBidi" w:cstheme="majorBidi"/>
          <w:lang w:val="en-GB"/>
        </w:rPr>
        <w:t xml:space="preserve">ontrols </w:t>
      </w:r>
      <w:r w:rsidR="00CE6DC2" w:rsidRPr="00A469EA">
        <w:rPr>
          <w:rFonts w:asciiTheme="majorBidi" w:hAnsiTheme="majorBidi" w:cstheme="majorBidi"/>
          <w:lang w:val="en-GB"/>
        </w:rPr>
        <w:t>f</w:t>
      </w:r>
      <w:r w:rsidRPr="00A469EA">
        <w:rPr>
          <w:rFonts w:asciiTheme="majorBidi" w:hAnsiTheme="majorBidi" w:cstheme="majorBidi"/>
          <w:lang w:val="en-GB"/>
        </w:rPr>
        <w:t>ramework.</w:t>
      </w:r>
    </w:p>
    <w:p w14:paraId="56D3C8AD" w14:textId="40E33783" w:rsidR="0004363E" w:rsidRPr="00A469EA" w:rsidRDefault="008943AD"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hAnsiTheme="majorBidi" w:cstheme="majorBidi"/>
          <w:lang w:val="en-GB"/>
        </w:rPr>
      </w:pPr>
      <w:r w:rsidRPr="00A469EA">
        <w:rPr>
          <w:rFonts w:asciiTheme="majorBidi" w:hAnsiTheme="majorBidi" w:cstheme="majorBidi"/>
          <w:lang w:val="en-GB"/>
        </w:rPr>
        <w:lastRenderedPageBreak/>
        <w:t xml:space="preserve">The </w:t>
      </w:r>
      <w:r w:rsidR="00CE6DC2" w:rsidRPr="00A469EA">
        <w:rPr>
          <w:rFonts w:asciiTheme="majorBidi" w:hAnsiTheme="majorBidi" w:cstheme="majorBidi"/>
          <w:lang w:val="en-GB"/>
        </w:rPr>
        <w:t xml:space="preserve">country programme </w:t>
      </w:r>
      <w:r w:rsidRPr="00A469EA">
        <w:rPr>
          <w:rFonts w:asciiTheme="majorBidi" w:hAnsiTheme="majorBidi" w:cstheme="majorBidi"/>
          <w:lang w:val="en-GB"/>
        </w:rPr>
        <w:t xml:space="preserve">will be nationally executed in close collaboration with the Government at all levels to ensure ownership and accountability for achieving development results (the Economic Affairs Division of the Ministry of Finance remains the main counterpart). Different implementation modalities (national, direct and/or non-governmental organizations) will be used and </w:t>
      </w:r>
      <w:r w:rsidRPr="00A469EA">
        <w:rPr>
          <w:rFonts w:asciiTheme="majorBidi" w:eastAsia="Cambria" w:hAnsiTheme="majorBidi" w:cstheme="majorBidi"/>
          <w:lang w:val="en-GB"/>
        </w:rPr>
        <w:t>partners will be selected on the basis of comparative advantage</w:t>
      </w:r>
      <w:r w:rsidR="00CE6DC2" w:rsidRPr="00A469EA">
        <w:rPr>
          <w:rFonts w:asciiTheme="majorBidi" w:eastAsia="Cambria" w:hAnsiTheme="majorBidi" w:cstheme="majorBidi"/>
          <w:lang w:val="en-GB"/>
        </w:rPr>
        <w:t xml:space="preserve"> and </w:t>
      </w:r>
      <w:r w:rsidRPr="00A469EA">
        <w:rPr>
          <w:rFonts w:asciiTheme="majorBidi" w:eastAsia="Cambria" w:hAnsiTheme="majorBidi" w:cstheme="majorBidi"/>
          <w:lang w:val="en-GB"/>
        </w:rPr>
        <w:t xml:space="preserve">capacities and with a view to building sustainable impact. </w:t>
      </w:r>
      <w:r w:rsidRPr="00A469EA">
        <w:rPr>
          <w:rFonts w:asciiTheme="majorBidi" w:hAnsiTheme="majorBidi" w:cstheme="majorBidi"/>
          <w:lang w:val="en-GB"/>
        </w:rPr>
        <w:t xml:space="preserve">The multi-stakeholder (governmental, donor and community/civil society) </w:t>
      </w:r>
      <w:r w:rsidR="00CE6DC2" w:rsidRPr="00A469EA">
        <w:rPr>
          <w:rFonts w:asciiTheme="majorBidi" w:hAnsiTheme="majorBidi" w:cstheme="majorBidi"/>
          <w:lang w:val="en-GB"/>
        </w:rPr>
        <w:t>p</w:t>
      </w:r>
      <w:r w:rsidRPr="00A469EA">
        <w:rPr>
          <w:rFonts w:asciiTheme="majorBidi" w:hAnsiTheme="majorBidi" w:cstheme="majorBidi"/>
          <w:lang w:val="en-GB"/>
        </w:rPr>
        <w:t xml:space="preserve">roject </w:t>
      </w:r>
      <w:r w:rsidR="00CE6DC2" w:rsidRPr="00A469EA">
        <w:rPr>
          <w:rFonts w:asciiTheme="majorBidi" w:hAnsiTheme="majorBidi" w:cstheme="majorBidi"/>
          <w:lang w:val="en-GB"/>
        </w:rPr>
        <w:t>r</w:t>
      </w:r>
      <w:r w:rsidRPr="00A469EA">
        <w:rPr>
          <w:rFonts w:asciiTheme="majorBidi" w:hAnsiTheme="majorBidi" w:cstheme="majorBidi"/>
          <w:lang w:val="en-GB"/>
        </w:rPr>
        <w:t xml:space="preserve">eview </w:t>
      </w:r>
      <w:r w:rsidR="00CE6DC2" w:rsidRPr="00A469EA">
        <w:rPr>
          <w:rFonts w:asciiTheme="majorBidi" w:hAnsiTheme="majorBidi" w:cstheme="majorBidi"/>
          <w:lang w:val="en-GB"/>
        </w:rPr>
        <w:t>b</w:t>
      </w:r>
      <w:r w:rsidRPr="00A469EA">
        <w:rPr>
          <w:rFonts w:asciiTheme="majorBidi" w:hAnsiTheme="majorBidi" w:cstheme="majorBidi"/>
          <w:lang w:val="en-GB"/>
        </w:rPr>
        <w:t xml:space="preserve">oards and </w:t>
      </w:r>
      <w:r w:rsidR="00CE6DC2" w:rsidRPr="00A469EA">
        <w:rPr>
          <w:rFonts w:asciiTheme="majorBidi" w:hAnsiTheme="majorBidi" w:cstheme="majorBidi"/>
          <w:lang w:val="en-GB"/>
        </w:rPr>
        <w:t>p</w:t>
      </w:r>
      <w:r w:rsidRPr="00A469EA">
        <w:rPr>
          <w:rFonts w:asciiTheme="majorBidi" w:hAnsiTheme="majorBidi" w:cstheme="majorBidi"/>
          <w:lang w:val="en-GB"/>
        </w:rPr>
        <w:t xml:space="preserve">roject </w:t>
      </w:r>
      <w:r w:rsidR="00CE6DC2" w:rsidRPr="00A469EA">
        <w:rPr>
          <w:rFonts w:asciiTheme="majorBidi" w:hAnsiTheme="majorBidi" w:cstheme="majorBidi"/>
          <w:lang w:val="en-GB"/>
        </w:rPr>
        <w:t>s</w:t>
      </w:r>
      <w:r w:rsidRPr="00A469EA">
        <w:rPr>
          <w:rFonts w:asciiTheme="majorBidi" w:hAnsiTheme="majorBidi" w:cstheme="majorBidi"/>
          <w:lang w:val="en-GB"/>
        </w:rPr>
        <w:t xml:space="preserve">teering </w:t>
      </w:r>
      <w:r w:rsidR="00CE6DC2" w:rsidRPr="00A469EA">
        <w:rPr>
          <w:rFonts w:asciiTheme="majorBidi" w:hAnsiTheme="majorBidi" w:cstheme="majorBidi"/>
          <w:lang w:val="en-GB"/>
        </w:rPr>
        <w:t>c</w:t>
      </w:r>
      <w:r w:rsidRPr="00A469EA">
        <w:rPr>
          <w:rFonts w:asciiTheme="majorBidi" w:hAnsiTheme="majorBidi" w:cstheme="majorBidi"/>
          <w:lang w:val="en-GB"/>
        </w:rPr>
        <w:t xml:space="preserve">ommittees will continue to </w:t>
      </w:r>
      <w:r w:rsidR="00966142" w:rsidRPr="00A469EA">
        <w:rPr>
          <w:rFonts w:asciiTheme="majorBidi" w:hAnsiTheme="majorBidi" w:cstheme="majorBidi"/>
          <w:lang w:val="en-GB"/>
        </w:rPr>
        <w:t xml:space="preserve">serve </w:t>
      </w:r>
      <w:r w:rsidR="00CE6DC2" w:rsidRPr="00A469EA">
        <w:rPr>
          <w:rFonts w:asciiTheme="majorBidi" w:hAnsiTheme="majorBidi" w:cstheme="majorBidi"/>
          <w:lang w:val="en-GB"/>
        </w:rPr>
        <w:t xml:space="preserve">as </w:t>
      </w:r>
      <w:r w:rsidRPr="00A469EA">
        <w:rPr>
          <w:rFonts w:asciiTheme="majorBidi" w:hAnsiTheme="majorBidi" w:cstheme="majorBidi"/>
          <w:lang w:val="en-GB"/>
        </w:rPr>
        <w:t>oversight mechanisms.</w:t>
      </w:r>
      <w:r w:rsidRPr="00A469EA">
        <w:rPr>
          <w:rFonts w:asciiTheme="majorBidi" w:eastAsia="Cambria" w:hAnsiTheme="majorBidi" w:cstheme="majorBidi"/>
          <w:lang w:val="en-GB"/>
        </w:rPr>
        <w:t xml:space="preserve"> UNDP will also increasingly deliver services to the Government</w:t>
      </w:r>
      <w:r w:rsidR="006D7317" w:rsidRPr="00A469EA">
        <w:rPr>
          <w:rFonts w:asciiTheme="majorBidi" w:eastAsia="Cambria" w:hAnsiTheme="majorBidi" w:cstheme="majorBidi"/>
          <w:lang w:val="en-GB"/>
        </w:rPr>
        <w:t>,</w:t>
      </w:r>
      <w:r w:rsidRPr="00A469EA">
        <w:rPr>
          <w:rFonts w:asciiTheme="majorBidi" w:eastAsia="Cambria" w:hAnsiTheme="majorBidi" w:cstheme="majorBidi"/>
          <w:lang w:val="en-GB"/>
        </w:rPr>
        <w:t xml:space="preserve"> </w:t>
      </w:r>
      <w:r w:rsidR="00090B57" w:rsidRPr="00A469EA">
        <w:rPr>
          <w:rFonts w:asciiTheme="majorBidi" w:eastAsia="Cambria" w:hAnsiTheme="majorBidi" w:cstheme="majorBidi"/>
          <w:lang w:val="en-GB"/>
        </w:rPr>
        <w:t>on its request</w:t>
      </w:r>
      <w:r w:rsidR="006D7317" w:rsidRPr="00A469EA">
        <w:rPr>
          <w:rFonts w:asciiTheme="majorBidi" w:eastAsia="Cambria" w:hAnsiTheme="majorBidi" w:cstheme="majorBidi"/>
          <w:lang w:val="en-GB"/>
        </w:rPr>
        <w:t>,</w:t>
      </w:r>
      <w:r w:rsidR="00090B57" w:rsidRPr="00A469EA">
        <w:rPr>
          <w:rFonts w:asciiTheme="majorBidi" w:eastAsia="Cambria" w:hAnsiTheme="majorBidi" w:cstheme="majorBidi"/>
          <w:lang w:val="en-GB"/>
        </w:rPr>
        <w:t xml:space="preserve"> </w:t>
      </w:r>
      <w:r w:rsidRPr="00A469EA">
        <w:rPr>
          <w:rFonts w:asciiTheme="majorBidi" w:eastAsia="Cambria" w:hAnsiTheme="majorBidi" w:cstheme="majorBidi"/>
          <w:lang w:val="en-GB"/>
        </w:rPr>
        <w:t>to enhance development effectiveness in addressing development challenges.</w:t>
      </w:r>
    </w:p>
    <w:p w14:paraId="6922CA91" w14:textId="67D57D52" w:rsidR="00A97118" w:rsidRPr="00A469EA" w:rsidRDefault="00A97118" w:rsidP="00AF7CCF">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In accordance with Executive Board decision 2013/</w:t>
      </w:r>
      <w:r w:rsidR="00F11A13" w:rsidRPr="00A469EA">
        <w:rPr>
          <w:rFonts w:asciiTheme="majorBidi" w:hAnsiTheme="majorBidi" w:cstheme="majorBidi"/>
          <w:lang w:val="en-GB"/>
        </w:rPr>
        <w:t>9</w:t>
      </w:r>
      <w:r w:rsidRPr="00A469EA">
        <w:rPr>
          <w:rFonts w:asciiTheme="majorBidi" w:hAnsiTheme="majorBidi" w:cstheme="majorBidi"/>
          <w:lang w:val="en-GB"/>
        </w:rPr>
        <w:t xml:space="preserve">, all direct costs associated with project implementation </w:t>
      </w:r>
      <w:r w:rsidR="000343E1" w:rsidRPr="00A469EA">
        <w:rPr>
          <w:rFonts w:asciiTheme="majorBidi" w:hAnsiTheme="majorBidi" w:cstheme="majorBidi"/>
          <w:lang w:val="en-GB"/>
        </w:rPr>
        <w:t xml:space="preserve">will </w:t>
      </w:r>
      <w:r w:rsidRPr="00A469EA">
        <w:rPr>
          <w:rFonts w:asciiTheme="majorBidi" w:hAnsiTheme="majorBidi" w:cstheme="majorBidi"/>
          <w:lang w:val="en-GB"/>
        </w:rPr>
        <w:t xml:space="preserve">be charged to the concerned projects. Based on this Executive Board </w:t>
      </w:r>
      <w:r w:rsidR="00FB3B2B" w:rsidRPr="00A469EA">
        <w:rPr>
          <w:rFonts w:asciiTheme="majorBidi" w:hAnsiTheme="majorBidi" w:cstheme="majorBidi"/>
          <w:lang w:val="en-GB"/>
        </w:rPr>
        <w:t>d</w:t>
      </w:r>
      <w:r w:rsidRPr="00A469EA">
        <w:rPr>
          <w:rFonts w:asciiTheme="majorBidi" w:hAnsiTheme="majorBidi" w:cstheme="majorBidi"/>
          <w:lang w:val="en-GB"/>
        </w:rPr>
        <w:t xml:space="preserve">ecision, UNDP policy on cost recovery of organizational costs, including UNDP human resources, incurred in the implementation of a development programme, will be included in the project budget and directly charged against it. </w:t>
      </w:r>
    </w:p>
    <w:p w14:paraId="4BB99FFD" w14:textId="130D67B3" w:rsidR="00A9394F" w:rsidRPr="00A469EA" w:rsidRDefault="00A9394F" w:rsidP="002E13C0">
      <w:pPr>
        <w:pStyle w:val="ListParagraph"/>
        <w:widowControl w:val="0"/>
        <w:numPr>
          <w:ilvl w:val="0"/>
          <w:numId w:val="39"/>
        </w:numPr>
        <w:tabs>
          <w:tab w:val="left" w:pos="360"/>
        </w:tabs>
        <w:autoSpaceDE w:val="0"/>
        <w:autoSpaceDN w:val="0"/>
        <w:adjustRightInd w:val="0"/>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 xml:space="preserve">The </w:t>
      </w:r>
      <w:r w:rsidR="000A3A79">
        <w:rPr>
          <w:rFonts w:asciiTheme="majorBidi" w:hAnsiTheme="majorBidi" w:cstheme="majorBidi"/>
          <w:bCs/>
          <w:lang w:val="en-GB"/>
        </w:rPr>
        <w:t>h</w:t>
      </w:r>
      <w:r w:rsidRPr="00A469EA">
        <w:rPr>
          <w:rFonts w:asciiTheme="majorBidi" w:hAnsiTheme="majorBidi" w:cstheme="majorBidi"/>
          <w:bCs/>
          <w:lang w:val="en-GB"/>
        </w:rPr>
        <w:t xml:space="preserve">armonized </w:t>
      </w:r>
      <w:r w:rsidR="000A3A79">
        <w:rPr>
          <w:rFonts w:asciiTheme="majorBidi" w:hAnsiTheme="majorBidi" w:cstheme="majorBidi"/>
          <w:bCs/>
          <w:lang w:val="en-GB"/>
        </w:rPr>
        <w:t>a</w:t>
      </w:r>
      <w:r w:rsidRPr="00A469EA">
        <w:rPr>
          <w:rFonts w:asciiTheme="majorBidi" w:hAnsiTheme="majorBidi" w:cstheme="majorBidi"/>
          <w:bCs/>
          <w:lang w:val="en-GB"/>
        </w:rPr>
        <w:t xml:space="preserve">pproach to </w:t>
      </w:r>
      <w:r w:rsidR="000A3A79">
        <w:rPr>
          <w:rFonts w:asciiTheme="majorBidi" w:hAnsiTheme="majorBidi" w:cstheme="majorBidi"/>
          <w:bCs/>
          <w:lang w:val="en-GB"/>
        </w:rPr>
        <w:t>c</w:t>
      </w:r>
      <w:r w:rsidRPr="00A469EA">
        <w:rPr>
          <w:rFonts w:asciiTheme="majorBidi" w:hAnsiTheme="majorBidi" w:cstheme="majorBidi"/>
          <w:bCs/>
          <w:lang w:val="en-GB"/>
        </w:rPr>
        <w:t xml:space="preserve">ash </w:t>
      </w:r>
      <w:r w:rsidR="000A3A79">
        <w:rPr>
          <w:rFonts w:asciiTheme="majorBidi" w:hAnsiTheme="majorBidi" w:cstheme="majorBidi"/>
          <w:bCs/>
          <w:lang w:val="en-GB"/>
        </w:rPr>
        <w:t>t</w:t>
      </w:r>
      <w:r w:rsidRPr="00A469EA">
        <w:rPr>
          <w:rFonts w:asciiTheme="majorBidi" w:hAnsiTheme="majorBidi" w:cstheme="majorBidi"/>
          <w:bCs/>
          <w:lang w:val="en-GB"/>
        </w:rPr>
        <w:t>ransfers</w:t>
      </w:r>
      <w:r w:rsidR="000343E1" w:rsidRPr="00A469EA">
        <w:rPr>
          <w:rFonts w:asciiTheme="majorBidi" w:hAnsiTheme="majorBidi" w:cstheme="majorBidi"/>
          <w:bCs/>
          <w:lang w:val="en-GB"/>
        </w:rPr>
        <w:t xml:space="preserve"> </w:t>
      </w:r>
      <w:r w:rsidRPr="00A469EA">
        <w:rPr>
          <w:rFonts w:asciiTheme="majorBidi" w:hAnsiTheme="majorBidi" w:cstheme="majorBidi"/>
          <w:bCs/>
          <w:lang w:val="en-GB"/>
        </w:rPr>
        <w:t xml:space="preserve">will serve </w:t>
      </w:r>
      <w:r w:rsidRPr="00A469EA">
        <w:rPr>
          <w:rFonts w:asciiTheme="majorBidi" w:hAnsiTheme="majorBidi" w:cstheme="majorBidi"/>
          <w:lang w:val="en-GB"/>
        </w:rPr>
        <w:t xml:space="preserve">as the operational framework to manage financial risks with government and non-government implementing partners, while building capacities as needed. </w:t>
      </w:r>
    </w:p>
    <w:p w14:paraId="39240D54" w14:textId="2A800759" w:rsidR="0004363E" w:rsidRPr="00A469EA" w:rsidRDefault="00B0620B"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hAnsiTheme="majorBidi" w:cstheme="majorBidi"/>
          <w:lang w:val="en-GB"/>
        </w:rPr>
      </w:pPr>
      <w:r w:rsidRPr="00A469EA">
        <w:rPr>
          <w:rFonts w:asciiTheme="majorBidi" w:hAnsiTheme="majorBidi" w:cstheme="majorBidi"/>
          <w:lang w:val="en-GB"/>
        </w:rPr>
        <w:t xml:space="preserve">The UNDP approach is to accept informed risks and undertake proactive mitigation, drawing on the findings of the </w:t>
      </w:r>
      <w:r w:rsidR="00E36256" w:rsidRPr="00A469EA">
        <w:rPr>
          <w:rFonts w:asciiTheme="majorBidi" w:hAnsiTheme="majorBidi" w:cstheme="majorBidi"/>
          <w:lang w:val="en-GB"/>
        </w:rPr>
        <w:t>ADR</w:t>
      </w:r>
      <w:r w:rsidR="00A159CE" w:rsidRPr="00A469EA">
        <w:rPr>
          <w:rFonts w:asciiTheme="majorBidi" w:hAnsiTheme="majorBidi" w:cstheme="majorBidi"/>
          <w:lang w:val="en-GB"/>
        </w:rPr>
        <w:t xml:space="preserve"> </w:t>
      </w:r>
      <w:r w:rsidRPr="00A469EA">
        <w:rPr>
          <w:rFonts w:asciiTheme="majorBidi" w:hAnsiTheme="majorBidi" w:cstheme="majorBidi"/>
          <w:lang w:val="en-GB"/>
        </w:rPr>
        <w:t>and lessons from past engagement. O</w:t>
      </w:r>
      <w:r w:rsidR="008943AD" w:rsidRPr="00A469EA">
        <w:rPr>
          <w:rFonts w:asciiTheme="majorBidi" w:hAnsiTheme="majorBidi" w:cstheme="majorBidi"/>
          <w:bCs/>
          <w:lang w:val="en-GB"/>
        </w:rPr>
        <w:t>pportunities to make a difference are enormous</w:t>
      </w:r>
      <w:r w:rsidR="00870731" w:rsidRPr="00A469EA">
        <w:rPr>
          <w:rFonts w:asciiTheme="majorBidi" w:hAnsiTheme="majorBidi" w:cstheme="majorBidi"/>
          <w:bCs/>
          <w:lang w:val="en-GB"/>
        </w:rPr>
        <w:t xml:space="preserve">, </w:t>
      </w:r>
      <w:r w:rsidR="00A9394F" w:rsidRPr="00A469EA">
        <w:rPr>
          <w:rFonts w:asciiTheme="majorBidi" w:hAnsiTheme="majorBidi" w:cstheme="majorBidi"/>
          <w:bCs/>
          <w:lang w:val="en-GB"/>
        </w:rPr>
        <w:t xml:space="preserve">given </w:t>
      </w:r>
      <w:r w:rsidR="00BC0647" w:rsidRPr="00A469EA">
        <w:rPr>
          <w:rFonts w:asciiTheme="majorBidi" w:hAnsiTheme="majorBidi" w:cstheme="majorBidi"/>
          <w:bCs/>
          <w:lang w:val="en-GB"/>
        </w:rPr>
        <w:t>the increase of national</w:t>
      </w:r>
      <w:r w:rsidR="00A9394F" w:rsidRPr="00A469EA">
        <w:rPr>
          <w:rFonts w:asciiTheme="majorBidi" w:hAnsiTheme="majorBidi" w:cstheme="majorBidi"/>
          <w:bCs/>
          <w:lang w:val="en-GB"/>
        </w:rPr>
        <w:t xml:space="preserve"> ownership </w:t>
      </w:r>
      <w:r w:rsidR="00BC0647" w:rsidRPr="00A469EA">
        <w:rPr>
          <w:rFonts w:asciiTheme="majorBidi" w:hAnsiTheme="majorBidi" w:cstheme="majorBidi"/>
          <w:bCs/>
          <w:lang w:val="en-GB"/>
        </w:rPr>
        <w:t>reflected through government cost-sharing</w:t>
      </w:r>
      <w:r w:rsidR="008943AD" w:rsidRPr="00A469EA">
        <w:rPr>
          <w:rFonts w:asciiTheme="majorBidi" w:hAnsiTheme="majorBidi" w:cstheme="majorBidi"/>
          <w:bCs/>
          <w:lang w:val="en-GB"/>
        </w:rPr>
        <w:t>.</w:t>
      </w:r>
      <w:r w:rsidR="008943AD" w:rsidRPr="00A469EA">
        <w:rPr>
          <w:rFonts w:asciiTheme="majorBidi" w:hAnsiTheme="majorBidi" w:cstheme="majorBidi"/>
          <w:b/>
          <w:bCs/>
          <w:i/>
          <w:iCs/>
          <w:lang w:val="en-GB"/>
        </w:rPr>
        <w:t xml:space="preserve"> </w:t>
      </w:r>
      <w:r w:rsidR="008943AD" w:rsidRPr="00A469EA">
        <w:rPr>
          <w:rFonts w:asciiTheme="majorBidi" w:hAnsiTheme="majorBidi" w:cstheme="majorBidi"/>
          <w:lang w:val="en-GB"/>
        </w:rPr>
        <w:t>The</w:t>
      </w:r>
      <w:r w:rsidR="00966142" w:rsidRPr="00A469EA">
        <w:rPr>
          <w:rFonts w:asciiTheme="majorBidi" w:hAnsiTheme="majorBidi" w:cstheme="majorBidi"/>
          <w:lang w:val="en-GB"/>
        </w:rPr>
        <w:t xml:space="preserve"> main</w:t>
      </w:r>
      <w:r w:rsidR="008943AD" w:rsidRPr="00A469EA">
        <w:rPr>
          <w:rFonts w:asciiTheme="majorBidi" w:hAnsiTheme="majorBidi" w:cstheme="majorBidi"/>
          <w:lang w:val="en-GB"/>
        </w:rPr>
        <w:t xml:space="preserve"> risks include</w:t>
      </w:r>
      <w:r w:rsidRPr="00A469EA">
        <w:rPr>
          <w:rFonts w:asciiTheme="majorBidi" w:hAnsiTheme="majorBidi" w:cstheme="majorBidi"/>
          <w:lang w:val="en-GB"/>
        </w:rPr>
        <w:t xml:space="preserve">: </w:t>
      </w:r>
    </w:p>
    <w:p w14:paraId="6420F98A" w14:textId="456722C4" w:rsidR="0004363E" w:rsidRPr="00A469EA" w:rsidRDefault="00BA5E32" w:rsidP="00AF7CCF">
      <w:pPr>
        <w:pStyle w:val="MediumGrid1-Accent21"/>
        <w:widowControl w:val="0"/>
        <w:numPr>
          <w:ilvl w:val="0"/>
          <w:numId w:val="63"/>
        </w:numPr>
        <w:tabs>
          <w:tab w:val="left" w:pos="360"/>
        </w:tabs>
        <w:autoSpaceDE w:val="0"/>
        <w:autoSpaceDN w:val="0"/>
        <w:adjustRightInd w:val="0"/>
        <w:spacing w:after="120"/>
        <w:ind w:left="720" w:right="450"/>
        <w:jc w:val="both"/>
        <w:rPr>
          <w:rFonts w:asciiTheme="majorBidi" w:hAnsiTheme="majorBidi" w:cstheme="majorBidi"/>
          <w:lang w:val="en-GB"/>
        </w:rPr>
      </w:pPr>
      <w:r w:rsidRPr="00A469EA">
        <w:rPr>
          <w:b/>
          <w:lang w:val="en-GB"/>
        </w:rPr>
        <w:t xml:space="preserve">The regional geo-political situation </w:t>
      </w:r>
      <w:r w:rsidRPr="00CF609C">
        <w:rPr>
          <w:lang w:val="en-GB"/>
        </w:rPr>
        <w:t>of</w:t>
      </w:r>
      <w:r w:rsidRPr="000A3A79">
        <w:rPr>
          <w:lang w:val="en-GB"/>
        </w:rPr>
        <w:t xml:space="preserve"> </w:t>
      </w:r>
      <w:r w:rsidRPr="00A469EA">
        <w:rPr>
          <w:lang w:val="en-GB"/>
        </w:rPr>
        <w:t xml:space="preserve">Pakistan and </w:t>
      </w:r>
      <w:r w:rsidR="000A3A79">
        <w:rPr>
          <w:lang w:val="en-GB"/>
        </w:rPr>
        <w:t xml:space="preserve">the </w:t>
      </w:r>
      <w:r w:rsidRPr="00A469EA">
        <w:rPr>
          <w:rFonts w:eastAsia="Cambria"/>
          <w:lang w:val="en-GB"/>
        </w:rPr>
        <w:t xml:space="preserve">political transition </w:t>
      </w:r>
      <w:r w:rsidR="000A3A79">
        <w:rPr>
          <w:rFonts w:eastAsia="Cambria"/>
          <w:lang w:val="en-GB"/>
        </w:rPr>
        <w:t xml:space="preserve">expected with </w:t>
      </w:r>
      <w:r w:rsidRPr="00A469EA">
        <w:rPr>
          <w:rFonts w:eastAsia="Cambria"/>
          <w:lang w:val="en-GB"/>
        </w:rPr>
        <w:t>the 2018 election</w:t>
      </w:r>
      <w:r w:rsidR="000A3A79">
        <w:rPr>
          <w:rFonts w:eastAsia="Cambria"/>
          <w:lang w:val="en-GB"/>
        </w:rPr>
        <w:t>,</w:t>
      </w:r>
      <w:r w:rsidRPr="00A469EA">
        <w:rPr>
          <w:rFonts w:eastAsia="Cambria"/>
          <w:lang w:val="en-GB"/>
        </w:rPr>
        <w:t xml:space="preserve"> </w:t>
      </w:r>
      <w:r w:rsidR="000A3A79">
        <w:rPr>
          <w:rFonts w:eastAsia="Cambria"/>
          <w:lang w:val="en-GB"/>
        </w:rPr>
        <w:t xml:space="preserve">which may </w:t>
      </w:r>
      <w:r w:rsidRPr="00A469EA">
        <w:rPr>
          <w:rFonts w:eastAsia="Cambria"/>
          <w:lang w:val="en-GB"/>
        </w:rPr>
        <w:t>possibly lead to policy shifts affecting the development agenda</w:t>
      </w:r>
      <w:r w:rsidRPr="00A469EA">
        <w:rPr>
          <w:lang w:val="en-GB"/>
        </w:rPr>
        <w:t xml:space="preserve"> and the nature of demand for UNDP support. The country programme is structured to provide maximum flexibility, permitting adjustment</w:t>
      </w:r>
      <w:r w:rsidR="000A3A79">
        <w:rPr>
          <w:lang w:val="en-GB"/>
        </w:rPr>
        <w:t>s</w:t>
      </w:r>
      <w:r w:rsidRPr="00A469EA">
        <w:rPr>
          <w:lang w:val="en-GB"/>
        </w:rPr>
        <w:t xml:space="preserve"> </w:t>
      </w:r>
      <w:r w:rsidR="000A3A79">
        <w:rPr>
          <w:lang w:val="en-GB"/>
        </w:rPr>
        <w:t xml:space="preserve">as </w:t>
      </w:r>
      <w:r w:rsidRPr="00A469EA">
        <w:rPr>
          <w:lang w:val="en-GB"/>
        </w:rPr>
        <w:t>required.</w:t>
      </w:r>
      <w:r w:rsidR="008943AD" w:rsidRPr="00A469EA">
        <w:rPr>
          <w:rFonts w:asciiTheme="majorBidi" w:hAnsiTheme="majorBidi" w:cstheme="majorBidi"/>
          <w:lang w:val="en-GB"/>
        </w:rPr>
        <w:t xml:space="preserve"> </w:t>
      </w:r>
    </w:p>
    <w:p w14:paraId="77035088" w14:textId="1CE0E2EF" w:rsidR="0004363E" w:rsidRPr="00A469EA" w:rsidRDefault="008943AD" w:rsidP="00AF7CCF">
      <w:pPr>
        <w:pStyle w:val="MediumGrid1-Accent21"/>
        <w:widowControl w:val="0"/>
        <w:numPr>
          <w:ilvl w:val="0"/>
          <w:numId w:val="63"/>
        </w:numPr>
        <w:tabs>
          <w:tab w:val="left" w:pos="360"/>
        </w:tabs>
        <w:autoSpaceDE w:val="0"/>
        <w:autoSpaceDN w:val="0"/>
        <w:adjustRightInd w:val="0"/>
        <w:spacing w:after="120"/>
        <w:ind w:left="720" w:right="450"/>
        <w:jc w:val="both"/>
        <w:rPr>
          <w:rFonts w:asciiTheme="majorBidi" w:hAnsiTheme="majorBidi" w:cstheme="majorBidi"/>
          <w:lang w:val="en-GB"/>
        </w:rPr>
      </w:pPr>
      <w:r w:rsidRPr="00A469EA">
        <w:rPr>
          <w:rFonts w:asciiTheme="majorBidi" w:eastAsia="Cambria" w:hAnsiTheme="majorBidi" w:cstheme="majorBidi"/>
          <w:lang w:val="en-GB"/>
        </w:rPr>
        <w:t xml:space="preserve">The </w:t>
      </w:r>
      <w:r w:rsidRPr="00A469EA">
        <w:rPr>
          <w:rFonts w:asciiTheme="majorBidi" w:eastAsia="Cambria" w:hAnsiTheme="majorBidi" w:cstheme="majorBidi"/>
          <w:b/>
          <w:bCs/>
          <w:lang w:val="en-GB"/>
        </w:rPr>
        <w:t xml:space="preserve">risk of insufficient </w:t>
      </w:r>
      <w:r w:rsidR="00A94081" w:rsidRPr="00A469EA">
        <w:rPr>
          <w:rFonts w:asciiTheme="majorBidi" w:eastAsia="Cambria" w:hAnsiTheme="majorBidi" w:cstheme="majorBidi"/>
          <w:b/>
          <w:bCs/>
          <w:lang w:val="en-GB"/>
        </w:rPr>
        <w:t>funding</w:t>
      </w:r>
      <w:r w:rsidR="00FC38B2" w:rsidRPr="00A469EA">
        <w:rPr>
          <w:rFonts w:asciiTheme="majorBidi" w:eastAsia="Cambria" w:hAnsiTheme="majorBidi" w:cstheme="majorBidi"/>
          <w:bCs/>
          <w:lang w:val="en-GB"/>
        </w:rPr>
        <w:t xml:space="preserve">, which demands </w:t>
      </w:r>
      <w:r w:rsidRPr="00A469EA">
        <w:rPr>
          <w:rFonts w:asciiTheme="majorBidi" w:eastAsia="Cambria" w:hAnsiTheme="majorBidi" w:cstheme="majorBidi"/>
          <w:lang w:val="en-GB"/>
        </w:rPr>
        <w:t xml:space="preserve">greater national responsibility for financing development using domestic resources. UNDP will scale </w:t>
      </w:r>
      <w:r w:rsidR="00FC38B2" w:rsidRPr="00A469EA">
        <w:rPr>
          <w:rFonts w:asciiTheme="majorBidi" w:eastAsia="Cambria" w:hAnsiTheme="majorBidi" w:cstheme="majorBidi"/>
          <w:lang w:val="en-GB"/>
        </w:rPr>
        <w:t xml:space="preserve">up </w:t>
      </w:r>
      <w:r w:rsidRPr="00A469EA">
        <w:rPr>
          <w:rFonts w:asciiTheme="majorBidi" w:eastAsia="Cambria" w:hAnsiTheme="majorBidi" w:cstheme="majorBidi"/>
          <w:lang w:val="en-GB"/>
        </w:rPr>
        <w:t xml:space="preserve">its partnerships for </w:t>
      </w:r>
      <w:r w:rsidR="00FC38B2" w:rsidRPr="00A469EA">
        <w:rPr>
          <w:rFonts w:asciiTheme="majorBidi" w:eastAsia="Cambria" w:hAnsiTheme="majorBidi" w:cstheme="majorBidi"/>
          <w:lang w:val="en-GB"/>
        </w:rPr>
        <w:t>g</w:t>
      </w:r>
      <w:r w:rsidRPr="00A469EA">
        <w:rPr>
          <w:rFonts w:asciiTheme="majorBidi" w:eastAsia="Cambria" w:hAnsiTheme="majorBidi" w:cstheme="majorBidi"/>
          <w:lang w:val="en-GB"/>
        </w:rPr>
        <w:t>overnment financing</w:t>
      </w:r>
      <w:r w:rsidR="00FC38B2" w:rsidRPr="00A469EA">
        <w:rPr>
          <w:rFonts w:asciiTheme="majorBidi" w:eastAsia="Cambria" w:hAnsiTheme="majorBidi" w:cstheme="majorBidi"/>
          <w:lang w:val="en-GB"/>
        </w:rPr>
        <w:t xml:space="preserve"> and with </w:t>
      </w:r>
      <w:r w:rsidRPr="00A469EA">
        <w:rPr>
          <w:rFonts w:asciiTheme="majorBidi" w:eastAsia="Cambria" w:hAnsiTheme="majorBidi" w:cstheme="majorBidi"/>
          <w:lang w:val="en-GB"/>
        </w:rPr>
        <w:t xml:space="preserve">private sector and international financial institutions </w:t>
      </w:r>
      <w:r w:rsidR="00ED644C" w:rsidRPr="00A469EA">
        <w:rPr>
          <w:rFonts w:asciiTheme="majorBidi" w:eastAsia="Cambria" w:hAnsiTheme="majorBidi" w:cstheme="majorBidi"/>
          <w:lang w:val="en-GB"/>
        </w:rPr>
        <w:t>to</w:t>
      </w:r>
      <w:r w:rsidRPr="00A469EA">
        <w:rPr>
          <w:rFonts w:asciiTheme="majorBidi" w:eastAsia="Cambria" w:hAnsiTheme="majorBidi" w:cstheme="majorBidi"/>
          <w:lang w:val="en-GB"/>
        </w:rPr>
        <w:t xml:space="preserve"> mobilize non-core funding and invest UNDP regular resources in innovative solutions.</w:t>
      </w:r>
    </w:p>
    <w:p w14:paraId="38D9A6B1" w14:textId="16DAEAFC" w:rsidR="0004363E" w:rsidRPr="00A469EA" w:rsidRDefault="00FC38B2" w:rsidP="00AF7CCF">
      <w:pPr>
        <w:pStyle w:val="MediumGrid1-Accent21"/>
        <w:widowControl w:val="0"/>
        <w:numPr>
          <w:ilvl w:val="0"/>
          <w:numId w:val="63"/>
        </w:numPr>
        <w:tabs>
          <w:tab w:val="left" w:pos="360"/>
        </w:tabs>
        <w:autoSpaceDE w:val="0"/>
        <w:autoSpaceDN w:val="0"/>
        <w:adjustRightInd w:val="0"/>
        <w:spacing w:after="120"/>
        <w:ind w:left="720" w:right="450"/>
        <w:jc w:val="both"/>
        <w:rPr>
          <w:rFonts w:asciiTheme="majorBidi" w:hAnsiTheme="majorBidi" w:cstheme="majorBidi"/>
          <w:lang w:val="en-GB"/>
        </w:rPr>
      </w:pPr>
      <w:r w:rsidRPr="00A469EA">
        <w:rPr>
          <w:rFonts w:asciiTheme="majorBidi" w:hAnsiTheme="majorBidi" w:cstheme="majorBidi"/>
          <w:b/>
          <w:bCs/>
          <w:lang w:val="en-GB"/>
        </w:rPr>
        <w:t>The length of time k</w:t>
      </w:r>
      <w:r w:rsidR="008943AD" w:rsidRPr="00A469EA">
        <w:rPr>
          <w:rFonts w:asciiTheme="majorBidi" w:hAnsiTheme="majorBidi" w:cstheme="majorBidi"/>
          <w:b/>
          <w:bCs/>
          <w:lang w:val="en-GB"/>
        </w:rPr>
        <w:t xml:space="preserve">ey strategic engagements </w:t>
      </w:r>
      <w:r w:rsidRPr="00A469EA">
        <w:rPr>
          <w:rFonts w:asciiTheme="majorBidi" w:hAnsiTheme="majorBidi" w:cstheme="majorBidi"/>
          <w:b/>
          <w:bCs/>
          <w:lang w:val="en-GB"/>
        </w:rPr>
        <w:t>require</w:t>
      </w:r>
      <w:r w:rsidR="008943AD" w:rsidRPr="00A469EA">
        <w:rPr>
          <w:rFonts w:asciiTheme="majorBidi" w:hAnsiTheme="majorBidi" w:cstheme="majorBidi"/>
          <w:i/>
          <w:iCs/>
          <w:lang w:val="en-GB"/>
        </w:rPr>
        <w:t xml:space="preserve">. </w:t>
      </w:r>
      <w:r w:rsidRPr="00A469EA">
        <w:rPr>
          <w:rFonts w:asciiTheme="majorBidi" w:hAnsiTheme="majorBidi" w:cstheme="majorBidi"/>
          <w:lang w:val="en-GB"/>
        </w:rPr>
        <w:t>S</w:t>
      </w:r>
      <w:r w:rsidR="008943AD" w:rsidRPr="00A469EA">
        <w:rPr>
          <w:rFonts w:asciiTheme="majorBidi" w:hAnsiTheme="majorBidi" w:cstheme="majorBidi"/>
          <w:lang w:val="en-GB"/>
        </w:rPr>
        <w:t xml:space="preserve">uccess </w:t>
      </w:r>
      <w:r w:rsidRPr="00A469EA">
        <w:rPr>
          <w:rFonts w:asciiTheme="majorBidi" w:hAnsiTheme="majorBidi" w:cstheme="majorBidi"/>
          <w:lang w:val="en-GB"/>
        </w:rPr>
        <w:t xml:space="preserve">depends </w:t>
      </w:r>
      <w:r w:rsidR="00BA5E32" w:rsidRPr="00A469EA">
        <w:rPr>
          <w:rFonts w:asciiTheme="majorBidi" w:hAnsiTheme="majorBidi" w:cstheme="majorBidi"/>
          <w:lang w:val="en-GB"/>
        </w:rPr>
        <w:t xml:space="preserve">on </w:t>
      </w:r>
      <w:r w:rsidR="008943AD" w:rsidRPr="00A469EA">
        <w:rPr>
          <w:rFonts w:asciiTheme="majorBidi" w:hAnsiTheme="majorBidi" w:cstheme="majorBidi"/>
          <w:lang w:val="en-GB"/>
        </w:rPr>
        <w:t>strong field presence with co-location, regular communication at all levels, and use of national and international experts and networks to leverage policy dialogue. For many years</w:t>
      </w:r>
      <w:r w:rsidRPr="00A469EA">
        <w:rPr>
          <w:rFonts w:asciiTheme="majorBidi" w:hAnsiTheme="majorBidi" w:cstheme="majorBidi"/>
          <w:lang w:val="en-GB"/>
        </w:rPr>
        <w:t>,</w:t>
      </w:r>
      <w:r w:rsidR="008943AD" w:rsidRPr="00A469EA">
        <w:rPr>
          <w:rFonts w:asciiTheme="majorBidi" w:hAnsiTheme="majorBidi" w:cstheme="majorBidi"/>
          <w:lang w:val="en-GB"/>
        </w:rPr>
        <w:t xml:space="preserve"> FATA</w:t>
      </w:r>
      <w:r w:rsidRPr="00A469EA">
        <w:rPr>
          <w:rFonts w:asciiTheme="majorBidi" w:hAnsiTheme="majorBidi" w:cstheme="majorBidi"/>
          <w:lang w:val="en-GB"/>
        </w:rPr>
        <w:t xml:space="preserve"> </w:t>
      </w:r>
      <w:r w:rsidR="008943AD" w:rsidRPr="00A469EA">
        <w:rPr>
          <w:rFonts w:asciiTheme="majorBidi" w:hAnsiTheme="majorBidi" w:cstheme="majorBidi"/>
          <w:lang w:val="en-GB"/>
        </w:rPr>
        <w:t>reforms</w:t>
      </w:r>
      <w:r w:rsidRPr="00A469EA">
        <w:rPr>
          <w:rFonts w:asciiTheme="majorBidi" w:hAnsiTheme="majorBidi" w:cstheme="majorBidi"/>
          <w:lang w:val="en-GB"/>
        </w:rPr>
        <w:t>,</w:t>
      </w:r>
      <w:r w:rsidR="008943AD" w:rsidRPr="00A469EA">
        <w:rPr>
          <w:rFonts w:asciiTheme="majorBidi" w:hAnsiTheme="majorBidi" w:cstheme="majorBidi"/>
          <w:lang w:val="en-GB"/>
        </w:rPr>
        <w:t xml:space="preserve"> for example</w:t>
      </w:r>
      <w:r w:rsidRPr="00A469EA">
        <w:rPr>
          <w:rFonts w:asciiTheme="majorBidi" w:hAnsiTheme="majorBidi" w:cstheme="majorBidi"/>
          <w:lang w:val="en-GB"/>
        </w:rPr>
        <w:t>,</w:t>
      </w:r>
      <w:r w:rsidR="008943AD" w:rsidRPr="00A469EA">
        <w:rPr>
          <w:rFonts w:asciiTheme="majorBidi" w:hAnsiTheme="majorBidi" w:cstheme="majorBidi"/>
          <w:lang w:val="en-GB"/>
        </w:rPr>
        <w:t xml:space="preserve"> made little or uneven progress. </w:t>
      </w:r>
      <w:r w:rsidR="00BA5E32" w:rsidRPr="00A469EA">
        <w:rPr>
          <w:rFonts w:asciiTheme="majorBidi" w:hAnsiTheme="majorBidi" w:cstheme="majorBidi"/>
          <w:lang w:val="en-GB"/>
        </w:rPr>
        <w:t>Through</w:t>
      </w:r>
      <w:r w:rsidR="008943AD" w:rsidRPr="00A469EA">
        <w:rPr>
          <w:rFonts w:asciiTheme="majorBidi" w:hAnsiTheme="majorBidi" w:cstheme="majorBidi"/>
          <w:lang w:val="en-GB"/>
        </w:rPr>
        <w:t xml:space="preserve"> UNDP </w:t>
      </w:r>
      <w:r w:rsidR="00BA5E32" w:rsidRPr="00A469EA">
        <w:rPr>
          <w:rFonts w:asciiTheme="majorBidi" w:hAnsiTheme="majorBidi" w:cstheme="majorBidi"/>
          <w:lang w:val="en-GB"/>
        </w:rPr>
        <w:t xml:space="preserve">support, the Government </w:t>
      </w:r>
      <w:r w:rsidR="00554251" w:rsidRPr="00A469EA">
        <w:rPr>
          <w:rFonts w:asciiTheme="majorBidi" w:hAnsiTheme="majorBidi" w:cstheme="majorBidi"/>
          <w:lang w:val="en-GB"/>
        </w:rPr>
        <w:t xml:space="preserve">has </w:t>
      </w:r>
      <w:r w:rsidR="008943AD" w:rsidRPr="00A469EA">
        <w:rPr>
          <w:rFonts w:asciiTheme="majorBidi" w:hAnsiTheme="majorBidi" w:cstheme="majorBidi"/>
          <w:lang w:val="en-GB"/>
        </w:rPr>
        <w:t>laid the foundation for more recent, productive engagements</w:t>
      </w:r>
      <w:r w:rsidR="00554251" w:rsidRPr="00A469EA">
        <w:rPr>
          <w:rFonts w:asciiTheme="majorBidi" w:hAnsiTheme="majorBidi" w:cstheme="majorBidi"/>
          <w:lang w:val="en-GB"/>
        </w:rPr>
        <w:t xml:space="preserve"> </w:t>
      </w:r>
      <w:r w:rsidR="007A60C5" w:rsidRPr="00A469EA">
        <w:rPr>
          <w:rFonts w:asciiTheme="majorBidi" w:hAnsiTheme="majorBidi" w:cstheme="majorBidi"/>
          <w:lang w:val="en-GB"/>
        </w:rPr>
        <w:t xml:space="preserve">in </w:t>
      </w:r>
      <w:r w:rsidR="00BA5E32" w:rsidRPr="00A469EA">
        <w:rPr>
          <w:rFonts w:asciiTheme="majorBidi" w:hAnsiTheme="majorBidi" w:cstheme="majorBidi"/>
          <w:lang w:val="en-GB"/>
        </w:rPr>
        <w:t xml:space="preserve">FATA </w:t>
      </w:r>
      <w:r w:rsidR="007A60C5" w:rsidRPr="00A469EA">
        <w:rPr>
          <w:rFonts w:asciiTheme="majorBidi" w:hAnsiTheme="majorBidi" w:cstheme="majorBidi"/>
          <w:lang w:val="en-GB"/>
        </w:rPr>
        <w:t>governance reform</w:t>
      </w:r>
      <w:r w:rsidR="00BA5E32" w:rsidRPr="00A469EA">
        <w:rPr>
          <w:rFonts w:asciiTheme="majorBidi" w:hAnsiTheme="majorBidi" w:cstheme="majorBidi"/>
          <w:lang w:val="en-GB"/>
        </w:rPr>
        <w:t>s</w:t>
      </w:r>
      <w:r w:rsidR="007A60C5" w:rsidRPr="00A469EA">
        <w:rPr>
          <w:rFonts w:asciiTheme="majorBidi" w:hAnsiTheme="majorBidi" w:cstheme="majorBidi"/>
          <w:lang w:val="en-GB"/>
        </w:rPr>
        <w:t xml:space="preserve"> </w:t>
      </w:r>
      <w:r w:rsidR="00554251" w:rsidRPr="00A469EA">
        <w:rPr>
          <w:rFonts w:asciiTheme="majorBidi" w:hAnsiTheme="majorBidi" w:cstheme="majorBidi"/>
          <w:lang w:val="en-GB"/>
        </w:rPr>
        <w:t>that ha</w:t>
      </w:r>
      <w:r w:rsidR="009F7E66" w:rsidRPr="00A469EA">
        <w:rPr>
          <w:rFonts w:asciiTheme="majorBidi" w:hAnsiTheme="majorBidi" w:cstheme="majorBidi"/>
          <w:lang w:val="en-GB"/>
        </w:rPr>
        <w:t>ve</w:t>
      </w:r>
      <w:r w:rsidR="00554251" w:rsidRPr="00A469EA">
        <w:rPr>
          <w:rFonts w:asciiTheme="majorBidi" w:hAnsiTheme="majorBidi" w:cstheme="majorBidi"/>
          <w:lang w:val="en-GB"/>
        </w:rPr>
        <w:t xml:space="preserve"> begun to tackle </w:t>
      </w:r>
      <w:r w:rsidR="008943AD" w:rsidRPr="00A469EA">
        <w:rPr>
          <w:rFonts w:asciiTheme="majorBidi" w:hAnsiTheme="majorBidi" w:cstheme="majorBidi"/>
          <w:lang w:val="en-GB"/>
        </w:rPr>
        <w:t xml:space="preserve">long-term </w:t>
      </w:r>
      <w:r w:rsidR="00554251" w:rsidRPr="00A469EA">
        <w:rPr>
          <w:rFonts w:asciiTheme="majorBidi" w:hAnsiTheme="majorBidi" w:cstheme="majorBidi"/>
          <w:lang w:val="en-GB"/>
        </w:rPr>
        <w:t xml:space="preserve">issues </w:t>
      </w:r>
      <w:r w:rsidR="008943AD" w:rsidRPr="00A469EA">
        <w:rPr>
          <w:rFonts w:asciiTheme="majorBidi" w:hAnsiTheme="majorBidi" w:cstheme="majorBidi"/>
          <w:lang w:val="en-GB"/>
        </w:rPr>
        <w:t xml:space="preserve">deeply </w:t>
      </w:r>
      <w:r w:rsidR="00554251" w:rsidRPr="00A469EA">
        <w:rPr>
          <w:rFonts w:asciiTheme="majorBidi" w:hAnsiTheme="majorBidi" w:cstheme="majorBidi"/>
          <w:lang w:val="en-GB"/>
        </w:rPr>
        <w:t xml:space="preserve">ingrained within </w:t>
      </w:r>
      <w:r w:rsidR="00C42393" w:rsidRPr="00A469EA">
        <w:rPr>
          <w:rFonts w:asciiTheme="majorBidi" w:hAnsiTheme="majorBidi" w:cstheme="majorBidi"/>
          <w:lang w:val="en-GB"/>
        </w:rPr>
        <w:t>institutions</w:t>
      </w:r>
      <w:r w:rsidR="00554251" w:rsidRPr="00A469EA">
        <w:rPr>
          <w:rFonts w:asciiTheme="majorBidi" w:hAnsiTheme="majorBidi" w:cstheme="majorBidi"/>
          <w:lang w:val="en-GB"/>
        </w:rPr>
        <w:t xml:space="preserve"> </w:t>
      </w:r>
      <w:r w:rsidR="007A60C5" w:rsidRPr="00A469EA">
        <w:rPr>
          <w:rFonts w:asciiTheme="majorBidi" w:hAnsiTheme="majorBidi" w:cstheme="majorBidi"/>
          <w:lang w:val="en-GB"/>
        </w:rPr>
        <w:t xml:space="preserve">of </w:t>
      </w:r>
      <w:r w:rsidR="00554251" w:rsidRPr="00A469EA">
        <w:rPr>
          <w:rFonts w:asciiTheme="majorBidi" w:hAnsiTheme="majorBidi" w:cstheme="majorBidi"/>
          <w:lang w:val="en-GB"/>
        </w:rPr>
        <w:t xml:space="preserve">the </w:t>
      </w:r>
      <w:r w:rsidR="008943AD" w:rsidRPr="00A469EA">
        <w:rPr>
          <w:rFonts w:asciiTheme="majorBidi" w:hAnsiTheme="majorBidi" w:cstheme="majorBidi"/>
          <w:lang w:val="en-GB"/>
        </w:rPr>
        <w:t>political</w:t>
      </w:r>
      <w:r w:rsidR="000A3A79">
        <w:rPr>
          <w:rFonts w:asciiTheme="majorBidi" w:hAnsiTheme="majorBidi" w:cstheme="majorBidi"/>
          <w:lang w:val="en-GB"/>
        </w:rPr>
        <w:t xml:space="preserve"> </w:t>
      </w:r>
      <w:r w:rsidR="008943AD" w:rsidRPr="00A469EA">
        <w:rPr>
          <w:rFonts w:asciiTheme="majorBidi" w:hAnsiTheme="majorBidi" w:cstheme="majorBidi"/>
          <w:lang w:val="en-GB"/>
        </w:rPr>
        <w:t>economy</w:t>
      </w:r>
      <w:r w:rsidR="007A60C5" w:rsidRPr="00A469EA">
        <w:rPr>
          <w:rFonts w:asciiTheme="majorBidi" w:hAnsiTheme="majorBidi" w:cstheme="majorBidi"/>
          <w:lang w:val="en-GB"/>
        </w:rPr>
        <w:t xml:space="preserve">. </w:t>
      </w:r>
    </w:p>
    <w:p w14:paraId="540ACC80" w14:textId="22CF486A" w:rsidR="0004363E" w:rsidRPr="00A469EA" w:rsidRDefault="00BA5E32" w:rsidP="00AF7CCF">
      <w:pPr>
        <w:pStyle w:val="MediumGrid1-Accent21"/>
        <w:widowControl w:val="0"/>
        <w:numPr>
          <w:ilvl w:val="0"/>
          <w:numId w:val="63"/>
        </w:numPr>
        <w:tabs>
          <w:tab w:val="left" w:pos="360"/>
        </w:tabs>
        <w:autoSpaceDE w:val="0"/>
        <w:autoSpaceDN w:val="0"/>
        <w:adjustRightInd w:val="0"/>
        <w:spacing w:after="120"/>
        <w:ind w:left="720" w:right="450"/>
        <w:jc w:val="both"/>
        <w:rPr>
          <w:rFonts w:asciiTheme="majorBidi" w:hAnsiTheme="majorBidi" w:cstheme="majorBidi"/>
          <w:lang w:val="en-GB"/>
        </w:rPr>
      </w:pPr>
      <w:r w:rsidRPr="00A469EA">
        <w:rPr>
          <w:rFonts w:asciiTheme="majorBidi" w:eastAsia="Cambria" w:hAnsiTheme="majorBidi" w:cstheme="majorBidi"/>
          <w:b/>
          <w:bCs/>
          <w:lang w:val="en-GB"/>
        </w:rPr>
        <w:t>V</w:t>
      </w:r>
      <w:r w:rsidR="008943AD" w:rsidRPr="00A469EA">
        <w:rPr>
          <w:rFonts w:asciiTheme="majorBidi" w:eastAsia="Cambria" w:hAnsiTheme="majorBidi" w:cstheme="majorBidi"/>
          <w:b/>
          <w:bCs/>
          <w:lang w:val="en-GB"/>
        </w:rPr>
        <w:t>ulnerability to disasters and climate hazards</w:t>
      </w:r>
      <w:r w:rsidR="008F6555" w:rsidRPr="00A469EA">
        <w:rPr>
          <w:rFonts w:asciiTheme="majorBidi" w:eastAsia="Cambria" w:hAnsiTheme="majorBidi" w:cstheme="majorBidi"/>
          <w:lang w:val="en-GB"/>
        </w:rPr>
        <w:t xml:space="preserve">, which UNDP </w:t>
      </w:r>
      <w:r w:rsidR="008943AD" w:rsidRPr="00A469EA">
        <w:rPr>
          <w:rFonts w:asciiTheme="majorBidi" w:eastAsia="Cambria" w:hAnsiTheme="majorBidi" w:cstheme="majorBidi"/>
          <w:lang w:val="en-GB"/>
        </w:rPr>
        <w:t>will address through early warning and risk management arrangements. Additionally, strengthen</w:t>
      </w:r>
      <w:r w:rsidR="008F6555" w:rsidRPr="00A469EA">
        <w:rPr>
          <w:rFonts w:asciiTheme="majorBidi" w:eastAsia="Cambria" w:hAnsiTheme="majorBidi" w:cstheme="majorBidi"/>
          <w:lang w:val="en-GB"/>
        </w:rPr>
        <w:t>ed</w:t>
      </w:r>
      <w:r w:rsidR="008943AD" w:rsidRPr="00A469EA">
        <w:rPr>
          <w:rFonts w:asciiTheme="majorBidi" w:eastAsia="Cambria" w:hAnsiTheme="majorBidi" w:cstheme="majorBidi"/>
          <w:lang w:val="en-GB"/>
        </w:rPr>
        <w:t xml:space="preserve"> policy frameworks and institutional capacities will enhance </w:t>
      </w:r>
      <w:r w:rsidR="008F6555" w:rsidRPr="00A469EA">
        <w:rPr>
          <w:rFonts w:asciiTheme="majorBidi" w:eastAsia="Cambria" w:hAnsiTheme="majorBidi" w:cstheme="majorBidi"/>
          <w:lang w:val="en-GB"/>
        </w:rPr>
        <w:t xml:space="preserve">the </w:t>
      </w:r>
      <w:r w:rsidR="008943AD" w:rsidRPr="00A469EA">
        <w:rPr>
          <w:rFonts w:asciiTheme="majorBidi" w:eastAsia="Cambria" w:hAnsiTheme="majorBidi" w:cstheme="majorBidi"/>
          <w:lang w:val="en-GB"/>
        </w:rPr>
        <w:t>Government</w:t>
      </w:r>
      <w:r w:rsidR="008F6555" w:rsidRPr="00A469EA">
        <w:rPr>
          <w:rFonts w:asciiTheme="majorBidi" w:eastAsia="Cambria" w:hAnsiTheme="majorBidi" w:cstheme="majorBidi"/>
          <w:lang w:val="en-GB"/>
        </w:rPr>
        <w:t>’s</w:t>
      </w:r>
      <w:r w:rsidR="008943AD" w:rsidRPr="00A469EA">
        <w:rPr>
          <w:rFonts w:asciiTheme="majorBidi" w:eastAsia="Cambria" w:hAnsiTheme="majorBidi" w:cstheme="majorBidi"/>
          <w:lang w:val="en-GB"/>
        </w:rPr>
        <w:t xml:space="preserve"> willingness to focus on climate change mitigation and adaptation measures. </w:t>
      </w:r>
    </w:p>
    <w:p w14:paraId="280FDFE7" w14:textId="12E11B7C" w:rsidR="008943AD" w:rsidRPr="00A469EA" w:rsidRDefault="008943AD" w:rsidP="002E13C0">
      <w:pPr>
        <w:pStyle w:val="MediumGrid1-Accent21"/>
        <w:widowControl w:val="0"/>
        <w:numPr>
          <w:ilvl w:val="0"/>
          <w:numId w:val="39"/>
        </w:numPr>
        <w:tabs>
          <w:tab w:val="left" w:pos="360"/>
        </w:tabs>
        <w:autoSpaceDE w:val="0"/>
        <w:autoSpaceDN w:val="0"/>
        <w:adjustRightInd w:val="0"/>
        <w:ind w:left="0" w:right="450" w:firstLine="0"/>
        <w:jc w:val="both"/>
        <w:rPr>
          <w:rFonts w:asciiTheme="majorBidi" w:hAnsiTheme="majorBidi" w:cstheme="majorBidi"/>
          <w:lang w:val="en-GB"/>
        </w:rPr>
      </w:pPr>
      <w:r w:rsidRPr="00A469EA">
        <w:rPr>
          <w:rFonts w:asciiTheme="majorBidi" w:hAnsiTheme="majorBidi" w:cstheme="majorBidi"/>
          <w:lang w:val="en-GB"/>
        </w:rPr>
        <w:t xml:space="preserve">The </w:t>
      </w:r>
      <w:r w:rsidR="008F6555" w:rsidRPr="00A469EA">
        <w:rPr>
          <w:rFonts w:asciiTheme="majorBidi" w:hAnsiTheme="majorBidi" w:cstheme="majorBidi"/>
          <w:lang w:val="en-GB"/>
        </w:rPr>
        <w:t xml:space="preserve">country programme </w:t>
      </w:r>
      <w:r w:rsidRPr="00A469EA">
        <w:rPr>
          <w:rFonts w:asciiTheme="majorBidi" w:hAnsiTheme="majorBidi" w:cstheme="majorBidi"/>
          <w:lang w:val="en-GB"/>
        </w:rPr>
        <w:t xml:space="preserve">envisages an indicative </w:t>
      </w:r>
      <w:r w:rsidRPr="00A469EA">
        <w:rPr>
          <w:rFonts w:asciiTheme="majorBidi" w:hAnsiTheme="majorBidi" w:cstheme="majorBidi"/>
          <w:bCs/>
          <w:color w:val="000000" w:themeColor="text1"/>
          <w:lang w:val="en-GB"/>
        </w:rPr>
        <w:t>financing envelope</w:t>
      </w:r>
      <w:r w:rsidRPr="00A469EA">
        <w:rPr>
          <w:rFonts w:asciiTheme="majorBidi" w:hAnsiTheme="majorBidi" w:cstheme="majorBidi"/>
          <w:color w:val="5B9BD5" w:themeColor="accent1"/>
          <w:lang w:val="en-GB"/>
        </w:rPr>
        <w:t xml:space="preserve"> </w:t>
      </w:r>
      <w:r w:rsidRPr="00A469EA">
        <w:rPr>
          <w:rFonts w:asciiTheme="majorBidi" w:hAnsiTheme="majorBidi" w:cstheme="majorBidi"/>
          <w:lang w:val="en-GB"/>
        </w:rPr>
        <w:t>of about</w:t>
      </w:r>
      <w:r w:rsidRPr="00A469EA">
        <w:rPr>
          <w:rFonts w:asciiTheme="majorBidi" w:hAnsiTheme="majorBidi" w:cstheme="majorBidi"/>
          <w:b/>
          <w:bCs/>
          <w:i/>
          <w:iCs/>
          <w:lang w:val="en-GB"/>
        </w:rPr>
        <w:t xml:space="preserve"> </w:t>
      </w:r>
      <w:r w:rsidR="008F6555" w:rsidRPr="00A469EA">
        <w:rPr>
          <w:rFonts w:asciiTheme="majorBidi" w:hAnsiTheme="majorBidi" w:cstheme="majorBidi"/>
          <w:bCs/>
          <w:iCs/>
          <w:lang w:val="en-GB"/>
        </w:rPr>
        <w:t>$</w:t>
      </w:r>
      <w:r w:rsidRPr="00A469EA">
        <w:rPr>
          <w:rFonts w:asciiTheme="majorBidi" w:hAnsiTheme="majorBidi" w:cstheme="majorBidi"/>
          <w:lang w:val="en-GB"/>
        </w:rPr>
        <w:t>25</w:t>
      </w:r>
      <w:r w:rsidR="0041368B" w:rsidRPr="00A469EA">
        <w:rPr>
          <w:rFonts w:asciiTheme="majorBidi" w:hAnsiTheme="majorBidi" w:cstheme="majorBidi"/>
          <w:lang w:val="en-GB"/>
        </w:rPr>
        <w:t>2</w:t>
      </w:r>
      <w:r w:rsidRPr="00A469EA">
        <w:rPr>
          <w:rFonts w:asciiTheme="majorBidi" w:hAnsiTheme="majorBidi" w:cstheme="majorBidi"/>
          <w:lang w:val="en-GB"/>
        </w:rPr>
        <w:t xml:space="preserve"> million over </w:t>
      </w:r>
      <w:r w:rsidR="00FE1FE0" w:rsidRPr="00A469EA">
        <w:rPr>
          <w:rFonts w:asciiTheme="majorBidi" w:hAnsiTheme="majorBidi" w:cstheme="majorBidi"/>
          <w:lang w:val="en-GB"/>
        </w:rPr>
        <w:t>the programme</w:t>
      </w:r>
      <w:r w:rsidR="008F6555" w:rsidRPr="00A469EA">
        <w:rPr>
          <w:rFonts w:asciiTheme="majorBidi" w:hAnsiTheme="majorBidi" w:cstheme="majorBidi"/>
          <w:lang w:val="en-GB"/>
        </w:rPr>
        <w:t xml:space="preserve"> </w:t>
      </w:r>
      <w:r w:rsidRPr="00A469EA">
        <w:rPr>
          <w:rFonts w:asciiTheme="majorBidi" w:hAnsiTheme="majorBidi" w:cstheme="majorBidi"/>
          <w:lang w:val="en-GB"/>
        </w:rPr>
        <w:t>period</w:t>
      </w:r>
      <w:r w:rsidR="008F6555" w:rsidRPr="00A469EA">
        <w:rPr>
          <w:rFonts w:asciiTheme="majorBidi" w:hAnsiTheme="majorBidi" w:cstheme="majorBidi"/>
          <w:lang w:val="en-GB"/>
        </w:rPr>
        <w:t>,</w:t>
      </w:r>
      <w:r w:rsidRPr="00A469EA">
        <w:rPr>
          <w:rFonts w:asciiTheme="majorBidi" w:hAnsiTheme="majorBidi" w:cstheme="majorBidi"/>
          <w:lang w:val="en-GB"/>
        </w:rPr>
        <w:t xml:space="preserve"> of which </w:t>
      </w:r>
      <w:r w:rsidR="0041368B" w:rsidRPr="00A469EA">
        <w:rPr>
          <w:rFonts w:asciiTheme="majorBidi" w:hAnsiTheme="majorBidi" w:cstheme="majorBidi"/>
          <w:lang w:val="en-GB"/>
        </w:rPr>
        <w:t xml:space="preserve">about </w:t>
      </w:r>
      <w:r w:rsidR="00FB3B2B" w:rsidRPr="00A469EA">
        <w:rPr>
          <w:rFonts w:asciiTheme="majorBidi" w:hAnsiTheme="majorBidi" w:cstheme="majorBidi"/>
          <w:lang w:val="en-GB"/>
        </w:rPr>
        <w:t>$</w:t>
      </w:r>
      <w:r w:rsidR="0041368B" w:rsidRPr="00A469EA">
        <w:rPr>
          <w:rFonts w:asciiTheme="majorBidi" w:hAnsiTheme="majorBidi" w:cstheme="majorBidi"/>
          <w:lang w:val="en-GB"/>
        </w:rPr>
        <w:t>17.4</w:t>
      </w:r>
      <w:r w:rsidRPr="00A469EA">
        <w:rPr>
          <w:rFonts w:asciiTheme="majorBidi" w:hAnsiTheme="majorBidi" w:cstheme="majorBidi"/>
          <w:lang w:val="en-GB"/>
        </w:rPr>
        <w:t xml:space="preserve"> million will come from regular resources</w:t>
      </w:r>
      <w:r w:rsidR="000A3A79">
        <w:rPr>
          <w:rFonts w:asciiTheme="majorBidi" w:hAnsiTheme="majorBidi" w:cstheme="majorBidi"/>
          <w:lang w:val="en-GB"/>
        </w:rPr>
        <w:t xml:space="preserve"> and </w:t>
      </w:r>
      <w:r w:rsidR="008F6555" w:rsidRPr="00A469EA">
        <w:rPr>
          <w:rFonts w:asciiTheme="majorBidi" w:hAnsiTheme="majorBidi" w:cstheme="majorBidi"/>
          <w:lang w:val="en-GB"/>
        </w:rPr>
        <w:t>$</w:t>
      </w:r>
      <w:r w:rsidR="00BA5E32" w:rsidRPr="00A469EA">
        <w:rPr>
          <w:rFonts w:asciiTheme="majorBidi" w:hAnsiTheme="majorBidi" w:cstheme="majorBidi"/>
          <w:lang w:val="en-GB"/>
        </w:rPr>
        <w:t>23</w:t>
      </w:r>
      <w:r w:rsidRPr="00A469EA">
        <w:rPr>
          <w:rFonts w:asciiTheme="majorBidi" w:hAnsiTheme="majorBidi" w:cstheme="majorBidi"/>
          <w:lang w:val="en-GB"/>
        </w:rPr>
        <w:t xml:space="preserve">5 million </w:t>
      </w:r>
      <w:r w:rsidR="000A3A79">
        <w:rPr>
          <w:rFonts w:asciiTheme="majorBidi" w:hAnsiTheme="majorBidi" w:cstheme="majorBidi"/>
          <w:lang w:val="en-GB"/>
        </w:rPr>
        <w:t xml:space="preserve">from </w:t>
      </w:r>
      <w:r w:rsidR="00BA5E32" w:rsidRPr="00A469EA">
        <w:rPr>
          <w:rFonts w:asciiTheme="majorBidi" w:hAnsiTheme="majorBidi" w:cstheme="majorBidi"/>
          <w:lang w:val="en-GB"/>
        </w:rPr>
        <w:t>other resources</w:t>
      </w:r>
      <w:r w:rsidR="000A3A79">
        <w:rPr>
          <w:rFonts w:asciiTheme="majorBidi" w:hAnsiTheme="majorBidi" w:cstheme="majorBidi"/>
          <w:lang w:val="en-GB"/>
        </w:rPr>
        <w:t>,</w:t>
      </w:r>
      <w:r w:rsidR="00B9153D" w:rsidRPr="00A469EA">
        <w:rPr>
          <w:rFonts w:asciiTheme="majorBidi" w:hAnsiTheme="majorBidi" w:cstheme="majorBidi"/>
          <w:lang w:val="en-GB"/>
        </w:rPr>
        <w:t xml:space="preserve"> such as </w:t>
      </w:r>
      <w:r w:rsidR="00BA5E32" w:rsidRPr="00A469EA">
        <w:rPr>
          <w:lang w:val="en-GB"/>
        </w:rPr>
        <w:t xml:space="preserve">government, third-party, </w:t>
      </w:r>
      <w:r w:rsidR="000A3A79">
        <w:rPr>
          <w:lang w:val="en-GB"/>
        </w:rPr>
        <w:t>S</w:t>
      </w:r>
      <w:r w:rsidR="00BA5E32" w:rsidRPr="00A469EA">
        <w:rPr>
          <w:lang w:val="en-GB"/>
        </w:rPr>
        <w:t>outh-</w:t>
      </w:r>
      <w:r w:rsidR="000A3A79">
        <w:rPr>
          <w:lang w:val="en-GB"/>
        </w:rPr>
        <w:t>S</w:t>
      </w:r>
      <w:r w:rsidR="00BA5E32" w:rsidRPr="00A469EA">
        <w:rPr>
          <w:lang w:val="en-GB"/>
        </w:rPr>
        <w:t>outh and thematic trust funds.</w:t>
      </w:r>
    </w:p>
    <w:p w14:paraId="040D67F4" w14:textId="77777777" w:rsidR="008943AD" w:rsidRPr="00A469EA" w:rsidRDefault="008943AD" w:rsidP="002C54A1">
      <w:pPr>
        <w:pStyle w:val="MediumGrid1-Accent21"/>
        <w:widowControl w:val="0"/>
        <w:autoSpaceDE w:val="0"/>
        <w:autoSpaceDN w:val="0"/>
        <w:adjustRightInd w:val="0"/>
        <w:ind w:right="450"/>
        <w:jc w:val="both"/>
        <w:rPr>
          <w:rFonts w:asciiTheme="majorBidi" w:eastAsia="Cambria" w:hAnsiTheme="majorBidi" w:cstheme="majorBidi"/>
          <w:lang w:val="en-GB"/>
        </w:rPr>
      </w:pPr>
    </w:p>
    <w:p w14:paraId="1159B69D" w14:textId="2BD6F7BC" w:rsidR="008943AD" w:rsidRPr="00A469EA" w:rsidRDefault="00CC1187" w:rsidP="0039439F">
      <w:pPr>
        <w:pStyle w:val="Heading2"/>
        <w:numPr>
          <w:ilvl w:val="0"/>
          <w:numId w:val="57"/>
        </w:numPr>
        <w:ind w:left="4" w:right="450" w:hanging="544"/>
        <w:jc w:val="both"/>
        <w:rPr>
          <w:rFonts w:ascii="Times New Roman" w:hAnsi="Times New Roman"/>
          <w:bCs/>
          <w:color w:val="000000"/>
          <w:sz w:val="24"/>
          <w:szCs w:val="24"/>
          <w:lang w:val="en-GB"/>
        </w:rPr>
      </w:pPr>
      <w:r w:rsidRPr="00A469EA">
        <w:rPr>
          <w:rFonts w:ascii="Times New Roman" w:hAnsi="Times New Roman"/>
          <w:bCs/>
          <w:color w:val="000000"/>
          <w:sz w:val="24"/>
          <w:szCs w:val="24"/>
          <w:lang w:val="en-GB"/>
        </w:rPr>
        <w:t>Monitoring and e</w:t>
      </w:r>
      <w:r w:rsidR="008943AD" w:rsidRPr="00A469EA">
        <w:rPr>
          <w:rFonts w:ascii="Times New Roman" w:hAnsi="Times New Roman"/>
          <w:bCs/>
          <w:color w:val="000000"/>
          <w:sz w:val="24"/>
          <w:szCs w:val="24"/>
          <w:lang w:val="en-GB"/>
        </w:rPr>
        <w:t>valuation</w:t>
      </w:r>
    </w:p>
    <w:p w14:paraId="39BF56A3" w14:textId="77777777" w:rsidR="008943AD" w:rsidRPr="00A469EA" w:rsidRDefault="008943AD" w:rsidP="002C54A1">
      <w:pPr>
        <w:pStyle w:val="MediumGrid1-Accent21"/>
        <w:widowControl w:val="0"/>
        <w:autoSpaceDE w:val="0"/>
        <w:autoSpaceDN w:val="0"/>
        <w:adjustRightInd w:val="0"/>
        <w:ind w:right="450"/>
        <w:jc w:val="both"/>
        <w:rPr>
          <w:rFonts w:asciiTheme="majorBidi" w:hAnsiTheme="majorBidi" w:cstheme="majorBidi"/>
          <w:lang w:val="en-GB"/>
        </w:rPr>
      </w:pPr>
    </w:p>
    <w:p w14:paraId="081AE894" w14:textId="7662D374" w:rsidR="0004363E" w:rsidRPr="00A469EA" w:rsidRDefault="008943AD"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eastAsia="Cambria" w:hAnsiTheme="majorBidi" w:cstheme="majorBidi"/>
          <w:bCs/>
          <w:lang w:val="en-GB"/>
        </w:rPr>
      </w:pPr>
      <w:r w:rsidRPr="00A469EA">
        <w:rPr>
          <w:rFonts w:asciiTheme="majorBidi" w:eastAsia="Cambria" w:hAnsiTheme="majorBidi" w:cstheme="majorBidi"/>
          <w:lang w:val="en-GB"/>
        </w:rPr>
        <w:t xml:space="preserve">The </w:t>
      </w:r>
      <w:r w:rsidR="00C56BCF" w:rsidRPr="00A469EA">
        <w:rPr>
          <w:rFonts w:asciiTheme="majorBidi" w:eastAsia="Cambria" w:hAnsiTheme="majorBidi" w:cstheme="majorBidi"/>
          <w:lang w:val="en-GB"/>
        </w:rPr>
        <w:t xml:space="preserve">country programme </w:t>
      </w:r>
      <w:r w:rsidRPr="00A469EA">
        <w:rPr>
          <w:rFonts w:asciiTheme="majorBidi" w:eastAsia="Cambria" w:hAnsiTheme="majorBidi" w:cstheme="majorBidi"/>
          <w:lang w:val="en-GB"/>
        </w:rPr>
        <w:t xml:space="preserve">monitoring and evaluation framework is integral to the results framework of the </w:t>
      </w:r>
      <w:r w:rsidR="00BA5E32" w:rsidRPr="00A469EA">
        <w:rPr>
          <w:rFonts w:asciiTheme="majorBidi" w:eastAsia="Cambria" w:hAnsiTheme="majorBidi" w:cstheme="majorBidi"/>
          <w:lang w:val="en-GB"/>
        </w:rPr>
        <w:t>UNSDF</w:t>
      </w:r>
      <w:r w:rsidR="00CF46A6" w:rsidRPr="00A469EA">
        <w:rPr>
          <w:rFonts w:asciiTheme="majorBidi" w:eastAsia="Cambria" w:hAnsiTheme="majorBidi" w:cstheme="majorBidi"/>
          <w:lang w:val="en-GB"/>
        </w:rPr>
        <w:t>.</w:t>
      </w:r>
      <w:r w:rsidRPr="00A469EA">
        <w:rPr>
          <w:rFonts w:asciiTheme="majorBidi" w:eastAsia="Cambria" w:hAnsiTheme="majorBidi" w:cstheme="majorBidi"/>
          <w:lang w:val="en-GB"/>
        </w:rPr>
        <w:t xml:space="preserve"> </w:t>
      </w:r>
      <w:r w:rsidR="003A58EC">
        <w:rPr>
          <w:rFonts w:asciiTheme="majorBidi" w:eastAsia="Cambria" w:hAnsiTheme="majorBidi" w:cstheme="majorBidi"/>
          <w:lang w:val="en-GB"/>
        </w:rPr>
        <w:t xml:space="preserve">As the </w:t>
      </w:r>
      <w:r w:rsidR="00113759" w:rsidRPr="00A469EA">
        <w:rPr>
          <w:rFonts w:asciiTheme="majorBidi" w:eastAsia="Cambria" w:hAnsiTheme="majorBidi" w:cstheme="majorBidi"/>
          <w:lang w:val="en-GB"/>
        </w:rPr>
        <w:t xml:space="preserve">indicators of the new UNDP </w:t>
      </w:r>
      <w:r w:rsidR="003A58EC">
        <w:rPr>
          <w:rFonts w:asciiTheme="majorBidi" w:eastAsia="Cambria" w:hAnsiTheme="majorBidi" w:cstheme="majorBidi"/>
          <w:lang w:val="en-GB"/>
        </w:rPr>
        <w:t>s</w:t>
      </w:r>
      <w:r w:rsidR="00113759" w:rsidRPr="00A469EA">
        <w:rPr>
          <w:rFonts w:asciiTheme="majorBidi" w:eastAsia="Cambria" w:hAnsiTheme="majorBidi" w:cstheme="majorBidi"/>
          <w:lang w:val="en-GB"/>
        </w:rPr>
        <w:t xml:space="preserve">trategic </w:t>
      </w:r>
      <w:r w:rsidR="003A58EC">
        <w:rPr>
          <w:rFonts w:asciiTheme="majorBidi" w:eastAsia="Cambria" w:hAnsiTheme="majorBidi" w:cstheme="majorBidi"/>
          <w:lang w:val="en-GB"/>
        </w:rPr>
        <w:t>p</w:t>
      </w:r>
      <w:r w:rsidR="00113759" w:rsidRPr="00A469EA">
        <w:rPr>
          <w:rFonts w:asciiTheme="majorBidi" w:eastAsia="Cambria" w:hAnsiTheme="majorBidi" w:cstheme="majorBidi"/>
          <w:lang w:val="en-GB"/>
        </w:rPr>
        <w:t>lan, 2018-2021</w:t>
      </w:r>
      <w:r w:rsidR="003A58EC">
        <w:rPr>
          <w:rFonts w:asciiTheme="majorBidi" w:eastAsia="Cambria" w:hAnsiTheme="majorBidi" w:cstheme="majorBidi"/>
          <w:lang w:val="en-GB"/>
        </w:rPr>
        <w:t>,</w:t>
      </w:r>
      <w:r w:rsidR="00113759" w:rsidRPr="00A469EA">
        <w:rPr>
          <w:rFonts w:asciiTheme="majorBidi" w:eastAsia="Cambria" w:hAnsiTheme="majorBidi" w:cstheme="majorBidi"/>
          <w:lang w:val="en-GB"/>
        </w:rPr>
        <w:t xml:space="preserve"> UNSDF 2018-2022</w:t>
      </w:r>
      <w:r w:rsidR="003A58EC">
        <w:rPr>
          <w:rFonts w:asciiTheme="majorBidi" w:eastAsia="Cambria" w:hAnsiTheme="majorBidi" w:cstheme="majorBidi"/>
          <w:lang w:val="en-GB"/>
        </w:rPr>
        <w:t>,</w:t>
      </w:r>
      <w:r w:rsidR="00113759" w:rsidRPr="00A469EA">
        <w:rPr>
          <w:rFonts w:asciiTheme="majorBidi" w:eastAsia="Cambria" w:hAnsiTheme="majorBidi" w:cstheme="majorBidi"/>
          <w:lang w:val="en-GB"/>
        </w:rPr>
        <w:t xml:space="preserve"> and the </w:t>
      </w:r>
      <w:r w:rsidR="003A58EC">
        <w:rPr>
          <w:rFonts w:asciiTheme="majorBidi" w:eastAsia="Cambria" w:hAnsiTheme="majorBidi" w:cstheme="majorBidi"/>
          <w:lang w:val="en-GB"/>
        </w:rPr>
        <w:t xml:space="preserve">Sustainable Development Goals </w:t>
      </w:r>
      <w:r w:rsidR="00113759" w:rsidRPr="00A469EA">
        <w:rPr>
          <w:rFonts w:asciiTheme="majorBidi" w:eastAsia="Cambria" w:hAnsiTheme="majorBidi" w:cstheme="majorBidi"/>
          <w:lang w:val="en-GB"/>
        </w:rPr>
        <w:t>are in the process of finali</w:t>
      </w:r>
      <w:r w:rsidR="003A58EC">
        <w:rPr>
          <w:rFonts w:asciiTheme="majorBidi" w:eastAsia="Cambria" w:hAnsiTheme="majorBidi" w:cstheme="majorBidi"/>
          <w:lang w:val="en-GB"/>
        </w:rPr>
        <w:t>z</w:t>
      </w:r>
      <w:r w:rsidR="00113759" w:rsidRPr="00A469EA">
        <w:rPr>
          <w:rFonts w:asciiTheme="majorBidi" w:eastAsia="Cambria" w:hAnsiTheme="majorBidi" w:cstheme="majorBidi"/>
          <w:lang w:val="en-GB"/>
        </w:rPr>
        <w:t>ation, th</w:t>
      </w:r>
      <w:r w:rsidR="003A58EC">
        <w:rPr>
          <w:rFonts w:asciiTheme="majorBidi" w:eastAsia="Cambria" w:hAnsiTheme="majorBidi" w:cstheme="majorBidi"/>
          <w:lang w:val="en-GB"/>
        </w:rPr>
        <w:t xml:space="preserve">e </w:t>
      </w:r>
      <w:r w:rsidR="00113759" w:rsidRPr="00A469EA">
        <w:rPr>
          <w:rFonts w:asciiTheme="majorBidi" w:eastAsia="Cambria" w:hAnsiTheme="majorBidi" w:cstheme="majorBidi"/>
          <w:lang w:val="en-GB"/>
        </w:rPr>
        <w:t xml:space="preserve">results framework will be adjusted based on the final </w:t>
      </w:r>
      <w:r w:rsidR="00387D9E" w:rsidRPr="00A469EA">
        <w:rPr>
          <w:rFonts w:asciiTheme="majorBidi" w:eastAsia="Cambria" w:hAnsiTheme="majorBidi" w:cstheme="majorBidi"/>
          <w:lang w:val="en-GB"/>
        </w:rPr>
        <w:t xml:space="preserve">strategic </w:t>
      </w:r>
      <w:r w:rsidR="00113759" w:rsidRPr="00A469EA">
        <w:rPr>
          <w:rFonts w:asciiTheme="majorBidi" w:eastAsia="Cambria" w:hAnsiTheme="majorBidi" w:cstheme="majorBidi"/>
          <w:lang w:val="en-GB"/>
        </w:rPr>
        <w:t xml:space="preserve">documents. </w:t>
      </w:r>
      <w:r w:rsidRPr="00A469EA">
        <w:rPr>
          <w:rFonts w:asciiTheme="majorBidi" w:eastAsia="Cambria" w:hAnsiTheme="majorBidi" w:cstheme="majorBidi"/>
          <w:lang w:val="en-GB"/>
        </w:rPr>
        <w:t xml:space="preserve">UNDP instituted the </w:t>
      </w:r>
      <w:r w:rsidR="003A58EC">
        <w:rPr>
          <w:rFonts w:asciiTheme="majorBidi" w:hAnsiTheme="majorBidi" w:cstheme="majorBidi"/>
          <w:color w:val="000000"/>
          <w:lang w:val="en-GB"/>
        </w:rPr>
        <w:t>s</w:t>
      </w:r>
      <w:r w:rsidRPr="00A469EA">
        <w:rPr>
          <w:rFonts w:asciiTheme="majorBidi" w:hAnsiTheme="majorBidi" w:cstheme="majorBidi"/>
          <w:color w:val="000000"/>
          <w:lang w:val="en-GB"/>
        </w:rPr>
        <w:t xml:space="preserve">ystematic </w:t>
      </w:r>
      <w:r w:rsidR="003A58EC">
        <w:rPr>
          <w:rFonts w:asciiTheme="majorBidi" w:hAnsiTheme="majorBidi" w:cstheme="majorBidi"/>
          <w:color w:val="000000"/>
          <w:lang w:val="en-GB"/>
        </w:rPr>
        <w:t>t</w:t>
      </w:r>
      <w:r w:rsidRPr="00A469EA">
        <w:rPr>
          <w:rFonts w:asciiTheme="majorBidi" w:hAnsiTheme="majorBidi" w:cstheme="majorBidi"/>
          <w:color w:val="000000"/>
          <w:lang w:val="en-GB"/>
        </w:rPr>
        <w:t xml:space="preserve">racking for </w:t>
      </w:r>
      <w:r w:rsidR="003A58EC">
        <w:rPr>
          <w:rFonts w:asciiTheme="majorBidi" w:hAnsiTheme="majorBidi" w:cstheme="majorBidi"/>
          <w:color w:val="000000"/>
          <w:lang w:val="en-GB"/>
        </w:rPr>
        <w:t>a</w:t>
      </w:r>
      <w:r w:rsidRPr="00A469EA">
        <w:rPr>
          <w:rFonts w:asciiTheme="majorBidi" w:hAnsiTheme="majorBidi" w:cstheme="majorBidi"/>
          <w:color w:val="000000"/>
          <w:lang w:val="en-GB"/>
        </w:rPr>
        <w:t xml:space="preserve">ccountability and </w:t>
      </w:r>
      <w:r w:rsidR="003A58EC">
        <w:rPr>
          <w:rFonts w:asciiTheme="majorBidi" w:hAnsiTheme="majorBidi" w:cstheme="majorBidi"/>
          <w:color w:val="000000"/>
          <w:lang w:val="en-GB"/>
        </w:rPr>
        <w:t>r</w:t>
      </w:r>
      <w:r w:rsidRPr="00A469EA">
        <w:rPr>
          <w:rFonts w:asciiTheme="majorBidi" w:hAnsiTheme="majorBidi" w:cstheme="majorBidi"/>
          <w:color w:val="000000"/>
          <w:lang w:val="en-GB"/>
        </w:rPr>
        <w:t>esults</w:t>
      </w:r>
      <w:r w:rsidR="00BA5E32" w:rsidRPr="00A469EA">
        <w:rPr>
          <w:rFonts w:asciiTheme="majorBidi" w:hAnsiTheme="majorBidi" w:cstheme="majorBidi"/>
          <w:color w:val="000000"/>
          <w:lang w:val="en-GB"/>
        </w:rPr>
        <w:t xml:space="preserve"> (STAR)</w:t>
      </w:r>
      <w:r w:rsidRPr="00A469EA">
        <w:rPr>
          <w:rFonts w:asciiTheme="majorBidi" w:hAnsiTheme="majorBidi" w:cstheme="majorBidi"/>
          <w:color w:val="000000"/>
          <w:lang w:val="en-GB"/>
        </w:rPr>
        <w:t xml:space="preserve">, a web-based platform </w:t>
      </w:r>
      <w:r w:rsidR="00CF46A6" w:rsidRPr="00A469EA">
        <w:rPr>
          <w:rFonts w:asciiTheme="majorBidi" w:hAnsiTheme="majorBidi" w:cstheme="majorBidi"/>
          <w:color w:val="000000"/>
          <w:lang w:val="en-GB"/>
        </w:rPr>
        <w:t xml:space="preserve">that </w:t>
      </w:r>
      <w:r w:rsidRPr="00A469EA">
        <w:rPr>
          <w:rFonts w:asciiTheme="majorBidi" w:hAnsiTheme="majorBidi" w:cstheme="majorBidi"/>
          <w:color w:val="000000"/>
          <w:lang w:val="en-GB"/>
        </w:rPr>
        <w:t xml:space="preserve">links project activities to the </w:t>
      </w:r>
      <w:r w:rsidR="003A58EC">
        <w:rPr>
          <w:rFonts w:asciiTheme="majorBidi" w:hAnsiTheme="majorBidi" w:cstheme="majorBidi"/>
          <w:color w:val="000000"/>
          <w:lang w:val="en-GB"/>
        </w:rPr>
        <w:t>s</w:t>
      </w:r>
      <w:r w:rsidRPr="00A469EA">
        <w:rPr>
          <w:rFonts w:asciiTheme="majorBidi" w:hAnsiTheme="majorBidi" w:cstheme="majorBidi"/>
          <w:color w:val="000000"/>
          <w:lang w:val="en-GB"/>
        </w:rPr>
        <w:t xml:space="preserve">trategic </w:t>
      </w:r>
      <w:r w:rsidR="003A58EC">
        <w:rPr>
          <w:rFonts w:asciiTheme="majorBidi" w:hAnsiTheme="majorBidi" w:cstheme="majorBidi"/>
          <w:color w:val="000000"/>
          <w:lang w:val="en-GB"/>
        </w:rPr>
        <w:t>p</w:t>
      </w:r>
      <w:r w:rsidRPr="00A469EA">
        <w:rPr>
          <w:rFonts w:asciiTheme="majorBidi" w:hAnsiTheme="majorBidi" w:cstheme="majorBidi"/>
          <w:color w:val="000000"/>
          <w:lang w:val="en-GB"/>
        </w:rPr>
        <w:t>lan</w:t>
      </w:r>
      <w:r w:rsidR="00CF46A6" w:rsidRPr="00A469EA">
        <w:rPr>
          <w:rFonts w:asciiTheme="majorBidi" w:eastAsia="Cambria" w:hAnsiTheme="majorBidi" w:cstheme="majorBidi"/>
          <w:lang w:val="en-GB"/>
        </w:rPr>
        <w:t xml:space="preserve">, </w:t>
      </w:r>
      <w:r w:rsidR="003A58EC">
        <w:rPr>
          <w:rFonts w:asciiTheme="majorBidi" w:eastAsia="Cambria" w:hAnsiTheme="majorBidi" w:cstheme="majorBidi"/>
          <w:lang w:val="en-GB"/>
        </w:rPr>
        <w:t>c</w:t>
      </w:r>
      <w:r w:rsidR="00CF46A6" w:rsidRPr="00A469EA">
        <w:rPr>
          <w:rFonts w:asciiTheme="majorBidi" w:eastAsia="Cambria" w:hAnsiTheme="majorBidi" w:cstheme="majorBidi"/>
          <w:lang w:val="en-GB"/>
        </w:rPr>
        <w:t xml:space="preserve">ountry </w:t>
      </w:r>
      <w:r w:rsidR="003A58EC">
        <w:rPr>
          <w:rFonts w:asciiTheme="majorBidi" w:eastAsia="Cambria" w:hAnsiTheme="majorBidi" w:cstheme="majorBidi"/>
          <w:lang w:val="en-GB"/>
        </w:rPr>
        <w:t>p</w:t>
      </w:r>
      <w:r w:rsidR="00CF46A6" w:rsidRPr="00A469EA">
        <w:rPr>
          <w:rFonts w:asciiTheme="majorBidi" w:eastAsia="Cambria" w:hAnsiTheme="majorBidi" w:cstheme="majorBidi"/>
          <w:lang w:val="en-GB"/>
        </w:rPr>
        <w:t>rogramme and p</w:t>
      </w:r>
      <w:r w:rsidRPr="00A469EA">
        <w:rPr>
          <w:rFonts w:asciiTheme="majorBidi" w:eastAsia="Cambria" w:hAnsiTheme="majorBidi" w:cstheme="majorBidi"/>
          <w:lang w:val="en-GB"/>
        </w:rPr>
        <w:t>roject indicators</w:t>
      </w:r>
      <w:r w:rsidR="00CF46A6" w:rsidRPr="00A469EA">
        <w:rPr>
          <w:rFonts w:asciiTheme="majorBidi" w:eastAsia="Cambria" w:hAnsiTheme="majorBidi" w:cstheme="majorBidi"/>
          <w:lang w:val="en-GB"/>
        </w:rPr>
        <w:t xml:space="preserve">. The platform </w:t>
      </w:r>
      <w:r w:rsidRPr="00A469EA">
        <w:rPr>
          <w:rFonts w:asciiTheme="majorBidi" w:eastAsia="Cambria" w:hAnsiTheme="majorBidi" w:cstheme="majorBidi"/>
          <w:lang w:val="en-GB"/>
        </w:rPr>
        <w:t>enhances transparency</w:t>
      </w:r>
      <w:r w:rsidR="003A58EC">
        <w:rPr>
          <w:rFonts w:asciiTheme="majorBidi" w:eastAsia="Cambria" w:hAnsiTheme="majorBidi" w:cstheme="majorBidi"/>
          <w:lang w:val="en-GB"/>
        </w:rPr>
        <w:t>,</w:t>
      </w:r>
      <w:r w:rsidRPr="00A469EA">
        <w:rPr>
          <w:rFonts w:asciiTheme="majorBidi" w:eastAsia="Cambria" w:hAnsiTheme="majorBidi" w:cstheme="majorBidi"/>
          <w:lang w:val="en-GB"/>
        </w:rPr>
        <w:t xml:space="preserve"> through open-sourced access to progress on achievements and financial tracking, </w:t>
      </w:r>
      <w:r w:rsidR="008B586B" w:rsidRPr="00A469EA">
        <w:rPr>
          <w:rFonts w:asciiTheme="majorBidi" w:eastAsia="Cambria" w:hAnsiTheme="majorBidi" w:cstheme="majorBidi"/>
          <w:lang w:val="en-GB"/>
        </w:rPr>
        <w:t xml:space="preserve">and </w:t>
      </w:r>
      <w:r w:rsidRPr="00A469EA">
        <w:rPr>
          <w:rFonts w:asciiTheme="majorBidi" w:eastAsia="Cambria" w:hAnsiTheme="majorBidi" w:cstheme="majorBidi"/>
          <w:lang w:val="en-GB"/>
        </w:rPr>
        <w:t>provides a snapshot to detect impact at any interval point.</w:t>
      </w:r>
    </w:p>
    <w:p w14:paraId="14C08431" w14:textId="3D86826C" w:rsidR="0004363E" w:rsidRPr="00A469EA" w:rsidRDefault="008943AD"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eastAsia="Cambria" w:hAnsiTheme="majorBidi" w:cstheme="majorBidi"/>
          <w:bCs/>
          <w:lang w:val="en-GB"/>
        </w:rPr>
      </w:pPr>
      <w:r w:rsidRPr="00A469EA">
        <w:rPr>
          <w:rFonts w:asciiTheme="majorBidi" w:eastAsia="Cambria" w:hAnsiTheme="majorBidi" w:cstheme="majorBidi"/>
          <w:lang w:val="en-GB"/>
        </w:rPr>
        <w:t xml:space="preserve">The simpler </w:t>
      </w:r>
      <w:r w:rsidR="00CF46A6" w:rsidRPr="00A469EA">
        <w:rPr>
          <w:rFonts w:asciiTheme="majorBidi" w:eastAsia="Cambria" w:hAnsiTheme="majorBidi" w:cstheme="majorBidi"/>
          <w:lang w:val="en-GB"/>
        </w:rPr>
        <w:t xml:space="preserve">country programme </w:t>
      </w:r>
      <w:r w:rsidRPr="00A469EA">
        <w:rPr>
          <w:rFonts w:asciiTheme="majorBidi" w:eastAsia="Cambria" w:hAnsiTheme="majorBidi" w:cstheme="majorBidi"/>
          <w:lang w:val="en-GB"/>
        </w:rPr>
        <w:t>results framework</w:t>
      </w:r>
      <w:r w:rsidR="00CF46A6" w:rsidRPr="00A469EA">
        <w:rPr>
          <w:rFonts w:asciiTheme="majorBidi" w:eastAsia="Cambria" w:hAnsiTheme="majorBidi" w:cstheme="majorBidi"/>
          <w:lang w:val="en-GB"/>
        </w:rPr>
        <w:t>,</w:t>
      </w:r>
      <w:r w:rsidRPr="00A469EA">
        <w:rPr>
          <w:rFonts w:asciiTheme="majorBidi" w:eastAsia="Cambria" w:hAnsiTheme="majorBidi" w:cstheme="majorBidi"/>
          <w:lang w:val="en-GB"/>
        </w:rPr>
        <w:t xml:space="preserve"> with fewer outcomes</w:t>
      </w:r>
      <w:r w:rsidR="00CF46A6" w:rsidRPr="00A469EA">
        <w:rPr>
          <w:rFonts w:asciiTheme="majorBidi" w:eastAsia="Cambria" w:hAnsiTheme="majorBidi" w:cstheme="majorBidi"/>
          <w:lang w:val="en-GB"/>
        </w:rPr>
        <w:t>,</w:t>
      </w:r>
      <w:r w:rsidRPr="00A469EA">
        <w:rPr>
          <w:rFonts w:asciiTheme="majorBidi" w:eastAsia="Cambria" w:hAnsiTheme="majorBidi" w:cstheme="majorBidi"/>
          <w:lang w:val="en-GB"/>
        </w:rPr>
        <w:t xml:space="preserve"> help</w:t>
      </w:r>
      <w:r w:rsidR="00CF46A6" w:rsidRPr="00A469EA">
        <w:rPr>
          <w:rFonts w:asciiTheme="majorBidi" w:eastAsia="Cambria" w:hAnsiTheme="majorBidi" w:cstheme="majorBidi"/>
          <w:lang w:val="en-GB"/>
        </w:rPr>
        <w:t>s</w:t>
      </w:r>
      <w:r w:rsidRPr="00A469EA">
        <w:rPr>
          <w:rFonts w:asciiTheme="majorBidi" w:eastAsia="Cambria" w:hAnsiTheme="majorBidi" w:cstheme="majorBidi"/>
          <w:lang w:val="en-GB"/>
        </w:rPr>
        <w:t xml:space="preserve"> </w:t>
      </w:r>
      <w:r w:rsidR="00CF46A6" w:rsidRPr="00A469EA">
        <w:rPr>
          <w:rFonts w:asciiTheme="majorBidi" w:eastAsia="Cambria" w:hAnsiTheme="majorBidi" w:cstheme="majorBidi"/>
          <w:lang w:val="en-GB"/>
        </w:rPr>
        <w:t xml:space="preserve">to </w:t>
      </w:r>
      <w:r w:rsidRPr="00A469EA">
        <w:rPr>
          <w:rFonts w:asciiTheme="majorBidi" w:eastAsia="Cambria" w:hAnsiTheme="majorBidi" w:cstheme="majorBidi"/>
          <w:lang w:val="en-GB"/>
        </w:rPr>
        <w:t xml:space="preserve">keep the </w:t>
      </w:r>
      <w:bookmarkStart w:id="0" w:name="_GoBack"/>
      <w:bookmarkEnd w:id="0"/>
      <w:r w:rsidRPr="00A469EA">
        <w:rPr>
          <w:rFonts w:asciiTheme="majorBidi" w:eastAsia="Cambria" w:hAnsiTheme="majorBidi" w:cstheme="majorBidi"/>
          <w:lang w:val="en-GB"/>
        </w:rPr>
        <w:lastRenderedPageBreak/>
        <w:t>engagement focused</w:t>
      </w:r>
      <w:r w:rsidR="003A58EC">
        <w:rPr>
          <w:rFonts w:asciiTheme="majorBidi" w:eastAsia="Cambria" w:hAnsiTheme="majorBidi" w:cstheme="majorBidi"/>
          <w:lang w:val="en-GB"/>
        </w:rPr>
        <w:t>,</w:t>
      </w:r>
      <w:r w:rsidRPr="00A469EA">
        <w:rPr>
          <w:rFonts w:asciiTheme="majorBidi" w:eastAsia="Cambria" w:hAnsiTheme="majorBidi" w:cstheme="majorBidi"/>
          <w:lang w:val="en-GB"/>
        </w:rPr>
        <w:t xml:space="preserve"> </w:t>
      </w:r>
      <w:r w:rsidR="00CF46A6" w:rsidRPr="00A469EA">
        <w:rPr>
          <w:rFonts w:asciiTheme="majorBidi" w:eastAsia="Cambria" w:hAnsiTheme="majorBidi" w:cstheme="majorBidi"/>
          <w:lang w:val="en-GB"/>
        </w:rPr>
        <w:t xml:space="preserve">while </w:t>
      </w:r>
      <w:r w:rsidRPr="00A469EA">
        <w:rPr>
          <w:rFonts w:asciiTheme="majorBidi" w:eastAsia="Cambria" w:hAnsiTheme="majorBidi" w:cstheme="majorBidi"/>
          <w:lang w:val="en-GB"/>
        </w:rPr>
        <w:t xml:space="preserve">adoption of </w:t>
      </w:r>
      <w:r w:rsidR="00280E8F" w:rsidRPr="00A469EA">
        <w:rPr>
          <w:rFonts w:asciiTheme="majorBidi" w:eastAsia="Cambria" w:hAnsiTheme="majorBidi" w:cstheme="majorBidi"/>
          <w:lang w:val="en-GB"/>
        </w:rPr>
        <w:t xml:space="preserve">three </w:t>
      </w:r>
      <w:r w:rsidRPr="00A469EA">
        <w:rPr>
          <w:rFonts w:asciiTheme="majorBidi" w:eastAsia="Cambria" w:hAnsiTheme="majorBidi" w:cstheme="majorBidi"/>
          <w:iCs/>
          <w:lang w:val="en-GB"/>
        </w:rPr>
        <w:t>entry levels</w:t>
      </w:r>
      <w:r w:rsidRPr="00A469EA">
        <w:rPr>
          <w:rFonts w:asciiTheme="majorBidi" w:eastAsia="Cambria" w:hAnsiTheme="majorBidi" w:cstheme="majorBidi"/>
          <w:lang w:val="en-GB"/>
        </w:rPr>
        <w:t xml:space="preserve"> to programming </w:t>
      </w:r>
      <w:r w:rsidR="00CF46A6" w:rsidRPr="00A469EA">
        <w:rPr>
          <w:rFonts w:asciiTheme="majorBidi" w:eastAsia="Cambria" w:hAnsiTheme="majorBidi" w:cstheme="majorBidi"/>
          <w:lang w:val="en-GB"/>
        </w:rPr>
        <w:t xml:space="preserve">facilitates </w:t>
      </w:r>
      <w:r w:rsidRPr="00A469EA">
        <w:rPr>
          <w:rFonts w:asciiTheme="majorBidi" w:eastAsia="Cambria" w:hAnsiTheme="majorBidi" w:cstheme="majorBidi"/>
          <w:lang w:val="en-GB"/>
        </w:rPr>
        <w:t>monitor</w:t>
      </w:r>
      <w:r w:rsidR="00CF46A6" w:rsidRPr="00A469EA">
        <w:rPr>
          <w:rFonts w:asciiTheme="majorBidi" w:eastAsia="Cambria" w:hAnsiTheme="majorBidi" w:cstheme="majorBidi"/>
          <w:lang w:val="en-GB"/>
        </w:rPr>
        <w:t>ing</w:t>
      </w:r>
      <w:r w:rsidRPr="00A469EA">
        <w:rPr>
          <w:rFonts w:asciiTheme="majorBidi" w:eastAsia="Cambria" w:hAnsiTheme="majorBidi" w:cstheme="majorBidi"/>
          <w:lang w:val="en-GB"/>
        </w:rPr>
        <w:t xml:space="preserve"> and report</w:t>
      </w:r>
      <w:r w:rsidR="00CF46A6" w:rsidRPr="00A469EA">
        <w:rPr>
          <w:rFonts w:asciiTheme="majorBidi" w:eastAsia="Cambria" w:hAnsiTheme="majorBidi" w:cstheme="majorBidi"/>
          <w:lang w:val="en-GB"/>
        </w:rPr>
        <w:t>ing</w:t>
      </w:r>
      <w:r w:rsidRPr="00A469EA">
        <w:rPr>
          <w:rFonts w:asciiTheme="majorBidi" w:eastAsia="Cambria" w:hAnsiTheme="majorBidi" w:cstheme="majorBidi"/>
          <w:lang w:val="en-GB"/>
        </w:rPr>
        <w:t xml:space="preserve"> on results</w:t>
      </w:r>
      <w:r w:rsidRPr="00A469EA">
        <w:rPr>
          <w:rFonts w:asciiTheme="majorBidi" w:eastAsia="Cambria" w:hAnsiTheme="majorBidi" w:cstheme="majorBidi"/>
          <w:bCs/>
          <w:lang w:val="en-GB"/>
        </w:rPr>
        <w:t>. A</w:t>
      </w:r>
      <w:r w:rsidR="00CF46A6" w:rsidRPr="00A469EA">
        <w:rPr>
          <w:rFonts w:asciiTheme="majorBidi" w:eastAsia="Cambria" w:hAnsiTheme="majorBidi" w:cstheme="majorBidi"/>
          <w:bCs/>
          <w:lang w:val="en-GB"/>
        </w:rPr>
        <w:t xml:space="preserve"> successful </w:t>
      </w:r>
      <w:r w:rsidRPr="00A469EA">
        <w:rPr>
          <w:rFonts w:asciiTheme="majorBidi" w:eastAsia="Cambria" w:hAnsiTheme="majorBidi" w:cstheme="majorBidi"/>
          <w:bCs/>
          <w:lang w:val="en-GB"/>
        </w:rPr>
        <w:t xml:space="preserve">example </w:t>
      </w:r>
      <w:r w:rsidR="00CF46A6" w:rsidRPr="00A469EA">
        <w:rPr>
          <w:rFonts w:asciiTheme="majorBidi" w:eastAsia="Cambria" w:hAnsiTheme="majorBidi" w:cstheme="majorBidi"/>
          <w:bCs/>
          <w:lang w:val="en-GB"/>
        </w:rPr>
        <w:t xml:space="preserve">of this approach </w:t>
      </w:r>
      <w:r w:rsidRPr="00A469EA">
        <w:rPr>
          <w:rFonts w:asciiTheme="majorBidi" w:eastAsia="Cambria" w:hAnsiTheme="majorBidi" w:cstheme="majorBidi"/>
          <w:bCs/>
          <w:lang w:val="en-GB"/>
        </w:rPr>
        <w:t xml:space="preserve">is </w:t>
      </w:r>
      <w:r w:rsidR="00CF46A6" w:rsidRPr="00A469EA">
        <w:rPr>
          <w:rFonts w:asciiTheme="majorBidi" w:eastAsia="Cambria" w:hAnsiTheme="majorBidi" w:cstheme="majorBidi"/>
          <w:bCs/>
          <w:lang w:val="en-GB"/>
        </w:rPr>
        <w:t xml:space="preserve">visible in UNDP </w:t>
      </w:r>
      <w:r w:rsidRPr="00A469EA">
        <w:rPr>
          <w:rFonts w:asciiTheme="majorBidi" w:eastAsia="Cambria" w:hAnsiTheme="majorBidi" w:cstheme="majorBidi"/>
          <w:bCs/>
          <w:lang w:val="en-GB"/>
        </w:rPr>
        <w:t>efforts to improve performance and transparency in public institutions by establishing performance monitoring mechanisms at federal levels.</w:t>
      </w:r>
    </w:p>
    <w:p w14:paraId="40D980FC" w14:textId="7FAB6B6B" w:rsidR="0004363E" w:rsidRPr="00A469EA" w:rsidRDefault="008943AD"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eastAsia="Cambria" w:hAnsiTheme="majorBidi" w:cstheme="majorBidi"/>
          <w:bCs/>
          <w:lang w:val="en-GB"/>
        </w:rPr>
      </w:pPr>
      <w:r w:rsidRPr="00A469EA">
        <w:rPr>
          <w:rFonts w:asciiTheme="majorBidi" w:eastAsia="Cambria" w:hAnsiTheme="majorBidi" w:cstheme="majorBidi"/>
          <w:lang w:val="en-GB"/>
        </w:rPr>
        <w:t xml:space="preserve">UNDP will strengthen </w:t>
      </w:r>
      <w:r w:rsidR="00BC0EFC" w:rsidRPr="00A469EA">
        <w:rPr>
          <w:rFonts w:asciiTheme="majorBidi" w:eastAsia="Cambria" w:hAnsiTheme="majorBidi" w:cstheme="majorBidi"/>
          <w:lang w:val="en-GB"/>
        </w:rPr>
        <w:t>m</w:t>
      </w:r>
      <w:r w:rsidRPr="00A469EA">
        <w:rPr>
          <w:rFonts w:asciiTheme="majorBidi" w:eastAsia="Cambria" w:hAnsiTheme="majorBidi" w:cstheme="majorBidi"/>
          <w:lang w:val="en-GB"/>
        </w:rPr>
        <w:t xml:space="preserve">onitoring and </w:t>
      </w:r>
      <w:r w:rsidR="00BC0EFC" w:rsidRPr="00A469EA">
        <w:rPr>
          <w:rFonts w:asciiTheme="majorBidi" w:eastAsia="Cambria" w:hAnsiTheme="majorBidi" w:cstheme="majorBidi"/>
          <w:lang w:val="en-GB"/>
        </w:rPr>
        <w:t>e</w:t>
      </w:r>
      <w:r w:rsidRPr="00A469EA">
        <w:rPr>
          <w:rFonts w:asciiTheme="majorBidi" w:eastAsia="Cambria" w:hAnsiTheme="majorBidi" w:cstheme="majorBidi"/>
          <w:lang w:val="en-GB"/>
        </w:rPr>
        <w:t>valuation practices to generate disaggregated data through: (a) periodic reviews, midterm and final evaluations; (b) earmarking at least 5 per cent of each project budget to data collection, monitoring and evaluations; (c) emphasi</w:t>
      </w:r>
      <w:r w:rsidR="00BC0EFC" w:rsidRPr="00A469EA">
        <w:rPr>
          <w:rFonts w:asciiTheme="majorBidi" w:eastAsia="Cambria" w:hAnsiTheme="majorBidi" w:cstheme="majorBidi"/>
          <w:lang w:val="en-GB"/>
        </w:rPr>
        <w:t>zing</w:t>
      </w:r>
      <w:r w:rsidRPr="00A469EA">
        <w:rPr>
          <w:rFonts w:asciiTheme="majorBidi" w:eastAsia="Cambria" w:hAnsiTheme="majorBidi" w:cstheme="majorBidi"/>
          <w:lang w:val="en-GB"/>
        </w:rPr>
        <w:t xml:space="preserve"> </w:t>
      </w:r>
      <w:r w:rsidR="00BC0EFC" w:rsidRPr="00A469EA">
        <w:rPr>
          <w:rFonts w:asciiTheme="majorBidi" w:eastAsia="Cambria" w:hAnsiTheme="majorBidi" w:cstheme="majorBidi"/>
          <w:lang w:val="en-GB"/>
        </w:rPr>
        <w:t xml:space="preserve">the </w:t>
      </w:r>
      <w:r w:rsidRPr="00A469EA">
        <w:rPr>
          <w:rFonts w:asciiTheme="majorBidi" w:eastAsia="Cambria" w:hAnsiTheme="majorBidi" w:cstheme="majorBidi"/>
          <w:lang w:val="en-GB"/>
        </w:rPr>
        <w:t xml:space="preserve">review </w:t>
      </w:r>
      <w:r w:rsidR="00BC0EFC" w:rsidRPr="00A469EA">
        <w:rPr>
          <w:rFonts w:asciiTheme="majorBidi" w:eastAsia="Cambria" w:hAnsiTheme="majorBidi" w:cstheme="majorBidi"/>
          <w:lang w:val="en-GB"/>
        </w:rPr>
        <w:t xml:space="preserve">of </w:t>
      </w:r>
      <w:r w:rsidRPr="00A469EA">
        <w:rPr>
          <w:rFonts w:asciiTheme="majorBidi" w:eastAsia="Cambria" w:hAnsiTheme="majorBidi" w:cstheme="majorBidi"/>
          <w:lang w:val="en-GB"/>
        </w:rPr>
        <w:t>results at strategy and portfolio levels</w:t>
      </w:r>
      <w:r w:rsidR="00455DA4">
        <w:rPr>
          <w:rFonts w:asciiTheme="majorBidi" w:eastAsia="Cambria" w:hAnsiTheme="majorBidi" w:cstheme="majorBidi"/>
          <w:lang w:val="en-GB"/>
        </w:rPr>
        <w:t>;</w:t>
      </w:r>
      <w:r w:rsidRPr="00A469EA">
        <w:rPr>
          <w:rFonts w:asciiTheme="majorBidi" w:eastAsia="Cambria" w:hAnsiTheme="majorBidi" w:cstheme="majorBidi"/>
          <w:lang w:val="en-GB"/>
        </w:rPr>
        <w:t xml:space="preserve"> and </w:t>
      </w:r>
      <w:r w:rsidR="00455DA4">
        <w:rPr>
          <w:rFonts w:asciiTheme="majorBidi" w:eastAsia="Cambria" w:hAnsiTheme="majorBidi" w:cstheme="majorBidi"/>
          <w:lang w:val="en-GB"/>
        </w:rPr>
        <w:t xml:space="preserve">(d) </w:t>
      </w:r>
      <w:r w:rsidRPr="00A469EA">
        <w:rPr>
          <w:rFonts w:asciiTheme="majorBidi" w:eastAsia="Cambria" w:hAnsiTheme="majorBidi" w:cstheme="majorBidi"/>
          <w:lang w:val="en-GB"/>
        </w:rPr>
        <w:t>expanding the use of third-party monitoring and impact evaluations</w:t>
      </w:r>
      <w:r w:rsidR="00931DC6" w:rsidRPr="00A469EA">
        <w:rPr>
          <w:rFonts w:asciiTheme="majorBidi" w:eastAsia="Cambria" w:hAnsiTheme="majorBidi" w:cstheme="majorBidi"/>
          <w:lang w:val="en-GB"/>
        </w:rPr>
        <w:t xml:space="preserve"> </w:t>
      </w:r>
      <w:r w:rsidR="00455DA4">
        <w:rPr>
          <w:rFonts w:asciiTheme="majorBidi" w:eastAsia="Cambria" w:hAnsiTheme="majorBidi" w:cstheme="majorBidi"/>
          <w:lang w:val="en-GB"/>
        </w:rPr>
        <w:t xml:space="preserve">by </w:t>
      </w:r>
      <w:r w:rsidR="00931DC6" w:rsidRPr="00A469EA">
        <w:rPr>
          <w:rFonts w:eastAsia="Cambria"/>
          <w:lang w:val="en-GB"/>
        </w:rPr>
        <w:t>engaging with local development partners</w:t>
      </w:r>
      <w:r w:rsidR="00931DC6" w:rsidRPr="00A469EA">
        <w:rPr>
          <w:iCs/>
          <w:lang w:val="en-GB"/>
        </w:rPr>
        <w:t>.</w:t>
      </w:r>
    </w:p>
    <w:p w14:paraId="508FCE98" w14:textId="6CA951CB" w:rsidR="0004363E" w:rsidRPr="00A469EA" w:rsidRDefault="00BC0EFC"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eastAsia="Cambria" w:hAnsiTheme="majorBidi" w:cstheme="majorBidi"/>
          <w:bCs/>
          <w:lang w:val="en-GB"/>
        </w:rPr>
      </w:pPr>
      <w:r w:rsidRPr="00A469EA">
        <w:rPr>
          <w:rFonts w:asciiTheme="majorBidi" w:hAnsiTheme="majorBidi" w:cstheme="majorBidi"/>
          <w:lang w:val="en-GB"/>
        </w:rPr>
        <w:t xml:space="preserve">UNDP will place </w:t>
      </w:r>
      <w:r w:rsidR="008943AD" w:rsidRPr="00A469EA">
        <w:rPr>
          <w:rFonts w:asciiTheme="majorBidi" w:hAnsiTheme="majorBidi" w:cstheme="majorBidi"/>
          <w:lang w:val="en-GB"/>
        </w:rPr>
        <w:t>particular emphasis on enhancing effective data</w:t>
      </w:r>
      <w:r w:rsidR="00455DA4">
        <w:rPr>
          <w:rFonts w:asciiTheme="majorBidi" w:hAnsiTheme="majorBidi" w:cstheme="majorBidi"/>
          <w:lang w:val="en-GB"/>
        </w:rPr>
        <w:t>-</w:t>
      </w:r>
      <w:r w:rsidR="008943AD" w:rsidRPr="00A469EA">
        <w:rPr>
          <w:rFonts w:asciiTheme="majorBidi" w:hAnsiTheme="majorBidi" w:cstheme="majorBidi"/>
          <w:lang w:val="en-GB"/>
        </w:rPr>
        <w:t>gathering instruments</w:t>
      </w:r>
      <w:r w:rsidR="00931DC6" w:rsidRPr="00A469EA">
        <w:rPr>
          <w:rFonts w:asciiTheme="majorBidi" w:hAnsiTheme="majorBidi" w:cstheme="majorBidi"/>
          <w:lang w:val="en-GB"/>
        </w:rPr>
        <w:t xml:space="preserve"> </w:t>
      </w:r>
      <w:r w:rsidR="00931DC6" w:rsidRPr="00A469EA">
        <w:rPr>
          <w:lang w:val="en-GB"/>
        </w:rPr>
        <w:t xml:space="preserve">pertaining to the areas of this </w:t>
      </w:r>
      <w:r w:rsidR="00455DA4">
        <w:rPr>
          <w:lang w:val="en-GB"/>
        </w:rPr>
        <w:t>country programme</w:t>
      </w:r>
      <w:r w:rsidR="00931DC6" w:rsidRPr="00A469EA">
        <w:rPr>
          <w:lang w:val="en-GB"/>
        </w:rPr>
        <w:t>,</w:t>
      </w:r>
      <w:r w:rsidR="008943AD" w:rsidRPr="00A469EA">
        <w:rPr>
          <w:rFonts w:asciiTheme="majorBidi" w:hAnsiTheme="majorBidi" w:cstheme="majorBidi"/>
          <w:lang w:val="en-GB"/>
        </w:rPr>
        <w:t xml:space="preserve"> </w:t>
      </w:r>
      <w:r w:rsidR="00455DA4">
        <w:rPr>
          <w:rFonts w:asciiTheme="majorBidi" w:hAnsiTheme="majorBidi" w:cstheme="majorBidi"/>
          <w:lang w:val="en-GB"/>
        </w:rPr>
        <w:t xml:space="preserve">which </w:t>
      </w:r>
      <w:r w:rsidR="008943AD" w:rsidRPr="00A469EA">
        <w:rPr>
          <w:rFonts w:asciiTheme="majorBidi" w:hAnsiTheme="majorBidi" w:cstheme="majorBidi"/>
          <w:lang w:val="en-GB"/>
        </w:rPr>
        <w:t>enable</w:t>
      </w:r>
      <w:r w:rsidRPr="00A469EA">
        <w:rPr>
          <w:rFonts w:asciiTheme="majorBidi" w:hAnsiTheme="majorBidi" w:cstheme="majorBidi"/>
          <w:lang w:val="en-GB"/>
        </w:rPr>
        <w:t>s</w:t>
      </w:r>
      <w:r w:rsidR="008943AD" w:rsidRPr="00A469EA">
        <w:rPr>
          <w:rFonts w:asciiTheme="majorBidi" w:hAnsiTheme="majorBidi" w:cstheme="majorBidi"/>
          <w:lang w:val="en-GB"/>
        </w:rPr>
        <w:t xml:space="preserve"> evidence-based policy development and the generation of disaggregated data (</w:t>
      </w:r>
      <w:r w:rsidRPr="00A469EA">
        <w:rPr>
          <w:rFonts w:asciiTheme="majorBidi" w:hAnsiTheme="majorBidi" w:cstheme="majorBidi"/>
          <w:lang w:val="en-GB"/>
        </w:rPr>
        <w:t>for example,</w:t>
      </w:r>
      <w:r w:rsidR="008943AD" w:rsidRPr="00A469EA">
        <w:rPr>
          <w:rFonts w:asciiTheme="majorBidi" w:hAnsiTheme="majorBidi" w:cstheme="majorBidi"/>
          <w:lang w:val="en-GB"/>
        </w:rPr>
        <w:t xml:space="preserve"> </w:t>
      </w:r>
      <w:r w:rsidRPr="00A469EA">
        <w:rPr>
          <w:rFonts w:asciiTheme="majorBidi" w:hAnsiTheme="majorBidi" w:cstheme="majorBidi"/>
          <w:lang w:val="en-GB"/>
        </w:rPr>
        <w:t xml:space="preserve">by using </w:t>
      </w:r>
      <w:r w:rsidR="00931DC6" w:rsidRPr="00A469EA">
        <w:rPr>
          <w:rFonts w:asciiTheme="majorBidi" w:hAnsiTheme="majorBidi" w:cstheme="majorBidi"/>
          <w:lang w:val="en-GB"/>
        </w:rPr>
        <w:t>STAR</w:t>
      </w:r>
      <w:r w:rsidR="008943AD" w:rsidRPr="00A469EA">
        <w:rPr>
          <w:rFonts w:asciiTheme="majorBidi" w:hAnsiTheme="majorBidi" w:cstheme="majorBidi"/>
          <w:lang w:val="en-GB"/>
        </w:rPr>
        <w:t xml:space="preserve">, </w:t>
      </w:r>
      <w:r w:rsidR="00455DA4">
        <w:rPr>
          <w:rFonts w:asciiTheme="majorBidi" w:hAnsiTheme="majorBidi" w:cstheme="majorBidi"/>
          <w:lang w:val="en-GB"/>
        </w:rPr>
        <w:t xml:space="preserve">Sustainable </w:t>
      </w:r>
      <w:r w:rsidR="00CF609C">
        <w:rPr>
          <w:rFonts w:asciiTheme="majorBidi" w:hAnsiTheme="majorBidi" w:cstheme="majorBidi"/>
          <w:lang w:val="en-GB"/>
        </w:rPr>
        <w:t>Development</w:t>
      </w:r>
      <w:r w:rsidR="00455DA4">
        <w:rPr>
          <w:rFonts w:asciiTheme="majorBidi" w:hAnsiTheme="majorBidi" w:cstheme="majorBidi"/>
          <w:lang w:val="en-GB"/>
        </w:rPr>
        <w:t xml:space="preserve"> Goals </w:t>
      </w:r>
      <w:r w:rsidR="008943AD" w:rsidRPr="00A469EA">
        <w:rPr>
          <w:rFonts w:asciiTheme="majorBidi" w:hAnsiTheme="majorBidi" w:cstheme="majorBidi"/>
          <w:lang w:val="en-GB"/>
        </w:rPr>
        <w:t xml:space="preserve">data mapping, </w:t>
      </w:r>
      <w:r w:rsidRPr="00A469EA">
        <w:rPr>
          <w:rFonts w:asciiTheme="majorBidi" w:hAnsiTheme="majorBidi" w:cstheme="majorBidi"/>
          <w:lang w:val="en-GB"/>
        </w:rPr>
        <w:t xml:space="preserve">and </w:t>
      </w:r>
      <w:r w:rsidR="008943AD" w:rsidRPr="00A469EA">
        <w:rPr>
          <w:rFonts w:asciiTheme="majorBidi" w:hAnsiTheme="majorBidi" w:cstheme="majorBidi"/>
          <w:lang w:val="en-GB"/>
        </w:rPr>
        <w:t>data ecosystem</w:t>
      </w:r>
      <w:r w:rsidR="00455DA4">
        <w:rPr>
          <w:rFonts w:asciiTheme="majorBidi" w:hAnsiTheme="majorBidi" w:cstheme="majorBidi"/>
          <w:lang w:val="en-GB"/>
        </w:rPr>
        <w:t>s</w:t>
      </w:r>
      <w:r w:rsidR="008943AD" w:rsidRPr="00A469EA">
        <w:rPr>
          <w:rFonts w:asciiTheme="majorBidi" w:hAnsiTheme="majorBidi" w:cstheme="majorBidi"/>
          <w:lang w:val="en-GB"/>
        </w:rPr>
        <w:t xml:space="preserve"> to support implementation and monitoring)</w:t>
      </w:r>
      <w:r w:rsidR="008B586B" w:rsidRPr="00A469EA">
        <w:rPr>
          <w:rFonts w:asciiTheme="majorBidi" w:hAnsiTheme="majorBidi" w:cstheme="majorBidi"/>
          <w:lang w:val="en-GB"/>
        </w:rPr>
        <w:t>.</w:t>
      </w:r>
      <w:r w:rsidR="008943AD" w:rsidRPr="00A469EA">
        <w:rPr>
          <w:rFonts w:asciiTheme="majorBidi" w:hAnsiTheme="majorBidi" w:cstheme="majorBidi"/>
          <w:lang w:val="en-GB"/>
        </w:rPr>
        <w:t xml:space="preserve"> </w:t>
      </w:r>
    </w:p>
    <w:p w14:paraId="75BA7C54" w14:textId="326BC573" w:rsidR="008B586B" w:rsidRPr="00A469EA" w:rsidRDefault="00931DC6"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eastAsia="Cambria" w:hAnsiTheme="majorBidi" w:cstheme="majorBidi"/>
          <w:bCs/>
          <w:lang w:val="en-GB"/>
        </w:rPr>
      </w:pPr>
      <w:r w:rsidRPr="00A469EA">
        <w:rPr>
          <w:bCs/>
          <w:lang w:val="en-GB"/>
        </w:rPr>
        <w:t xml:space="preserve">In areas </w:t>
      </w:r>
      <w:r w:rsidR="00455DA4">
        <w:rPr>
          <w:bCs/>
          <w:lang w:val="en-GB"/>
        </w:rPr>
        <w:t xml:space="preserve">with </w:t>
      </w:r>
      <w:r w:rsidRPr="00A469EA">
        <w:rPr>
          <w:bCs/>
          <w:lang w:val="en-GB"/>
        </w:rPr>
        <w:t>limi</w:t>
      </w:r>
      <w:r w:rsidR="00455DA4">
        <w:rPr>
          <w:bCs/>
          <w:lang w:val="en-GB"/>
        </w:rPr>
        <w:t xml:space="preserve">ted </w:t>
      </w:r>
      <w:r w:rsidRPr="00A469EA">
        <w:rPr>
          <w:bCs/>
          <w:lang w:val="en-GB"/>
        </w:rPr>
        <w:t>access,</w:t>
      </w:r>
      <w:r w:rsidR="008B586B" w:rsidRPr="00A469EA">
        <w:rPr>
          <w:rFonts w:asciiTheme="majorBidi" w:hAnsiTheme="majorBidi" w:cstheme="majorBidi"/>
          <w:bCs/>
          <w:lang w:val="en-GB"/>
        </w:rPr>
        <w:t xml:space="preserve"> UNDP will </w:t>
      </w:r>
      <w:r w:rsidRPr="00A469EA">
        <w:rPr>
          <w:rFonts w:asciiTheme="majorBidi" w:hAnsiTheme="majorBidi" w:cstheme="majorBidi"/>
          <w:bCs/>
          <w:lang w:val="en-GB"/>
        </w:rPr>
        <w:t xml:space="preserve">work through local partnerships and collaborative arrangements </w:t>
      </w:r>
      <w:r w:rsidR="0015010F" w:rsidRPr="00A469EA">
        <w:rPr>
          <w:rFonts w:asciiTheme="majorBidi" w:hAnsiTheme="majorBidi" w:cstheme="majorBidi"/>
          <w:bCs/>
          <w:lang w:val="en-GB"/>
        </w:rPr>
        <w:t xml:space="preserve">to ensure results and </w:t>
      </w:r>
      <w:r w:rsidR="008B586B" w:rsidRPr="00A469EA">
        <w:rPr>
          <w:rFonts w:asciiTheme="majorBidi" w:hAnsiTheme="majorBidi" w:cstheme="majorBidi"/>
          <w:lang w:val="en-GB"/>
        </w:rPr>
        <w:t>accountability.</w:t>
      </w:r>
    </w:p>
    <w:p w14:paraId="7A856FEA" w14:textId="51FD3D01" w:rsidR="0004363E" w:rsidRPr="00A469EA" w:rsidRDefault="008943AD" w:rsidP="002E13C0">
      <w:pPr>
        <w:pStyle w:val="MediumGrid1-Accent21"/>
        <w:widowControl w:val="0"/>
        <w:numPr>
          <w:ilvl w:val="0"/>
          <w:numId w:val="39"/>
        </w:numPr>
        <w:tabs>
          <w:tab w:val="left" w:pos="360"/>
        </w:tabs>
        <w:autoSpaceDE w:val="0"/>
        <w:autoSpaceDN w:val="0"/>
        <w:adjustRightInd w:val="0"/>
        <w:spacing w:after="120"/>
        <w:ind w:left="0" w:right="450" w:firstLine="0"/>
        <w:jc w:val="both"/>
        <w:rPr>
          <w:rFonts w:asciiTheme="majorBidi" w:eastAsia="Cambria" w:hAnsiTheme="majorBidi" w:cstheme="majorBidi"/>
          <w:bCs/>
          <w:lang w:val="en-GB"/>
        </w:rPr>
      </w:pPr>
      <w:r w:rsidRPr="00A469EA">
        <w:rPr>
          <w:rFonts w:asciiTheme="majorBidi" w:hAnsiTheme="majorBidi" w:cstheme="majorBidi"/>
          <w:lang w:val="en-GB" w:eastAsia="en-GB"/>
        </w:rPr>
        <w:t>Gaps in national data undermine efforts to address the different dimensions of development challenges</w:t>
      </w:r>
      <w:r w:rsidR="00BC0EFC" w:rsidRPr="00A469EA">
        <w:rPr>
          <w:rFonts w:asciiTheme="majorBidi" w:hAnsiTheme="majorBidi" w:cstheme="majorBidi"/>
          <w:lang w:val="en-GB" w:eastAsia="en-GB"/>
        </w:rPr>
        <w:t>,</w:t>
      </w:r>
      <w:r w:rsidRPr="00A469EA">
        <w:rPr>
          <w:rFonts w:asciiTheme="majorBidi" w:hAnsiTheme="majorBidi" w:cstheme="majorBidi"/>
          <w:lang w:val="en-GB" w:eastAsia="en-GB"/>
        </w:rPr>
        <w:t xml:space="preserve"> reducing the country’s ability to track development progress. More data will be required to support evidence-based policies</w:t>
      </w:r>
      <w:r w:rsidR="00BC0EFC" w:rsidRPr="00A469EA">
        <w:rPr>
          <w:rFonts w:asciiTheme="majorBidi" w:hAnsiTheme="majorBidi" w:cstheme="majorBidi"/>
          <w:lang w:val="en-GB" w:eastAsia="en-GB"/>
        </w:rPr>
        <w:t>,</w:t>
      </w:r>
      <w:r w:rsidRPr="00A469EA">
        <w:rPr>
          <w:rFonts w:asciiTheme="majorBidi" w:hAnsiTheme="majorBidi" w:cstheme="majorBidi"/>
          <w:lang w:val="en-GB" w:eastAsia="en-GB"/>
        </w:rPr>
        <w:t xml:space="preserve"> </w:t>
      </w:r>
      <w:r w:rsidR="00BC0EFC" w:rsidRPr="00A469EA">
        <w:rPr>
          <w:rFonts w:asciiTheme="majorBidi" w:hAnsiTheme="majorBidi" w:cstheme="majorBidi"/>
          <w:lang w:val="en-GB" w:eastAsia="en-GB"/>
        </w:rPr>
        <w:t xml:space="preserve">to </w:t>
      </w:r>
      <w:r w:rsidRPr="00A469EA">
        <w:rPr>
          <w:rFonts w:asciiTheme="majorBidi" w:hAnsiTheme="majorBidi" w:cstheme="majorBidi"/>
          <w:lang w:val="en-GB" w:eastAsia="en-GB"/>
        </w:rPr>
        <w:t xml:space="preserve">which the ongoing census will contribute. </w:t>
      </w:r>
      <w:r w:rsidRPr="00A469EA">
        <w:rPr>
          <w:rFonts w:asciiTheme="majorBidi" w:hAnsiTheme="majorBidi" w:cstheme="majorBidi"/>
          <w:color w:val="000000"/>
          <w:lang w:val="en-GB"/>
        </w:rPr>
        <w:t xml:space="preserve">UNDP will </w:t>
      </w:r>
      <w:r w:rsidR="00931DC6" w:rsidRPr="00A469EA">
        <w:rPr>
          <w:rFonts w:asciiTheme="majorBidi" w:hAnsiTheme="majorBidi" w:cstheme="majorBidi"/>
          <w:color w:val="000000"/>
          <w:lang w:val="en-GB"/>
        </w:rPr>
        <w:t xml:space="preserve">provide </w:t>
      </w:r>
      <w:r w:rsidRPr="00A469EA">
        <w:rPr>
          <w:rFonts w:asciiTheme="majorBidi" w:hAnsiTheme="majorBidi" w:cstheme="majorBidi"/>
          <w:color w:val="000000"/>
          <w:lang w:val="en-GB"/>
        </w:rPr>
        <w:t>its support to the Bureau of Statistics and provincial bureau</w:t>
      </w:r>
      <w:r w:rsidR="002022D2" w:rsidRPr="00A469EA">
        <w:rPr>
          <w:rFonts w:asciiTheme="majorBidi" w:hAnsiTheme="majorBidi" w:cstheme="majorBidi"/>
          <w:color w:val="000000"/>
          <w:lang w:val="en-GB"/>
        </w:rPr>
        <w:t>s</w:t>
      </w:r>
      <w:r w:rsidR="00931DC6" w:rsidRPr="00A469EA">
        <w:rPr>
          <w:rFonts w:asciiTheme="majorBidi" w:hAnsiTheme="majorBidi" w:cstheme="majorBidi"/>
          <w:color w:val="000000"/>
          <w:lang w:val="en-GB"/>
        </w:rPr>
        <w:t xml:space="preserve">, if so </w:t>
      </w:r>
      <w:r w:rsidR="000F3848" w:rsidRPr="00A469EA">
        <w:rPr>
          <w:rFonts w:asciiTheme="majorBidi" w:hAnsiTheme="majorBidi" w:cstheme="majorBidi"/>
          <w:color w:val="000000"/>
          <w:lang w:val="en-GB"/>
        </w:rPr>
        <w:t>requested</w:t>
      </w:r>
      <w:r w:rsidR="00931DC6" w:rsidRPr="00A469EA">
        <w:rPr>
          <w:rFonts w:asciiTheme="majorBidi" w:hAnsiTheme="majorBidi" w:cstheme="majorBidi"/>
          <w:color w:val="000000"/>
          <w:lang w:val="en-GB"/>
        </w:rPr>
        <w:t>,</w:t>
      </w:r>
      <w:r w:rsidRPr="00A469EA">
        <w:rPr>
          <w:rFonts w:asciiTheme="majorBidi" w:hAnsiTheme="majorBidi" w:cstheme="majorBidi"/>
          <w:color w:val="000000"/>
          <w:lang w:val="en-GB"/>
        </w:rPr>
        <w:t xml:space="preserve"> </w:t>
      </w:r>
      <w:r w:rsidR="00BC0EFC" w:rsidRPr="00A469EA">
        <w:rPr>
          <w:rFonts w:asciiTheme="majorBidi" w:hAnsiTheme="majorBidi" w:cstheme="majorBidi"/>
          <w:color w:val="000000"/>
          <w:lang w:val="en-GB"/>
        </w:rPr>
        <w:t xml:space="preserve">in order to enhance their </w:t>
      </w:r>
      <w:r w:rsidRPr="00A469EA">
        <w:rPr>
          <w:rFonts w:asciiTheme="majorBidi" w:hAnsiTheme="majorBidi" w:cstheme="majorBidi"/>
          <w:color w:val="000000"/>
          <w:lang w:val="en-GB"/>
        </w:rPr>
        <w:t xml:space="preserve">capacities </w:t>
      </w:r>
      <w:r w:rsidR="00BC0EFC" w:rsidRPr="00A469EA">
        <w:rPr>
          <w:rFonts w:asciiTheme="majorBidi" w:hAnsiTheme="majorBidi" w:cstheme="majorBidi"/>
          <w:color w:val="000000"/>
          <w:lang w:val="en-GB"/>
        </w:rPr>
        <w:t xml:space="preserve">to </w:t>
      </w:r>
      <w:r w:rsidRPr="00A469EA">
        <w:rPr>
          <w:rFonts w:asciiTheme="majorBidi" w:hAnsiTheme="majorBidi" w:cstheme="majorBidi"/>
          <w:color w:val="000000"/>
          <w:lang w:val="en-GB"/>
        </w:rPr>
        <w:t>identify data gaps</w:t>
      </w:r>
      <w:r w:rsidR="00931DC6" w:rsidRPr="00A469EA">
        <w:rPr>
          <w:rFonts w:asciiTheme="majorBidi" w:hAnsiTheme="majorBidi" w:cstheme="majorBidi"/>
          <w:color w:val="000000"/>
          <w:lang w:val="en-GB"/>
        </w:rPr>
        <w:t xml:space="preserve"> </w:t>
      </w:r>
      <w:r w:rsidR="00455DA4">
        <w:rPr>
          <w:rFonts w:asciiTheme="majorBidi" w:hAnsiTheme="majorBidi" w:cstheme="majorBidi"/>
          <w:color w:val="000000"/>
          <w:lang w:val="en-GB"/>
        </w:rPr>
        <w:t xml:space="preserve">and </w:t>
      </w:r>
      <w:r w:rsidR="00931DC6" w:rsidRPr="00A469EA">
        <w:rPr>
          <w:rFonts w:asciiTheme="majorBidi" w:hAnsiTheme="majorBidi" w:cstheme="majorBidi"/>
          <w:color w:val="000000"/>
          <w:lang w:val="en-GB"/>
        </w:rPr>
        <w:t>test innovative and technological solutions to</w:t>
      </w:r>
      <w:r w:rsidR="00BC0EFC" w:rsidRPr="00A469EA">
        <w:rPr>
          <w:rFonts w:asciiTheme="majorBidi" w:hAnsiTheme="majorBidi" w:cstheme="majorBidi"/>
          <w:color w:val="000000"/>
          <w:lang w:val="en-GB"/>
        </w:rPr>
        <w:t xml:space="preserve"> </w:t>
      </w:r>
      <w:r w:rsidRPr="00A469EA">
        <w:rPr>
          <w:rFonts w:asciiTheme="majorBidi" w:hAnsiTheme="majorBidi" w:cstheme="majorBidi"/>
          <w:color w:val="000000"/>
          <w:lang w:val="en-GB"/>
        </w:rPr>
        <w:t>generat</w:t>
      </w:r>
      <w:r w:rsidR="00BC0EFC" w:rsidRPr="00A469EA">
        <w:rPr>
          <w:rFonts w:asciiTheme="majorBidi" w:hAnsiTheme="majorBidi" w:cstheme="majorBidi"/>
          <w:color w:val="000000"/>
          <w:lang w:val="en-GB"/>
        </w:rPr>
        <w:t>e</w:t>
      </w:r>
      <w:r w:rsidR="00C42393" w:rsidRPr="00A469EA">
        <w:rPr>
          <w:rFonts w:asciiTheme="majorBidi" w:hAnsiTheme="majorBidi" w:cstheme="majorBidi"/>
          <w:color w:val="000000"/>
          <w:lang w:val="en-GB"/>
        </w:rPr>
        <w:t xml:space="preserve"> </w:t>
      </w:r>
      <w:r w:rsidR="00BC0EFC" w:rsidRPr="00A469EA">
        <w:rPr>
          <w:rFonts w:asciiTheme="majorBidi" w:hAnsiTheme="majorBidi" w:cstheme="majorBidi"/>
          <w:color w:val="000000"/>
          <w:lang w:val="en-GB"/>
        </w:rPr>
        <w:t>data</w:t>
      </w:r>
      <w:r w:rsidRPr="00A469EA">
        <w:rPr>
          <w:rFonts w:asciiTheme="majorBidi" w:hAnsiTheme="majorBidi" w:cstheme="majorBidi"/>
          <w:color w:val="000000"/>
          <w:lang w:val="en-GB"/>
        </w:rPr>
        <w:t xml:space="preserve"> </w:t>
      </w:r>
      <w:r w:rsidR="00BC0EFC" w:rsidRPr="00A469EA">
        <w:rPr>
          <w:rFonts w:asciiTheme="majorBidi" w:hAnsiTheme="majorBidi" w:cstheme="majorBidi"/>
          <w:color w:val="000000"/>
          <w:lang w:val="en-GB"/>
        </w:rPr>
        <w:t xml:space="preserve">and </w:t>
      </w:r>
      <w:r w:rsidRPr="00A469EA">
        <w:rPr>
          <w:rFonts w:asciiTheme="majorBidi" w:hAnsiTheme="majorBidi" w:cstheme="majorBidi"/>
          <w:color w:val="000000"/>
          <w:lang w:val="en-GB"/>
        </w:rPr>
        <w:t>strengthen systems</w:t>
      </w:r>
      <w:r w:rsidR="00BC0EFC" w:rsidRPr="00A469EA">
        <w:rPr>
          <w:rFonts w:asciiTheme="majorBidi" w:hAnsiTheme="majorBidi" w:cstheme="majorBidi"/>
          <w:color w:val="000000"/>
          <w:lang w:val="en-GB"/>
        </w:rPr>
        <w:t>,</w:t>
      </w:r>
      <w:r w:rsidRPr="00A469EA">
        <w:rPr>
          <w:rFonts w:asciiTheme="majorBidi" w:hAnsiTheme="majorBidi" w:cstheme="majorBidi"/>
          <w:color w:val="000000"/>
          <w:lang w:val="en-GB"/>
        </w:rPr>
        <w:t xml:space="preserve"> including monitoring and annual </w:t>
      </w:r>
      <w:r w:rsidR="00BC0EFC" w:rsidRPr="00A469EA">
        <w:rPr>
          <w:rFonts w:asciiTheme="majorBidi" w:hAnsiTheme="majorBidi" w:cstheme="majorBidi"/>
          <w:color w:val="000000"/>
          <w:lang w:val="en-GB"/>
        </w:rPr>
        <w:t>d</w:t>
      </w:r>
      <w:r w:rsidRPr="00A469EA">
        <w:rPr>
          <w:rFonts w:asciiTheme="majorBidi" w:hAnsiTheme="majorBidi" w:cstheme="majorBidi"/>
          <w:color w:val="000000"/>
          <w:lang w:val="en-GB"/>
        </w:rPr>
        <w:t xml:space="preserve">evelopment </w:t>
      </w:r>
      <w:r w:rsidR="00BC0EFC" w:rsidRPr="00A469EA">
        <w:rPr>
          <w:rFonts w:asciiTheme="majorBidi" w:hAnsiTheme="majorBidi" w:cstheme="majorBidi"/>
          <w:color w:val="000000"/>
          <w:lang w:val="en-GB"/>
        </w:rPr>
        <w:t>p</w:t>
      </w:r>
      <w:r w:rsidRPr="00A469EA">
        <w:rPr>
          <w:rFonts w:asciiTheme="majorBidi" w:hAnsiTheme="majorBidi" w:cstheme="majorBidi"/>
          <w:color w:val="000000"/>
          <w:lang w:val="en-GB"/>
        </w:rPr>
        <w:t>lans</w:t>
      </w:r>
      <w:r w:rsidR="00455DA4">
        <w:rPr>
          <w:rFonts w:asciiTheme="majorBidi" w:hAnsiTheme="majorBidi" w:cstheme="majorBidi"/>
          <w:color w:val="000000"/>
          <w:lang w:val="en-GB"/>
        </w:rPr>
        <w:t xml:space="preserve"> for the Goals</w:t>
      </w:r>
      <w:r w:rsidRPr="00A469EA">
        <w:rPr>
          <w:rFonts w:asciiTheme="majorBidi" w:hAnsiTheme="majorBidi" w:cstheme="majorBidi"/>
          <w:color w:val="000000"/>
          <w:lang w:val="en-GB"/>
        </w:rPr>
        <w:t xml:space="preserve">. </w:t>
      </w:r>
    </w:p>
    <w:p w14:paraId="78A4283D" w14:textId="36A4D436" w:rsidR="008943AD" w:rsidRPr="00CF609C" w:rsidRDefault="008943AD" w:rsidP="00AF7CCF">
      <w:pPr>
        <w:pStyle w:val="MediumGrid1-Accent21"/>
        <w:widowControl w:val="0"/>
        <w:numPr>
          <w:ilvl w:val="0"/>
          <w:numId w:val="39"/>
        </w:numPr>
        <w:tabs>
          <w:tab w:val="left" w:pos="360"/>
        </w:tabs>
        <w:autoSpaceDE w:val="0"/>
        <w:autoSpaceDN w:val="0"/>
        <w:adjustRightInd w:val="0"/>
        <w:ind w:left="0" w:right="450" w:firstLine="0"/>
        <w:jc w:val="both"/>
        <w:rPr>
          <w:rFonts w:ascii="Garamond" w:hAnsi="Garamond"/>
          <w:sz w:val="22"/>
          <w:szCs w:val="22"/>
          <w:lang w:val="en-GB" w:eastAsia="en-GB"/>
        </w:rPr>
      </w:pPr>
      <w:r w:rsidRPr="00A469EA">
        <w:rPr>
          <w:rFonts w:asciiTheme="majorBidi" w:eastAsia="Cambria" w:hAnsiTheme="majorBidi" w:cstheme="majorBidi"/>
          <w:lang w:val="en-GB"/>
        </w:rPr>
        <w:t xml:space="preserve">UNDP will contribute to the development and monitoring </w:t>
      </w:r>
      <w:r w:rsidR="00D024F4" w:rsidRPr="00A469EA">
        <w:rPr>
          <w:rFonts w:asciiTheme="majorBidi" w:eastAsia="Cambria" w:hAnsiTheme="majorBidi" w:cstheme="majorBidi"/>
          <w:lang w:val="en-GB"/>
        </w:rPr>
        <w:t xml:space="preserve">work </w:t>
      </w:r>
      <w:r w:rsidRPr="00A469EA">
        <w:rPr>
          <w:rFonts w:asciiTheme="majorBidi" w:eastAsia="Cambria" w:hAnsiTheme="majorBidi" w:cstheme="majorBidi"/>
          <w:lang w:val="en-GB"/>
        </w:rPr>
        <w:t>of the U</w:t>
      </w:r>
      <w:r w:rsidR="00AB3761" w:rsidRPr="00A469EA">
        <w:rPr>
          <w:rFonts w:asciiTheme="majorBidi" w:eastAsia="Cambria" w:hAnsiTheme="majorBidi" w:cstheme="majorBidi"/>
          <w:lang w:val="en-GB"/>
        </w:rPr>
        <w:t xml:space="preserve">nited </w:t>
      </w:r>
      <w:r w:rsidRPr="00A469EA">
        <w:rPr>
          <w:rFonts w:asciiTheme="majorBidi" w:eastAsia="Cambria" w:hAnsiTheme="majorBidi" w:cstheme="majorBidi"/>
          <w:lang w:val="en-GB"/>
        </w:rPr>
        <w:t>N</w:t>
      </w:r>
      <w:r w:rsidR="00AB3761" w:rsidRPr="00A469EA">
        <w:rPr>
          <w:rFonts w:asciiTheme="majorBidi" w:eastAsia="Cambria" w:hAnsiTheme="majorBidi" w:cstheme="majorBidi"/>
          <w:lang w:val="en-GB"/>
        </w:rPr>
        <w:t>ations</w:t>
      </w:r>
      <w:r w:rsidRPr="00A469EA">
        <w:rPr>
          <w:rFonts w:asciiTheme="majorBidi" w:eastAsia="Cambria" w:hAnsiTheme="majorBidi" w:cstheme="majorBidi"/>
          <w:lang w:val="en-GB"/>
        </w:rPr>
        <w:t xml:space="preserve"> Programme Monitoring and Evaluation Group to facilitate coordination, joint programming and harmonized results-based management approaches. </w:t>
      </w:r>
      <w:r w:rsidR="00AB3761" w:rsidRPr="00A469EA">
        <w:rPr>
          <w:rFonts w:asciiTheme="majorBidi" w:eastAsia="Cambria" w:hAnsiTheme="majorBidi" w:cstheme="majorBidi"/>
          <w:lang w:val="en-GB"/>
        </w:rPr>
        <w:t>It will maximize u</w:t>
      </w:r>
      <w:r w:rsidRPr="00A469EA">
        <w:rPr>
          <w:rFonts w:asciiTheme="majorBidi" w:eastAsia="Cambria" w:hAnsiTheme="majorBidi" w:cstheme="majorBidi"/>
          <w:lang w:val="en-GB"/>
        </w:rPr>
        <w:t xml:space="preserve">se of national data and </w:t>
      </w:r>
      <w:r w:rsidR="00AB3761" w:rsidRPr="00A469EA">
        <w:rPr>
          <w:rFonts w:asciiTheme="majorBidi" w:eastAsia="Cambria" w:hAnsiTheme="majorBidi" w:cstheme="majorBidi"/>
          <w:lang w:val="en-GB"/>
        </w:rPr>
        <w:t xml:space="preserve">monitoring and </w:t>
      </w:r>
      <w:r w:rsidR="00C42393" w:rsidRPr="00A469EA">
        <w:rPr>
          <w:rFonts w:asciiTheme="majorBidi" w:eastAsia="Cambria" w:hAnsiTheme="majorBidi" w:cstheme="majorBidi"/>
          <w:lang w:val="en-GB"/>
        </w:rPr>
        <w:t>evaluation</w:t>
      </w:r>
      <w:r w:rsidR="00AB3761" w:rsidRPr="00A469EA">
        <w:rPr>
          <w:rFonts w:asciiTheme="majorBidi" w:eastAsia="Cambria" w:hAnsiTheme="majorBidi" w:cstheme="majorBidi"/>
          <w:lang w:val="en-GB"/>
        </w:rPr>
        <w:t xml:space="preserve"> </w:t>
      </w:r>
      <w:r w:rsidRPr="00A469EA">
        <w:rPr>
          <w:rFonts w:asciiTheme="majorBidi" w:eastAsia="Cambria" w:hAnsiTheme="majorBidi" w:cstheme="majorBidi"/>
          <w:lang w:val="en-GB"/>
        </w:rPr>
        <w:t xml:space="preserve">systems, and </w:t>
      </w:r>
      <w:r w:rsidR="00AB3761" w:rsidRPr="00A469EA">
        <w:rPr>
          <w:rFonts w:asciiTheme="majorBidi" w:eastAsia="Cambria" w:hAnsiTheme="majorBidi" w:cstheme="majorBidi"/>
          <w:lang w:val="en-GB"/>
        </w:rPr>
        <w:t xml:space="preserve">strengthen </w:t>
      </w:r>
      <w:r w:rsidRPr="00A469EA">
        <w:rPr>
          <w:rFonts w:asciiTheme="majorBidi" w:eastAsia="Cambria" w:hAnsiTheme="majorBidi" w:cstheme="majorBidi"/>
          <w:lang w:val="en-GB"/>
        </w:rPr>
        <w:t>capacity for quality data generation</w:t>
      </w:r>
      <w:r w:rsidR="001F5F38" w:rsidRPr="00A469EA">
        <w:rPr>
          <w:rFonts w:asciiTheme="majorBidi" w:eastAsia="Cambria" w:hAnsiTheme="majorBidi" w:cstheme="majorBidi"/>
          <w:lang w:val="en-GB"/>
        </w:rPr>
        <w:t>.</w:t>
      </w:r>
    </w:p>
    <w:p w14:paraId="0D6E4480" w14:textId="77777777" w:rsidR="00455DA4" w:rsidRPr="00A469EA" w:rsidRDefault="00455DA4" w:rsidP="00CF609C">
      <w:pPr>
        <w:pStyle w:val="MediumGrid1-Accent21"/>
        <w:widowControl w:val="0"/>
        <w:tabs>
          <w:tab w:val="left" w:pos="360"/>
        </w:tabs>
        <w:autoSpaceDE w:val="0"/>
        <w:autoSpaceDN w:val="0"/>
        <w:adjustRightInd w:val="0"/>
        <w:ind w:left="0" w:right="450"/>
        <w:jc w:val="both"/>
        <w:rPr>
          <w:rFonts w:ascii="Garamond" w:hAnsi="Garamond"/>
          <w:sz w:val="22"/>
          <w:szCs w:val="22"/>
          <w:lang w:val="en-GB" w:eastAsia="en-GB"/>
        </w:rPr>
      </w:pPr>
    </w:p>
    <w:p w14:paraId="11A97F64" w14:textId="77777777" w:rsidR="006C589E" w:rsidRPr="00A469EA" w:rsidRDefault="006C589E" w:rsidP="0030441F">
      <w:pPr>
        <w:tabs>
          <w:tab w:val="left" w:pos="720"/>
        </w:tabs>
        <w:spacing w:after="120"/>
        <w:ind w:right="20"/>
        <w:jc w:val="both"/>
        <w:rPr>
          <w:color w:val="000000"/>
          <w:lang w:val="en-GB"/>
        </w:rPr>
      </w:pPr>
    </w:p>
    <w:p w14:paraId="2E88DA73" w14:textId="77777777" w:rsidR="006C589E" w:rsidRPr="00A469EA" w:rsidRDefault="006C589E" w:rsidP="0030441F">
      <w:pPr>
        <w:tabs>
          <w:tab w:val="left" w:pos="720"/>
        </w:tabs>
        <w:spacing w:after="120"/>
        <w:ind w:right="20"/>
        <w:jc w:val="both"/>
        <w:rPr>
          <w:color w:val="000000"/>
          <w:lang w:val="en-GB"/>
        </w:rPr>
        <w:sectPr w:rsidR="006C589E" w:rsidRPr="00A469EA" w:rsidSect="007B10BD">
          <w:headerReference w:type="even" r:id="rId13"/>
          <w:headerReference w:type="default" r:id="rId14"/>
          <w:footerReference w:type="even" r:id="rId15"/>
          <w:footerReference w:type="default" r:id="rId16"/>
          <w:headerReference w:type="first" r:id="rId17"/>
          <w:pgSz w:w="11900" w:h="16840"/>
          <w:pgMar w:top="1152" w:right="1296" w:bottom="1152" w:left="2246" w:header="720" w:footer="720" w:gutter="0"/>
          <w:cols w:space="720"/>
          <w:titlePg/>
          <w:docGrid w:linePitch="272"/>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5130"/>
        <w:gridCol w:w="1980"/>
        <w:gridCol w:w="1980"/>
      </w:tblGrid>
      <w:tr w:rsidR="00F30064" w:rsidRPr="00A469EA" w14:paraId="00560754" w14:textId="77777777" w:rsidTr="00257F40">
        <w:trPr>
          <w:trHeight w:val="485"/>
        </w:trPr>
        <w:tc>
          <w:tcPr>
            <w:tcW w:w="13158" w:type="dxa"/>
            <w:gridSpan w:val="5"/>
            <w:tcBorders>
              <w:top w:val="nil"/>
              <w:left w:val="nil"/>
              <w:right w:val="nil"/>
            </w:tcBorders>
            <w:shd w:val="clear" w:color="auto" w:fill="auto"/>
            <w:vAlign w:val="center"/>
          </w:tcPr>
          <w:p w14:paraId="70B23988" w14:textId="31822A9F" w:rsidR="00F30064" w:rsidRPr="00A469EA" w:rsidRDefault="000A3C51" w:rsidP="005B4F1C">
            <w:pPr>
              <w:tabs>
                <w:tab w:val="left" w:pos="1620"/>
              </w:tabs>
              <w:spacing w:after="120"/>
              <w:rPr>
                <w:b/>
                <w:color w:val="000000"/>
                <w:sz w:val="24"/>
                <w:szCs w:val="24"/>
                <w:lang w:val="en-GB" w:eastAsia="fr-FR"/>
              </w:rPr>
            </w:pPr>
            <w:r w:rsidRPr="00A469EA">
              <w:rPr>
                <w:b/>
                <w:bCs/>
                <w:color w:val="000000"/>
                <w:sz w:val="24"/>
                <w:szCs w:val="24"/>
                <w:lang w:val="en-GB" w:eastAsia="fr-FR"/>
              </w:rPr>
              <w:lastRenderedPageBreak/>
              <w:t xml:space="preserve">Annex. </w:t>
            </w:r>
            <w:r w:rsidRPr="00A469EA">
              <w:rPr>
                <w:b/>
                <w:bCs/>
                <w:color w:val="000000"/>
                <w:kern w:val="14"/>
                <w:sz w:val="24"/>
                <w:szCs w:val="24"/>
                <w:lang w:val="en-GB" w:eastAsia="fr-FR"/>
              </w:rPr>
              <w:t>Results and resources framework for Pakistan (2018-2022)</w:t>
            </w:r>
          </w:p>
        </w:tc>
      </w:tr>
      <w:tr w:rsidR="00E82198" w:rsidRPr="00A469EA" w14:paraId="30C1D1C2" w14:textId="77777777" w:rsidTr="00E52660">
        <w:trPr>
          <w:trHeight w:val="458"/>
        </w:trPr>
        <w:tc>
          <w:tcPr>
            <w:tcW w:w="13158" w:type="dxa"/>
            <w:gridSpan w:val="5"/>
            <w:shd w:val="clear" w:color="auto" w:fill="auto"/>
            <w:vAlign w:val="center"/>
          </w:tcPr>
          <w:p w14:paraId="019AF551" w14:textId="6837EF39" w:rsidR="00F110F0" w:rsidRPr="00A469EA" w:rsidRDefault="006C589E" w:rsidP="00E52660">
            <w:pPr>
              <w:rPr>
                <w:bCs/>
                <w:iCs/>
                <w:sz w:val="18"/>
                <w:szCs w:val="18"/>
                <w:lang w:val="en-GB"/>
              </w:rPr>
            </w:pPr>
            <w:r w:rsidRPr="00A469EA">
              <w:rPr>
                <w:b/>
                <w:bCs/>
                <w:sz w:val="18"/>
                <w:szCs w:val="18"/>
                <w:lang w:val="en-GB"/>
              </w:rPr>
              <w:t xml:space="preserve">NATIONAL PRIORITY: </w:t>
            </w:r>
            <w:r w:rsidR="00B91882" w:rsidRPr="00A469EA">
              <w:rPr>
                <w:bCs/>
                <w:iCs/>
                <w:sz w:val="18"/>
                <w:szCs w:val="18"/>
                <w:lang w:val="en-GB"/>
              </w:rPr>
              <w:t xml:space="preserve">Vision 2025: Pillar 3 – Governance, </w:t>
            </w:r>
            <w:r w:rsidR="0073376F">
              <w:rPr>
                <w:bCs/>
                <w:iCs/>
                <w:sz w:val="18"/>
                <w:szCs w:val="18"/>
                <w:lang w:val="en-GB"/>
              </w:rPr>
              <w:t>i</w:t>
            </w:r>
            <w:r w:rsidR="00B91882" w:rsidRPr="00A469EA">
              <w:rPr>
                <w:bCs/>
                <w:iCs/>
                <w:sz w:val="18"/>
                <w:szCs w:val="18"/>
                <w:lang w:val="en-GB"/>
              </w:rPr>
              <w:t xml:space="preserve">nstitutional </w:t>
            </w:r>
            <w:r w:rsidR="0073376F">
              <w:rPr>
                <w:bCs/>
                <w:iCs/>
                <w:sz w:val="18"/>
                <w:szCs w:val="18"/>
                <w:lang w:val="en-GB"/>
              </w:rPr>
              <w:t>r</w:t>
            </w:r>
            <w:r w:rsidR="00B91882" w:rsidRPr="00A469EA">
              <w:rPr>
                <w:bCs/>
                <w:iCs/>
                <w:sz w:val="18"/>
                <w:szCs w:val="18"/>
                <w:lang w:val="en-GB"/>
              </w:rPr>
              <w:t xml:space="preserve">eform and </w:t>
            </w:r>
            <w:r w:rsidR="00CF609C">
              <w:rPr>
                <w:bCs/>
                <w:iCs/>
                <w:sz w:val="18"/>
                <w:szCs w:val="18"/>
                <w:lang w:val="en-GB"/>
              </w:rPr>
              <w:t>m</w:t>
            </w:r>
            <w:r w:rsidR="00CF609C" w:rsidRPr="00A469EA">
              <w:rPr>
                <w:bCs/>
                <w:iCs/>
                <w:sz w:val="18"/>
                <w:szCs w:val="18"/>
                <w:lang w:val="en-GB"/>
              </w:rPr>
              <w:t>oderniza</w:t>
            </w:r>
            <w:r w:rsidR="00CF609C">
              <w:rPr>
                <w:bCs/>
                <w:iCs/>
                <w:sz w:val="18"/>
                <w:szCs w:val="18"/>
                <w:lang w:val="en-GB"/>
              </w:rPr>
              <w:t>t</w:t>
            </w:r>
            <w:r w:rsidR="00CF609C" w:rsidRPr="00A469EA">
              <w:rPr>
                <w:bCs/>
                <w:iCs/>
                <w:sz w:val="18"/>
                <w:szCs w:val="18"/>
                <w:lang w:val="en-GB"/>
              </w:rPr>
              <w:t>ion</w:t>
            </w:r>
            <w:r w:rsidR="00B91882" w:rsidRPr="00A469EA">
              <w:rPr>
                <w:bCs/>
                <w:iCs/>
                <w:sz w:val="18"/>
                <w:szCs w:val="18"/>
                <w:lang w:val="en-GB"/>
              </w:rPr>
              <w:t xml:space="preserve"> of the </w:t>
            </w:r>
            <w:r w:rsidR="0073376F">
              <w:rPr>
                <w:bCs/>
                <w:iCs/>
                <w:sz w:val="18"/>
                <w:szCs w:val="18"/>
                <w:lang w:val="en-GB"/>
              </w:rPr>
              <w:t>p</w:t>
            </w:r>
            <w:r w:rsidR="00B91882" w:rsidRPr="00A469EA">
              <w:rPr>
                <w:bCs/>
                <w:iCs/>
                <w:sz w:val="18"/>
                <w:szCs w:val="18"/>
                <w:lang w:val="en-GB"/>
              </w:rPr>
              <w:t xml:space="preserve">ublic </w:t>
            </w:r>
            <w:r w:rsidR="0073376F">
              <w:rPr>
                <w:bCs/>
                <w:iCs/>
                <w:sz w:val="18"/>
                <w:szCs w:val="18"/>
                <w:lang w:val="en-GB"/>
              </w:rPr>
              <w:t>s</w:t>
            </w:r>
            <w:r w:rsidR="00B91882" w:rsidRPr="00A469EA">
              <w:rPr>
                <w:bCs/>
                <w:iCs/>
                <w:sz w:val="18"/>
                <w:szCs w:val="18"/>
                <w:lang w:val="en-GB"/>
              </w:rPr>
              <w:t>ector.</w:t>
            </w:r>
          </w:p>
        </w:tc>
      </w:tr>
      <w:tr w:rsidR="00E82198" w:rsidRPr="00A469EA" w14:paraId="0037BCB7" w14:textId="77777777" w:rsidTr="00E52660">
        <w:trPr>
          <w:trHeight w:val="512"/>
        </w:trPr>
        <w:tc>
          <w:tcPr>
            <w:tcW w:w="13158" w:type="dxa"/>
            <w:gridSpan w:val="5"/>
            <w:shd w:val="clear" w:color="auto" w:fill="auto"/>
            <w:vAlign w:val="center"/>
          </w:tcPr>
          <w:p w14:paraId="1698D533" w14:textId="689EDEFF" w:rsidR="00F110F0" w:rsidRPr="00A469EA" w:rsidRDefault="000105D1" w:rsidP="005B4F1C">
            <w:pPr>
              <w:rPr>
                <w:b/>
                <w:bCs/>
                <w:i/>
                <w:iCs/>
                <w:sz w:val="18"/>
                <w:szCs w:val="18"/>
                <w:lang w:val="en-GB"/>
              </w:rPr>
            </w:pPr>
            <w:r w:rsidRPr="00A469EA">
              <w:rPr>
                <w:b/>
                <w:bCs/>
                <w:sz w:val="18"/>
                <w:szCs w:val="18"/>
                <w:lang w:val="en-GB"/>
              </w:rPr>
              <w:t>Outcome 1</w:t>
            </w:r>
            <w:r w:rsidR="0007083F" w:rsidRPr="00A469EA">
              <w:rPr>
                <w:b/>
                <w:bCs/>
                <w:sz w:val="18"/>
                <w:szCs w:val="18"/>
                <w:lang w:val="en-GB"/>
              </w:rPr>
              <w:t>: (</w:t>
            </w:r>
            <w:r w:rsidR="00B91882" w:rsidRPr="00A469EA">
              <w:rPr>
                <w:b/>
                <w:bCs/>
                <w:sz w:val="18"/>
                <w:szCs w:val="18"/>
                <w:lang w:val="en-GB"/>
              </w:rPr>
              <w:t>UNSDF Outcome 9</w:t>
            </w:r>
            <w:r w:rsidR="0007083F" w:rsidRPr="00A469EA">
              <w:rPr>
                <w:b/>
                <w:bCs/>
                <w:sz w:val="18"/>
                <w:szCs w:val="18"/>
                <w:lang w:val="en-GB"/>
              </w:rPr>
              <w:t>)</w:t>
            </w:r>
            <w:r w:rsidR="006C589E" w:rsidRPr="00A469EA">
              <w:rPr>
                <w:b/>
                <w:bCs/>
                <w:sz w:val="18"/>
                <w:szCs w:val="18"/>
                <w:lang w:val="en-GB"/>
              </w:rPr>
              <w:t>:</w:t>
            </w:r>
            <w:r w:rsidR="005B4F1C" w:rsidRPr="00A469EA">
              <w:rPr>
                <w:b/>
                <w:bCs/>
                <w:sz w:val="18"/>
                <w:szCs w:val="18"/>
                <w:lang w:val="en-GB"/>
              </w:rPr>
              <w:t xml:space="preserve"> </w:t>
            </w:r>
            <w:r w:rsidR="005B4F1C" w:rsidRPr="00A469EA">
              <w:rPr>
                <w:bCs/>
                <w:sz w:val="18"/>
                <w:szCs w:val="18"/>
                <w:lang w:val="en-GB"/>
              </w:rPr>
              <w:t>Increased effectiveness and accountability of governance mechanisms</w:t>
            </w:r>
            <w:r w:rsidR="0073376F">
              <w:rPr>
                <w:bCs/>
                <w:sz w:val="18"/>
                <w:szCs w:val="18"/>
                <w:lang w:val="en-GB"/>
              </w:rPr>
              <w:t>.</w:t>
            </w:r>
            <w:r w:rsidR="005B4F1C" w:rsidRPr="00A469EA">
              <w:rPr>
                <w:rStyle w:val="FootnoteReference"/>
                <w:b/>
                <w:lang w:val="en-GB"/>
              </w:rPr>
              <w:footnoteReference w:id="34"/>
            </w:r>
          </w:p>
        </w:tc>
      </w:tr>
      <w:tr w:rsidR="00E82198" w:rsidRPr="00A469EA" w14:paraId="04870541" w14:textId="77777777" w:rsidTr="00E52660">
        <w:trPr>
          <w:trHeight w:val="278"/>
        </w:trPr>
        <w:tc>
          <w:tcPr>
            <w:tcW w:w="13158" w:type="dxa"/>
            <w:gridSpan w:val="5"/>
            <w:shd w:val="clear" w:color="auto" w:fill="auto"/>
            <w:vAlign w:val="center"/>
          </w:tcPr>
          <w:p w14:paraId="754F76A1" w14:textId="43482E91" w:rsidR="00F110F0" w:rsidRPr="00A469EA" w:rsidRDefault="00081553" w:rsidP="00E52660">
            <w:pPr>
              <w:rPr>
                <w:b/>
                <w:bCs/>
                <w:i/>
                <w:iCs/>
                <w:sz w:val="18"/>
                <w:szCs w:val="18"/>
                <w:lang w:val="en-GB"/>
              </w:rPr>
            </w:pPr>
            <w:r w:rsidRPr="00A469EA">
              <w:rPr>
                <w:b/>
                <w:bCs/>
                <w:sz w:val="18"/>
                <w:szCs w:val="18"/>
                <w:lang w:val="en-GB"/>
              </w:rPr>
              <w:t>UNDP</w:t>
            </w:r>
            <w:r w:rsidR="006C589E" w:rsidRPr="00A469EA">
              <w:rPr>
                <w:b/>
                <w:bCs/>
                <w:sz w:val="18"/>
                <w:szCs w:val="18"/>
                <w:lang w:val="en-GB"/>
              </w:rPr>
              <w:t xml:space="preserve"> STRATEGIC PLAN OUTCOME 3: </w:t>
            </w:r>
            <w:r w:rsidR="006C589E" w:rsidRPr="00A469EA">
              <w:rPr>
                <w:bCs/>
                <w:iCs/>
                <w:sz w:val="18"/>
                <w:szCs w:val="18"/>
                <w:lang w:val="en-GB"/>
              </w:rPr>
              <w:t>Countries have strengthened institutions to progressively deliver universal access to basic services</w:t>
            </w:r>
            <w:r w:rsidR="00495669" w:rsidRPr="00A469EA">
              <w:rPr>
                <w:bCs/>
                <w:iCs/>
                <w:sz w:val="18"/>
                <w:szCs w:val="18"/>
                <w:lang w:val="en-GB"/>
              </w:rPr>
              <w:t>.</w:t>
            </w:r>
          </w:p>
        </w:tc>
      </w:tr>
      <w:tr w:rsidR="00E82198" w:rsidRPr="00A469EA" w14:paraId="74C9F784" w14:textId="77777777" w:rsidTr="00257F40">
        <w:tc>
          <w:tcPr>
            <w:tcW w:w="2358" w:type="dxa"/>
            <w:shd w:val="clear" w:color="auto" w:fill="auto"/>
            <w:vAlign w:val="center"/>
            <w:hideMark/>
          </w:tcPr>
          <w:p w14:paraId="34714512" w14:textId="432F562A" w:rsidR="00B31CED" w:rsidRPr="00A469EA" w:rsidRDefault="00B31CED" w:rsidP="00B31CED">
            <w:pPr>
              <w:tabs>
                <w:tab w:val="left" w:pos="1620"/>
              </w:tabs>
              <w:contextualSpacing/>
              <w:jc w:val="center"/>
              <w:rPr>
                <w:b/>
                <w:bCs/>
                <w:color w:val="000000"/>
                <w:sz w:val="18"/>
                <w:szCs w:val="18"/>
                <w:lang w:val="en-GB" w:eastAsia="fr-FR"/>
              </w:rPr>
            </w:pPr>
            <w:r w:rsidRPr="00A469EA">
              <w:rPr>
                <w:b/>
                <w:bCs/>
                <w:color w:val="000000"/>
                <w:sz w:val="18"/>
                <w:szCs w:val="18"/>
                <w:lang w:val="en-GB" w:eastAsia="fr-FR"/>
              </w:rPr>
              <w:t>UN</w:t>
            </w:r>
            <w:r w:rsidR="00B91882" w:rsidRPr="00A469EA">
              <w:rPr>
                <w:b/>
                <w:bCs/>
                <w:color w:val="000000"/>
                <w:sz w:val="18"/>
                <w:szCs w:val="18"/>
                <w:lang w:val="en-GB" w:eastAsia="fr-FR"/>
              </w:rPr>
              <w:t>SDF</w:t>
            </w:r>
            <w:r w:rsidRPr="00A469EA">
              <w:rPr>
                <w:b/>
                <w:bCs/>
                <w:color w:val="000000"/>
                <w:sz w:val="18"/>
                <w:szCs w:val="18"/>
                <w:lang w:val="en-GB" w:eastAsia="fr-FR"/>
              </w:rPr>
              <w:t xml:space="preserve"> </w:t>
            </w:r>
            <w:r w:rsidR="00F54308">
              <w:rPr>
                <w:b/>
                <w:bCs/>
                <w:color w:val="000000"/>
                <w:sz w:val="18"/>
                <w:szCs w:val="18"/>
                <w:lang w:val="en-GB" w:eastAsia="fr-FR"/>
              </w:rPr>
              <w:t>o</w:t>
            </w:r>
            <w:r w:rsidRPr="00A469EA">
              <w:rPr>
                <w:b/>
                <w:bCs/>
                <w:color w:val="000000"/>
                <w:sz w:val="18"/>
                <w:szCs w:val="18"/>
                <w:lang w:val="en-GB" w:eastAsia="fr-FR"/>
              </w:rPr>
              <w:t>utcome indicators,</w:t>
            </w:r>
          </w:p>
          <w:p w14:paraId="4AE13128" w14:textId="78738AF1" w:rsidR="006C589E" w:rsidRPr="00A469EA" w:rsidRDefault="00B31CED" w:rsidP="00B31CED">
            <w:pPr>
              <w:jc w:val="center"/>
              <w:rPr>
                <w:b/>
                <w:bCs/>
                <w:sz w:val="18"/>
                <w:szCs w:val="18"/>
                <w:lang w:val="en-GB"/>
              </w:rPr>
            </w:pPr>
            <w:r w:rsidRPr="00A469EA">
              <w:rPr>
                <w:b/>
                <w:bCs/>
                <w:color w:val="000000"/>
                <w:sz w:val="18"/>
                <w:szCs w:val="18"/>
                <w:lang w:val="en-GB" w:eastAsia="fr-FR"/>
              </w:rPr>
              <w:t>baselines and targets</w:t>
            </w:r>
          </w:p>
        </w:tc>
        <w:tc>
          <w:tcPr>
            <w:tcW w:w="1710" w:type="dxa"/>
            <w:shd w:val="clear" w:color="auto" w:fill="auto"/>
            <w:vAlign w:val="center"/>
            <w:hideMark/>
          </w:tcPr>
          <w:p w14:paraId="3C279B41" w14:textId="38397651" w:rsidR="006C589E" w:rsidRPr="00A469EA" w:rsidRDefault="007C2157" w:rsidP="007C2157">
            <w:pPr>
              <w:jc w:val="center"/>
              <w:rPr>
                <w:b/>
                <w:bCs/>
                <w:sz w:val="18"/>
                <w:szCs w:val="18"/>
                <w:lang w:val="en-GB"/>
              </w:rPr>
            </w:pPr>
            <w:r w:rsidRPr="00A469EA">
              <w:rPr>
                <w:b/>
                <w:bCs/>
                <w:color w:val="000000"/>
                <w:sz w:val="18"/>
                <w:szCs w:val="18"/>
                <w:lang w:val="en-GB" w:eastAsia="fr-FR"/>
              </w:rPr>
              <w:t>Data source and frequency of data collection, and responsibilities</w:t>
            </w:r>
          </w:p>
        </w:tc>
        <w:tc>
          <w:tcPr>
            <w:tcW w:w="5130" w:type="dxa"/>
            <w:shd w:val="clear" w:color="auto" w:fill="auto"/>
            <w:vAlign w:val="center"/>
            <w:hideMark/>
          </w:tcPr>
          <w:p w14:paraId="7F728A31" w14:textId="682C7FFF" w:rsidR="006C589E" w:rsidRPr="00A469EA" w:rsidRDefault="007C2157" w:rsidP="008C23EA">
            <w:pPr>
              <w:jc w:val="center"/>
              <w:rPr>
                <w:b/>
                <w:bCs/>
                <w:sz w:val="18"/>
                <w:szCs w:val="18"/>
                <w:lang w:val="en-GB"/>
              </w:rPr>
            </w:pPr>
            <w:r w:rsidRPr="00A469EA">
              <w:rPr>
                <w:b/>
                <w:bCs/>
                <w:color w:val="000000"/>
                <w:sz w:val="18"/>
                <w:szCs w:val="18"/>
                <w:lang w:val="en-GB" w:eastAsia="fr-FR"/>
              </w:rPr>
              <w:t>Indicative country programme outputs</w:t>
            </w:r>
            <w:r w:rsidRPr="00A469EA">
              <w:rPr>
                <w:b/>
                <w:bCs/>
                <w:i/>
                <w:iCs/>
                <w:sz w:val="18"/>
                <w:szCs w:val="18"/>
                <w:lang w:val="en-GB"/>
              </w:rPr>
              <w:t xml:space="preserve"> </w:t>
            </w:r>
            <w:r w:rsidR="006C589E" w:rsidRPr="00CF609C">
              <w:rPr>
                <w:b/>
                <w:bCs/>
                <w:iCs/>
                <w:sz w:val="18"/>
                <w:szCs w:val="18"/>
                <w:lang w:val="en-GB"/>
              </w:rPr>
              <w:t>(including indicators, baselines targets)</w:t>
            </w:r>
          </w:p>
        </w:tc>
        <w:tc>
          <w:tcPr>
            <w:tcW w:w="1980" w:type="dxa"/>
            <w:shd w:val="clear" w:color="auto" w:fill="auto"/>
            <w:vAlign w:val="center"/>
            <w:hideMark/>
          </w:tcPr>
          <w:p w14:paraId="3D8DCFA1" w14:textId="76529C40" w:rsidR="007D4839" w:rsidRPr="00A469EA" w:rsidRDefault="007D4839" w:rsidP="007D4839">
            <w:pPr>
              <w:tabs>
                <w:tab w:val="left" w:pos="1620"/>
              </w:tabs>
              <w:contextualSpacing/>
              <w:jc w:val="center"/>
              <w:rPr>
                <w:b/>
                <w:bCs/>
                <w:color w:val="000000"/>
                <w:sz w:val="18"/>
                <w:szCs w:val="18"/>
                <w:lang w:val="en-GB" w:eastAsia="fr-FR"/>
              </w:rPr>
            </w:pPr>
            <w:r w:rsidRPr="00A469EA">
              <w:rPr>
                <w:b/>
                <w:bCs/>
                <w:color w:val="000000"/>
                <w:sz w:val="18"/>
                <w:szCs w:val="18"/>
                <w:lang w:val="en-GB" w:eastAsia="fr-FR"/>
              </w:rPr>
              <w:t>Major partners/</w:t>
            </w:r>
          </w:p>
          <w:p w14:paraId="6BCBB039" w14:textId="5A414985" w:rsidR="006C589E" w:rsidRPr="00A469EA" w:rsidRDefault="007D4839" w:rsidP="007D4839">
            <w:pPr>
              <w:jc w:val="center"/>
              <w:rPr>
                <w:b/>
                <w:bCs/>
                <w:sz w:val="18"/>
                <w:szCs w:val="18"/>
                <w:lang w:val="en-GB"/>
              </w:rPr>
            </w:pPr>
            <w:r w:rsidRPr="00A469EA">
              <w:rPr>
                <w:b/>
                <w:bCs/>
                <w:color w:val="000000"/>
                <w:sz w:val="18"/>
                <w:szCs w:val="18"/>
                <w:lang w:val="en-GB" w:eastAsia="fr-FR"/>
              </w:rPr>
              <w:t>partnerships</w:t>
            </w:r>
          </w:p>
        </w:tc>
        <w:tc>
          <w:tcPr>
            <w:tcW w:w="1980" w:type="dxa"/>
            <w:shd w:val="clear" w:color="auto" w:fill="auto"/>
            <w:vAlign w:val="center"/>
            <w:hideMark/>
          </w:tcPr>
          <w:p w14:paraId="00346316" w14:textId="78960BC8" w:rsidR="006C589E" w:rsidRPr="00A469EA" w:rsidRDefault="007D4839">
            <w:pPr>
              <w:jc w:val="center"/>
              <w:rPr>
                <w:b/>
                <w:bCs/>
                <w:sz w:val="18"/>
                <w:szCs w:val="18"/>
                <w:lang w:val="en-GB"/>
              </w:rPr>
            </w:pPr>
            <w:r w:rsidRPr="00A469EA">
              <w:rPr>
                <w:b/>
                <w:bCs/>
                <w:color w:val="000000"/>
                <w:sz w:val="18"/>
                <w:szCs w:val="18"/>
                <w:lang w:val="en-GB" w:eastAsia="fr-FR"/>
              </w:rPr>
              <w:t xml:space="preserve">Indicative resources by outcome </w:t>
            </w:r>
            <w:r w:rsidRPr="00CF609C">
              <w:rPr>
                <w:bCs/>
                <w:i/>
                <w:color w:val="000000"/>
                <w:sz w:val="18"/>
                <w:szCs w:val="18"/>
                <w:lang w:val="en-GB" w:eastAsia="fr-FR"/>
              </w:rPr>
              <w:t>(in thousands</w:t>
            </w:r>
            <w:r w:rsidR="00F110F0" w:rsidRPr="00CF609C">
              <w:rPr>
                <w:bCs/>
                <w:i/>
                <w:color w:val="000000"/>
                <w:sz w:val="18"/>
                <w:szCs w:val="18"/>
                <w:lang w:val="en-GB" w:eastAsia="fr-FR"/>
              </w:rPr>
              <w:t xml:space="preserve"> of </w:t>
            </w:r>
            <w:r w:rsidR="008D4C72" w:rsidRPr="00CF609C">
              <w:rPr>
                <w:bCs/>
                <w:i/>
                <w:color w:val="000000"/>
                <w:sz w:val="18"/>
                <w:szCs w:val="18"/>
                <w:lang w:val="en-GB" w:eastAsia="fr-FR"/>
              </w:rPr>
              <w:t>United States dollars</w:t>
            </w:r>
            <w:r w:rsidRPr="00CF609C">
              <w:rPr>
                <w:bCs/>
                <w:i/>
                <w:color w:val="000000"/>
                <w:sz w:val="18"/>
                <w:szCs w:val="18"/>
                <w:lang w:val="en-GB" w:eastAsia="fr-FR"/>
              </w:rPr>
              <w:t>)</w:t>
            </w:r>
          </w:p>
        </w:tc>
      </w:tr>
      <w:tr w:rsidR="00E82198" w:rsidRPr="00A469EA" w14:paraId="435F967A" w14:textId="77777777" w:rsidTr="008C23EA">
        <w:tc>
          <w:tcPr>
            <w:tcW w:w="2358" w:type="dxa"/>
            <w:vMerge w:val="restart"/>
            <w:shd w:val="clear" w:color="auto" w:fill="auto"/>
            <w:vAlign w:val="center"/>
            <w:hideMark/>
          </w:tcPr>
          <w:p w14:paraId="03296976" w14:textId="1C34C0E6" w:rsidR="006C589E" w:rsidRPr="00A469EA" w:rsidRDefault="00B91882" w:rsidP="00DB7EC5">
            <w:pPr>
              <w:rPr>
                <w:sz w:val="18"/>
                <w:szCs w:val="18"/>
                <w:lang w:val="en-GB"/>
              </w:rPr>
            </w:pPr>
            <w:r w:rsidRPr="00A469EA">
              <w:rPr>
                <w:b/>
                <w:bCs/>
                <w:sz w:val="18"/>
                <w:szCs w:val="18"/>
                <w:lang w:val="en-GB"/>
              </w:rPr>
              <w:t>UNSDF</w:t>
            </w:r>
            <w:r w:rsidR="00495669" w:rsidRPr="00A469EA">
              <w:rPr>
                <w:rStyle w:val="FootnoteReference"/>
                <w:b/>
                <w:bCs/>
                <w:sz w:val="18"/>
                <w:szCs w:val="18"/>
                <w:lang w:val="en-GB"/>
              </w:rPr>
              <w:footnoteReference w:id="35"/>
            </w:r>
            <w:r w:rsidR="006C589E" w:rsidRPr="00A469EA">
              <w:rPr>
                <w:b/>
                <w:bCs/>
                <w:sz w:val="18"/>
                <w:szCs w:val="18"/>
                <w:lang w:val="en-GB"/>
              </w:rPr>
              <w:t xml:space="preserve"> </w:t>
            </w:r>
            <w:r w:rsidR="000C4DD2" w:rsidRPr="00A469EA">
              <w:rPr>
                <w:b/>
                <w:bCs/>
                <w:sz w:val="18"/>
                <w:szCs w:val="18"/>
                <w:lang w:val="en-GB"/>
              </w:rPr>
              <w:t>i</w:t>
            </w:r>
            <w:r w:rsidR="006C589E" w:rsidRPr="00A469EA">
              <w:rPr>
                <w:b/>
                <w:bCs/>
                <w:sz w:val="18"/>
                <w:szCs w:val="18"/>
                <w:lang w:val="en-GB"/>
              </w:rPr>
              <w:t>ndicator 9.1 (IRRF</w:t>
            </w:r>
            <w:r w:rsidR="00495669" w:rsidRPr="00A469EA">
              <w:rPr>
                <w:rStyle w:val="FootnoteReference"/>
                <w:b/>
                <w:bCs/>
                <w:sz w:val="18"/>
                <w:szCs w:val="18"/>
                <w:lang w:val="en-GB"/>
              </w:rPr>
              <w:footnoteReference w:id="36"/>
            </w:r>
            <w:r w:rsidR="006C589E" w:rsidRPr="00A469EA">
              <w:rPr>
                <w:b/>
                <w:bCs/>
                <w:sz w:val="18"/>
                <w:szCs w:val="18"/>
                <w:lang w:val="en-GB"/>
              </w:rPr>
              <w:t xml:space="preserve"> </w:t>
            </w:r>
            <w:r w:rsidR="000C4DD2" w:rsidRPr="00A469EA">
              <w:rPr>
                <w:b/>
                <w:bCs/>
                <w:sz w:val="18"/>
                <w:szCs w:val="18"/>
                <w:lang w:val="en-GB"/>
              </w:rPr>
              <w:t>o</w:t>
            </w:r>
            <w:r w:rsidR="006C589E" w:rsidRPr="00A469EA">
              <w:rPr>
                <w:b/>
                <w:bCs/>
                <w:sz w:val="18"/>
                <w:szCs w:val="18"/>
                <w:lang w:val="en-GB"/>
              </w:rPr>
              <w:t xml:space="preserve">utcome </w:t>
            </w:r>
            <w:r w:rsidR="008D4C72" w:rsidRPr="00A469EA">
              <w:rPr>
                <w:b/>
                <w:bCs/>
                <w:sz w:val="18"/>
                <w:szCs w:val="18"/>
                <w:lang w:val="en-GB"/>
              </w:rPr>
              <w:t>i</w:t>
            </w:r>
            <w:r w:rsidR="00DB7EC5" w:rsidRPr="00A469EA">
              <w:rPr>
                <w:b/>
                <w:bCs/>
                <w:sz w:val="18"/>
                <w:szCs w:val="18"/>
                <w:lang w:val="en-GB"/>
              </w:rPr>
              <w:t xml:space="preserve">ndicator </w:t>
            </w:r>
            <w:r w:rsidR="006C589E" w:rsidRPr="00A469EA">
              <w:rPr>
                <w:b/>
                <w:bCs/>
                <w:sz w:val="18"/>
                <w:szCs w:val="18"/>
                <w:lang w:val="en-GB"/>
              </w:rPr>
              <w:t>7.3)</w:t>
            </w:r>
            <w:r w:rsidR="006C589E" w:rsidRPr="00A469EA">
              <w:rPr>
                <w:sz w:val="18"/>
                <w:szCs w:val="18"/>
                <w:lang w:val="en-GB"/>
              </w:rPr>
              <w:t xml:space="preserve">: Extent to which post 2015 agenda and </w:t>
            </w:r>
            <w:r w:rsidR="00F54308">
              <w:rPr>
                <w:sz w:val="18"/>
                <w:szCs w:val="18"/>
                <w:lang w:val="en-GB"/>
              </w:rPr>
              <w:t>the S</w:t>
            </w:r>
            <w:r w:rsidR="006C589E" w:rsidRPr="00A469EA">
              <w:rPr>
                <w:sz w:val="18"/>
                <w:szCs w:val="18"/>
                <w:lang w:val="en-GB"/>
              </w:rPr>
              <w:t xml:space="preserve">ustainable </w:t>
            </w:r>
            <w:r w:rsidR="00F54308">
              <w:rPr>
                <w:sz w:val="18"/>
                <w:szCs w:val="18"/>
                <w:lang w:val="en-GB"/>
              </w:rPr>
              <w:t>D</w:t>
            </w:r>
            <w:r w:rsidR="006C589E" w:rsidRPr="00A469EA">
              <w:rPr>
                <w:sz w:val="18"/>
                <w:szCs w:val="18"/>
                <w:lang w:val="en-GB"/>
              </w:rPr>
              <w:t xml:space="preserve">evelopment </w:t>
            </w:r>
            <w:r w:rsidR="00F54308">
              <w:rPr>
                <w:sz w:val="18"/>
                <w:szCs w:val="18"/>
                <w:lang w:val="en-GB"/>
              </w:rPr>
              <w:t>G</w:t>
            </w:r>
            <w:r w:rsidR="006C589E" w:rsidRPr="00A469EA">
              <w:rPr>
                <w:sz w:val="18"/>
                <w:szCs w:val="18"/>
                <w:lang w:val="en-GB"/>
              </w:rPr>
              <w:t>oals are integrated and adapted into national development plans and budgets</w:t>
            </w:r>
            <w:r w:rsidR="006C589E" w:rsidRPr="00A469EA">
              <w:rPr>
                <w:sz w:val="18"/>
                <w:szCs w:val="18"/>
                <w:lang w:val="en-GB"/>
              </w:rPr>
              <w:br/>
            </w:r>
            <w:r w:rsidR="006C589E" w:rsidRPr="00A469EA">
              <w:rPr>
                <w:sz w:val="18"/>
                <w:szCs w:val="18"/>
                <w:lang w:val="en-GB"/>
              </w:rPr>
              <w:br/>
            </w:r>
            <w:r w:rsidRPr="00A469EA">
              <w:rPr>
                <w:b/>
                <w:bCs/>
                <w:sz w:val="18"/>
                <w:szCs w:val="18"/>
                <w:lang w:val="en-GB"/>
              </w:rPr>
              <w:t>UNSDF</w:t>
            </w:r>
            <w:r w:rsidR="006C589E" w:rsidRPr="00A469EA">
              <w:rPr>
                <w:b/>
                <w:bCs/>
                <w:sz w:val="18"/>
                <w:szCs w:val="18"/>
                <w:lang w:val="en-GB"/>
              </w:rPr>
              <w:t xml:space="preserve"> </w:t>
            </w:r>
            <w:r w:rsidR="000C4DD2" w:rsidRPr="00A469EA">
              <w:rPr>
                <w:b/>
                <w:bCs/>
                <w:sz w:val="18"/>
                <w:szCs w:val="18"/>
                <w:lang w:val="en-GB"/>
              </w:rPr>
              <w:t>i</w:t>
            </w:r>
            <w:r w:rsidR="006C589E" w:rsidRPr="00A469EA">
              <w:rPr>
                <w:b/>
                <w:bCs/>
                <w:sz w:val="18"/>
                <w:szCs w:val="18"/>
                <w:lang w:val="en-GB"/>
              </w:rPr>
              <w:t xml:space="preserve">ndicator 9.2 (IRRF </w:t>
            </w:r>
            <w:r w:rsidR="000C4DD2" w:rsidRPr="00A469EA">
              <w:rPr>
                <w:b/>
                <w:bCs/>
                <w:sz w:val="18"/>
                <w:szCs w:val="18"/>
                <w:lang w:val="en-GB"/>
              </w:rPr>
              <w:t>o</w:t>
            </w:r>
            <w:r w:rsidR="006C589E" w:rsidRPr="00A469EA">
              <w:rPr>
                <w:b/>
                <w:bCs/>
                <w:sz w:val="18"/>
                <w:szCs w:val="18"/>
                <w:lang w:val="en-GB"/>
              </w:rPr>
              <w:t>utcome</w:t>
            </w:r>
            <w:r w:rsidR="00DB7EC5" w:rsidRPr="00A469EA">
              <w:rPr>
                <w:b/>
                <w:bCs/>
                <w:sz w:val="18"/>
                <w:szCs w:val="18"/>
                <w:lang w:val="en-GB"/>
              </w:rPr>
              <w:t xml:space="preserve"> </w:t>
            </w:r>
            <w:r w:rsidR="008D4C72" w:rsidRPr="00A469EA">
              <w:rPr>
                <w:b/>
                <w:bCs/>
                <w:sz w:val="18"/>
                <w:szCs w:val="18"/>
                <w:lang w:val="en-GB"/>
              </w:rPr>
              <w:t>i</w:t>
            </w:r>
            <w:r w:rsidR="00DB7EC5" w:rsidRPr="00A469EA">
              <w:rPr>
                <w:b/>
                <w:bCs/>
                <w:sz w:val="18"/>
                <w:szCs w:val="18"/>
                <w:lang w:val="en-GB"/>
              </w:rPr>
              <w:t xml:space="preserve">ndicator </w:t>
            </w:r>
            <w:r w:rsidR="006C589E" w:rsidRPr="00A469EA">
              <w:rPr>
                <w:b/>
                <w:bCs/>
                <w:sz w:val="18"/>
                <w:szCs w:val="18"/>
                <w:lang w:val="en-GB"/>
              </w:rPr>
              <w:t xml:space="preserve"> 3.3)</w:t>
            </w:r>
            <w:r w:rsidR="006C589E" w:rsidRPr="00A469EA">
              <w:rPr>
                <w:sz w:val="18"/>
                <w:szCs w:val="18"/>
                <w:lang w:val="en-GB"/>
              </w:rPr>
              <w:t>: Access to justice services disaggregated by sex and population group</w:t>
            </w:r>
            <w:r w:rsidR="006C589E" w:rsidRPr="00A469EA">
              <w:rPr>
                <w:sz w:val="18"/>
                <w:szCs w:val="18"/>
                <w:lang w:val="en-GB"/>
              </w:rPr>
              <w:br/>
            </w:r>
            <w:r w:rsidR="006C589E" w:rsidRPr="00A469EA">
              <w:rPr>
                <w:sz w:val="18"/>
                <w:szCs w:val="18"/>
                <w:lang w:val="en-GB"/>
              </w:rPr>
              <w:br/>
            </w:r>
            <w:r w:rsidRPr="00A469EA">
              <w:rPr>
                <w:b/>
                <w:sz w:val="18"/>
                <w:szCs w:val="18"/>
                <w:lang w:val="en-GB"/>
              </w:rPr>
              <w:t>UNSDF</w:t>
            </w:r>
            <w:r w:rsidR="006C589E" w:rsidRPr="00A469EA">
              <w:rPr>
                <w:b/>
                <w:sz w:val="18"/>
                <w:szCs w:val="18"/>
                <w:lang w:val="en-GB"/>
              </w:rPr>
              <w:t xml:space="preserve"> </w:t>
            </w:r>
            <w:r w:rsidR="000C4DD2" w:rsidRPr="00A469EA">
              <w:rPr>
                <w:b/>
                <w:sz w:val="18"/>
                <w:szCs w:val="18"/>
                <w:lang w:val="en-GB"/>
              </w:rPr>
              <w:t>i</w:t>
            </w:r>
            <w:r w:rsidR="006C589E" w:rsidRPr="00A469EA">
              <w:rPr>
                <w:b/>
                <w:sz w:val="18"/>
                <w:szCs w:val="18"/>
                <w:lang w:val="en-GB"/>
              </w:rPr>
              <w:t xml:space="preserve">ndicator 9.3 (IRRF </w:t>
            </w:r>
            <w:r w:rsidR="000C4DD2" w:rsidRPr="00A469EA">
              <w:rPr>
                <w:b/>
                <w:sz w:val="18"/>
                <w:szCs w:val="18"/>
                <w:lang w:val="en-GB"/>
              </w:rPr>
              <w:t>o</w:t>
            </w:r>
            <w:r w:rsidR="006C589E" w:rsidRPr="00A469EA">
              <w:rPr>
                <w:b/>
                <w:sz w:val="18"/>
                <w:szCs w:val="18"/>
                <w:lang w:val="en-GB"/>
              </w:rPr>
              <w:t xml:space="preserve">utcome </w:t>
            </w:r>
            <w:r w:rsidR="008D4C72" w:rsidRPr="00A469EA">
              <w:rPr>
                <w:b/>
                <w:sz w:val="18"/>
                <w:szCs w:val="18"/>
                <w:lang w:val="en-GB"/>
              </w:rPr>
              <w:t>i</w:t>
            </w:r>
            <w:r w:rsidR="00DB7EC5" w:rsidRPr="00A469EA">
              <w:rPr>
                <w:b/>
                <w:sz w:val="18"/>
                <w:szCs w:val="18"/>
                <w:lang w:val="en-GB"/>
              </w:rPr>
              <w:t xml:space="preserve">ndicator </w:t>
            </w:r>
            <w:r w:rsidR="006C589E" w:rsidRPr="00A469EA">
              <w:rPr>
                <w:b/>
                <w:sz w:val="18"/>
                <w:szCs w:val="18"/>
                <w:lang w:val="en-GB"/>
              </w:rPr>
              <w:t>2.1)</w:t>
            </w:r>
            <w:r w:rsidR="006C589E" w:rsidRPr="00A469EA">
              <w:rPr>
                <w:sz w:val="18"/>
                <w:szCs w:val="18"/>
                <w:lang w:val="en-GB"/>
              </w:rPr>
              <w:t>: Extent to which there is open access to data on government budgets, expenditures, and public procurement</w:t>
            </w:r>
            <w:r w:rsidR="006C589E" w:rsidRPr="00A469EA">
              <w:rPr>
                <w:sz w:val="18"/>
                <w:szCs w:val="18"/>
                <w:lang w:val="en-GB"/>
              </w:rPr>
              <w:br/>
            </w:r>
            <w:r w:rsidR="006C589E" w:rsidRPr="00A469EA">
              <w:rPr>
                <w:sz w:val="18"/>
                <w:szCs w:val="18"/>
                <w:lang w:val="en-GB"/>
              </w:rPr>
              <w:br/>
            </w:r>
            <w:r w:rsidRPr="00A469EA">
              <w:rPr>
                <w:b/>
                <w:sz w:val="18"/>
                <w:szCs w:val="18"/>
                <w:lang w:val="en-GB"/>
              </w:rPr>
              <w:t>UNSDF</w:t>
            </w:r>
            <w:r w:rsidR="006C589E" w:rsidRPr="00A469EA">
              <w:rPr>
                <w:b/>
                <w:sz w:val="18"/>
                <w:szCs w:val="18"/>
                <w:lang w:val="en-GB"/>
              </w:rPr>
              <w:t xml:space="preserve"> </w:t>
            </w:r>
            <w:r w:rsidR="00495669" w:rsidRPr="00A469EA">
              <w:rPr>
                <w:b/>
                <w:sz w:val="18"/>
                <w:szCs w:val="18"/>
                <w:lang w:val="en-GB"/>
              </w:rPr>
              <w:t>i</w:t>
            </w:r>
            <w:r w:rsidR="006C589E" w:rsidRPr="00A469EA">
              <w:rPr>
                <w:b/>
                <w:sz w:val="18"/>
                <w:szCs w:val="18"/>
                <w:lang w:val="en-GB"/>
              </w:rPr>
              <w:t xml:space="preserve">ndicator 9.4 (IRRF </w:t>
            </w:r>
            <w:r w:rsidR="00495669" w:rsidRPr="00A469EA">
              <w:rPr>
                <w:b/>
                <w:sz w:val="18"/>
                <w:szCs w:val="18"/>
                <w:lang w:val="en-GB"/>
              </w:rPr>
              <w:t>o</w:t>
            </w:r>
            <w:r w:rsidR="006C589E" w:rsidRPr="00A469EA">
              <w:rPr>
                <w:b/>
                <w:sz w:val="18"/>
                <w:szCs w:val="18"/>
                <w:lang w:val="en-GB"/>
              </w:rPr>
              <w:t xml:space="preserve">utcome </w:t>
            </w:r>
            <w:r w:rsidR="00495669" w:rsidRPr="00A469EA">
              <w:rPr>
                <w:b/>
                <w:sz w:val="18"/>
                <w:szCs w:val="18"/>
                <w:lang w:val="en-GB"/>
              </w:rPr>
              <w:t>i</w:t>
            </w:r>
            <w:r w:rsidR="006C589E" w:rsidRPr="00A469EA">
              <w:rPr>
                <w:b/>
                <w:sz w:val="18"/>
                <w:szCs w:val="18"/>
                <w:lang w:val="en-GB"/>
              </w:rPr>
              <w:t xml:space="preserve">ndicator </w:t>
            </w:r>
            <w:r w:rsidR="006C589E" w:rsidRPr="00A469EA">
              <w:rPr>
                <w:b/>
                <w:sz w:val="18"/>
                <w:szCs w:val="18"/>
                <w:lang w:val="en-GB"/>
              </w:rPr>
              <w:lastRenderedPageBreak/>
              <w:t>2.3)</w:t>
            </w:r>
            <w:r w:rsidR="006C589E" w:rsidRPr="00A469EA">
              <w:rPr>
                <w:sz w:val="18"/>
                <w:szCs w:val="18"/>
                <w:lang w:val="en-GB"/>
              </w:rPr>
              <w:t xml:space="preserve">: </w:t>
            </w:r>
            <w:r w:rsidR="006C589E" w:rsidRPr="00A469EA">
              <w:rPr>
                <w:sz w:val="18"/>
                <w:szCs w:val="18"/>
                <w:lang w:val="en-GB"/>
              </w:rPr>
              <w:br/>
              <w:t xml:space="preserve">Proportion of women to men in </w:t>
            </w:r>
            <w:r w:rsidR="00F54308">
              <w:rPr>
                <w:sz w:val="18"/>
                <w:szCs w:val="18"/>
                <w:lang w:val="en-GB"/>
              </w:rPr>
              <w:t>p</w:t>
            </w:r>
            <w:r w:rsidR="006C589E" w:rsidRPr="00A469EA">
              <w:rPr>
                <w:sz w:val="18"/>
                <w:szCs w:val="18"/>
                <w:lang w:val="en-GB"/>
              </w:rPr>
              <w:t>arliaments</w:t>
            </w:r>
          </w:p>
        </w:tc>
        <w:tc>
          <w:tcPr>
            <w:tcW w:w="1710" w:type="dxa"/>
            <w:vMerge w:val="restart"/>
            <w:shd w:val="clear" w:color="auto" w:fill="auto"/>
            <w:hideMark/>
          </w:tcPr>
          <w:p w14:paraId="66BF81F2" w14:textId="77777777" w:rsidR="006C589E" w:rsidRPr="00A469EA" w:rsidRDefault="006C589E" w:rsidP="000B6352">
            <w:pPr>
              <w:rPr>
                <w:sz w:val="18"/>
                <w:szCs w:val="18"/>
                <w:lang w:val="en-GB"/>
              </w:rPr>
            </w:pPr>
            <w:r w:rsidRPr="00A469EA">
              <w:rPr>
                <w:sz w:val="18"/>
                <w:szCs w:val="18"/>
                <w:lang w:val="en-GB"/>
              </w:rPr>
              <w:lastRenderedPageBreak/>
              <w:t>World Bank,</w:t>
            </w:r>
          </w:p>
          <w:p w14:paraId="5BE915F4" w14:textId="77777777" w:rsidR="006C589E" w:rsidRPr="00A469EA" w:rsidRDefault="006C589E" w:rsidP="000B6352">
            <w:pPr>
              <w:rPr>
                <w:sz w:val="18"/>
                <w:szCs w:val="18"/>
                <w:lang w:val="en-GB"/>
              </w:rPr>
            </w:pPr>
            <w:r w:rsidRPr="00A469EA">
              <w:rPr>
                <w:sz w:val="18"/>
                <w:szCs w:val="18"/>
                <w:lang w:val="en-GB"/>
              </w:rPr>
              <w:t xml:space="preserve">Pakistan Bureau of Statistics, Election Commission of Pakistan, </w:t>
            </w:r>
          </w:p>
          <w:p w14:paraId="17FC17D8" w14:textId="77777777" w:rsidR="006C589E" w:rsidRPr="00A469EA" w:rsidRDefault="006C589E" w:rsidP="000B6352">
            <w:pPr>
              <w:rPr>
                <w:sz w:val="18"/>
                <w:szCs w:val="18"/>
                <w:lang w:val="en-GB"/>
              </w:rPr>
            </w:pPr>
            <w:r w:rsidRPr="00A469EA">
              <w:rPr>
                <w:sz w:val="18"/>
                <w:szCs w:val="18"/>
                <w:lang w:val="en-GB"/>
              </w:rPr>
              <w:t>Law and Justice Commission of Pakistan,</w:t>
            </w:r>
          </w:p>
          <w:p w14:paraId="3D2B8A04" w14:textId="77777777" w:rsidR="006C589E" w:rsidRPr="00A469EA" w:rsidRDefault="006C589E" w:rsidP="000B6352">
            <w:pPr>
              <w:rPr>
                <w:sz w:val="18"/>
                <w:szCs w:val="18"/>
                <w:lang w:val="en-GB"/>
              </w:rPr>
            </w:pPr>
            <w:r w:rsidRPr="00A469EA">
              <w:rPr>
                <w:sz w:val="18"/>
                <w:szCs w:val="18"/>
                <w:lang w:val="en-GB"/>
              </w:rPr>
              <w:t>Ministry of Planning, Development and Reform,</w:t>
            </w:r>
          </w:p>
          <w:p w14:paraId="4A5A9F68" w14:textId="02422F0C" w:rsidR="006C589E" w:rsidRPr="00A469EA" w:rsidRDefault="006C589E" w:rsidP="000B6352">
            <w:pPr>
              <w:rPr>
                <w:sz w:val="18"/>
                <w:szCs w:val="18"/>
                <w:lang w:val="en-GB"/>
              </w:rPr>
            </w:pPr>
            <w:r w:rsidRPr="00A469EA">
              <w:rPr>
                <w:sz w:val="18"/>
                <w:szCs w:val="18"/>
                <w:lang w:val="en-GB"/>
              </w:rPr>
              <w:t>Judicial Statistics of Pakistan</w:t>
            </w:r>
            <w:r w:rsidR="002022D2" w:rsidRPr="00A469EA">
              <w:rPr>
                <w:sz w:val="18"/>
                <w:szCs w:val="18"/>
                <w:lang w:val="en-GB"/>
              </w:rPr>
              <w:t xml:space="preserve">, UNDP </w:t>
            </w:r>
            <w:r w:rsidR="002022D2" w:rsidRPr="00CF609C">
              <w:rPr>
                <w:i/>
                <w:sz w:val="18"/>
                <w:szCs w:val="18"/>
                <w:lang w:val="en-GB"/>
              </w:rPr>
              <w:t>Human Development Report</w:t>
            </w:r>
          </w:p>
        </w:tc>
        <w:tc>
          <w:tcPr>
            <w:tcW w:w="5130" w:type="dxa"/>
            <w:vMerge w:val="restart"/>
            <w:shd w:val="clear" w:color="auto" w:fill="auto"/>
            <w:vAlign w:val="center"/>
            <w:hideMark/>
          </w:tcPr>
          <w:p w14:paraId="11A23E76" w14:textId="01077C1E" w:rsidR="006C589E" w:rsidRPr="00A469EA" w:rsidRDefault="006C589E" w:rsidP="00B75A66">
            <w:pPr>
              <w:rPr>
                <w:b/>
                <w:bCs/>
                <w:sz w:val="18"/>
                <w:szCs w:val="18"/>
                <w:lang w:val="en-GB"/>
              </w:rPr>
            </w:pPr>
            <w:r w:rsidRPr="00A469EA">
              <w:rPr>
                <w:b/>
                <w:bCs/>
                <w:sz w:val="18"/>
                <w:szCs w:val="18"/>
                <w:lang w:val="en-GB"/>
              </w:rPr>
              <w:t xml:space="preserve">Output 9.1: </w:t>
            </w:r>
            <w:r w:rsidRPr="00A469EA">
              <w:rPr>
                <w:sz w:val="18"/>
                <w:szCs w:val="18"/>
                <w:lang w:val="en-GB"/>
              </w:rPr>
              <w:t>Democratic governance of state institutions</w:t>
            </w:r>
            <w:r w:rsidR="00495669" w:rsidRPr="00A469EA">
              <w:rPr>
                <w:sz w:val="18"/>
                <w:szCs w:val="18"/>
                <w:lang w:val="en-GB"/>
              </w:rPr>
              <w:t>,</w:t>
            </w:r>
            <w:r w:rsidRPr="00A469EA">
              <w:rPr>
                <w:sz w:val="18"/>
                <w:szCs w:val="18"/>
                <w:lang w:val="en-GB"/>
              </w:rPr>
              <w:t xml:space="preserve"> including Parliament, provincial assemblies, local governments and electoral management bodies</w:t>
            </w:r>
            <w:r w:rsidR="00495669" w:rsidRPr="00A469EA">
              <w:rPr>
                <w:sz w:val="18"/>
                <w:szCs w:val="18"/>
                <w:lang w:val="en-GB"/>
              </w:rPr>
              <w:t>,</w:t>
            </w:r>
            <w:r w:rsidRPr="00A469EA">
              <w:rPr>
                <w:sz w:val="18"/>
                <w:szCs w:val="18"/>
                <w:lang w:val="en-GB"/>
              </w:rPr>
              <w:t xml:space="preserve"> strengthened to be responsive to </w:t>
            </w:r>
            <w:r w:rsidR="002022D2" w:rsidRPr="00A469EA">
              <w:rPr>
                <w:sz w:val="18"/>
                <w:szCs w:val="18"/>
                <w:lang w:val="en-GB"/>
              </w:rPr>
              <w:t>citizens</w:t>
            </w:r>
            <w:r w:rsidRPr="00A469EA">
              <w:rPr>
                <w:sz w:val="18"/>
                <w:szCs w:val="18"/>
                <w:lang w:val="en-GB"/>
              </w:rPr>
              <w:t xml:space="preserve"> </w:t>
            </w:r>
            <w:r w:rsidR="00495669" w:rsidRPr="00A469EA">
              <w:rPr>
                <w:sz w:val="18"/>
                <w:szCs w:val="18"/>
                <w:lang w:val="en-GB"/>
              </w:rPr>
              <w:t xml:space="preserve">and </w:t>
            </w:r>
            <w:r w:rsidRPr="00A469EA">
              <w:rPr>
                <w:sz w:val="18"/>
                <w:szCs w:val="18"/>
                <w:lang w:val="en-GB"/>
              </w:rPr>
              <w:t>accountability, for improved service delivery</w:t>
            </w:r>
            <w:r w:rsidR="00495669" w:rsidRPr="00A469EA">
              <w:rPr>
                <w:sz w:val="18"/>
                <w:szCs w:val="18"/>
                <w:lang w:val="en-GB"/>
              </w:rPr>
              <w:t>.</w:t>
            </w:r>
            <w:r w:rsidRPr="00A469EA">
              <w:rPr>
                <w:b/>
                <w:bCs/>
                <w:sz w:val="18"/>
                <w:szCs w:val="18"/>
                <w:lang w:val="en-GB"/>
              </w:rPr>
              <w:t xml:space="preserve"> </w:t>
            </w:r>
            <w:r w:rsidRPr="00A469EA">
              <w:rPr>
                <w:b/>
                <w:bCs/>
                <w:sz w:val="18"/>
                <w:szCs w:val="18"/>
                <w:lang w:val="en-GB"/>
              </w:rPr>
              <w:br/>
            </w:r>
          </w:p>
          <w:p w14:paraId="5CA40970" w14:textId="53897A65" w:rsidR="006C589E" w:rsidRPr="00A469EA" w:rsidRDefault="006C589E" w:rsidP="00B75A66">
            <w:pPr>
              <w:rPr>
                <w:sz w:val="18"/>
                <w:szCs w:val="18"/>
                <w:lang w:val="en-GB"/>
              </w:rPr>
            </w:pPr>
            <w:r w:rsidRPr="00A469EA">
              <w:rPr>
                <w:b/>
                <w:bCs/>
                <w:sz w:val="18"/>
                <w:szCs w:val="18"/>
                <w:lang w:val="en-GB"/>
              </w:rPr>
              <w:t xml:space="preserve">CPD </w:t>
            </w:r>
            <w:r w:rsidR="00495669" w:rsidRPr="00A469EA">
              <w:rPr>
                <w:b/>
                <w:bCs/>
                <w:sz w:val="18"/>
                <w:szCs w:val="18"/>
                <w:lang w:val="en-GB"/>
              </w:rPr>
              <w:t>o</w:t>
            </w:r>
            <w:r w:rsidRPr="00A469EA">
              <w:rPr>
                <w:b/>
                <w:bCs/>
                <w:sz w:val="18"/>
                <w:szCs w:val="18"/>
                <w:lang w:val="en-GB"/>
              </w:rPr>
              <w:t xml:space="preserve">utput </w:t>
            </w:r>
            <w:r w:rsidR="00495669" w:rsidRPr="00A469EA">
              <w:rPr>
                <w:b/>
                <w:bCs/>
                <w:sz w:val="18"/>
                <w:szCs w:val="18"/>
                <w:lang w:val="en-GB"/>
              </w:rPr>
              <w:t>i</w:t>
            </w:r>
            <w:r w:rsidRPr="00A469EA">
              <w:rPr>
                <w:b/>
                <w:bCs/>
                <w:sz w:val="18"/>
                <w:szCs w:val="18"/>
                <w:lang w:val="en-GB"/>
              </w:rPr>
              <w:t xml:space="preserve">ndicator 9.1.1 (IRRF </w:t>
            </w:r>
            <w:r w:rsidR="00495669" w:rsidRPr="00A469EA">
              <w:rPr>
                <w:b/>
                <w:bCs/>
                <w:sz w:val="18"/>
                <w:szCs w:val="18"/>
                <w:lang w:val="en-GB"/>
              </w:rPr>
              <w:t>i</w:t>
            </w:r>
            <w:r w:rsidRPr="00A469EA">
              <w:rPr>
                <w:b/>
                <w:bCs/>
                <w:sz w:val="18"/>
                <w:szCs w:val="18"/>
                <w:lang w:val="en-GB"/>
              </w:rPr>
              <w:t>ndicator 2.1.1)</w:t>
            </w:r>
            <w:r w:rsidRPr="00A469EA">
              <w:rPr>
                <w:sz w:val="18"/>
                <w:szCs w:val="18"/>
                <w:lang w:val="en-GB"/>
              </w:rPr>
              <w:t>: Extent to which Parliament, legislative and electoral institutions meet minimum benchmarks to perform core functions effectively</w:t>
            </w:r>
            <w:r w:rsidR="00495669" w:rsidRPr="00A469EA">
              <w:rPr>
                <w:sz w:val="18"/>
                <w:szCs w:val="18"/>
                <w:lang w:val="en-GB"/>
              </w:rPr>
              <w:t>.</w:t>
            </w:r>
            <w:r w:rsidRPr="00A469EA">
              <w:rPr>
                <w:sz w:val="18"/>
                <w:szCs w:val="18"/>
                <w:lang w:val="en-GB"/>
              </w:rPr>
              <w:br/>
            </w:r>
            <w:r w:rsidRPr="00A469EA">
              <w:rPr>
                <w:b/>
                <w:bCs/>
                <w:sz w:val="18"/>
                <w:szCs w:val="18"/>
                <w:lang w:val="en-GB"/>
              </w:rPr>
              <w:t xml:space="preserve">Baseline: </w:t>
            </w:r>
            <w:r w:rsidRPr="00A469EA">
              <w:rPr>
                <w:sz w:val="18"/>
                <w:szCs w:val="18"/>
                <w:lang w:val="en-GB"/>
              </w:rPr>
              <w:t xml:space="preserve">Scale: 2. To a </w:t>
            </w:r>
            <w:r w:rsidR="00F54308">
              <w:rPr>
                <w:sz w:val="18"/>
                <w:szCs w:val="18"/>
                <w:lang w:val="en-GB"/>
              </w:rPr>
              <w:t>m</w:t>
            </w:r>
            <w:r w:rsidRPr="00A469EA">
              <w:rPr>
                <w:sz w:val="18"/>
                <w:szCs w:val="18"/>
                <w:lang w:val="en-GB"/>
              </w:rPr>
              <w:t>inimum extent</w:t>
            </w:r>
            <w:r w:rsidR="00495669" w:rsidRPr="00A469EA">
              <w:rPr>
                <w:sz w:val="18"/>
                <w:szCs w:val="18"/>
                <w:lang w:val="en-GB"/>
              </w:rPr>
              <w:t>.</w:t>
            </w:r>
            <w:r w:rsidRPr="00A469EA">
              <w:rPr>
                <w:sz w:val="18"/>
                <w:szCs w:val="18"/>
                <w:lang w:val="en-GB"/>
              </w:rPr>
              <w:br/>
            </w:r>
            <w:r w:rsidRPr="00A469EA">
              <w:rPr>
                <w:b/>
                <w:bCs/>
                <w:sz w:val="18"/>
                <w:szCs w:val="18"/>
                <w:lang w:val="en-GB"/>
              </w:rPr>
              <w:t>Target</w:t>
            </w:r>
            <w:r w:rsidR="00495669" w:rsidRPr="00A469EA">
              <w:rPr>
                <w:b/>
                <w:bCs/>
                <w:sz w:val="18"/>
                <w:szCs w:val="18"/>
                <w:lang w:val="en-GB"/>
              </w:rPr>
              <w:t>:</w:t>
            </w:r>
            <w:r w:rsidRPr="00A469EA">
              <w:rPr>
                <w:b/>
                <w:bCs/>
                <w:sz w:val="18"/>
                <w:szCs w:val="18"/>
                <w:lang w:val="en-GB"/>
              </w:rPr>
              <w:t xml:space="preserve"> </w:t>
            </w:r>
            <w:r w:rsidRPr="00A469EA">
              <w:rPr>
                <w:sz w:val="18"/>
                <w:szCs w:val="18"/>
                <w:lang w:val="en-GB"/>
              </w:rPr>
              <w:t>(2022): Scale</w:t>
            </w:r>
            <w:r w:rsidR="00495669" w:rsidRPr="00A469EA">
              <w:rPr>
                <w:sz w:val="18"/>
                <w:szCs w:val="18"/>
                <w:lang w:val="en-GB"/>
              </w:rPr>
              <w:t>:</w:t>
            </w:r>
            <w:r w:rsidRPr="00A469EA">
              <w:rPr>
                <w:sz w:val="18"/>
                <w:szCs w:val="18"/>
                <w:lang w:val="en-GB"/>
              </w:rPr>
              <w:t xml:space="preserve"> 4. Fully</w:t>
            </w:r>
            <w:r w:rsidR="00495669" w:rsidRPr="00A469EA">
              <w:rPr>
                <w:sz w:val="18"/>
                <w:szCs w:val="18"/>
                <w:lang w:val="en-GB"/>
              </w:rPr>
              <w:t>.</w:t>
            </w:r>
            <w:r w:rsidRPr="00A469EA">
              <w:rPr>
                <w:sz w:val="18"/>
                <w:szCs w:val="18"/>
                <w:lang w:val="en-GB"/>
              </w:rPr>
              <w:br/>
            </w:r>
            <w:r w:rsidRPr="00A469EA">
              <w:rPr>
                <w:sz w:val="18"/>
                <w:szCs w:val="18"/>
                <w:lang w:val="en-GB"/>
              </w:rPr>
              <w:br/>
            </w:r>
            <w:r w:rsidRPr="00A469EA">
              <w:rPr>
                <w:b/>
                <w:bCs/>
                <w:sz w:val="18"/>
                <w:szCs w:val="18"/>
                <w:lang w:val="en-GB"/>
              </w:rPr>
              <w:t xml:space="preserve">CPD </w:t>
            </w:r>
            <w:r w:rsidR="00495669" w:rsidRPr="00A469EA">
              <w:rPr>
                <w:b/>
                <w:bCs/>
                <w:sz w:val="18"/>
                <w:szCs w:val="18"/>
                <w:lang w:val="en-GB"/>
              </w:rPr>
              <w:t>o</w:t>
            </w:r>
            <w:r w:rsidRPr="00A469EA">
              <w:rPr>
                <w:b/>
                <w:bCs/>
                <w:sz w:val="18"/>
                <w:szCs w:val="18"/>
                <w:lang w:val="en-GB"/>
              </w:rPr>
              <w:t xml:space="preserve">utput </w:t>
            </w:r>
            <w:r w:rsidR="00495669" w:rsidRPr="00A469EA">
              <w:rPr>
                <w:b/>
                <w:bCs/>
                <w:sz w:val="18"/>
                <w:szCs w:val="18"/>
                <w:lang w:val="en-GB"/>
              </w:rPr>
              <w:t>i</w:t>
            </w:r>
            <w:r w:rsidRPr="00A469EA">
              <w:rPr>
                <w:b/>
                <w:bCs/>
                <w:sz w:val="18"/>
                <w:szCs w:val="18"/>
                <w:lang w:val="en-GB"/>
              </w:rPr>
              <w:t>ndicator 9.1.2 (</w:t>
            </w:r>
            <w:r w:rsidR="00F54308">
              <w:rPr>
                <w:b/>
                <w:bCs/>
                <w:sz w:val="18"/>
                <w:szCs w:val="18"/>
                <w:lang w:val="en-GB"/>
              </w:rPr>
              <w:t>Goal</w:t>
            </w:r>
            <w:r w:rsidR="00F54308" w:rsidRPr="00A469EA">
              <w:rPr>
                <w:b/>
                <w:bCs/>
                <w:sz w:val="18"/>
                <w:szCs w:val="18"/>
                <w:lang w:val="en-GB"/>
              </w:rPr>
              <w:t xml:space="preserve"> </w:t>
            </w:r>
            <w:r w:rsidRPr="00A469EA">
              <w:rPr>
                <w:b/>
                <w:bCs/>
                <w:sz w:val="18"/>
                <w:szCs w:val="18"/>
                <w:lang w:val="en-GB"/>
              </w:rPr>
              <w:t>5.5.1)</w:t>
            </w:r>
            <w:r w:rsidRPr="00A469EA">
              <w:rPr>
                <w:sz w:val="18"/>
                <w:szCs w:val="18"/>
                <w:lang w:val="en-GB"/>
              </w:rPr>
              <w:t>: Proportion of seats held by women in national parliaments and local governments</w:t>
            </w:r>
            <w:r w:rsidR="00495669" w:rsidRPr="00A469EA">
              <w:rPr>
                <w:sz w:val="18"/>
                <w:szCs w:val="18"/>
                <w:lang w:val="en-GB"/>
              </w:rPr>
              <w:t>.</w:t>
            </w:r>
            <w:r w:rsidRPr="00A469EA">
              <w:rPr>
                <w:sz w:val="18"/>
                <w:szCs w:val="18"/>
                <w:lang w:val="en-GB"/>
              </w:rPr>
              <w:t xml:space="preserve"> </w:t>
            </w:r>
          </w:p>
          <w:p w14:paraId="6AC287CE" w14:textId="2EFFED60" w:rsidR="006C589E" w:rsidRPr="00A469EA" w:rsidRDefault="006C589E" w:rsidP="00B75A66">
            <w:pPr>
              <w:rPr>
                <w:b/>
                <w:bCs/>
                <w:sz w:val="18"/>
                <w:szCs w:val="18"/>
                <w:lang w:val="en-GB"/>
              </w:rPr>
            </w:pPr>
            <w:r w:rsidRPr="00A469EA">
              <w:rPr>
                <w:b/>
                <w:sz w:val="18"/>
                <w:szCs w:val="18"/>
                <w:lang w:val="en-GB"/>
              </w:rPr>
              <w:t xml:space="preserve">Proxy </w:t>
            </w:r>
            <w:r w:rsidR="00495669" w:rsidRPr="00A469EA">
              <w:rPr>
                <w:b/>
                <w:sz w:val="18"/>
                <w:szCs w:val="18"/>
                <w:lang w:val="en-GB"/>
              </w:rPr>
              <w:t>i</w:t>
            </w:r>
            <w:r w:rsidRPr="00A469EA">
              <w:rPr>
                <w:b/>
                <w:sz w:val="18"/>
                <w:szCs w:val="18"/>
                <w:lang w:val="en-GB"/>
              </w:rPr>
              <w:t>ndicator:</w:t>
            </w:r>
            <w:r w:rsidRPr="00A469EA">
              <w:rPr>
                <w:sz w:val="18"/>
                <w:szCs w:val="18"/>
                <w:lang w:val="en-GB"/>
              </w:rPr>
              <w:t xml:space="preserve"> Extent to which measures taken by legislature results in enhanced participation of women in national/</w:t>
            </w:r>
            <w:r w:rsidR="00A04270" w:rsidRPr="00A469EA">
              <w:rPr>
                <w:sz w:val="18"/>
                <w:szCs w:val="18"/>
                <w:lang w:val="en-GB"/>
              </w:rPr>
              <w:t>provincial</w:t>
            </w:r>
            <w:r w:rsidRPr="00A469EA">
              <w:rPr>
                <w:sz w:val="18"/>
                <w:szCs w:val="18"/>
                <w:lang w:val="en-GB"/>
              </w:rPr>
              <w:t>/local elections</w:t>
            </w:r>
            <w:r w:rsidR="0034045B" w:rsidRPr="00A469EA">
              <w:rPr>
                <w:sz w:val="18"/>
                <w:szCs w:val="18"/>
                <w:lang w:val="en-GB"/>
              </w:rPr>
              <w:t>.</w:t>
            </w:r>
            <w:r w:rsidRPr="00A469EA">
              <w:rPr>
                <w:sz w:val="18"/>
                <w:szCs w:val="18"/>
                <w:lang w:val="en-GB"/>
              </w:rPr>
              <w:br/>
            </w:r>
            <w:r w:rsidRPr="00A469EA">
              <w:rPr>
                <w:b/>
                <w:bCs/>
                <w:sz w:val="18"/>
                <w:szCs w:val="18"/>
                <w:lang w:val="en-GB"/>
              </w:rPr>
              <w:t xml:space="preserve">Baseline: </w:t>
            </w:r>
            <w:r w:rsidRPr="00A469EA">
              <w:rPr>
                <w:sz w:val="18"/>
                <w:szCs w:val="18"/>
                <w:lang w:val="en-GB"/>
              </w:rPr>
              <w:t>Scale: 2. To a very partial extent</w:t>
            </w:r>
            <w:r w:rsidR="0034045B" w:rsidRPr="00A469EA">
              <w:rPr>
                <w:sz w:val="18"/>
                <w:szCs w:val="18"/>
                <w:lang w:val="en-GB"/>
              </w:rPr>
              <w:t>.</w:t>
            </w:r>
            <w:r w:rsidRPr="00A469EA">
              <w:rPr>
                <w:sz w:val="18"/>
                <w:szCs w:val="18"/>
                <w:lang w:val="en-GB"/>
              </w:rPr>
              <w:br/>
            </w:r>
            <w:r w:rsidRPr="00A469EA">
              <w:rPr>
                <w:b/>
                <w:bCs/>
                <w:sz w:val="18"/>
                <w:szCs w:val="18"/>
                <w:lang w:val="en-GB"/>
              </w:rPr>
              <w:t>Target</w:t>
            </w:r>
            <w:r w:rsidR="0034045B" w:rsidRPr="00A469EA">
              <w:rPr>
                <w:b/>
                <w:bCs/>
                <w:sz w:val="18"/>
                <w:szCs w:val="18"/>
                <w:lang w:val="en-GB"/>
              </w:rPr>
              <w:t>:</w:t>
            </w:r>
            <w:r w:rsidRPr="00A469EA">
              <w:rPr>
                <w:b/>
                <w:bCs/>
                <w:sz w:val="18"/>
                <w:szCs w:val="18"/>
                <w:lang w:val="en-GB"/>
              </w:rPr>
              <w:t xml:space="preserve"> </w:t>
            </w:r>
            <w:r w:rsidRPr="00A469EA">
              <w:rPr>
                <w:sz w:val="18"/>
                <w:szCs w:val="18"/>
                <w:lang w:val="en-GB"/>
              </w:rPr>
              <w:t>(2022): Scale</w:t>
            </w:r>
            <w:r w:rsidR="0034045B" w:rsidRPr="00A469EA">
              <w:rPr>
                <w:sz w:val="18"/>
                <w:szCs w:val="18"/>
                <w:lang w:val="en-GB"/>
              </w:rPr>
              <w:t>:</w:t>
            </w:r>
            <w:r w:rsidRPr="00A469EA">
              <w:rPr>
                <w:sz w:val="18"/>
                <w:szCs w:val="18"/>
                <w:lang w:val="en-GB"/>
              </w:rPr>
              <w:t xml:space="preserve"> 5. To full extent</w:t>
            </w:r>
            <w:r w:rsidR="0034045B" w:rsidRPr="00A469EA">
              <w:rPr>
                <w:sz w:val="18"/>
                <w:szCs w:val="18"/>
                <w:lang w:val="en-GB"/>
              </w:rPr>
              <w:t>.</w:t>
            </w:r>
            <w:r w:rsidRPr="00A469EA">
              <w:rPr>
                <w:sz w:val="18"/>
                <w:szCs w:val="18"/>
                <w:lang w:val="en-GB"/>
              </w:rPr>
              <w:br/>
            </w:r>
            <w:r w:rsidRPr="00A469EA">
              <w:rPr>
                <w:sz w:val="18"/>
                <w:szCs w:val="18"/>
                <w:lang w:val="en-GB"/>
              </w:rPr>
              <w:br/>
            </w:r>
            <w:r w:rsidRPr="00A469EA">
              <w:rPr>
                <w:b/>
                <w:bCs/>
                <w:sz w:val="18"/>
                <w:szCs w:val="18"/>
                <w:lang w:val="en-GB"/>
              </w:rPr>
              <w:t xml:space="preserve">CPD </w:t>
            </w:r>
            <w:r w:rsidR="0034045B" w:rsidRPr="00A469EA">
              <w:rPr>
                <w:b/>
                <w:bCs/>
                <w:sz w:val="18"/>
                <w:szCs w:val="18"/>
                <w:lang w:val="en-GB"/>
              </w:rPr>
              <w:t>o</w:t>
            </w:r>
            <w:r w:rsidRPr="00A469EA">
              <w:rPr>
                <w:b/>
                <w:bCs/>
                <w:sz w:val="18"/>
                <w:szCs w:val="18"/>
                <w:lang w:val="en-GB"/>
              </w:rPr>
              <w:t xml:space="preserve">utput </w:t>
            </w:r>
            <w:r w:rsidR="0034045B" w:rsidRPr="00A469EA">
              <w:rPr>
                <w:b/>
                <w:bCs/>
                <w:sz w:val="18"/>
                <w:szCs w:val="18"/>
                <w:lang w:val="en-GB"/>
              </w:rPr>
              <w:t>i</w:t>
            </w:r>
            <w:r w:rsidRPr="00A469EA">
              <w:rPr>
                <w:b/>
                <w:bCs/>
                <w:sz w:val="18"/>
                <w:szCs w:val="18"/>
                <w:lang w:val="en-GB"/>
              </w:rPr>
              <w:t xml:space="preserve">ndicator 9.1.3 (IRRF </w:t>
            </w:r>
            <w:r w:rsidR="0034045B" w:rsidRPr="00A469EA">
              <w:rPr>
                <w:b/>
                <w:bCs/>
                <w:sz w:val="18"/>
                <w:szCs w:val="18"/>
                <w:lang w:val="en-GB"/>
              </w:rPr>
              <w:t>i</w:t>
            </w:r>
            <w:r w:rsidRPr="00A469EA">
              <w:rPr>
                <w:b/>
                <w:bCs/>
                <w:sz w:val="18"/>
                <w:szCs w:val="18"/>
                <w:lang w:val="en-GB"/>
              </w:rPr>
              <w:t>ndicator 3.2.2)</w:t>
            </w:r>
            <w:r w:rsidRPr="00A469EA">
              <w:rPr>
                <w:sz w:val="18"/>
                <w:szCs w:val="18"/>
                <w:lang w:val="en-GB"/>
              </w:rPr>
              <w:t>: Extent to which national/</w:t>
            </w:r>
            <w:r w:rsidR="00A04270" w:rsidRPr="00A469EA">
              <w:rPr>
                <w:sz w:val="18"/>
                <w:szCs w:val="18"/>
                <w:lang w:val="en-GB"/>
              </w:rPr>
              <w:t>provincial</w:t>
            </w:r>
            <w:r w:rsidRPr="00A469EA">
              <w:rPr>
                <w:sz w:val="18"/>
                <w:szCs w:val="18"/>
                <w:lang w:val="en-GB"/>
              </w:rPr>
              <w:t xml:space="preserve"> governments/administrations are enabled by having functioning </w:t>
            </w:r>
            <w:r w:rsidR="00236B0E" w:rsidRPr="00A469EA">
              <w:rPr>
                <w:sz w:val="18"/>
                <w:szCs w:val="18"/>
                <w:lang w:val="en-GB"/>
              </w:rPr>
              <w:t xml:space="preserve">development </w:t>
            </w:r>
            <w:r w:rsidRPr="00A469EA">
              <w:rPr>
                <w:sz w:val="18"/>
                <w:szCs w:val="18"/>
                <w:lang w:val="en-GB"/>
              </w:rPr>
              <w:t>planning, budgeting and monitoring systems for improved services in response to priorities voiced by the public</w:t>
            </w:r>
            <w:r w:rsidR="00E43B01" w:rsidRPr="00A469EA">
              <w:rPr>
                <w:sz w:val="18"/>
                <w:szCs w:val="18"/>
                <w:lang w:val="en-GB"/>
              </w:rPr>
              <w:t>.</w:t>
            </w:r>
          </w:p>
          <w:p w14:paraId="43E0E16C" w14:textId="03EA21D0" w:rsidR="0034045B" w:rsidRPr="00A469EA" w:rsidRDefault="006C589E" w:rsidP="00B75A66">
            <w:pPr>
              <w:rPr>
                <w:sz w:val="18"/>
                <w:szCs w:val="18"/>
                <w:lang w:val="en-GB"/>
              </w:rPr>
            </w:pPr>
            <w:r w:rsidRPr="00A469EA">
              <w:rPr>
                <w:b/>
                <w:bCs/>
                <w:sz w:val="18"/>
                <w:szCs w:val="18"/>
                <w:lang w:val="en-GB"/>
              </w:rPr>
              <w:t xml:space="preserve">Baseline: </w:t>
            </w:r>
            <w:r w:rsidRPr="00A469EA">
              <w:rPr>
                <w:sz w:val="18"/>
                <w:szCs w:val="18"/>
                <w:lang w:val="en-GB"/>
              </w:rPr>
              <w:t>Scale: 2. To a very partial extent</w:t>
            </w:r>
            <w:r w:rsidR="00E43B01" w:rsidRPr="00A469EA">
              <w:rPr>
                <w:sz w:val="18"/>
                <w:szCs w:val="18"/>
                <w:lang w:val="en-GB"/>
              </w:rPr>
              <w:t>.</w:t>
            </w:r>
            <w:r w:rsidRPr="00A469EA">
              <w:rPr>
                <w:b/>
                <w:bCs/>
                <w:sz w:val="18"/>
                <w:szCs w:val="18"/>
                <w:lang w:val="en-GB"/>
              </w:rPr>
              <w:br/>
              <w:t>Target</w:t>
            </w:r>
            <w:r w:rsidR="00E43B01" w:rsidRPr="00A469EA">
              <w:rPr>
                <w:b/>
                <w:bCs/>
                <w:sz w:val="18"/>
                <w:szCs w:val="18"/>
                <w:lang w:val="en-GB"/>
              </w:rPr>
              <w:t>:</w:t>
            </w:r>
            <w:r w:rsidRPr="00A469EA">
              <w:rPr>
                <w:b/>
                <w:bCs/>
                <w:sz w:val="18"/>
                <w:szCs w:val="18"/>
                <w:lang w:val="en-GB"/>
              </w:rPr>
              <w:t xml:space="preserve"> </w:t>
            </w:r>
            <w:r w:rsidRPr="00A469EA">
              <w:rPr>
                <w:sz w:val="18"/>
                <w:szCs w:val="18"/>
                <w:lang w:val="en-GB"/>
              </w:rPr>
              <w:t>(2022): Scale</w:t>
            </w:r>
            <w:r w:rsidR="00E43B01" w:rsidRPr="00A469EA">
              <w:rPr>
                <w:sz w:val="18"/>
                <w:szCs w:val="18"/>
                <w:lang w:val="en-GB"/>
              </w:rPr>
              <w:t>:</w:t>
            </w:r>
            <w:r w:rsidRPr="00A469EA">
              <w:rPr>
                <w:sz w:val="18"/>
                <w:szCs w:val="18"/>
                <w:lang w:val="en-GB"/>
              </w:rPr>
              <w:t xml:space="preserve"> 5. To full extent</w:t>
            </w:r>
            <w:r w:rsidR="00E43B01" w:rsidRPr="00A469EA">
              <w:rPr>
                <w:sz w:val="18"/>
                <w:szCs w:val="18"/>
                <w:lang w:val="en-GB"/>
              </w:rPr>
              <w:t>.</w:t>
            </w:r>
          </w:p>
        </w:tc>
        <w:tc>
          <w:tcPr>
            <w:tcW w:w="1980" w:type="dxa"/>
            <w:vMerge w:val="restart"/>
            <w:shd w:val="clear" w:color="auto" w:fill="auto"/>
            <w:hideMark/>
          </w:tcPr>
          <w:p w14:paraId="2534C22E" w14:textId="39CA5127" w:rsidR="006C589E" w:rsidRPr="00A469EA" w:rsidRDefault="006C589E" w:rsidP="00A04270">
            <w:pPr>
              <w:rPr>
                <w:sz w:val="18"/>
                <w:szCs w:val="18"/>
                <w:lang w:val="en-GB"/>
              </w:rPr>
            </w:pPr>
            <w:r w:rsidRPr="00A469EA">
              <w:rPr>
                <w:b/>
                <w:bCs/>
                <w:sz w:val="18"/>
                <w:szCs w:val="18"/>
                <w:lang w:val="en-GB"/>
              </w:rPr>
              <w:t xml:space="preserve">Implementing </w:t>
            </w:r>
            <w:r w:rsidR="00E43B01" w:rsidRPr="00A469EA">
              <w:rPr>
                <w:b/>
                <w:bCs/>
                <w:sz w:val="18"/>
                <w:szCs w:val="18"/>
                <w:lang w:val="en-GB"/>
              </w:rPr>
              <w:t>p</w:t>
            </w:r>
            <w:r w:rsidRPr="00A469EA">
              <w:rPr>
                <w:b/>
                <w:bCs/>
                <w:sz w:val="18"/>
                <w:szCs w:val="18"/>
                <w:lang w:val="en-GB"/>
              </w:rPr>
              <w:t>artners:</w:t>
            </w:r>
            <w:r w:rsidRPr="00A469EA">
              <w:rPr>
                <w:b/>
                <w:bCs/>
                <w:sz w:val="18"/>
                <w:szCs w:val="18"/>
                <w:u w:val="single"/>
                <w:lang w:val="en-GB"/>
              </w:rPr>
              <w:br/>
            </w:r>
            <w:r w:rsidRPr="00A469EA">
              <w:rPr>
                <w:sz w:val="18"/>
                <w:szCs w:val="18"/>
                <w:lang w:val="en-GB"/>
              </w:rPr>
              <w:t>Government of Pakistan</w:t>
            </w:r>
            <w:r w:rsidR="00DC00A1" w:rsidRPr="00A469EA">
              <w:rPr>
                <w:sz w:val="18"/>
                <w:szCs w:val="18"/>
                <w:lang w:val="en-GB"/>
              </w:rPr>
              <w:t>;</w:t>
            </w:r>
            <w:r w:rsidR="00E43B01" w:rsidRPr="00A469EA">
              <w:rPr>
                <w:sz w:val="18"/>
                <w:szCs w:val="18"/>
                <w:lang w:val="en-GB"/>
              </w:rPr>
              <w:t xml:space="preserve"> </w:t>
            </w:r>
            <w:r w:rsidRPr="00A469EA">
              <w:rPr>
                <w:sz w:val="18"/>
                <w:szCs w:val="18"/>
                <w:lang w:val="en-GB"/>
              </w:rPr>
              <w:t>Election Commission of Pakistan</w:t>
            </w:r>
            <w:r w:rsidR="00DC00A1" w:rsidRPr="00A469EA">
              <w:rPr>
                <w:sz w:val="18"/>
                <w:szCs w:val="18"/>
                <w:lang w:val="en-GB"/>
              </w:rPr>
              <w:t>;</w:t>
            </w:r>
            <w:r w:rsidR="00E43B01" w:rsidRPr="00A469EA" w:rsidDel="00E43B01">
              <w:rPr>
                <w:sz w:val="18"/>
                <w:szCs w:val="18"/>
                <w:lang w:val="en-GB"/>
              </w:rPr>
              <w:t xml:space="preserve"> </w:t>
            </w:r>
            <w:r w:rsidRPr="00A469EA">
              <w:rPr>
                <w:sz w:val="18"/>
                <w:szCs w:val="18"/>
                <w:lang w:val="en-GB"/>
              </w:rPr>
              <w:t>Senate of Pakistan</w:t>
            </w:r>
            <w:r w:rsidR="00DC00A1" w:rsidRPr="00A469EA">
              <w:rPr>
                <w:sz w:val="18"/>
                <w:szCs w:val="18"/>
                <w:lang w:val="en-GB"/>
              </w:rPr>
              <w:t>;</w:t>
            </w:r>
            <w:r w:rsidR="00E43B01" w:rsidRPr="00A469EA">
              <w:rPr>
                <w:sz w:val="18"/>
                <w:szCs w:val="18"/>
                <w:lang w:val="en-GB"/>
              </w:rPr>
              <w:t xml:space="preserve"> </w:t>
            </w:r>
            <w:r w:rsidRPr="00A469EA">
              <w:rPr>
                <w:sz w:val="18"/>
                <w:szCs w:val="18"/>
                <w:lang w:val="en-GB"/>
              </w:rPr>
              <w:t>National and four provincial assemblies</w:t>
            </w:r>
            <w:r w:rsidR="00DC00A1" w:rsidRPr="00A469EA">
              <w:rPr>
                <w:sz w:val="18"/>
                <w:szCs w:val="18"/>
                <w:lang w:val="en-GB"/>
              </w:rPr>
              <w:t>;</w:t>
            </w:r>
            <w:r w:rsidR="00E43B01" w:rsidRPr="00A469EA" w:rsidDel="00E43B01">
              <w:rPr>
                <w:sz w:val="18"/>
                <w:szCs w:val="18"/>
                <w:u w:val="single"/>
                <w:lang w:val="en-GB"/>
              </w:rPr>
              <w:t xml:space="preserve"> </w:t>
            </w:r>
            <w:r w:rsidRPr="00A469EA">
              <w:rPr>
                <w:sz w:val="18"/>
                <w:szCs w:val="18"/>
                <w:lang w:val="en-GB"/>
              </w:rPr>
              <w:t>Ministry of Interprovincial Coordination Departments</w:t>
            </w:r>
            <w:r w:rsidR="00DC00A1" w:rsidRPr="00A469EA">
              <w:rPr>
                <w:sz w:val="18"/>
                <w:szCs w:val="18"/>
                <w:lang w:val="en-GB"/>
              </w:rPr>
              <w:t>;</w:t>
            </w:r>
            <w:r w:rsidR="00E43B01" w:rsidRPr="00A469EA" w:rsidDel="00E43B01">
              <w:rPr>
                <w:sz w:val="18"/>
                <w:szCs w:val="18"/>
                <w:lang w:val="en-GB"/>
              </w:rPr>
              <w:t xml:space="preserve"> </w:t>
            </w:r>
            <w:r w:rsidR="00E43B01" w:rsidRPr="00A469EA">
              <w:rPr>
                <w:sz w:val="18"/>
                <w:szCs w:val="18"/>
                <w:lang w:val="en-GB"/>
              </w:rPr>
              <w:t>l</w:t>
            </w:r>
            <w:r w:rsidRPr="00A469EA">
              <w:rPr>
                <w:sz w:val="18"/>
                <w:szCs w:val="18"/>
                <w:lang w:val="en-GB"/>
              </w:rPr>
              <w:t xml:space="preserve">ocal </w:t>
            </w:r>
            <w:r w:rsidR="00E43B01" w:rsidRPr="00A469EA">
              <w:rPr>
                <w:sz w:val="18"/>
                <w:szCs w:val="18"/>
                <w:lang w:val="en-GB"/>
              </w:rPr>
              <w:t>g</w:t>
            </w:r>
            <w:r w:rsidRPr="00A469EA">
              <w:rPr>
                <w:sz w:val="18"/>
                <w:szCs w:val="18"/>
                <w:lang w:val="en-GB"/>
              </w:rPr>
              <w:t xml:space="preserve">overnment </w:t>
            </w:r>
            <w:r w:rsidR="00E43B01" w:rsidRPr="00A469EA">
              <w:rPr>
                <w:sz w:val="18"/>
                <w:szCs w:val="18"/>
                <w:lang w:val="en-GB"/>
              </w:rPr>
              <w:t>d</w:t>
            </w:r>
            <w:r w:rsidRPr="00A469EA">
              <w:rPr>
                <w:sz w:val="18"/>
                <w:szCs w:val="18"/>
                <w:lang w:val="en-GB"/>
              </w:rPr>
              <w:t>epartments</w:t>
            </w:r>
            <w:r w:rsidR="00DC00A1" w:rsidRPr="00A469EA">
              <w:rPr>
                <w:sz w:val="18"/>
                <w:szCs w:val="18"/>
                <w:lang w:val="en-GB"/>
              </w:rPr>
              <w:t>;</w:t>
            </w:r>
            <w:r w:rsidR="00E43B01" w:rsidRPr="00A469EA" w:rsidDel="00E43B01">
              <w:rPr>
                <w:sz w:val="18"/>
                <w:szCs w:val="18"/>
                <w:lang w:val="en-GB"/>
              </w:rPr>
              <w:t xml:space="preserve"> </w:t>
            </w:r>
            <w:r w:rsidR="00F54308">
              <w:rPr>
                <w:sz w:val="18"/>
                <w:szCs w:val="18"/>
                <w:lang w:val="en-GB"/>
              </w:rPr>
              <w:t>l</w:t>
            </w:r>
            <w:r w:rsidRPr="00A469EA">
              <w:rPr>
                <w:sz w:val="18"/>
                <w:szCs w:val="18"/>
                <w:lang w:val="en-GB"/>
              </w:rPr>
              <w:t xml:space="preserve">aw </w:t>
            </w:r>
            <w:r w:rsidR="00F54308">
              <w:rPr>
                <w:sz w:val="18"/>
                <w:szCs w:val="18"/>
                <w:lang w:val="en-GB"/>
              </w:rPr>
              <w:t>d</w:t>
            </w:r>
            <w:r w:rsidRPr="00A469EA">
              <w:rPr>
                <w:sz w:val="18"/>
                <w:szCs w:val="18"/>
                <w:lang w:val="en-GB"/>
              </w:rPr>
              <w:t>epartment</w:t>
            </w:r>
            <w:r w:rsidR="00A04270" w:rsidRPr="00A469EA">
              <w:rPr>
                <w:sz w:val="18"/>
                <w:szCs w:val="18"/>
                <w:lang w:val="en-GB"/>
              </w:rPr>
              <w:t>s</w:t>
            </w:r>
            <w:r w:rsidR="00DC00A1" w:rsidRPr="00A469EA">
              <w:rPr>
                <w:sz w:val="18"/>
                <w:szCs w:val="18"/>
                <w:lang w:val="en-GB"/>
              </w:rPr>
              <w:t>;</w:t>
            </w:r>
            <w:r w:rsidR="00E43B01" w:rsidRPr="00A469EA">
              <w:rPr>
                <w:sz w:val="18"/>
                <w:szCs w:val="18"/>
                <w:lang w:val="en-GB"/>
              </w:rPr>
              <w:t xml:space="preserve"> </w:t>
            </w:r>
            <w:r w:rsidRPr="00A469EA">
              <w:rPr>
                <w:sz w:val="18"/>
                <w:szCs w:val="18"/>
                <w:lang w:val="en-GB"/>
              </w:rPr>
              <w:br/>
            </w:r>
            <w:r w:rsidRPr="00A469EA">
              <w:rPr>
                <w:sz w:val="18"/>
                <w:szCs w:val="18"/>
                <w:lang w:val="en-GB"/>
              </w:rPr>
              <w:br/>
            </w:r>
            <w:r w:rsidRPr="00A469EA">
              <w:rPr>
                <w:b/>
                <w:bCs/>
                <w:sz w:val="18"/>
                <w:szCs w:val="18"/>
                <w:lang w:val="en-GB"/>
              </w:rPr>
              <w:t xml:space="preserve">Funding </w:t>
            </w:r>
            <w:r w:rsidR="00E43B01" w:rsidRPr="00A469EA">
              <w:rPr>
                <w:b/>
                <w:bCs/>
                <w:sz w:val="18"/>
                <w:szCs w:val="18"/>
                <w:lang w:val="en-GB"/>
              </w:rPr>
              <w:t>p</w:t>
            </w:r>
            <w:r w:rsidRPr="00A469EA">
              <w:rPr>
                <w:b/>
                <w:bCs/>
                <w:sz w:val="18"/>
                <w:szCs w:val="18"/>
                <w:lang w:val="en-GB"/>
              </w:rPr>
              <w:t>artners</w:t>
            </w:r>
            <w:r w:rsidR="00E43B01" w:rsidRPr="00A469EA">
              <w:rPr>
                <w:b/>
                <w:bCs/>
                <w:sz w:val="18"/>
                <w:szCs w:val="18"/>
                <w:lang w:val="en-GB"/>
              </w:rPr>
              <w:t>:</w:t>
            </w:r>
            <w:r w:rsidRPr="00A469EA">
              <w:rPr>
                <w:b/>
                <w:bCs/>
                <w:sz w:val="18"/>
                <w:szCs w:val="18"/>
                <w:u w:val="single"/>
                <w:lang w:val="en-GB"/>
              </w:rPr>
              <w:br/>
            </w:r>
            <w:r w:rsidR="0058421A" w:rsidRPr="00A469EA">
              <w:rPr>
                <w:sz w:val="18"/>
                <w:szCs w:val="18"/>
                <w:lang w:val="en-GB"/>
              </w:rPr>
              <w:t xml:space="preserve">Governments of Germany, </w:t>
            </w:r>
            <w:r w:rsidR="008B14E0" w:rsidRPr="00A469EA">
              <w:rPr>
                <w:sz w:val="18"/>
                <w:szCs w:val="18"/>
                <w:lang w:val="en-GB"/>
              </w:rPr>
              <w:t>United Kingdom</w:t>
            </w:r>
            <w:r w:rsidR="0058421A" w:rsidRPr="00A469EA">
              <w:rPr>
                <w:sz w:val="18"/>
                <w:szCs w:val="18"/>
                <w:lang w:val="en-GB"/>
              </w:rPr>
              <w:t xml:space="preserve"> and Northern Ireland</w:t>
            </w:r>
          </w:p>
        </w:tc>
        <w:tc>
          <w:tcPr>
            <w:tcW w:w="1980" w:type="dxa"/>
            <w:tcBorders>
              <w:bottom w:val="nil"/>
            </w:tcBorders>
            <w:shd w:val="clear" w:color="auto" w:fill="auto"/>
            <w:vAlign w:val="center"/>
            <w:hideMark/>
          </w:tcPr>
          <w:p w14:paraId="740A1F4C" w14:textId="665CBCAA" w:rsidR="006C589E" w:rsidRPr="00A469EA" w:rsidRDefault="00610318" w:rsidP="005B4F1C">
            <w:pPr>
              <w:jc w:val="center"/>
              <w:rPr>
                <w:b/>
                <w:bCs/>
                <w:sz w:val="18"/>
                <w:szCs w:val="18"/>
                <w:lang w:val="en-GB"/>
              </w:rPr>
            </w:pPr>
            <w:r w:rsidRPr="00A469EA">
              <w:rPr>
                <w:b/>
                <w:bCs/>
                <w:sz w:val="18"/>
                <w:szCs w:val="18"/>
                <w:lang w:val="en-GB"/>
              </w:rPr>
              <w:t>Regular</w:t>
            </w:r>
            <w:r w:rsidR="006C589E" w:rsidRPr="00A469EA">
              <w:rPr>
                <w:b/>
                <w:bCs/>
                <w:sz w:val="18"/>
                <w:szCs w:val="18"/>
                <w:lang w:val="en-GB"/>
              </w:rPr>
              <w:t xml:space="preserve">: </w:t>
            </w:r>
            <w:r w:rsidR="00236B0E" w:rsidRPr="00A469EA">
              <w:rPr>
                <w:b/>
                <w:bCs/>
                <w:color w:val="000000"/>
                <w:sz w:val="18"/>
                <w:szCs w:val="18"/>
                <w:lang w:val="en-GB"/>
              </w:rPr>
              <w:t>3,771</w:t>
            </w:r>
          </w:p>
        </w:tc>
      </w:tr>
      <w:tr w:rsidR="00E82198" w:rsidRPr="00A469EA" w14:paraId="48C45DAF" w14:textId="77777777" w:rsidTr="00257F40">
        <w:tc>
          <w:tcPr>
            <w:tcW w:w="2358" w:type="dxa"/>
            <w:vMerge/>
            <w:shd w:val="clear" w:color="auto" w:fill="auto"/>
            <w:vAlign w:val="center"/>
            <w:hideMark/>
          </w:tcPr>
          <w:p w14:paraId="451CA781" w14:textId="77777777" w:rsidR="006C589E" w:rsidRPr="00A469EA" w:rsidRDefault="006C589E" w:rsidP="00B75A66">
            <w:pPr>
              <w:rPr>
                <w:sz w:val="18"/>
                <w:szCs w:val="18"/>
                <w:lang w:val="en-GB"/>
              </w:rPr>
            </w:pPr>
          </w:p>
        </w:tc>
        <w:tc>
          <w:tcPr>
            <w:tcW w:w="1710" w:type="dxa"/>
            <w:vMerge/>
            <w:shd w:val="clear" w:color="auto" w:fill="auto"/>
            <w:vAlign w:val="center"/>
            <w:hideMark/>
          </w:tcPr>
          <w:p w14:paraId="7752C9E4" w14:textId="77777777" w:rsidR="006C589E" w:rsidRPr="00A469EA" w:rsidRDefault="006C589E" w:rsidP="00B75A66">
            <w:pPr>
              <w:rPr>
                <w:sz w:val="18"/>
                <w:szCs w:val="18"/>
                <w:lang w:val="en-GB"/>
              </w:rPr>
            </w:pPr>
          </w:p>
        </w:tc>
        <w:tc>
          <w:tcPr>
            <w:tcW w:w="5130" w:type="dxa"/>
            <w:vMerge/>
            <w:shd w:val="clear" w:color="auto" w:fill="auto"/>
            <w:vAlign w:val="center"/>
            <w:hideMark/>
          </w:tcPr>
          <w:p w14:paraId="3E181B5A" w14:textId="77777777" w:rsidR="006C589E" w:rsidRPr="00A469EA" w:rsidRDefault="006C589E" w:rsidP="00B75A66">
            <w:pPr>
              <w:rPr>
                <w:b/>
                <w:bCs/>
                <w:sz w:val="18"/>
                <w:szCs w:val="18"/>
                <w:lang w:val="en-GB"/>
              </w:rPr>
            </w:pPr>
          </w:p>
        </w:tc>
        <w:tc>
          <w:tcPr>
            <w:tcW w:w="1980" w:type="dxa"/>
            <w:vMerge/>
            <w:shd w:val="clear" w:color="auto" w:fill="auto"/>
            <w:vAlign w:val="center"/>
            <w:hideMark/>
          </w:tcPr>
          <w:p w14:paraId="3DDE1859" w14:textId="77777777" w:rsidR="006C589E" w:rsidRPr="00A469EA" w:rsidRDefault="006C589E" w:rsidP="00B75A66">
            <w:pPr>
              <w:rPr>
                <w:sz w:val="18"/>
                <w:szCs w:val="18"/>
                <w:lang w:val="en-GB"/>
              </w:rPr>
            </w:pPr>
          </w:p>
        </w:tc>
        <w:tc>
          <w:tcPr>
            <w:tcW w:w="1980" w:type="dxa"/>
            <w:tcBorders>
              <w:top w:val="nil"/>
            </w:tcBorders>
            <w:shd w:val="clear" w:color="auto" w:fill="auto"/>
            <w:hideMark/>
          </w:tcPr>
          <w:p w14:paraId="32B287BA" w14:textId="463651A1" w:rsidR="006C589E" w:rsidRPr="00A469EA" w:rsidRDefault="00610318" w:rsidP="00A04270">
            <w:pPr>
              <w:jc w:val="center"/>
              <w:rPr>
                <w:b/>
                <w:bCs/>
                <w:sz w:val="18"/>
                <w:szCs w:val="18"/>
                <w:lang w:val="en-GB"/>
              </w:rPr>
            </w:pPr>
            <w:r w:rsidRPr="00A469EA">
              <w:rPr>
                <w:b/>
                <w:bCs/>
                <w:sz w:val="18"/>
                <w:szCs w:val="18"/>
                <w:lang w:val="en-GB"/>
              </w:rPr>
              <w:t>Other</w:t>
            </w:r>
            <w:r w:rsidR="006C589E" w:rsidRPr="00A469EA">
              <w:rPr>
                <w:b/>
                <w:bCs/>
                <w:sz w:val="18"/>
                <w:szCs w:val="18"/>
                <w:lang w:val="en-GB"/>
              </w:rPr>
              <w:t xml:space="preserve">: </w:t>
            </w:r>
            <w:r w:rsidR="00A04270" w:rsidRPr="00A469EA">
              <w:rPr>
                <w:b/>
                <w:bCs/>
                <w:sz w:val="18"/>
                <w:szCs w:val="18"/>
                <w:lang w:val="en-GB"/>
              </w:rPr>
              <w:t>93,5</w:t>
            </w:r>
            <w:r w:rsidR="006C589E" w:rsidRPr="00A469EA">
              <w:rPr>
                <w:b/>
                <w:bCs/>
                <w:sz w:val="18"/>
                <w:szCs w:val="18"/>
                <w:lang w:val="en-GB"/>
              </w:rPr>
              <w:t>00</w:t>
            </w:r>
          </w:p>
          <w:p w14:paraId="0C58E135" w14:textId="2CE657E5" w:rsidR="00A04270" w:rsidRPr="00A469EA" w:rsidRDefault="005B4F1C" w:rsidP="005B4F1C">
            <w:pPr>
              <w:jc w:val="center"/>
              <w:rPr>
                <w:b/>
                <w:bCs/>
                <w:sz w:val="18"/>
                <w:szCs w:val="18"/>
                <w:lang w:val="en-GB"/>
              </w:rPr>
            </w:pPr>
            <w:r w:rsidRPr="00A469EA">
              <w:rPr>
                <w:b/>
                <w:bCs/>
                <w:sz w:val="18"/>
                <w:szCs w:val="18"/>
                <w:lang w:val="en-GB"/>
              </w:rPr>
              <w:t>Total:</w:t>
            </w:r>
            <w:r w:rsidR="00A04270" w:rsidRPr="00A469EA">
              <w:rPr>
                <w:b/>
                <w:bCs/>
                <w:sz w:val="18"/>
                <w:szCs w:val="18"/>
                <w:lang w:val="en-GB"/>
              </w:rPr>
              <w:t xml:space="preserve"> </w:t>
            </w:r>
            <w:r w:rsidR="00236B0E" w:rsidRPr="00A469EA">
              <w:rPr>
                <w:b/>
                <w:bCs/>
                <w:sz w:val="18"/>
                <w:szCs w:val="18"/>
                <w:lang w:val="en-GB"/>
              </w:rPr>
              <w:t>97,271</w:t>
            </w:r>
          </w:p>
        </w:tc>
      </w:tr>
      <w:tr w:rsidR="00E82198" w:rsidRPr="00A469EA" w14:paraId="0D271B35" w14:textId="77777777" w:rsidTr="00257F40">
        <w:tc>
          <w:tcPr>
            <w:tcW w:w="2358" w:type="dxa"/>
            <w:vMerge/>
            <w:shd w:val="clear" w:color="auto" w:fill="auto"/>
            <w:vAlign w:val="center"/>
            <w:hideMark/>
          </w:tcPr>
          <w:p w14:paraId="304ADB97" w14:textId="77777777" w:rsidR="006C589E" w:rsidRPr="00A469EA" w:rsidRDefault="006C589E" w:rsidP="00B75A66">
            <w:pPr>
              <w:rPr>
                <w:sz w:val="18"/>
                <w:szCs w:val="18"/>
                <w:lang w:val="en-GB"/>
              </w:rPr>
            </w:pPr>
          </w:p>
        </w:tc>
        <w:tc>
          <w:tcPr>
            <w:tcW w:w="1710" w:type="dxa"/>
            <w:vMerge/>
            <w:shd w:val="clear" w:color="auto" w:fill="auto"/>
            <w:vAlign w:val="center"/>
            <w:hideMark/>
          </w:tcPr>
          <w:p w14:paraId="42D7019A" w14:textId="77777777" w:rsidR="006C589E" w:rsidRPr="00A469EA" w:rsidRDefault="006C589E" w:rsidP="00B75A66">
            <w:pPr>
              <w:rPr>
                <w:sz w:val="18"/>
                <w:szCs w:val="18"/>
                <w:lang w:val="en-GB"/>
              </w:rPr>
            </w:pPr>
          </w:p>
        </w:tc>
        <w:tc>
          <w:tcPr>
            <w:tcW w:w="5130" w:type="dxa"/>
            <w:shd w:val="clear" w:color="auto" w:fill="auto"/>
            <w:vAlign w:val="center"/>
            <w:hideMark/>
          </w:tcPr>
          <w:p w14:paraId="42ECE771" w14:textId="1BE1C6FF" w:rsidR="006C589E" w:rsidRPr="00A469EA" w:rsidRDefault="006C589E" w:rsidP="00B75A66">
            <w:pPr>
              <w:rPr>
                <w:sz w:val="18"/>
                <w:szCs w:val="18"/>
                <w:lang w:val="en-GB"/>
              </w:rPr>
            </w:pPr>
            <w:r w:rsidRPr="00A469EA">
              <w:rPr>
                <w:b/>
                <w:bCs/>
                <w:sz w:val="18"/>
                <w:szCs w:val="18"/>
                <w:lang w:val="en-GB"/>
              </w:rPr>
              <w:t xml:space="preserve">Output 9.2: </w:t>
            </w:r>
            <w:r w:rsidRPr="00A469EA">
              <w:rPr>
                <w:sz w:val="18"/>
                <w:szCs w:val="18"/>
                <w:lang w:val="en-GB"/>
              </w:rPr>
              <w:t xml:space="preserve">Strengthened functioning, financing and institutional capacities facilitate access to justice </w:t>
            </w:r>
            <w:r w:rsidR="00FE1FE0" w:rsidRPr="00A469EA">
              <w:rPr>
                <w:sz w:val="18"/>
                <w:szCs w:val="18"/>
                <w:lang w:val="en-GB"/>
              </w:rPr>
              <w:t>and improve</w:t>
            </w:r>
            <w:r w:rsidRPr="00A469EA">
              <w:rPr>
                <w:sz w:val="18"/>
                <w:szCs w:val="18"/>
                <w:lang w:val="en-GB"/>
              </w:rPr>
              <w:t xml:space="preserve"> </w:t>
            </w:r>
            <w:r w:rsidR="00C42393" w:rsidRPr="00A469EA">
              <w:rPr>
                <w:sz w:val="18"/>
                <w:szCs w:val="18"/>
                <w:lang w:val="en-GB"/>
              </w:rPr>
              <w:t>redress</w:t>
            </w:r>
            <w:r w:rsidRPr="00A469EA">
              <w:rPr>
                <w:sz w:val="18"/>
                <w:szCs w:val="18"/>
                <w:lang w:val="en-GB"/>
              </w:rPr>
              <w:t xml:space="preserve"> mechanisms by the rule of law institutions</w:t>
            </w:r>
            <w:r w:rsidR="00E43B01" w:rsidRPr="00A469EA">
              <w:rPr>
                <w:sz w:val="18"/>
                <w:szCs w:val="18"/>
                <w:lang w:val="en-GB"/>
              </w:rPr>
              <w:t>.</w:t>
            </w:r>
            <w:r w:rsidRPr="00A469EA">
              <w:rPr>
                <w:sz w:val="18"/>
                <w:szCs w:val="18"/>
                <w:lang w:val="en-GB"/>
              </w:rPr>
              <w:br/>
            </w:r>
            <w:r w:rsidRPr="00A469EA">
              <w:rPr>
                <w:sz w:val="18"/>
                <w:szCs w:val="18"/>
                <w:lang w:val="en-GB"/>
              </w:rPr>
              <w:br/>
            </w:r>
            <w:r w:rsidRPr="00A469EA">
              <w:rPr>
                <w:b/>
                <w:bCs/>
                <w:sz w:val="18"/>
                <w:szCs w:val="18"/>
                <w:lang w:val="en-GB"/>
              </w:rPr>
              <w:t xml:space="preserve">CPD </w:t>
            </w:r>
            <w:r w:rsidR="00E43B01" w:rsidRPr="00A469EA">
              <w:rPr>
                <w:b/>
                <w:bCs/>
                <w:sz w:val="18"/>
                <w:szCs w:val="18"/>
                <w:lang w:val="en-GB"/>
              </w:rPr>
              <w:t>o</w:t>
            </w:r>
            <w:r w:rsidRPr="00A469EA">
              <w:rPr>
                <w:b/>
                <w:bCs/>
                <w:sz w:val="18"/>
                <w:szCs w:val="18"/>
                <w:lang w:val="en-GB"/>
              </w:rPr>
              <w:t xml:space="preserve">utput </w:t>
            </w:r>
            <w:r w:rsidR="00E43B01" w:rsidRPr="00A469EA">
              <w:rPr>
                <w:b/>
                <w:bCs/>
                <w:sz w:val="18"/>
                <w:szCs w:val="18"/>
                <w:lang w:val="en-GB"/>
              </w:rPr>
              <w:t>i</w:t>
            </w:r>
            <w:r w:rsidRPr="00A469EA">
              <w:rPr>
                <w:b/>
                <w:bCs/>
                <w:sz w:val="18"/>
                <w:szCs w:val="18"/>
                <w:lang w:val="en-GB"/>
              </w:rPr>
              <w:t xml:space="preserve">ndicator 9.2.1 (IRRF </w:t>
            </w:r>
            <w:r w:rsidR="00E43B01" w:rsidRPr="00A469EA">
              <w:rPr>
                <w:b/>
                <w:bCs/>
                <w:sz w:val="18"/>
                <w:szCs w:val="18"/>
                <w:lang w:val="en-GB"/>
              </w:rPr>
              <w:t>i</w:t>
            </w:r>
            <w:r w:rsidRPr="00A469EA">
              <w:rPr>
                <w:b/>
                <w:bCs/>
                <w:sz w:val="18"/>
                <w:szCs w:val="18"/>
                <w:lang w:val="en-GB"/>
              </w:rPr>
              <w:t>ndicator 3.4.1)</w:t>
            </w:r>
            <w:r w:rsidRPr="00A469EA">
              <w:rPr>
                <w:sz w:val="18"/>
                <w:szCs w:val="18"/>
                <w:lang w:val="en-GB"/>
              </w:rPr>
              <w:t>: Extent to which victims</w:t>
            </w:r>
            <w:r w:rsidR="00A04270" w:rsidRPr="00A469EA">
              <w:rPr>
                <w:sz w:val="18"/>
                <w:szCs w:val="18"/>
                <w:lang w:val="en-GB"/>
              </w:rPr>
              <w:t xml:space="preserve">, especially </w:t>
            </w:r>
            <w:r w:rsidRPr="00A469EA">
              <w:rPr>
                <w:sz w:val="18"/>
                <w:szCs w:val="18"/>
                <w:lang w:val="en-GB"/>
              </w:rPr>
              <w:t>women</w:t>
            </w:r>
            <w:r w:rsidR="00E43B01" w:rsidRPr="00A469EA">
              <w:rPr>
                <w:sz w:val="18"/>
                <w:szCs w:val="18"/>
                <w:lang w:val="en-GB"/>
              </w:rPr>
              <w:t>,</w:t>
            </w:r>
            <w:r w:rsidRPr="00A469EA">
              <w:rPr>
                <w:sz w:val="18"/>
                <w:szCs w:val="18"/>
                <w:lang w:val="en-GB"/>
              </w:rPr>
              <w:t xml:space="preserve"> have access to justice, disaggregated by sex</w:t>
            </w:r>
            <w:r w:rsidR="00E43B01" w:rsidRPr="00A469EA">
              <w:rPr>
                <w:sz w:val="18"/>
                <w:szCs w:val="18"/>
                <w:lang w:val="en-GB"/>
              </w:rPr>
              <w:t>.</w:t>
            </w:r>
            <w:r w:rsidRPr="00A469EA">
              <w:rPr>
                <w:sz w:val="18"/>
                <w:szCs w:val="18"/>
                <w:lang w:val="en-GB"/>
              </w:rPr>
              <w:br/>
            </w:r>
            <w:r w:rsidRPr="00A469EA">
              <w:rPr>
                <w:b/>
                <w:bCs/>
                <w:sz w:val="18"/>
                <w:szCs w:val="18"/>
                <w:lang w:val="en-GB"/>
              </w:rPr>
              <w:t>Baseline</w:t>
            </w:r>
            <w:r w:rsidRPr="00A469EA">
              <w:rPr>
                <w:b/>
                <w:bCs/>
                <w:i/>
                <w:iCs/>
                <w:sz w:val="18"/>
                <w:szCs w:val="18"/>
                <w:lang w:val="en-GB"/>
              </w:rPr>
              <w:t xml:space="preserve">: </w:t>
            </w:r>
            <w:r w:rsidRPr="00A469EA">
              <w:rPr>
                <w:sz w:val="18"/>
                <w:szCs w:val="18"/>
                <w:lang w:val="en-GB"/>
              </w:rPr>
              <w:t>Scale: 1. Not adequately</w:t>
            </w:r>
            <w:r w:rsidR="00E43B01" w:rsidRPr="00A469EA">
              <w:rPr>
                <w:sz w:val="18"/>
                <w:szCs w:val="18"/>
                <w:lang w:val="en-GB"/>
              </w:rPr>
              <w:t>.</w:t>
            </w:r>
            <w:r w:rsidRPr="00A469EA">
              <w:rPr>
                <w:b/>
                <w:bCs/>
                <w:i/>
                <w:iCs/>
                <w:sz w:val="18"/>
                <w:szCs w:val="18"/>
                <w:lang w:val="en-GB"/>
              </w:rPr>
              <w:br/>
            </w:r>
            <w:r w:rsidRPr="00A469EA">
              <w:rPr>
                <w:b/>
                <w:bCs/>
                <w:sz w:val="18"/>
                <w:szCs w:val="18"/>
                <w:lang w:val="en-GB"/>
              </w:rPr>
              <w:t>Target</w:t>
            </w:r>
            <w:r w:rsidR="00E43B01" w:rsidRPr="00A469EA">
              <w:rPr>
                <w:b/>
                <w:bCs/>
                <w:sz w:val="18"/>
                <w:szCs w:val="18"/>
                <w:lang w:val="en-GB"/>
              </w:rPr>
              <w:t>:</w:t>
            </w:r>
            <w:r w:rsidRPr="00A469EA">
              <w:rPr>
                <w:b/>
                <w:bCs/>
                <w:i/>
                <w:iCs/>
                <w:sz w:val="18"/>
                <w:szCs w:val="18"/>
                <w:lang w:val="en-GB"/>
              </w:rPr>
              <w:t xml:space="preserve"> </w:t>
            </w:r>
            <w:r w:rsidRPr="00A469EA">
              <w:rPr>
                <w:sz w:val="18"/>
                <w:szCs w:val="18"/>
                <w:lang w:val="en-GB"/>
              </w:rPr>
              <w:t>(2022): Scale</w:t>
            </w:r>
            <w:r w:rsidR="00E43B01" w:rsidRPr="00A469EA">
              <w:rPr>
                <w:sz w:val="18"/>
                <w:szCs w:val="18"/>
                <w:lang w:val="en-GB"/>
              </w:rPr>
              <w:t>:</w:t>
            </w:r>
            <w:r w:rsidRPr="00A469EA">
              <w:rPr>
                <w:sz w:val="18"/>
                <w:szCs w:val="18"/>
                <w:lang w:val="en-GB"/>
              </w:rPr>
              <w:t xml:space="preserve"> 4. Largely</w:t>
            </w:r>
            <w:r w:rsidR="00E43B01" w:rsidRPr="00A469EA">
              <w:rPr>
                <w:sz w:val="18"/>
                <w:szCs w:val="18"/>
                <w:lang w:val="en-GB"/>
              </w:rPr>
              <w:t>.</w:t>
            </w:r>
            <w:r w:rsidRPr="00A469EA">
              <w:rPr>
                <w:sz w:val="18"/>
                <w:szCs w:val="18"/>
                <w:lang w:val="en-GB"/>
              </w:rPr>
              <w:br/>
            </w:r>
            <w:r w:rsidRPr="00A469EA">
              <w:rPr>
                <w:sz w:val="18"/>
                <w:szCs w:val="18"/>
                <w:lang w:val="en-GB"/>
              </w:rPr>
              <w:br/>
            </w:r>
            <w:r w:rsidRPr="00A469EA">
              <w:rPr>
                <w:b/>
                <w:bCs/>
                <w:sz w:val="18"/>
                <w:szCs w:val="18"/>
                <w:lang w:val="en-GB"/>
              </w:rPr>
              <w:t xml:space="preserve">CPD </w:t>
            </w:r>
            <w:r w:rsidR="00E43B01" w:rsidRPr="00A469EA">
              <w:rPr>
                <w:b/>
                <w:bCs/>
                <w:sz w:val="18"/>
                <w:szCs w:val="18"/>
                <w:lang w:val="en-GB"/>
              </w:rPr>
              <w:t>o</w:t>
            </w:r>
            <w:r w:rsidRPr="00A469EA">
              <w:rPr>
                <w:b/>
                <w:bCs/>
                <w:sz w:val="18"/>
                <w:szCs w:val="18"/>
                <w:lang w:val="en-GB"/>
              </w:rPr>
              <w:t xml:space="preserve">utput </w:t>
            </w:r>
            <w:r w:rsidR="00E43B01" w:rsidRPr="00A469EA">
              <w:rPr>
                <w:b/>
                <w:bCs/>
                <w:sz w:val="18"/>
                <w:szCs w:val="18"/>
                <w:lang w:val="en-GB"/>
              </w:rPr>
              <w:t>i</w:t>
            </w:r>
            <w:r w:rsidRPr="00A469EA">
              <w:rPr>
                <w:b/>
                <w:bCs/>
                <w:sz w:val="18"/>
                <w:szCs w:val="18"/>
                <w:lang w:val="en-GB"/>
              </w:rPr>
              <w:t xml:space="preserve">ndicator 9.2.2 (IRRF </w:t>
            </w:r>
            <w:r w:rsidR="00E43B01" w:rsidRPr="00A469EA">
              <w:rPr>
                <w:b/>
                <w:bCs/>
                <w:sz w:val="18"/>
                <w:szCs w:val="18"/>
                <w:lang w:val="en-GB"/>
              </w:rPr>
              <w:t>i</w:t>
            </w:r>
            <w:r w:rsidRPr="00A469EA">
              <w:rPr>
                <w:b/>
                <w:bCs/>
                <w:sz w:val="18"/>
                <w:szCs w:val="18"/>
                <w:lang w:val="en-GB"/>
              </w:rPr>
              <w:t>ndicator 3.4.2/</w:t>
            </w:r>
            <w:r w:rsidR="00F54308">
              <w:rPr>
                <w:b/>
                <w:bCs/>
                <w:sz w:val="18"/>
                <w:szCs w:val="18"/>
                <w:lang w:val="en-GB"/>
              </w:rPr>
              <w:t>Goal</w:t>
            </w:r>
            <w:r w:rsidR="00F54308" w:rsidRPr="00A469EA">
              <w:rPr>
                <w:b/>
                <w:bCs/>
                <w:sz w:val="18"/>
                <w:szCs w:val="18"/>
                <w:lang w:val="en-GB"/>
              </w:rPr>
              <w:t xml:space="preserve"> </w:t>
            </w:r>
            <w:r w:rsidRPr="00A469EA">
              <w:rPr>
                <w:b/>
                <w:bCs/>
                <w:sz w:val="18"/>
                <w:szCs w:val="18"/>
                <w:lang w:val="en-GB"/>
              </w:rPr>
              <w:t>16.3.1)</w:t>
            </w:r>
            <w:r w:rsidRPr="00A469EA">
              <w:rPr>
                <w:sz w:val="18"/>
                <w:szCs w:val="18"/>
                <w:lang w:val="en-GB"/>
              </w:rPr>
              <w:t xml:space="preserve">: Extent to which victim’s grievances reported cases are addressed by relevant competent authorities or other officially recognized </w:t>
            </w:r>
            <w:r w:rsidR="00A04270" w:rsidRPr="00A469EA">
              <w:rPr>
                <w:sz w:val="18"/>
                <w:szCs w:val="18"/>
                <w:lang w:val="en-GB"/>
              </w:rPr>
              <w:t xml:space="preserve">dispute </w:t>
            </w:r>
            <w:r w:rsidRPr="00A469EA">
              <w:rPr>
                <w:sz w:val="18"/>
                <w:szCs w:val="18"/>
                <w:lang w:val="en-GB"/>
              </w:rPr>
              <w:t>resolution mechanisms, disaggregated by sex</w:t>
            </w:r>
            <w:r w:rsidR="00E43B01" w:rsidRPr="00A469EA">
              <w:rPr>
                <w:sz w:val="18"/>
                <w:szCs w:val="18"/>
                <w:lang w:val="en-GB"/>
              </w:rPr>
              <w:t>.</w:t>
            </w:r>
          </w:p>
          <w:p w14:paraId="2A2EFB2B" w14:textId="481FC9D5" w:rsidR="00E43B01" w:rsidRPr="00A469EA" w:rsidRDefault="006C589E" w:rsidP="00B75A66">
            <w:pPr>
              <w:rPr>
                <w:sz w:val="18"/>
                <w:szCs w:val="18"/>
                <w:lang w:val="en-GB"/>
              </w:rPr>
            </w:pPr>
            <w:r w:rsidRPr="00A469EA">
              <w:rPr>
                <w:b/>
                <w:bCs/>
                <w:sz w:val="18"/>
                <w:szCs w:val="18"/>
                <w:lang w:val="en-GB"/>
              </w:rPr>
              <w:t>Baseline</w:t>
            </w:r>
            <w:r w:rsidR="00E43B01" w:rsidRPr="00A469EA">
              <w:rPr>
                <w:b/>
                <w:bCs/>
                <w:iCs/>
                <w:sz w:val="18"/>
                <w:szCs w:val="18"/>
                <w:lang w:val="en-GB"/>
              </w:rPr>
              <w:t>:</w:t>
            </w:r>
            <w:r w:rsidRPr="00A469EA">
              <w:rPr>
                <w:b/>
                <w:bCs/>
                <w:i/>
                <w:iCs/>
                <w:sz w:val="18"/>
                <w:szCs w:val="18"/>
                <w:lang w:val="en-GB"/>
              </w:rPr>
              <w:t xml:space="preserve"> </w:t>
            </w:r>
            <w:r w:rsidRPr="00A469EA">
              <w:rPr>
                <w:sz w:val="18"/>
                <w:szCs w:val="18"/>
                <w:lang w:val="en-GB"/>
              </w:rPr>
              <w:t>Scale: 1. Not adequately</w:t>
            </w:r>
            <w:r w:rsidR="00E43B01" w:rsidRPr="00A469EA">
              <w:rPr>
                <w:sz w:val="18"/>
                <w:szCs w:val="18"/>
                <w:lang w:val="en-GB"/>
              </w:rPr>
              <w:t>.</w:t>
            </w:r>
            <w:r w:rsidRPr="00A469EA">
              <w:rPr>
                <w:sz w:val="18"/>
                <w:szCs w:val="18"/>
                <w:lang w:val="en-GB"/>
              </w:rPr>
              <w:br/>
            </w:r>
            <w:r w:rsidRPr="00A469EA">
              <w:rPr>
                <w:b/>
                <w:bCs/>
                <w:sz w:val="18"/>
                <w:szCs w:val="18"/>
                <w:lang w:val="en-GB"/>
              </w:rPr>
              <w:t>Target</w:t>
            </w:r>
            <w:r w:rsidR="00E43B01" w:rsidRPr="00A469EA">
              <w:rPr>
                <w:b/>
                <w:bCs/>
                <w:iCs/>
                <w:sz w:val="18"/>
                <w:szCs w:val="18"/>
                <w:lang w:val="en-GB"/>
              </w:rPr>
              <w:t>:</w:t>
            </w:r>
            <w:r w:rsidRPr="00A469EA">
              <w:rPr>
                <w:b/>
                <w:bCs/>
                <w:i/>
                <w:iCs/>
                <w:sz w:val="18"/>
                <w:szCs w:val="18"/>
                <w:lang w:val="en-GB"/>
              </w:rPr>
              <w:t xml:space="preserve"> </w:t>
            </w:r>
            <w:r w:rsidRPr="00A469EA">
              <w:rPr>
                <w:sz w:val="18"/>
                <w:szCs w:val="18"/>
                <w:lang w:val="en-GB"/>
              </w:rPr>
              <w:t>(2022): Scale</w:t>
            </w:r>
            <w:r w:rsidR="00E43B01" w:rsidRPr="00A469EA">
              <w:rPr>
                <w:sz w:val="18"/>
                <w:szCs w:val="18"/>
                <w:lang w:val="en-GB"/>
              </w:rPr>
              <w:t>:</w:t>
            </w:r>
            <w:r w:rsidRPr="00A469EA">
              <w:rPr>
                <w:sz w:val="18"/>
                <w:szCs w:val="18"/>
                <w:lang w:val="en-GB"/>
              </w:rPr>
              <w:t xml:space="preserve"> 4. Largely</w:t>
            </w:r>
            <w:r w:rsidR="00E43B01" w:rsidRPr="00A469EA">
              <w:rPr>
                <w:sz w:val="18"/>
                <w:szCs w:val="18"/>
                <w:lang w:val="en-GB"/>
              </w:rPr>
              <w:t>.</w:t>
            </w:r>
          </w:p>
        </w:tc>
        <w:tc>
          <w:tcPr>
            <w:tcW w:w="1980" w:type="dxa"/>
            <w:shd w:val="clear" w:color="auto" w:fill="auto"/>
            <w:hideMark/>
          </w:tcPr>
          <w:p w14:paraId="67666CE5" w14:textId="0BFAEAC2" w:rsidR="006C589E" w:rsidRPr="00A469EA" w:rsidRDefault="006C589E" w:rsidP="00B75A66">
            <w:pPr>
              <w:rPr>
                <w:sz w:val="18"/>
                <w:szCs w:val="18"/>
                <w:lang w:val="en-GB"/>
              </w:rPr>
            </w:pPr>
            <w:r w:rsidRPr="00A469EA">
              <w:rPr>
                <w:b/>
                <w:bCs/>
                <w:sz w:val="18"/>
                <w:szCs w:val="18"/>
                <w:lang w:val="en-GB"/>
              </w:rPr>
              <w:t xml:space="preserve">Implementing </w:t>
            </w:r>
            <w:r w:rsidR="00E43B01" w:rsidRPr="00A469EA">
              <w:rPr>
                <w:b/>
                <w:bCs/>
                <w:sz w:val="18"/>
                <w:szCs w:val="18"/>
                <w:lang w:val="en-GB"/>
              </w:rPr>
              <w:t>p</w:t>
            </w:r>
            <w:r w:rsidRPr="00A469EA">
              <w:rPr>
                <w:b/>
                <w:bCs/>
                <w:sz w:val="18"/>
                <w:szCs w:val="18"/>
                <w:lang w:val="en-GB"/>
              </w:rPr>
              <w:t>artners</w:t>
            </w:r>
            <w:r w:rsidRPr="00A469EA">
              <w:rPr>
                <w:sz w:val="18"/>
                <w:szCs w:val="18"/>
                <w:lang w:val="en-GB"/>
              </w:rPr>
              <w:t>:</w:t>
            </w:r>
            <w:r w:rsidRPr="00A469EA">
              <w:rPr>
                <w:sz w:val="18"/>
                <w:szCs w:val="18"/>
                <w:lang w:val="en-GB"/>
              </w:rPr>
              <w:br/>
            </w:r>
            <w:r w:rsidR="00C41342" w:rsidRPr="00A469EA">
              <w:rPr>
                <w:sz w:val="18"/>
                <w:szCs w:val="18"/>
                <w:lang w:val="en-GB"/>
              </w:rPr>
              <w:t xml:space="preserve">Provincial </w:t>
            </w:r>
            <w:r w:rsidR="00E10301">
              <w:rPr>
                <w:sz w:val="18"/>
                <w:szCs w:val="18"/>
                <w:lang w:val="en-GB"/>
              </w:rPr>
              <w:t>j</w:t>
            </w:r>
            <w:r w:rsidR="00C41342" w:rsidRPr="00A469EA">
              <w:rPr>
                <w:sz w:val="18"/>
                <w:szCs w:val="18"/>
                <w:lang w:val="en-GB"/>
              </w:rPr>
              <w:t xml:space="preserve">ustice </w:t>
            </w:r>
            <w:r w:rsidR="00E10301">
              <w:rPr>
                <w:sz w:val="18"/>
                <w:szCs w:val="18"/>
                <w:lang w:val="en-GB"/>
              </w:rPr>
              <w:t>d</w:t>
            </w:r>
            <w:r w:rsidR="00C41342" w:rsidRPr="00A469EA">
              <w:rPr>
                <w:sz w:val="18"/>
                <w:szCs w:val="18"/>
                <w:lang w:val="en-GB"/>
              </w:rPr>
              <w:t>epartments</w:t>
            </w:r>
            <w:r w:rsidR="00C01C57" w:rsidRPr="00A469EA">
              <w:rPr>
                <w:sz w:val="18"/>
                <w:szCs w:val="18"/>
                <w:lang w:val="en-GB"/>
              </w:rPr>
              <w:t>,</w:t>
            </w:r>
            <w:r w:rsidR="00C01C57" w:rsidRPr="00A469EA" w:rsidDel="00C01C57">
              <w:rPr>
                <w:sz w:val="18"/>
                <w:szCs w:val="18"/>
                <w:lang w:val="en-GB"/>
              </w:rPr>
              <w:t xml:space="preserve"> </w:t>
            </w:r>
            <w:r w:rsidR="00C01C57" w:rsidRPr="00A469EA">
              <w:rPr>
                <w:sz w:val="18"/>
                <w:szCs w:val="18"/>
                <w:lang w:val="en-GB"/>
              </w:rPr>
              <w:t>i</w:t>
            </w:r>
            <w:r w:rsidRPr="00A469EA">
              <w:rPr>
                <w:sz w:val="18"/>
                <w:szCs w:val="18"/>
                <w:lang w:val="en-GB"/>
              </w:rPr>
              <w:t xml:space="preserve">nformal </w:t>
            </w:r>
            <w:r w:rsidR="00E10301">
              <w:rPr>
                <w:sz w:val="18"/>
                <w:szCs w:val="18"/>
                <w:lang w:val="en-GB"/>
              </w:rPr>
              <w:t>b</w:t>
            </w:r>
            <w:r w:rsidRPr="00A469EA">
              <w:rPr>
                <w:sz w:val="18"/>
                <w:szCs w:val="18"/>
                <w:lang w:val="en-GB"/>
              </w:rPr>
              <w:t xml:space="preserve">ar </w:t>
            </w:r>
            <w:r w:rsidR="00E10301">
              <w:rPr>
                <w:sz w:val="18"/>
                <w:szCs w:val="18"/>
                <w:lang w:val="en-GB"/>
              </w:rPr>
              <w:t>a</w:t>
            </w:r>
            <w:r w:rsidRPr="00A469EA">
              <w:rPr>
                <w:sz w:val="18"/>
                <w:szCs w:val="18"/>
                <w:lang w:val="en-GB"/>
              </w:rPr>
              <w:t>ssociations</w:t>
            </w:r>
            <w:r w:rsidR="00C01C57" w:rsidRPr="00A469EA">
              <w:rPr>
                <w:sz w:val="18"/>
                <w:szCs w:val="18"/>
                <w:lang w:val="en-GB"/>
              </w:rPr>
              <w:t>,</w:t>
            </w:r>
            <w:r w:rsidR="00C01C57" w:rsidRPr="00A469EA" w:rsidDel="00C01C57">
              <w:rPr>
                <w:sz w:val="18"/>
                <w:szCs w:val="18"/>
                <w:lang w:val="en-GB"/>
              </w:rPr>
              <w:t xml:space="preserve"> </w:t>
            </w:r>
            <w:r w:rsidR="00C01C57" w:rsidRPr="00A469EA">
              <w:rPr>
                <w:sz w:val="18"/>
                <w:szCs w:val="18"/>
                <w:lang w:val="en-GB"/>
              </w:rPr>
              <w:t>i</w:t>
            </w:r>
            <w:r w:rsidRPr="00A469EA">
              <w:rPr>
                <w:sz w:val="18"/>
                <w:szCs w:val="18"/>
                <w:lang w:val="en-GB"/>
              </w:rPr>
              <w:t xml:space="preserve">nformal </w:t>
            </w:r>
            <w:r w:rsidR="00E10301">
              <w:rPr>
                <w:sz w:val="18"/>
                <w:szCs w:val="18"/>
                <w:lang w:val="en-GB"/>
              </w:rPr>
              <w:t>j</w:t>
            </w:r>
            <w:r w:rsidRPr="00A469EA">
              <w:rPr>
                <w:sz w:val="18"/>
                <w:szCs w:val="18"/>
                <w:lang w:val="en-GB"/>
              </w:rPr>
              <w:t xml:space="preserve">ustice </w:t>
            </w:r>
            <w:r w:rsidR="00E10301">
              <w:rPr>
                <w:sz w:val="18"/>
                <w:szCs w:val="18"/>
                <w:lang w:val="en-GB"/>
              </w:rPr>
              <w:t>s</w:t>
            </w:r>
            <w:r w:rsidRPr="00A469EA">
              <w:rPr>
                <w:sz w:val="18"/>
                <w:szCs w:val="18"/>
                <w:lang w:val="en-GB"/>
              </w:rPr>
              <w:t xml:space="preserve">ector </w:t>
            </w:r>
            <w:r w:rsidR="00C01C57" w:rsidRPr="00A469EA">
              <w:rPr>
                <w:sz w:val="18"/>
                <w:szCs w:val="18"/>
                <w:lang w:val="en-GB"/>
              </w:rPr>
              <w:t>a</w:t>
            </w:r>
            <w:r w:rsidRPr="00A469EA">
              <w:rPr>
                <w:sz w:val="18"/>
                <w:szCs w:val="18"/>
                <w:lang w:val="en-GB"/>
              </w:rPr>
              <w:t>ctors</w:t>
            </w:r>
            <w:r w:rsidRPr="00A469EA">
              <w:rPr>
                <w:sz w:val="18"/>
                <w:szCs w:val="18"/>
                <w:lang w:val="en-GB"/>
              </w:rPr>
              <w:br/>
            </w:r>
            <w:r w:rsidR="00C01C57" w:rsidRPr="00A469EA">
              <w:rPr>
                <w:sz w:val="18"/>
                <w:szCs w:val="18"/>
                <w:lang w:val="en-GB"/>
              </w:rPr>
              <w:t>c</w:t>
            </w:r>
            <w:r w:rsidRPr="00A469EA">
              <w:rPr>
                <w:sz w:val="18"/>
                <w:szCs w:val="18"/>
                <w:lang w:val="en-GB"/>
              </w:rPr>
              <w:t xml:space="preserve">ivil </w:t>
            </w:r>
            <w:r w:rsidR="00C01C57" w:rsidRPr="00A469EA">
              <w:rPr>
                <w:sz w:val="18"/>
                <w:szCs w:val="18"/>
                <w:lang w:val="en-GB"/>
              </w:rPr>
              <w:t>s</w:t>
            </w:r>
            <w:r w:rsidRPr="00A469EA">
              <w:rPr>
                <w:sz w:val="18"/>
                <w:szCs w:val="18"/>
                <w:lang w:val="en-GB"/>
              </w:rPr>
              <w:t xml:space="preserve">ociety </w:t>
            </w:r>
            <w:r w:rsidR="00C01C57" w:rsidRPr="00A469EA">
              <w:rPr>
                <w:sz w:val="18"/>
                <w:szCs w:val="18"/>
                <w:lang w:val="en-GB"/>
              </w:rPr>
              <w:t>o</w:t>
            </w:r>
            <w:r w:rsidRPr="00A469EA">
              <w:rPr>
                <w:sz w:val="18"/>
                <w:szCs w:val="18"/>
                <w:lang w:val="en-GB"/>
              </w:rPr>
              <w:t>rganizations</w:t>
            </w:r>
            <w:r w:rsidRPr="00A469EA">
              <w:rPr>
                <w:sz w:val="18"/>
                <w:szCs w:val="18"/>
                <w:lang w:val="en-GB"/>
              </w:rPr>
              <w:br/>
            </w:r>
          </w:p>
          <w:p w14:paraId="5F6C89F2" w14:textId="747B91B2" w:rsidR="00C01C57" w:rsidRPr="00A469EA" w:rsidRDefault="006C589E" w:rsidP="00C41342">
            <w:pPr>
              <w:rPr>
                <w:sz w:val="18"/>
                <w:szCs w:val="18"/>
                <w:lang w:val="en-GB"/>
              </w:rPr>
            </w:pPr>
            <w:r w:rsidRPr="00A469EA">
              <w:rPr>
                <w:b/>
                <w:bCs/>
                <w:sz w:val="18"/>
                <w:szCs w:val="18"/>
                <w:lang w:val="en-GB"/>
              </w:rPr>
              <w:t xml:space="preserve">Funding </w:t>
            </w:r>
            <w:r w:rsidR="00C01C57" w:rsidRPr="00A469EA">
              <w:rPr>
                <w:b/>
                <w:bCs/>
                <w:sz w:val="18"/>
                <w:szCs w:val="18"/>
                <w:lang w:val="en-GB"/>
              </w:rPr>
              <w:t>p</w:t>
            </w:r>
            <w:r w:rsidRPr="00A469EA">
              <w:rPr>
                <w:b/>
                <w:bCs/>
                <w:sz w:val="18"/>
                <w:szCs w:val="18"/>
                <w:lang w:val="en-GB"/>
              </w:rPr>
              <w:t>artners</w:t>
            </w:r>
            <w:r w:rsidRPr="00A469EA">
              <w:rPr>
                <w:sz w:val="18"/>
                <w:szCs w:val="18"/>
                <w:lang w:val="en-GB"/>
              </w:rPr>
              <w:t>:</w:t>
            </w:r>
            <w:r w:rsidRPr="00A469EA">
              <w:rPr>
                <w:sz w:val="18"/>
                <w:szCs w:val="18"/>
                <w:lang w:val="en-GB"/>
              </w:rPr>
              <w:br/>
            </w:r>
            <w:r w:rsidR="00C41342" w:rsidRPr="00A469EA">
              <w:rPr>
                <w:sz w:val="18"/>
                <w:szCs w:val="18"/>
                <w:lang w:val="en-GB"/>
              </w:rPr>
              <w:t xml:space="preserve">Provincial </w:t>
            </w:r>
            <w:r w:rsidR="00E10301">
              <w:rPr>
                <w:sz w:val="18"/>
                <w:szCs w:val="18"/>
                <w:lang w:val="en-GB"/>
              </w:rPr>
              <w:t>g</w:t>
            </w:r>
            <w:r w:rsidR="00C41342" w:rsidRPr="00A469EA">
              <w:rPr>
                <w:sz w:val="18"/>
                <w:szCs w:val="18"/>
                <w:lang w:val="en-GB"/>
              </w:rPr>
              <w:t>overnments</w:t>
            </w:r>
            <w:r w:rsidR="00C01C57" w:rsidRPr="00A469EA">
              <w:rPr>
                <w:sz w:val="18"/>
                <w:szCs w:val="18"/>
                <w:lang w:val="en-GB"/>
              </w:rPr>
              <w:t xml:space="preserve">, </w:t>
            </w:r>
            <w:r w:rsidRPr="00A469EA">
              <w:rPr>
                <w:sz w:val="18"/>
                <w:szCs w:val="18"/>
                <w:lang w:val="en-GB"/>
              </w:rPr>
              <w:t>European Union</w:t>
            </w:r>
            <w:r w:rsidR="00C01C57" w:rsidRPr="00A469EA">
              <w:rPr>
                <w:sz w:val="18"/>
                <w:szCs w:val="18"/>
                <w:lang w:val="en-GB"/>
              </w:rPr>
              <w:t xml:space="preserve">, </w:t>
            </w:r>
            <w:r w:rsidR="0058421A" w:rsidRPr="00A469EA">
              <w:rPr>
                <w:sz w:val="18"/>
                <w:szCs w:val="18"/>
                <w:lang w:val="en-GB"/>
              </w:rPr>
              <w:t xml:space="preserve">Governments of </w:t>
            </w:r>
            <w:r w:rsidR="008D4C72" w:rsidRPr="00A469EA">
              <w:rPr>
                <w:sz w:val="18"/>
                <w:szCs w:val="18"/>
                <w:lang w:val="en-GB"/>
              </w:rPr>
              <w:t>t</w:t>
            </w:r>
            <w:r w:rsidRPr="00A469EA">
              <w:rPr>
                <w:sz w:val="18"/>
                <w:szCs w:val="18"/>
                <w:lang w:val="en-GB"/>
              </w:rPr>
              <w:t>he Netherlands</w:t>
            </w:r>
            <w:r w:rsidR="0058421A" w:rsidRPr="00A469EA">
              <w:rPr>
                <w:sz w:val="18"/>
                <w:szCs w:val="18"/>
                <w:lang w:val="en-GB"/>
              </w:rPr>
              <w:t xml:space="preserve"> </w:t>
            </w:r>
            <w:r w:rsidR="00A0370D" w:rsidRPr="00A469EA">
              <w:rPr>
                <w:sz w:val="18"/>
                <w:szCs w:val="18"/>
                <w:lang w:val="en-GB"/>
              </w:rPr>
              <w:t xml:space="preserve">and </w:t>
            </w:r>
            <w:r w:rsidR="00A0370D" w:rsidRPr="00A469EA" w:rsidDel="00C01C57">
              <w:rPr>
                <w:sz w:val="18"/>
                <w:szCs w:val="18"/>
                <w:lang w:val="en-GB"/>
              </w:rPr>
              <w:t>Switzerland</w:t>
            </w:r>
          </w:p>
        </w:tc>
        <w:tc>
          <w:tcPr>
            <w:tcW w:w="1980" w:type="dxa"/>
            <w:shd w:val="clear" w:color="auto" w:fill="auto"/>
            <w:hideMark/>
          </w:tcPr>
          <w:p w14:paraId="61F4F34F" w14:textId="53C2A364" w:rsidR="006C589E" w:rsidRPr="00A469EA" w:rsidRDefault="006C589E" w:rsidP="00B75A66">
            <w:pPr>
              <w:jc w:val="center"/>
              <w:rPr>
                <w:b/>
                <w:bCs/>
                <w:sz w:val="18"/>
                <w:szCs w:val="18"/>
                <w:lang w:val="en-GB"/>
              </w:rPr>
            </w:pPr>
          </w:p>
        </w:tc>
      </w:tr>
      <w:tr w:rsidR="00E82198" w:rsidRPr="00A469EA" w14:paraId="1067A8BF" w14:textId="77777777" w:rsidTr="008C23EA">
        <w:tc>
          <w:tcPr>
            <w:tcW w:w="2358" w:type="dxa"/>
            <w:vMerge/>
            <w:shd w:val="clear" w:color="auto" w:fill="auto"/>
            <w:vAlign w:val="center"/>
            <w:hideMark/>
          </w:tcPr>
          <w:p w14:paraId="304B7D3F" w14:textId="0A48794C" w:rsidR="006C589E" w:rsidRPr="00A469EA" w:rsidRDefault="006C589E" w:rsidP="00B75A66">
            <w:pPr>
              <w:rPr>
                <w:sz w:val="18"/>
                <w:szCs w:val="18"/>
                <w:lang w:val="en-GB"/>
              </w:rPr>
            </w:pPr>
          </w:p>
        </w:tc>
        <w:tc>
          <w:tcPr>
            <w:tcW w:w="1710" w:type="dxa"/>
            <w:vMerge/>
            <w:shd w:val="clear" w:color="auto" w:fill="auto"/>
            <w:vAlign w:val="center"/>
            <w:hideMark/>
          </w:tcPr>
          <w:p w14:paraId="5B10AE2E" w14:textId="77777777" w:rsidR="006C589E" w:rsidRPr="00A469EA" w:rsidRDefault="006C589E" w:rsidP="00B75A66">
            <w:pPr>
              <w:rPr>
                <w:sz w:val="18"/>
                <w:szCs w:val="18"/>
                <w:lang w:val="en-GB"/>
              </w:rPr>
            </w:pPr>
          </w:p>
        </w:tc>
        <w:tc>
          <w:tcPr>
            <w:tcW w:w="5130" w:type="dxa"/>
            <w:shd w:val="clear" w:color="auto" w:fill="auto"/>
            <w:vAlign w:val="center"/>
            <w:hideMark/>
          </w:tcPr>
          <w:p w14:paraId="29F701D0" w14:textId="697C6C04" w:rsidR="006C589E" w:rsidRPr="00A469EA" w:rsidRDefault="006C589E" w:rsidP="00B75A66">
            <w:pPr>
              <w:rPr>
                <w:sz w:val="18"/>
                <w:szCs w:val="18"/>
                <w:lang w:val="en-GB"/>
              </w:rPr>
            </w:pPr>
            <w:r w:rsidRPr="00A469EA">
              <w:rPr>
                <w:b/>
                <w:bCs/>
                <w:sz w:val="18"/>
                <w:szCs w:val="18"/>
                <w:lang w:val="en-GB"/>
              </w:rPr>
              <w:t xml:space="preserve">Output 9.3: </w:t>
            </w:r>
            <w:r w:rsidRPr="00A469EA">
              <w:rPr>
                <w:sz w:val="18"/>
                <w:szCs w:val="18"/>
                <w:lang w:val="en-GB"/>
              </w:rPr>
              <w:t xml:space="preserve">Through active citizen engagement, </w:t>
            </w:r>
            <w:r w:rsidR="00682BA8" w:rsidRPr="00A469EA">
              <w:rPr>
                <w:sz w:val="18"/>
                <w:szCs w:val="18"/>
                <w:lang w:val="en-GB"/>
              </w:rPr>
              <w:t>n</w:t>
            </w:r>
            <w:r w:rsidRPr="00A469EA">
              <w:rPr>
                <w:sz w:val="18"/>
                <w:szCs w:val="18"/>
                <w:lang w:val="en-GB"/>
              </w:rPr>
              <w:t>ational/</w:t>
            </w:r>
            <w:r w:rsidR="00A04270" w:rsidRPr="00A469EA">
              <w:rPr>
                <w:sz w:val="18"/>
                <w:szCs w:val="18"/>
                <w:lang w:val="en-GB"/>
              </w:rPr>
              <w:t>provincial</w:t>
            </w:r>
            <w:r w:rsidRPr="00A469EA">
              <w:rPr>
                <w:sz w:val="18"/>
                <w:szCs w:val="18"/>
                <w:lang w:val="en-GB"/>
              </w:rPr>
              <w:t xml:space="preserve"> governments shape public policy priorities and establish planning, financing and monitoring mechanisms</w:t>
            </w:r>
            <w:r w:rsidR="00682BA8" w:rsidRPr="00A469EA">
              <w:rPr>
                <w:sz w:val="18"/>
                <w:szCs w:val="18"/>
                <w:lang w:val="en-GB"/>
              </w:rPr>
              <w:t>,</w:t>
            </w:r>
            <w:r w:rsidRPr="00A469EA">
              <w:rPr>
                <w:sz w:val="18"/>
                <w:szCs w:val="18"/>
                <w:lang w:val="en-GB"/>
              </w:rPr>
              <w:t xml:space="preserve"> facilitating implementation of </w:t>
            </w:r>
            <w:r w:rsidR="00682BA8" w:rsidRPr="00A469EA">
              <w:rPr>
                <w:sz w:val="18"/>
                <w:szCs w:val="18"/>
                <w:lang w:val="en-GB"/>
              </w:rPr>
              <w:t xml:space="preserve">the </w:t>
            </w:r>
            <w:r w:rsidRPr="00A469EA">
              <w:rPr>
                <w:sz w:val="18"/>
                <w:szCs w:val="18"/>
                <w:lang w:val="en-GB"/>
              </w:rPr>
              <w:t>Sustainable Development Goals</w:t>
            </w:r>
            <w:r w:rsidR="00682BA8" w:rsidRPr="00A469EA">
              <w:rPr>
                <w:sz w:val="18"/>
                <w:szCs w:val="18"/>
                <w:lang w:val="en-GB"/>
              </w:rPr>
              <w:t>.</w:t>
            </w:r>
            <w:r w:rsidRPr="00A469EA">
              <w:rPr>
                <w:b/>
                <w:bCs/>
                <w:sz w:val="18"/>
                <w:szCs w:val="18"/>
                <w:lang w:val="en-GB"/>
              </w:rPr>
              <w:t xml:space="preserve"> </w:t>
            </w:r>
            <w:r w:rsidRPr="00A469EA">
              <w:rPr>
                <w:b/>
                <w:bCs/>
                <w:sz w:val="18"/>
                <w:szCs w:val="18"/>
                <w:lang w:val="en-GB"/>
              </w:rPr>
              <w:br/>
            </w:r>
            <w:r w:rsidRPr="00A469EA">
              <w:rPr>
                <w:sz w:val="18"/>
                <w:szCs w:val="18"/>
                <w:lang w:val="en-GB"/>
              </w:rPr>
              <w:br/>
            </w:r>
            <w:r w:rsidRPr="00A469EA">
              <w:rPr>
                <w:b/>
                <w:bCs/>
                <w:sz w:val="18"/>
                <w:szCs w:val="18"/>
                <w:lang w:val="en-GB"/>
              </w:rPr>
              <w:t xml:space="preserve">CPD </w:t>
            </w:r>
            <w:r w:rsidR="00682BA8" w:rsidRPr="00A469EA">
              <w:rPr>
                <w:b/>
                <w:bCs/>
                <w:sz w:val="18"/>
                <w:szCs w:val="18"/>
                <w:lang w:val="en-GB"/>
              </w:rPr>
              <w:t>o</w:t>
            </w:r>
            <w:r w:rsidRPr="00A469EA">
              <w:rPr>
                <w:b/>
                <w:bCs/>
                <w:sz w:val="18"/>
                <w:szCs w:val="18"/>
                <w:lang w:val="en-GB"/>
              </w:rPr>
              <w:t xml:space="preserve">utput </w:t>
            </w:r>
            <w:r w:rsidR="00682BA8" w:rsidRPr="00A469EA">
              <w:rPr>
                <w:b/>
                <w:bCs/>
                <w:sz w:val="18"/>
                <w:szCs w:val="18"/>
                <w:lang w:val="en-GB"/>
              </w:rPr>
              <w:t>i</w:t>
            </w:r>
            <w:r w:rsidRPr="00A469EA">
              <w:rPr>
                <w:b/>
                <w:bCs/>
                <w:sz w:val="18"/>
                <w:szCs w:val="18"/>
                <w:lang w:val="en-GB"/>
              </w:rPr>
              <w:t xml:space="preserve">ndicator 9.3.1 (IRRF </w:t>
            </w:r>
            <w:r w:rsidR="00682BA8" w:rsidRPr="00A469EA">
              <w:rPr>
                <w:b/>
                <w:bCs/>
                <w:sz w:val="18"/>
                <w:szCs w:val="18"/>
                <w:lang w:val="en-GB"/>
              </w:rPr>
              <w:t>i</w:t>
            </w:r>
            <w:r w:rsidRPr="00A469EA">
              <w:rPr>
                <w:b/>
                <w:bCs/>
                <w:sz w:val="18"/>
                <w:szCs w:val="18"/>
                <w:lang w:val="en-GB"/>
              </w:rPr>
              <w:t>ndicator 7.2.2)</w:t>
            </w:r>
            <w:r w:rsidRPr="00A469EA">
              <w:rPr>
                <w:sz w:val="18"/>
                <w:szCs w:val="18"/>
                <w:lang w:val="en-GB"/>
              </w:rPr>
              <w:t xml:space="preserve">: Extent to which national and </w:t>
            </w:r>
            <w:r w:rsidR="00A04270" w:rsidRPr="00A469EA">
              <w:rPr>
                <w:sz w:val="18"/>
                <w:szCs w:val="18"/>
                <w:lang w:val="en-GB"/>
              </w:rPr>
              <w:t>provincial</w:t>
            </w:r>
            <w:r w:rsidRPr="00A469EA">
              <w:rPr>
                <w:sz w:val="18"/>
                <w:szCs w:val="18"/>
                <w:lang w:val="en-GB"/>
              </w:rPr>
              <w:t xml:space="preserve"> systems, strategies and programmes use updated and disaggregated data to monitor progress </w:t>
            </w:r>
            <w:r w:rsidR="00F54308">
              <w:rPr>
                <w:sz w:val="18"/>
                <w:szCs w:val="18"/>
                <w:lang w:val="en-GB"/>
              </w:rPr>
              <w:t xml:space="preserve">against the Goals </w:t>
            </w:r>
            <w:r w:rsidRPr="00A469EA">
              <w:rPr>
                <w:sz w:val="18"/>
                <w:szCs w:val="18"/>
                <w:lang w:val="en-GB"/>
              </w:rPr>
              <w:t>as an integral part of national development goals</w:t>
            </w:r>
            <w:r w:rsidR="00682BA8" w:rsidRPr="00A469EA">
              <w:rPr>
                <w:sz w:val="18"/>
                <w:szCs w:val="18"/>
                <w:lang w:val="en-GB"/>
              </w:rPr>
              <w:t>.</w:t>
            </w:r>
          </w:p>
          <w:p w14:paraId="1DCDC4F6" w14:textId="5DFF2297" w:rsidR="006C589E" w:rsidRPr="00A469EA" w:rsidRDefault="006C589E" w:rsidP="00B75A66">
            <w:pPr>
              <w:rPr>
                <w:sz w:val="18"/>
                <w:szCs w:val="18"/>
                <w:lang w:val="en-GB"/>
              </w:rPr>
            </w:pPr>
            <w:r w:rsidRPr="00A469EA">
              <w:rPr>
                <w:b/>
                <w:bCs/>
                <w:sz w:val="18"/>
                <w:szCs w:val="18"/>
                <w:lang w:val="en-GB"/>
              </w:rPr>
              <w:t xml:space="preserve">Baseline: </w:t>
            </w:r>
            <w:r w:rsidRPr="00A469EA">
              <w:rPr>
                <w:sz w:val="18"/>
                <w:szCs w:val="18"/>
                <w:lang w:val="en-GB"/>
              </w:rPr>
              <w:t>Scale: 1. Not adequately</w:t>
            </w:r>
            <w:r w:rsidR="00682BA8" w:rsidRPr="00A469EA">
              <w:rPr>
                <w:sz w:val="18"/>
                <w:szCs w:val="18"/>
                <w:lang w:val="en-GB"/>
              </w:rPr>
              <w:t>.</w:t>
            </w:r>
            <w:r w:rsidRPr="00A469EA">
              <w:rPr>
                <w:sz w:val="18"/>
                <w:szCs w:val="18"/>
                <w:lang w:val="en-GB"/>
              </w:rPr>
              <w:br/>
            </w:r>
            <w:r w:rsidRPr="00A469EA">
              <w:rPr>
                <w:b/>
                <w:bCs/>
                <w:sz w:val="18"/>
                <w:szCs w:val="18"/>
                <w:lang w:val="en-GB"/>
              </w:rPr>
              <w:t>Target</w:t>
            </w:r>
            <w:r w:rsidR="00682BA8" w:rsidRPr="00A469EA">
              <w:rPr>
                <w:b/>
                <w:bCs/>
                <w:sz w:val="18"/>
                <w:szCs w:val="18"/>
                <w:lang w:val="en-GB"/>
              </w:rPr>
              <w:t>:</w:t>
            </w:r>
            <w:r w:rsidRPr="00A469EA">
              <w:rPr>
                <w:b/>
                <w:bCs/>
                <w:sz w:val="18"/>
                <w:szCs w:val="18"/>
                <w:lang w:val="en-GB"/>
              </w:rPr>
              <w:t xml:space="preserve"> </w:t>
            </w:r>
            <w:r w:rsidRPr="00A469EA">
              <w:rPr>
                <w:sz w:val="18"/>
                <w:szCs w:val="18"/>
                <w:lang w:val="en-GB"/>
              </w:rPr>
              <w:t>(2022): Scale</w:t>
            </w:r>
            <w:r w:rsidR="00682BA8" w:rsidRPr="00A469EA">
              <w:rPr>
                <w:sz w:val="18"/>
                <w:szCs w:val="18"/>
                <w:lang w:val="en-GB"/>
              </w:rPr>
              <w:t>:</w:t>
            </w:r>
            <w:r w:rsidRPr="00A469EA">
              <w:rPr>
                <w:sz w:val="18"/>
                <w:szCs w:val="18"/>
                <w:lang w:val="en-GB"/>
              </w:rPr>
              <w:t xml:space="preserve"> 4. Largely</w:t>
            </w:r>
            <w:r w:rsidR="00682BA8" w:rsidRPr="00A469EA">
              <w:rPr>
                <w:sz w:val="18"/>
                <w:szCs w:val="18"/>
                <w:lang w:val="en-GB"/>
              </w:rPr>
              <w:t>.</w:t>
            </w:r>
            <w:r w:rsidRPr="00A469EA">
              <w:rPr>
                <w:b/>
                <w:bCs/>
                <w:sz w:val="18"/>
                <w:szCs w:val="18"/>
                <w:lang w:val="en-GB"/>
              </w:rPr>
              <w:t xml:space="preserve"> </w:t>
            </w:r>
            <w:r w:rsidRPr="00A469EA">
              <w:rPr>
                <w:sz w:val="18"/>
                <w:szCs w:val="18"/>
                <w:lang w:val="en-GB"/>
              </w:rPr>
              <w:br/>
            </w:r>
            <w:r w:rsidRPr="00A469EA">
              <w:rPr>
                <w:sz w:val="18"/>
                <w:szCs w:val="18"/>
                <w:lang w:val="en-GB"/>
              </w:rPr>
              <w:br/>
            </w:r>
            <w:r w:rsidRPr="00A469EA">
              <w:rPr>
                <w:b/>
                <w:bCs/>
                <w:sz w:val="18"/>
                <w:szCs w:val="18"/>
                <w:lang w:val="en-GB"/>
              </w:rPr>
              <w:t xml:space="preserve">CPD </w:t>
            </w:r>
            <w:r w:rsidR="00682BA8" w:rsidRPr="00A469EA">
              <w:rPr>
                <w:b/>
                <w:bCs/>
                <w:sz w:val="18"/>
                <w:szCs w:val="18"/>
                <w:lang w:val="en-GB"/>
              </w:rPr>
              <w:t>o</w:t>
            </w:r>
            <w:r w:rsidRPr="00A469EA">
              <w:rPr>
                <w:b/>
                <w:bCs/>
                <w:sz w:val="18"/>
                <w:szCs w:val="18"/>
                <w:lang w:val="en-GB"/>
              </w:rPr>
              <w:t xml:space="preserve">utput </w:t>
            </w:r>
            <w:r w:rsidR="00682BA8" w:rsidRPr="00A469EA">
              <w:rPr>
                <w:b/>
                <w:bCs/>
                <w:sz w:val="18"/>
                <w:szCs w:val="18"/>
                <w:lang w:val="en-GB"/>
              </w:rPr>
              <w:t>i</w:t>
            </w:r>
            <w:r w:rsidRPr="00A469EA">
              <w:rPr>
                <w:b/>
                <w:bCs/>
                <w:sz w:val="18"/>
                <w:szCs w:val="18"/>
                <w:lang w:val="en-GB"/>
              </w:rPr>
              <w:t>ndicator 9.3.2 (</w:t>
            </w:r>
            <w:r w:rsidR="00F54308">
              <w:rPr>
                <w:b/>
                <w:bCs/>
                <w:sz w:val="18"/>
                <w:szCs w:val="18"/>
                <w:lang w:val="en-GB"/>
              </w:rPr>
              <w:t>Goal</w:t>
            </w:r>
            <w:r w:rsidR="00F54308" w:rsidRPr="00A469EA">
              <w:rPr>
                <w:b/>
                <w:bCs/>
                <w:sz w:val="18"/>
                <w:szCs w:val="18"/>
                <w:lang w:val="en-GB"/>
              </w:rPr>
              <w:t xml:space="preserve"> </w:t>
            </w:r>
            <w:r w:rsidRPr="00A469EA">
              <w:rPr>
                <w:b/>
                <w:bCs/>
                <w:sz w:val="18"/>
                <w:szCs w:val="18"/>
                <w:lang w:val="en-GB"/>
              </w:rPr>
              <w:t>17.18.1)</w:t>
            </w:r>
            <w:r w:rsidRPr="00A469EA">
              <w:rPr>
                <w:sz w:val="18"/>
                <w:szCs w:val="18"/>
                <w:lang w:val="en-GB"/>
              </w:rPr>
              <w:t xml:space="preserve">: Extent to which </w:t>
            </w:r>
            <w:r w:rsidR="00F54308">
              <w:rPr>
                <w:sz w:val="18"/>
                <w:szCs w:val="18"/>
                <w:lang w:val="en-GB"/>
              </w:rPr>
              <w:t xml:space="preserve">Goal </w:t>
            </w:r>
            <w:r w:rsidRPr="00A469EA">
              <w:rPr>
                <w:sz w:val="18"/>
                <w:szCs w:val="18"/>
                <w:lang w:val="en-GB"/>
              </w:rPr>
              <w:t xml:space="preserve">indicators </w:t>
            </w:r>
            <w:r w:rsidR="00682BA8" w:rsidRPr="00A469EA">
              <w:rPr>
                <w:sz w:val="18"/>
                <w:szCs w:val="18"/>
                <w:lang w:val="en-GB"/>
              </w:rPr>
              <w:t xml:space="preserve">are </w:t>
            </w:r>
            <w:r w:rsidRPr="00A469EA">
              <w:rPr>
                <w:sz w:val="18"/>
                <w:szCs w:val="18"/>
                <w:lang w:val="en-GB"/>
              </w:rPr>
              <w:t>produced at the national/</w:t>
            </w:r>
            <w:r w:rsidR="00A04270" w:rsidRPr="00A469EA">
              <w:rPr>
                <w:sz w:val="18"/>
                <w:szCs w:val="18"/>
                <w:lang w:val="en-GB"/>
              </w:rPr>
              <w:t>provincial</w:t>
            </w:r>
            <w:r w:rsidRPr="00A469EA">
              <w:rPr>
                <w:sz w:val="18"/>
                <w:szCs w:val="18"/>
                <w:lang w:val="en-GB"/>
              </w:rPr>
              <w:t xml:space="preserve"> level</w:t>
            </w:r>
            <w:r w:rsidR="00682BA8" w:rsidRPr="00A469EA">
              <w:rPr>
                <w:sz w:val="18"/>
                <w:szCs w:val="18"/>
                <w:lang w:val="en-GB"/>
              </w:rPr>
              <w:t>,</w:t>
            </w:r>
            <w:r w:rsidRPr="00A469EA">
              <w:rPr>
                <w:sz w:val="18"/>
                <w:szCs w:val="18"/>
                <w:lang w:val="en-GB"/>
              </w:rPr>
              <w:t xml:space="preserve"> with full disaggregation when relevant to the target, in accordance with the </w:t>
            </w:r>
            <w:r w:rsidR="00682BA8" w:rsidRPr="00A469EA">
              <w:rPr>
                <w:sz w:val="18"/>
                <w:szCs w:val="18"/>
                <w:lang w:val="en-GB"/>
              </w:rPr>
              <w:t>S</w:t>
            </w:r>
            <w:r w:rsidRPr="00A469EA">
              <w:rPr>
                <w:sz w:val="18"/>
                <w:szCs w:val="18"/>
                <w:lang w:val="en-GB"/>
              </w:rPr>
              <w:t xml:space="preserve">ustainable </w:t>
            </w:r>
            <w:r w:rsidR="00682BA8" w:rsidRPr="00A469EA">
              <w:rPr>
                <w:sz w:val="18"/>
                <w:szCs w:val="18"/>
                <w:lang w:val="en-GB"/>
              </w:rPr>
              <w:t>D</w:t>
            </w:r>
            <w:r w:rsidRPr="00A469EA">
              <w:rPr>
                <w:sz w:val="18"/>
                <w:szCs w:val="18"/>
                <w:lang w:val="en-GB"/>
              </w:rPr>
              <w:t xml:space="preserve">evelopment </w:t>
            </w:r>
            <w:r w:rsidR="00682BA8" w:rsidRPr="00A469EA">
              <w:rPr>
                <w:sz w:val="18"/>
                <w:szCs w:val="18"/>
                <w:lang w:val="en-GB"/>
              </w:rPr>
              <w:t>G</w:t>
            </w:r>
            <w:r w:rsidRPr="00A469EA">
              <w:rPr>
                <w:sz w:val="18"/>
                <w:szCs w:val="18"/>
                <w:lang w:val="en-GB"/>
              </w:rPr>
              <w:t>oals</w:t>
            </w:r>
            <w:r w:rsidR="00682BA8" w:rsidRPr="00A469EA">
              <w:rPr>
                <w:sz w:val="18"/>
                <w:szCs w:val="18"/>
                <w:lang w:val="en-GB"/>
              </w:rPr>
              <w:t>.</w:t>
            </w:r>
            <w:r w:rsidRPr="00A469EA">
              <w:rPr>
                <w:sz w:val="18"/>
                <w:szCs w:val="18"/>
                <w:lang w:val="en-GB"/>
              </w:rPr>
              <w:br/>
            </w:r>
            <w:r w:rsidRPr="00A469EA">
              <w:rPr>
                <w:b/>
                <w:bCs/>
                <w:sz w:val="18"/>
                <w:szCs w:val="18"/>
                <w:lang w:val="en-GB"/>
              </w:rPr>
              <w:t xml:space="preserve">Baseline: </w:t>
            </w:r>
            <w:r w:rsidRPr="00A469EA">
              <w:rPr>
                <w:sz w:val="18"/>
                <w:szCs w:val="18"/>
                <w:lang w:val="en-GB"/>
              </w:rPr>
              <w:t>Scale: 1. Not adequately</w:t>
            </w:r>
            <w:r w:rsidR="00682BA8" w:rsidRPr="00A469EA">
              <w:rPr>
                <w:sz w:val="18"/>
                <w:szCs w:val="18"/>
                <w:lang w:val="en-GB"/>
              </w:rPr>
              <w:t>.</w:t>
            </w:r>
            <w:r w:rsidRPr="00A469EA">
              <w:rPr>
                <w:b/>
                <w:bCs/>
                <w:sz w:val="18"/>
                <w:szCs w:val="18"/>
                <w:lang w:val="en-GB"/>
              </w:rPr>
              <w:br/>
              <w:t>Target</w:t>
            </w:r>
            <w:r w:rsidR="00682BA8" w:rsidRPr="00A469EA">
              <w:rPr>
                <w:b/>
                <w:bCs/>
                <w:sz w:val="18"/>
                <w:szCs w:val="18"/>
                <w:lang w:val="en-GB"/>
              </w:rPr>
              <w:t>:</w:t>
            </w:r>
            <w:r w:rsidRPr="00A469EA">
              <w:rPr>
                <w:b/>
                <w:bCs/>
                <w:sz w:val="18"/>
                <w:szCs w:val="18"/>
                <w:lang w:val="en-GB"/>
              </w:rPr>
              <w:t xml:space="preserve"> </w:t>
            </w:r>
            <w:r w:rsidRPr="00A469EA">
              <w:rPr>
                <w:sz w:val="18"/>
                <w:szCs w:val="18"/>
                <w:lang w:val="en-GB"/>
              </w:rPr>
              <w:t>(2022): Scale</w:t>
            </w:r>
            <w:r w:rsidR="00682BA8" w:rsidRPr="00A469EA">
              <w:rPr>
                <w:sz w:val="18"/>
                <w:szCs w:val="18"/>
                <w:lang w:val="en-GB"/>
              </w:rPr>
              <w:t>:</w:t>
            </w:r>
            <w:r w:rsidRPr="00A469EA">
              <w:rPr>
                <w:sz w:val="18"/>
                <w:szCs w:val="18"/>
                <w:lang w:val="en-GB"/>
              </w:rPr>
              <w:t xml:space="preserve"> 4. Largely</w:t>
            </w:r>
            <w:r w:rsidR="00682BA8" w:rsidRPr="00A469EA">
              <w:rPr>
                <w:sz w:val="18"/>
                <w:szCs w:val="18"/>
                <w:lang w:val="en-GB"/>
              </w:rPr>
              <w:t>.</w:t>
            </w:r>
            <w:r w:rsidRPr="00A469EA">
              <w:rPr>
                <w:sz w:val="18"/>
                <w:szCs w:val="18"/>
                <w:lang w:val="en-GB"/>
              </w:rPr>
              <w:br/>
            </w:r>
            <w:r w:rsidRPr="00A469EA">
              <w:rPr>
                <w:sz w:val="18"/>
                <w:szCs w:val="18"/>
                <w:lang w:val="en-GB"/>
              </w:rPr>
              <w:br/>
            </w:r>
            <w:r w:rsidRPr="00A469EA">
              <w:rPr>
                <w:b/>
                <w:bCs/>
                <w:sz w:val="18"/>
                <w:szCs w:val="18"/>
                <w:lang w:val="en-GB"/>
              </w:rPr>
              <w:t xml:space="preserve">CPD </w:t>
            </w:r>
            <w:r w:rsidR="00682BA8" w:rsidRPr="00A469EA">
              <w:rPr>
                <w:b/>
                <w:bCs/>
                <w:sz w:val="18"/>
                <w:szCs w:val="18"/>
                <w:lang w:val="en-GB"/>
              </w:rPr>
              <w:t>o</w:t>
            </w:r>
            <w:r w:rsidRPr="00A469EA">
              <w:rPr>
                <w:b/>
                <w:bCs/>
                <w:sz w:val="18"/>
                <w:szCs w:val="18"/>
                <w:lang w:val="en-GB"/>
              </w:rPr>
              <w:t xml:space="preserve">utput </w:t>
            </w:r>
            <w:r w:rsidR="00682BA8" w:rsidRPr="00A469EA">
              <w:rPr>
                <w:b/>
                <w:bCs/>
                <w:sz w:val="18"/>
                <w:szCs w:val="18"/>
                <w:lang w:val="en-GB"/>
              </w:rPr>
              <w:t>i</w:t>
            </w:r>
            <w:r w:rsidRPr="00A469EA">
              <w:rPr>
                <w:b/>
                <w:bCs/>
                <w:sz w:val="18"/>
                <w:szCs w:val="18"/>
                <w:lang w:val="en-GB"/>
              </w:rPr>
              <w:t xml:space="preserve">ndicator 9.3.3 (IRRF </w:t>
            </w:r>
            <w:r w:rsidR="00682BA8" w:rsidRPr="00A469EA">
              <w:rPr>
                <w:b/>
                <w:bCs/>
                <w:sz w:val="18"/>
                <w:szCs w:val="18"/>
                <w:lang w:val="en-GB"/>
              </w:rPr>
              <w:t>i</w:t>
            </w:r>
            <w:r w:rsidRPr="00A469EA">
              <w:rPr>
                <w:b/>
                <w:bCs/>
                <w:sz w:val="18"/>
                <w:szCs w:val="18"/>
                <w:lang w:val="en-GB"/>
              </w:rPr>
              <w:t xml:space="preserve">ndicator 7.7.1): </w:t>
            </w:r>
            <w:r w:rsidRPr="00A469EA">
              <w:rPr>
                <w:sz w:val="18"/>
                <w:szCs w:val="18"/>
                <w:lang w:val="en-GB"/>
              </w:rPr>
              <w:t xml:space="preserve">Evidence of </w:t>
            </w:r>
            <w:r w:rsidR="00236B0E" w:rsidRPr="00A469EA">
              <w:rPr>
                <w:sz w:val="18"/>
                <w:szCs w:val="18"/>
                <w:lang w:val="en-GB"/>
              </w:rPr>
              <w:t xml:space="preserve">UNDP </w:t>
            </w:r>
            <w:r w:rsidR="00236B0E" w:rsidRPr="00CF609C">
              <w:rPr>
                <w:i/>
                <w:sz w:val="18"/>
                <w:szCs w:val="18"/>
                <w:lang w:val="en-GB"/>
              </w:rPr>
              <w:t>H</w:t>
            </w:r>
            <w:r w:rsidRPr="00CF609C">
              <w:rPr>
                <w:i/>
                <w:sz w:val="18"/>
                <w:szCs w:val="18"/>
                <w:lang w:val="en-GB"/>
              </w:rPr>
              <w:t xml:space="preserve">uman </w:t>
            </w:r>
            <w:r w:rsidR="00236B0E" w:rsidRPr="00CF609C">
              <w:rPr>
                <w:i/>
                <w:sz w:val="18"/>
                <w:szCs w:val="18"/>
                <w:lang w:val="en-GB"/>
              </w:rPr>
              <w:t>D</w:t>
            </w:r>
            <w:r w:rsidRPr="00CF609C">
              <w:rPr>
                <w:i/>
                <w:sz w:val="18"/>
                <w:szCs w:val="18"/>
                <w:lang w:val="en-GB"/>
              </w:rPr>
              <w:t xml:space="preserve">evelopment </w:t>
            </w:r>
            <w:r w:rsidR="00236B0E" w:rsidRPr="00CF609C">
              <w:rPr>
                <w:i/>
                <w:sz w:val="18"/>
                <w:szCs w:val="18"/>
                <w:lang w:val="en-GB"/>
              </w:rPr>
              <w:t>R</w:t>
            </w:r>
            <w:r w:rsidRPr="00CF609C">
              <w:rPr>
                <w:i/>
                <w:sz w:val="18"/>
                <w:szCs w:val="18"/>
                <w:lang w:val="en-GB"/>
              </w:rPr>
              <w:t xml:space="preserve">eport </w:t>
            </w:r>
            <w:r w:rsidRPr="00A469EA">
              <w:rPr>
                <w:sz w:val="18"/>
                <w:szCs w:val="18"/>
                <w:lang w:val="en-GB"/>
              </w:rPr>
              <w:t xml:space="preserve">and other </w:t>
            </w:r>
            <w:r w:rsidR="00E10301">
              <w:rPr>
                <w:sz w:val="18"/>
                <w:szCs w:val="18"/>
                <w:lang w:val="en-GB"/>
              </w:rPr>
              <w:t>Goals</w:t>
            </w:r>
            <w:r w:rsidR="00682BA8" w:rsidRPr="00A469EA">
              <w:rPr>
                <w:sz w:val="18"/>
                <w:szCs w:val="18"/>
                <w:lang w:val="en-GB"/>
              </w:rPr>
              <w:t>-</w:t>
            </w:r>
            <w:r w:rsidRPr="00A469EA">
              <w:rPr>
                <w:sz w:val="18"/>
                <w:szCs w:val="18"/>
                <w:lang w:val="en-GB"/>
              </w:rPr>
              <w:t xml:space="preserve">related </w:t>
            </w:r>
            <w:r w:rsidR="00236B0E" w:rsidRPr="00A469EA">
              <w:rPr>
                <w:sz w:val="18"/>
                <w:szCs w:val="18"/>
                <w:lang w:val="en-GB"/>
              </w:rPr>
              <w:t>documents</w:t>
            </w:r>
            <w:r w:rsidRPr="00A469EA">
              <w:rPr>
                <w:sz w:val="18"/>
                <w:szCs w:val="18"/>
                <w:lang w:val="en-GB"/>
              </w:rPr>
              <w:t xml:space="preserve"> contribut</w:t>
            </w:r>
            <w:r w:rsidR="00682BA8" w:rsidRPr="00A469EA">
              <w:rPr>
                <w:sz w:val="18"/>
                <w:szCs w:val="18"/>
                <w:lang w:val="en-GB"/>
              </w:rPr>
              <w:t>e</w:t>
            </w:r>
            <w:r w:rsidRPr="00A469EA">
              <w:rPr>
                <w:sz w:val="18"/>
                <w:szCs w:val="18"/>
                <w:lang w:val="en-GB"/>
              </w:rPr>
              <w:t xml:space="preserve"> to policies, regulations and systems</w:t>
            </w:r>
            <w:r w:rsidR="00682BA8" w:rsidRPr="00A469EA">
              <w:rPr>
                <w:sz w:val="18"/>
                <w:szCs w:val="18"/>
                <w:lang w:val="en-GB"/>
              </w:rPr>
              <w:t>.</w:t>
            </w:r>
            <w:r w:rsidRPr="00A469EA">
              <w:rPr>
                <w:sz w:val="18"/>
                <w:szCs w:val="18"/>
                <w:lang w:val="en-GB"/>
              </w:rPr>
              <w:br/>
            </w:r>
            <w:r w:rsidRPr="00A469EA">
              <w:rPr>
                <w:b/>
                <w:bCs/>
                <w:sz w:val="18"/>
                <w:szCs w:val="18"/>
                <w:lang w:val="en-GB"/>
              </w:rPr>
              <w:t xml:space="preserve">Baseline: </w:t>
            </w:r>
            <w:r w:rsidRPr="00A469EA">
              <w:rPr>
                <w:sz w:val="18"/>
                <w:szCs w:val="18"/>
                <w:lang w:val="en-GB"/>
              </w:rPr>
              <w:t>Scale: 1. Not adequate</w:t>
            </w:r>
            <w:r w:rsidR="00682BA8" w:rsidRPr="00A469EA">
              <w:rPr>
                <w:sz w:val="18"/>
                <w:szCs w:val="18"/>
                <w:lang w:val="en-GB"/>
              </w:rPr>
              <w:t>.</w:t>
            </w:r>
            <w:r w:rsidRPr="00A469EA">
              <w:rPr>
                <w:sz w:val="18"/>
                <w:szCs w:val="18"/>
                <w:lang w:val="en-GB"/>
              </w:rPr>
              <w:br/>
            </w:r>
            <w:r w:rsidRPr="00A469EA">
              <w:rPr>
                <w:b/>
                <w:bCs/>
                <w:sz w:val="18"/>
                <w:szCs w:val="18"/>
                <w:lang w:val="en-GB"/>
              </w:rPr>
              <w:t>Target</w:t>
            </w:r>
            <w:r w:rsidR="00682BA8" w:rsidRPr="00A469EA">
              <w:rPr>
                <w:b/>
                <w:bCs/>
                <w:sz w:val="18"/>
                <w:szCs w:val="18"/>
                <w:lang w:val="en-GB"/>
              </w:rPr>
              <w:t>:</w:t>
            </w:r>
            <w:r w:rsidRPr="00A469EA">
              <w:rPr>
                <w:b/>
                <w:bCs/>
                <w:sz w:val="18"/>
                <w:szCs w:val="18"/>
                <w:lang w:val="en-GB"/>
              </w:rPr>
              <w:t xml:space="preserve"> </w:t>
            </w:r>
            <w:r w:rsidRPr="00A469EA">
              <w:rPr>
                <w:sz w:val="18"/>
                <w:szCs w:val="18"/>
                <w:lang w:val="en-GB"/>
              </w:rPr>
              <w:t>(2022): Scale</w:t>
            </w:r>
            <w:r w:rsidR="00682BA8" w:rsidRPr="00A469EA">
              <w:rPr>
                <w:sz w:val="18"/>
                <w:szCs w:val="18"/>
                <w:lang w:val="en-GB"/>
              </w:rPr>
              <w:t>:</w:t>
            </w:r>
            <w:r w:rsidRPr="00A469EA">
              <w:rPr>
                <w:sz w:val="18"/>
                <w:szCs w:val="18"/>
                <w:lang w:val="en-GB"/>
              </w:rPr>
              <w:t xml:space="preserve"> 4. Significant</w:t>
            </w:r>
            <w:r w:rsidR="00682BA8" w:rsidRPr="00A469EA">
              <w:rPr>
                <w:sz w:val="18"/>
                <w:szCs w:val="18"/>
                <w:lang w:val="en-GB"/>
              </w:rPr>
              <w:t>.</w:t>
            </w:r>
          </w:p>
          <w:p w14:paraId="64AB991F" w14:textId="53D15DC2" w:rsidR="00682BA8" w:rsidRPr="00A469EA" w:rsidRDefault="00682BA8" w:rsidP="00B75A66">
            <w:pPr>
              <w:rPr>
                <w:sz w:val="18"/>
                <w:szCs w:val="18"/>
                <w:lang w:val="en-GB"/>
              </w:rPr>
            </w:pPr>
          </w:p>
        </w:tc>
        <w:tc>
          <w:tcPr>
            <w:tcW w:w="1980" w:type="dxa"/>
            <w:shd w:val="clear" w:color="auto" w:fill="auto"/>
            <w:hideMark/>
          </w:tcPr>
          <w:p w14:paraId="261E29FB" w14:textId="0D4DA1A8" w:rsidR="006C589E" w:rsidRPr="00A469EA" w:rsidRDefault="006C589E" w:rsidP="00B75A66">
            <w:pPr>
              <w:rPr>
                <w:sz w:val="18"/>
                <w:szCs w:val="18"/>
                <w:lang w:val="en-GB"/>
              </w:rPr>
            </w:pPr>
            <w:r w:rsidRPr="00A469EA">
              <w:rPr>
                <w:b/>
                <w:bCs/>
                <w:sz w:val="18"/>
                <w:szCs w:val="18"/>
                <w:lang w:val="en-GB"/>
              </w:rPr>
              <w:t xml:space="preserve">Funding </w:t>
            </w:r>
            <w:r w:rsidR="00682BA8" w:rsidRPr="00A469EA">
              <w:rPr>
                <w:b/>
                <w:bCs/>
                <w:sz w:val="18"/>
                <w:szCs w:val="18"/>
                <w:lang w:val="en-GB"/>
              </w:rPr>
              <w:t>p</w:t>
            </w:r>
            <w:r w:rsidRPr="00A469EA">
              <w:rPr>
                <w:b/>
                <w:bCs/>
                <w:sz w:val="18"/>
                <w:szCs w:val="18"/>
                <w:lang w:val="en-GB"/>
              </w:rPr>
              <w:t>artners:</w:t>
            </w:r>
            <w:r w:rsidRPr="00A469EA">
              <w:rPr>
                <w:sz w:val="18"/>
                <w:szCs w:val="18"/>
                <w:u w:val="single"/>
                <w:lang w:val="en-GB"/>
              </w:rPr>
              <w:br/>
            </w:r>
            <w:r w:rsidRPr="00A469EA">
              <w:rPr>
                <w:sz w:val="18"/>
                <w:szCs w:val="18"/>
                <w:lang w:val="en-GB"/>
              </w:rPr>
              <w:t xml:space="preserve">Ministry of Planning, Development and Reform; </w:t>
            </w:r>
            <w:r w:rsidRPr="00A469EA">
              <w:rPr>
                <w:sz w:val="18"/>
                <w:szCs w:val="18"/>
                <w:lang w:val="en-GB"/>
              </w:rPr>
              <w:br/>
              <w:t xml:space="preserve">Ministry of Finance; </w:t>
            </w:r>
            <w:r w:rsidRPr="00A469EA">
              <w:rPr>
                <w:sz w:val="18"/>
                <w:szCs w:val="18"/>
                <w:lang w:val="en-GB"/>
              </w:rPr>
              <w:br/>
              <w:t xml:space="preserve">Planning and </w:t>
            </w:r>
            <w:r w:rsidR="00E10301">
              <w:rPr>
                <w:sz w:val="18"/>
                <w:szCs w:val="18"/>
                <w:lang w:val="en-GB"/>
              </w:rPr>
              <w:t>d</w:t>
            </w:r>
            <w:r w:rsidRPr="00A469EA">
              <w:rPr>
                <w:sz w:val="18"/>
                <w:szCs w:val="18"/>
                <w:lang w:val="en-GB"/>
              </w:rPr>
              <w:t xml:space="preserve">evelopment </w:t>
            </w:r>
            <w:r w:rsidR="00E10301">
              <w:rPr>
                <w:sz w:val="18"/>
                <w:szCs w:val="18"/>
                <w:lang w:val="en-GB"/>
              </w:rPr>
              <w:t>d</w:t>
            </w:r>
            <w:r w:rsidRPr="00A469EA">
              <w:rPr>
                <w:sz w:val="18"/>
                <w:szCs w:val="18"/>
                <w:lang w:val="en-GB"/>
              </w:rPr>
              <w:t xml:space="preserve">epartment for </w:t>
            </w:r>
            <w:r w:rsidR="00E10301">
              <w:rPr>
                <w:sz w:val="18"/>
                <w:szCs w:val="18"/>
                <w:lang w:val="en-GB"/>
              </w:rPr>
              <w:t>p</w:t>
            </w:r>
            <w:r w:rsidR="00C41342" w:rsidRPr="00A469EA">
              <w:rPr>
                <w:sz w:val="18"/>
                <w:szCs w:val="18"/>
                <w:lang w:val="en-GB"/>
              </w:rPr>
              <w:t>rovinces</w:t>
            </w:r>
            <w:r w:rsidR="00682BA8" w:rsidRPr="00A469EA">
              <w:rPr>
                <w:sz w:val="18"/>
                <w:szCs w:val="18"/>
                <w:lang w:val="en-GB"/>
              </w:rPr>
              <w:t>;</w:t>
            </w:r>
            <w:r w:rsidRPr="00A469EA">
              <w:rPr>
                <w:sz w:val="18"/>
                <w:szCs w:val="18"/>
                <w:lang w:val="en-GB"/>
              </w:rPr>
              <w:t xml:space="preserve"> </w:t>
            </w:r>
            <w:r w:rsidRPr="00A469EA">
              <w:rPr>
                <w:sz w:val="18"/>
                <w:szCs w:val="18"/>
                <w:lang w:val="en-GB"/>
              </w:rPr>
              <w:br/>
            </w:r>
            <w:r w:rsidR="00682BA8" w:rsidRPr="00A469EA">
              <w:rPr>
                <w:sz w:val="18"/>
                <w:szCs w:val="18"/>
                <w:lang w:val="en-GB"/>
              </w:rPr>
              <w:t>f</w:t>
            </w:r>
            <w:r w:rsidRPr="00A469EA">
              <w:rPr>
                <w:sz w:val="18"/>
                <w:szCs w:val="18"/>
                <w:lang w:val="en-GB"/>
              </w:rPr>
              <w:t xml:space="preserve">ederal and provincial </w:t>
            </w:r>
            <w:r w:rsidR="00682BA8" w:rsidRPr="00A469EA">
              <w:rPr>
                <w:sz w:val="18"/>
                <w:szCs w:val="18"/>
                <w:lang w:val="en-GB"/>
              </w:rPr>
              <w:t>b</w:t>
            </w:r>
            <w:r w:rsidRPr="00A469EA">
              <w:rPr>
                <w:sz w:val="18"/>
                <w:szCs w:val="18"/>
                <w:lang w:val="en-GB"/>
              </w:rPr>
              <w:t>ureau</w:t>
            </w:r>
            <w:r w:rsidR="00682BA8" w:rsidRPr="00A469EA">
              <w:rPr>
                <w:sz w:val="18"/>
                <w:szCs w:val="18"/>
                <w:lang w:val="en-GB"/>
              </w:rPr>
              <w:t>x</w:t>
            </w:r>
            <w:r w:rsidRPr="00A469EA">
              <w:rPr>
                <w:sz w:val="18"/>
                <w:szCs w:val="18"/>
                <w:lang w:val="en-GB"/>
              </w:rPr>
              <w:t xml:space="preserve"> of </w:t>
            </w:r>
            <w:r w:rsidR="00682BA8" w:rsidRPr="00A469EA">
              <w:rPr>
                <w:sz w:val="18"/>
                <w:szCs w:val="18"/>
                <w:lang w:val="en-GB"/>
              </w:rPr>
              <w:t>s</w:t>
            </w:r>
            <w:r w:rsidRPr="00A469EA">
              <w:rPr>
                <w:sz w:val="18"/>
                <w:szCs w:val="18"/>
                <w:lang w:val="en-GB"/>
              </w:rPr>
              <w:t>tatistics</w:t>
            </w:r>
          </w:p>
          <w:p w14:paraId="420B2866" w14:textId="77777777" w:rsidR="006C589E" w:rsidRPr="00A469EA" w:rsidRDefault="006C589E" w:rsidP="00610318">
            <w:pPr>
              <w:rPr>
                <w:sz w:val="18"/>
                <w:szCs w:val="18"/>
                <w:lang w:val="en-GB"/>
              </w:rPr>
            </w:pPr>
          </w:p>
        </w:tc>
        <w:tc>
          <w:tcPr>
            <w:tcW w:w="1980" w:type="dxa"/>
            <w:shd w:val="clear" w:color="auto" w:fill="auto"/>
            <w:hideMark/>
          </w:tcPr>
          <w:p w14:paraId="4119A8A5" w14:textId="33AC4F2A" w:rsidR="006C589E" w:rsidRPr="00A469EA" w:rsidRDefault="006C589E" w:rsidP="00610318">
            <w:pPr>
              <w:jc w:val="center"/>
              <w:rPr>
                <w:b/>
                <w:bCs/>
                <w:sz w:val="18"/>
                <w:szCs w:val="18"/>
                <w:lang w:val="en-GB"/>
              </w:rPr>
            </w:pPr>
          </w:p>
        </w:tc>
      </w:tr>
      <w:tr w:rsidR="00E82198" w:rsidRPr="00A469EA" w14:paraId="5CFE13FD" w14:textId="77777777" w:rsidTr="00E52660">
        <w:trPr>
          <w:trHeight w:val="485"/>
        </w:trPr>
        <w:tc>
          <w:tcPr>
            <w:tcW w:w="13158" w:type="dxa"/>
            <w:gridSpan w:val="5"/>
            <w:shd w:val="clear" w:color="auto" w:fill="auto"/>
            <w:vAlign w:val="center"/>
          </w:tcPr>
          <w:p w14:paraId="73C162F4" w14:textId="0244B9F0" w:rsidR="00B31B61" w:rsidRPr="00A469EA" w:rsidRDefault="006C589E" w:rsidP="001277FD">
            <w:pPr>
              <w:rPr>
                <w:bCs/>
                <w:iCs/>
                <w:sz w:val="18"/>
                <w:szCs w:val="18"/>
                <w:lang w:val="en-GB"/>
              </w:rPr>
            </w:pPr>
            <w:r w:rsidRPr="00A469EA">
              <w:rPr>
                <w:b/>
                <w:bCs/>
                <w:sz w:val="18"/>
                <w:szCs w:val="18"/>
                <w:lang w:val="en-GB"/>
              </w:rPr>
              <w:lastRenderedPageBreak/>
              <w:t xml:space="preserve">NATIONAL </w:t>
            </w:r>
            <w:r w:rsidR="00FE1FE0" w:rsidRPr="00A469EA">
              <w:rPr>
                <w:b/>
                <w:bCs/>
                <w:sz w:val="18"/>
                <w:szCs w:val="18"/>
                <w:lang w:val="en-GB"/>
              </w:rPr>
              <w:t>PRIORITY:</w:t>
            </w:r>
            <w:r w:rsidRPr="00A469EA">
              <w:rPr>
                <w:b/>
                <w:bCs/>
                <w:sz w:val="18"/>
                <w:szCs w:val="18"/>
                <w:lang w:val="en-GB"/>
              </w:rPr>
              <w:t xml:space="preserve"> </w:t>
            </w:r>
            <w:r w:rsidR="00C41342" w:rsidRPr="00A469EA">
              <w:rPr>
                <w:b/>
                <w:bCs/>
                <w:sz w:val="18"/>
                <w:szCs w:val="18"/>
                <w:lang w:val="en-GB"/>
              </w:rPr>
              <w:t>Vision 2025</w:t>
            </w:r>
            <w:r w:rsidR="00C41342" w:rsidRPr="00A469EA">
              <w:rPr>
                <w:bCs/>
                <w:iCs/>
                <w:sz w:val="18"/>
                <w:szCs w:val="18"/>
                <w:lang w:val="en-GB"/>
              </w:rPr>
              <w:t xml:space="preserve">: Pillar 1 – Putting </w:t>
            </w:r>
            <w:r w:rsidR="00E10301">
              <w:rPr>
                <w:bCs/>
                <w:iCs/>
                <w:sz w:val="18"/>
                <w:szCs w:val="18"/>
                <w:lang w:val="en-GB"/>
              </w:rPr>
              <w:t>p</w:t>
            </w:r>
            <w:r w:rsidR="00C41342" w:rsidRPr="00A469EA">
              <w:rPr>
                <w:bCs/>
                <w:iCs/>
                <w:sz w:val="18"/>
                <w:szCs w:val="18"/>
                <w:lang w:val="en-GB"/>
              </w:rPr>
              <w:t xml:space="preserve">eople </w:t>
            </w:r>
            <w:r w:rsidR="00E10301">
              <w:rPr>
                <w:bCs/>
                <w:iCs/>
                <w:sz w:val="18"/>
                <w:szCs w:val="18"/>
                <w:lang w:val="en-GB"/>
              </w:rPr>
              <w:t>f</w:t>
            </w:r>
            <w:r w:rsidR="00C41342" w:rsidRPr="00A469EA">
              <w:rPr>
                <w:bCs/>
                <w:iCs/>
                <w:sz w:val="18"/>
                <w:szCs w:val="18"/>
                <w:lang w:val="en-GB"/>
              </w:rPr>
              <w:t>irst</w:t>
            </w:r>
            <w:r w:rsidR="00E10301">
              <w:rPr>
                <w:bCs/>
                <w:iCs/>
                <w:sz w:val="18"/>
                <w:szCs w:val="18"/>
                <w:lang w:val="en-GB"/>
              </w:rPr>
              <w:t>: d</w:t>
            </w:r>
            <w:r w:rsidR="00C41342" w:rsidRPr="00A469EA">
              <w:rPr>
                <w:bCs/>
                <w:iCs/>
                <w:sz w:val="18"/>
                <w:szCs w:val="18"/>
                <w:lang w:val="en-GB"/>
              </w:rPr>
              <w:t xml:space="preserve">eveloping </w:t>
            </w:r>
            <w:r w:rsidR="00E10301">
              <w:rPr>
                <w:bCs/>
                <w:iCs/>
                <w:sz w:val="18"/>
                <w:szCs w:val="18"/>
                <w:lang w:val="en-GB"/>
              </w:rPr>
              <w:t>h</w:t>
            </w:r>
            <w:r w:rsidR="00C41342" w:rsidRPr="00A469EA">
              <w:rPr>
                <w:bCs/>
                <w:iCs/>
                <w:sz w:val="18"/>
                <w:szCs w:val="18"/>
                <w:lang w:val="en-GB"/>
              </w:rPr>
              <w:t xml:space="preserve">uman and </w:t>
            </w:r>
            <w:r w:rsidR="00E10301">
              <w:rPr>
                <w:bCs/>
                <w:iCs/>
                <w:sz w:val="18"/>
                <w:szCs w:val="18"/>
                <w:lang w:val="en-GB"/>
              </w:rPr>
              <w:t>s</w:t>
            </w:r>
            <w:r w:rsidR="00C41342" w:rsidRPr="00A469EA">
              <w:rPr>
                <w:bCs/>
                <w:iCs/>
                <w:sz w:val="18"/>
                <w:szCs w:val="18"/>
                <w:lang w:val="en-GB"/>
              </w:rPr>
              <w:t xml:space="preserve">ocial </w:t>
            </w:r>
            <w:r w:rsidR="00E10301">
              <w:rPr>
                <w:bCs/>
                <w:iCs/>
                <w:sz w:val="18"/>
                <w:szCs w:val="18"/>
                <w:lang w:val="en-GB"/>
              </w:rPr>
              <w:t>c</w:t>
            </w:r>
            <w:r w:rsidR="00C41342" w:rsidRPr="00A469EA">
              <w:rPr>
                <w:bCs/>
                <w:iCs/>
                <w:sz w:val="18"/>
                <w:szCs w:val="18"/>
                <w:lang w:val="en-GB"/>
              </w:rPr>
              <w:t>apital; Pillar 4</w:t>
            </w:r>
            <w:r w:rsidR="00E10301">
              <w:rPr>
                <w:bCs/>
                <w:iCs/>
                <w:sz w:val="18"/>
                <w:szCs w:val="18"/>
                <w:lang w:val="en-GB"/>
              </w:rPr>
              <w:t xml:space="preserve"> – </w:t>
            </w:r>
            <w:r w:rsidR="00C41342" w:rsidRPr="00A469EA">
              <w:rPr>
                <w:bCs/>
                <w:iCs/>
                <w:sz w:val="18"/>
                <w:szCs w:val="18"/>
                <w:lang w:val="en-GB"/>
              </w:rPr>
              <w:t xml:space="preserve">Energy, </w:t>
            </w:r>
            <w:r w:rsidR="00E10301">
              <w:rPr>
                <w:bCs/>
                <w:iCs/>
                <w:sz w:val="18"/>
                <w:szCs w:val="18"/>
                <w:lang w:val="en-GB"/>
              </w:rPr>
              <w:t>w</w:t>
            </w:r>
            <w:r w:rsidR="00C41342" w:rsidRPr="00A469EA">
              <w:rPr>
                <w:bCs/>
                <w:iCs/>
                <w:sz w:val="18"/>
                <w:szCs w:val="18"/>
                <w:lang w:val="en-GB"/>
              </w:rPr>
              <w:t xml:space="preserve">ater and </w:t>
            </w:r>
            <w:r w:rsidR="00E10301">
              <w:rPr>
                <w:bCs/>
                <w:iCs/>
                <w:sz w:val="18"/>
                <w:szCs w:val="18"/>
                <w:lang w:val="en-GB"/>
              </w:rPr>
              <w:t>f</w:t>
            </w:r>
            <w:r w:rsidR="00C41342" w:rsidRPr="00A469EA">
              <w:rPr>
                <w:bCs/>
                <w:iCs/>
                <w:sz w:val="18"/>
                <w:szCs w:val="18"/>
                <w:lang w:val="en-GB"/>
              </w:rPr>
              <w:t xml:space="preserve">ood </w:t>
            </w:r>
            <w:r w:rsidR="00E10301">
              <w:rPr>
                <w:bCs/>
                <w:iCs/>
                <w:sz w:val="18"/>
                <w:szCs w:val="18"/>
                <w:lang w:val="en-GB"/>
              </w:rPr>
              <w:t>s</w:t>
            </w:r>
            <w:r w:rsidR="00C41342" w:rsidRPr="00A469EA">
              <w:rPr>
                <w:bCs/>
                <w:iCs/>
                <w:sz w:val="18"/>
                <w:szCs w:val="18"/>
                <w:lang w:val="en-GB"/>
              </w:rPr>
              <w:t>ecurity.</w:t>
            </w:r>
          </w:p>
        </w:tc>
      </w:tr>
      <w:tr w:rsidR="00E82198" w:rsidRPr="00A469EA" w14:paraId="4C4F3F8E" w14:textId="77777777" w:rsidTr="00E52660">
        <w:trPr>
          <w:trHeight w:val="530"/>
        </w:trPr>
        <w:tc>
          <w:tcPr>
            <w:tcW w:w="13158" w:type="dxa"/>
            <w:gridSpan w:val="5"/>
            <w:shd w:val="clear" w:color="auto" w:fill="auto"/>
            <w:vAlign w:val="center"/>
          </w:tcPr>
          <w:p w14:paraId="1A51B9BD" w14:textId="7CC3C10C" w:rsidR="00B31B61" w:rsidRPr="00A469EA" w:rsidRDefault="000105D1" w:rsidP="00B75A66">
            <w:pPr>
              <w:rPr>
                <w:bCs/>
                <w:iCs/>
                <w:sz w:val="18"/>
                <w:szCs w:val="18"/>
                <w:lang w:val="en-GB"/>
              </w:rPr>
            </w:pPr>
            <w:r w:rsidRPr="00A469EA">
              <w:rPr>
                <w:b/>
                <w:bCs/>
                <w:sz w:val="18"/>
                <w:szCs w:val="18"/>
                <w:lang w:val="en-GB"/>
              </w:rPr>
              <w:t>Outcome 2</w:t>
            </w:r>
            <w:r w:rsidR="00C41342" w:rsidRPr="00A469EA">
              <w:rPr>
                <w:b/>
                <w:bCs/>
                <w:sz w:val="18"/>
                <w:szCs w:val="18"/>
                <w:lang w:val="en-GB"/>
              </w:rPr>
              <w:t>: (UNSDF Outcome 6)</w:t>
            </w:r>
            <w:r w:rsidR="006C589E" w:rsidRPr="00A469EA">
              <w:rPr>
                <w:b/>
                <w:bCs/>
                <w:sz w:val="18"/>
                <w:szCs w:val="18"/>
                <w:lang w:val="en-GB"/>
              </w:rPr>
              <w:t>:</w:t>
            </w:r>
            <w:r w:rsidR="006C589E" w:rsidRPr="00A469EA">
              <w:rPr>
                <w:sz w:val="18"/>
                <w:szCs w:val="18"/>
                <w:lang w:val="en-GB"/>
              </w:rPr>
              <w:t xml:space="preserve"> </w:t>
            </w:r>
            <w:r w:rsidR="005B4F1C" w:rsidRPr="00A469EA">
              <w:rPr>
                <w:bCs/>
                <w:sz w:val="18"/>
                <w:szCs w:val="18"/>
                <w:lang w:val="en-GB"/>
              </w:rPr>
              <w:t xml:space="preserve">Enhanced resilience and socioeconomic </w:t>
            </w:r>
            <w:r w:rsidR="00236B0E" w:rsidRPr="00A469EA">
              <w:rPr>
                <w:bCs/>
                <w:sz w:val="18"/>
                <w:szCs w:val="18"/>
                <w:lang w:val="en-GB"/>
              </w:rPr>
              <w:t>development</w:t>
            </w:r>
            <w:r w:rsidR="005B4F1C" w:rsidRPr="00A469EA">
              <w:rPr>
                <w:bCs/>
                <w:sz w:val="18"/>
                <w:szCs w:val="18"/>
                <w:lang w:val="en-GB"/>
              </w:rPr>
              <w:t xml:space="preserve"> of communities</w:t>
            </w:r>
            <w:r w:rsidR="00E10301">
              <w:rPr>
                <w:bCs/>
                <w:sz w:val="18"/>
                <w:szCs w:val="18"/>
                <w:lang w:val="en-GB"/>
              </w:rPr>
              <w:t>.</w:t>
            </w:r>
            <w:r w:rsidR="005B4F1C" w:rsidRPr="00A469EA">
              <w:rPr>
                <w:rStyle w:val="FootnoteReference"/>
                <w:bCs/>
                <w:sz w:val="18"/>
                <w:szCs w:val="18"/>
                <w:lang w:val="en-GB"/>
              </w:rPr>
              <w:footnoteReference w:id="37"/>
            </w:r>
          </w:p>
        </w:tc>
      </w:tr>
      <w:tr w:rsidR="00E82198" w:rsidRPr="00A469EA" w14:paraId="770A39E6" w14:textId="77777777" w:rsidTr="00E52660">
        <w:trPr>
          <w:trHeight w:val="350"/>
        </w:trPr>
        <w:tc>
          <w:tcPr>
            <w:tcW w:w="13158" w:type="dxa"/>
            <w:gridSpan w:val="5"/>
            <w:shd w:val="clear" w:color="auto" w:fill="auto"/>
            <w:vAlign w:val="center"/>
          </w:tcPr>
          <w:p w14:paraId="174617C2" w14:textId="49122B97" w:rsidR="00B31B61" w:rsidRPr="00A469EA" w:rsidRDefault="006C589E" w:rsidP="00B75A66">
            <w:pPr>
              <w:rPr>
                <w:bCs/>
                <w:iCs/>
                <w:sz w:val="18"/>
                <w:szCs w:val="18"/>
                <w:lang w:val="en-GB"/>
              </w:rPr>
            </w:pPr>
            <w:r w:rsidRPr="00A469EA">
              <w:rPr>
                <w:b/>
                <w:bCs/>
                <w:sz w:val="18"/>
                <w:szCs w:val="18"/>
                <w:lang w:val="en-GB"/>
              </w:rPr>
              <w:t>RELATED STRATEGIC PLAN OUTCOME</w:t>
            </w:r>
            <w:r w:rsidR="00B31B61" w:rsidRPr="00A469EA">
              <w:rPr>
                <w:b/>
                <w:bCs/>
                <w:sz w:val="18"/>
                <w:szCs w:val="18"/>
                <w:lang w:val="en-GB"/>
              </w:rPr>
              <w:t xml:space="preserve"> </w:t>
            </w:r>
            <w:r w:rsidRPr="00A469EA">
              <w:rPr>
                <w:b/>
                <w:bCs/>
                <w:sz w:val="18"/>
                <w:szCs w:val="18"/>
                <w:lang w:val="en-GB"/>
              </w:rPr>
              <w:t>5</w:t>
            </w:r>
            <w:r w:rsidR="00B31B61" w:rsidRPr="00A469EA">
              <w:rPr>
                <w:b/>
                <w:bCs/>
                <w:sz w:val="18"/>
                <w:szCs w:val="18"/>
                <w:lang w:val="en-GB"/>
              </w:rPr>
              <w:t>:</w:t>
            </w:r>
            <w:r w:rsidRPr="00A469EA">
              <w:rPr>
                <w:b/>
                <w:bCs/>
                <w:sz w:val="18"/>
                <w:szCs w:val="18"/>
                <w:lang w:val="en-GB"/>
              </w:rPr>
              <w:t xml:space="preserve"> </w:t>
            </w:r>
            <w:r w:rsidRPr="00A469EA">
              <w:rPr>
                <w:bCs/>
                <w:iCs/>
                <w:sz w:val="18"/>
                <w:szCs w:val="18"/>
                <w:lang w:val="en-GB"/>
              </w:rPr>
              <w:t>Countries are able to reduce the likelihood of conflict and lower the risk of natural disasters, including from climate change</w:t>
            </w:r>
            <w:r w:rsidR="00B31B61" w:rsidRPr="00A469EA">
              <w:rPr>
                <w:bCs/>
                <w:iCs/>
                <w:sz w:val="18"/>
                <w:szCs w:val="18"/>
                <w:lang w:val="en-GB"/>
              </w:rPr>
              <w:t>.</w:t>
            </w:r>
          </w:p>
        </w:tc>
      </w:tr>
      <w:tr w:rsidR="00E82198" w:rsidRPr="00A469EA" w14:paraId="23145318" w14:textId="77777777" w:rsidTr="00257F40">
        <w:trPr>
          <w:trHeight w:val="230"/>
        </w:trPr>
        <w:tc>
          <w:tcPr>
            <w:tcW w:w="2358" w:type="dxa"/>
            <w:vMerge w:val="restart"/>
            <w:shd w:val="clear" w:color="auto" w:fill="auto"/>
            <w:vAlign w:val="center"/>
            <w:hideMark/>
          </w:tcPr>
          <w:p w14:paraId="2600C99D" w14:textId="5077E16C" w:rsidR="006C589E" w:rsidRPr="00A469EA" w:rsidRDefault="00B91882" w:rsidP="00C41342">
            <w:pPr>
              <w:rPr>
                <w:sz w:val="18"/>
                <w:szCs w:val="18"/>
                <w:lang w:val="en-GB"/>
              </w:rPr>
            </w:pPr>
            <w:r w:rsidRPr="00A469EA">
              <w:rPr>
                <w:b/>
                <w:bCs/>
                <w:sz w:val="18"/>
                <w:szCs w:val="18"/>
                <w:lang w:val="en-GB"/>
              </w:rPr>
              <w:t>UNSDF</w:t>
            </w:r>
            <w:r w:rsidR="006C589E" w:rsidRPr="00A469EA">
              <w:rPr>
                <w:b/>
                <w:bCs/>
                <w:sz w:val="18"/>
                <w:szCs w:val="18"/>
                <w:lang w:val="en-GB"/>
              </w:rPr>
              <w:t xml:space="preserve"> </w:t>
            </w:r>
            <w:r w:rsidR="00B31B61" w:rsidRPr="00A469EA">
              <w:rPr>
                <w:b/>
                <w:bCs/>
                <w:sz w:val="18"/>
                <w:szCs w:val="18"/>
                <w:lang w:val="en-GB"/>
              </w:rPr>
              <w:t>i</w:t>
            </w:r>
            <w:r w:rsidR="006C589E" w:rsidRPr="00A469EA">
              <w:rPr>
                <w:b/>
                <w:bCs/>
                <w:sz w:val="18"/>
                <w:szCs w:val="18"/>
                <w:lang w:val="en-GB"/>
              </w:rPr>
              <w:t xml:space="preserve">ndicator 6.1 (IRRF </w:t>
            </w:r>
            <w:r w:rsidR="00B31B61" w:rsidRPr="00A469EA">
              <w:rPr>
                <w:b/>
                <w:bCs/>
                <w:sz w:val="18"/>
                <w:szCs w:val="18"/>
                <w:lang w:val="en-GB"/>
              </w:rPr>
              <w:t>o</w:t>
            </w:r>
            <w:r w:rsidR="006C589E" w:rsidRPr="00A469EA">
              <w:rPr>
                <w:b/>
                <w:bCs/>
                <w:sz w:val="18"/>
                <w:szCs w:val="18"/>
                <w:lang w:val="en-GB"/>
              </w:rPr>
              <w:t xml:space="preserve">utcome </w:t>
            </w:r>
            <w:r w:rsidR="00B31B61" w:rsidRPr="00A469EA">
              <w:rPr>
                <w:b/>
                <w:bCs/>
                <w:sz w:val="18"/>
                <w:szCs w:val="18"/>
                <w:lang w:val="en-GB"/>
              </w:rPr>
              <w:t>i</w:t>
            </w:r>
            <w:r w:rsidR="006C589E" w:rsidRPr="00A469EA">
              <w:rPr>
                <w:b/>
                <w:bCs/>
                <w:sz w:val="18"/>
                <w:szCs w:val="18"/>
                <w:lang w:val="en-GB"/>
              </w:rPr>
              <w:t>ndicator 1.5)</w:t>
            </w:r>
            <w:r w:rsidR="006C589E" w:rsidRPr="00A469EA">
              <w:rPr>
                <w:sz w:val="18"/>
                <w:szCs w:val="18"/>
                <w:lang w:val="en-GB"/>
              </w:rPr>
              <w:t>: Hectares of land that are managed sustainably under a conservation, sustainable</w:t>
            </w:r>
            <w:r w:rsidR="00B31B61" w:rsidRPr="00A469EA">
              <w:rPr>
                <w:sz w:val="18"/>
                <w:szCs w:val="18"/>
                <w:lang w:val="en-GB"/>
              </w:rPr>
              <w:t>-</w:t>
            </w:r>
            <w:r w:rsidR="006C589E" w:rsidRPr="00A469EA">
              <w:rPr>
                <w:sz w:val="18"/>
                <w:szCs w:val="18"/>
                <w:lang w:val="en-GB"/>
              </w:rPr>
              <w:t>use or access</w:t>
            </w:r>
            <w:r w:rsidR="00B31B61" w:rsidRPr="00A469EA">
              <w:rPr>
                <w:sz w:val="18"/>
                <w:szCs w:val="18"/>
                <w:lang w:val="en-GB"/>
              </w:rPr>
              <w:t>-</w:t>
            </w:r>
            <w:r w:rsidR="006C589E" w:rsidRPr="00A469EA">
              <w:rPr>
                <w:sz w:val="18"/>
                <w:szCs w:val="18"/>
                <w:lang w:val="en-GB"/>
              </w:rPr>
              <w:t>and</w:t>
            </w:r>
            <w:r w:rsidR="00B31B61" w:rsidRPr="00A469EA">
              <w:rPr>
                <w:sz w:val="18"/>
                <w:szCs w:val="18"/>
                <w:lang w:val="en-GB"/>
              </w:rPr>
              <w:t>-</w:t>
            </w:r>
            <w:r w:rsidR="006C589E" w:rsidRPr="00A469EA">
              <w:rPr>
                <w:sz w:val="18"/>
                <w:szCs w:val="18"/>
                <w:lang w:val="en-GB"/>
              </w:rPr>
              <w:t>benefits</w:t>
            </w:r>
            <w:r w:rsidR="00B31B61" w:rsidRPr="00A469EA">
              <w:rPr>
                <w:sz w:val="18"/>
                <w:szCs w:val="18"/>
                <w:lang w:val="en-GB"/>
              </w:rPr>
              <w:t>-</w:t>
            </w:r>
            <w:r w:rsidR="006C589E" w:rsidRPr="00A469EA">
              <w:rPr>
                <w:sz w:val="18"/>
                <w:szCs w:val="18"/>
                <w:lang w:val="en-GB"/>
              </w:rPr>
              <w:t>sharing regime</w:t>
            </w:r>
            <w:r w:rsidR="006C589E" w:rsidRPr="00A469EA">
              <w:rPr>
                <w:sz w:val="18"/>
                <w:szCs w:val="18"/>
                <w:lang w:val="en-GB"/>
              </w:rPr>
              <w:br/>
            </w:r>
            <w:r w:rsidR="006C589E" w:rsidRPr="00A469EA">
              <w:rPr>
                <w:sz w:val="18"/>
                <w:szCs w:val="18"/>
                <w:lang w:val="en-GB"/>
              </w:rPr>
              <w:br/>
            </w:r>
            <w:r w:rsidRPr="00A469EA">
              <w:rPr>
                <w:b/>
                <w:bCs/>
                <w:sz w:val="18"/>
                <w:szCs w:val="18"/>
                <w:lang w:val="en-GB"/>
              </w:rPr>
              <w:t>UNSDF</w:t>
            </w:r>
            <w:r w:rsidR="006C589E" w:rsidRPr="00A469EA">
              <w:rPr>
                <w:b/>
                <w:bCs/>
                <w:sz w:val="18"/>
                <w:szCs w:val="18"/>
                <w:lang w:val="en-GB"/>
              </w:rPr>
              <w:t xml:space="preserve"> </w:t>
            </w:r>
            <w:r w:rsidR="00B31B61" w:rsidRPr="00A469EA">
              <w:rPr>
                <w:b/>
                <w:bCs/>
                <w:sz w:val="18"/>
                <w:szCs w:val="18"/>
                <w:lang w:val="en-GB"/>
              </w:rPr>
              <w:t>i</w:t>
            </w:r>
            <w:r w:rsidR="006C589E" w:rsidRPr="00A469EA">
              <w:rPr>
                <w:b/>
                <w:bCs/>
                <w:sz w:val="18"/>
                <w:szCs w:val="18"/>
                <w:lang w:val="en-GB"/>
              </w:rPr>
              <w:t xml:space="preserve">ndicator 6.2 (IRRF </w:t>
            </w:r>
            <w:r w:rsidR="00B31B61" w:rsidRPr="00A469EA">
              <w:rPr>
                <w:b/>
                <w:bCs/>
                <w:sz w:val="18"/>
                <w:szCs w:val="18"/>
                <w:lang w:val="en-GB"/>
              </w:rPr>
              <w:t>o</w:t>
            </w:r>
            <w:r w:rsidR="006C589E" w:rsidRPr="00A469EA">
              <w:rPr>
                <w:b/>
                <w:bCs/>
                <w:sz w:val="18"/>
                <w:szCs w:val="18"/>
                <w:lang w:val="en-GB"/>
              </w:rPr>
              <w:t xml:space="preserve">utcome </w:t>
            </w:r>
            <w:r w:rsidR="00B31B61" w:rsidRPr="00A469EA">
              <w:rPr>
                <w:b/>
                <w:bCs/>
                <w:sz w:val="18"/>
                <w:szCs w:val="18"/>
                <w:lang w:val="en-GB"/>
              </w:rPr>
              <w:t>i</w:t>
            </w:r>
            <w:r w:rsidR="006C589E" w:rsidRPr="00A469EA">
              <w:rPr>
                <w:b/>
                <w:bCs/>
                <w:sz w:val="18"/>
                <w:szCs w:val="18"/>
                <w:lang w:val="en-GB"/>
              </w:rPr>
              <w:t>ndicator 6.3)</w:t>
            </w:r>
            <w:r w:rsidR="006C589E" w:rsidRPr="00A469EA">
              <w:rPr>
                <w:sz w:val="18"/>
                <w:szCs w:val="18"/>
                <w:lang w:val="en-GB"/>
              </w:rPr>
              <w:t xml:space="preserve">: Economic loss from </w:t>
            </w:r>
            <w:r w:rsidR="00C41342" w:rsidRPr="00A469EA">
              <w:rPr>
                <w:sz w:val="18"/>
                <w:szCs w:val="18"/>
                <w:lang w:val="en-GB"/>
              </w:rPr>
              <w:t xml:space="preserve">disasters </w:t>
            </w:r>
            <w:r w:rsidR="006C589E" w:rsidRPr="00A469EA">
              <w:rPr>
                <w:sz w:val="18"/>
                <w:szCs w:val="18"/>
                <w:lang w:val="en-GB"/>
              </w:rPr>
              <w:t xml:space="preserve">as a proportion of the exposed </w:t>
            </w:r>
            <w:r w:rsidR="00B31B61" w:rsidRPr="00A469EA">
              <w:rPr>
                <w:sz w:val="18"/>
                <w:szCs w:val="18"/>
                <w:lang w:val="en-GB"/>
              </w:rPr>
              <w:t>gross domestic product</w:t>
            </w:r>
          </w:p>
        </w:tc>
        <w:tc>
          <w:tcPr>
            <w:tcW w:w="1710" w:type="dxa"/>
            <w:vMerge w:val="restart"/>
            <w:shd w:val="clear" w:color="auto" w:fill="auto"/>
            <w:vAlign w:val="center"/>
            <w:hideMark/>
          </w:tcPr>
          <w:p w14:paraId="28805AAA" w14:textId="2033296E" w:rsidR="006C589E" w:rsidRPr="00A469EA" w:rsidRDefault="006C589E" w:rsidP="00B31B61">
            <w:pPr>
              <w:rPr>
                <w:i/>
                <w:iCs/>
                <w:sz w:val="18"/>
                <w:szCs w:val="18"/>
                <w:lang w:val="en-GB"/>
              </w:rPr>
            </w:pPr>
            <w:r w:rsidRPr="00A469EA">
              <w:rPr>
                <w:iCs/>
                <w:sz w:val="18"/>
                <w:szCs w:val="18"/>
                <w:lang w:val="en-GB"/>
              </w:rPr>
              <w:t xml:space="preserve">Pakistan Bureau of Statistics, </w:t>
            </w:r>
            <w:r w:rsidR="00B31B61" w:rsidRPr="00A469EA">
              <w:rPr>
                <w:iCs/>
                <w:sz w:val="18"/>
                <w:szCs w:val="18"/>
                <w:lang w:val="en-GB"/>
              </w:rPr>
              <w:t xml:space="preserve">the </w:t>
            </w:r>
            <w:r w:rsidRPr="00A469EA">
              <w:rPr>
                <w:iCs/>
                <w:sz w:val="18"/>
                <w:szCs w:val="18"/>
                <w:lang w:val="en-GB"/>
              </w:rPr>
              <w:t>World Bank,</w:t>
            </w:r>
            <w:r w:rsidR="00B31B61" w:rsidRPr="00A469EA" w:rsidDel="00B31B61">
              <w:rPr>
                <w:iCs/>
                <w:sz w:val="18"/>
                <w:szCs w:val="18"/>
                <w:lang w:val="en-GB"/>
              </w:rPr>
              <w:t xml:space="preserve"> </w:t>
            </w:r>
            <w:r w:rsidRPr="00A469EA">
              <w:rPr>
                <w:iCs/>
                <w:sz w:val="18"/>
                <w:szCs w:val="18"/>
                <w:lang w:val="en-GB"/>
              </w:rPr>
              <w:t xml:space="preserve">Ministry of </w:t>
            </w:r>
            <w:r w:rsidR="00C42393" w:rsidRPr="00A469EA">
              <w:rPr>
                <w:iCs/>
                <w:sz w:val="18"/>
                <w:szCs w:val="18"/>
                <w:lang w:val="en-GB"/>
              </w:rPr>
              <w:t>Labour</w:t>
            </w:r>
            <w:r w:rsidRPr="00A469EA">
              <w:rPr>
                <w:iCs/>
                <w:sz w:val="18"/>
                <w:szCs w:val="18"/>
                <w:lang w:val="en-GB"/>
              </w:rPr>
              <w:t xml:space="preserve"> and Manpower, ILO, Ministry of Climate Change, National/Provincial Disaster Management Authority, Environmental Protection Agency</w:t>
            </w:r>
          </w:p>
        </w:tc>
        <w:tc>
          <w:tcPr>
            <w:tcW w:w="5130" w:type="dxa"/>
            <w:vMerge w:val="restart"/>
            <w:shd w:val="clear" w:color="auto" w:fill="auto"/>
            <w:vAlign w:val="center"/>
            <w:hideMark/>
          </w:tcPr>
          <w:p w14:paraId="5DA60FBC" w14:textId="7CD1E776" w:rsidR="006C589E" w:rsidRPr="00A469EA" w:rsidRDefault="006C589E" w:rsidP="00B75A66">
            <w:pPr>
              <w:rPr>
                <w:sz w:val="18"/>
                <w:szCs w:val="18"/>
                <w:lang w:val="en-GB"/>
              </w:rPr>
            </w:pPr>
            <w:r w:rsidRPr="00A469EA">
              <w:rPr>
                <w:b/>
                <w:bCs/>
                <w:sz w:val="18"/>
                <w:szCs w:val="18"/>
                <w:lang w:val="en-GB"/>
              </w:rPr>
              <w:t xml:space="preserve">Output 6.1: </w:t>
            </w:r>
            <w:r w:rsidRPr="00A469EA">
              <w:rPr>
                <w:sz w:val="18"/>
                <w:szCs w:val="18"/>
                <w:lang w:val="en-GB"/>
              </w:rPr>
              <w:t xml:space="preserve">National and </w:t>
            </w:r>
            <w:r w:rsidR="00A04270" w:rsidRPr="00A469EA">
              <w:rPr>
                <w:sz w:val="18"/>
                <w:szCs w:val="18"/>
                <w:lang w:val="en-GB"/>
              </w:rPr>
              <w:t>provincial</w:t>
            </w:r>
            <w:r w:rsidRPr="00A469EA">
              <w:rPr>
                <w:sz w:val="18"/>
                <w:szCs w:val="18"/>
                <w:lang w:val="en-GB"/>
              </w:rPr>
              <w:t xml:space="preserve"> policies, systems and institutions enabled to achieve structural transformation</w:t>
            </w:r>
            <w:r w:rsidR="00551F9B" w:rsidRPr="00A469EA">
              <w:rPr>
                <w:sz w:val="18"/>
                <w:szCs w:val="18"/>
                <w:lang w:val="en-GB"/>
              </w:rPr>
              <w:t xml:space="preserve"> and </w:t>
            </w:r>
            <w:r w:rsidRPr="00A469EA">
              <w:rPr>
                <w:sz w:val="18"/>
                <w:szCs w:val="18"/>
                <w:lang w:val="en-GB"/>
              </w:rPr>
              <w:t>promote inclusive economic, social and political opportunities</w:t>
            </w:r>
            <w:r w:rsidR="00551F9B" w:rsidRPr="00A469EA">
              <w:rPr>
                <w:sz w:val="18"/>
                <w:szCs w:val="18"/>
                <w:lang w:val="en-GB"/>
              </w:rPr>
              <w:t>.</w:t>
            </w:r>
            <w:r w:rsidRPr="00A469EA">
              <w:rPr>
                <w:i/>
                <w:iCs/>
                <w:sz w:val="18"/>
                <w:szCs w:val="18"/>
                <w:lang w:val="en-GB"/>
              </w:rPr>
              <w:br/>
            </w:r>
            <w:r w:rsidRPr="00A469EA">
              <w:rPr>
                <w:i/>
                <w:iCs/>
                <w:sz w:val="18"/>
                <w:szCs w:val="18"/>
                <w:lang w:val="en-GB"/>
              </w:rPr>
              <w:br/>
            </w:r>
            <w:r w:rsidRPr="00A469EA">
              <w:rPr>
                <w:b/>
                <w:bCs/>
                <w:iCs/>
                <w:sz w:val="18"/>
                <w:szCs w:val="18"/>
                <w:lang w:val="en-GB"/>
              </w:rPr>
              <w:t xml:space="preserve">CPD </w:t>
            </w:r>
            <w:r w:rsidR="00551F9B" w:rsidRPr="00A469EA">
              <w:rPr>
                <w:b/>
                <w:bCs/>
                <w:iCs/>
                <w:sz w:val="18"/>
                <w:szCs w:val="18"/>
                <w:lang w:val="en-GB"/>
              </w:rPr>
              <w:t>o</w:t>
            </w:r>
            <w:r w:rsidRPr="00A469EA">
              <w:rPr>
                <w:b/>
                <w:bCs/>
                <w:iCs/>
                <w:sz w:val="18"/>
                <w:szCs w:val="18"/>
                <w:lang w:val="en-GB"/>
              </w:rPr>
              <w:t xml:space="preserve">utput </w:t>
            </w:r>
            <w:r w:rsidR="00551F9B" w:rsidRPr="00A469EA">
              <w:rPr>
                <w:b/>
                <w:bCs/>
                <w:iCs/>
                <w:sz w:val="18"/>
                <w:szCs w:val="18"/>
                <w:lang w:val="en-GB"/>
              </w:rPr>
              <w:t>i</w:t>
            </w:r>
            <w:r w:rsidRPr="00A469EA">
              <w:rPr>
                <w:b/>
                <w:bCs/>
                <w:iCs/>
                <w:sz w:val="18"/>
                <w:szCs w:val="18"/>
                <w:lang w:val="en-GB"/>
              </w:rPr>
              <w:t xml:space="preserve">ndicator 6.1.1 (IRRF </w:t>
            </w:r>
            <w:r w:rsidR="00551F9B" w:rsidRPr="00A469EA">
              <w:rPr>
                <w:b/>
                <w:bCs/>
                <w:iCs/>
                <w:sz w:val="18"/>
                <w:szCs w:val="18"/>
                <w:lang w:val="en-GB"/>
              </w:rPr>
              <w:t>i</w:t>
            </w:r>
            <w:r w:rsidRPr="00A469EA">
              <w:rPr>
                <w:b/>
                <w:bCs/>
                <w:iCs/>
                <w:sz w:val="18"/>
                <w:szCs w:val="18"/>
                <w:lang w:val="en-GB"/>
              </w:rPr>
              <w:t>ndicator 3.1.1):</w:t>
            </w:r>
            <w:r w:rsidRPr="00A469EA">
              <w:rPr>
                <w:iCs/>
                <w:sz w:val="18"/>
                <w:szCs w:val="18"/>
                <w:lang w:val="en-GB"/>
              </w:rPr>
              <w:t xml:space="preserve"> Extent to which core functions of government are strengthened.</w:t>
            </w:r>
            <w:r w:rsidRPr="00A469EA">
              <w:rPr>
                <w:iCs/>
                <w:sz w:val="18"/>
                <w:szCs w:val="18"/>
                <w:lang w:val="en-GB"/>
              </w:rPr>
              <w:br/>
            </w:r>
            <w:r w:rsidRPr="00A469EA">
              <w:rPr>
                <w:b/>
                <w:bCs/>
                <w:iCs/>
                <w:sz w:val="18"/>
                <w:szCs w:val="18"/>
                <w:lang w:val="en-GB"/>
              </w:rPr>
              <w:t>Baseline</w:t>
            </w:r>
            <w:r w:rsidRPr="00A469EA">
              <w:rPr>
                <w:iCs/>
                <w:sz w:val="18"/>
                <w:szCs w:val="18"/>
                <w:lang w:val="en-GB"/>
              </w:rPr>
              <w:t>: Scale</w:t>
            </w:r>
            <w:r w:rsidR="00551F9B" w:rsidRPr="00A469EA">
              <w:rPr>
                <w:iCs/>
                <w:sz w:val="18"/>
                <w:szCs w:val="18"/>
                <w:lang w:val="en-GB"/>
              </w:rPr>
              <w:t>:</w:t>
            </w:r>
            <w:r w:rsidRPr="00A469EA">
              <w:rPr>
                <w:iCs/>
                <w:sz w:val="18"/>
                <w:szCs w:val="18"/>
                <w:lang w:val="en-GB"/>
              </w:rPr>
              <w:t xml:space="preserve"> 2. Very partially</w:t>
            </w:r>
            <w:r w:rsidR="00551F9B" w:rsidRPr="00A469EA">
              <w:rPr>
                <w:iCs/>
                <w:sz w:val="18"/>
                <w:szCs w:val="18"/>
                <w:lang w:val="en-GB"/>
              </w:rPr>
              <w:t>.</w:t>
            </w:r>
            <w:r w:rsidRPr="00A469EA">
              <w:rPr>
                <w:iCs/>
                <w:sz w:val="18"/>
                <w:szCs w:val="18"/>
                <w:lang w:val="en-GB"/>
              </w:rPr>
              <w:br/>
            </w:r>
            <w:r w:rsidRPr="00A469EA">
              <w:rPr>
                <w:b/>
                <w:bCs/>
                <w:iCs/>
                <w:sz w:val="18"/>
                <w:szCs w:val="18"/>
                <w:lang w:val="en-GB"/>
              </w:rPr>
              <w:t>Target</w:t>
            </w:r>
            <w:r w:rsidR="00551F9B" w:rsidRPr="00A469EA">
              <w:rPr>
                <w:iCs/>
                <w:sz w:val="18"/>
                <w:szCs w:val="18"/>
                <w:lang w:val="en-GB"/>
              </w:rPr>
              <w:t>:</w:t>
            </w:r>
            <w:r w:rsidRPr="00A469EA">
              <w:rPr>
                <w:iCs/>
                <w:sz w:val="18"/>
                <w:szCs w:val="18"/>
                <w:lang w:val="en-GB"/>
              </w:rPr>
              <w:t xml:space="preserve"> (2022): Scale</w:t>
            </w:r>
            <w:r w:rsidR="00551F9B" w:rsidRPr="00A469EA">
              <w:rPr>
                <w:iCs/>
                <w:sz w:val="18"/>
                <w:szCs w:val="18"/>
                <w:lang w:val="en-GB"/>
              </w:rPr>
              <w:t>:</w:t>
            </w:r>
            <w:r w:rsidRPr="00A469EA">
              <w:rPr>
                <w:iCs/>
                <w:sz w:val="18"/>
                <w:szCs w:val="18"/>
                <w:lang w:val="en-GB"/>
              </w:rPr>
              <w:t xml:space="preserve"> 4. Largely</w:t>
            </w:r>
            <w:r w:rsidR="00551F9B" w:rsidRPr="00A469EA">
              <w:rPr>
                <w:iCs/>
                <w:sz w:val="18"/>
                <w:szCs w:val="18"/>
                <w:lang w:val="en-GB"/>
              </w:rPr>
              <w:t>.</w:t>
            </w:r>
            <w:r w:rsidRPr="00A469EA">
              <w:rPr>
                <w:b/>
                <w:bCs/>
                <w:i/>
                <w:iCs/>
                <w:sz w:val="18"/>
                <w:szCs w:val="18"/>
                <w:lang w:val="en-GB"/>
              </w:rPr>
              <w:br/>
            </w:r>
            <w:r w:rsidRPr="00A469EA">
              <w:rPr>
                <w:i/>
                <w:iCs/>
                <w:sz w:val="18"/>
                <w:szCs w:val="18"/>
                <w:lang w:val="en-GB"/>
              </w:rPr>
              <w:br/>
            </w:r>
            <w:r w:rsidRPr="00A469EA">
              <w:rPr>
                <w:b/>
                <w:bCs/>
                <w:sz w:val="18"/>
                <w:szCs w:val="18"/>
                <w:lang w:val="en-GB"/>
              </w:rPr>
              <w:t xml:space="preserve">CPD </w:t>
            </w:r>
            <w:r w:rsidR="00551F9B" w:rsidRPr="00A469EA">
              <w:rPr>
                <w:b/>
                <w:sz w:val="18"/>
                <w:szCs w:val="18"/>
                <w:lang w:val="en-GB"/>
              </w:rPr>
              <w:t>o</w:t>
            </w:r>
            <w:r w:rsidRPr="00A469EA">
              <w:rPr>
                <w:b/>
                <w:sz w:val="18"/>
                <w:szCs w:val="18"/>
                <w:lang w:val="en-GB"/>
              </w:rPr>
              <w:t xml:space="preserve">utput </w:t>
            </w:r>
            <w:r w:rsidR="00551F9B" w:rsidRPr="00A469EA">
              <w:rPr>
                <w:b/>
                <w:sz w:val="18"/>
                <w:szCs w:val="18"/>
                <w:lang w:val="en-GB"/>
              </w:rPr>
              <w:t>i</w:t>
            </w:r>
            <w:r w:rsidRPr="00A469EA">
              <w:rPr>
                <w:b/>
                <w:sz w:val="18"/>
                <w:szCs w:val="18"/>
                <w:lang w:val="en-GB"/>
              </w:rPr>
              <w:t xml:space="preserve">ndicator 6.1.2 (IRRF </w:t>
            </w:r>
            <w:r w:rsidR="00551F9B" w:rsidRPr="00A469EA">
              <w:rPr>
                <w:b/>
                <w:sz w:val="18"/>
                <w:szCs w:val="18"/>
                <w:lang w:val="en-GB"/>
              </w:rPr>
              <w:t>i</w:t>
            </w:r>
            <w:r w:rsidRPr="00A469EA">
              <w:rPr>
                <w:b/>
                <w:sz w:val="18"/>
                <w:szCs w:val="18"/>
                <w:lang w:val="en-GB"/>
              </w:rPr>
              <w:t>ndicator 1.1.2):</w:t>
            </w:r>
            <w:r w:rsidRPr="00A469EA">
              <w:rPr>
                <w:sz w:val="18"/>
                <w:szCs w:val="18"/>
                <w:lang w:val="en-GB"/>
              </w:rPr>
              <w:t xml:space="preserve"> Extent to which policies, systems and institutional measures </w:t>
            </w:r>
            <w:r w:rsidR="00E10301">
              <w:rPr>
                <w:sz w:val="18"/>
                <w:szCs w:val="18"/>
                <w:lang w:val="en-GB"/>
              </w:rPr>
              <w:t xml:space="preserve">are </w:t>
            </w:r>
            <w:r w:rsidRPr="00A469EA">
              <w:rPr>
                <w:sz w:val="18"/>
                <w:szCs w:val="18"/>
                <w:lang w:val="en-GB"/>
              </w:rPr>
              <w:t xml:space="preserve">in place at the </w:t>
            </w:r>
            <w:r w:rsidR="00A04270" w:rsidRPr="00A469EA">
              <w:rPr>
                <w:sz w:val="18"/>
                <w:szCs w:val="18"/>
                <w:lang w:val="en-GB"/>
              </w:rPr>
              <w:t>provincial</w:t>
            </w:r>
            <w:r w:rsidRPr="00A469EA">
              <w:rPr>
                <w:sz w:val="18"/>
                <w:szCs w:val="18"/>
                <w:lang w:val="en-GB"/>
              </w:rPr>
              <w:t xml:space="preserve"> levels to generate and strengthen engendered employment and livelihoods</w:t>
            </w:r>
            <w:r w:rsidR="00551F9B" w:rsidRPr="00A469EA">
              <w:rPr>
                <w:sz w:val="18"/>
                <w:szCs w:val="18"/>
                <w:lang w:val="en-GB"/>
              </w:rPr>
              <w:t>.</w:t>
            </w:r>
          </w:p>
          <w:p w14:paraId="64882066" w14:textId="59595D71" w:rsidR="006C589E" w:rsidRPr="00A469EA" w:rsidRDefault="006C589E" w:rsidP="00B75A66">
            <w:pPr>
              <w:rPr>
                <w:bCs/>
                <w:sz w:val="18"/>
                <w:szCs w:val="18"/>
                <w:lang w:val="en-GB"/>
              </w:rPr>
            </w:pPr>
            <w:r w:rsidRPr="00A469EA">
              <w:rPr>
                <w:b/>
                <w:sz w:val="18"/>
                <w:szCs w:val="18"/>
                <w:lang w:val="en-GB"/>
              </w:rPr>
              <w:t>Baseline</w:t>
            </w:r>
            <w:r w:rsidRPr="00A469EA">
              <w:rPr>
                <w:bCs/>
                <w:sz w:val="18"/>
                <w:szCs w:val="18"/>
                <w:lang w:val="en-GB"/>
              </w:rPr>
              <w:t>: Scale</w:t>
            </w:r>
            <w:r w:rsidR="00551F9B" w:rsidRPr="00A469EA">
              <w:rPr>
                <w:bCs/>
                <w:sz w:val="18"/>
                <w:szCs w:val="18"/>
                <w:lang w:val="en-GB"/>
              </w:rPr>
              <w:t>:</w:t>
            </w:r>
            <w:r w:rsidRPr="00A469EA">
              <w:rPr>
                <w:bCs/>
                <w:sz w:val="18"/>
                <w:szCs w:val="18"/>
                <w:lang w:val="en-GB"/>
              </w:rPr>
              <w:t xml:space="preserve"> 1</w:t>
            </w:r>
            <w:r w:rsidR="00551F9B" w:rsidRPr="00A469EA">
              <w:rPr>
                <w:bCs/>
                <w:sz w:val="18"/>
                <w:szCs w:val="18"/>
                <w:lang w:val="en-GB"/>
              </w:rPr>
              <w:t>.</w:t>
            </w:r>
            <w:r w:rsidRPr="00A469EA">
              <w:rPr>
                <w:bCs/>
                <w:sz w:val="18"/>
                <w:szCs w:val="18"/>
                <w:lang w:val="en-GB"/>
              </w:rPr>
              <w:t xml:space="preserve"> Not adequately</w:t>
            </w:r>
            <w:r w:rsidR="00551F9B" w:rsidRPr="00A469EA">
              <w:rPr>
                <w:bCs/>
                <w:sz w:val="18"/>
                <w:szCs w:val="18"/>
                <w:lang w:val="en-GB"/>
              </w:rPr>
              <w:t>.</w:t>
            </w:r>
          </w:p>
          <w:p w14:paraId="717B8B46" w14:textId="54629A81" w:rsidR="006C589E" w:rsidRPr="00A469EA" w:rsidRDefault="006C589E" w:rsidP="00B75A66">
            <w:pPr>
              <w:rPr>
                <w:sz w:val="18"/>
                <w:szCs w:val="18"/>
                <w:u w:val="single"/>
                <w:lang w:val="en-GB"/>
              </w:rPr>
            </w:pPr>
            <w:r w:rsidRPr="00A469EA">
              <w:rPr>
                <w:b/>
                <w:sz w:val="18"/>
                <w:szCs w:val="18"/>
                <w:lang w:val="en-GB"/>
              </w:rPr>
              <w:t>Target</w:t>
            </w:r>
            <w:r w:rsidR="00551F9B" w:rsidRPr="00A469EA">
              <w:rPr>
                <w:bCs/>
                <w:sz w:val="18"/>
                <w:szCs w:val="18"/>
                <w:lang w:val="en-GB"/>
              </w:rPr>
              <w:t>:</w:t>
            </w:r>
            <w:r w:rsidRPr="00A469EA">
              <w:rPr>
                <w:bCs/>
                <w:sz w:val="18"/>
                <w:szCs w:val="18"/>
                <w:lang w:val="en-GB"/>
              </w:rPr>
              <w:t xml:space="preserve"> (2022): Scale</w:t>
            </w:r>
            <w:r w:rsidR="00551F9B" w:rsidRPr="00A469EA">
              <w:rPr>
                <w:bCs/>
                <w:sz w:val="18"/>
                <w:szCs w:val="18"/>
                <w:lang w:val="en-GB"/>
              </w:rPr>
              <w:t>:</w:t>
            </w:r>
            <w:r w:rsidRPr="00A469EA">
              <w:rPr>
                <w:bCs/>
                <w:sz w:val="18"/>
                <w:szCs w:val="18"/>
                <w:lang w:val="en-GB"/>
              </w:rPr>
              <w:t xml:space="preserve"> 4</w:t>
            </w:r>
            <w:r w:rsidR="00551F9B" w:rsidRPr="00A469EA">
              <w:rPr>
                <w:bCs/>
                <w:sz w:val="18"/>
                <w:szCs w:val="18"/>
                <w:lang w:val="en-GB"/>
              </w:rPr>
              <w:t>.</w:t>
            </w:r>
            <w:r w:rsidRPr="00A469EA">
              <w:rPr>
                <w:bCs/>
                <w:sz w:val="18"/>
                <w:szCs w:val="18"/>
                <w:lang w:val="en-GB"/>
              </w:rPr>
              <w:t xml:space="preserve"> Largely</w:t>
            </w:r>
            <w:r w:rsidR="00551F9B" w:rsidRPr="00A469EA">
              <w:rPr>
                <w:bCs/>
                <w:sz w:val="18"/>
                <w:szCs w:val="18"/>
                <w:lang w:val="en-GB"/>
              </w:rPr>
              <w:t>.</w:t>
            </w:r>
            <w:r w:rsidRPr="00A469EA">
              <w:rPr>
                <w:b/>
                <w:bCs/>
                <w:i/>
                <w:iCs/>
                <w:sz w:val="18"/>
                <w:szCs w:val="18"/>
                <w:lang w:val="en-GB"/>
              </w:rPr>
              <w:br/>
            </w:r>
          </w:p>
          <w:p w14:paraId="2B9AE4CE" w14:textId="4177A479" w:rsidR="006C589E" w:rsidRPr="00A469EA" w:rsidRDefault="006C589E" w:rsidP="00B75A66">
            <w:pPr>
              <w:rPr>
                <w:sz w:val="18"/>
                <w:szCs w:val="18"/>
                <w:lang w:val="en-GB"/>
              </w:rPr>
            </w:pPr>
            <w:r w:rsidRPr="00A469EA">
              <w:rPr>
                <w:b/>
                <w:bCs/>
                <w:sz w:val="18"/>
                <w:szCs w:val="18"/>
                <w:lang w:val="en-GB"/>
              </w:rPr>
              <w:t xml:space="preserve">Output 6.2: </w:t>
            </w:r>
            <w:r w:rsidRPr="00A469EA">
              <w:rPr>
                <w:sz w:val="18"/>
                <w:szCs w:val="18"/>
                <w:lang w:val="en-GB"/>
              </w:rPr>
              <w:t>Revitaliz</w:t>
            </w:r>
            <w:r w:rsidR="00D513C7">
              <w:rPr>
                <w:sz w:val="18"/>
                <w:szCs w:val="18"/>
                <w:lang w:val="en-GB"/>
              </w:rPr>
              <w:t xml:space="preserve">ed </w:t>
            </w:r>
            <w:r w:rsidRPr="00A469EA">
              <w:rPr>
                <w:sz w:val="18"/>
                <w:szCs w:val="18"/>
                <w:lang w:val="en-GB"/>
              </w:rPr>
              <w:t xml:space="preserve">productive capacities are sustainable and generate employment opportunities and improvement in sustainable livelihoods as part of broader </w:t>
            </w:r>
            <w:r w:rsidR="00236B0E" w:rsidRPr="00A469EA">
              <w:rPr>
                <w:sz w:val="18"/>
                <w:szCs w:val="18"/>
                <w:lang w:val="en-GB"/>
              </w:rPr>
              <w:t>development</w:t>
            </w:r>
            <w:r w:rsidRPr="00A469EA">
              <w:rPr>
                <w:sz w:val="18"/>
                <w:szCs w:val="18"/>
                <w:lang w:val="en-GB"/>
              </w:rPr>
              <w:t xml:space="preserve"> efforts</w:t>
            </w:r>
            <w:r w:rsidR="00551F9B" w:rsidRPr="00A469EA">
              <w:rPr>
                <w:sz w:val="18"/>
                <w:szCs w:val="18"/>
                <w:lang w:val="en-GB"/>
              </w:rPr>
              <w:t>.</w:t>
            </w:r>
          </w:p>
          <w:p w14:paraId="70488DB9" w14:textId="77777777" w:rsidR="006C589E" w:rsidRPr="00A469EA" w:rsidRDefault="006C589E" w:rsidP="00B75A66">
            <w:pPr>
              <w:rPr>
                <w:b/>
                <w:bCs/>
                <w:sz w:val="18"/>
                <w:szCs w:val="18"/>
                <w:lang w:val="en-GB"/>
              </w:rPr>
            </w:pPr>
          </w:p>
          <w:p w14:paraId="2A71D8B6" w14:textId="25ED9BF0" w:rsidR="006C589E" w:rsidRPr="00A469EA" w:rsidRDefault="006C589E" w:rsidP="00B75A66">
            <w:pPr>
              <w:rPr>
                <w:iCs/>
                <w:sz w:val="18"/>
                <w:szCs w:val="18"/>
                <w:lang w:val="en-GB"/>
              </w:rPr>
            </w:pPr>
            <w:r w:rsidRPr="00A469EA">
              <w:rPr>
                <w:b/>
                <w:bCs/>
                <w:iCs/>
                <w:sz w:val="18"/>
                <w:szCs w:val="18"/>
                <w:lang w:val="en-GB"/>
              </w:rPr>
              <w:t xml:space="preserve">CPD </w:t>
            </w:r>
            <w:r w:rsidR="00551F9B" w:rsidRPr="00A469EA">
              <w:rPr>
                <w:b/>
                <w:bCs/>
                <w:iCs/>
                <w:sz w:val="18"/>
                <w:szCs w:val="18"/>
                <w:lang w:val="en-GB"/>
              </w:rPr>
              <w:t>o</w:t>
            </w:r>
            <w:r w:rsidRPr="00A469EA">
              <w:rPr>
                <w:b/>
                <w:bCs/>
                <w:iCs/>
                <w:sz w:val="18"/>
                <w:szCs w:val="18"/>
                <w:lang w:val="en-GB"/>
              </w:rPr>
              <w:t xml:space="preserve">utput </w:t>
            </w:r>
            <w:r w:rsidR="00551F9B" w:rsidRPr="00A469EA">
              <w:rPr>
                <w:b/>
                <w:bCs/>
                <w:iCs/>
                <w:sz w:val="18"/>
                <w:szCs w:val="18"/>
                <w:lang w:val="en-GB"/>
              </w:rPr>
              <w:t>i</w:t>
            </w:r>
            <w:r w:rsidRPr="00A469EA">
              <w:rPr>
                <w:b/>
                <w:bCs/>
                <w:iCs/>
                <w:sz w:val="18"/>
                <w:szCs w:val="18"/>
                <w:lang w:val="en-GB"/>
              </w:rPr>
              <w:t xml:space="preserve">ndicator 6.2.1 (IRRF </w:t>
            </w:r>
            <w:r w:rsidR="00551F9B" w:rsidRPr="00A469EA">
              <w:rPr>
                <w:b/>
                <w:bCs/>
                <w:iCs/>
                <w:sz w:val="18"/>
                <w:szCs w:val="18"/>
                <w:lang w:val="en-GB"/>
              </w:rPr>
              <w:t>i</w:t>
            </w:r>
            <w:r w:rsidRPr="00A469EA">
              <w:rPr>
                <w:b/>
                <w:bCs/>
                <w:iCs/>
                <w:sz w:val="18"/>
                <w:szCs w:val="18"/>
                <w:lang w:val="en-GB"/>
              </w:rPr>
              <w:t>ndicator 1.1.1/</w:t>
            </w:r>
            <w:r w:rsidR="00E10301">
              <w:rPr>
                <w:b/>
                <w:bCs/>
                <w:iCs/>
                <w:sz w:val="18"/>
                <w:szCs w:val="18"/>
                <w:lang w:val="en-GB"/>
              </w:rPr>
              <w:t>Goal</w:t>
            </w:r>
            <w:r w:rsidRPr="00A469EA">
              <w:rPr>
                <w:b/>
                <w:bCs/>
                <w:iCs/>
                <w:sz w:val="18"/>
                <w:szCs w:val="18"/>
                <w:lang w:val="en-GB"/>
              </w:rPr>
              <w:t xml:space="preserve"> 8.3.1)</w:t>
            </w:r>
            <w:r w:rsidRPr="00A469EA">
              <w:rPr>
                <w:iCs/>
                <w:sz w:val="18"/>
                <w:szCs w:val="18"/>
                <w:lang w:val="en-GB"/>
              </w:rPr>
              <w:t>: Number of new jobs and other livelihoods generated</w:t>
            </w:r>
            <w:r w:rsidR="00551F9B" w:rsidRPr="00A469EA">
              <w:rPr>
                <w:iCs/>
                <w:sz w:val="18"/>
                <w:szCs w:val="18"/>
                <w:lang w:val="en-GB"/>
              </w:rPr>
              <w:t>,</w:t>
            </w:r>
            <w:r w:rsidRPr="00A469EA">
              <w:rPr>
                <w:iCs/>
                <w:sz w:val="18"/>
                <w:szCs w:val="18"/>
                <w:lang w:val="en-GB"/>
              </w:rPr>
              <w:t xml:space="preserve"> disaggregated </w:t>
            </w:r>
            <w:r w:rsidR="00FE1FE0" w:rsidRPr="00A469EA">
              <w:rPr>
                <w:iCs/>
                <w:sz w:val="18"/>
                <w:szCs w:val="18"/>
                <w:lang w:val="en-GB"/>
              </w:rPr>
              <w:t>by sector</w:t>
            </w:r>
            <w:r w:rsidRPr="00A469EA">
              <w:rPr>
                <w:iCs/>
                <w:sz w:val="18"/>
                <w:szCs w:val="18"/>
                <w:lang w:val="en-GB"/>
              </w:rPr>
              <w:t xml:space="preserve"> and subsector, by sex, age and by wage category</w:t>
            </w:r>
            <w:r w:rsidR="00551F9B" w:rsidRPr="00A469EA">
              <w:rPr>
                <w:iCs/>
                <w:sz w:val="18"/>
                <w:szCs w:val="18"/>
                <w:lang w:val="en-GB"/>
              </w:rPr>
              <w:t>.</w:t>
            </w:r>
            <w:r w:rsidRPr="00A469EA">
              <w:rPr>
                <w:iCs/>
                <w:sz w:val="18"/>
                <w:szCs w:val="18"/>
                <w:lang w:val="en-GB"/>
              </w:rPr>
              <w:br/>
            </w:r>
            <w:r w:rsidRPr="00A469EA">
              <w:rPr>
                <w:b/>
                <w:bCs/>
                <w:iCs/>
                <w:sz w:val="18"/>
                <w:szCs w:val="18"/>
                <w:lang w:val="en-GB"/>
              </w:rPr>
              <w:t xml:space="preserve">Baseline:  </w:t>
            </w:r>
            <w:r w:rsidRPr="00A469EA">
              <w:rPr>
                <w:iCs/>
                <w:sz w:val="18"/>
                <w:szCs w:val="18"/>
                <w:lang w:val="en-GB"/>
              </w:rPr>
              <w:t>Jobs: 1</w:t>
            </w:r>
            <w:r w:rsidR="00551F9B" w:rsidRPr="00A469EA">
              <w:rPr>
                <w:iCs/>
                <w:sz w:val="18"/>
                <w:szCs w:val="18"/>
                <w:lang w:val="en-GB"/>
              </w:rPr>
              <w:t>,</w:t>
            </w:r>
            <w:r w:rsidRPr="00A469EA">
              <w:rPr>
                <w:iCs/>
                <w:sz w:val="18"/>
                <w:szCs w:val="18"/>
                <w:lang w:val="en-GB"/>
              </w:rPr>
              <w:t>500 (Women = 1</w:t>
            </w:r>
            <w:r w:rsidR="00E10301">
              <w:rPr>
                <w:iCs/>
                <w:sz w:val="18"/>
                <w:szCs w:val="18"/>
                <w:lang w:val="en-GB"/>
              </w:rPr>
              <w:t>,</w:t>
            </w:r>
            <w:r w:rsidRPr="00A469EA">
              <w:rPr>
                <w:iCs/>
                <w:sz w:val="18"/>
                <w:szCs w:val="18"/>
                <w:lang w:val="en-GB"/>
              </w:rPr>
              <w:t>100; Men = 400); Livelihoods: 100 (Women = 50; Men = 50)</w:t>
            </w:r>
            <w:r w:rsidR="00551F9B" w:rsidRPr="00A469EA">
              <w:rPr>
                <w:iCs/>
                <w:sz w:val="18"/>
                <w:szCs w:val="18"/>
                <w:lang w:val="en-GB"/>
              </w:rPr>
              <w:t>.</w:t>
            </w:r>
            <w:r w:rsidRPr="00A469EA">
              <w:rPr>
                <w:b/>
                <w:bCs/>
                <w:iCs/>
                <w:sz w:val="18"/>
                <w:szCs w:val="18"/>
                <w:lang w:val="en-GB"/>
              </w:rPr>
              <w:t xml:space="preserve">  </w:t>
            </w:r>
            <w:r w:rsidRPr="00A469EA">
              <w:rPr>
                <w:iCs/>
                <w:sz w:val="18"/>
                <w:szCs w:val="18"/>
                <w:lang w:val="en-GB"/>
              </w:rPr>
              <w:br/>
            </w:r>
            <w:r w:rsidRPr="00A469EA">
              <w:rPr>
                <w:b/>
                <w:bCs/>
                <w:iCs/>
                <w:sz w:val="18"/>
                <w:szCs w:val="18"/>
                <w:lang w:val="en-GB"/>
              </w:rPr>
              <w:t xml:space="preserve">Target (2022): </w:t>
            </w:r>
            <w:r w:rsidRPr="00A469EA">
              <w:rPr>
                <w:iCs/>
                <w:sz w:val="18"/>
                <w:szCs w:val="18"/>
                <w:lang w:val="en-GB"/>
              </w:rPr>
              <w:t>Jobs: 10,000 (Women = 6,000; Men = 4</w:t>
            </w:r>
            <w:r w:rsidR="00E10301">
              <w:rPr>
                <w:iCs/>
                <w:sz w:val="18"/>
                <w:szCs w:val="18"/>
                <w:lang w:val="en-GB"/>
              </w:rPr>
              <w:t>,</w:t>
            </w:r>
            <w:r w:rsidRPr="00A469EA">
              <w:rPr>
                <w:iCs/>
                <w:sz w:val="18"/>
                <w:szCs w:val="18"/>
                <w:lang w:val="en-GB"/>
              </w:rPr>
              <w:t>000); Livelihoods: 5,000 (Women = 2</w:t>
            </w:r>
            <w:r w:rsidR="00E10301">
              <w:rPr>
                <w:iCs/>
                <w:sz w:val="18"/>
                <w:szCs w:val="18"/>
                <w:lang w:val="en-GB"/>
              </w:rPr>
              <w:t>,</w:t>
            </w:r>
            <w:r w:rsidRPr="00A469EA">
              <w:rPr>
                <w:iCs/>
                <w:sz w:val="18"/>
                <w:szCs w:val="18"/>
                <w:lang w:val="en-GB"/>
              </w:rPr>
              <w:t>500; Men = 2</w:t>
            </w:r>
            <w:r w:rsidR="00E10301">
              <w:rPr>
                <w:iCs/>
                <w:sz w:val="18"/>
                <w:szCs w:val="18"/>
                <w:lang w:val="en-GB"/>
              </w:rPr>
              <w:t>,</w:t>
            </w:r>
            <w:r w:rsidRPr="00A469EA">
              <w:rPr>
                <w:iCs/>
                <w:sz w:val="18"/>
                <w:szCs w:val="18"/>
                <w:lang w:val="en-GB"/>
              </w:rPr>
              <w:t>500)</w:t>
            </w:r>
            <w:r w:rsidR="00551F9B" w:rsidRPr="00A469EA">
              <w:rPr>
                <w:iCs/>
                <w:sz w:val="18"/>
                <w:szCs w:val="18"/>
                <w:lang w:val="en-GB"/>
              </w:rPr>
              <w:t>.</w:t>
            </w:r>
          </w:p>
          <w:p w14:paraId="724285D1" w14:textId="790F0241" w:rsidR="006C589E" w:rsidRPr="00A469EA" w:rsidRDefault="006C589E" w:rsidP="00B75A66">
            <w:pPr>
              <w:rPr>
                <w:b/>
                <w:sz w:val="18"/>
                <w:szCs w:val="18"/>
                <w:lang w:val="en-GB"/>
              </w:rPr>
            </w:pPr>
            <w:r w:rsidRPr="00A469EA">
              <w:rPr>
                <w:iCs/>
                <w:sz w:val="18"/>
                <w:szCs w:val="18"/>
                <w:lang w:val="en-GB"/>
              </w:rPr>
              <w:br/>
            </w:r>
            <w:r w:rsidRPr="00A469EA">
              <w:rPr>
                <w:b/>
                <w:sz w:val="18"/>
                <w:szCs w:val="18"/>
                <w:lang w:val="en-GB"/>
              </w:rPr>
              <w:t xml:space="preserve">CPD </w:t>
            </w:r>
            <w:r w:rsidR="00551F9B" w:rsidRPr="00A469EA">
              <w:rPr>
                <w:b/>
                <w:sz w:val="18"/>
                <w:szCs w:val="18"/>
                <w:lang w:val="en-GB"/>
              </w:rPr>
              <w:t>o</w:t>
            </w:r>
            <w:r w:rsidRPr="00A469EA">
              <w:rPr>
                <w:b/>
                <w:sz w:val="18"/>
                <w:szCs w:val="18"/>
                <w:lang w:val="en-GB"/>
              </w:rPr>
              <w:t xml:space="preserve">utput </w:t>
            </w:r>
            <w:r w:rsidR="00551F9B" w:rsidRPr="00A469EA">
              <w:rPr>
                <w:b/>
                <w:sz w:val="18"/>
                <w:szCs w:val="18"/>
                <w:lang w:val="en-GB"/>
              </w:rPr>
              <w:t>i</w:t>
            </w:r>
            <w:r w:rsidRPr="00A469EA">
              <w:rPr>
                <w:b/>
                <w:sz w:val="18"/>
                <w:szCs w:val="18"/>
                <w:lang w:val="en-GB"/>
              </w:rPr>
              <w:t>ndicator 6.2.2 (IRRF Indicator 6.1):</w:t>
            </w:r>
            <w:r w:rsidRPr="00A469EA">
              <w:rPr>
                <w:sz w:val="18"/>
                <w:szCs w:val="18"/>
                <w:lang w:val="en-GB"/>
              </w:rPr>
              <w:t xml:space="preserve"> Extent to which critical benchmarks are met for social and economic recovery after a </w:t>
            </w:r>
            <w:r w:rsidR="00F07F02" w:rsidRPr="00A469EA">
              <w:rPr>
                <w:sz w:val="18"/>
                <w:szCs w:val="18"/>
                <w:lang w:val="en-GB"/>
              </w:rPr>
              <w:t>disaster</w:t>
            </w:r>
            <w:r w:rsidR="00551F9B" w:rsidRPr="00A469EA">
              <w:rPr>
                <w:sz w:val="18"/>
                <w:szCs w:val="18"/>
                <w:lang w:val="en-GB"/>
              </w:rPr>
              <w:t>,</w:t>
            </w:r>
            <w:r w:rsidRPr="00A469EA">
              <w:rPr>
                <w:sz w:val="18"/>
                <w:szCs w:val="18"/>
                <w:lang w:val="en-GB"/>
              </w:rPr>
              <w:t xml:space="preserve"> inclusive of </w:t>
            </w:r>
            <w:r w:rsidR="00551F9B" w:rsidRPr="00A469EA">
              <w:rPr>
                <w:sz w:val="18"/>
                <w:szCs w:val="18"/>
                <w:lang w:val="en-GB"/>
              </w:rPr>
              <w:t>g</w:t>
            </w:r>
            <w:r w:rsidRPr="00A469EA">
              <w:rPr>
                <w:sz w:val="18"/>
                <w:szCs w:val="18"/>
                <w:lang w:val="en-GB"/>
              </w:rPr>
              <w:t>ender equality and women's empowerment principles</w:t>
            </w:r>
            <w:r w:rsidR="00551F9B" w:rsidRPr="00A469EA">
              <w:rPr>
                <w:sz w:val="18"/>
                <w:szCs w:val="18"/>
                <w:lang w:val="en-GB"/>
              </w:rPr>
              <w:t>.</w:t>
            </w:r>
          </w:p>
          <w:p w14:paraId="7D148A40" w14:textId="11527620" w:rsidR="006C589E" w:rsidRPr="00A469EA" w:rsidRDefault="006C589E" w:rsidP="00B75A66">
            <w:pPr>
              <w:rPr>
                <w:bCs/>
                <w:sz w:val="18"/>
                <w:szCs w:val="18"/>
                <w:lang w:val="en-GB"/>
              </w:rPr>
            </w:pPr>
            <w:r w:rsidRPr="00A469EA">
              <w:rPr>
                <w:b/>
                <w:sz w:val="18"/>
                <w:szCs w:val="18"/>
                <w:lang w:val="en-GB"/>
              </w:rPr>
              <w:t>Baseline</w:t>
            </w:r>
            <w:r w:rsidRPr="00A469EA">
              <w:rPr>
                <w:bCs/>
                <w:sz w:val="18"/>
                <w:szCs w:val="18"/>
                <w:lang w:val="en-GB"/>
              </w:rPr>
              <w:t>: Scale</w:t>
            </w:r>
            <w:r w:rsidR="00551F9B" w:rsidRPr="00A469EA">
              <w:rPr>
                <w:bCs/>
                <w:sz w:val="18"/>
                <w:szCs w:val="18"/>
                <w:lang w:val="en-GB"/>
              </w:rPr>
              <w:t>:</w:t>
            </w:r>
            <w:r w:rsidRPr="00A469EA">
              <w:rPr>
                <w:bCs/>
                <w:sz w:val="18"/>
                <w:szCs w:val="18"/>
                <w:lang w:val="en-GB"/>
              </w:rPr>
              <w:t xml:space="preserve"> 1. Very partially</w:t>
            </w:r>
            <w:r w:rsidR="00551F9B" w:rsidRPr="00A469EA">
              <w:rPr>
                <w:bCs/>
                <w:sz w:val="18"/>
                <w:szCs w:val="18"/>
                <w:lang w:val="en-GB"/>
              </w:rPr>
              <w:t>.</w:t>
            </w:r>
          </w:p>
          <w:p w14:paraId="1808A5AD" w14:textId="3FB3B6AA" w:rsidR="00843441" w:rsidRPr="00A469EA" w:rsidRDefault="006C589E" w:rsidP="00B75A66">
            <w:pPr>
              <w:rPr>
                <w:bCs/>
                <w:sz w:val="18"/>
                <w:szCs w:val="18"/>
                <w:lang w:val="en-GB"/>
              </w:rPr>
            </w:pPr>
            <w:r w:rsidRPr="00A469EA">
              <w:rPr>
                <w:b/>
                <w:sz w:val="18"/>
                <w:szCs w:val="18"/>
                <w:lang w:val="en-GB"/>
              </w:rPr>
              <w:t xml:space="preserve">Target (2022): </w:t>
            </w:r>
            <w:r w:rsidRPr="00A469EA">
              <w:rPr>
                <w:bCs/>
                <w:sz w:val="18"/>
                <w:szCs w:val="18"/>
                <w:lang w:val="en-GB"/>
              </w:rPr>
              <w:t>Scale</w:t>
            </w:r>
            <w:r w:rsidR="00551F9B" w:rsidRPr="00A469EA">
              <w:rPr>
                <w:bCs/>
                <w:sz w:val="18"/>
                <w:szCs w:val="18"/>
                <w:lang w:val="en-GB"/>
              </w:rPr>
              <w:t>:</w:t>
            </w:r>
            <w:r w:rsidRPr="00A469EA">
              <w:rPr>
                <w:bCs/>
                <w:sz w:val="18"/>
                <w:szCs w:val="18"/>
                <w:lang w:val="en-GB"/>
              </w:rPr>
              <w:t xml:space="preserve"> 3. Largely</w:t>
            </w:r>
            <w:r w:rsidR="00551F9B" w:rsidRPr="00A469EA">
              <w:rPr>
                <w:bCs/>
                <w:sz w:val="18"/>
                <w:szCs w:val="18"/>
                <w:lang w:val="en-GB"/>
              </w:rPr>
              <w:t>.</w:t>
            </w:r>
          </w:p>
        </w:tc>
        <w:tc>
          <w:tcPr>
            <w:tcW w:w="1980" w:type="dxa"/>
            <w:vMerge w:val="restart"/>
            <w:shd w:val="clear" w:color="auto" w:fill="auto"/>
            <w:vAlign w:val="center"/>
            <w:hideMark/>
          </w:tcPr>
          <w:p w14:paraId="5D05B403" w14:textId="0CF96C31" w:rsidR="00551F9B" w:rsidRDefault="006C589E" w:rsidP="00E10301">
            <w:pPr>
              <w:rPr>
                <w:sz w:val="18"/>
                <w:szCs w:val="18"/>
                <w:lang w:val="en-GB"/>
              </w:rPr>
            </w:pPr>
            <w:r w:rsidRPr="00A469EA">
              <w:rPr>
                <w:b/>
                <w:bCs/>
                <w:sz w:val="18"/>
                <w:szCs w:val="18"/>
                <w:lang w:val="en-GB"/>
              </w:rPr>
              <w:t xml:space="preserve">Implementing </w:t>
            </w:r>
            <w:r w:rsidR="00551F9B" w:rsidRPr="00A469EA">
              <w:rPr>
                <w:b/>
                <w:bCs/>
                <w:sz w:val="18"/>
                <w:szCs w:val="18"/>
                <w:lang w:val="en-GB"/>
              </w:rPr>
              <w:t>p</w:t>
            </w:r>
            <w:r w:rsidRPr="00A469EA">
              <w:rPr>
                <w:b/>
                <w:bCs/>
                <w:sz w:val="18"/>
                <w:szCs w:val="18"/>
                <w:lang w:val="en-GB"/>
              </w:rPr>
              <w:t>artners:</w:t>
            </w:r>
            <w:r w:rsidRPr="00A469EA">
              <w:rPr>
                <w:i/>
                <w:iCs/>
                <w:sz w:val="18"/>
                <w:szCs w:val="18"/>
                <w:lang w:val="en-GB"/>
              </w:rPr>
              <w:br/>
            </w:r>
            <w:r w:rsidRPr="00A469EA">
              <w:rPr>
                <w:sz w:val="18"/>
                <w:szCs w:val="18"/>
                <w:lang w:val="en-GB"/>
              </w:rPr>
              <w:t>FATA Secretariat</w:t>
            </w:r>
            <w:r w:rsidR="00551F9B" w:rsidRPr="00A469EA">
              <w:rPr>
                <w:sz w:val="18"/>
                <w:szCs w:val="18"/>
                <w:lang w:val="en-GB"/>
              </w:rPr>
              <w:t>;</w:t>
            </w:r>
            <w:r w:rsidR="00551F9B" w:rsidRPr="00A469EA" w:rsidDel="00551F9B">
              <w:rPr>
                <w:sz w:val="18"/>
                <w:szCs w:val="18"/>
                <w:lang w:val="en-GB"/>
              </w:rPr>
              <w:t xml:space="preserve"> </w:t>
            </w:r>
            <w:r w:rsidRPr="00A469EA">
              <w:rPr>
                <w:sz w:val="18"/>
                <w:szCs w:val="18"/>
                <w:lang w:val="en-GB"/>
              </w:rPr>
              <w:t>Department of Home and Tribal Affairs</w:t>
            </w:r>
            <w:r w:rsidR="00A70592" w:rsidRPr="00A469EA">
              <w:rPr>
                <w:sz w:val="18"/>
                <w:szCs w:val="18"/>
                <w:lang w:val="en-GB"/>
              </w:rPr>
              <w:t>,</w:t>
            </w:r>
            <w:r w:rsidRPr="00A469EA">
              <w:rPr>
                <w:sz w:val="18"/>
                <w:szCs w:val="18"/>
                <w:lang w:val="en-GB"/>
              </w:rPr>
              <w:t xml:space="preserve"> Khyber Pakhtunkhwa</w:t>
            </w:r>
            <w:r w:rsidR="00551F9B" w:rsidRPr="00A469EA">
              <w:rPr>
                <w:sz w:val="18"/>
                <w:szCs w:val="18"/>
                <w:lang w:val="en-GB"/>
              </w:rPr>
              <w:t xml:space="preserve">; </w:t>
            </w:r>
            <w:r w:rsidR="00A70592" w:rsidRPr="00A469EA">
              <w:rPr>
                <w:sz w:val="18"/>
                <w:szCs w:val="18"/>
                <w:lang w:val="en-GB"/>
              </w:rPr>
              <w:t xml:space="preserve">Provincial </w:t>
            </w:r>
            <w:r w:rsidR="00E10301">
              <w:rPr>
                <w:sz w:val="18"/>
                <w:szCs w:val="18"/>
                <w:lang w:val="en-GB"/>
              </w:rPr>
              <w:t>d</w:t>
            </w:r>
            <w:r w:rsidRPr="00A469EA">
              <w:rPr>
                <w:sz w:val="18"/>
                <w:szCs w:val="18"/>
                <w:lang w:val="en-GB"/>
              </w:rPr>
              <w:t>epartment</w:t>
            </w:r>
            <w:r w:rsidR="00A70592" w:rsidRPr="00A469EA">
              <w:rPr>
                <w:sz w:val="18"/>
                <w:szCs w:val="18"/>
                <w:lang w:val="en-GB"/>
              </w:rPr>
              <w:t>s</w:t>
            </w:r>
            <w:r w:rsidRPr="00A469EA">
              <w:rPr>
                <w:sz w:val="18"/>
                <w:szCs w:val="18"/>
                <w:lang w:val="en-GB"/>
              </w:rPr>
              <w:t xml:space="preserve"> of </w:t>
            </w:r>
            <w:r w:rsidR="00E10301">
              <w:rPr>
                <w:sz w:val="18"/>
                <w:szCs w:val="18"/>
                <w:lang w:val="en-GB"/>
              </w:rPr>
              <w:t>p</w:t>
            </w:r>
            <w:r w:rsidRPr="00A469EA">
              <w:rPr>
                <w:sz w:val="18"/>
                <w:szCs w:val="18"/>
                <w:lang w:val="en-GB"/>
              </w:rPr>
              <w:t xml:space="preserve">lanning and </w:t>
            </w:r>
            <w:r w:rsidR="00E10301">
              <w:rPr>
                <w:sz w:val="18"/>
                <w:szCs w:val="18"/>
                <w:lang w:val="en-GB"/>
              </w:rPr>
              <w:t>d</w:t>
            </w:r>
            <w:r w:rsidRPr="00A469EA">
              <w:rPr>
                <w:sz w:val="18"/>
                <w:szCs w:val="18"/>
                <w:lang w:val="en-GB"/>
              </w:rPr>
              <w:t>evelopment</w:t>
            </w:r>
            <w:r w:rsidR="00551F9B" w:rsidRPr="00A469EA">
              <w:rPr>
                <w:sz w:val="18"/>
                <w:szCs w:val="18"/>
                <w:lang w:val="en-GB"/>
              </w:rPr>
              <w:t>;</w:t>
            </w:r>
            <w:r w:rsidR="00551F9B" w:rsidRPr="00A469EA" w:rsidDel="00551F9B">
              <w:rPr>
                <w:sz w:val="18"/>
                <w:szCs w:val="18"/>
                <w:lang w:val="en-GB"/>
              </w:rPr>
              <w:t xml:space="preserve"> </w:t>
            </w:r>
            <w:r w:rsidRPr="00A469EA">
              <w:rPr>
                <w:sz w:val="18"/>
                <w:szCs w:val="18"/>
                <w:lang w:val="en-GB"/>
              </w:rPr>
              <w:t xml:space="preserve">Sindh </w:t>
            </w:r>
            <w:r w:rsidR="00C05F69" w:rsidRPr="00A469EA">
              <w:rPr>
                <w:sz w:val="18"/>
                <w:szCs w:val="18"/>
                <w:lang w:val="en-GB"/>
              </w:rPr>
              <w:t>Technical and Vocational Training</w:t>
            </w:r>
            <w:r w:rsidR="00551F9B" w:rsidRPr="00A469EA">
              <w:rPr>
                <w:sz w:val="18"/>
                <w:szCs w:val="18"/>
                <w:lang w:val="en-GB"/>
              </w:rPr>
              <w:t xml:space="preserve">; </w:t>
            </w:r>
            <w:r w:rsidRPr="00A469EA">
              <w:rPr>
                <w:sz w:val="18"/>
                <w:szCs w:val="18"/>
                <w:lang w:val="en-GB"/>
              </w:rPr>
              <w:t>Khyber Pakhtunkhwa Economic Zones Development and Management Company</w:t>
            </w:r>
            <w:r w:rsidR="00551F9B" w:rsidRPr="00A469EA">
              <w:rPr>
                <w:sz w:val="18"/>
                <w:szCs w:val="18"/>
                <w:lang w:val="en-GB"/>
              </w:rPr>
              <w:t xml:space="preserve">; </w:t>
            </w:r>
            <w:r w:rsidRPr="00A469EA">
              <w:rPr>
                <w:sz w:val="18"/>
                <w:szCs w:val="18"/>
                <w:lang w:val="en-GB"/>
              </w:rPr>
              <w:t>Provincial Disaster Management Authority/Provincial Reconstruction, Rehabilitation and Settlement Authority</w:t>
            </w:r>
            <w:r w:rsidRPr="00A469EA">
              <w:rPr>
                <w:i/>
                <w:iCs/>
                <w:sz w:val="18"/>
                <w:szCs w:val="18"/>
                <w:lang w:val="en-GB"/>
              </w:rPr>
              <w:br/>
            </w:r>
            <w:r w:rsidRPr="00A469EA">
              <w:rPr>
                <w:i/>
                <w:iCs/>
                <w:sz w:val="18"/>
                <w:szCs w:val="18"/>
                <w:lang w:val="en-GB"/>
              </w:rPr>
              <w:br/>
            </w:r>
            <w:r w:rsidRPr="00A469EA">
              <w:rPr>
                <w:b/>
                <w:bCs/>
                <w:sz w:val="18"/>
                <w:szCs w:val="18"/>
                <w:lang w:val="en-GB"/>
              </w:rPr>
              <w:t xml:space="preserve">Funding </w:t>
            </w:r>
            <w:r w:rsidR="00551F9B" w:rsidRPr="00A469EA">
              <w:rPr>
                <w:b/>
                <w:bCs/>
                <w:sz w:val="18"/>
                <w:szCs w:val="18"/>
                <w:lang w:val="en-GB"/>
              </w:rPr>
              <w:t>p</w:t>
            </w:r>
            <w:r w:rsidRPr="00A469EA">
              <w:rPr>
                <w:b/>
                <w:bCs/>
                <w:sz w:val="18"/>
                <w:szCs w:val="18"/>
                <w:lang w:val="en-GB"/>
              </w:rPr>
              <w:t>artners:</w:t>
            </w:r>
            <w:r w:rsidRPr="00A469EA">
              <w:rPr>
                <w:i/>
                <w:iCs/>
                <w:sz w:val="18"/>
                <w:szCs w:val="18"/>
                <w:lang w:val="en-GB"/>
              </w:rPr>
              <w:br/>
            </w:r>
            <w:r w:rsidRPr="00A469EA">
              <w:rPr>
                <w:sz w:val="18"/>
                <w:szCs w:val="18"/>
                <w:lang w:val="en-GB"/>
              </w:rPr>
              <w:t>Government</w:t>
            </w:r>
            <w:r w:rsidR="0058421A" w:rsidRPr="00A469EA">
              <w:rPr>
                <w:sz w:val="18"/>
                <w:szCs w:val="18"/>
                <w:lang w:val="en-GB"/>
              </w:rPr>
              <w:t>s</w:t>
            </w:r>
            <w:r w:rsidRPr="00A469EA">
              <w:rPr>
                <w:sz w:val="18"/>
                <w:szCs w:val="18"/>
                <w:lang w:val="en-GB"/>
              </w:rPr>
              <w:t xml:space="preserve"> of </w:t>
            </w:r>
            <w:r w:rsidR="0058421A" w:rsidRPr="00A469EA">
              <w:rPr>
                <w:sz w:val="18"/>
                <w:szCs w:val="18"/>
                <w:lang w:val="en-GB"/>
              </w:rPr>
              <w:t xml:space="preserve">Japan, Norway, </w:t>
            </w:r>
            <w:r w:rsidRPr="00A469EA">
              <w:rPr>
                <w:sz w:val="18"/>
                <w:szCs w:val="18"/>
                <w:lang w:val="en-GB"/>
              </w:rPr>
              <w:t xml:space="preserve">United Kingdom </w:t>
            </w:r>
            <w:r w:rsidR="00E10301">
              <w:rPr>
                <w:sz w:val="18"/>
                <w:szCs w:val="18"/>
                <w:lang w:val="en-GB"/>
              </w:rPr>
              <w:t xml:space="preserve">and </w:t>
            </w:r>
            <w:r w:rsidRPr="00A469EA">
              <w:rPr>
                <w:sz w:val="18"/>
                <w:szCs w:val="18"/>
                <w:lang w:val="en-GB"/>
              </w:rPr>
              <w:t>Northern Ireland</w:t>
            </w:r>
            <w:r w:rsidR="0058421A" w:rsidRPr="00A469EA">
              <w:rPr>
                <w:sz w:val="18"/>
                <w:szCs w:val="18"/>
                <w:lang w:val="en-GB"/>
              </w:rPr>
              <w:t xml:space="preserve">, </w:t>
            </w:r>
            <w:r w:rsidRPr="00A469EA">
              <w:rPr>
                <w:sz w:val="18"/>
                <w:szCs w:val="18"/>
                <w:lang w:val="en-GB"/>
              </w:rPr>
              <w:t>United States</w:t>
            </w:r>
            <w:r w:rsidR="0058421A" w:rsidRPr="00A469EA">
              <w:rPr>
                <w:sz w:val="18"/>
                <w:szCs w:val="18"/>
                <w:lang w:val="en-GB"/>
              </w:rPr>
              <w:t>;</w:t>
            </w:r>
            <w:r w:rsidR="00551F9B" w:rsidRPr="00A469EA">
              <w:rPr>
                <w:sz w:val="18"/>
                <w:szCs w:val="18"/>
                <w:lang w:val="en-GB"/>
              </w:rPr>
              <w:t xml:space="preserve"> United Nations Trust Fund for Human Security;</w:t>
            </w:r>
            <w:r w:rsidRPr="00A469EA">
              <w:rPr>
                <w:sz w:val="18"/>
                <w:szCs w:val="18"/>
                <w:lang w:val="en-GB"/>
              </w:rPr>
              <w:t xml:space="preserve"> </w:t>
            </w:r>
            <w:r w:rsidRPr="00A469EA">
              <w:rPr>
                <w:sz w:val="18"/>
                <w:szCs w:val="18"/>
                <w:lang w:val="en-GB"/>
              </w:rPr>
              <w:br/>
              <w:t>UNDP</w:t>
            </w:r>
            <w:r w:rsidR="00551F9B" w:rsidRPr="00A469EA">
              <w:rPr>
                <w:sz w:val="18"/>
                <w:szCs w:val="18"/>
                <w:lang w:val="en-GB"/>
              </w:rPr>
              <w:t>;</w:t>
            </w:r>
            <w:r w:rsidRPr="00A469EA">
              <w:rPr>
                <w:sz w:val="18"/>
                <w:szCs w:val="18"/>
                <w:lang w:val="en-GB"/>
              </w:rPr>
              <w:t xml:space="preserve"> Telenor Pakistan</w:t>
            </w:r>
            <w:r w:rsidR="00551F9B" w:rsidRPr="00A469EA">
              <w:rPr>
                <w:sz w:val="18"/>
                <w:szCs w:val="18"/>
                <w:lang w:val="en-GB"/>
              </w:rPr>
              <w:t>;</w:t>
            </w:r>
            <w:r w:rsidR="00551F9B" w:rsidRPr="00A469EA" w:rsidDel="00551F9B">
              <w:rPr>
                <w:sz w:val="18"/>
                <w:szCs w:val="18"/>
                <w:lang w:val="en-GB"/>
              </w:rPr>
              <w:t xml:space="preserve"> </w:t>
            </w:r>
            <w:r w:rsidRPr="00A469EA">
              <w:rPr>
                <w:sz w:val="18"/>
                <w:szCs w:val="18"/>
                <w:lang w:val="en-GB"/>
              </w:rPr>
              <w:t>Saudi Fund for Development (SFD)</w:t>
            </w:r>
            <w:r w:rsidR="00551F9B" w:rsidRPr="00A469EA">
              <w:rPr>
                <w:sz w:val="18"/>
                <w:szCs w:val="18"/>
                <w:lang w:val="en-GB"/>
              </w:rPr>
              <w:t>;</w:t>
            </w:r>
            <w:r w:rsidRPr="00A469EA">
              <w:rPr>
                <w:sz w:val="18"/>
                <w:szCs w:val="18"/>
                <w:lang w:val="en-GB"/>
              </w:rPr>
              <w:t xml:space="preserve"> </w:t>
            </w:r>
            <w:r w:rsidRPr="00A469EA">
              <w:rPr>
                <w:sz w:val="18"/>
                <w:szCs w:val="18"/>
                <w:lang w:val="en-GB"/>
              </w:rPr>
              <w:br/>
            </w:r>
            <w:r w:rsidRPr="00A469EA">
              <w:rPr>
                <w:sz w:val="18"/>
                <w:szCs w:val="18"/>
                <w:lang w:val="en-GB"/>
              </w:rPr>
              <w:lastRenderedPageBreak/>
              <w:t>UNDP Bureau for Crisis Prevention and Recovery</w:t>
            </w:r>
          </w:p>
          <w:p w14:paraId="1EC88B08" w14:textId="1DFBB970" w:rsidR="00E10301" w:rsidRPr="00A469EA" w:rsidRDefault="00E10301" w:rsidP="00E10301">
            <w:pPr>
              <w:rPr>
                <w:sz w:val="18"/>
                <w:szCs w:val="18"/>
                <w:lang w:val="en-GB"/>
              </w:rPr>
            </w:pPr>
          </w:p>
        </w:tc>
        <w:tc>
          <w:tcPr>
            <w:tcW w:w="1980" w:type="dxa"/>
            <w:vMerge w:val="restart"/>
            <w:tcBorders>
              <w:bottom w:val="nil"/>
            </w:tcBorders>
            <w:shd w:val="clear" w:color="auto" w:fill="auto"/>
            <w:vAlign w:val="center"/>
            <w:hideMark/>
          </w:tcPr>
          <w:p w14:paraId="0E8A79B1" w14:textId="4AB4D5F9" w:rsidR="006C589E" w:rsidRPr="00A469EA" w:rsidRDefault="00B35DF0" w:rsidP="00B35DF0">
            <w:pPr>
              <w:rPr>
                <w:b/>
                <w:bCs/>
                <w:sz w:val="18"/>
                <w:szCs w:val="18"/>
                <w:lang w:val="en-GB"/>
              </w:rPr>
            </w:pPr>
            <w:r w:rsidRPr="00A469EA">
              <w:rPr>
                <w:b/>
                <w:bCs/>
                <w:sz w:val="18"/>
                <w:szCs w:val="18"/>
                <w:lang w:val="en-GB"/>
              </w:rPr>
              <w:lastRenderedPageBreak/>
              <w:t>Regular</w:t>
            </w:r>
            <w:r w:rsidR="006C589E" w:rsidRPr="00A469EA">
              <w:rPr>
                <w:b/>
                <w:bCs/>
                <w:sz w:val="18"/>
                <w:szCs w:val="18"/>
                <w:lang w:val="en-GB"/>
              </w:rPr>
              <w:t>:</w:t>
            </w:r>
            <w:r w:rsidR="007E307F" w:rsidRPr="00A469EA">
              <w:rPr>
                <w:b/>
                <w:bCs/>
                <w:color w:val="000000"/>
                <w:lang w:val="en-GB"/>
              </w:rPr>
              <w:t xml:space="preserve"> </w:t>
            </w:r>
            <w:r w:rsidR="00236B0E" w:rsidRPr="00A469EA">
              <w:rPr>
                <w:b/>
                <w:bCs/>
                <w:color w:val="000000"/>
                <w:sz w:val="18"/>
                <w:szCs w:val="18"/>
                <w:lang w:val="en-GB"/>
              </w:rPr>
              <w:t>4,860</w:t>
            </w:r>
          </w:p>
          <w:p w14:paraId="6B78AFBE" w14:textId="04959F98" w:rsidR="006C589E" w:rsidRPr="00A469EA" w:rsidRDefault="00B35DF0" w:rsidP="0064186B">
            <w:pPr>
              <w:rPr>
                <w:b/>
                <w:bCs/>
                <w:sz w:val="18"/>
                <w:szCs w:val="18"/>
                <w:lang w:val="en-GB"/>
              </w:rPr>
            </w:pPr>
            <w:r w:rsidRPr="00A469EA">
              <w:rPr>
                <w:b/>
                <w:bCs/>
                <w:sz w:val="18"/>
                <w:szCs w:val="18"/>
                <w:lang w:val="en-GB"/>
              </w:rPr>
              <w:t>Other:</w:t>
            </w:r>
            <w:r w:rsidR="006C589E" w:rsidRPr="00A469EA">
              <w:rPr>
                <w:b/>
                <w:bCs/>
                <w:sz w:val="18"/>
                <w:szCs w:val="18"/>
                <w:lang w:val="en-GB"/>
              </w:rPr>
              <w:t xml:space="preserve"> 1</w:t>
            </w:r>
            <w:r w:rsidR="0064186B" w:rsidRPr="00A469EA">
              <w:rPr>
                <w:b/>
                <w:bCs/>
                <w:sz w:val="18"/>
                <w:szCs w:val="18"/>
                <w:lang w:val="en-GB"/>
              </w:rPr>
              <w:t>41,3</w:t>
            </w:r>
            <w:r w:rsidR="006C589E" w:rsidRPr="00A469EA">
              <w:rPr>
                <w:b/>
                <w:bCs/>
                <w:sz w:val="18"/>
                <w:szCs w:val="18"/>
                <w:lang w:val="en-GB"/>
              </w:rPr>
              <w:t>00</w:t>
            </w:r>
          </w:p>
          <w:p w14:paraId="115C757F" w14:textId="6ADE7486" w:rsidR="0064186B" w:rsidRPr="00A469EA" w:rsidRDefault="0064186B" w:rsidP="005B4F1C">
            <w:pPr>
              <w:rPr>
                <w:sz w:val="18"/>
                <w:szCs w:val="18"/>
                <w:lang w:val="en-GB"/>
              </w:rPr>
            </w:pPr>
            <w:r w:rsidRPr="00A469EA">
              <w:rPr>
                <w:b/>
                <w:bCs/>
                <w:sz w:val="18"/>
                <w:szCs w:val="18"/>
                <w:lang w:val="en-GB"/>
              </w:rPr>
              <w:t xml:space="preserve"> </w:t>
            </w:r>
            <w:r w:rsidR="005B4F1C" w:rsidRPr="00A469EA">
              <w:rPr>
                <w:b/>
                <w:bCs/>
                <w:sz w:val="18"/>
                <w:szCs w:val="18"/>
                <w:lang w:val="en-GB"/>
              </w:rPr>
              <w:t xml:space="preserve">Total: </w:t>
            </w:r>
            <w:r w:rsidRPr="00A469EA">
              <w:rPr>
                <w:b/>
                <w:bCs/>
                <w:sz w:val="18"/>
                <w:szCs w:val="18"/>
                <w:lang w:val="en-GB"/>
              </w:rPr>
              <w:t>1</w:t>
            </w:r>
            <w:r w:rsidR="00236B0E" w:rsidRPr="00A469EA">
              <w:rPr>
                <w:b/>
                <w:bCs/>
                <w:sz w:val="18"/>
                <w:szCs w:val="18"/>
                <w:lang w:val="en-GB"/>
              </w:rPr>
              <w:t>46</w:t>
            </w:r>
            <w:r w:rsidRPr="00A469EA">
              <w:rPr>
                <w:b/>
                <w:bCs/>
                <w:sz w:val="18"/>
                <w:szCs w:val="18"/>
                <w:lang w:val="en-GB"/>
              </w:rPr>
              <w:t>,1</w:t>
            </w:r>
            <w:r w:rsidR="00236B0E" w:rsidRPr="00A469EA">
              <w:rPr>
                <w:b/>
                <w:bCs/>
                <w:sz w:val="18"/>
                <w:szCs w:val="18"/>
                <w:lang w:val="en-GB"/>
              </w:rPr>
              <w:t>60</w:t>
            </w:r>
          </w:p>
        </w:tc>
      </w:tr>
      <w:tr w:rsidR="00E82198" w:rsidRPr="00A469EA" w14:paraId="5FEEB1EA" w14:textId="77777777" w:rsidTr="00257F40">
        <w:trPr>
          <w:trHeight w:val="230"/>
        </w:trPr>
        <w:tc>
          <w:tcPr>
            <w:tcW w:w="2358" w:type="dxa"/>
            <w:vMerge/>
            <w:shd w:val="clear" w:color="auto" w:fill="auto"/>
            <w:vAlign w:val="center"/>
            <w:hideMark/>
          </w:tcPr>
          <w:p w14:paraId="5DC47DE8" w14:textId="77777777" w:rsidR="006C589E" w:rsidRPr="00A469EA" w:rsidRDefault="006C589E" w:rsidP="00B75A66">
            <w:pPr>
              <w:rPr>
                <w:sz w:val="18"/>
                <w:szCs w:val="18"/>
                <w:lang w:val="en-GB"/>
              </w:rPr>
            </w:pPr>
          </w:p>
        </w:tc>
        <w:tc>
          <w:tcPr>
            <w:tcW w:w="1710" w:type="dxa"/>
            <w:vMerge/>
            <w:shd w:val="clear" w:color="auto" w:fill="auto"/>
            <w:vAlign w:val="center"/>
            <w:hideMark/>
          </w:tcPr>
          <w:p w14:paraId="561F2457" w14:textId="77777777" w:rsidR="006C589E" w:rsidRPr="00A469EA" w:rsidRDefault="006C589E" w:rsidP="00B75A66">
            <w:pPr>
              <w:rPr>
                <w:i/>
                <w:iCs/>
                <w:sz w:val="18"/>
                <w:szCs w:val="18"/>
                <w:lang w:val="en-GB"/>
              </w:rPr>
            </w:pPr>
          </w:p>
        </w:tc>
        <w:tc>
          <w:tcPr>
            <w:tcW w:w="5130" w:type="dxa"/>
            <w:vMerge/>
            <w:shd w:val="clear" w:color="auto" w:fill="auto"/>
            <w:vAlign w:val="center"/>
            <w:hideMark/>
          </w:tcPr>
          <w:p w14:paraId="03C20F80" w14:textId="77777777" w:rsidR="006C589E" w:rsidRPr="00A469EA" w:rsidRDefault="006C589E" w:rsidP="00B75A66">
            <w:pPr>
              <w:rPr>
                <w:i/>
                <w:iCs/>
                <w:sz w:val="18"/>
                <w:szCs w:val="18"/>
                <w:lang w:val="en-GB"/>
              </w:rPr>
            </w:pPr>
          </w:p>
        </w:tc>
        <w:tc>
          <w:tcPr>
            <w:tcW w:w="1980" w:type="dxa"/>
            <w:vMerge/>
            <w:shd w:val="clear" w:color="auto" w:fill="auto"/>
            <w:vAlign w:val="center"/>
            <w:hideMark/>
          </w:tcPr>
          <w:p w14:paraId="46D95892" w14:textId="77777777" w:rsidR="006C589E" w:rsidRPr="00A469EA" w:rsidRDefault="006C589E" w:rsidP="00B75A66">
            <w:pPr>
              <w:rPr>
                <w:i/>
                <w:iCs/>
                <w:sz w:val="18"/>
                <w:szCs w:val="18"/>
                <w:lang w:val="en-GB"/>
              </w:rPr>
            </w:pPr>
          </w:p>
        </w:tc>
        <w:tc>
          <w:tcPr>
            <w:tcW w:w="1980" w:type="dxa"/>
            <w:vMerge/>
            <w:tcBorders>
              <w:bottom w:val="nil"/>
            </w:tcBorders>
            <w:shd w:val="clear" w:color="auto" w:fill="auto"/>
            <w:vAlign w:val="center"/>
            <w:hideMark/>
          </w:tcPr>
          <w:p w14:paraId="1B27C649" w14:textId="77777777" w:rsidR="006C589E" w:rsidRPr="00A469EA" w:rsidRDefault="006C589E" w:rsidP="00B75A66">
            <w:pPr>
              <w:rPr>
                <w:b/>
                <w:bCs/>
                <w:sz w:val="18"/>
                <w:szCs w:val="18"/>
                <w:lang w:val="en-GB"/>
              </w:rPr>
            </w:pPr>
          </w:p>
        </w:tc>
      </w:tr>
      <w:tr w:rsidR="00E82198" w:rsidRPr="00A469EA" w14:paraId="3EC13BF2" w14:textId="77777777" w:rsidTr="00257F40">
        <w:tc>
          <w:tcPr>
            <w:tcW w:w="2358" w:type="dxa"/>
            <w:vMerge/>
            <w:shd w:val="clear" w:color="auto" w:fill="auto"/>
            <w:vAlign w:val="center"/>
            <w:hideMark/>
          </w:tcPr>
          <w:p w14:paraId="632C3E37" w14:textId="77777777" w:rsidR="006C589E" w:rsidRPr="00A469EA" w:rsidRDefault="006C589E" w:rsidP="00B75A66">
            <w:pPr>
              <w:rPr>
                <w:sz w:val="18"/>
                <w:szCs w:val="18"/>
                <w:lang w:val="en-GB"/>
              </w:rPr>
            </w:pPr>
          </w:p>
        </w:tc>
        <w:tc>
          <w:tcPr>
            <w:tcW w:w="1710" w:type="dxa"/>
            <w:vMerge/>
            <w:shd w:val="clear" w:color="auto" w:fill="auto"/>
            <w:vAlign w:val="center"/>
            <w:hideMark/>
          </w:tcPr>
          <w:p w14:paraId="335BA683" w14:textId="77777777" w:rsidR="006C589E" w:rsidRPr="00A469EA" w:rsidRDefault="006C589E" w:rsidP="00B75A66">
            <w:pPr>
              <w:rPr>
                <w:i/>
                <w:iCs/>
                <w:sz w:val="18"/>
                <w:szCs w:val="18"/>
                <w:lang w:val="en-GB"/>
              </w:rPr>
            </w:pPr>
          </w:p>
        </w:tc>
        <w:tc>
          <w:tcPr>
            <w:tcW w:w="5130" w:type="dxa"/>
            <w:vMerge/>
            <w:shd w:val="clear" w:color="auto" w:fill="auto"/>
            <w:vAlign w:val="center"/>
            <w:hideMark/>
          </w:tcPr>
          <w:p w14:paraId="5E0FC3F5" w14:textId="77777777" w:rsidR="006C589E" w:rsidRPr="00A469EA" w:rsidRDefault="006C589E" w:rsidP="00B75A66">
            <w:pPr>
              <w:rPr>
                <w:i/>
                <w:iCs/>
                <w:sz w:val="18"/>
                <w:szCs w:val="18"/>
                <w:lang w:val="en-GB"/>
              </w:rPr>
            </w:pPr>
          </w:p>
        </w:tc>
        <w:tc>
          <w:tcPr>
            <w:tcW w:w="1980" w:type="dxa"/>
            <w:vMerge/>
            <w:shd w:val="clear" w:color="auto" w:fill="auto"/>
            <w:vAlign w:val="center"/>
            <w:hideMark/>
          </w:tcPr>
          <w:p w14:paraId="1DDD7C13" w14:textId="77777777" w:rsidR="006C589E" w:rsidRPr="00A469EA" w:rsidRDefault="006C589E" w:rsidP="00B75A66">
            <w:pPr>
              <w:rPr>
                <w:i/>
                <w:iCs/>
                <w:sz w:val="18"/>
                <w:szCs w:val="18"/>
                <w:lang w:val="en-GB"/>
              </w:rPr>
            </w:pPr>
          </w:p>
        </w:tc>
        <w:tc>
          <w:tcPr>
            <w:tcW w:w="1980" w:type="dxa"/>
            <w:tcBorders>
              <w:top w:val="nil"/>
            </w:tcBorders>
            <w:shd w:val="clear" w:color="auto" w:fill="auto"/>
            <w:vAlign w:val="center"/>
            <w:hideMark/>
          </w:tcPr>
          <w:p w14:paraId="54EDB839" w14:textId="01E0D684" w:rsidR="006C589E" w:rsidRPr="00A469EA" w:rsidRDefault="006C589E" w:rsidP="00B75A66">
            <w:pPr>
              <w:rPr>
                <w:b/>
                <w:bCs/>
                <w:sz w:val="18"/>
                <w:szCs w:val="18"/>
                <w:lang w:val="en-GB"/>
              </w:rPr>
            </w:pPr>
          </w:p>
        </w:tc>
      </w:tr>
      <w:tr w:rsidR="00E82198" w:rsidRPr="00A469EA" w14:paraId="49A9338E" w14:textId="77777777" w:rsidTr="00FE1FE0">
        <w:tc>
          <w:tcPr>
            <w:tcW w:w="2358" w:type="dxa"/>
            <w:vMerge/>
            <w:shd w:val="clear" w:color="auto" w:fill="auto"/>
            <w:vAlign w:val="center"/>
            <w:hideMark/>
          </w:tcPr>
          <w:p w14:paraId="16259992" w14:textId="77777777" w:rsidR="006C589E" w:rsidRPr="00A469EA" w:rsidRDefault="006C589E" w:rsidP="00B75A66">
            <w:pPr>
              <w:rPr>
                <w:sz w:val="18"/>
                <w:szCs w:val="18"/>
                <w:lang w:val="en-GB"/>
              </w:rPr>
            </w:pPr>
          </w:p>
        </w:tc>
        <w:tc>
          <w:tcPr>
            <w:tcW w:w="1710" w:type="dxa"/>
            <w:vMerge/>
            <w:shd w:val="clear" w:color="auto" w:fill="auto"/>
            <w:vAlign w:val="center"/>
            <w:hideMark/>
          </w:tcPr>
          <w:p w14:paraId="3B8123AC" w14:textId="77777777" w:rsidR="006C589E" w:rsidRPr="00A469EA" w:rsidRDefault="006C589E" w:rsidP="00B75A66">
            <w:pPr>
              <w:rPr>
                <w:i/>
                <w:iCs/>
                <w:sz w:val="18"/>
                <w:szCs w:val="18"/>
                <w:lang w:val="en-GB"/>
              </w:rPr>
            </w:pPr>
          </w:p>
        </w:tc>
        <w:tc>
          <w:tcPr>
            <w:tcW w:w="5130" w:type="dxa"/>
            <w:shd w:val="clear" w:color="auto" w:fill="auto"/>
            <w:vAlign w:val="center"/>
            <w:hideMark/>
          </w:tcPr>
          <w:p w14:paraId="644248B6" w14:textId="478B56E8" w:rsidR="006C589E" w:rsidRPr="00A469EA" w:rsidRDefault="006C589E" w:rsidP="00B75A66">
            <w:pPr>
              <w:rPr>
                <w:sz w:val="18"/>
                <w:szCs w:val="18"/>
                <w:lang w:val="en-GB"/>
              </w:rPr>
            </w:pPr>
            <w:r w:rsidRPr="00A469EA">
              <w:rPr>
                <w:b/>
                <w:bCs/>
                <w:sz w:val="18"/>
                <w:szCs w:val="18"/>
                <w:lang w:val="en-GB"/>
              </w:rPr>
              <w:t xml:space="preserve">Output 6.3: </w:t>
            </w:r>
            <w:r w:rsidRPr="00A469EA">
              <w:rPr>
                <w:sz w:val="18"/>
                <w:szCs w:val="18"/>
                <w:lang w:val="en-GB"/>
              </w:rPr>
              <w:t>Legal and regulatory frameworks and policies are in place, and institutions capacitated for the conservation, sustainable use, inclusive access and benefit-sharing of natural resources, biodiversity, chemicals, waste management and ecosystems.</w:t>
            </w:r>
          </w:p>
          <w:p w14:paraId="5DEC560B" w14:textId="77777777" w:rsidR="006C589E" w:rsidRPr="00A469EA" w:rsidRDefault="006C589E" w:rsidP="00B75A66">
            <w:pPr>
              <w:rPr>
                <w:i/>
                <w:iCs/>
                <w:sz w:val="18"/>
                <w:szCs w:val="18"/>
                <w:lang w:val="en-GB"/>
              </w:rPr>
            </w:pPr>
          </w:p>
          <w:p w14:paraId="4EADBB5D" w14:textId="0F278B79" w:rsidR="006C589E" w:rsidRPr="00A469EA" w:rsidRDefault="006C589E" w:rsidP="00B75A66">
            <w:pPr>
              <w:rPr>
                <w:i/>
                <w:iCs/>
                <w:sz w:val="18"/>
                <w:szCs w:val="18"/>
                <w:lang w:val="en-GB"/>
              </w:rPr>
            </w:pPr>
            <w:r w:rsidRPr="00A469EA">
              <w:rPr>
                <w:b/>
                <w:bCs/>
                <w:sz w:val="18"/>
                <w:szCs w:val="18"/>
                <w:lang w:val="en-GB"/>
              </w:rPr>
              <w:t xml:space="preserve">CPD </w:t>
            </w:r>
            <w:r w:rsidR="00632CA9" w:rsidRPr="00A469EA">
              <w:rPr>
                <w:b/>
                <w:bCs/>
                <w:sz w:val="18"/>
                <w:szCs w:val="18"/>
                <w:lang w:val="en-GB"/>
              </w:rPr>
              <w:t>o</w:t>
            </w:r>
            <w:r w:rsidRPr="00A469EA">
              <w:rPr>
                <w:b/>
                <w:bCs/>
                <w:sz w:val="18"/>
                <w:szCs w:val="18"/>
                <w:lang w:val="en-GB"/>
              </w:rPr>
              <w:t xml:space="preserve">utput </w:t>
            </w:r>
            <w:r w:rsidR="00632CA9" w:rsidRPr="00A469EA">
              <w:rPr>
                <w:b/>
                <w:bCs/>
                <w:sz w:val="18"/>
                <w:szCs w:val="18"/>
                <w:lang w:val="en-GB"/>
              </w:rPr>
              <w:t>i</w:t>
            </w:r>
            <w:r w:rsidRPr="00A469EA">
              <w:rPr>
                <w:b/>
                <w:bCs/>
                <w:sz w:val="18"/>
                <w:szCs w:val="18"/>
                <w:lang w:val="en-GB"/>
              </w:rPr>
              <w:t xml:space="preserve">ndicator 6.3.1 (IRRF </w:t>
            </w:r>
            <w:r w:rsidR="00632CA9" w:rsidRPr="00A469EA">
              <w:rPr>
                <w:b/>
                <w:bCs/>
                <w:sz w:val="18"/>
                <w:szCs w:val="18"/>
                <w:lang w:val="en-GB"/>
              </w:rPr>
              <w:t>i</w:t>
            </w:r>
            <w:r w:rsidRPr="00A469EA">
              <w:rPr>
                <w:b/>
                <w:bCs/>
                <w:sz w:val="18"/>
                <w:szCs w:val="18"/>
                <w:lang w:val="en-GB"/>
              </w:rPr>
              <w:t>ndicator 2.5.4)</w:t>
            </w:r>
            <w:r w:rsidRPr="00A469EA">
              <w:rPr>
                <w:iCs/>
                <w:sz w:val="18"/>
                <w:szCs w:val="18"/>
                <w:lang w:val="en-GB"/>
              </w:rPr>
              <w:t>:</w:t>
            </w:r>
            <w:r w:rsidRPr="00A469EA">
              <w:rPr>
                <w:i/>
                <w:iCs/>
                <w:sz w:val="18"/>
                <w:szCs w:val="18"/>
                <w:lang w:val="en-GB"/>
              </w:rPr>
              <w:t xml:space="preserve"> </w:t>
            </w:r>
            <w:r w:rsidRPr="00A469EA">
              <w:rPr>
                <w:sz w:val="18"/>
                <w:szCs w:val="18"/>
                <w:lang w:val="en-GB"/>
              </w:rPr>
              <w:t>Extent to which national/</w:t>
            </w:r>
            <w:r w:rsidR="00A04270" w:rsidRPr="00A469EA">
              <w:rPr>
                <w:sz w:val="18"/>
                <w:szCs w:val="18"/>
                <w:lang w:val="en-GB"/>
              </w:rPr>
              <w:t>provincial</w:t>
            </w:r>
            <w:r w:rsidRPr="00A469EA">
              <w:rPr>
                <w:sz w:val="18"/>
                <w:szCs w:val="18"/>
                <w:lang w:val="en-GB"/>
              </w:rPr>
              <w:t xml:space="preserve"> planning and budgeting mechanisms for conservation, sustainable use, inclusive access and benefit</w:t>
            </w:r>
            <w:r w:rsidR="00632CA9" w:rsidRPr="00A469EA">
              <w:rPr>
                <w:sz w:val="18"/>
                <w:szCs w:val="18"/>
                <w:lang w:val="en-GB"/>
              </w:rPr>
              <w:t>-</w:t>
            </w:r>
            <w:r w:rsidRPr="00A469EA">
              <w:rPr>
                <w:sz w:val="18"/>
                <w:szCs w:val="18"/>
                <w:lang w:val="en-GB"/>
              </w:rPr>
              <w:t xml:space="preserve">sharing of natural resources, biodiversity and ecosystems exist and </w:t>
            </w:r>
            <w:r w:rsidR="00632CA9" w:rsidRPr="00A469EA">
              <w:rPr>
                <w:sz w:val="18"/>
                <w:szCs w:val="18"/>
                <w:lang w:val="en-GB"/>
              </w:rPr>
              <w:t xml:space="preserve">are </w:t>
            </w:r>
            <w:r w:rsidRPr="00A469EA">
              <w:rPr>
                <w:sz w:val="18"/>
                <w:szCs w:val="18"/>
                <w:lang w:val="en-GB"/>
              </w:rPr>
              <w:t>implemented</w:t>
            </w:r>
            <w:r w:rsidR="00632CA9" w:rsidRPr="00A469EA">
              <w:rPr>
                <w:sz w:val="18"/>
                <w:szCs w:val="18"/>
                <w:lang w:val="en-GB"/>
              </w:rPr>
              <w:t>,</w:t>
            </w:r>
            <w:r w:rsidRPr="00A469EA">
              <w:rPr>
                <w:sz w:val="18"/>
                <w:szCs w:val="18"/>
                <w:lang w:val="en-GB"/>
              </w:rPr>
              <w:t xml:space="preserve"> integrating </w:t>
            </w:r>
            <w:r w:rsidR="00632CA9" w:rsidRPr="00A469EA">
              <w:rPr>
                <w:sz w:val="18"/>
                <w:szCs w:val="18"/>
                <w:lang w:val="en-GB"/>
              </w:rPr>
              <w:t>g</w:t>
            </w:r>
            <w:r w:rsidRPr="00A469EA">
              <w:rPr>
                <w:sz w:val="18"/>
                <w:szCs w:val="18"/>
                <w:lang w:val="en-GB"/>
              </w:rPr>
              <w:t>ender equality</w:t>
            </w:r>
            <w:r w:rsidRPr="00A469EA">
              <w:rPr>
                <w:i/>
                <w:iCs/>
                <w:sz w:val="18"/>
                <w:szCs w:val="18"/>
                <w:lang w:val="en-GB"/>
              </w:rPr>
              <w:t>.</w:t>
            </w:r>
          </w:p>
          <w:p w14:paraId="79F9B0AE" w14:textId="59DEA243" w:rsidR="006C589E" w:rsidRPr="00A469EA" w:rsidRDefault="006C589E" w:rsidP="00B75A66">
            <w:pPr>
              <w:rPr>
                <w:b/>
                <w:bCs/>
                <w:i/>
                <w:iCs/>
                <w:sz w:val="18"/>
                <w:szCs w:val="18"/>
                <w:lang w:val="en-GB"/>
              </w:rPr>
            </w:pPr>
            <w:r w:rsidRPr="00A469EA">
              <w:rPr>
                <w:b/>
                <w:bCs/>
                <w:sz w:val="18"/>
                <w:szCs w:val="18"/>
                <w:lang w:val="en-GB"/>
              </w:rPr>
              <w:t xml:space="preserve">Baseline: </w:t>
            </w:r>
            <w:r w:rsidRPr="00A469EA">
              <w:rPr>
                <w:sz w:val="18"/>
                <w:szCs w:val="18"/>
                <w:lang w:val="en-GB"/>
              </w:rPr>
              <w:t>Scale: 1. Not adequately</w:t>
            </w:r>
            <w:r w:rsidR="00632CA9" w:rsidRPr="00A469EA">
              <w:rPr>
                <w:sz w:val="18"/>
                <w:szCs w:val="18"/>
                <w:lang w:val="en-GB"/>
              </w:rPr>
              <w:t>.</w:t>
            </w:r>
            <w:r w:rsidRPr="00A469EA">
              <w:rPr>
                <w:b/>
                <w:bCs/>
                <w:sz w:val="18"/>
                <w:szCs w:val="18"/>
                <w:lang w:val="en-GB"/>
              </w:rPr>
              <w:br/>
              <w:t xml:space="preserve">Target </w:t>
            </w:r>
            <w:r w:rsidRPr="00A469EA">
              <w:rPr>
                <w:sz w:val="18"/>
                <w:szCs w:val="18"/>
                <w:lang w:val="en-GB"/>
              </w:rPr>
              <w:t>(2022): Scale</w:t>
            </w:r>
            <w:r w:rsidR="00632CA9" w:rsidRPr="00A469EA">
              <w:rPr>
                <w:sz w:val="18"/>
                <w:szCs w:val="18"/>
                <w:lang w:val="en-GB"/>
              </w:rPr>
              <w:t>:</w:t>
            </w:r>
            <w:r w:rsidRPr="00A469EA">
              <w:rPr>
                <w:sz w:val="18"/>
                <w:szCs w:val="18"/>
                <w:lang w:val="en-GB"/>
              </w:rPr>
              <w:t xml:space="preserve"> 4. Largely</w:t>
            </w:r>
            <w:r w:rsidR="00632CA9" w:rsidRPr="00A469EA">
              <w:rPr>
                <w:sz w:val="18"/>
                <w:szCs w:val="18"/>
                <w:lang w:val="en-GB"/>
              </w:rPr>
              <w:t>.</w:t>
            </w:r>
          </w:p>
          <w:p w14:paraId="7AFBF181" w14:textId="77777777" w:rsidR="006C589E" w:rsidRPr="00A469EA" w:rsidRDefault="006C589E" w:rsidP="00B75A66">
            <w:pPr>
              <w:rPr>
                <w:sz w:val="18"/>
                <w:szCs w:val="18"/>
                <w:lang w:val="en-GB"/>
              </w:rPr>
            </w:pPr>
          </w:p>
          <w:p w14:paraId="1E91A14F" w14:textId="57B85AAF" w:rsidR="006C589E" w:rsidRPr="00A469EA" w:rsidRDefault="006C589E" w:rsidP="00B75A66">
            <w:pPr>
              <w:rPr>
                <w:sz w:val="18"/>
                <w:szCs w:val="18"/>
                <w:lang w:val="en-GB"/>
              </w:rPr>
            </w:pPr>
            <w:r w:rsidRPr="00A469EA">
              <w:rPr>
                <w:b/>
                <w:bCs/>
                <w:sz w:val="18"/>
                <w:szCs w:val="18"/>
                <w:lang w:val="en-GB"/>
              </w:rPr>
              <w:t xml:space="preserve">CPD </w:t>
            </w:r>
            <w:r w:rsidR="00632CA9" w:rsidRPr="00A469EA">
              <w:rPr>
                <w:b/>
                <w:bCs/>
                <w:sz w:val="18"/>
                <w:szCs w:val="18"/>
                <w:lang w:val="en-GB"/>
              </w:rPr>
              <w:t>o</w:t>
            </w:r>
            <w:r w:rsidRPr="00A469EA">
              <w:rPr>
                <w:b/>
                <w:bCs/>
                <w:sz w:val="18"/>
                <w:szCs w:val="18"/>
                <w:lang w:val="en-GB"/>
              </w:rPr>
              <w:t xml:space="preserve">utput </w:t>
            </w:r>
            <w:r w:rsidR="00632CA9" w:rsidRPr="00A469EA">
              <w:rPr>
                <w:b/>
                <w:bCs/>
                <w:sz w:val="18"/>
                <w:szCs w:val="18"/>
                <w:lang w:val="en-GB"/>
              </w:rPr>
              <w:t>i</w:t>
            </w:r>
            <w:r w:rsidRPr="00A469EA">
              <w:rPr>
                <w:b/>
                <w:bCs/>
                <w:sz w:val="18"/>
                <w:szCs w:val="18"/>
                <w:lang w:val="en-GB"/>
              </w:rPr>
              <w:t>ndicator 6.3.2 (IRRF 5.3.3)</w:t>
            </w:r>
            <w:r w:rsidRPr="00A469EA">
              <w:rPr>
                <w:iCs/>
                <w:sz w:val="18"/>
                <w:szCs w:val="18"/>
                <w:lang w:val="en-GB"/>
              </w:rPr>
              <w:t>:</w:t>
            </w:r>
            <w:r w:rsidRPr="00A469EA">
              <w:rPr>
                <w:i/>
                <w:iCs/>
                <w:sz w:val="18"/>
                <w:szCs w:val="18"/>
                <w:lang w:val="en-GB"/>
              </w:rPr>
              <w:t xml:space="preserve"> </w:t>
            </w:r>
            <w:r w:rsidRPr="00A469EA">
              <w:rPr>
                <w:sz w:val="18"/>
                <w:szCs w:val="18"/>
                <w:lang w:val="en-GB"/>
              </w:rPr>
              <w:t>Extent to which disaster and climate</w:t>
            </w:r>
            <w:r w:rsidR="00632CA9" w:rsidRPr="00A469EA">
              <w:rPr>
                <w:sz w:val="18"/>
                <w:szCs w:val="18"/>
                <w:lang w:val="en-GB"/>
              </w:rPr>
              <w:t>-</w:t>
            </w:r>
            <w:r w:rsidRPr="00A469EA">
              <w:rPr>
                <w:sz w:val="18"/>
                <w:szCs w:val="18"/>
                <w:lang w:val="en-GB"/>
              </w:rPr>
              <w:t xml:space="preserve">risk management plans and implementation measures at national and </w:t>
            </w:r>
            <w:r w:rsidR="00A04270" w:rsidRPr="00A469EA">
              <w:rPr>
                <w:sz w:val="18"/>
                <w:szCs w:val="18"/>
                <w:lang w:val="en-GB"/>
              </w:rPr>
              <w:t>provincial</w:t>
            </w:r>
            <w:r w:rsidRPr="00A469EA">
              <w:rPr>
                <w:sz w:val="18"/>
                <w:szCs w:val="18"/>
                <w:lang w:val="en-GB"/>
              </w:rPr>
              <w:t xml:space="preserve"> level</w:t>
            </w:r>
            <w:r w:rsidR="00632CA9" w:rsidRPr="00A469EA">
              <w:rPr>
                <w:sz w:val="18"/>
                <w:szCs w:val="18"/>
                <w:lang w:val="en-GB"/>
              </w:rPr>
              <w:t>s</w:t>
            </w:r>
            <w:r w:rsidRPr="00A469EA">
              <w:rPr>
                <w:sz w:val="18"/>
                <w:szCs w:val="18"/>
                <w:lang w:val="en-GB"/>
              </w:rPr>
              <w:t xml:space="preserve"> are </w:t>
            </w:r>
            <w:r w:rsidR="00236B0E" w:rsidRPr="00A469EA">
              <w:rPr>
                <w:sz w:val="18"/>
                <w:szCs w:val="18"/>
                <w:lang w:val="en-GB"/>
              </w:rPr>
              <w:t>inclusive and effective</w:t>
            </w:r>
            <w:r w:rsidRPr="00A469EA">
              <w:rPr>
                <w:sz w:val="18"/>
                <w:szCs w:val="18"/>
                <w:lang w:val="en-GB"/>
              </w:rPr>
              <w:t xml:space="preserve"> (e.g.</w:t>
            </w:r>
            <w:r w:rsidR="00632CA9" w:rsidRPr="00A469EA">
              <w:rPr>
                <w:sz w:val="18"/>
                <w:szCs w:val="18"/>
                <w:lang w:val="en-GB"/>
              </w:rPr>
              <w:t>,</w:t>
            </w:r>
            <w:r w:rsidRPr="00A469EA">
              <w:rPr>
                <w:sz w:val="18"/>
                <w:szCs w:val="18"/>
                <w:lang w:val="en-GB"/>
              </w:rPr>
              <w:t xml:space="preserve"> includ</w:t>
            </w:r>
            <w:r w:rsidR="001476E5">
              <w:rPr>
                <w:sz w:val="18"/>
                <w:szCs w:val="18"/>
                <w:lang w:val="en-GB"/>
              </w:rPr>
              <w:t>ing</w:t>
            </w:r>
            <w:r w:rsidRPr="00A469EA">
              <w:rPr>
                <w:sz w:val="18"/>
                <w:szCs w:val="18"/>
                <w:lang w:val="en-GB"/>
              </w:rPr>
              <w:t xml:space="preserve"> the collection of disaggregated data, gender analysis and targeted actions).</w:t>
            </w:r>
            <w:r w:rsidRPr="00A469EA">
              <w:rPr>
                <w:sz w:val="18"/>
                <w:szCs w:val="18"/>
                <w:lang w:val="en-GB"/>
              </w:rPr>
              <w:br/>
            </w:r>
            <w:r w:rsidRPr="00A469EA">
              <w:rPr>
                <w:b/>
                <w:bCs/>
                <w:sz w:val="18"/>
                <w:szCs w:val="18"/>
                <w:lang w:val="en-GB"/>
              </w:rPr>
              <w:t xml:space="preserve">Baseline: </w:t>
            </w:r>
            <w:r w:rsidRPr="00A469EA">
              <w:rPr>
                <w:sz w:val="18"/>
                <w:szCs w:val="18"/>
                <w:lang w:val="en-GB"/>
              </w:rPr>
              <w:t>Scale: 1. Not adequately</w:t>
            </w:r>
            <w:r w:rsidR="00632CA9" w:rsidRPr="00A469EA">
              <w:rPr>
                <w:sz w:val="18"/>
                <w:szCs w:val="18"/>
                <w:lang w:val="en-GB"/>
              </w:rPr>
              <w:t>.</w:t>
            </w:r>
            <w:r w:rsidRPr="00A469EA">
              <w:rPr>
                <w:b/>
                <w:bCs/>
                <w:i/>
                <w:iCs/>
                <w:sz w:val="18"/>
                <w:szCs w:val="18"/>
                <w:lang w:val="en-GB"/>
              </w:rPr>
              <w:br/>
            </w:r>
            <w:r w:rsidRPr="00A469EA">
              <w:rPr>
                <w:b/>
                <w:bCs/>
                <w:sz w:val="18"/>
                <w:szCs w:val="18"/>
                <w:lang w:val="en-GB"/>
              </w:rPr>
              <w:t>Target</w:t>
            </w:r>
            <w:r w:rsidRPr="00A469EA">
              <w:rPr>
                <w:b/>
                <w:bCs/>
                <w:i/>
                <w:iCs/>
                <w:sz w:val="18"/>
                <w:szCs w:val="18"/>
                <w:lang w:val="en-GB"/>
              </w:rPr>
              <w:t xml:space="preserve"> </w:t>
            </w:r>
            <w:r w:rsidRPr="00A469EA">
              <w:rPr>
                <w:sz w:val="18"/>
                <w:szCs w:val="18"/>
                <w:lang w:val="en-GB"/>
              </w:rPr>
              <w:t>(2022): Scale 4. Largely</w:t>
            </w:r>
            <w:r w:rsidR="00632CA9" w:rsidRPr="00A469EA">
              <w:rPr>
                <w:sz w:val="18"/>
                <w:szCs w:val="18"/>
                <w:lang w:val="en-GB"/>
              </w:rPr>
              <w:t>.</w:t>
            </w:r>
          </w:p>
          <w:p w14:paraId="53E61C14" w14:textId="77777777" w:rsidR="006C589E" w:rsidRPr="00A469EA" w:rsidRDefault="006C589E" w:rsidP="00B75A66">
            <w:pPr>
              <w:rPr>
                <w:b/>
                <w:bCs/>
                <w:sz w:val="18"/>
                <w:szCs w:val="18"/>
                <w:u w:val="single"/>
                <w:lang w:val="en-GB"/>
              </w:rPr>
            </w:pPr>
          </w:p>
          <w:p w14:paraId="730CCFB3" w14:textId="567BBEF8" w:rsidR="006C589E" w:rsidRPr="00A469EA" w:rsidRDefault="006C589E" w:rsidP="00B75A66">
            <w:pPr>
              <w:rPr>
                <w:sz w:val="18"/>
                <w:szCs w:val="18"/>
                <w:lang w:val="en-GB"/>
              </w:rPr>
            </w:pPr>
            <w:r w:rsidRPr="00A469EA">
              <w:rPr>
                <w:b/>
                <w:bCs/>
                <w:sz w:val="18"/>
                <w:szCs w:val="18"/>
                <w:lang w:val="en-GB"/>
              </w:rPr>
              <w:t xml:space="preserve">CPD </w:t>
            </w:r>
            <w:r w:rsidR="00632CA9" w:rsidRPr="00A469EA">
              <w:rPr>
                <w:b/>
                <w:bCs/>
                <w:sz w:val="18"/>
                <w:szCs w:val="18"/>
                <w:lang w:val="en-GB"/>
              </w:rPr>
              <w:t>o</w:t>
            </w:r>
            <w:r w:rsidRPr="00A469EA">
              <w:rPr>
                <w:b/>
                <w:bCs/>
                <w:sz w:val="18"/>
                <w:szCs w:val="18"/>
                <w:lang w:val="en-GB"/>
              </w:rPr>
              <w:t xml:space="preserve">utput </w:t>
            </w:r>
            <w:r w:rsidR="00632CA9" w:rsidRPr="00A469EA">
              <w:rPr>
                <w:b/>
                <w:bCs/>
                <w:sz w:val="18"/>
                <w:szCs w:val="18"/>
                <w:lang w:val="en-GB"/>
              </w:rPr>
              <w:t>i</w:t>
            </w:r>
            <w:r w:rsidRPr="00A469EA">
              <w:rPr>
                <w:b/>
                <w:bCs/>
                <w:sz w:val="18"/>
                <w:szCs w:val="18"/>
                <w:lang w:val="en-GB"/>
              </w:rPr>
              <w:t>ndicator 6.4.2 (</w:t>
            </w:r>
            <w:r w:rsidR="001476E5">
              <w:rPr>
                <w:b/>
                <w:bCs/>
                <w:sz w:val="18"/>
                <w:szCs w:val="18"/>
                <w:lang w:val="en-GB"/>
              </w:rPr>
              <w:t>Goal</w:t>
            </w:r>
            <w:r w:rsidR="001476E5" w:rsidRPr="00A469EA">
              <w:rPr>
                <w:b/>
                <w:bCs/>
                <w:sz w:val="18"/>
                <w:szCs w:val="18"/>
                <w:lang w:val="en-GB"/>
              </w:rPr>
              <w:t xml:space="preserve"> </w:t>
            </w:r>
            <w:r w:rsidRPr="00A469EA">
              <w:rPr>
                <w:b/>
                <w:bCs/>
                <w:sz w:val="18"/>
                <w:szCs w:val="18"/>
                <w:lang w:val="en-GB"/>
              </w:rPr>
              <w:t>12.4.2</w:t>
            </w:r>
            <w:r w:rsidRPr="00A469EA">
              <w:rPr>
                <w:sz w:val="18"/>
                <w:szCs w:val="18"/>
                <w:lang w:val="en-GB"/>
              </w:rPr>
              <w:t>): Hazardous waste generated per capita and proportion of hazardous waste treated, by type of treatment</w:t>
            </w:r>
            <w:r w:rsidR="00632CA9" w:rsidRPr="00A469EA">
              <w:rPr>
                <w:sz w:val="18"/>
                <w:szCs w:val="18"/>
                <w:lang w:val="en-GB"/>
              </w:rPr>
              <w:t>.</w:t>
            </w:r>
          </w:p>
          <w:p w14:paraId="4D88F00D" w14:textId="4326A54F" w:rsidR="006C589E" w:rsidRPr="00A469EA" w:rsidRDefault="006C589E" w:rsidP="00B75A66">
            <w:pPr>
              <w:rPr>
                <w:sz w:val="18"/>
                <w:szCs w:val="18"/>
                <w:lang w:val="en-GB"/>
              </w:rPr>
            </w:pPr>
            <w:r w:rsidRPr="00A469EA">
              <w:rPr>
                <w:b/>
                <w:bCs/>
                <w:sz w:val="18"/>
                <w:szCs w:val="18"/>
                <w:lang w:val="en-GB"/>
              </w:rPr>
              <w:t xml:space="preserve">Proxy </w:t>
            </w:r>
            <w:r w:rsidR="00EC700C" w:rsidRPr="00A469EA">
              <w:rPr>
                <w:b/>
                <w:bCs/>
                <w:sz w:val="18"/>
                <w:szCs w:val="18"/>
                <w:lang w:val="en-GB"/>
              </w:rPr>
              <w:t>i</w:t>
            </w:r>
            <w:r w:rsidRPr="00A469EA">
              <w:rPr>
                <w:b/>
                <w:bCs/>
                <w:sz w:val="18"/>
                <w:szCs w:val="18"/>
                <w:lang w:val="en-GB"/>
              </w:rPr>
              <w:t>ndicator</w:t>
            </w:r>
            <w:r w:rsidRPr="00A469EA">
              <w:rPr>
                <w:sz w:val="18"/>
                <w:szCs w:val="18"/>
                <w:lang w:val="en-GB"/>
              </w:rPr>
              <w:t xml:space="preserve">: Extent to which hazardous chemicals and waste </w:t>
            </w:r>
            <w:r w:rsidR="00EC700C" w:rsidRPr="00A469EA">
              <w:rPr>
                <w:sz w:val="18"/>
                <w:szCs w:val="18"/>
                <w:lang w:val="en-GB"/>
              </w:rPr>
              <w:t xml:space="preserve">are </w:t>
            </w:r>
            <w:r w:rsidRPr="00A469EA">
              <w:rPr>
                <w:sz w:val="18"/>
                <w:szCs w:val="18"/>
                <w:lang w:val="en-GB"/>
              </w:rPr>
              <w:t>efficiently handled, disposed and reported</w:t>
            </w:r>
            <w:r w:rsidR="00EC700C" w:rsidRPr="00A469EA">
              <w:rPr>
                <w:sz w:val="18"/>
                <w:szCs w:val="18"/>
                <w:lang w:val="en-GB"/>
              </w:rPr>
              <w:t>.</w:t>
            </w:r>
          </w:p>
          <w:p w14:paraId="2BA1706F" w14:textId="59CACC77" w:rsidR="006C589E" w:rsidRPr="00A469EA" w:rsidRDefault="006C589E" w:rsidP="00B75A66">
            <w:pPr>
              <w:rPr>
                <w:b/>
                <w:bCs/>
                <w:i/>
                <w:iCs/>
                <w:sz w:val="18"/>
                <w:szCs w:val="18"/>
                <w:lang w:val="en-GB"/>
              </w:rPr>
            </w:pPr>
            <w:r w:rsidRPr="00A469EA">
              <w:rPr>
                <w:b/>
                <w:bCs/>
                <w:sz w:val="18"/>
                <w:szCs w:val="18"/>
                <w:lang w:val="en-GB"/>
              </w:rPr>
              <w:t>Baseline</w:t>
            </w:r>
            <w:r w:rsidRPr="00A469EA">
              <w:rPr>
                <w:bCs/>
                <w:iCs/>
                <w:sz w:val="18"/>
                <w:szCs w:val="18"/>
                <w:lang w:val="en-GB"/>
              </w:rPr>
              <w:t>:</w:t>
            </w:r>
            <w:r w:rsidRPr="00A469EA">
              <w:rPr>
                <w:b/>
                <w:bCs/>
                <w:i/>
                <w:iCs/>
                <w:sz w:val="18"/>
                <w:szCs w:val="18"/>
                <w:lang w:val="en-GB"/>
              </w:rPr>
              <w:t xml:space="preserve"> </w:t>
            </w:r>
            <w:r w:rsidRPr="00A469EA">
              <w:rPr>
                <w:sz w:val="18"/>
                <w:szCs w:val="18"/>
                <w:lang w:val="en-GB"/>
              </w:rPr>
              <w:t>Scale: 1. Not adequately</w:t>
            </w:r>
            <w:r w:rsidR="00EC700C" w:rsidRPr="00A469EA">
              <w:rPr>
                <w:sz w:val="18"/>
                <w:szCs w:val="18"/>
                <w:lang w:val="en-GB"/>
              </w:rPr>
              <w:t>.</w:t>
            </w:r>
            <w:r w:rsidRPr="00A469EA">
              <w:rPr>
                <w:sz w:val="18"/>
                <w:szCs w:val="18"/>
                <w:lang w:val="en-GB"/>
              </w:rPr>
              <w:br/>
            </w:r>
            <w:r w:rsidRPr="00A469EA">
              <w:rPr>
                <w:b/>
                <w:bCs/>
                <w:sz w:val="18"/>
                <w:szCs w:val="18"/>
                <w:lang w:val="en-GB"/>
              </w:rPr>
              <w:t>Target</w:t>
            </w:r>
            <w:r w:rsidR="00EC700C" w:rsidRPr="00A469EA">
              <w:rPr>
                <w:bCs/>
                <w:iCs/>
                <w:sz w:val="18"/>
                <w:szCs w:val="18"/>
                <w:lang w:val="en-GB"/>
              </w:rPr>
              <w:t>:</w:t>
            </w:r>
            <w:r w:rsidRPr="00A469EA">
              <w:rPr>
                <w:b/>
                <w:bCs/>
                <w:i/>
                <w:iCs/>
                <w:sz w:val="18"/>
                <w:szCs w:val="18"/>
                <w:lang w:val="en-GB"/>
              </w:rPr>
              <w:t xml:space="preserve"> </w:t>
            </w:r>
            <w:r w:rsidRPr="00A469EA">
              <w:rPr>
                <w:sz w:val="18"/>
                <w:szCs w:val="18"/>
                <w:lang w:val="en-GB"/>
              </w:rPr>
              <w:t>(2022): Scale 4. Largely</w:t>
            </w:r>
            <w:r w:rsidR="00EC700C" w:rsidRPr="00A469EA">
              <w:rPr>
                <w:sz w:val="18"/>
                <w:szCs w:val="18"/>
                <w:lang w:val="en-GB"/>
              </w:rPr>
              <w:t>.</w:t>
            </w:r>
          </w:p>
          <w:p w14:paraId="54E76CD8" w14:textId="77777777" w:rsidR="006C589E" w:rsidRPr="00A469EA" w:rsidRDefault="006C589E" w:rsidP="00B75A66">
            <w:pPr>
              <w:rPr>
                <w:sz w:val="18"/>
                <w:szCs w:val="18"/>
                <w:u w:val="single"/>
                <w:lang w:val="en-GB"/>
              </w:rPr>
            </w:pPr>
          </w:p>
          <w:p w14:paraId="4D4788B0" w14:textId="6E303C80" w:rsidR="006C589E" w:rsidRPr="00A469EA" w:rsidRDefault="006C589E" w:rsidP="00B75A66">
            <w:pPr>
              <w:rPr>
                <w:sz w:val="18"/>
                <w:szCs w:val="18"/>
                <w:lang w:val="en-GB"/>
              </w:rPr>
            </w:pPr>
            <w:r w:rsidRPr="00A469EA">
              <w:rPr>
                <w:b/>
                <w:bCs/>
                <w:sz w:val="18"/>
                <w:szCs w:val="18"/>
                <w:lang w:val="en-GB"/>
              </w:rPr>
              <w:t xml:space="preserve">Output 6.4: </w:t>
            </w:r>
            <w:r w:rsidRPr="00A469EA">
              <w:rPr>
                <w:sz w:val="18"/>
                <w:szCs w:val="18"/>
                <w:lang w:val="en-GB"/>
              </w:rPr>
              <w:t>In line with international conventions and national policy frameworks, implementation mechanisms are effectively introduced t</w:t>
            </w:r>
            <w:r w:rsidR="00571085">
              <w:rPr>
                <w:sz w:val="18"/>
                <w:szCs w:val="18"/>
                <w:lang w:val="en-GB"/>
              </w:rPr>
              <w:t xml:space="preserve">hat </w:t>
            </w:r>
            <w:r w:rsidRPr="00A469EA">
              <w:rPr>
                <w:sz w:val="18"/>
                <w:szCs w:val="18"/>
                <w:lang w:val="en-GB"/>
              </w:rPr>
              <w:t>promote sustainable use of natural resources, protect ecosystem and biodiversity and effectively manage and mitigate the threats to this process (chemicals, waste, CO2 emissions</w:t>
            </w:r>
            <w:r w:rsidR="00EC700C" w:rsidRPr="00A469EA">
              <w:rPr>
                <w:sz w:val="18"/>
                <w:szCs w:val="18"/>
                <w:lang w:val="en-GB"/>
              </w:rPr>
              <w:t xml:space="preserve">, </w:t>
            </w:r>
            <w:r w:rsidRPr="00A469EA">
              <w:rPr>
                <w:sz w:val="18"/>
                <w:szCs w:val="18"/>
                <w:lang w:val="en-GB"/>
              </w:rPr>
              <w:t>etc.)</w:t>
            </w:r>
            <w:r w:rsidR="00EC700C" w:rsidRPr="00A469EA">
              <w:rPr>
                <w:sz w:val="18"/>
                <w:szCs w:val="18"/>
                <w:lang w:val="en-GB"/>
              </w:rPr>
              <w:t>.</w:t>
            </w:r>
          </w:p>
          <w:p w14:paraId="4C53A932" w14:textId="77777777" w:rsidR="006C589E" w:rsidRPr="00A469EA" w:rsidRDefault="006C589E" w:rsidP="00B75A66">
            <w:pPr>
              <w:rPr>
                <w:b/>
                <w:bCs/>
                <w:sz w:val="18"/>
                <w:szCs w:val="18"/>
                <w:lang w:val="en-GB"/>
              </w:rPr>
            </w:pPr>
          </w:p>
          <w:p w14:paraId="3DA2704C" w14:textId="4E0F1A8F" w:rsidR="006C589E" w:rsidRPr="00A469EA" w:rsidRDefault="006C589E" w:rsidP="00B75A66">
            <w:pPr>
              <w:rPr>
                <w:iCs/>
                <w:sz w:val="18"/>
                <w:szCs w:val="18"/>
                <w:lang w:val="en-GB"/>
              </w:rPr>
            </w:pPr>
            <w:r w:rsidRPr="00A469EA">
              <w:rPr>
                <w:b/>
                <w:bCs/>
                <w:sz w:val="18"/>
                <w:szCs w:val="18"/>
                <w:lang w:val="en-GB"/>
              </w:rPr>
              <w:t xml:space="preserve">CPD </w:t>
            </w:r>
            <w:r w:rsidR="00EC700C" w:rsidRPr="00A469EA">
              <w:rPr>
                <w:b/>
                <w:bCs/>
                <w:sz w:val="18"/>
                <w:szCs w:val="18"/>
                <w:lang w:val="en-GB"/>
              </w:rPr>
              <w:t>o</w:t>
            </w:r>
            <w:r w:rsidRPr="00A469EA">
              <w:rPr>
                <w:b/>
                <w:bCs/>
                <w:sz w:val="18"/>
                <w:szCs w:val="18"/>
                <w:lang w:val="en-GB"/>
              </w:rPr>
              <w:t xml:space="preserve">utput </w:t>
            </w:r>
            <w:r w:rsidR="00EC700C" w:rsidRPr="00A469EA">
              <w:rPr>
                <w:b/>
                <w:bCs/>
                <w:sz w:val="18"/>
                <w:szCs w:val="18"/>
                <w:lang w:val="en-GB"/>
              </w:rPr>
              <w:t>i</w:t>
            </w:r>
            <w:r w:rsidRPr="00A469EA">
              <w:rPr>
                <w:b/>
                <w:bCs/>
                <w:sz w:val="18"/>
                <w:szCs w:val="18"/>
                <w:lang w:val="en-GB"/>
              </w:rPr>
              <w:t xml:space="preserve">ndicator 6.4.1 (IRRF </w:t>
            </w:r>
            <w:r w:rsidR="00EC700C" w:rsidRPr="00A469EA">
              <w:rPr>
                <w:b/>
                <w:bCs/>
                <w:sz w:val="18"/>
                <w:szCs w:val="18"/>
                <w:lang w:val="en-GB"/>
              </w:rPr>
              <w:t>i</w:t>
            </w:r>
            <w:r w:rsidRPr="00A469EA">
              <w:rPr>
                <w:b/>
                <w:bCs/>
                <w:sz w:val="18"/>
                <w:szCs w:val="18"/>
                <w:lang w:val="en-GB"/>
              </w:rPr>
              <w:t>ndicator 1.3.2)</w:t>
            </w:r>
            <w:r w:rsidRPr="00A469EA">
              <w:rPr>
                <w:iCs/>
                <w:sz w:val="18"/>
                <w:szCs w:val="18"/>
                <w:lang w:val="en-GB"/>
              </w:rPr>
              <w:t xml:space="preserve">: </w:t>
            </w:r>
            <w:r w:rsidRPr="00A469EA">
              <w:rPr>
                <w:sz w:val="18"/>
                <w:szCs w:val="18"/>
                <w:lang w:val="en-GB"/>
              </w:rPr>
              <w:t xml:space="preserve">Number of jobs and livelihoods created through management of natural resources, ecosystem services, chemicals and waste, disaggregated </w:t>
            </w:r>
            <w:r w:rsidRPr="00A469EA">
              <w:rPr>
                <w:sz w:val="18"/>
                <w:szCs w:val="18"/>
                <w:lang w:val="en-GB"/>
              </w:rPr>
              <w:lastRenderedPageBreak/>
              <w:t>by sex, and rural and urban</w:t>
            </w:r>
            <w:r w:rsidR="00EC700C" w:rsidRPr="00A469EA">
              <w:rPr>
                <w:sz w:val="18"/>
                <w:szCs w:val="18"/>
                <w:lang w:val="en-GB"/>
              </w:rPr>
              <w:t>.</w:t>
            </w:r>
            <w:r w:rsidRPr="00A469EA">
              <w:rPr>
                <w:sz w:val="18"/>
                <w:szCs w:val="18"/>
                <w:lang w:val="en-GB"/>
              </w:rPr>
              <w:br/>
            </w:r>
            <w:r w:rsidRPr="00A469EA">
              <w:rPr>
                <w:b/>
                <w:bCs/>
                <w:iCs/>
                <w:sz w:val="18"/>
                <w:szCs w:val="18"/>
                <w:lang w:val="en-GB"/>
              </w:rPr>
              <w:t xml:space="preserve">Baseline: </w:t>
            </w:r>
            <w:r w:rsidRPr="00A469EA">
              <w:rPr>
                <w:iCs/>
                <w:sz w:val="18"/>
                <w:szCs w:val="18"/>
                <w:lang w:val="en-GB"/>
              </w:rPr>
              <w:t>Jobs: 10,000 (Women = 5</w:t>
            </w:r>
            <w:r w:rsidR="00EC700C" w:rsidRPr="00A469EA">
              <w:rPr>
                <w:iCs/>
                <w:sz w:val="18"/>
                <w:szCs w:val="18"/>
                <w:lang w:val="en-GB"/>
              </w:rPr>
              <w:t>,</w:t>
            </w:r>
            <w:r w:rsidRPr="00A469EA">
              <w:rPr>
                <w:iCs/>
                <w:sz w:val="18"/>
                <w:szCs w:val="18"/>
                <w:lang w:val="en-GB"/>
              </w:rPr>
              <w:t>000; Men = 5</w:t>
            </w:r>
            <w:r w:rsidR="00EC700C" w:rsidRPr="00A469EA">
              <w:rPr>
                <w:iCs/>
                <w:sz w:val="18"/>
                <w:szCs w:val="18"/>
                <w:lang w:val="en-GB"/>
              </w:rPr>
              <w:t>,</w:t>
            </w:r>
            <w:r w:rsidRPr="00A469EA">
              <w:rPr>
                <w:iCs/>
                <w:sz w:val="18"/>
                <w:szCs w:val="18"/>
                <w:lang w:val="en-GB"/>
              </w:rPr>
              <w:t xml:space="preserve">000); </w:t>
            </w:r>
          </w:p>
          <w:p w14:paraId="6B45BCB1" w14:textId="00F28DE1" w:rsidR="00EC700C" w:rsidRPr="00A469EA" w:rsidRDefault="006C589E" w:rsidP="00B75A66">
            <w:pPr>
              <w:rPr>
                <w:iCs/>
                <w:sz w:val="18"/>
                <w:szCs w:val="18"/>
                <w:lang w:val="en-GB"/>
              </w:rPr>
            </w:pPr>
            <w:r w:rsidRPr="00A469EA">
              <w:rPr>
                <w:iCs/>
                <w:sz w:val="18"/>
                <w:szCs w:val="18"/>
                <w:lang w:val="en-GB"/>
              </w:rPr>
              <w:t>Livelihoods: 2</w:t>
            </w:r>
            <w:r w:rsidR="00EC700C" w:rsidRPr="00A469EA">
              <w:rPr>
                <w:iCs/>
                <w:sz w:val="18"/>
                <w:szCs w:val="18"/>
                <w:lang w:val="en-GB"/>
              </w:rPr>
              <w:t>,</w:t>
            </w:r>
            <w:r w:rsidRPr="00A469EA">
              <w:rPr>
                <w:iCs/>
                <w:sz w:val="18"/>
                <w:szCs w:val="18"/>
                <w:lang w:val="en-GB"/>
              </w:rPr>
              <w:t>000 (Women = 500; Men = 1</w:t>
            </w:r>
            <w:r w:rsidR="00EC700C" w:rsidRPr="00A469EA">
              <w:rPr>
                <w:iCs/>
                <w:sz w:val="18"/>
                <w:szCs w:val="18"/>
                <w:lang w:val="en-GB"/>
              </w:rPr>
              <w:t>,</w:t>
            </w:r>
            <w:r w:rsidRPr="00A469EA">
              <w:rPr>
                <w:iCs/>
                <w:sz w:val="18"/>
                <w:szCs w:val="18"/>
                <w:lang w:val="en-GB"/>
              </w:rPr>
              <w:t>500)</w:t>
            </w:r>
            <w:r w:rsidR="00EC700C" w:rsidRPr="00A469EA">
              <w:rPr>
                <w:b/>
                <w:bCs/>
                <w:iCs/>
                <w:sz w:val="18"/>
                <w:szCs w:val="18"/>
                <w:lang w:val="en-GB"/>
              </w:rPr>
              <w:t>.</w:t>
            </w:r>
            <w:r w:rsidRPr="00A469EA">
              <w:rPr>
                <w:b/>
                <w:bCs/>
                <w:iCs/>
                <w:sz w:val="18"/>
                <w:szCs w:val="18"/>
                <w:lang w:val="en-GB"/>
              </w:rPr>
              <w:t xml:space="preserve"> </w:t>
            </w:r>
            <w:r w:rsidRPr="00A469EA">
              <w:rPr>
                <w:iCs/>
                <w:sz w:val="18"/>
                <w:szCs w:val="18"/>
                <w:lang w:val="en-GB"/>
              </w:rPr>
              <w:br/>
            </w:r>
            <w:r w:rsidRPr="00A469EA">
              <w:rPr>
                <w:b/>
                <w:bCs/>
                <w:iCs/>
                <w:sz w:val="18"/>
                <w:szCs w:val="18"/>
                <w:lang w:val="en-GB"/>
              </w:rPr>
              <w:t>Target</w:t>
            </w:r>
            <w:r w:rsidR="00EC700C" w:rsidRPr="00A469EA">
              <w:rPr>
                <w:b/>
                <w:bCs/>
                <w:iCs/>
                <w:sz w:val="18"/>
                <w:szCs w:val="18"/>
                <w:lang w:val="en-GB"/>
              </w:rPr>
              <w:t>:</w:t>
            </w:r>
            <w:r w:rsidRPr="00A469EA">
              <w:rPr>
                <w:b/>
                <w:bCs/>
                <w:iCs/>
                <w:sz w:val="18"/>
                <w:szCs w:val="18"/>
                <w:lang w:val="en-GB"/>
              </w:rPr>
              <w:t xml:space="preserve"> </w:t>
            </w:r>
            <w:r w:rsidRPr="00A469EA">
              <w:rPr>
                <w:iCs/>
                <w:sz w:val="18"/>
                <w:szCs w:val="18"/>
                <w:lang w:val="en-GB"/>
              </w:rPr>
              <w:t>(2022): Jobs: 25,000 (Women = 12,500; Men = 12,500); Livelihoods: 15,000 (Women = 5,000; Men = 10,000)</w:t>
            </w:r>
            <w:r w:rsidR="00EC700C" w:rsidRPr="00A469EA">
              <w:rPr>
                <w:iCs/>
                <w:sz w:val="18"/>
                <w:szCs w:val="18"/>
                <w:lang w:val="en-GB"/>
              </w:rPr>
              <w:t>.</w:t>
            </w:r>
          </w:p>
        </w:tc>
        <w:tc>
          <w:tcPr>
            <w:tcW w:w="1980" w:type="dxa"/>
            <w:shd w:val="clear" w:color="auto" w:fill="auto"/>
            <w:hideMark/>
          </w:tcPr>
          <w:p w14:paraId="3CA2EB4D" w14:textId="1659D837" w:rsidR="006C589E" w:rsidRPr="00A469EA" w:rsidRDefault="006C589E" w:rsidP="00657E6B">
            <w:pPr>
              <w:rPr>
                <w:sz w:val="18"/>
                <w:szCs w:val="18"/>
                <w:lang w:val="en-GB"/>
              </w:rPr>
            </w:pPr>
            <w:r w:rsidRPr="00A469EA">
              <w:rPr>
                <w:b/>
                <w:bCs/>
                <w:sz w:val="18"/>
                <w:szCs w:val="18"/>
                <w:lang w:val="en-GB"/>
              </w:rPr>
              <w:lastRenderedPageBreak/>
              <w:t xml:space="preserve">Implementing </w:t>
            </w:r>
            <w:r w:rsidR="00632CA9" w:rsidRPr="00A469EA">
              <w:rPr>
                <w:b/>
                <w:bCs/>
                <w:sz w:val="18"/>
                <w:szCs w:val="18"/>
                <w:lang w:val="en-GB"/>
              </w:rPr>
              <w:t>p</w:t>
            </w:r>
            <w:r w:rsidRPr="00A469EA">
              <w:rPr>
                <w:b/>
                <w:bCs/>
                <w:sz w:val="18"/>
                <w:szCs w:val="18"/>
                <w:lang w:val="en-GB"/>
              </w:rPr>
              <w:t>artners:</w:t>
            </w:r>
            <w:r w:rsidRPr="00A469EA">
              <w:rPr>
                <w:i/>
                <w:iCs/>
                <w:sz w:val="18"/>
                <w:szCs w:val="18"/>
                <w:lang w:val="en-GB"/>
              </w:rPr>
              <w:br/>
            </w:r>
            <w:r w:rsidRPr="00A469EA">
              <w:rPr>
                <w:sz w:val="18"/>
                <w:szCs w:val="18"/>
                <w:lang w:val="en-GB"/>
              </w:rPr>
              <w:t>Government of Pakistan</w:t>
            </w:r>
            <w:r w:rsidR="00632CA9" w:rsidRPr="00A469EA">
              <w:rPr>
                <w:sz w:val="18"/>
                <w:szCs w:val="18"/>
                <w:lang w:val="en-GB"/>
              </w:rPr>
              <w:t>;</w:t>
            </w:r>
            <w:r w:rsidR="00632CA9" w:rsidRPr="00A469EA" w:rsidDel="00632CA9">
              <w:rPr>
                <w:sz w:val="18"/>
                <w:szCs w:val="18"/>
                <w:lang w:val="en-GB"/>
              </w:rPr>
              <w:t xml:space="preserve"> </w:t>
            </w:r>
            <w:r w:rsidR="00D513C7">
              <w:rPr>
                <w:sz w:val="18"/>
                <w:szCs w:val="18"/>
                <w:lang w:val="en-GB"/>
              </w:rPr>
              <w:t>p</w:t>
            </w:r>
            <w:r w:rsidR="000C56EA" w:rsidRPr="00A469EA">
              <w:rPr>
                <w:sz w:val="18"/>
                <w:szCs w:val="18"/>
                <w:lang w:val="en-GB"/>
              </w:rPr>
              <w:t xml:space="preserve">rovincial </w:t>
            </w:r>
            <w:r w:rsidR="00D513C7">
              <w:rPr>
                <w:sz w:val="18"/>
                <w:szCs w:val="18"/>
                <w:lang w:val="en-GB"/>
              </w:rPr>
              <w:t>g</w:t>
            </w:r>
            <w:r w:rsidRPr="00A469EA">
              <w:rPr>
                <w:sz w:val="18"/>
                <w:szCs w:val="18"/>
                <w:lang w:val="en-GB"/>
              </w:rPr>
              <w:t>overnment</w:t>
            </w:r>
            <w:r w:rsidR="000C56EA" w:rsidRPr="00A469EA">
              <w:rPr>
                <w:sz w:val="18"/>
                <w:szCs w:val="18"/>
                <w:lang w:val="en-GB"/>
              </w:rPr>
              <w:t>s</w:t>
            </w:r>
            <w:r w:rsidR="00632CA9" w:rsidRPr="00A469EA">
              <w:rPr>
                <w:sz w:val="18"/>
                <w:szCs w:val="18"/>
                <w:lang w:val="en-GB"/>
              </w:rPr>
              <w:t>;</w:t>
            </w:r>
            <w:r w:rsidR="00632CA9" w:rsidRPr="00A469EA" w:rsidDel="00632CA9">
              <w:rPr>
                <w:sz w:val="18"/>
                <w:szCs w:val="18"/>
                <w:lang w:val="en-GB"/>
              </w:rPr>
              <w:t xml:space="preserve"> </w:t>
            </w:r>
            <w:r w:rsidRPr="00A469EA">
              <w:rPr>
                <w:sz w:val="18"/>
                <w:szCs w:val="18"/>
                <w:lang w:val="en-GB"/>
              </w:rPr>
              <w:t>Ministry of Finance</w:t>
            </w:r>
            <w:r w:rsidR="00632CA9" w:rsidRPr="00A469EA">
              <w:rPr>
                <w:sz w:val="18"/>
                <w:szCs w:val="18"/>
                <w:lang w:val="en-GB"/>
              </w:rPr>
              <w:t>;</w:t>
            </w:r>
            <w:r w:rsidR="00632CA9" w:rsidRPr="00A469EA" w:rsidDel="00632CA9">
              <w:rPr>
                <w:sz w:val="18"/>
                <w:szCs w:val="18"/>
                <w:lang w:val="en-GB"/>
              </w:rPr>
              <w:t xml:space="preserve"> </w:t>
            </w:r>
            <w:r w:rsidRPr="00A469EA">
              <w:rPr>
                <w:sz w:val="18"/>
                <w:szCs w:val="18"/>
                <w:lang w:val="en-GB"/>
              </w:rPr>
              <w:t>Ministry of Climate Change</w:t>
            </w:r>
            <w:r w:rsidR="00632CA9" w:rsidRPr="00A469EA">
              <w:rPr>
                <w:sz w:val="18"/>
                <w:szCs w:val="18"/>
                <w:lang w:val="en-GB"/>
              </w:rPr>
              <w:t>;</w:t>
            </w:r>
            <w:r w:rsidR="00632CA9" w:rsidRPr="00A469EA" w:rsidDel="00632CA9">
              <w:rPr>
                <w:sz w:val="18"/>
                <w:szCs w:val="18"/>
                <w:lang w:val="en-GB"/>
              </w:rPr>
              <w:t xml:space="preserve"> </w:t>
            </w:r>
            <w:r w:rsidR="00632CA9" w:rsidRPr="00A469EA">
              <w:rPr>
                <w:sz w:val="18"/>
                <w:szCs w:val="18"/>
                <w:lang w:val="en-GB"/>
              </w:rPr>
              <w:t>p</w:t>
            </w:r>
            <w:r w:rsidRPr="00A469EA">
              <w:rPr>
                <w:sz w:val="18"/>
                <w:szCs w:val="18"/>
                <w:lang w:val="en-GB"/>
              </w:rPr>
              <w:t xml:space="preserve">lanning </w:t>
            </w:r>
            <w:r w:rsidR="00632CA9" w:rsidRPr="00A469EA">
              <w:rPr>
                <w:sz w:val="18"/>
                <w:szCs w:val="18"/>
                <w:lang w:val="en-GB"/>
              </w:rPr>
              <w:t>and</w:t>
            </w:r>
            <w:r w:rsidRPr="00A469EA">
              <w:rPr>
                <w:sz w:val="18"/>
                <w:szCs w:val="18"/>
                <w:lang w:val="en-GB"/>
              </w:rPr>
              <w:t xml:space="preserve"> </w:t>
            </w:r>
            <w:r w:rsidR="00632CA9" w:rsidRPr="00A469EA">
              <w:rPr>
                <w:sz w:val="18"/>
                <w:szCs w:val="18"/>
                <w:lang w:val="en-GB"/>
              </w:rPr>
              <w:t>d</w:t>
            </w:r>
            <w:r w:rsidRPr="00A469EA">
              <w:rPr>
                <w:sz w:val="18"/>
                <w:szCs w:val="18"/>
                <w:lang w:val="en-GB"/>
              </w:rPr>
              <w:t xml:space="preserve">evelopment </w:t>
            </w:r>
            <w:r w:rsidR="00632CA9" w:rsidRPr="00A469EA">
              <w:rPr>
                <w:sz w:val="18"/>
                <w:szCs w:val="18"/>
                <w:lang w:val="en-GB"/>
              </w:rPr>
              <w:t>d</w:t>
            </w:r>
            <w:r w:rsidRPr="00A469EA">
              <w:rPr>
                <w:sz w:val="18"/>
                <w:szCs w:val="18"/>
                <w:lang w:val="en-GB"/>
              </w:rPr>
              <w:t>epartments</w:t>
            </w:r>
            <w:r w:rsidR="00632CA9" w:rsidRPr="00A469EA">
              <w:rPr>
                <w:sz w:val="18"/>
                <w:szCs w:val="18"/>
                <w:lang w:val="en-GB"/>
              </w:rPr>
              <w:t>;</w:t>
            </w:r>
            <w:r w:rsidRPr="00A469EA">
              <w:rPr>
                <w:sz w:val="18"/>
                <w:szCs w:val="18"/>
                <w:lang w:val="en-GB"/>
              </w:rPr>
              <w:t xml:space="preserve"> </w:t>
            </w:r>
            <w:r w:rsidR="00DA0BCC" w:rsidRPr="00A469EA">
              <w:rPr>
                <w:rFonts w:asciiTheme="majorBidi" w:hAnsiTheme="majorBidi" w:cstheme="majorBidi"/>
                <w:sz w:val="18"/>
                <w:szCs w:val="18"/>
                <w:lang w:val="en-GB"/>
              </w:rPr>
              <w:t>Gilgit-Baltistan</w:t>
            </w:r>
            <w:r w:rsidRPr="00A469EA">
              <w:rPr>
                <w:sz w:val="18"/>
                <w:szCs w:val="18"/>
                <w:lang w:val="en-GB"/>
              </w:rPr>
              <w:t>/</w:t>
            </w:r>
            <w:r w:rsidR="00D513C7" w:rsidRPr="00A469EA">
              <w:rPr>
                <w:sz w:val="18"/>
                <w:szCs w:val="18"/>
                <w:lang w:val="en-GB"/>
              </w:rPr>
              <w:t xml:space="preserve"> Khyber Pakhtunkhwa</w:t>
            </w:r>
            <w:r w:rsidR="007F4653" w:rsidRPr="00A469EA" w:rsidDel="007F4653">
              <w:rPr>
                <w:sz w:val="18"/>
                <w:szCs w:val="18"/>
                <w:lang w:val="en-GB"/>
              </w:rPr>
              <w:t xml:space="preserve"> </w:t>
            </w:r>
            <w:r w:rsidRPr="00A469EA">
              <w:rPr>
                <w:sz w:val="18"/>
                <w:szCs w:val="18"/>
                <w:lang w:val="en-GB"/>
              </w:rPr>
              <w:t xml:space="preserve">International </w:t>
            </w:r>
            <w:r w:rsidR="00632CA9" w:rsidRPr="00A469EA">
              <w:rPr>
                <w:sz w:val="18"/>
                <w:szCs w:val="18"/>
                <w:lang w:val="en-GB"/>
              </w:rPr>
              <w:t>I</w:t>
            </w:r>
            <w:r w:rsidRPr="00A469EA">
              <w:rPr>
                <w:sz w:val="18"/>
                <w:szCs w:val="18"/>
                <w:lang w:val="en-GB"/>
              </w:rPr>
              <w:t xml:space="preserve">nstitute for </w:t>
            </w:r>
            <w:r w:rsidR="00632CA9" w:rsidRPr="00A469EA">
              <w:rPr>
                <w:sz w:val="18"/>
                <w:szCs w:val="18"/>
                <w:lang w:val="en-GB"/>
              </w:rPr>
              <w:t>S</w:t>
            </w:r>
            <w:r w:rsidRPr="00A469EA">
              <w:rPr>
                <w:sz w:val="18"/>
                <w:szCs w:val="18"/>
                <w:lang w:val="en-GB"/>
              </w:rPr>
              <w:t xml:space="preserve">ustainable </w:t>
            </w:r>
            <w:r w:rsidR="00632CA9" w:rsidRPr="00A469EA">
              <w:rPr>
                <w:sz w:val="18"/>
                <w:szCs w:val="18"/>
                <w:lang w:val="en-GB"/>
              </w:rPr>
              <w:t>D</w:t>
            </w:r>
            <w:r w:rsidRPr="00A469EA">
              <w:rPr>
                <w:sz w:val="18"/>
                <w:szCs w:val="18"/>
                <w:lang w:val="en-GB"/>
              </w:rPr>
              <w:t>evelopment</w:t>
            </w:r>
            <w:r w:rsidR="00632CA9" w:rsidRPr="00A469EA">
              <w:rPr>
                <w:sz w:val="18"/>
                <w:szCs w:val="18"/>
                <w:lang w:val="en-GB"/>
              </w:rPr>
              <w:t>;</w:t>
            </w:r>
            <w:r w:rsidR="00632CA9" w:rsidRPr="00A469EA" w:rsidDel="00632CA9">
              <w:rPr>
                <w:sz w:val="18"/>
                <w:szCs w:val="18"/>
                <w:lang w:val="en-GB"/>
              </w:rPr>
              <w:t xml:space="preserve"> </w:t>
            </w:r>
            <w:r w:rsidRPr="00A469EA">
              <w:rPr>
                <w:sz w:val="18"/>
                <w:szCs w:val="18"/>
                <w:lang w:val="en-GB"/>
              </w:rPr>
              <w:t xml:space="preserve">Centre for </w:t>
            </w:r>
            <w:r w:rsidR="00632CA9" w:rsidRPr="00A469EA">
              <w:rPr>
                <w:sz w:val="18"/>
                <w:szCs w:val="18"/>
                <w:lang w:val="en-GB"/>
              </w:rPr>
              <w:t>C</w:t>
            </w:r>
            <w:r w:rsidRPr="00A469EA">
              <w:rPr>
                <w:sz w:val="18"/>
                <w:szCs w:val="18"/>
                <w:lang w:val="en-GB"/>
              </w:rPr>
              <w:t xml:space="preserve">limate </w:t>
            </w:r>
            <w:r w:rsidR="00632CA9" w:rsidRPr="00A469EA">
              <w:rPr>
                <w:sz w:val="18"/>
                <w:szCs w:val="18"/>
                <w:lang w:val="en-GB"/>
              </w:rPr>
              <w:t>R</w:t>
            </w:r>
            <w:r w:rsidRPr="00A469EA">
              <w:rPr>
                <w:sz w:val="18"/>
                <w:szCs w:val="18"/>
                <w:lang w:val="en-GB"/>
              </w:rPr>
              <w:t xml:space="preserve">esearch and </w:t>
            </w:r>
            <w:r w:rsidR="00632CA9" w:rsidRPr="00A469EA">
              <w:rPr>
                <w:sz w:val="18"/>
                <w:szCs w:val="18"/>
                <w:lang w:val="en-GB"/>
              </w:rPr>
              <w:t>D</w:t>
            </w:r>
            <w:r w:rsidRPr="00A469EA">
              <w:rPr>
                <w:sz w:val="18"/>
                <w:szCs w:val="18"/>
                <w:lang w:val="en-GB"/>
              </w:rPr>
              <w:t>evelopment</w:t>
            </w:r>
            <w:r w:rsidRPr="00A469EA">
              <w:rPr>
                <w:sz w:val="18"/>
                <w:szCs w:val="18"/>
                <w:lang w:val="en-GB"/>
              </w:rPr>
              <w:br/>
            </w:r>
            <w:r w:rsidRPr="00A469EA">
              <w:rPr>
                <w:i/>
                <w:iCs/>
                <w:sz w:val="18"/>
                <w:szCs w:val="18"/>
                <w:lang w:val="en-GB"/>
              </w:rPr>
              <w:br/>
            </w:r>
            <w:r w:rsidRPr="00A469EA">
              <w:rPr>
                <w:b/>
                <w:bCs/>
                <w:sz w:val="18"/>
                <w:szCs w:val="18"/>
                <w:lang w:val="en-GB"/>
              </w:rPr>
              <w:t xml:space="preserve">Funding </w:t>
            </w:r>
            <w:r w:rsidR="00632CA9" w:rsidRPr="00A469EA">
              <w:rPr>
                <w:b/>
                <w:bCs/>
                <w:sz w:val="18"/>
                <w:szCs w:val="18"/>
                <w:lang w:val="en-GB"/>
              </w:rPr>
              <w:t>p</w:t>
            </w:r>
            <w:r w:rsidRPr="00A469EA">
              <w:rPr>
                <w:b/>
                <w:bCs/>
                <w:sz w:val="18"/>
                <w:szCs w:val="18"/>
                <w:lang w:val="en-GB"/>
              </w:rPr>
              <w:t>artners:</w:t>
            </w:r>
            <w:r w:rsidRPr="00A469EA">
              <w:rPr>
                <w:b/>
                <w:bCs/>
                <w:sz w:val="18"/>
                <w:szCs w:val="18"/>
                <w:lang w:val="en-GB"/>
              </w:rPr>
              <w:br/>
            </w:r>
            <w:r w:rsidR="0058421A" w:rsidRPr="00A469EA">
              <w:rPr>
                <w:sz w:val="18"/>
                <w:szCs w:val="18"/>
                <w:lang w:val="en-GB"/>
              </w:rPr>
              <w:t xml:space="preserve">Governments of </w:t>
            </w:r>
            <w:r w:rsidRPr="00A469EA">
              <w:rPr>
                <w:sz w:val="18"/>
                <w:szCs w:val="18"/>
                <w:lang w:val="en-GB"/>
              </w:rPr>
              <w:t>Italy</w:t>
            </w:r>
            <w:r w:rsidR="0058421A" w:rsidRPr="00A469EA">
              <w:rPr>
                <w:sz w:val="18"/>
                <w:szCs w:val="18"/>
                <w:lang w:val="en-GB"/>
              </w:rPr>
              <w:t>, United Kingdom and Northern Ireland</w:t>
            </w:r>
            <w:r w:rsidR="00D42D66" w:rsidRPr="00A469EA">
              <w:rPr>
                <w:sz w:val="18"/>
                <w:szCs w:val="18"/>
                <w:lang w:val="en-GB"/>
              </w:rPr>
              <w:t>;</w:t>
            </w:r>
            <w:r w:rsidR="00D42D66" w:rsidRPr="00A469EA" w:rsidDel="00D42D66">
              <w:rPr>
                <w:sz w:val="18"/>
                <w:szCs w:val="18"/>
                <w:lang w:val="en-GB"/>
              </w:rPr>
              <w:t xml:space="preserve"> </w:t>
            </w:r>
            <w:r w:rsidRPr="00A469EA">
              <w:rPr>
                <w:sz w:val="18"/>
                <w:szCs w:val="18"/>
                <w:lang w:val="en-GB"/>
              </w:rPr>
              <w:t>Global Environment Facility</w:t>
            </w:r>
            <w:r w:rsidR="00D42D66" w:rsidRPr="00A469EA">
              <w:rPr>
                <w:sz w:val="18"/>
                <w:szCs w:val="18"/>
                <w:lang w:val="en-GB"/>
              </w:rPr>
              <w:t xml:space="preserve">; </w:t>
            </w:r>
            <w:r w:rsidRPr="00A469EA">
              <w:rPr>
                <w:sz w:val="18"/>
                <w:szCs w:val="18"/>
                <w:lang w:val="en-GB"/>
              </w:rPr>
              <w:t>Green Climate Fund</w:t>
            </w:r>
            <w:r w:rsidR="00D42D66" w:rsidRPr="00A469EA">
              <w:rPr>
                <w:sz w:val="18"/>
                <w:szCs w:val="18"/>
                <w:lang w:val="en-GB"/>
              </w:rPr>
              <w:t>;</w:t>
            </w:r>
            <w:r w:rsidR="00D42D66" w:rsidRPr="00A469EA" w:rsidDel="00D42D66">
              <w:rPr>
                <w:sz w:val="18"/>
                <w:szCs w:val="18"/>
                <w:lang w:val="en-GB"/>
              </w:rPr>
              <w:t xml:space="preserve"> </w:t>
            </w:r>
            <w:r w:rsidRPr="00A469EA">
              <w:rPr>
                <w:sz w:val="18"/>
                <w:szCs w:val="18"/>
                <w:lang w:val="en-GB"/>
              </w:rPr>
              <w:t>Government of</w:t>
            </w:r>
            <w:r w:rsidR="00EC700C" w:rsidRPr="00A469EA">
              <w:rPr>
                <w:sz w:val="18"/>
                <w:szCs w:val="18"/>
                <w:lang w:val="en-GB"/>
              </w:rPr>
              <w:t xml:space="preserve"> </w:t>
            </w:r>
            <w:r w:rsidR="008B14E0" w:rsidRPr="00A469EA">
              <w:rPr>
                <w:sz w:val="18"/>
                <w:szCs w:val="18"/>
                <w:lang w:val="en-GB"/>
              </w:rPr>
              <w:t>Gilgit Baltistan</w:t>
            </w:r>
            <w:r w:rsidR="007416D2" w:rsidRPr="00A469EA">
              <w:rPr>
                <w:sz w:val="18"/>
                <w:szCs w:val="18"/>
                <w:lang w:val="en-GB"/>
              </w:rPr>
              <w:t>;</w:t>
            </w:r>
            <w:r w:rsidR="007416D2" w:rsidRPr="00A469EA" w:rsidDel="007416D2">
              <w:rPr>
                <w:sz w:val="18"/>
                <w:szCs w:val="18"/>
                <w:lang w:val="en-GB"/>
              </w:rPr>
              <w:t xml:space="preserve"> </w:t>
            </w:r>
            <w:r w:rsidRPr="00A469EA">
              <w:rPr>
                <w:sz w:val="18"/>
                <w:szCs w:val="18"/>
                <w:lang w:val="en-GB"/>
              </w:rPr>
              <w:t>UNDP</w:t>
            </w:r>
          </w:p>
        </w:tc>
        <w:tc>
          <w:tcPr>
            <w:tcW w:w="1980" w:type="dxa"/>
            <w:shd w:val="clear" w:color="auto" w:fill="auto"/>
            <w:hideMark/>
          </w:tcPr>
          <w:p w14:paraId="09F9A7DB" w14:textId="77777777" w:rsidR="006C589E" w:rsidRPr="00A469EA" w:rsidRDefault="006C589E" w:rsidP="003C459A">
            <w:pPr>
              <w:rPr>
                <w:sz w:val="18"/>
                <w:szCs w:val="18"/>
                <w:lang w:val="en-GB"/>
              </w:rPr>
            </w:pPr>
          </w:p>
        </w:tc>
      </w:tr>
    </w:tbl>
    <w:p w14:paraId="49DAD8A5" w14:textId="77777777" w:rsidR="003C459A" w:rsidRPr="00A469EA" w:rsidRDefault="003C459A" w:rsidP="003C459A">
      <w:pPr>
        <w:tabs>
          <w:tab w:val="left" w:pos="720"/>
        </w:tabs>
        <w:spacing w:after="120"/>
        <w:ind w:right="20"/>
        <w:jc w:val="center"/>
        <w:rPr>
          <w:color w:val="000000"/>
          <w:sz w:val="18"/>
          <w:szCs w:val="18"/>
          <w:lang w:val="en-GB"/>
        </w:rPr>
      </w:pP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p>
    <w:p w14:paraId="18ABB384" w14:textId="41C68B24" w:rsidR="003C459A" w:rsidRPr="00A469EA" w:rsidRDefault="003C459A" w:rsidP="003C459A">
      <w:pPr>
        <w:tabs>
          <w:tab w:val="left" w:pos="720"/>
        </w:tabs>
        <w:spacing w:after="120"/>
        <w:ind w:right="20"/>
        <w:jc w:val="center"/>
        <w:rPr>
          <w:b/>
          <w:color w:val="000000"/>
          <w:sz w:val="18"/>
          <w:szCs w:val="18"/>
          <w:lang w:val="en-GB"/>
        </w:rPr>
      </w:pP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b/>
          <w:color w:val="000000"/>
          <w:sz w:val="18"/>
          <w:szCs w:val="18"/>
          <w:lang w:val="en-GB"/>
        </w:rPr>
        <w:t>Estimated resources required for 2018-2022:</w:t>
      </w:r>
    </w:p>
    <w:p w14:paraId="0E1294F1" w14:textId="0FC87E5D" w:rsidR="003C459A" w:rsidRPr="00A469EA" w:rsidRDefault="003C459A" w:rsidP="003C459A">
      <w:pPr>
        <w:tabs>
          <w:tab w:val="left" w:pos="720"/>
        </w:tabs>
        <w:spacing w:after="120"/>
        <w:ind w:right="20"/>
        <w:jc w:val="center"/>
        <w:rPr>
          <w:color w:val="000000"/>
          <w:sz w:val="18"/>
          <w:szCs w:val="18"/>
          <w:lang w:val="en-GB"/>
        </w:rPr>
      </w:pP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t xml:space="preserve">       Regular: </w:t>
      </w:r>
      <w:r w:rsidR="005B4F1C" w:rsidRPr="00A469EA">
        <w:rPr>
          <w:color w:val="000000"/>
          <w:sz w:val="18"/>
          <w:szCs w:val="18"/>
          <w:lang w:val="en-GB"/>
        </w:rPr>
        <w:t>$</w:t>
      </w:r>
      <w:r w:rsidR="00236B0E" w:rsidRPr="00A469EA">
        <w:rPr>
          <w:color w:val="000000"/>
          <w:sz w:val="18"/>
          <w:szCs w:val="18"/>
          <w:lang w:val="en-GB"/>
        </w:rPr>
        <w:t>8</w:t>
      </w:r>
      <w:r w:rsidRPr="00A469EA">
        <w:rPr>
          <w:color w:val="000000"/>
          <w:sz w:val="18"/>
          <w:szCs w:val="18"/>
          <w:lang w:val="en-GB"/>
        </w:rPr>
        <w:t>,</w:t>
      </w:r>
      <w:r w:rsidR="00236B0E" w:rsidRPr="00A469EA">
        <w:rPr>
          <w:color w:val="000000"/>
          <w:sz w:val="18"/>
          <w:szCs w:val="18"/>
          <w:lang w:val="en-GB"/>
        </w:rPr>
        <w:t>631</w:t>
      </w:r>
      <w:r w:rsidRPr="00A469EA">
        <w:rPr>
          <w:color w:val="000000"/>
          <w:sz w:val="18"/>
          <w:szCs w:val="18"/>
          <w:lang w:val="en-GB"/>
        </w:rPr>
        <w:t>,000</w:t>
      </w:r>
    </w:p>
    <w:p w14:paraId="79E887B0" w14:textId="19A47B19" w:rsidR="003C459A" w:rsidRPr="00A469EA" w:rsidRDefault="003C459A" w:rsidP="003C459A">
      <w:pPr>
        <w:tabs>
          <w:tab w:val="left" w:pos="720"/>
        </w:tabs>
        <w:spacing w:after="120"/>
        <w:ind w:right="20"/>
        <w:jc w:val="center"/>
        <w:rPr>
          <w:color w:val="000000"/>
          <w:sz w:val="18"/>
          <w:szCs w:val="18"/>
          <w:lang w:val="en-GB"/>
        </w:rPr>
      </w:pP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t xml:space="preserve">     Other: </w:t>
      </w:r>
      <w:r w:rsidR="005B4F1C" w:rsidRPr="00A469EA">
        <w:rPr>
          <w:color w:val="000000"/>
          <w:sz w:val="18"/>
          <w:szCs w:val="18"/>
          <w:lang w:val="en-GB"/>
        </w:rPr>
        <w:t>$</w:t>
      </w:r>
      <w:r w:rsidRPr="00A469EA">
        <w:rPr>
          <w:color w:val="000000"/>
          <w:sz w:val="18"/>
          <w:szCs w:val="18"/>
          <w:lang w:val="en-GB"/>
        </w:rPr>
        <w:t>234,800,000</w:t>
      </w:r>
    </w:p>
    <w:p w14:paraId="68AA563C" w14:textId="5613223B" w:rsidR="003C459A" w:rsidRPr="00A469EA" w:rsidRDefault="003C459A" w:rsidP="003C459A">
      <w:pPr>
        <w:tabs>
          <w:tab w:val="left" w:pos="720"/>
        </w:tabs>
        <w:spacing w:after="120"/>
        <w:ind w:right="20"/>
        <w:jc w:val="center"/>
        <w:rPr>
          <w:b/>
          <w:color w:val="000000"/>
          <w:sz w:val="18"/>
          <w:szCs w:val="18"/>
          <w:lang w:val="en-GB"/>
        </w:rPr>
      </w:pP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color w:val="000000"/>
          <w:sz w:val="18"/>
          <w:szCs w:val="18"/>
          <w:lang w:val="en-GB"/>
        </w:rPr>
        <w:tab/>
      </w:r>
      <w:r w:rsidRPr="00A469EA">
        <w:rPr>
          <w:b/>
          <w:color w:val="000000"/>
          <w:sz w:val="18"/>
          <w:szCs w:val="18"/>
          <w:lang w:val="en-GB"/>
        </w:rPr>
        <w:t xml:space="preserve">TOTAL: </w:t>
      </w:r>
      <w:r w:rsidR="005B4F1C" w:rsidRPr="00A469EA">
        <w:rPr>
          <w:b/>
          <w:color w:val="000000"/>
          <w:sz w:val="18"/>
          <w:szCs w:val="18"/>
          <w:lang w:val="en-GB"/>
        </w:rPr>
        <w:t>$</w:t>
      </w:r>
      <w:r w:rsidRPr="00A469EA">
        <w:rPr>
          <w:b/>
          <w:color w:val="000000"/>
          <w:sz w:val="18"/>
          <w:szCs w:val="18"/>
          <w:lang w:val="en-GB"/>
        </w:rPr>
        <w:t>2</w:t>
      </w:r>
      <w:r w:rsidR="00236B0E" w:rsidRPr="00A469EA">
        <w:rPr>
          <w:b/>
          <w:color w:val="000000"/>
          <w:sz w:val="18"/>
          <w:szCs w:val="18"/>
          <w:lang w:val="en-GB"/>
        </w:rPr>
        <w:t>43</w:t>
      </w:r>
      <w:r w:rsidRPr="00A469EA">
        <w:rPr>
          <w:b/>
          <w:color w:val="000000"/>
          <w:sz w:val="18"/>
          <w:szCs w:val="18"/>
          <w:lang w:val="en-GB"/>
        </w:rPr>
        <w:t>,</w:t>
      </w:r>
      <w:r w:rsidR="00236B0E" w:rsidRPr="00A469EA">
        <w:rPr>
          <w:b/>
          <w:color w:val="000000"/>
          <w:sz w:val="18"/>
          <w:szCs w:val="18"/>
          <w:lang w:val="en-GB"/>
        </w:rPr>
        <w:t>431</w:t>
      </w:r>
      <w:r w:rsidRPr="00A469EA">
        <w:rPr>
          <w:b/>
          <w:color w:val="000000"/>
          <w:sz w:val="18"/>
          <w:szCs w:val="18"/>
          <w:lang w:val="en-GB"/>
        </w:rPr>
        <w:t xml:space="preserve">,000 </w:t>
      </w:r>
    </w:p>
    <w:p w14:paraId="043D3965" w14:textId="0CF25101" w:rsidR="0030441F" w:rsidRPr="00A469EA" w:rsidRDefault="000B6352" w:rsidP="000B6352">
      <w:pPr>
        <w:tabs>
          <w:tab w:val="left" w:pos="720"/>
        </w:tabs>
        <w:spacing w:after="120"/>
        <w:ind w:right="20"/>
        <w:jc w:val="center"/>
        <w:rPr>
          <w:color w:val="000000"/>
          <w:lang w:val="en-GB"/>
        </w:rPr>
      </w:pPr>
      <w:r w:rsidRPr="00A469EA">
        <w:rPr>
          <w:noProof/>
          <w:color w:val="000000"/>
          <w:sz w:val="16"/>
          <w:szCs w:val="16"/>
        </w:rPr>
        <w:drawing>
          <wp:inline distT="0" distB="0" distL="0" distR="0" wp14:anchorId="471A4C75" wp14:editId="56F40E14">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30441F" w:rsidRPr="00A469EA" w:rsidSect="00016460">
      <w:headerReference w:type="even" r:id="rId19"/>
      <w:headerReference w:type="default" r:id="rId20"/>
      <w:footerReference w:type="even"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EAE3" w14:textId="77777777" w:rsidR="00F83207" w:rsidRDefault="00F83207" w:rsidP="00441061">
      <w:r>
        <w:separator/>
      </w:r>
    </w:p>
  </w:endnote>
  <w:endnote w:type="continuationSeparator" w:id="0">
    <w:p w14:paraId="7C9E3F6C" w14:textId="77777777" w:rsidR="00F83207" w:rsidRDefault="00F83207" w:rsidP="00441061">
      <w:r>
        <w:continuationSeparator/>
      </w:r>
    </w:p>
  </w:endnote>
  <w:endnote w:type="continuationNotice" w:id="1">
    <w:p w14:paraId="73E4ED81" w14:textId="77777777" w:rsidR="00F83207" w:rsidRDefault="00F83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67862"/>
      <w:docPartObj>
        <w:docPartGallery w:val="Page Numbers (Bottom of Page)"/>
        <w:docPartUnique/>
      </w:docPartObj>
    </w:sdtPr>
    <w:sdtEndPr>
      <w:rPr>
        <w:b/>
        <w:noProof/>
        <w:sz w:val="17"/>
        <w:szCs w:val="17"/>
      </w:rPr>
    </w:sdtEndPr>
    <w:sdtContent>
      <w:p w14:paraId="5A099E75" w14:textId="02034D5F" w:rsidR="00D513C7" w:rsidRPr="00614FED" w:rsidRDefault="00D513C7" w:rsidP="00E7116B">
        <w:pPr>
          <w:pStyle w:val="Footer"/>
          <w:tabs>
            <w:tab w:val="left" w:pos="270"/>
          </w:tabs>
          <w:ind w:hanging="810"/>
          <w:rPr>
            <w:b/>
            <w:sz w:val="17"/>
            <w:szCs w:val="17"/>
          </w:rPr>
        </w:pPr>
        <w:r w:rsidRPr="00614FED">
          <w:rPr>
            <w:b/>
            <w:sz w:val="17"/>
            <w:szCs w:val="17"/>
          </w:rPr>
          <w:fldChar w:fldCharType="begin"/>
        </w:r>
        <w:r w:rsidRPr="00614FED">
          <w:rPr>
            <w:b/>
            <w:sz w:val="17"/>
            <w:szCs w:val="17"/>
          </w:rPr>
          <w:instrText xml:space="preserve"> PAGE   \* MERGEFORMAT </w:instrText>
        </w:r>
        <w:r w:rsidRPr="00614FED">
          <w:rPr>
            <w:b/>
            <w:sz w:val="17"/>
            <w:szCs w:val="17"/>
          </w:rPr>
          <w:fldChar w:fldCharType="separate"/>
        </w:r>
        <w:r w:rsidR="00DD542E">
          <w:rPr>
            <w:b/>
            <w:noProof/>
            <w:sz w:val="17"/>
            <w:szCs w:val="17"/>
          </w:rPr>
          <w:t>1</w:t>
        </w:r>
        <w:r w:rsidR="00DD542E">
          <w:rPr>
            <w:b/>
            <w:noProof/>
            <w:sz w:val="17"/>
            <w:szCs w:val="17"/>
          </w:rPr>
          <w:t>2</w:t>
        </w:r>
        <w:r w:rsidRPr="00614FED">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770059"/>
      <w:docPartObj>
        <w:docPartGallery w:val="Page Numbers (Bottom of Page)"/>
        <w:docPartUnique/>
      </w:docPartObj>
    </w:sdtPr>
    <w:sdtEndPr>
      <w:rPr>
        <w:b/>
        <w:noProof/>
        <w:sz w:val="17"/>
        <w:szCs w:val="17"/>
      </w:rPr>
    </w:sdtEndPr>
    <w:sdtContent>
      <w:p w14:paraId="2777CBE6" w14:textId="02CB8B30" w:rsidR="00D513C7" w:rsidRPr="002C54A1" w:rsidRDefault="00D513C7" w:rsidP="002C54A1">
        <w:pPr>
          <w:pStyle w:val="Footer"/>
          <w:jc w:val="right"/>
          <w:rPr>
            <w:b/>
            <w:sz w:val="17"/>
            <w:szCs w:val="17"/>
          </w:rPr>
        </w:pPr>
        <w:r w:rsidRPr="002C54A1">
          <w:rPr>
            <w:b/>
            <w:sz w:val="17"/>
            <w:szCs w:val="17"/>
          </w:rPr>
          <w:fldChar w:fldCharType="begin"/>
        </w:r>
        <w:r w:rsidRPr="002C54A1">
          <w:rPr>
            <w:b/>
            <w:sz w:val="17"/>
            <w:szCs w:val="17"/>
          </w:rPr>
          <w:instrText xml:space="preserve"> PAGE   \* MERGEFORMAT </w:instrText>
        </w:r>
        <w:r w:rsidRPr="002C54A1">
          <w:rPr>
            <w:b/>
            <w:sz w:val="17"/>
            <w:szCs w:val="17"/>
          </w:rPr>
          <w:fldChar w:fldCharType="separate"/>
        </w:r>
        <w:r w:rsidR="00DD542E">
          <w:rPr>
            <w:b/>
            <w:noProof/>
            <w:sz w:val="17"/>
            <w:szCs w:val="17"/>
          </w:rPr>
          <w:t>13</w:t>
        </w:r>
        <w:r w:rsidRPr="002C54A1">
          <w:rPr>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246458"/>
      <w:docPartObj>
        <w:docPartGallery w:val="Page Numbers (Bottom of Page)"/>
        <w:docPartUnique/>
      </w:docPartObj>
    </w:sdtPr>
    <w:sdtEndPr>
      <w:rPr>
        <w:b/>
        <w:noProof/>
        <w:sz w:val="17"/>
        <w:szCs w:val="17"/>
      </w:rPr>
    </w:sdtEndPr>
    <w:sdtContent>
      <w:p w14:paraId="1419E9DF" w14:textId="77777777" w:rsidR="0056235E" w:rsidRPr="00614FED" w:rsidRDefault="0056235E" w:rsidP="0056235E">
        <w:pPr>
          <w:pStyle w:val="Footer"/>
          <w:tabs>
            <w:tab w:val="left" w:pos="270"/>
          </w:tabs>
          <w:ind w:hanging="360"/>
          <w:rPr>
            <w:b/>
            <w:sz w:val="17"/>
            <w:szCs w:val="17"/>
          </w:rPr>
        </w:pPr>
        <w:r w:rsidRPr="00614FED">
          <w:rPr>
            <w:b/>
            <w:sz w:val="17"/>
            <w:szCs w:val="17"/>
          </w:rPr>
          <w:fldChar w:fldCharType="begin"/>
        </w:r>
        <w:r w:rsidRPr="00614FED">
          <w:rPr>
            <w:b/>
            <w:sz w:val="17"/>
            <w:szCs w:val="17"/>
          </w:rPr>
          <w:instrText xml:space="preserve"> PAGE   \* MERGEFORMAT </w:instrText>
        </w:r>
        <w:r w:rsidRPr="00614FED">
          <w:rPr>
            <w:b/>
            <w:sz w:val="17"/>
            <w:szCs w:val="17"/>
          </w:rPr>
          <w:fldChar w:fldCharType="separate"/>
        </w:r>
        <w:r>
          <w:rPr>
            <w:b/>
            <w:noProof/>
            <w:sz w:val="17"/>
            <w:szCs w:val="17"/>
          </w:rPr>
          <w:t>1</w:t>
        </w:r>
        <w:r>
          <w:rPr>
            <w:b/>
            <w:noProof/>
            <w:sz w:val="17"/>
            <w:szCs w:val="17"/>
          </w:rPr>
          <w:t>2</w:t>
        </w:r>
        <w:r w:rsidRPr="00614FED">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0F10" w14:textId="77777777" w:rsidR="00F83207" w:rsidRDefault="00F83207" w:rsidP="00441061">
      <w:r>
        <w:separator/>
      </w:r>
    </w:p>
  </w:footnote>
  <w:footnote w:type="continuationSeparator" w:id="0">
    <w:p w14:paraId="5DD18485" w14:textId="77777777" w:rsidR="00F83207" w:rsidRDefault="00F83207" w:rsidP="00441061">
      <w:r>
        <w:continuationSeparator/>
      </w:r>
    </w:p>
  </w:footnote>
  <w:footnote w:type="continuationNotice" w:id="1">
    <w:p w14:paraId="2B4EF1C9" w14:textId="77777777" w:rsidR="00F83207" w:rsidRDefault="00F83207"/>
  </w:footnote>
  <w:footnote w:id="2">
    <w:p w14:paraId="7B9078A2" w14:textId="2C52780A" w:rsidR="00D513C7" w:rsidRPr="00AF7CCF" w:rsidRDefault="00D513C7" w:rsidP="00E5794D">
      <w:pPr>
        <w:pStyle w:val="FootnoteText"/>
        <w:ind w:right="1170"/>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Ministry of Finance, Pakistan Economic Survey</w:t>
      </w:r>
      <w:r w:rsidRPr="00C67E2F">
        <w:rPr>
          <w:rFonts w:ascii="Times New Roman" w:hAnsi="Times New Roman"/>
          <w:sz w:val="18"/>
          <w:szCs w:val="18"/>
        </w:rPr>
        <w:t>,</w:t>
      </w:r>
      <w:r w:rsidRPr="00AF7CCF">
        <w:rPr>
          <w:rFonts w:ascii="Times New Roman" w:hAnsi="Times New Roman"/>
          <w:sz w:val="18"/>
          <w:szCs w:val="18"/>
        </w:rPr>
        <w:t xml:space="preserve"> 2015-2016.</w:t>
      </w:r>
      <w:r>
        <w:rPr>
          <w:rFonts w:ascii="Times New Roman" w:hAnsi="Times New Roman"/>
          <w:sz w:val="18"/>
          <w:szCs w:val="18"/>
        </w:rPr>
        <w:t xml:space="preserve"> </w:t>
      </w:r>
    </w:p>
  </w:footnote>
  <w:footnote w:id="3">
    <w:p w14:paraId="7070D77C" w14:textId="72D3E089" w:rsidR="00D513C7" w:rsidRPr="00AF7CCF" w:rsidRDefault="00D513C7" w:rsidP="00E5794D">
      <w:pPr>
        <w:pStyle w:val="FootnoteText"/>
        <w:ind w:right="1170"/>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Planning Commission, International Growth Centr</w:t>
      </w:r>
      <w:r w:rsidRPr="00C67E2F">
        <w:rPr>
          <w:rFonts w:ascii="Times New Roman" w:hAnsi="Times New Roman"/>
          <w:sz w:val="18"/>
          <w:szCs w:val="18"/>
        </w:rPr>
        <w:t>e</w:t>
      </w:r>
      <w:r w:rsidRPr="00AF7CCF">
        <w:rPr>
          <w:rFonts w:ascii="Times New Roman" w:hAnsi="Times New Roman"/>
          <w:sz w:val="18"/>
          <w:szCs w:val="18"/>
        </w:rPr>
        <w:t xml:space="preserve">, the Framework for Economic Growth, 2011. </w:t>
      </w:r>
    </w:p>
  </w:footnote>
  <w:footnote w:id="4">
    <w:p w14:paraId="34079AF8" w14:textId="77777777" w:rsidR="00D513C7" w:rsidRPr="00AF7CCF" w:rsidRDefault="00D513C7" w:rsidP="00E5794D">
      <w:pPr>
        <w:pStyle w:val="FootnoteText"/>
        <w:ind w:right="1170"/>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sidRPr="00AF7CCF">
        <w:rPr>
          <w:rFonts w:ascii="Times New Roman" w:hAnsi="Times New Roman"/>
          <w:color w:val="000000"/>
          <w:sz w:val="18"/>
          <w:szCs w:val="18"/>
        </w:rPr>
        <w:t>Ministry of Planning, Development and Reform, Pakistan 2025: One Nation – One Vision.</w:t>
      </w:r>
    </w:p>
  </w:footnote>
  <w:footnote w:id="5">
    <w:p w14:paraId="02CB9B06" w14:textId="5A0CEC8B" w:rsidR="00D513C7" w:rsidRDefault="00D513C7">
      <w:pPr>
        <w:pStyle w:val="FootnoteText"/>
      </w:pPr>
      <w:r>
        <w:rPr>
          <w:rStyle w:val="FootnoteReference"/>
        </w:rPr>
        <w:footnoteRef/>
      </w:r>
      <w:r>
        <w:t xml:space="preserve"> </w:t>
      </w:r>
      <w:r w:rsidRPr="001C62C0">
        <w:rPr>
          <w:rFonts w:ascii="Times New Roman" w:hAnsi="Times New Roman"/>
          <w:sz w:val="18"/>
          <w:szCs w:val="18"/>
        </w:rPr>
        <w:t xml:space="preserve">There has been improvement </w:t>
      </w:r>
      <w:r>
        <w:rPr>
          <w:rFonts w:ascii="Times New Roman" w:hAnsi="Times New Roman"/>
          <w:sz w:val="18"/>
          <w:szCs w:val="18"/>
        </w:rPr>
        <w:t xml:space="preserve">in its </w:t>
      </w:r>
      <w:r w:rsidRPr="001C62C0">
        <w:rPr>
          <w:rFonts w:ascii="Times New Roman" w:hAnsi="Times New Roman"/>
          <w:sz w:val="18"/>
          <w:szCs w:val="18"/>
        </w:rPr>
        <w:t xml:space="preserve">ranking on the </w:t>
      </w:r>
      <w:r>
        <w:rPr>
          <w:rFonts w:ascii="Times New Roman" w:hAnsi="Times New Roman"/>
          <w:sz w:val="18"/>
          <w:szCs w:val="18"/>
        </w:rPr>
        <w:t>c</w:t>
      </w:r>
      <w:r w:rsidRPr="001C62C0">
        <w:rPr>
          <w:rFonts w:ascii="Times New Roman" w:hAnsi="Times New Roman"/>
          <w:sz w:val="18"/>
          <w:szCs w:val="18"/>
        </w:rPr>
        <w:t xml:space="preserve">orruption </w:t>
      </w:r>
      <w:r>
        <w:rPr>
          <w:rFonts w:ascii="Times New Roman" w:hAnsi="Times New Roman"/>
          <w:sz w:val="18"/>
          <w:szCs w:val="18"/>
        </w:rPr>
        <w:t>p</w:t>
      </w:r>
      <w:r w:rsidRPr="001C62C0">
        <w:rPr>
          <w:rFonts w:ascii="Times New Roman" w:hAnsi="Times New Roman"/>
          <w:sz w:val="18"/>
          <w:szCs w:val="18"/>
        </w:rPr>
        <w:t xml:space="preserve">erception </w:t>
      </w:r>
      <w:r>
        <w:rPr>
          <w:rFonts w:ascii="Times New Roman" w:hAnsi="Times New Roman"/>
          <w:sz w:val="18"/>
          <w:szCs w:val="18"/>
        </w:rPr>
        <w:t>i</w:t>
      </w:r>
      <w:r w:rsidRPr="001C62C0">
        <w:rPr>
          <w:rFonts w:ascii="Times New Roman" w:hAnsi="Times New Roman"/>
          <w:sz w:val="18"/>
          <w:szCs w:val="18"/>
        </w:rPr>
        <w:t xml:space="preserve">ndex 2016 </w:t>
      </w:r>
      <w:r w:rsidRPr="006D757E">
        <w:rPr>
          <w:rFonts w:ascii="Times New Roman" w:hAnsi="Times New Roman"/>
          <w:sz w:val="18"/>
          <w:szCs w:val="18"/>
        </w:rPr>
        <w:t>(</w:t>
      </w:r>
      <w:hyperlink r:id="rId1" w:history="1">
        <w:r w:rsidRPr="00A469EA">
          <w:rPr>
            <w:rStyle w:val="Hyperlink"/>
            <w:rFonts w:ascii="Times New Roman" w:hAnsi="Times New Roman"/>
            <w:sz w:val="18"/>
            <w:szCs w:val="18"/>
          </w:rPr>
          <w:t>https://www.transparency.org/news/feature/corruption_perceptions_index_2016); however</w:t>
        </w:r>
      </w:hyperlink>
      <w:r>
        <w:rPr>
          <w:rFonts w:ascii="Times New Roman" w:hAnsi="Times New Roman"/>
          <w:sz w:val="18"/>
          <w:szCs w:val="18"/>
        </w:rPr>
        <w:t>,</w:t>
      </w:r>
      <w:r w:rsidRPr="001C62C0">
        <w:rPr>
          <w:rFonts w:ascii="Times New Roman" w:hAnsi="Times New Roman"/>
          <w:sz w:val="18"/>
          <w:szCs w:val="18"/>
        </w:rPr>
        <w:t xml:space="preserve"> Pakistan r</w:t>
      </w:r>
      <w:r>
        <w:rPr>
          <w:rFonts w:ascii="Times New Roman" w:hAnsi="Times New Roman"/>
          <w:sz w:val="18"/>
          <w:szCs w:val="18"/>
        </w:rPr>
        <w:t>emains 116 out of 176 countries.</w:t>
      </w:r>
    </w:p>
  </w:footnote>
  <w:footnote w:id="6">
    <w:p w14:paraId="132334DB" w14:textId="04A5CB81" w:rsidR="00D513C7" w:rsidRDefault="00D513C7" w:rsidP="00B152AD">
      <w:pPr>
        <w:pStyle w:val="FootnoteText"/>
      </w:pPr>
      <w:r>
        <w:rPr>
          <w:rStyle w:val="FootnoteReference"/>
        </w:rPr>
        <w:footnoteRef/>
      </w:r>
      <w:r w:rsidRPr="00E13D31">
        <w:rPr>
          <w:rFonts w:ascii="Times New Roman" w:hAnsi="Times New Roman"/>
          <w:sz w:val="18"/>
          <w:szCs w:val="18"/>
        </w:rPr>
        <w:t xml:space="preserve">Bertelsmann Stiftung </w:t>
      </w:r>
      <w:r>
        <w:rPr>
          <w:rFonts w:ascii="Times New Roman" w:hAnsi="Times New Roman"/>
          <w:sz w:val="18"/>
          <w:szCs w:val="18"/>
        </w:rPr>
        <w:t>t</w:t>
      </w:r>
      <w:r w:rsidRPr="00E13D31">
        <w:rPr>
          <w:rFonts w:ascii="Times New Roman" w:hAnsi="Times New Roman"/>
          <w:sz w:val="18"/>
          <w:szCs w:val="18"/>
        </w:rPr>
        <w:t xml:space="preserve">ransformation </w:t>
      </w:r>
      <w:r w:rsidR="00CF609C">
        <w:rPr>
          <w:rFonts w:ascii="Times New Roman" w:hAnsi="Times New Roman"/>
          <w:sz w:val="18"/>
          <w:szCs w:val="18"/>
        </w:rPr>
        <w:t>i</w:t>
      </w:r>
      <w:r w:rsidR="00CF609C" w:rsidRPr="00E13D31">
        <w:rPr>
          <w:rFonts w:ascii="Times New Roman" w:hAnsi="Times New Roman"/>
          <w:sz w:val="18"/>
          <w:szCs w:val="18"/>
        </w:rPr>
        <w:t>ndex</w:t>
      </w:r>
      <w:r w:rsidRPr="00E13D31">
        <w:rPr>
          <w:rFonts w:ascii="Times New Roman" w:hAnsi="Times New Roman"/>
          <w:sz w:val="18"/>
          <w:szCs w:val="18"/>
        </w:rPr>
        <w:t xml:space="preserve"> (2016) Pakistan Country Report. Available</w:t>
      </w:r>
      <w:r>
        <w:rPr>
          <w:rFonts w:ascii="Times New Roman" w:hAnsi="Times New Roman"/>
          <w:sz w:val="18"/>
          <w:szCs w:val="18"/>
        </w:rPr>
        <w:t xml:space="preserve"> at </w:t>
      </w:r>
      <w:r w:rsidRPr="00E13D31">
        <w:rPr>
          <w:rFonts w:ascii="Times New Roman" w:hAnsi="Times New Roman"/>
          <w:sz w:val="18"/>
          <w:szCs w:val="18"/>
        </w:rPr>
        <w:t>https://www.bti-project.org/fileadmin/files/BTI/Downloads/Reports/2016/pdf/BTI_2016_Pakistan.pdf</w:t>
      </w:r>
      <w:r>
        <w:rPr>
          <w:rFonts w:ascii="Times New Roman" w:hAnsi="Times New Roman"/>
          <w:sz w:val="18"/>
          <w:szCs w:val="18"/>
        </w:rPr>
        <w:t>.</w:t>
      </w:r>
    </w:p>
  </w:footnote>
  <w:footnote w:id="7">
    <w:p w14:paraId="48AF6A9C" w14:textId="19C047E3" w:rsidR="00D513C7" w:rsidRPr="00AF7CCF" w:rsidRDefault="00D513C7" w:rsidP="00B152AD">
      <w:pPr>
        <w:pStyle w:val="FootnoteText"/>
        <w:rPr>
          <w:rFonts w:ascii="Times New Roman" w:hAnsi="Times New Roman"/>
          <w:sz w:val="18"/>
          <w:szCs w:val="18"/>
          <w:lang w:val="en-GB"/>
        </w:rPr>
      </w:pPr>
      <w:r w:rsidRPr="00AF7CCF">
        <w:rPr>
          <w:rStyle w:val="FootnoteReference"/>
          <w:rFonts w:ascii="Times New Roman" w:hAnsi="Times New Roman"/>
          <w:sz w:val="18"/>
          <w:szCs w:val="18"/>
        </w:rPr>
        <w:footnoteRef/>
      </w:r>
      <w:r w:rsidRPr="00C67E2F">
        <w:rPr>
          <w:rFonts w:ascii="Times New Roman" w:hAnsi="Times New Roman"/>
          <w:sz w:val="18"/>
          <w:szCs w:val="18"/>
        </w:rPr>
        <w:t>T</w:t>
      </w:r>
      <w:r w:rsidRPr="00AF7CCF">
        <w:rPr>
          <w:rFonts w:ascii="Times New Roman" w:hAnsi="Times New Roman"/>
          <w:sz w:val="18"/>
          <w:szCs w:val="18"/>
        </w:rPr>
        <w:t>here are fewer than two judges for every 100,000 residents of a province</w:t>
      </w:r>
      <w:r w:rsidRPr="00321F19">
        <w:rPr>
          <w:rFonts w:ascii="Times New Roman" w:hAnsi="Times New Roman"/>
          <w:sz w:val="18"/>
          <w:szCs w:val="18"/>
        </w:rPr>
        <w:t>.</w:t>
      </w:r>
      <w:r>
        <w:rPr>
          <w:rFonts w:ascii="Times New Roman" w:hAnsi="Times New Roman"/>
          <w:sz w:val="18"/>
          <w:szCs w:val="18"/>
        </w:rPr>
        <w:t xml:space="preserve"> </w:t>
      </w:r>
      <w:r w:rsidRPr="00321F19">
        <w:rPr>
          <w:rFonts w:ascii="Times New Roman" w:hAnsi="Times New Roman"/>
          <w:sz w:val="18"/>
          <w:szCs w:val="18"/>
        </w:rPr>
        <w:t>(</w:t>
      </w:r>
      <w:r w:rsidRPr="00C06942">
        <w:rPr>
          <w:rFonts w:ascii="Times New Roman" w:hAnsi="Times New Roman"/>
          <w:color w:val="222222"/>
          <w:sz w:val="18"/>
          <w:szCs w:val="18"/>
          <w:shd w:val="clear" w:color="auto" w:fill="FFFFFF"/>
        </w:rPr>
        <w:t>Siddique, O., 2013. </w:t>
      </w:r>
      <w:r w:rsidRPr="00C06942">
        <w:rPr>
          <w:rFonts w:ascii="Times New Roman" w:hAnsi="Times New Roman"/>
          <w:i/>
          <w:iCs/>
          <w:color w:val="222222"/>
          <w:sz w:val="18"/>
          <w:szCs w:val="18"/>
          <w:shd w:val="clear" w:color="auto" w:fill="FFFFFF"/>
        </w:rPr>
        <w:t>Pakistan's experience with formal law: an alien justice</w:t>
      </w:r>
      <w:r w:rsidRPr="00321F19">
        <w:rPr>
          <w:rFonts w:ascii="Times New Roman" w:hAnsi="Times New Roman"/>
          <w:color w:val="222222"/>
          <w:sz w:val="18"/>
          <w:szCs w:val="18"/>
          <w:shd w:val="clear" w:color="auto" w:fill="FFFFFF"/>
        </w:rPr>
        <w:t xml:space="preserve">. Cambridge </w:t>
      </w:r>
      <w:r>
        <w:rPr>
          <w:rFonts w:ascii="Times New Roman" w:hAnsi="Times New Roman"/>
          <w:color w:val="222222"/>
          <w:sz w:val="18"/>
          <w:szCs w:val="18"/>
          <w:shd w:val="clear" w:color="auto" w:fill="FFFFFF"/>
        </w:rPr>
        <w:t>U</w:t>
      </w:r>
      <w:r w:rsidRPr="00321F19">
        <w:rPr>
          <w:rFonts w:ascii="Times New Roman" w:hAnsi="Times New Roman"/>
          <w:color w:val="222222"/>
          <w:sz w:val="18"/>
          <w:szCs w:val="18"/>
          <w:shd w:val="clear" w:color="auto" w:fill="FFFFFF"/>
        </w:rPr>
        <w:t xml:space="preserve">niversity </w:t>
      </w:r>
      <w:r>
        <w:rPr>
          <w:rFonts w:ascii="Times New Roman" w:hAnsi="Times New Roman"/>
          <w:color w:val="222222"/>
          <w:sz w:val="18"/>
          <w:szCs w:val="18"/>
          <w:shd w:val="clear" w:color="auto" w:fill="FFFFFF"/>
        </w:rPr>
        <w:t>P</w:t>
      </w:r>
      <w:r w:rsidRPr="00321F19">
        <w:rPr>
          <w:rFonts w:ascii="Times New Roman" w:hAnsi="Times New Roman"/>
          <w:color w:val="222222"/>
          <w:sz w:val="18"/>
          <w:szCs w:val="18"/>
          <w:shd w:val="clear" w:color="auto" w:fill="FFFFFF"/>
        </w:rPr>
        <w:t>ress, p</w:t>
      </w:r>
      <w:r w:rsidRPr="00C06942">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 xml:space="preserve"> 20.).</w:t>
      </w:r>
    </w:p>
  </w:footnote>
  <w:footnote w:id="8">
    <w:p w14:paraId="0C99AD3B" w14:textId="115CB637" w:rsidR="00D513C7" w:rsidRPr="00AF7CCF" w:rsidRDefault="00D513C7" w:rsidP="00B152AD">
      <w:pPr>
        <w:pStyle w:val="FootnoteText"/>
        <w:ind w:right="1170"/>
        <w:rPr>
          <w:rFonts w:ascii="Times New Roman" w:hAnsi="Times New Roman"/>
          <w:sz w:val="18"/>
          <w:szCs w:val="18"/>
        </w:rPr>
      </w:pPr>
      <w:r w:rsidRPr="00AF7CCF">
        <w:rPr>
          <w:rStyle w:val="FootnoteReference"/>
          <w:rFonts w:ascii="Times New Roman" w:hAnsi="Times New Roman"/>
          <w:sz w:val="18"/>
          <w:szCs w:val="18"/>
        </w:rPr>
        <w:footnoteRef/>
      </w:r>
      <w:r w:rsidRPr="00C67E2F">
        <w:rPr>
          <w:rFonts w:ascii="Times New Roman" w:hAnsi="Times New Roman"/>
          <w:sz w:val="18"/>
          <w:szCs w:val="18"/>
        </w:rPr>
        <w:t>U</w:t>
      </w:r>
      <w:r w:rsidRPr="00AF7CCF">
        <w:rPr>
          <w:rFonts w:ascii="Times New Roman" w:hAnsi="Times New Roman"/>
          <w:sz w:val="18"/>
          <w:szCs w:val="18"/>
        </w:rPr>
        <w:t xml:space="preserve">nited </w:t>
      </w:r>
      <w:r w:rsidRPr="00C67E2F">
        <w:rPr>
          <w:rFonts w:ascii="Times New Roman" w:hAnsi="Times New Roman"/>
          <w:sz w:val="18"/>
          <w:szCs w:val="18"/>
        </w:rPr>
        <w:t>N</w:t>
      </w:r>
      <w:r w:rsidRPr="00AF7CCF">
        <w:rPr>
          <w:rFonts w:ascii="Times New Roman" w:hAnsi="Times New Roman"/>
          <w:sz w:val="18"/>
          <w:szCs w:val="18"/>
        </w:rPr>
        <w:t>ations</w:t>
      </w:r>
      <w:r>
        <w:rPr>
          <w:rFonts w:ascii="Times New Roman" w:hAnsi="Times New Roman"/>
          <w:sz w:val="18"/>
          <w:szCs w:val="18"/>
        </w:rPr>
        <w:t>, C</w:t>
      </w:r>
      <w:r w:rsidRPr="00C67E2F">
        <w:rPr>
          <w:rFonts w:ascii="Times New Roman" w:hAnsi="Times New Roman"/>
          <w:sz w:val="18"/>
          <w:szCs w:val="18"/>
        </w:rPr>
        <w:t xml:space="preserve">ommon </w:t>
      </w:r>
      <w:r>
        <w:rPr>
          <w:rFonts w:ascii="Times New Roman" w:hAnsi="Times New Roman"/>
          <w:sz w:val="18"/>
          <w:szCs w:val="18"/>
        </w:rPr>
        <w:t>c</w:t>
      </w:r>
      <w:r w:rsidRPr="00C67E2F">
        <w:rPr>
          <w:rFonts w:ascii="Times New Roman" w:hAnsi="Times New Roman"/>
          <w:sz w:val="18"/>
          <w:szCs w:val="18"/>
        </w:rPr>
        <w:t xml:space="preserve">ountry </w:t>
      </w:r>
      <w:r>
        <w:rPr>
          <w:rFonts w:ascii="Times New Roman" w:hAnsi="Times New Roman"/>
          <w:sz w:val="18"/>
          <w:szCs w:val="18"/>
        </w:rPr>
        <w:t>a</w:t>
      </w:r>
      <w:r w:rsidRPr="00C67E2F">
        <w:rPr>
          <w:rFonts w:ascii="Times New Roman" w:hAnsi="Times New Roman"/>
          <w:sz w:val="18"/>
          <w:szCs w:val="18"/>
        </w:rPr>
        <w:t>ssessment for Pakistan, 2016</w:t>
      </w:r>
      <w:r w:rsidRPr="00AF7CCF">
        <w:rPr>
          <w:rFonts w:ascii="Times New Roman" w:hAnsi="Times New Roman"/>
          <w:sz w:val="18"/>
          <w:szCs w:val="18"/>
        </w:rPr>
        <w:t xml:space="preserve">, p. 53. </w:t>
      </w:r>
    </w:p>
  </w:footnote>
  <w:footnote w:id="9">
    <w:p w14:paraId="7AB9097F" w14:textId="6CCB2B9D" w:rsidR="00D513C7" w:rsidRPr="00AF7CCF" w:rsidRDefault="00D513C7" w:rsidP="00E5794D">
      <w:pPr>
        <w:pStyle w:val="FootnoteText"/>
        <w:ind w:right="1170"/>
        <w:rPr>
          <w:rFonts w:ascii="Times New Roman" w:hAnsi="Times New Roman"/>
          <w:sz w:val="18"/>
          <w:szCs w:val="18"/>
        </w:rPr>
      </w:pPr>
      <w:r w:rsidRPr="00AF7CCF">
        <w:rPr>
          <w:rStyle w:val="FootnoteReference"/>
          <w:rFonts w:ascii="Times New Roman" w:hAnsi="Times New Roman"/>
          <w:sz w:val="18"/>
          <w:szCs w:val="18"/>
        </w:rPr>
        <w:footnoteRef/>
      </w:r>
      <w:r w:rsidRPr="00C67E2F">
        <w:rPr>
          <w:rFonts w:ascii="Times New Roman" w:hAnsi="Times New Roman"/>
          <w:sz w:val="18"/>
          <w:szCs w:val="18"/>
        </w:rPr>
        <w:t>U</w:t>
      </w:r>
      <w:r w:rsidRPr="00AF7CCF">
        <w:rPr>
          <w:rFonts w:ascii="Times New Roman" w:hAnsi="Times New Roman"/>
          <w:sz w:val="18"/>
          <w:szCs w:val="18"/>
        </w:rPr>
        <w:t xml:space="preserve">nited </w:t>
      </w:r>
      <w:r w:rsidRPr="00C67E2F">
        <w:rPr>
          <w:rFonts w:ascii="Times New Roman" w:hAnsi="Times New Roman"/>
          <w:sz w:val="18"/>
          <w:szCs w:val="18"/>
        </w:rPr>
        <w:t>N</w:t>
      </w:r>
      <w:r w:rsidRPr="00AF7CCF">
        <w:rPr>
          <w:rFonts w:ascii="Times New Roman" w:hAnsi="Times New Roman"/>
          <w:sz w:val="18"/>
          <w:szCs w:val="18"/>
        </w:rPr>
        <w:t>ations</w:t>
      </w:r>
      <w:r>
        <w:rPr>
          <w:rFonts w:ascii="Times New Roman" w:hAnsi="Times New Roman"/>
          <w:sz w:val="18"/>
          <w:szCs w:val="18"/>
        </w:rPr>
        <w:t>, C</w:t>
      </w:r>
      <w:r w:rsidRPr="00C67E2F">
        <w:rPr>
          <w:rFonts w:ascii="Times New Roman" w:hAnsi="Times New Roman"/>
          <w:sz w:val="18"/>
          <w:szCs w:val="18"/>
        </w:rPr>
        <w:t xml:space="preserve">ommon </w:t>
      </w:r>
      <w:r>
        <w:rPr>
          <w:rFonts w:ascii="Times New Roman" w:hAnsi="Times New Roman"/>
          <w:sz w:val="18"/>
          <w:szCs w:val="18"/>
        </w:rPr>
        <w:t>c</w:t>
      </w:r>
      <w:r w:rsidRPr="00C67E2F">
        <w:rPr>
          <w:rFonts w:ascii="Times New Roman" w:hAnsi="Times New Roman"/>
          <w:sz w:val="18"/>
          <w:szCs w:val="18"/>
        </w:rPr>
        <w:t xml:space="preserve">ountry </w:t>
      </w:r>
      <w:r>
        <w:rPr>
          <w:rFonts w:ascii="Times New Roman" w:hAnsi="Times New Roman"/>
          <w:sz w:val="18"/>
          <w:szCs w:val="18"/>
        </w:rPr>
        <w:t>a</w:t>
      </w:r>
      <w:r w:rsidRPr="00C67E2F">
        <w:rPr>
          <w:rFonts w:ascii="Times New Roman" w:hAnsi="Times New Roman"/>
          <w:sz w:val="18"/>
          <w:szCs w:val="18"/>
        </w:rPr>
        <w:t>ssessment for Pakistan, 2016</w:t>
      </w:r>
      <w:r w:rsidRPr="00AF7CCF">
        <w:rPr>
          <w:rFonts w:ascii="Times New Roman" w:hAnsi="Times New Roman"/>
          <w:sz w:val="18"/>
          <w:szCs w:val="18"/>
        </w:rPr>
        <w:t>, p. 7.</w:t>
      </w:r>
    </w:p>
  </w:footnote>
  <w:footnote w:id="10">
    <w:p w14:paraId="59D96900" w14:textId="3EE87F8C" w:rsidR="00D513C7" w:rsidRPr="00AF7CCF" w:rsidRDefault="00D513C7" w:rsidP="00AE687C">
      <w:pPr>
        <w:autoSpaceDE w:val="0"/>
        <w:autoSpaceDN w:val="0"/>
        <w:adjustRightInd w:val="0"/>
        <w:ind w:right="990"/>
        <w:jc w:val="both"/>
        <w:rPr>
          <w:color w:val="57585B"/>
          <w:sz w:val="18"/>
          <w:szCs w:val="18"/>
        </w:rPr>
      </w:pPr>
      <w:r w:rsidRPr="00AF7CCF">
        <w:rPr>
          <w:rStyle w:val="FootnoteReference"/>
          <w:sz w:val="18"/>
          <w:szCs w:val="18"/>
        </w:rPr>
        <w:footnoteRef/>
      </w:r>
      <w:r w:rsidRPr="00AF7CCF">
        <w:rPr>
          <w:sz w:val="18"/>
          <w:szCs w:val="18"/>
        </w:rPr>
        <w:t>U</w:t>
      </w:r>
      <w:r w:rsidRPr="00C67E2F">
        <w:rPr>
          <w:sz w:val="18"/>
          <w:szCs w:val="18"/>
        </w:rPr>
        <w:t xml:space="preserve">nited </w:t>
      </w:r>
      <w:r w:rsidRPr="00AF7CCF">
        <w:rPr>
          <w:sz w:val="18"/>
          <w:szCs w:val="18"/>
        </w:rPr>
        <w:t>N</w:t>
      </w:r>
      <w:r w:rsidRPr="00C67E2F">
        <w:rPr>
          <w:sz w:val="18"/>
          <w:szCs w:val="18"/>
        </w:rPr>
        <w:t>ations</w:t>
      </w:r>
      <w:r w:rsidRPr="00AF7CCF">
        <w:rPr>
          <w:sz w:val="18"/>
          <w:szCs w:val="18"/>
        </w:rPr>
        <w:t xml:space="preserve">, </w:t>
      </w:r>
      <w:r>
        <w:rPr>
          <w:sz w:val="18"/>
          <w:szCs w:val="18"/>
        </w:rPr>
        <w:t>C</w:t>
      </w:r>
      <w:r w:rsidRPr="00AF7CCF">
        <w:rPr>
          <w:sz w:val="18"/>
          <w:szCs w:val="18"/>
        </w:rPr>
        <w:t>ommon</w:t>
      </w:r>
      <w:r>
        <w:rPr>
          <w:sz w:val="18"/>
          <w:szCs w:val="18"/>
        </w:rPr>
        <w:t xml:space="preserve"> c</w:t>
      </w:r>
      <w:r w:rsidRPr="00AF7CCF">
        <w:rPr>
          <w:sz w:val="18"/>
          <w:szCs w:val="18"/>
        </w:rPr>
        <w:t>ountry</w:t>
      </w:r>
      <w:r>
        <w:rPr>
          <w:sz w:val="18"/>
          <w:szCs w:val="18"/>
        </w:rPr>
        <w:t xml:space="preserve"> a</w:t>
      </w:r>
      <w:r w:rsidRPr="00AF7CCF">
        <w:rPr>
          <w:sz w:val="18"/>
          <w:szCs w:val="18"/>
        </w:rPr>
        <w:t xml:space="preserve">ssessment for Pakistan, 2016, p. </w:t>
      </w:r>
      <w:r w:rsidRPr="00AF7CCF">
        <w:rPr>
          <w:color w:val="57585B"/>
          <w:sz w:val="18"/>
          <w:szCs w:val="18"/>
        </w:rPr>
        <w:t>18.</w:t>
      </w:r>
    </w:p>
  </w:footnote>
  <w:footnote w:id="11">
    <w:p w14:paraId="765DF74B" w14:textId="77777777" w:rsidR="00D513C7" w:rsidRPr="00922C41" w:rsidRDefault="00D513C7" w:rsidP="00262BBE">
      <w:pPr>
        <w:pStyle w:val="FootnoteText"/>
        <w:rPr>
          <w:lang w:val="en-ZW"/>
        </w:rPr>
      </w:pPr>
      <w:r>
        <w:rPr>
          <w:rStyle w:val="FootnoteReference"/>
        </w:rPr>
        <w:footnoteRef/>
      </w:r>
      <w:r w:rsidRPr="00922C41">
        <w:rPr>
          <w:rFonts w:ascii="Times New Roman" w:hAnsi="Times New Roman"/>
          <w:sz w:val="18"/>
          <w:szCs w:val="18"/>
        </w:rPr>
        <w:t>Pakistan Social and Living Standards Measurement Survey, Pakistan Bureau of Statistics</w:t>
      </w:r>
      <w:r>
        <w:rPr>
          <w:rFonts w:ascii="Times New Roman" w:hAnsi="Times New Roman"/>
          <w:sz w:val="18"/>
          <w:szCs w:val="18"/>
        </w:rPr>
        <w:t>.</w:t>
      </w:r>
    </w:p>
  </w:footnote>
  <w:footnote w:id="12">
    <w:p w14:paraId="0DE4EA37" w14:textId="74A3622F" w:rsidR="00D513C7" w:rsidRDefault="00D513C7" w:rsidP="00262BBE">
      <w:pPr>
        <w:pStyle w:val="FootnoteText"/>
      </w:pPr>
      <w:r>
        <w:rPr>
          <w:rStyle w:val="FootnoteReference"/>
        </w:rPr>
        <w:footnoteRef/>
      </w:r>
      <w:r w:rsidRPr="00435347">
        <w:rPr>
          <w:rFonts w:ascii="Times New Roman" w:hAnsi="Times New Roman"/>
          <w:sz w:val="18"/>
          <w:szCs w:val="18"/>
        </w:rPr>
        <w:t xml:space="preserve">Official websites for </w:t>
      </w:r>
      <w:r>
        <w:rPr>
          <w:rFonts w:ascii="Times New Roman" w:hAnsi="Times New Roman"/>
          <w:sz w:val="18"/>
          <w:szCs w:val="18"/>
        </w:rPr>
        <w:t xml:space="preserve">the </w:t>
      </w:r>
      <w:r w:rsidRPr="00435347">
        <w:rPr>
          <w:rFonts w:ascii="Times New Roman" w:hAnsi="Times New Roman"/>
          <w:sz w:val="18"/>
          <w:szCs w:val="18"/>
        </w:rPr>
        <w:t xml:space="preserve">National Assembly of Pakistan and </w:t>
      </w:r>
      <w:r>
        <w:rPr>
          <w:rFonts w:ascii="Times New Roman" w:hAnsi="Times New Roman"/>
          <w:sz w:val="18"/>
          <w:szCs w:val="18"/>
        </w:rPr>
        <w:t xml:space="preserve">the </w:t>
      </w:r>
      <w:r w:rsidRPr="00435347">
        <w:rPr>
          <w:rFonts w:ascii="Times New Roman" w:hAnsi="Times New Roman"/>
          <w:sz w:val="18"/>
          <w:szCs w:val="18"/>
        </w:rPr>
        <w:t>Senate of Pakistan (</w:t>
      </w:r>
      <w:hyperlink r:id="rId2" w:history="1">
        <w:r w:rsidRPr="00435347">
          <w:rPr>
            <w:rFonts w:ascii="Times New Roman" w:hAnsi="Times New Roman"/>
            <w:sz w:val="18"/>
            <w:szCs w:val="18"/>
          </w:rPr>
          <w:t>http://na.gov.pk/en/all_members.php#</w:t>
        </w:r>
      </w:hyperlink>
      <w:r w:rsidRPr="00435347">
        <w:rPr>
          <w:rFonts w:ascii="Times New Roman" w:hAnsi="Times New Roman"/>
          <w:sz w:val="18"/>
          <w:szCs w:val="18"/>
        </w:rPr>
        <w:t>; http://www.senate.gov.pk/en/women_list.php?id=-1&amp;catid=261&amp;subcatid=2&amp;cattitle=Members of Senate</w:t>
      </w:r>
      <w:r>
        <w:rPr>
          <w:rFonts w:ascii="Times New Roman" w:hAnsi="Times New Roman"/>
          <w:sz w:val="18"/>
          <w:szCs w:val="18"/>
        </w:rPr>
        <w:t>).</w:t>
      </w:r>
    </w:p>
  </w:footnote>
  <w:footnote w:id="13">
    <w:p w14:paraId="21F9FE19" w14:textId="77777777" w:rsidR="00D513C7" w:rsidRDefault="00D513C7" w:rsidP="0056235E">
      <w:pPr>
        <w:pStyle w:val="FootnoteText"/>
        <w:jc w:val="both"/>
      </w:pPr>
      <w:r>
        <w:rPr>
          <w:rStyle w:val="FootnoteReference"/>
        </w:rPr>
        <w:footnoteRef/>
      </w:r>
      <w:r>
        <w:t xml:space="preserve"> </w:t>
      </w:r>
      <w:r w:rsidRPr="00AF7CCF">
        <w:rPr>
          <w:rFonts w:ascii="Times New Roman" w:hAnsi="Times New Roman"/>
          <w:sz w:val="18"/>
          <w:szCs w:val="18"/>
        </w:rPr>
        <w:t xml:space="preserve">UNDP, </w:t>
      </w:r>
      <w:r w:rsidRPr="00AF7CCF">
        <w:rPr>
          <w:rFonts w:ascii="Times New Roman" w:hAnsi="Times New Roman"/>
          <w:i/>
          <w:sz w:val="18"/>
          <w:szCs w:val="18"/>
        </w:rPr>
        <w:t>Human Development Report</w:t>
      </w:r>
      <w:r w:rsidRPr="00AF7CCF">
        <w:rPr>
          <w:rFonts w:ascii="Times New Roman" w:hAnsi="Times New Roman"/>
          <w:sz w:val="18"/>
          <w:szCs w:val="18"/>
        </w:rPr>
        <w:t>,</w:t>
      </w:r>
      <w:r>
        <w:rPr>
          <w:rFonts w:ascii="Times New Roman" w:hAnsi="Times New Roman"/>
          <w:sz w:val="18"/>
          <w:szCs w:val="18"/>
        </w:rPr>
        <w:t xml:space="preserve"> 2016.</w:t>
      </w:r>
    </w:p>
  </w:footnote>
  <w:footnote w:id="14">
    <w:p w14:paraId="5B84AF2C" w14:textId="3A0EF9BC" w:rsidR="00D513C7" w:rsidRDefault="00D513C7" w:rsidP="0056235E">
      <w:pPr>
        <w:pStyle w:val="FootnoteText"/>
        <w:jc w:val="both"/>
      </w:pPr>
      <w:r>
        <w:rPr>
          <w:rStyle w:val="FootnoteReference"/>
        </w:rPr>
        <w:footnoteRef/>
      </w:r>
      <w:r>
        <w:t xml:space="preserve"> </w:t>
      </w:r>
      <w:r w:rsidRPr="00922C41">
        <w:rPr>
          <w:rFonts w:ascii="Times New Roman" w:hAnsi="Times New Roman"/>
          <w:sz w:val="18"/>
          <w:szCs w:val="18"/>
        </w:rPr>
        <w:t xml:space="preserve">Pakistan </w:t>
      </w:r>
      <w:r w:rsidR="00CF609C" w:rsidRPr="00922C41">
        <w:rPr>
          <w:rFonts w:ascii="Times New Roman" w:hAnsi="Times New Roman"/>
          <w:sz w:val="18"/>
          <w:szCs w:val="18"/>
        </w:rPr>
        <w:t>Bureau</w:t>
      </w:r>
      <w:r w:rsidRPr="00922C41">
        <w:rPr>
          <w:rFonts w:ascii="Times New Roman" w:hAnsi="Times New Roman"/>
          <w:sz w:val="18"/>
          <w:szCs w:val="18"/>
        </w:rPr>
        <w:t xml:space="preserve"> of Statistics, </w:t>
      </w:r>
      <w:r w:rsidRPr="00AF7CCF">
        <w:rPr>
          <w:rFonts w:ascii="Times New Roman" w:hAnsi="Times New Roman"/>
          <w:sz w:val="18"/>
          <w:szCs w:val="18"/>
        </w:rPr>
        <w:t>Economic Survey</w:t>
      </w:r>
      <w:r>
        <w:rPr>
          <w:rFonts w:ascii="Times New Roman" w:hAnsi="Times New Roman"/>
          <w:sz w:val="18"/>
          <w:szCs w:val="18"/>
        </w:rPr>
        <w:t xml:space="preserve"> of Pakistan, 2016</w:t>
      </w:r>
      <w:r w:rsidRPr="00AF7CCF">
        <w:rPr>
          <w:rFonts w:ascii="Times New Roman" w:hAnsi="Times New Roman"/>
          <w:sz w:val="18"/>
          <w:szCs w:val="18"/>
        </w:rPr>
        <w:t>-201</w:t>
      </w:r>
      <w:r>
        <w:rPr>
          <w:rFonts w:ascii="Times New Roman" w:hAnsi="Times New Roman"/>
          <w:sz w:val="18"/>
          <w:szCs w:val="18"/>
        </w:rPr>
        <w:t>7.</w:t>
      </w:r>
    </w:p>
  </w:footnote>
  <w:footnote w:id="15">
    <w:p w14:paraId="1630674C" w14:textId="32B950E4" w:rsidR="00D513C7" w:rsidRDefault="00D513C7" w:rsidP="0056235E">
      <w:pPr>
        <w:pStyle w:val="FootnoteText"/>
        <w:jc w:val="both"/>
      </w:pPr>
      <w:r>
        <w:rPr>
          <w:rStyle w:val="FootnoteReference"/>
        </w:rPr>
        <w:footnoteRef/>
      </w:r>
      <w:r>
        <w:t xml:space="preserve"> </w:t>
      </w:r>
      <w:r w:rsidRPr="00A00EB9">
        <w:rPr>
          <w:rFonts w:ascii="Times New Roman" w:hAnsi="Times New Roman"/>
          <w:sz w:val="18"/>
          <w:szCs w:val="18"/>
        </w:rPr>
        <w:t>https://data.worldbank.org/indicator/SL.UEM.TOTL.ZS?locations=PK</w:t>
      </w:r>
      <w:r>
        <w:rPr>
          <w:rFonts w:ascii="Times New Roman" w:hAnsi="Times New Roman"/>
          <w:sz w:val="18"/>
          <w:szCs w:val="18"/>
        </w:rPr>
        <w:t>.</w:t>
      </w:r>
    </w:p>
  </w:footnote>
  <w:footnote w:id="16">
    <w:p w14:paraId="16B830BA" w14:textId="0A610E4D" w:rsidR="00D513C7" w:rsidRPr="00AF7CCF" w:rsidRDefault="00D513C7" w:rsidP="0056235E">
      <w:pPr>
        <w:pStyle w:val="FootnoteText"/>
        <w:ind w:right="990"/>
        <w:jc w:val="both"/>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sidRPr="00A46F4E">
        <w:rPr>
          <w:rFonts w:ascii="Times New Roman" w:hAnsi="Times New Roman"/>
          <w:sz w:val="18"/>
          <w:szCs w:val="18"/>
        </w:rPr>
        <w:t>https://data.worldbank.org/indicator/SL.UEM.1524.ZS?locations=PK</w:t>
      </w:r>
      <w:r>
        <w:rPr>
          <w:rFonts w:ascii="Times New Roman" w:hAnsi="Times New Roman"/>
          <w:sz w:val="18"/>
          <w:szCs w:val="18"/>
        </w:rPr>
        <w:t>.</w:t>
      </w:r>
      <w:r w:rsidRPr="00AF7CCF">
        <w:rPr>
          <w:rFonts w:ascii="Times New Roman" w:hAnsi="Times New Roman"/>
          <w:sz w:val="18"/>
          <w:szCs w:val="18"/>
        </w:rPr>
        <w:t xml:space="preserve"> </w:t>
      </w:r>
    </w:p>
  </w:footnote>
  <w:footnote w:id="17">
    <w:p w14:paraId="65FA7A6E" w14:textId="6F1F96D8" w:rsidR="00D513C7" w:rsidRPr="00AF7CCF" w:rsidRDefault="00D513C7" w:rsidP="0056235E">
      <w:pPr>
        <w:ind w:right="990"/>
        <w:jc w:val="both"/>
        <w:rPr>
          <w:color w:val="000000"/>
          <w:sz w:val="18"/>
          <w:szCs w:val="18"/>
        </w:rPr>
      </w:pPr>
      <w:r w:rsidRPr="00AF7CCF">
        <w:rPr>
          <w:rStyle w:val="FootnoteReference"/>
          <w:sz w:val="18"/>
          <w:szCs w:val="18"/>
        </w:rPr>
        <w:footnoteRef/>
      </w:r>
      <w:r w:rsidRPr="00AF7CCF">
        <w:rPr>
          <w:sz w:val="18"/>
          <w:szCs w:val="18"/>
        </w:rPr>
        <w:t xml:space="preserve"> </w:t>
      </w:r>
      <w:r w:rsidRPr="00AF7CCF">
        <w:rPr>
          <w:color w:val="000000"/>
          <w:sz w:val="18"/>
          <w:szCs w:val="18"/>
        </w:rPr>
        <w:t>Economic Survey</w:t>
      </w:r>
      <w:r>
        <w:rPr>
          <w:color w:val="000000"/>
          <w:sz w:val="18"/>
          <w:szCs w:val="18"/>
        </w:rPr>
        <w:t>,</w:t>
      </w:r>
      <w:r w:rsidRPr="00AF7CCF">
        <w:rPr>
          <w:color w:val="000000"/>
          <w:sz w:val="18"/>
          <w:szCs w:val="18"/>
        </w:rPr>
        <w:t xml:space="preserve"> 2015-2016.</w:t>
      </w:r>
    </w:p>
  </w:footnote>
  <w:footnote w:id="18">
    <w:p w14:paraId="55101F6B" w14:textId="01AFA6FA" w:rsidR="00D513C7" w:rsidRPr="00AF7CCF" w:rsidRDefault="00D513C7" w:rsidP="0056235E">
      <w:pPr>
        <w:pStyle w:val="Default"/>
        <w:ind w:right="990"/>
        <w:jc w:val="both"/>
        <w:rPr>
          <w:sz w:val="18"/>
          <w:szCs w:val="18"/>
        </w:rPr>
      </w:pPr>
      <w:r w:rsidRPr="00AF7CCF">
        <w:rPr>
          <w:rStyle w:val="FootnoteReference"/>
          <w:color w:val="auto"/>
          <w:sz w:val="18"/>
          <w:szCs w:val="18"/>
        </w:rPr>
        <w:footnoteRef/>
      </w:r>
      <w:r>
        <w:rPr>
          <w:rStyle w:val="FootnoteReference"/>
          <w:color w:val="auto"/>
          <w:sz w:val="18"/>
          <w:szCs w:val="18"/>
        </w:rPr>
        <w:t xml:space="preserve"> </w:t>
      </w:r>
      <w:r w:rsidRPr="00AF7CCF">
        <w:rPr>
          <w:color w:val="auto"/>
          <w:sz w:val="18"/>
          <w:szCs w:val="18"/>
        </w:rPr>
        <w:t xml:space="preserve">UNDP, </w:t>
      </w:r>
      <w:r>
        <w:rPr>
          <w:color w:val="auto"/>
          <w:sz w:val="18"/>
          <w:szCs w:val="18"/>
        </w:rPr>
        <w:t xml:space="preserve">National human development report, </w:t>
      </w:r>
      <w:r w:rsidRPr="00AF7CCF">
        <w:rPr>
          <w:color w:val="auto"/>
          <w:sz w:val="18"/>
          <w:szCs w:val="18"/>
        </w:rPr>
        <w:t xml:space="preserve">2015, Pakistan’s </w:t>
      </w:r>
      <w:r>
        <w:rPr>
          <w:color w:val="auto"/>
          <w:sz w:val="18"/>
          <w:szCs w:val="18"/>
        </w:rPr>
        <w:t>d</w:t>
      </w:r>
      <w:r w:rsidRPr="00AF7CCF">
        <w:rPr>
          <w:color w:val="auto"/>
          <w:sz w:val="18"/>
          <w:szCs w:val="18"/>
        </w:rPr>
        <w:t xml:space="preserve">emographic </w:t>
      </w:r>
      <w:r>
        <w:rPr>
          <w:color w:val="auto"/>
          <w:sz w:val="18"/>
          <w:szCs w:val="18"/>
        </w:rPr>
        <w:t>t</w:t>
      </w:r>
      <w:r w:rsidRPr="00AF7CCF">
        <w:rPr>
          <w:color w:val="auto"/>
          <w:sz w:val="18"/>
          <w:szCs w:val="18"/>
        </w:rPr>
        <w:t xml:space="preserve">ransition: Young </w:t>
      </w:r>
      <w:r>
        <w:rPr>
          <w:color w:val="auto"/>
          <w:sz w:val="18"/>
          <w:szCs w:val="18"/>
        </w:rPr>
        <w:t>a</w:t>
      </w:r>
      <w:r w:rsidRPr="00AF7CCF">
        <w:rPr>
          <w:color w:val="auto"/>
          <w:sz w:val="18"/>
          <w:szCs w:val="18"/>
        </w:rPr>
        <w:t xml:space="preserve">dults, </w:t>
      </w:r>
      <w:r>
        <w:rPr>
          <w:color w:val="auto"/>
          <w:sz w:val="18"/>
          <w:szCs w:val="18"/>
        </w:rPr>
        <w:t>h</w:t>
      </w:r>
      <w:r w:rsidRPr="00AF7CCF">
        <w:rPr>
          <w:color w:val="auto"/>
          <w:sz w:val="18"/>
          <w:szCs w:val="18"/>
        </w:rPr>
        <w:t xml:space="preserve">uman </w:t>
      </w:r>
      <w:r>
        <w:rPr>
          <w:color w:val="auto"/>
          <w:sz w:val="18"/>
          <w:szCs w:val="18"/>
        </w:rPr>
        <w:t>c</w:t>
      </w:r>
      <w:r w:rsidRPr="00AF7CCF">
        <w:rPr>
          <w:color w:val="auto"/>
          <w:sz w:val="18"/>
          <w:szCs w:val="18"/>
        </w:rPr>
        <w:t xml:space="preserve">apital and </w:t>
      </w:r>
      <w:r>
        <w:rPr>
          <w:color w:val="auto"/>
          <w:sz w:val="18"/>
          <w:szCs w:val="18"/>
        </w:rPr>
        <w:t>j</w:t>
      </w:r>
      <w:r w:rsidRPr="00AF7CCF">
        <w:rPr>
          <w:color w:val="auto"/>
          <w:sz w:val="18"/>
          <w:szCs w:val="18"/>
        </w:rPr>
        <w:t>obs. See also</w:t>
      </w:r>
      <w:r>
        <w:rPr>
          <w:color w:val="auto"/>
          <w:sz w:val="18"/>
          <w:szCs w:val="18"/>
        </w:rPr>
        <w:t>,</w:t>
      </w:r>
      <w:r w:rsidRPr="00AF7CCF">
        <w:rPr>
          <w:color w:val="auto"/>
          <w:sz w:val="18"/>
          <w:szCs w:val="18"/>
        </w:rPr>
        <w:t xml:space="preserve"> </w:t>
      </w:r>
      <w:r w:rsidRPr="00AF7CCF">
        <w:rPr>
          <w:sz w:val="18"/>
          <w:szCs w:val="18"/>
        </w:rPr>
        <w:t xml:space="preserve">Islamabad Policy Research Institute, </w:t>
      </w:r>
      <w:hyperlink r:id="rId3" w:tooltip="Permanent Link to Pakistan’s Youth Bulge: Human Resource Development (HRD) Challenges" w:history="1">
        <w:r w:rsidRPr="00AF7CCF">
          <w:rPr>
            <w:sz w:val="18"/>
            <w:szCs w:val="18"/>
          </w:rPr>
          <w:t xml:space="preserve">Pakistan’s </w:t>
        </w:r>
        <w:r>
          <w:rPr>
            <w:sz w:val="18"/>
            <w:szCs w:val="18"/>
          </w:rPr>
          <w:t>y</w:t>
        </w:r>
        <w:r w:rsidRPr="00AF7CCF">
          <w:rPr>
            <w:sz w:val="18"/>
            <w:szCs w:val="18"/>
          </w:rPr>
          <w:t xml:space="preserve">outh </w:t>
        </w:r>
        <w:r>
          <w:rPr>
            <w:sz w:val="18"/>
            <w:szCs w:val="18"/>
          </w:rPr>
          <w:t>b</w:t>
        </w:r>
        <w:r w:rsidRPr="00AF7CCF">
          <w:rPr>
            <w:sz w:val="18"/>
            <w:szCs w:val="18"/>
          </w:rPr>
          <w:t xml:space="preserve">ulge: </w:t>
        </w:r>
        <w:r>
          <w:rPr>
            <w:sz w:val="18"/>
            <w:szCs w:val="18"/>
          </w:rPr>
          <w:t>h</w:t>
        </w:r>
        <w:r w:rsidRPr="00AF7CCF">
          <w:rPr>
            <w:sz w:val="18"/>
            <w:szCs w:val="18"/>
          </w:rPr>
          <w:t xml:space="preserve">uman </w:t>
        </w:r>
        <w:r>
          <w:rPr>
            <w:sz w:val="18"/>
            <w:szCs w:val="18"/>
          </w:rPr>
          <w:t>r</w:t>
        </w:r>
        <w:r w:rsidRPr="00AF7CCF">
          <w:rPr>
            <w:sz w:val="18"/>
            <w:szCs w:val="18"/>
          </w:rPr>
          <w:t xml:space="preserve">esource </w:t>
        </w:r>
        <w:r>
          <w:rPr>
            <w:sz w:val="18"/>
            <w:szCs w:val="18"/>
          </w:rPr>
          <w:t>d</w:t>
        </w:r>
        <w:r w:rsidRPr="00AF7CCF">
          <w:rPr>
            <w:sz w:val="18"/>
            <w:szCs w:val="18"/>
          </w:rPr>
          <w:t xml:space="preserve">evelopment </w:t>
        </w:r>
        <w:r>
          <w:rPr>
            <w:sz w:val="18"/>
            <w:szCs w:val="18"/>
          </w:rPr>
          <w:t>c</w:t>
        </w:r>
        <w:r w:rsidRPr="00AF7CCF">
          <w:rPr>
            <w:sz w:val="18"/>
            <w:szCs w:val="18"/>
          </w:rPr>
          <w:t>hallenges</w:t>
        </w:r>
      </w:hyperlink>
      <w:r w:rsidRPr="00AF7CCF">
        <w:rPr>
          <w:sz w:val="18"/>
          <w:szCs w:val="18"/>
        </w:rPr>
        <w:t xml:space="preserve"> </w:t>
      </w:r>
      <w:r>
        <w:rPr>
          <w:sz w:val="18"/>
          <w:szCs w:val="18"/>
        </w:rPr>
        <w:t>(</w:t>
      </w:r>
      <w:r w:rsidRPr="00AF7CCF">
        <w:rPr>
          <w:sz w:val="18"/>
          <w:szCs w:val="18"/>
        </w:rPr>
        <w:t>http://www.ipripak.org/pakistans-youth-bulge-human-resource-development-hrd-challenges</w:t>
      </w:r>
      <w:r>
        <w:rPr>
          <w:sz w:val="18"/>
          <w:szCs w:val="18"/>
        </w:rPr>
        <w:t>)</w:t>
      </w:r>
      <w:r w:rsidRPr="00AF7CCF">
        <w:rPr>
          <w:sz w:val="18"/>
          <w:szCs w:val="18"/>
        </w:rPr>
        <w:t>.</w:t>
      </w:r>
    </w:p>
  </w:footnote>
  <w:footnote w:id="19">
    <w:p w14:paraId="60AFA18A" w14:textId="04BFA44B" w:rsidR="00D513C7" w:rsidRPr="00AF7CCF" w:rsidRDefault="00D513C7" w:rsidP="0056235E">
      <w:pPr>
        <w:pStyle w:val="FootnoteText"/>
        <w:ind w:right="990"/>
        <w:jc w:val="both"/>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Economic Survey</w:t>
      </w:r>
      <w:r>
        <w:rPr>
          <w:rFonts w:ascii="Times New Roman" w:hAnsi="Times New Roman"/>
          <w:sz w:val="18"/>
          <w:szCs w:val="18"/>
        </w:rPr>
        <w:t>,</w:t>
      </w:r>
      <w:r w:rsidRPr="00AF7CCF">
        <w:rPr>
          <w:rFonts w:ascii="Times New Roman" w:hAnsi="Times New Roman"/>
          <w:sz w:val="18"/>
          <w:szCs w:val="18"/>
        </w:rPr>
        <w:t xml:space="preserve"> 2015-2016. </w:t>
      </w:r>
    </w:p>
  </w:footnote>
  <w:footnote w:id="20">
    <w:p w14:paraId="4CD50904" w14:textId="3C84DE31" w:rsidR="00D513C7" w:rsidRPr="00AF7CCF" w:rsidRDefault="00D513C7" w:rsidP="0056235E">
      <w:pPr>
        <w:pStyle w:val="FootnoteText"/>
        <w:ind w:right="990"/>
        <w:jc w:val="both"/>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Pr>
          <w:rFonts w:ascii="Times New Roman" w:hAnsi="Times New Roman"/>
          <w:sz w:val="18"/>
          <w:szCs w:val="18"/>
        </w:rPr>
        <w:t>Ibid.</w:t>
      </w:r>
    </w:p>
  </w:footnote>
  <w:footnote w:id="21">
    <w:p w14:paraId="63134F83" w14:textId="77777777" w:rsidR="00D513C7" w:rsidRDefault="00D513C7" w:rsidP="0056235E">
      <w:pPr>
        <w:pStyle w:val="FootnoteText"/>
        <w:jc w:val="both"/>
      </w:pPr>
      <w:r>
        <w:rPr>
          <w:rStyle w:val="FootnoteReference"/>
        </w:rPr>
        <w:footnoteRef/>
      </w:r>
      <w:r>
        <w:t xml:space="preserve"> </w:t>
      </w:r>
      <w:r w:rsidRPr="00AF7CCF">
        <w:rPr>
          <w:rFonts w:ascii="Times New Roman" w:hAnsi="Times New Roman"/>
          <w:sz w:val="18"/>
          <w:szCs w:val="18"/>
        </w:rPr>
        <w:t xml:space="preserve">Pakistan’s </w:t>
      </w:r>
      <w:r>
        <w:rPr>
          <w:rFonts w:ascii="Times New Roman" w:hAnsi="Times New Roman"/>
          <w:sz w:val="18"/>
          <w:szCs w:val="18"/>
        </w:rPr>
        <w:t>h</w:t>
      </w:r>
      <w:r w:rsidRPr="00AF7CCF">
        <w:rPr>
          <w:rFonts w:ascii="Times New Roman" w:hAnsi="Times New Roman"/>
          <w:sz w:val="18"/>
          <w:szCs w:val="18"/>
        </w:rPr>
        <w:t xml:space="preserve">uman </w:t>
      </w:r>
      <w:r>
        <w:rPr>
          <w:rFonts w:ascii="Times New Roman" w:hAnsi="Times New Roman"/>
          <w:sz w:val="18"/>
          <w:szCs w:val="18"/>
        </w:rPr>
        <w:t>d</w:t>
      </w:r>
      <w:r w:rsidRPr="00AF7CCF">
        <w:rPr>
          <w:rFonts w:ascii="Times New Roman" w:hAnsi="Times New Roman"/>
          <w:sz w:val="18"/>
          <w:szCs w:val="18"/>
        </w:rPr>
        <w:t xml:space="preserve">evelopment </w:t>
      </w:r>
      <w:r>
        <w:rPr>
          <w:rFonts w:ascii="Times New Roman" w:hAnsi="Times New Roman"/>
          <w:sz w:val="18"/>
          <w:szCs w:val="18"/>
        </w:rPr>
        <w:t>i</w:t>
      </w:r>
      <w:r w:rsidRPr="00AF7CCF">
        <w:rPr>
          <w:rFonts w:ascii="Times New Roman" w:hAnsi="Times New Roman"/>
          <w:sz w:val="18"/>
          <w:szCs w:val="18"/>
        </w:rPr>
        <w:t>ndex stood at 0.55 in 2015</w:t>
      </w:r>
      <w:r>
        <w:rPr>
          <w:rFonts w:ascii="Times New Roman" w:hAnsi="Times New Roman"/>
          <w:sz w:val="18"/>
          <w:szCs w:val="18"/>
        </w:rPr>
        <w:t>.</w:t>
      </w:r>
    </w:p>
  </w:footnote>
  <w:footnote w:id="22">
    <w:p w14:paraId="748B9B48" w14:textId="1F515A7A" w:rsidR="00D513C7" w:rsidRDefault="00D513C7" w:rsidP="0056235E">
      <w:pPr>
        <w:pStyle w:val="FootnoteText"/>
        <w:jc w:val="both"/>
      </w:pPr>
      <w:r>
        <w:rPr>
          <w:rStyle w:val="FootnoteReference"/>
        </w:rPr>
        <w:footnoteRef/>
      </w:r>
      <w:r w:rsidRPr="00F00735">
        <w:rPr>
          <w:rFonts w:ascii="Times New Roman" w:hAnsi="Times New Roman"/>
          <w:sz w:val="18"/>
          <w:szCs w:val="18"/>
          <w:lang w:val="en-GB"/>
        </w:rPr>
        <w:t xml:space="preserve">Global </w:t>
      </w:r>
      <w:r>
        <w:rPr>
          <w:rFonts w:ascii="Times New Roman" w:hAnsi="Times New Roman"/>
          <w:sz w:val="18"/>
          <w:szCs w:val="18"/>
          <w:lang w:val="en-GB"/>
        </w:rPr>
        <w:t>t</w:t>
      </w:r>
      <w:r w:rsidRPr="00F00735">
        <w:rPr>
          <w:rFonts w:ascii="Times New Roman" w:hAnsi="Times New Roman"/>
          <w:sz w:val="18"/>
          <w:szCs w:val="18"/>
          <w:lang w:val="en-GB"/>
        </w:rPr>
        <w:t xml:space="preserve">errorism </w:t>
      </w:r>
      <w:r>
        <w:rPr>
          <w:rFonts w:ascii="Times New Roman" w:hAnsi="Times New Roman"/>
          <w:sz w:val="18"/>
          <w:szCs w:val="18"/>
          <w:lang w:val="en-GB"/>
        </w:rPr>
        <w:t>i</w:t>
      </w:r>
      <w:r w:rsidRPr="00F00735">
        <w:rPr>
          <w:rFonts w:ascii="Times New Roman" w:hAnsi="Times New Roman"/>
          <w:sz w:val="18"/>
          <w:szCs w:val="18"/>
          <w:lang w:val="en-GB"/>
        </w:rPr>
        <w:t xml:space="preserve">ndex 2016 and </w:t>
      </w:r>
      <w:r>
        <w:rPr>
          <w:rFonts w:ascii="Times New Roman" w:hAnsi="Times New Roman"/>
          <w:sz w:val="18"/>
          <w:szCs w:val="18"/>
          <w:lang w:val="en-GB"/>
        </w:rPr>
        <w:t>g</w:t>
      </w:r>
      <w:r w:rsidRPr="00F00735">
        <w:rPr>
          <w:rFonts w:ascii="Times New Roman" w:hAnsi="Times New Roman"/>
          <w:sz w:val="18"/>
          <w:szCs w:val="18"/>
          <w:lang w:val="en-GB"/>
        </w:rPr>
        <w:t xml:space="preserve">lobal </w:t>
      </w:r>
      <w:r>
        <w:rPr>
          <w:rFonts w:ascii="Times New Roman" w:hAnsi="Times New Roman"/>
          <w:sz w:val="18"/>
          <w:szCs w:val="18"/>
          <w:lang w:val="en-GB"/>
        </w:rPr>
        <w:t>p</w:t>
      </w:r>
      <w:r w:rsidRPr="00F00735">
        <w:rPr>
          <w:rFonts w:ascii="Times New Roman" w:hAnsi="Times New Roman"/>
          <w:sz w:val="18"/>
          <w:szCs w:val="18"/>
          <w:lang w:val="en-GB"/>
        </w:rPr>
        <w:t xml:space="preserve">eace </w:t>
      </w:r>
      <w:r>
        <w:rPr>
          <w:rFonts w:ascii="Times New Roman" w:hAnsi="Times New Roman"/>
          <w:sz w:val="18"/>
          <w:szCs w:val="18"/>
          <w:lang w:val="en-GB"/>
        </w:rPr>
        <w:t>i</w:t>
      </w:r>
      <w:r w:rsidRPr="00F00735">
        <w:rPr>
          <w:rFonts w:ascii="Times New Roman" w:hAnsi="Times New Roman"/>
          <w:sz w:val="18"/>
          <w:szCs w:val="18"/>
          <w:lang w:val="en-GB"/>
        </w:rPr>
        <w:t>ndex 2017</w:t>
      </w:r>
      <w:r>
        <w:rPr>
          <w:rFonts w:ascii="Times New Roman" w:hAnsi="Times New Roman"/>
          <w:sz w:val="18"/>
          <w:szCs w:val="18"/>
          <w:lang w:val="en-GB"/>
        </w:rPr>
        <w:t>.</w:t>
      </w:r>
    </w:p>
  </w:footnote>
  <w:footnote w:id="23">
    <w:p w14:paraId="2AD10FFF" w14:textId="77777777" w:rsidR="00D513C7" w:rsidRPr="00AF7CCF" w:rsidRDefault="00D513C7" w:rsidP="0056235E">
      <w:pPr>
        <w:pStyle w:val="FootnoteText"/>
        <w:ind w:right="1080"/>
        <w:jc w:val="both"/>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Economic Survey</w:t>
      </w:r>
      <w:r>
        <w:rPr>
          <w:rFonts w:ascii="Times New Roman" w:hAnsi="Times New Roman"/>
          <w:sz w:val="18"/>
          <w:szCs w:val="18"/>
        </w:rPr>
        <w:t>,</w:t>
      </w:r>
      <w:r w:rsidRPr="00AF7CCF">
        <w:rPr>
          <w:rFonts w:ascii="Times New Roman" w:hAnsi="Times New Roman"/>
          <w:sz w:val="18"/>
          <w:szCs w:val="18"/>
        </w:rPr>
        <w:t xml:space="preserve"> 2015</w:t>
      </w:r>
      <w:r>
        <w:rPr>
          <w:rFonts w:ascii="Times New Roman" w:hAnsi="Times New Roman"/>
          <w:sz w:val="18"/>
          <w:szCs w:val="18"/>
        </w:rPr>
        <w:t>-</w:t>
      </w:r>
      <w:r w:rsidRPr="00AF7CCF">
        <w:rPr>
          <w:rFonts w:ascii="Times New Roman" w:hAnsi="Times New Roman"/>
          <w:sz w:val="18"/>
          <w:szCs w:val="18"/>
        </w:rPr>
        <w:t>2016.</w:t>
      </w:r>
      <w:r>
        <w:rPr>
          <w:rFonts w:ascii="Times New Roman" w:hAnsi="Times New Roman"/>
          <w:sz w:val="18"/>
          <w:szCs w:val="18"/>
        </w:rPr>
        <w:t xml:space="preserve"> </w:t>
      </w:r>
    </w:p>
  </w:footnote>
  <w:footnote w:id="24">
    <w:p w14:paraId="3886DDBB" w14:textId="21393F73" w:rsidR="00D513C7" w:rsidRPr="00AF7CCF" w:rsidRDefault="00D513C7" w:rsidP="0056235E">
      <w:pPr>
        <w:pStyle w:val="FootnoteText"/>
        <w:ind w:right="1080"/>
        <w:jc w:val="both"/>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German Watch</w:t>
      </w:r>
      <w:r>
        <w:rPr>
          <w:rFonts w:ascii="Times New Roman" w:hAnsi="Times New Roman"/>
          <w:sz w:val="18"/>
          <w:szCs w:val="18"/>
        </w:rPr>
        <w:t xml:space="preserve"> (</w:t>
      </w:r>
      <w:r w:rsidRPr="00AF7CCF">
        <w:rPr>
          <w:rFonts w:ascii="Times New Roman" w:hAnsi="Times New Roman"/>
          <w:sz w:val="18"/>
          <w:szCs w:val="18"/>
        </w:rPr>
        <w:t>https://germanwatch.org/en/press</w:t>
      </w:r>
      <w:r>
        <w:rPr>
          <w:rFonts w:ascii="Times New Roman" w:hAnsi="Times New Roman"/>
          <w:sz w:val="18"/>
          <w:szCs w:val="18"/>
        </w:rPr>
        <w:t>)</w:t>
      </w:r>
      <w:r w:rsidRPr="00AF7CCF">
        <w:rPr>
          <w:rFonts w:ascii="Times New Roman" w:hAnsi="Times New Roman"/>
          <w:sz w:val="18"/>
          <w:szCs w:val="18"/>
        </w:rPr>
        <w:t>.</w:t>
      </w:r>
    </w:p>
  </w:footnote>
  <w:footnote w:id="25">
    <w:p w14:paraId="45957A5C" w14:textId="505C1ED6" w:rsidR="00D513C7" w:rsidRPr="00AF7CCF" w:rsidRDefault="00D513C7" w:rsidP="0056235E">
      <w:pPr>
        <w:pStyle w:val="FootnoteText"/>
        <w:ind w:right="1080"/>
        <w:jc w:val="both"/>
        <w:rPr>
          <w:rFonts w:ascii="Times New Roman" w:hAnsi="Times New Roman"/>
          <w:sz w:val="18"/>
          <w:szCs w:val="18"/>
          <w:lang w:val="en-GB"/>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sidRPr="00AF7CCF">
        <w:rPr>
          <w:rFonts w:ascii="Times New Roman" w:hAnsi="Times New Roman"/>
          <w:sz w:val="18"/>
          <w:szCs w:val="18"/>
          <w:lang w:val="en-GB"/>
        </w:rPr>
        <w:t>The recommendation to pursue a strong development-oriented programme (e.g.</w:t>
      </w:r>
      <w:r>
        <w:rPr>
          <w:rFonts w:ascii="Times New Roman" w:hAnsi="Times New Roman"/>
          <w:sz w:val="18"/>
          <w:szCs w:val="18"/>
          <w:lang w:val="en-GB"/>
        </w:rPr>
        <w:t>,</w:t>
      </w:r>
      <w:r w:rsidRPr="00AF7CCF">
        <w:rPr>
          <w:rFonts w:ascii="Times New Roman" w:hAnsi="Times New Roman"/>
          <w:sz w:val="18"/>
          <w:szCs w:val="18"/>
          <w:lang w:val="en-GB"/>
        </w:rPr>
        <w:t xml:space="preserve"> support to state-building) featured prominently in the recent </w:t>
      </w:r>
      <w:r>
        <w:rPr>
          <w:rFonts w:ascii="Times New Roman" w:hAnsi="Times New Roman"/>
          <w:sz w:val="18"/>
          <w:szCs w:val="18"/>
          <w:lang w:val="en-GB"/>
        </w:rPr>
        <w:t>assessment of development results (2017)</w:t>
      </w:r>
      <w:r w:rsidRPr="00AF7CCF">
        <w:rPr>
          <w:rFonts w:ascii="Times New Roman" w:hAnsi="Times New Roman"/>
          <w:sz w:val="18"/>
          <w:szCs w:val="18"/>
          <w:lang w:val="en-GB"/>
        </w:rPr>
        <w:t xml:space="preserve">. </w:t>
      </w:r>
    </w:p>
  </w:footnote>
  <w:footnote w:id="26">
    <w:p w14:paraId="02B4E06F" w14:textId="328F678D" w:rsidR="00D513C7" w:rsidRPr="00AF7CCF" w:rsidRDefault="00D513C7" w:rsidP="0056235E">
      <w:pPr>
        <w:pStyle w:val="FootnoteText"/>
        <w:ind w:right="1080"/>
        <w:jc w:val="both"/>
        <w:rPr>
          <w:rFonts w:ascii="Times New Roman" w:hAnsi="Times New Roman"/>
          <w:sz w:val="18"/>
          <w:szCs w:val="18"/>
          <w:lang w:val="en-GB"/>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sidRPr="00AF7CCF">
        <w:rPr>
          <w:rFonts w:ascii="Times New Roman" w:hAnsi="Times New Roman"/>
          <w:sz w:val="18"/>
          <w:szCs w:val="18"/>
          <w:lang w:val="en-GB"/>
        </w:rPr>
        <w:t>Independent Evaluation Office of UNDP</w:t>
      </w:r>
      <w:r>
        <w:rPr>
          <w:rFonts w:ascii="Times New Roman" w:hAnsi="Times New Roman"/>
          <w:sz w:val="18"/>
          <w:szCs w:val="18"/>
          <w:lang w:val="en-GB"/>
        </w:rPr>
        <w:t xml:space="preserve">, </w:t>
      </w:r>
      <w:r w:rsidRPr="00AF7CCF">
        <w:rPr>
          <w:rFonts w:ascii="Times New Roman" w:hAnsi="Times New Roman"/>
          <w:sz w:val="18"/>
          <w:szCs w:val="18"/>
          <w:lang w:val="en-GB"/>
        </w:rPr>
        <w:t xml:space="preserve">Assessment of </w:t>
      </w:r>
      <w:r>
        <w:rPr>
          <w:rFonts w:ascii="Times New Roman" w:hAnsi="Times New Roman"/>
          <w:sz w:val="18"/>
          <w:szCs w:val="18"/>
          <w:lang w:val="en-GB"/>
        </w:rPr>
        <w:t>d</w:t>
      </w:r>
      <w:r w:rsidRPr="00AF7CCF">
        <w:rPr>
          <w:rFonts w:ascii="Times New Roman" w:hAnsi="Times New Roman"/>
          <w:sz w:val="18"/>
          <w:szCs w:val="18"/>
          <w:lang w:val="en-GB"/>
        </w:rPr>
        <w:t xml:space="preserve">evelopment </w:t>
      </w:r>
      <w:r>
        <w:rPr>
          <w:rFonts w:ascii="Times New Roman" w:hAnsi="Times New Roman"/>
          <w:sz w:val="18"/>
          <w:szCs w:val="18"/>
          <w:lang w:val="en-GB"/>
        </w:rPr>
        <w:t>r</w:t>
      </w:r>
      <w:r w:rsidRPr="00AF7CCF">
        <w:rPr>
          <w:rFonts w:ascii="Times New Roman" w:hAnsi="Times New Roman"/>
          <w:sz w:val="18"/>
          <w:szCs w:val="18"/>
          <w:lang w:val="en-GB"/>
        </w:rPr>
        <w:t>esults (</w:t>
      </w:r>
      <w:r>
        <w:rPr>
          <w:rFonts w:ascii="Times New Roman" w:hAnsi="Times New Roman"/>
          <w:sz w:val="18"/>
          <w:szCs w:val="18"/>
          <w:lang w:val="en-GB"/>
        </w:rPr>
        <w:t>d</w:t>
      </w:r>
      <w:r w:rsidRPr="00AF7CCF">
        <w:rPr>
          <w:rFonts w:ascii="Times New Roman" w:hAnsi="Times New Roman"/>
          <w:sz w:val="18"/>
          <w:szCs w:val="18"/>
          <w:lang w:val="en-GB"/>
        </w:rPr>
        <w:t xml:space="preserve">raft </w:t>
      </w:r>
      <w:r>
        <w:rPr>
          <w:rFonts w:ascii="Times New Roman" w:hAnsi="Times New Roman"/>
          <w:sz w:val="18"/>
          <w:szCs w:val="18"/>
          <w:lang w:val="en-GB"/>
        </w:rPr>
        <w:t>r</w:t>
      </w:r>
      <w:r w:rsidRPr="00AF7CCF">
        <w:rPr>
          <w:rFonts w:ascii="Times New Roman" w:hAnsi="Times New Roman"/>
          <w:sz w:val="18"/>
          <w:szCs w:val="18"/>
          <w:lang w:val="en-GB"/>
        </w:rPr>
        <w:t>eport)</w:t>
      </w:r>
      <w:r>
        <w:rPr>
          <w:rFonts w:ascii="Times New Roman" w:hAnsi="Times New Roman"/>
          <w:sz w:val="18"/>
          <w:szCs w:val="18"/>
          <w:lang w:val="en-GB"/>
        </w:rPr>
        <w:t>,</w:t>
      </w:r>
      <w:r w:rsidRPr="00AF7CCF">
        <w:rPr>
          <w:rFonts w:ascii="Times New Roman" w:hAnsi="Times New Roman"/>
          <w:sz w:val="18"/>
          <w:szCs w:val="18"/>
          <w:lang w:val="en-GB"/>
        </w:rPr>
        <w:t xml:space="preserve"> February 2017</w:t>
      </w:r>
      <w:r>
        <w:rPr>
          <w:rFonts w:ascii="Times New Roman" w:hAnsi="Times New Roman"/>
          <w:sz w:val="18"/>
          <w:szCs w:val="18"/>
          <w:lang w:val="en-GB"/>
        </w:rPr>
        <w:t>.</w:t>
      </w:r>
    </w:p>
  </w:footnote>
  <w:footnote w:id="27">
    <w:p w14:paraId="652569FC" w14:textId="2B2CB5FD" w:rsidR="00D513C7" w:rsidRPr="00CF609C" w:rsidRDefault="00D513C7">
      <w:pPr>
        <w:pStyle w:val="FootnoteText"/>
        <w:rPr>
          <w:rFonts w:ascii="Times New Roman" w:hAnsi="Times New Roman"/>
          <w:bCs/>
          <w:color w:val="000000" w:themeColor="text1"/>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sidRPr="00AF7CCF">
        <w:rPr>
          <w:rFonts w:ascii="Times New Roman" w:hAnsi="Times New Roman"/>
          <w:bCs/>
          <w:color w:val="000000" w:themeColor="text1"/>
          <w:sz w:val="18"/>
          <w:szCs w:val="18"/>
        </w:rPr>
        <w:t>Outcome 9</w:t>
      </w:r>
      <w:r>
        <w:rPr>
          <w:rFonts w:ascii="Times New Roman" w:hAnsi="Times New Roman"/>
          <w:bCs/>
          <w:color w:val="000000" w:themeColor="text1"/>
          <w:sz w:val="18"/>
          <w:szCs w:val="18"/>
        </w:rPr>
        <w:t xml:space="preserve">, </w:t>
      </w:r>
      <w:r w:rsidRPr="00AF7CCF">
        <w:rPr>
          <w:rFonts w:ascii="Times New Roman" w:hAnsi="Times New Roman"/>
          <w:bCs/>
          <w:color w:val="000000" w:themeColor="text1"/>
          <w:sz w:val="18"/>
          <w:szCs w:val="18"/>
        </w:rPr>
        <w:t xml:space="preserve">United Nations </w:t>
      </w:r>
      <w:r>
        <w:rPr>
          <w:rFonts w:ascii="Times New Roman" w:hAnsi="Times New Roman"/>
          <w:bCs/>
          <w:color w:val="000000"/>
          <w:sz w:val="18"/>
          <w:szCs w:val="18"/>
        </w:rPr>
        <w:t>Sustainable Development Framework</w:t>
      </w:r>
      <w:r w:rsidRPr="00AF7CCF" w:rsidDel="002650EF">
        <w:rPr>
          <w:rFonts w:ascii="Times New Roman" w:hAnsi="Times New Roman"/>
          <w:bCs/>
          <w:color w:val="000000" w:themeColor="text1"/>
          <w:sz w:val="18"/>
          <w:szCs w:val="18"/>
        </w:rPr>
        <w:t xml:space="preserve"> </w:t>
      </w:r>
      <w:r w:rsidRPr="00AF7CCF">
        <w:rPr>
          <w:rFonts w:ascii="Times New Roman" w:hAnsi="Times New Roman"/>
          <w:bCs/>
          <w:color w:val="000000" w:themeColor="text1"/>
          <w:sz w:val="18"/>
          <w:szCs w:val="18"/>
        </w:rPr>
        <w:t>/One</w:t>
      </w:r>
      <w:r>
        <w:rPr>
          <w:rFonts w:ascii="Times New Roman" w:hAnsi="Times New Roman"/>
          <w:bCs/>
          <w:color w:val="000000" w:themeColor="text1"/>
          <w:sz w:val="18"/>
          <w:szCs w:val="18"/>
        </w:rPr>
        <w:t xml:space="preserve">-UN </w:t>
      </w:r>
      <w:r w:rsidRPr="00AF7CCF">
        <w:rPr>
          <w:rFonts w:ascii="Times New Roman" w:hAnsi="Times New Roman"/>
          <w:bCs/>
          <w:color w:val="000000" w:themeColor="text1"/>
          <w:sz w:val="18"/>
          <w:szCs w:val="18"/>
        </w:rPr>
        <w:t>Programme III (2018-2022)</w:t>
      </w:r>
      <w:r>
        <w:rPr>
          <w:rFonts w:ascii="Times New Roman" w:hAnsi="Times New Roman"/>
          <w:bCs/>
          <w:color w:val="000000" w:themeColor="text1"/>
          <w:sz w:val="18"/>
          <w:szCs w:val="18"/>
        </w:rPr>
        <w:t>.</w:t>
      </w:r>
    </w:p>
  </w:footnote>
  <w:footnote w:id="28">
    <w:p w14:paraId="4BF647D7" w14:textId="63A7BCBC" w:rsidR="00D513C7" w:rsidRPr="009B6D0F" w:rsidRDefault="00D513C7" w:rsidP="00722E7B">
      <w:pPr>
        <w:pStyle w:val="FootnoteText"/>
        <w:ind w:right="1080"/>
        <w:jc w:val="both"/>
        <w:rPr>
          <w:rFonts w:ascii="Times New Roman" w:hAnsi="Times New Roman"/>
          <w:sz w:val="18"/>
          <w:szCs w:val="18"/>
          <w:lang w:val="en-GB"/>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sidRPr="009F7E66">
        <w:rPr>
          <w:rFonts w:ascii="Times New Roman" w:hAnsi="Times New Roman"/>
          <w:bCs/>
          <w:color w:val="000000" w:themeColor="text1"/>
          <w:sz w:val="18"/>
          <w:szCs w:val="18"/>
        </w:rPr>
        <w:t xml:space="preserve">The Multidimensional Poverty Peer Network comprises ministers and senior officials from nearly 30 countries. The </w:t>
      </w:r>
      <w:r>
        <w:rPr>
          <w:rFonts w:ascii="Times New Roman" w:hAnsi="Times New Roman"/>
          <w:bCs/>
          <w:color w:val="000000" w:themeColor="text1"/>
          <w:sz w:val="18"/>
          <w:szCs w:val="18"/>
        </w:rPr>
        <w:t>n</w:t>
      </w:r>
      <w:r w:rsidRPr="009F7E66">
        <w:rPr>
          <w:rFonts w:ascii="Times New Roman" w:hAnsi="Times New Roman"/>
          <w:bCs/>
          <w:color w:val="000000" w:themeColor="text1"/>
          <w:sz w:val="18"/>
          <w:szCs w:val="18"/>
        </w:rPr>
        <w:t xml:space="preserve">etwork provides a platform to members to share their experiences and exchange views and knowledge </w:t>
      </w:r>
      <w:r w:rsidR="00221FE1" w:rsidRPr="009F7E66">
        <w:rPr>
          <w:rFonts w:ascii="Times New Roman" w:hAnsi="Times New Roman"/>
          <w:bCs/>
          <w:color w:val="000000" w:themeColor="text1"/>
          <w:sz w:val="18"/>
          <w:szCs w:val="18"/>
        </w:rPr>
        <w:t>about the</w:t>
      </w:r>
      <w:r w:rsidRPr="009F7E66">
        <w:rPr>
          <w:rFonts w:ascii="Times New Roman" w:hAnsi="Times New Roman"/>
          <w:bCs/>
          <w:color w:val="000000" w:themeColor="text1"/>
          <w:sz w:val="18"/>
          <w:szCs w:val="18"/>
        </w:rPr>
        <w:t xml:space="preserve"> use of </w:t>
      </w:r>
      <w:r>
        <w:rPr>
          <w:rFonts w:ascii="Times New Roman" w:hAnsi="Times New Roman"/>
          <w:bCs/>
          <w:color w:val="000000" w:themeColor="text1"/>
          <w:sz w:val="18"/>
          <w:szCs w:val="18"/>
        </w:rPr>
        <w:t>m</w:t>
      </w:r>
      <w:r w:rsidRPr="009F7E66">
        <w:rPr>
          <w:rFonts w:ascii="Times New Roman" w:hAnsi="Times New Roman"/>
          <w:bCs/>
          <w:color w:val="000000" w:themeColor="text1"/>
          <w:sz w:val="18"/>
          <w:szCs w:val="18"/>
        </w:rPr>
        <w:t xml:space="preserve">ulti-dimensional </w:t>
      </w:r>
      <w:r>
        <w:rPr>
          <w:rFonts w:ascii="Times New Roman" w:hAnsi="Times New Roman"/>
          <w:bCs/>
          <w:color w:val="000000" w:themeColor="text1"/>
          <w:sz w:val="18"/>
          <w:szCs w:val="18"/>
        </w:rPr>
        <w:t>p</w:t>
      </w:r>
      <w:r w:rsidRPr="009F7E66">
        <w:rPr>
          <w:rFonts w:ascii="Times New Roman" w:hAnsi="Times New Roman"/>
          <w:bCs/>
          <w:color w:val="000000" w:themeColor="text1"/>
          <w:sz w:val="18"/>
          <w:szCs w:val="18"/>
        </w:rPr>
        <w:t>overty approach in their countries for policy</w:t>
      </w:r>
      <w:r>
        <w:rPr>
          <w:rFonts w:ascii="Times New Roman" w:hAnsi="Times New Roman"/>
          <w:bCs/>
          <w:color w:val="000000" w:themeColor="text1"/>
          <w:sz w:val="18"/>
          <w:szCs w:val="18"/>
        </w:rPr>
        <w:t>-</w:t>
      </w:r>
      <w:r w:rsidRPr="009F7E66">
        <w:rPr>
          <w:rFonts w:ascii="Times New Roman" w:hAnsi="Times New Roman"/>
          <w:bCs/>
          <w:color w:val="000000" w:themeColor="text1"/>
          <w:sz w:val="18"/>
          <w:szCs w:val="18"/>
        </w:rPr>
        <w:t xml:space="preserve">making and poverty reduction. The </w:t>
      </w:r>
      <w:r>
        <w:rPr>
          <w:rFonts w:ascii="Times New Roman" w:hAnsi="Times New Roman"/>
          <w:bCs/>
          <w:color w:val="000000" w:themeColor="text1"/>
          <w:sz w:val="18"/>
          <w:szCs w:val="18"/>
        </w:rPr>
        <w:t>n</w:t>
      </w:r>
      <w:r w:rsidRPr="009F7E66">
        <w:rPr>
          <w:rFonts w:ascii="Times New Roman" w:hAnsi="Times New Roman"/>
          <w:bCs/>
          <w:color w:val="000000" w:themeColor="text1"/>
          <w:sz w:val="18"/>
          <w:szCs w:val="18"/>
        </w:rPr>
        <w:t xml:space="preserve">etwork is coordinated by the Oxford Poverty and Human Development Initiative (OPHI) based at Oxford University, United Kingdom. OPHI also serves as secretariat for the </w:t>
      </w:r>
      <w:r>
        <w:rPr>
          <w:rFonts w:ascii="Times New Roman" w:hAnsi="Times New Roman"/>
          <w:bCs/>
          <w:color w:val="000000" w:themeColor="text1"/>
          <w:sz w:val="18"/>
          <w:szCs w:val="18"/>
        </w:rPr>
        <w:t>n</w:t>
      </w:r>
      <w:r w:rsidRPr="009F7E66">
        <w:rPr>
          <w:rFonts w:ascii="Times New Roman" w:hAnsi="Times New Roman"/>
          <w:bCs/>
          <w:color w:val="000000" w:themeColor="text1"/>
          <w:sz w:val="18"/>
          <w:szCs w:val="18"/>
        </w:rPr>
        <w:t xml:space="preserve">etwork. The Ministry of Planning, Development and Reform became </w:t>
      </w:r>
      <w:r>
        <w:rPr>
          <w:rFonts w:ascii="Times New Roman" w:hAnsi="Times New Roman"/>
          <w:bCs/>
          <w:color w:val="000000" w:themeColor="text1"/>
          <w:sz w:val="18"/>
          <w:szCs w:val="18"/>
        </w:rPr>
        <w:t xml:space="preserve">a </w:t>
      </w:r>
      <w:r w:rsidRPr="009F7E66">
        <w:rPr>
          <w:rFonts w:ascii="Times New Roman" w:hAnsi="Times New Roman"/>
          <w:bCs/>
          <w:color w:val="000000" w:themeColor="text1"/>
          <w:sz w:val="18"/>
          <w:szCs w:val="18"/>
        </w:rPr>
        <w:t xml:space="preserve">member of the </w:t>
      </w:r>
      <w:r>
        <w:rPr>
          <w:rFonts w:ascii="Times New Roman" w:hAnsi="Times New Roman"/>
          <w:bCs/>
          <w:color w:val="000000" w:themeColor="text1"/>
          <w:sz w:val="18"/>
          <w:szCs w:val="18"/>
        </w:rPr>
        <w:t>n</w:t>
      </w:r>
      <w:r w:rsidRPr="009F7E66">
        <w:rPr>
          <w:rFonts w:ascii="Times New Roman" w:hAnsi="Times New Roman"/>
          <w:bCs/>
          <w:color w:val="000000" w:themeColor="text1"/>
          <w:sz w:val="18"/>
          <w:szCs w:val="18"/>
        </w:rPr>
        <w:t xml:space="preserve">etwork in 2014. More information about the </w:t>
      </w:r>
      <w:r>
        <w:rPr>
          <w:rFonts w:ascii="Times New Roman" w:hAnsi="Times New Roman"/>
          <w:bCs/>
          <w:color w:val="000000" w:themeColor="text1"/>
          <w:sz w:val="18"/>
          <w:szCs w:val="18"/>
        </w:rPr>
        <w:t>n</w:t>
      </w:r>
      <w:r w:rsidRPr="009F7E66">
        <w:rPr>
          <w:rFonts w:ascii="Times New Roman" w:hAnsi="Times New Roman"/>
          <w:bCs/>
          <w:color w:val="000000" w:themeColor="text1"/>
          <w:sz w:val="18"/>
          <w:szCs w:val="18"/>
        </w:rPr>
        <w:t xml:space="preserve">etwork </w:t>
      </w:r>
      <w:r>
        <w:rPr>
          <w:rFonts w:ascii="Times New Roman" w:hAnsi="Times New Roman"/>
          <w:bCs/>
          <w:color w:val="000000" w:themeColor="text1"/>
          <w:sz w:val="18"/>
          <w:szCs w:val="18"/>
        </w:rPr>
        <w:t xml:space="preserve">is available at: </w:t>
      </w:r>
      <w:hyperlink r:id="rId4" w:history="1">
        <w:r w:rsidRPr="00CF609C">
          <w:rPr>
            <w:rFonts w:ascii="Times New Roman" w:hAnsi="Times New Roman"/>
            <w:bCs/>
            <w:color w:val="000000" w:themeColor="text1"/>
            <w:sz w:val="18"/>
            <w:szCs w:val="18"/>
          </w:rPr>
          <w:t>http://www.ophi.org.uk/wp-content/uploads/web_21.07_MPPN-brochure_2014.pdf</w:t>
        </w:r>
      </w:hyperlink>
      <w:r>
        <w:rPr>
          <w:rFonts w:ascii="Times New Roman" w:hAnsi="Times New Roman"/>
          <w:bCs/>
          <w:color w:val="000000" w:themeColor="text1"/>
          <w:sz w:val="18"/>
          <w:szCs w:val="18"/>
        </w:rPr>
        <w:t>.</w:t>
      </w:r>
    </w:p>
  </w:footnote>
  <w:footnote w:id="29">
    <w:p w14:paraId="26C35870" w14:textId="3D4A8742" w:rsidR="00D513C7" w:rsidRPr="00AF7CCF" w:rsidRDefault="00D513C7" w:rsidP="0097181E">
      <w:pPr>
        <w:pStyle w:val="FootnoteText"/>
        <w:ind w:right="1080"/>
        <w:rPr>
          <w:rFonts w:ascii="Times New Roman" w:hAnsi="Times New Roman"/>
          <w:sz w:val="18"/>
          <w:szCs w:val="18"/>
          <w:lang w:val="en-GB"/>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sidRPr="00AF7CCF">
        <w:rPr>
          <w:rFonts w:ascii="Times New Roman" w:hAnsi="Times New Roman"/>
          <w:bCs/>
          <w:sz w:val="18"/>
          <w:szCs w:val="18"/>
        </w:rPr>
        <w:t>Outcome 6</w:t>
      </w:r>
      <w:r>
        <w:rPr>
          <w:rFonts w:ascii="Times New Roman" w:hAnsi="Times New Roman"/>
          <w:bCs/>
          <w:sz w:val="18"/>
          <w:szCs w:val="18"/>
        </w:rPr>
        <w:t>,</w:t>
      </w:r>
      <w:r w:rsidRPr="00AF7CCF">
        <w:rPr>
          <w:rFonts w:ascii="Times New Roman" w:hAnsi="Times New Roman"/>
          <w:bCs/>
          <w:sz w:val="18"/>
          <w:szCs w:val="18"/>
        </w:rPr>
        <w:t xml:space="preserve"> </w:t>
      </w:r>
      <w:r w:rsidRPr="00AF7CCF">
        <w:rPr>
          <w:rFonts w:ascii="Times New Roman" w:hAnsi="Times New Roman"/>
          <w:bCs/>
          <w:color w:val="000000" w:themeColor="text1"/>
          <w:sz w:val="18"/>
          <w:szCs w:val="18"/>
        </w:rPr>
        <w:t xml:space="preserve">United Nations </w:t>
      </w:r>
      <w:r>
        <w:rPr>
          <w:rFonts w:ascii="Times New Roman" w:hAnsi="Times New Roman"/>
          <w:bCs/>
          <w:color w:val="000000" w:themeColor="text1"/>
          <w:sz w:val="18"/>
          <w:szCs w:val="18"/>
        </w:rPr>
        <w:t xml:space="preserve">Sustainable Development </w:t>
      </w:r>
      <w:r w:rsidRPr="00AF7CCF">
        <w:rPr>
          <w:rFonts w:ascii="Times New Roman" w:hAnsi="Times New Roman"/>
          <w:bCs/>
          <w:color w:val="000000" w:themeColor="text1"/>
          <w:sz w:val="18"/>
          <w:szCs w:val="18"/>
        </w:rPr>
        <w:t>Framework/One</w:t>
      </w:r>
      <w:r>
        <w:rPr>
          <w:rFonts w:ascii="Times New Roman" w:hAnsi="Times New Roman"/>
          <w:bCs/>
          <w:color w:val="000000" w:themeColor="text1"/>
          <w:sz w:val="18"/>
          <w:szCs w:val="18"/>
        </w:rPr>
        <w:t xml:space="preserve">-UN </w:t>
      </w:r>
      <w:r w:rsidRPr="00AF7CCF">
        <w:rPr>
          <w:rFonts w:ascii="Times New Roman" w:hAnsi="Times New Roman"/>
          <w:bCs/>
          <w:color w:val="000000" w:themeColor="text1"/>
          <w:sz w:val="18"/>
          <w:szCs w:val="18"/>
        </w:rPr>
        <w:t>Programme III (2018-2022)</w:t>
      </w:r>
      <w:r>
        <w:rPr>
          <w:rFonts w:ascii="Times New Roman" w:hAnsi="Times New Roman"/>
          <w:bCs/>
          <w:color w:val="000000" w:themeColor="text1"/>
          <w:sz w:val="18"/>
          <w:szCs w:val="18"/>
        </w:rPr>
        <w:t>.</w:t>
      </w:r>
    </w:p>
  </w:footnote>
  <w:footnote w:id="30">
    <w:p w14:paraId="5E929682" w14:textId="157D506A" w:rsidR="00D513C7" w:rsidRPr="009F7E66" w:rsidRDefault="00D513C7">
      <w:pPr>
        <w:pStyle w:val="FootnoteText"/>
        <w:rPr>
          <w:rFonts w:ascii="Times New Roman" w:hAnsi="Times New Roman"/>
          <w:sz w:val="18"/>
          <w:szCs w:val="18"/>
        </w:rPr>
      </w:pPr>
      <w:r>
        <w:rPr>
          <w:rStyle w:val="FootnoteReference"/>
        </w:rPr>
        <w:footnoteRef/>
      </w:r>
      <w:r>
        <w:t xml:space="preserve"> </w:t>
      </w:r>
      <w:hyperlink r:id="rId5" w:history="1">
        <w:r w:rsidRPr="009F7E66">
          <w:rPr>
            <w:rFonts w:ascii="Times New Roman" w:hAnsi="Times New Roman"/>
            <w:sz w:val="18"/>
            <w:szCs w:val="18"/>
          </w:rPr>
          <w:t>http://www.undp.org/content/undp/en/home/librarypage/operations1/undp-social-and-environmental-standards.html</w:t>
        </w:r>
      </w:hyperlink>
      <w:r>
        <w:rPr>
          <w:rFonts w:ascii="Times New Roman" w:hAnsi="Times New Roman"/>
          <w:sz w:val="18"/>
          <w:szCs w:val="18"/>
        </w:rPr>
        <w:t>.</w:t>
      </w:r>
    </w:p>
  </w:footnote>
  <w:footnote w:id="31">
    <w:p w14:paraId="15D1AEF9" w14:textId="76D5F389" w:rsidR="00D513C7" w:rsidRPr="00AF7CCF" w:rsidRDefault="00D513C7">
      <w:pPr>
        <w:pStyle w:val="FootnoteText"/>
        <w:rPr>
          <w:rFonts w:ascii="Times New Roman" w:hAnsi="Times New Roman"/>
          <w:sz w:val="18"/>
          <w:szCs w:val="18"/>
          <w:lang w:val="en-GB"/>
        </w:rPr>
      </w:pPr>
      <w:r w:rsidRPr="00AF7CCF">
        <w:rPr>
          <w:rStyle w:val="FootnoteReference"/>
          <w:rFonts w:ascii="Times New Roman" w:hAnsi="Times New Roman"/>
          <w:sz w:val="18"/>
          <w:szCs w:val="18"/>
        </w:rPr>
        <w:footnoteRef/>
      </w:r>
      <w:r>
        <w:rPr>
          <w:rFonts w:ascii="Times New Roman" w:hAnsi="Times New Roman"/>
          <w:sz w:val="18"/>
          <w:szCs w:val="18"/>
        </w:rPr>
        <w:t xml:space="preserve"> </w:t>
      </w:r>
      <w:r w:rsidRPr="00AF7CCF">
        <w:rPr>
          <w:rFonts w:ascii="Times New Roman" w:hAnsi="Times New Roman"/>
          <w:sz w:val="18"/>
          <w:szCs w:val="18"/>
        </w:rPr>
        <w:t>For example, installation of weather stations, rain gauges</w:t>
      </w:r>
      <w:r>
        <w:rPr>
          <w:rFonts w:ascii="Times New Roman" w:hAnsi="Times New Roman"/>
          <w:sz w:val="18"/>
          <w:szCs w:val="18"/>
        </w:rPr>
        <w:t xml:space="preserve">, </w:t>
      </w:r>
      <w:r w:rsidRPr="00AF7CCF">
        <w:rPr>
          <w:rFonts w:ascii="Times New Roman" w:hAnsi="Times New Roman"/>
          <w:sz w:val="18"/>
          <w:szCs w:val="18"/>
        </w:rPr>
        <w:t xml:space="preserve">discharge equipment </w:t>
      </w:r>
      <w:r>
        <w:rPr>
          <w:rFonts w:ascii="Times New Roman" w:hAnsi="Times New Roman"/>
          <w:sz w:val="18"/>
          <w:szCs w:val="18"/>
        </w:rPr>
        <w:t xml:space="preserve">and </w:t>
      </w:r>
      <w:r w:rsidRPr="00AF7CCF">
        <w:rPr>
          <w:rFonts w:ascii="Times New Roman" w:hAnsi="Times New Roman"/>
          <w:sz w:val="18"/>
          <w:szCs w:val="18"/>
        </w:rPr>
        <w:t>gabion walls to protect against landslides.</w:t>
      </w:r>
    </w:p>
  </w:footnote>
  <w:footnote w:id="32">
    <w:p w14:paraId="3C542404" w14:textId="6B8F6A93" w:rsidR="00D513C7" w:rsidRDefault="00D513C7" w:rsidP="0008487B">
      <w:pPr>
        <w:pStyle w:val="FootnoteText"/>
      </w:pPr>
      <w:r>
        <w:rPr>
          <w:rStyle w:val="FootnoteReference"/>
        </w:rPr>
        <w:footnoteRef/>
      </w:r>
      <w:r w:rsidRPr="00A00EB9">
        <w:rPr>
          <w:rFonts w:ascii="Times New Roman" w:hAnsi="Times New Roman"/>
          <w:sz w:val="18"/>
          <w:szCs w:val="18"/>
        </w:rPr>
        <w:t>UNDP has ongoing programmes in Pakistan working on women empowerment (e.g.</w:t>
      </w:r>
      <w:r>
        <w:rPr>
          <w:rFonts w:ascii="Times New Roman" w:hAnsi="Times New Roman"/>
          <w:sz w:val="18"/>
          <w:szCs w:val="18"/>
        </w:rPr>
        <w:t>,</w:t>
      </w:r>
      <w:r w:rsidRPr="00A00EB9">
        <w:rPr>
          <w:rFonts w:ascii="Times New Roman" w:hAnsi="Times New Roman"/>
          <w:sz w:val="18"/>
          <w:szCs w:val="18"/>
        </w:rPr>
        <w:t xml:space="preserve"> youth employment in Sindh, rule of law in </w:t>
      </w:r>
      <w:r w:rsidRPr="00CF609C">
        <w:rPr>
          <w:rFonts w:ascii="Times New Roman" w:hAnsi="Times New Roman"/>
          <w:sz w:val="18"/>
          <w:szCs w:val="18"/>
          <w:lang w:val="en-GB"/>
        </w:rPr>
        <w:t>Khyber Pakhtunkhwa</w:t>
      </w:r>
      <w:r w:rsidRPr="00A00EB9">
        <w:rPr>
          <w:rFonts w:ascii="Times New Roman" w:hAnsi="Times New Roman"/>
          <w:sz w:val="18"/>
          <w:szCs w:val="18"/>
        </w:rPr>
        <w:t xml:space="preserve">, </w:t>
      </w:r>
      <w:r>
        <w:rPr>
          <w:rFonts w:ascii="Times New Roman" w:hAnsi="Times New Roman"/>
          <w:sz w:val="18"/>
          <w:szCs w:val="18"/>
        </w:rPr>
        <w:t>r</w:t>
      </w:r>
      <w:r w:rsidRPr="00A00EB9">
        <w:rPr>
          <w:rFonts w:ascii="Times New Roman" w:hAnsi="Times New Roman"/>
          <w:sz w:val="18"/>
          <w:szCs w:val="18"/>
        </w:rPr>
        <w:t xml:space="preserve">efugee </w:t>
      </w:r>
      <w:r>
        <w:rPr>
          <w:rFonts w:ascii="Times New Roman" w:hAnsi="Times New Roman"/>
          <w:sz w:val="18"/>
          <w:szCs w:val="18"/>
        </w:rPr>
        <w:t>a</w:t>
      </w:r>
      <w:r w:rsidRPr="00A00EB9">
        <w:rPr>
          <w:rFonts w:ascii="Times New Roman" w:hAnsi="Times New Roman"/>
          <w:sz w:val="18"/>
          <w:szCs w:val="18"/>
        </w:rPr>
        <w:t xml:space="preserve">ffected </w:t>
      </w:r>
      <w:r>
        <w:rPr>
          <w:rFonts w:ascii="Times New Roman" w:hAnsi="Times New Roman"/>
          <w:sz w:val="18"/>
          <w:szCs w:val="18"/>
        </w:rPr>
        <w:t>h</w:t>
      </w:r>
      <w:r w:rsidRPr="00A00EB9">
        <w:rPr>
          <w:rFonts w:ascii="Times New Roman" w:hAnsi="Times New Roman"/>
          <w:sz w:val="18"/>
          <w:szCs w:val="18"/>
        </w:rPr>
        <w:t xml:space="preserve">osting </w:t>
      </w:r>
      <w:r>
        <w:rPr>
          <w:rFonts w:ascii="Times New Roman" w:hAnsi="Times New Roman"/>
          <w:sz w:val="18"/>
          <w:szCs w:val="18"/>
        </w:rPr>
        <w:t>a</w:t>
      </w:r>
      <w:r w:rsidRPr="00A00EB9">
        <w:rPr>
          <w:rFonts w:ascii="Times New Roman" w:hAnsi="Times New Roman"/>
          <w:sz w:val="18"/>
          <w:szCs w:val="18"/>
        </w:rPr>
        <w:t>reas</w:t>
      </w:r>
      <w:r>
        <w:rPr>
          <w:rFonts w:ascii="Times New Roman" w:hAnsi="Times New Roman"/>
          <w:sz w:val="18"/>
          <w:szCs w:val="18"/>
        </w:rPr>
        <w:t xml:space="preserve"> </w:t>
      </w:r>
      <w:r w:rsidRPr="00A00EB9">
        <w:rPr>
          <w:rFonts w:ascii="Times New Roman" w:hAnsi="Times New Roman"/>
          <w:sz w:val="18"/>
          <w:szCs w:val="18"/>
        </w:rPr>
        <w:t>in Balochistan, climate change/disaster risk reduction in Gilgi</w:t>
      </w:r>
      <w:r>
        <w:rPr>
          <w:rFonts w:ascii="Times New Roman" w:hAnsi="Times New Roman"/>
          <w:sz w:val="18"/>
          <w:szCs w:val="18"/>
        </w:rPr>
        <w:t>t-Baltistan and Chitral, etc</w:t>
      </w:r>
      <w:r w:rsidR="00CF609C">
        <w:rPr>
          <w:rFonts w:ascii="Times New Roman" w:hAnsi="Times New Roman"/>
          <w:sz w:val="18"/>
          <w:szCs w:val="18"/>
        </w:rPr>
        <w:t>.</w:t>
      </w:r>
      <w:r>
        <w:rPr>
          <w:rFonts w:ascii="Times New Roman" w:hAnsi="Times New Roman"/>
          <w:sz w:val="18"/>
          <w:szCs w:val="18"/>
        </w:rPr>
        <w:t>). </w:t>
      </w:r>
      <w:r w:rsidRPr="00A00EB9">
        <w:rPr>
          <w:rFonts w:ascii="Times New Roman" w:hAnsi="Times New Roman"/>
          <w:sz w:val="18"/>
          <w:szCs w:val="18"/>
        </w:rPr>
        <w:t xml:space="preserve">Current funds come from the </w:t>
      </w:r>
      <w:r>
        <w:rPr>
          <w:rFonts w:ascii="Times New Roman" w:hAnsi="Times New Roman"/>
          <w:sz w:val="18"/>
          <w:szCs w:val="18"/>
        </w:rPr>
        <w:t>g</w:t>
      </w:r>
      <w:r w:rsidRPr="00A00EB9">
        <w:rPr>
          <w:rFonts w:ascii="Times New Roman" w:hAnsi="Times New Roman"/>
          <w:sz w:val="18"/>
          <w:szCs w:val="18"/>
        </w:rPr>
        <w:t xml:space="preserve">overnments of Balochistan </w:t>
      </w:r>
      <w:r>
        <w:rPr>
          <w:rFonts w:ascii="Times New Roman" w:hAnsi="Times New Roman"/>
          <w:sz w:val="18"/>
          <w:szCs w:val="18"/>
        </w:rPr>
        <w:t xml:space="preserve">and </w:t>
      </w:r>
      <w:r w:rsidRPr="00A00EB9">
        <w:rPr>
          <w:rFonts w:ascii="Times New Roman" w:hAnsi="Times New Roman"/>
          <w:sz w:val="18"/>
          <w:szCs w:val="18"/>
        </w:rPr>
        <w:t>K</w:t>
      </w:r>
      <w:r>
        <w:rPr>
          <w:rFonts w:ascii="Times New Roman" w:hAnsi="Times New Roman"/>
          <w:sz w:val="18"/>
          <w:szCs w:val="18"/>
        </w:rPr>
        <w:t xml:space="preserve">hyber </w:t>
      </w:r>
      <w:r w:rsidRPr="00A00EB9">
        <w:rPr>
          <w:rFonts w:ascii="Times New Roman" w:hAnsi="Times New Roman"/>
          <w:sz w:val="18"/>
          <w:szCs w:val="18"/>
        </w:rPr>
        <w:t>P</w:t>
      </w:r>
      <w:r>
        <w:rPr>
          <w:rFonts w:ascii="Times New Roman" w:hAnsi="Times New Roman"/>
          <w:sz w:val="18"/>
          <w:szCs w:val="18"/>
        </w:rPr>
        <w:t>akhtunkhwa</w:t>
      </w:r>
      <w:r w:rsidRPr="00A00EB9">
        <w:rPr>
          <w:rFonts w:ascii="Times New Roman" w:hAnsi="Times New Roman"/>
          <w:sz w:val="18"/>
          <w:szCs w:val="18"/>
        </w:rPr>
        <w:t xml:space="preserve">, </w:t>
      </w:r>
      <w:r>
        <w:rPr>
          <w:rFonts w:ascii="Times New Roman" w:hAnsi="Times New Roman"/>
          <w:sz w:val="18"/>
          <w:szCs w:val="18"/>
        </w:rPr>
        <w:t xml:space="preserve">the </w:t>
      </w:r>
      <w:r w:rsidRPr="00A00EB9">
        <w:rPr>
          <w:rFonts w:ascii="Times New Roman" w:hAnsi="Times New Roman"/>
          <w:sz w:val="18"/>
          <w:szCs w:val="18"/>
        </w:rPr>
        <w:t xml:space="preserve">Green Climate Fund, </w:t>
      </w:r>
      <w:r>
        <w:rPr>
          <w:rFonts w:ascii="Times New Roman" w:hAnsi="Times New Roman"/>
          <w:sz w:val="18"/>
          <w:szCs w:val="18"/>
        </w:rPr>
        <w:t>the governments of the United Kingdom and United States, and others.</w:t>
      </w:r>
    </w:p>
  </w:footnote>
  <w:footnote w:id="33">
    <w:p w14:paraId="07066326" w14:textId="08ECB952" w:rsidR="00D513C7" w:rsidRPr="00AF7CCF" w:rsidRDefault="00D513C7">
      <w:pPr>
        <w:pStyle w:val="FootnoteText"/>
        <w:rPr>
          <w:rFonts w:ascii="Times New Roman" w:hAnsi="Times New Roman"/>
          <w:sz w:val="18"/>
          <w:szCs w:val="18"/>
          <w:lang w:val="en-GB"/>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In accordance with the 18th </w:t>
      </w:r>
      <w:r>
        <w:rPr>
          <w:rFonts w:ascii="Times New Roman" w:hAnsi="Times New Roman"/>
          <w:sz w:val="18"/>
          <w:szCs w:val="18"/>
        </w:rPr>
        <w:t>a</w:t>
      </w:r>
      <w:r w:rsidRPr="00AF7CCF">
        <w:rPr>
          <w:rFonts w:ascii="Times New Roman" w:hAnsi="Times New Roman"/>
          <w:sz w:val="18"/>
          <w:szCs w:val="18"/>
        </w:rPr>
        <w:t>mendment.</w:t>
      </w:r>
    </w:p>
  </w:footnote>
  <w:footnote w:id="34">
    <w:p w14:paraId="06847B66" w14:textId="2932B66F" w:rsidR="00D513C7" w:rsidRDefault="00D513C7">
      <w:pPr>
        <w:pStyle w:val="FootnoteText"/>
      </w:pPr>
      <w:r>
        <w:rPr>
          <w:rStyle w:val="FootnoteReference"/>
        </w:rPr>
        <w:footnoteRef/>
      </w:r>
      <w:r>
        <w:t xml:space="preserve"> </w:t>
      </w:r>
      <w:r w:rsidRPr="00611EC7">
        <w:rPr>
          <w:rFonts w:ascii="Times New Roman" w:hAnsi="Times New Roman"/>
          <w:sz w:val="18"/>
          <w:szCs w:val="18"/>
          <w:shd w:val="clear" w:color="auto" w:fill="FFFFFF"/>
          <w:lang w:val="en-GB" w:eastAsia="en-GB"/>
        </w:rPr>
        <w:t>To be adjusted once UNSDF is finali</w:t>
      </w:r>
      <w:r>
        <w:rPr>
          <w:rFonts w:ascii="Times New Roman" w:hAnsi="Times New Roman"/>
          <w:sz w:val="18"/>
          <w:szCs w:val="18"/>
          <w:shd w:val="clear" w:color="auto" w:fill="FFFFFF"/>
          <w:lang w:val="en-GB" w:eastAsia="en-GB"/>
        </w:rPr>
        <w:t>z</w:t>
      </w:r>
      <w:r w:rsidRPr="00611EC7">
        <w:rPr>
          <w:rFonts w:ascii="Times New Roman" w:hAnsi="Times New Roman"/>
          <w:sz w:val="18"/>
          <w:szCs w:val="18"/>
          <w:shd w:val="clear" w:color="auto" w:fill="FFFFFF"/>
          <w:lang w:val="en-GB" w:eastAsia="en-GB"/>
        </w:rPr>
        <w:t>ed</w:t>
      </w:r>
      <w:r>
        <w:rPr>
          <w:rFonts w:ascii="Times New Roman" w:hAnsi="Times New Roman"/>
          <w:sz w:val="18"/>
          <w:szCs w:val="18"/>
          <w:shd w:val="clear" w:color="auto" w:fill="FFFFFF"/>
          <w:lang w:val="en-GB" w:eastAsia="en-GB"/>
        </w:rPr>
        <w:t>.</w:t>
      </w:r>
    </w:p>
  </w:footnote>
  <w:footnote w:id="35">
    <w:p w14:paraId="16B5E289" w14:textId="0EDCAB13" w:rsidR="00D513C7" w:rsidRPr="00AF7CCF" w:rsidRDefault="00D513C7">
      <w:pPr>
        <w:pStyle w:val="FootnoteText"/>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w:t>
      </w:r>
      <w:r w:rsidRPr="00AF7CCF">
        <w:rPr>
          <w:rFonts w:ascii="Times New Roman" w:hAnsi="Times New Roman"/>
          <w:sz w:val="18"/>
          <w:szCs w:val="18"/>
          <w:shd w:val="clear" w:color="auto" w:fill="FFFFFF"/>
          <w:lang w:val="en-GB" w:eastAsia="en-GB"/>
        </w:rPr>
        <w:t xml:space="preserve">United Nations </w:t>
      </w:r>
      <w:r>
        <w:rPr>
          <w:rFonts w:ascii="Times New Roman" w:hAnsi="Times New Roman"/>
          <w:sz w:val="18"/>
          <w:szCs w:val="18"/>
          <w:shd w:val="clear" w:color="auto" w:fill="FFFFFF"/>
          <w:lang w:val="en-GB" w:eastAsia="en-GB"/>
        </w:rPr>
        <w:t>Sustainable Development</w:t>
      </w:r>
      <w:r w:rsidRPr="00AF7CCF">
        <w:rPr>
          <w:rFonts w:ascii="Times New Roman" w:hAnsi="Times New Roman"/>
          <w:sz w:val="18"/>
          <w:szCs w:val="18"/>
          <w:lang w:val="en-GB"/>
        </w:rPr>
        <w:t xml:space="preserve"> Framework</w:t>
      </w:r>
      <w:r>
        <w:rPr>
          <w:rFonts w:ascii="Times New Roman" w:hAnsi="Times New Roman"/>
          <w:sz w:val="18"/>
          <w:szCs w:val="18"/>
          <w:lang w:val="en-GB"/>
        </w:rPr>
        <w:t xml:space="preserve"> for Pakistan</w:t>
      </w:r>
      <w:r w:rsidRPr="00AF7CCF">
        <w:rPr>
          <w:rFonts w:ascii="Times New Roman" w:hAnsi="Times New Roman"/>
          <w:sz w:val="18"/>
          <w:szCs w:val="18"/>
          <w:lang w:val="en-GB"/>
        </w:rPr>
        <w:t>.</w:t>
      </w:r>
    </w:p>
  </w:footnote>
  <w:footnote w:id="36">
    <w:p w14:paraId="333D21AD" w14:textId="66648E4E" w:rsidR="00D513C7" w:rsidRPr="00AF7CCF" w:rsidRDefault="00D513C7">
      <w:pPr>
        <w:pStyle w:val="FootnoteText"/>
        <w:rPr>
          <w:rFonts w:ascii="Times New Roman" w:hAnsi="Times New Roman"/>
          <w:sz w:val="18"/>
          <w:szCs w:val="18"/>
        </w:rPr>
      </w:pPr>
      <w:r w:rsidRPr="00AF7CCF">
        <w:rPr>
          <w:rStyle w:val="FootnoteReference"/>
          <w:rFonts w:ascii="Times New Roman" w:hAnsi="Times New Roman"/>
          <w:sz w:val="18"/>
          <w:szCs w:val="18"/>
        </w:rPr>
        <w:footnoteRef/>
      </w:r>
      <w:r w:rsidRPr="00AF7CCF">
        <w:rPr>
          <w:rFonts w:ascii="Times New Roman" w:hAnsi="Times New Roman"/>
          <w:sz w:val="18"/>
          <w:szCs w:val="18"/>
        </w:rPr>
        <w:t xml:space="preserve"> Integrated </w:t>
      </w:r>
      <w:r>
        <w:rPr>
          <w:rFonts w:ascii="Times New Roman" w:hAnsi="Times New Roman"/>
          <w:sz w:val="18"/>
          <w:szCs w:val="18"/>
        </w:rPr>
        <w:t>r</w:t>
      </w:r>
      <w:r w:rsidRPr="00AF7CCF">
        <w:rPr>
          <w:rFonts w:ascii="Times New Roman" w:hAnsi="Times New Roman"/>
          <w:sz w:val="18"/>
          <w:szCs w:val="18"/>
        </w:rPr>
        <w:t xml:space="preserve">esults and </w:t>
      </w:r>
      <w:r>
        <w:rPr>
          <w:rFonts w:ascii="Times New Roman" w:hAnsi="Times New Roman"/>
          <w:sz w:val="18"/>
          <w:szCs w:val="18"/>
        </w:rPr>
        <w:t>r</w:t>
      </w:r>
      <w:r w:rsidRPr="00AF7CCF">
        <w:rPr>
          <w:rFonts w:ascii="Times New Roman" w:hAnsi="Times New Roman"/>
          <w:sz w:val="18"/>
          <w:szCs w:val="18"/>
        </w:rPr>
        <w:t xml:space="preserve">esources </w:t>
      </w:r>
      <w:r>
        <w:rPr>
          <w:rFonts w:ascii="Times New Roman" w:hAnsi="Times New Roman"/>
          <w:sz w:val="18"/>
          <w:szCs w:val="18"/>
        </w:rPr>
        <w:t>f</w:t>
      </w:r>
      <w:r w:rsidRPr="00AF7CCF">
        <w:rPr>
          <w:rFonts w:ascii="Times New Roman" w:hAnsi="Times New Roman"/>
          <w:sz w:val="18"/>
          <w:szCs w:val="18"/>
        </w:rPr>
        <w:t>ramework.</w:t>
      </w:r>
    </w:p>
  </w:footnote>
  <w:footnote w:id="37">
    <w:p w14:paraId="3F2AF03B" w14:textId="65E292BD" w:rsidR="00D513C7" w:rsidRDefault="00D513C7">
      <w:pPr>
        <w:pStyle w:val="FootnoteText"/>
      </w:pPr>
      <w:r>
        <w:rPr>
          <w:rStyle w:val="FootnoteReference"/>
        </w:rPr>
        <w:footnoteRef/>
      </w:r>
      <w:r>
        <w:t xml:space="preserve"> </w:t>
      </w:r>
      <w:r w:rsidRPr="00407807">
        <w:rPr>
          <w:rFonts w:ascii="Times New Roman" w:hAnsi="Times New Roman"/>
          <w:sz w:val="18"/>
          <w:szCs w:val="18"/>
          <w:shd w:val="clear" w:color="auto" w:fill="FFFFFF"/>
          <w:lang w:val="en-GB" w:eastAsia="en-GB"/>
        </w:rPr>
        <w:t>To be adjusted once UNSDF is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106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513C7" w:rsidRPr="00614FED" w14:paraId="625F25D4" w14:textId="77777777" w:rsidTr="004B4476">
      <w:trPr>
        <w:trHeight w:hRule="exact" w:val="864"/>
      </w:trPr>
      <w:tc>
        <w:tcPr>
          <w:tcW w:w="4838" w:type="dxa"/>
          <w:tcBorders>
            <w:bottom w:val="single" w:sz="4" w:space="0" w:color="auto"/>
          </w:tcBorders>
          <w:vAlign w:val="bottom"/>
        </w:tcPr>
        <w:p w14:paraId="5E82D7ED" w14:textId="1C120C2D" w:rsidR="00D513C7" w:rsidRPr="00614FED" w:rsidRDefault="00D513C7" w:rsidP="004B4476">
          <w:pPr>
            <w:widowControl w:val="0"/>
            <w:tabs>
              <w:tab w:val="center" w:pos="4320"/>
              <w:tab w:val="right" w:pos="8640"/>
            </w:tabs>
            <w:spacing w:after="80"/>
            <w:ind w:left="-1838" w:firstLine="1838"/>
            <w:rPr>
              <w:b/>
              <w:sz w:val="17"/>
              <w:szCs w:val="17"/>
            </w:rPr>
          </w:pPr>
          <w:r w:rsidRPr="00614FED">
            <w:rPr>
              <w:b/>
              <w:sz w:val="17"/>
              <w:szCs w:val="17"/>
            </w:rPr>
            <w:t>DP/DCP</w:t>
          </w:r>
          <w:r>
            <w:rPr>
              <w:b/>
              <w:sz w:val="17"/>
              <w:szCs w:val="17"/>
            </w:rPr>
            <w:t>/PAK</w:t>
          </w:r>
          <w:r w:rsidRPr="00614FED">
            <w:rPr>
              <w:b/>
              <w:sz w:val="17"/>
              <w:szCs w:val="17"/>
            </w:rPr>
            <w:t>/</w:t>
          </w:r>
          <w:r>
            <w:rPr>
              <w:b/>
              <w:sz w:val="17"/>
              <w:szCs w:val="17"/>
            </w:rPr>
            <w:t>2</w:t>
          </w:r>
        </w:p>
      </w:tc>
      <w:tc>
        <w:tcPr>
          <w:tcW w:w="5047" w:type="dxa"/>
          <w:tcBorders>
            <w:bottom w:val="single" w:sz="4" w:space="0" w:color="auto"/>
          </w:tcBorders>
          <w:vAlign w:val="bottom"/>
        </w:tcPr>
        <w:p w14:paraId="5CA28898" w14:textId="77777777" w:rsidR="00D513C7" w:rsidRPr="00614FED" w:rsidRDefault="00D513C7" w:rsidP="00614FED">
          <w:pPr>
            <w:widowControl w:val="0"/>
            <w:tabs>
              <w:tab w:val="center" w:pos="4320"/>
              <w:tab w:val="right" w:pos="8640"/>
            </w:tabs>
            <w:rPr>
              <w:sz w:val="17"/>
              <w:szCs w:val="17"/>
            </w:rPr>
          </w:pPr>
        </w:p>
      </w:tc>
    </w:tr>
  </w:tbl>
  <w:p w14:paraId="33246A3E" w14:textId="77777777" w:rsidR="00D513C7" w:rsidRDefault="00D51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106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513C7" w:rsidRPr="002C54A1" w14:paraId="57F79BB3" w14:textId="77777777" w:rsidTr="00CC1187">
      <w:trPr>
        <w:trHeight w:hRule="exact" w:val="864"/>
      </w:trPr>
      <w:tc>
        <w:tcPr>
          <w:tcW w:w="4838" w:type="dxa"/>
          <w:tcBorders>
            <w:bottom w:val="single" w:sz="4" w:space="0" w:color="auto"/>
          </w:tcBorders>
          <w:vAlign w:val="bottom"/>
        </w:tcPr>
        <w:p w14:paraId="72AAE2E7" w14:textId="77777777" w:rsidR="00D513C7" w:rsidRPr="002C54A1" w:rsidRDefault="00D513C7" w:rsidP="002C54A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20CF9E46" w14:textId="79554EC9" w:rsidR="00D513C7" w:rsidRPr="002C54A1" w:rsidRDefault="00D513C7" w:rsidP="002C54A1">
          <w:pPr>
            <w:widowControl w:val="0"/>
            <w:tabs>
              <w:tab w:val="center" w:pos="4320"/>
              <w:tab w:val="right" w:pos="8640"/>
            </w:tabs>
            <w:jc w:val="right"/>
            <w:rPr>
              <w:sz w:val="17"/>
              <w:szCs w:val="17"/>
            </w:rPr>
          </w:pPr>
          <w:r w:rsidRPr="002C54A1">
            <w:rPr>
              <w:b/>
              <w:sz w:val="17"/>
              <w:szCs w:val="17"/>
            </w:rPr>
            <w:t>DP/DCP/</w:t>
          </w:r>
          <w:r>
            <w:rPr>
              <w:b/>
              <w:sz w:val="17"/>
              <w:szCs w:val="17"/>
            </w:rPr>
            <w:t>PAK</w:t>
          </w:r>
          <w:r w:rsidRPr="002C54A1">
            <w:rPr>
              <w:b/>
              <w:sz w:val="17"/>
              <w:szCs w:val="17"/>
            </w:rPr>
            <w:t>/</w:t>
          </w:r>
          <w:r>
            <w:rPr>
              <w:b/>
              <w:sz w:val="17"/>
              <w:szCs w:val="17"/>
            </w:rPr>
            <w:t>2</w:t>
          </w:r>
        </w:p>
      </w:tc>
    </w:tr>
  </w:tbl>
  <w:p w14:paraId="1DA85841" w14:textId="77777777" w:rsidR="00D513C7" w:rsidRPr="008E0FAB" w:rsidRDefault="00D513C7">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107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13C7" w:rsidRPr="008E0FAB" w14:paraId="3AC4B565" w14:textId="77777777" w:rsidTr="004B4476">
      <w:trPr>
        <w:trHeight w:hRule="exact" w:val="864"/>
      </w:trPr>
      <w:tc>
        <w:tcPr>
          <w:tcW w:w="1267" w:type="dxa"/>
          <w:tcBorders>
            <w:bottom w:val="single" w:sz="4" w:space="0" w:color="auto"/>
          </w:tcBorders>
          <w:shd w:val="clear" w:color="auto" w:fill="auto"/>
          <w:vAlign w:val="bottom"/>
        </w:tcPr>
        <w:p w14:paraId="2D4D04E8" w14:textId="77777777" w:rsidR="00D513C7" w:rsidRPr="008E0FAB" w:rsidRDefault="00D513C7" w:rsidP="008E0FAB">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EC2030E" w14:textId="77777777" w:rsidR="00D513C7" w:rsidRPr="008E0FAB" w:rsidRDefault="00D513C7" w:rsidP="008E0F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8E0FAB">
            <w:rPr>
              <w:spacing w:val="2"/>
              <w:w w:val="96"/>
              <w:kern w:val="14"/>
              <w:sz w:val="28"/>
              <w:lang w:val="en-GB"/>
            </w:rPr>
            <w:t>United Nations</w:t>
          </w:r>
        </w:p>
      </w:tc>
      <w:tc>
        <w:tcPr>
          <w:tcW w:w="245" w:type="dxa"/>
          <w:tcBorders>
            <w:bottom w:val="single" w:sz="4" w:space="0" w:color="auto"/>
          </w:tcBorders>
          <w:shd w:val="clear" w:color="auto" w:fill="auto"/>
          <w:vAlign w:val="bottom"/>
        </w:tcPr>
        <w:p w14:paraId="73FC3AED" w14:textId="77777777" w:rsidR="00D513C7" w:rsidRPr="008E0FAB" w:rsidRDefault="00D513C7" w:rsidP="008E0FAB">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E6D8644" w14:textId="4F4B3934" w:rsidR="00D513C7" w:rsidRPr="008E0FAB" w:rsidRDefault="00D513C7" w:rsidP="00614FED">
          <w:pPr>
            <w:suppressAutoHyphens/>
            <w:spacing w:after="80"/>
            <w:jc w:val="right"/>
            <w:rPr>
              <w:spacing w:val="4"/>
              <w:w w:val="103"/>
              <w:kern w:val="14"/>
              <w:position w:val="-4"/>
              <w:lang w:val="en-GB"/>
            </w:rPr>
          </w:pPr>
          <w:r w:rsidRPr="008E0FAB">
            <w:rPr>
              <w:spacing w:val="4"/>
              <w:w w:val="103"/>
              <w:kern w:val="14"/>
              <w:position w:val="-4"/>
              <w:sz w:val="40"/>
              <w:lang w:val="en-GB"/>
            </w:rPr>
            <w:t>DP</w:t>
          </w:r>
          <w:r w:rsidRPr="008E0FAB">
            <w:rPr>
              <w:spacing w:val="4"/>
              <w:w w:val="103"/>
              <w:kern w:val="14"/>
              <w:position w:val="-4"/>
              <w:lang w:val="en-GB"/>
            </w:rPr>
            <w:t>/DCP/</w:t>
          </w:r>
          <w:r>
            <w:rPr>
              <w:spacing w:val="4"/>
              <w:w w:val="103"/>
              <w:kern w:val="14"/>
              <w:position w:val="-4"/>
              <w:lang w:val="en-GB"/>
            </w:rPr>
            <w:t>PAK</w:t>
          </w:r>
          <w:r w:rsidRPr="008E0FAB">
            <w:rPr>
              <w:spacing w:val="4"/>
              <w:w w:val="103"/>
              <w:kern w:val="14"/>
              <w:position w:val="-4"/>
              <w:lang w:val="en-GB"/>
            </w:rPr>
            <w:t>/</w:t>
          </w:r>
          <w:r>
            <w:rPr>
              <w:spacing w:val="4"/>
              <w:w w:val="103"/>
              <w:kern w:val="14"/>
              <w:position w:val="-4"/>
              <w:lang w:val="en-GB"/>
            </w:rPr>
            <w:t>2</w:t>
          </w:r>
        </w:p>
      </w:tc>
    </w:tr>
    <w:tr w:rsidR="00D513C7" w:rsidRPr="008E0FAB" w14:paraId="425F491E" w14:textId="77777777" w:rsidTr="004B4476">
      <w:trPr>
        <w:gridAfter w:val="1"/>
        <w:wAfter w:w="28" w:type="dxa"/>
        <w:trHeight w:hRule="exact" w:val="2880"/>
      </w:trPr>
      <w:tc>
        <w:tcPr>
          <w:tcW w:w="1267" w:type="dxa"/>
          <w:tcBorders>
            <w:top w:val="single" w:sz="4" w:space="0" w:color="auto"/>
            <w:bottom w:val="single" w:sz="12" w:space="0" w:color="auto"/>
          </w:tcBorders>
          <w:shd w:val="clear" w:color="auto" w:fill="auto"/>
        </w:tcPr>
        <w:p w14:paraId="276FC39A" w14:textId="77777777" w:rsidR="00D513C7" w:rsidRPr="008E0FAB" w:rsidRDefault="00D513C7" w:rsidP="008E0FAB">
          <w:pPr>
            <w:tabs>
              <w:tab w:val="center" w:pos="4320"/>
              <w:tab w:val="right" w:pos="8640"/>
            </w:tabs>
            <w:spacing w:before="109"/>
            <w:rPr>
              <w:noProof/>
              <w:sz w:val="17"/>
            </w:rPr>
          </w:pPr>
          <w:r w:rsidRPr="008E0FAB">
            <w:rPr>
              <w:noProof/>
              <w:sz w:val="17"/>
            </w:rPr>
            <w:t xml:space="preserve"> </w:t>
          </w:r>
          <w:r w:rsidRPr="008E0FAB">
            <w:rPr>
              <w:noProof/>
              <w:sz w:val="17"/>
            </w:rPr>
            <w:drawing>
              <wp:inline distT="0" distB="0" distL="0" distR="0" wp14:anchorId="5C84CAB4" wp14:editId="6D614E2E">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5AFB19B" w14:textId="77777777" w:rsidR="00D513C7" w:rsidRPr="008E0FAB" w:rsidRDefault="00D513C7" w:rsidP="008E0FAB">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403D45CD" w14:textId="22931599" w:rsidR="00D513C7" w:rsidRPr="008E0FAB" w:rsidRDefault="00D513C7" w:rsidP="008E0F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09AB8FAF" w14:textId="77777777" w:rsidR="00D513C7" w:rsidRPr="008E0FAB" w:rsidRDefault="00D513C7" w:rsidP="008E0FAB">
          <w:pPr>
            <w:rPr>
              <w:sz w:val="34"/>
              <w:lang w:val="en-GB"/>
            </w:rPr>
          </w:pPr>
        </w:p>
        <w:p w14:paraId="15B3E79F" w14:textId="77777777" w:rsidR="00D513C7" w:rsidRPr="008E0FAB" w:rsidRDefault="00D513C7" w:rsidP="008E0FAB">
          <w:pPr>
            <w:ind w:firstLine="720"/>
            <w:rPr>
              <w:sz w:val="34"/>
              <w:lang w:val="en-GB"/>
            </w:rPr>
          </w:pPr>
        </w:p>
      </w:tc>
      <w:tc>
        <w:tcPr>
          <w:tcW w:w="245" w:type="dxa"/>
          <w:tcBorders>
            <w:top w:val="single" w:sz="4" w:space="0" w:color="auto"/>
            <w:bottom w:val="single" w:sz="12" w:space="0" w:color="auto"/>
          </w:tcBorders>
          <w:shd w:val="clear" w:color="auto" w:fill="auto"/>
        </w:tcPr>
        <w:p w14:paraId="31C97755" w14:textId="77777777" w:rsidR="00D513C7" w:rsidRPr="008E0FAB" w:rsidRDefault="00D513C7" w:rsidP="008E0FAB">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8F3D70A" w14:textId="77777777" w:rsidR="00D513C7" w:rsidRPr="008E0FAB" w:rsidRDefault="00D513C7" w:rsidP="008E0FAB">
          <w:pPr>
            <w:suppressAutoHyphens/>
            <w:spacing w:before="240" w:line="240" w:lineRule="exact"/>
            <w:rPr>
              <w:spacing w:val="4"/>
              <w:w w:val="103"/>
              <w:kern w:val="14"/>
              <w:lang w:val="en-GB"/>
            </w:rPr>
          </w:pPr>
          <w:r w:rsidRPr="008E0FAB">
            <w:rPr>
              <w:spacing w:val="4"/>
              <w:w w:val="103"/>
              <w:kern w:val="14"/>
              <w:lang w:val="en-GB"/>
            </w:rPr>
            <w:t>Distr.: General</w:t>
          </w:r>
        </w:p>
        <w:p w14:paraId="5D8D6855" w14:textId="5FEC41CD" w:rsidR="00D513C7" w:rsidRPr="008E0FAB" w:rsidRDefault="00E7116B" w:rsidP="008E0FAB">
          <w:pPr>
            <w:suppressAutoHyphens/>
            <w:spacing w:line="240" w:lineRule="exact"/>
            <w:rPr>
              <w:spacing w:val="4"/>
              <w:w w:val="103"/>
              <w:kern w:val="14"/>
              <w:lang w:val="en-GB"/>
            </w:rPr>
          </w:pPr>
          <w:r>
            <w:rPr>
              <w:spacing w:val="4"/>
              <w:w w:val="103"/>
              <w:kern w:val="14"/>
              <w:lang w:val="en-GB"/>
            </w:rPr>
            <w:t>30</w:t>
          </w:r>
          <w:r w:rsidR="00D513C7">
            <w:rPr>
              <w:spacing w:val="4"/>
              <w:w w:val="103"/>
              <w:kern w:val="14"/>
              <w:lang w:val="en-GB"/>
            </w:rPr>
            <w:t xml:space="preserve"> October 2017</w:t>
          </w:r>
        </w:p>
        <w:p w14:paraId="14E86C95" w14:textId="77777777" w:rsidR="00D513C7" w:rsidRPr="008E0FAB" w:rsidRDefault="00D513C7" w:rsidP="008E0FAB">
          <w:pPr>
            <w:suppressAutoHyphens/>
            <w:spacing w:line="240" w:lineRule="exact"/>
            <w:rPr>
              <w:spacing w:val="4"/>
              <w:w w:val="103"/>
              <w:kern w:val="14"/>
              <w:lang w:val="en-GB"/>
            </w:rPr>
          </w:pPr>
        </w:p>
        <w:p w14:paraId="339A5297" w14:textId="77777777" w:rsidR="00D513C7" w:rsidRPr="008E0FAB" w:rsidRDefault="00D513C7" w:rsidP="008E0FAB">
          <w:pPr>
            <w:suppressAutoHyphens/>
            <w:spacing w:line="240" w:lineRule="exact"/>
            <w:rPr>
              <w:spacing w:val="4"/>
              <w:w w:val="103"/>
              <w:kern w:val="14"/>
              <w:lang w:val="en-GB"/>
            </w:rPr>
          </w:pPr>
          <w:r w:rsidRPr="008E0FAB">
            <w:rPr>
              <w:spacing w:val="4"/>
              <w:w w:val="103"/>
              <w:kern w:val="14"/>
              <w:lang w:val="en-GB"/>
            </w:rPr>
            <w:t>Original: English</w:t>
          </w:r>
        </w:p>
      </w:tc>
    </w:tr>
  </w:tbl>
  <w:p w14:paraId="493BFCDF" w14:textId="77777777" w:rsidR="00D513C7" w:rsidRPr="00AF7CCF" w:rsidRDefault="00D513C7">
    <w:pPr>
      <w:pStyle w:val="Header"/>
      <w:rPr>
        <w:sz w:val="2"/>
        <w:szCs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D513C7" w:rsidRPr="00614FED" w14:paraId="074457C4" w14:textId="77777777" w:rsidTr="00E7116B">
      <w:trPr>
        <w:trHeight w:hRule="exact" w:val="864"/>
      </w:trPr>
      <w:tc>
        <w:tcPr>
          <w:tcW w:w="4838" w:type="dxa"/>
          <w:tcBorders>
            <w:bottom w:val="single" w:sz="4" w:space="0" w:color="auto"/>
          </w:tcBorders>
          <w:vAlign w:val="bottom"/>
        </w:tcPr>
        <w:p w14:paraId="21C36589" w14:textId="0584C4A3" w:rsidR="00D513C7" w:rsidRPr="00614FED" w:rsidRDefault="00D513C7" w:rsidP="00E314B2">
          <w:pPr>
            <w:widowControl w:val="0"/>
            <w:tabs>
              <w:tab w:val="center" w:pos="4320"/>
              <w:tab w:val="right" w:pos="8640"/>
            </w:tabs>
            <w:spacing w:after="80"/>
            <w:ind w:left="-1838" w:firstLine="1823"/>
            <w:rPr>
              <w:b/>
              <w:sz w:val="17"/>
              <w:szCs w:val="17"/>
            </w:rPr>
          </w:pPr>
          <w:r w:rsidRPr="00614FED">
            <w:rPr>
              <w:b/>
              <w:sz w:val="17"/>
              <w:szCs w:val="17"/>
            </w:rPr>
            <w:t>DP/DCP</w:t>
          </w:r>
          <w:r>
            <w:rPr>
              <w:b/>
              <w:sz w:val="17"/>
              <w:szCs w:val="17"/>
            </w:rPr>
            <w:t>/PAK</w:t>
          </w:r>
          <w:r w:rsidRPr="00614FED">
            <w:rPr>
              <w:b/>
              <w:sz w:val="17"/>
              <w:szCs w:val="17"/>
            </w:rPr>
            <w:t>/</w:t>
          </w:r>
          <w:r>
            <w:rPr>
              <w:b/>
              <w:sz w:val="17"/>
              <w:szCs w:val="17"/>
            </w:rPr>
            <w:t>2</w:t>
          </w:r>
        </w:p>
      </w:tc>
      <w:tc>
        <w:tcPr>
          <w:tcW w:w="8212" w:type="dxa"/>
          <w:tcBorders>
            <w:bottom w:val="single" w:sz="4" w:space="0" w:color="auto"/>
          </w:tcBorders>
          <w:vAlign w:val="bottom"/>
        </w:tcPr>
        <w:p w14:paraId="601B02B9" w14:textId="77777777" w:rsidR="00D513C7" w:rsidRPr="00614FED" w:rsidRDefault="00D513C7" w:rsidP="00614FED">
          <w:pPr>
            <w:widowControl w:val="0"/>
            <w:tabs>
              <w:tab w:val="center" w:pos="4320"/>
              <w:tab w:val="right" w:pos="8640"/>
            </w:tabs>
            <w:rPr>
              <w:sz w:val="17"/>
              <w:szCs w:val="17"/>
            </w:rPr>
          </w:pPr>
        </w:p>
      </w:tc>
    </w:tr>
  </w:tbl>
  <w:p w14:paraId="63E7A489" w14:textId="77777777" w:rsidR="00D513C7" w:rsidRDefault="00D513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D513C7" w:rsidRPr="002C54A1" w14:paraId="646DFB66" w14:textId="77777777" w:rsidTr="00E7116B">
      <w:trPr>
        <w:trHeight w:hRule="exact" w:val="864"/>
      </w:trPr>
      <w:tc>
        <w:tcPr>
          <w:tcW w:w="4838" w:type="dxa"/>
          <w:tcBorders>
            <w:bottom w:val="single" w:sz="4" w:space="0" w:color="auto"/>
          </w:tcBorders>
          <w:vAlign w:val="bottom"/>
        </w:tcPr>
        <w:p w14:paraId="32BC91D7" w14:textId="77777777" w:rsidR="00D513C7" w:rsidRPr="002C54A1" w:rsidRDefault="00D513C7" w:rsidP="002C54A1">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0733AC84" w14:textId="77777777" w:rsidR="00D513C7" w:rsidRPr="002C54A1" w:rsidRDefault="00D513C7" w:rsidP="002C54A1">
          <w:pPr>
            <w:widowControl w:val="0"/>
            <w:tabs>
              <w:tab w:val="center" w:pos="4320"/>
              <w:tab w:val="right" w:pos="8640"/>
            </w:tabs>
            <w:jc w:val="right"/>
            <w:rPr>
              <w:sz w:val="17"/>
              <w:szCs w:val="17"/>
            </w:rPr>
          </w:pPr>
          <w:r w:rsidRPr="002C54A1">
            <w:rPr>
              <w:b/>
              <w:sz w:val="17"/>
              <w:szCs w:val="17"/>
            </w:rPr>
            <w:t>DP/DCP/</w:t>
          </w:r>
          <w:r>
            <w:rPr>
              <w:b/>
              <w:sz w:val="17"/>
              <w:szCs w:val="17"/>
            </w:rPr>
            <w:t>PAK</w:t>
          </w:r>
          <w:r w:rsidRPr="002C54A1">
            <w:rPr>
              <w:b/>
              <w:sz w:val="17"/>
              <w:szCs w:val="17"/>
            </w:rPr>
            <w:t>/</w:t>
          </w:r>
          <w:r>
            <w:rPr>
              <w:b/>
              <w:sz w:val="17"/>
              <w:szCs w:val="17"/>
            </w:rPr>
            <w:t>2</w:t>
          </w:r>
        </w:p>
      </w:tc>
    </w:tr>
  </w:tbl>
  <w:p w14:paraId="6A5261C7" w14:textId="77777777" w:rsidR="00D513C7" w:rsidRPr="008E0FAB" w:rsidRDefault="00D513C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C9"/>
    <w:multiLevelType w:val="hybridMultilevel"/>
    <w:tmpl w:val="AE98A828"/>
    <w:lvl w:ilvl="0" w:tplc="ADD8ACB2">
      <w:start w:val="1"/>
      <w:numFmt w:val="lowerLetter"/>
      <w:lvlText w:val="(%1)"/>
      <w:lvlJc w:val="left"/>
      <w:pPr>
        <w:ind w:left="40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95918"/>
    <w:multiLevelType w:val="hybridMultilevel"/>
    <w:tmpl w:val="5BF2E478"/>
    <w:lvl w:ilvl="0" w:tplc="C312FBFE">
      <w:start w:val="1"/>
      <w:numFmt w:val="decimal"/>
      <w:lvlText w:val="%1."/>
      <w:lvlJc w:val="left"/>
      <w:pPr>
        <w:ind w:left="189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338"/>
    <w:multiLevelType w:val="hybridMultilevel"/>
    <w:tmpl w:val="2F948A9C"/>
    <w:lvl w:ilvl="0" w:tplc="49BE6FF0">
      <w:start w:val="1"/>
      <w:numFmt w:val="lowerRoman"/>
      <w:lvlText w:val="%1."/>
      <w:lvlJc w:val="left"/>
      <w:pPr>
        <w:ind w:left="360" w:hanging="360"/>
      </w:pPr>
      <w:rPr>
        <w:rFonts w:hint="default"/>
        <w:b w:val="0"/>
        <w:color w:val="000000" w:themeColor="text1"/>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07F1"/>
    <w:multiLevelType w:val="hybridMultilevel"/>
    <w:tmpl w:val="99E8BE18"/>
    <w:lvl w:ilvl="0" w:tplc="C312FBFE">
      <w:start w:val="1"/>
      <w:numFmt w:val="decimal"/>
      <w:lvlText w:val="%1."/>
      <w:lvlJc w:val="left"/>
      <w:pPr>
        <w:ind w:left="1260" w:hanging="360"/>
      </w:pPr>
      <w:rPr>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6F09"/>
    <w:multiLevelType w:val="hybridMultilevel"/>
    <w:tmpl w:val="F026909A"/>
    <w:lvl w:ilvl="0" w:tplc="A87C2900">
      <w:start w:val="1"/>
      <w:numFmt w:val="decimal"/>
      <w:lvlText w:val="%1."/>
      <w:lvlJc w:val="left"/>
      <w:pPr>
        <w:ind w:left="36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30BCD"/>
    <w:multiLevelType w:val="hybridMultilevel"/>
    <w:tmpl w:val="EE6438F2"/>
    <w:lvl w:ilvl="0" w:tplc="ADD8ACB2">
      <w:start w:val="1"/>
      <w:numFmt w:val="lowerLetter"/>
      <w:lvlText w:val="(%1)"/>
      <w:lvlJc w:val="left"/>
      <w:pPr>
        <w:ind w:left="2070" w:hanging="360"/>
      </w:pPr>
      <w:rPr>
        <w:rFonts w:hint="default"/>
        <w:b w:val="0"/>
        <w:color w:val="000000" w:themeColor="text1"/>
      </w:rPr>
    </w:lvl>
    <w:lvl w:ilvl="1" w:tplc="08090019">
      <w:start w:val="1"/>
      <w:numFmt w:val="lowerLetter"/>
      <w:lvlText w:val="%2."/>
      <w:lvlJc w:val="left"/>
      <w:pPr>
        <w:ind w:left="4050" w:hanging="360"/>
      </w:p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6" w15:restartNumberingAfterBreak="0">
    <w:nsid w:val="12614029"/>
    <w:multiLevelType w:val="hybridMultilevel"/>
    <w:tmpl w:val="3356BE32"/>
    <w:lvl w:ilvl="0" w:tplc="8E6A0D44">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15AE71B3"/>
    <w:multiLevelType w:val="hybridMultilevel"/>
    <w:tmpl w:val="7600397A"/>
    <w:lvl w:ilvl="0" w:tplc="49BE6FF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E1F2D"/>
    <w:multiLevelType w:val="hybridMultilevel"/>
    <w:tmpl w:val="E5B01D20"/>
    <w:lvl w:ilvl="0" w:tplc="C2C217C0">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4612E"/>
    <w:multiLevelType w:val="hybridMultilevel"/>
    <w:tmpl w:val="CC36E71A"/>
    <w:lvl w:ilvl="0" w:tplc="0809001B">
      <w:start w:val="1"/>
      <w:numFmt w:val="lowerRoman"/>
      <w:lvlText w:val="%1."/>
      <w:lvlJc w:val="righ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15:restartNumberingAfterBreak="0">
    <w:nsid w:val="1D126DAC"/>
    <w:multiLevelType w:val="hybridMultilevel"/>
    <w:tmpl w:val="6CF2E6B6"/>
    <w:lvl w:ilvl="0" w:tplc="A87C2900">
      <w:start w:val="1"/>
      <w:numFmt w:val="decimal"/>
      <w:lvlText w:val="%1."/>
      <w:lvlJc w:val="left"/>
      <w:pPr>
        <w:ind w:left="360" w:hanging="360"/>
      </w:pPr>
      <w:rPr>
        <w:b w:val="0"/>
        <w:color w:val="000000" w:themeColor="text1"/>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C7F6F"/>
    <w:multiLevelType w:val="hybridMultilevel"/>
    <w:tmpl w:val="3A9E384C"/>
    <w:lvl w:ilvl="0" w:tplc="4C907E20">
      <w:start w:val="1"/>
      <w:numFmt w:val="bullet"/>
      <w:lvlText w:val="•"/>
      <w:lvlJc w:val="left"/>
      <w:pPr>
        <w:tabs>
          <w:tab w:val="num" w:pos="720"/>
        </w:tabs>
        <w:ind w:left="720" w:hanging="360"/>
      </w:pPr>
      <w:rPr>
        <w:rFonts w:ascii="Arial" w:hAnsi="Arial" w:hint="default"/>
      </w:rPr>
    </w:lvl>
    <w:lvl w:ilvl="1" w:tplc="1C7C487E">
      <w:start w:val="1"/>
      <w:numFmt w:val="bullet"/>
      <w:lvlText w:val="•"/>
      <w:lvlJc w:val="left"/>
      <w:pPr>
        <w:tabs>
          <w:tab w:val="num" w:pos="1440"/>
        </w:tabs>
        <w:ind w:left="1440" w:hanging="360"/>
      </w:pPr>
      <w:rPr>
        <w:rFonts w:ascii="Arial" w:hAnsi="Arial" w:hint="default"/>
      </w:rPr>
    </w:lvl>
    <w:lvl w:ilvl="2" w:tplc="7FEA98D4" w:tentative="1">
      <w:start w:val="1"/>
      <w:numFmt w:val="bullet"/>
      <w:lvlText w:val="•"/>
      <w:lvlJc w:val="left"/>
      <w:pPr>
        <w:tabs>
          <w:tab w:val="num" w:pos="2160"/>
        </w:tabs>
        <w:ind w:left="2160" w:hanging="360"/>
      </w:pPr>
      <w:rPr>
        <w:rFonts w:ascii="Arial" w:hAnsi="Arial" w:hint="default"/>
      </w:rPr>
    </w:lvl>
    <w:lvl w:ilvl="3" w:tplc="69101CC4" w:tentative="1">
      <w:start w:val="1"/>
      <w:numFmt w:val="bullet"/>
      <w:lvlText w:val="•"/>
      <w:lvlJc w:val="left"/>
      <w:pPr>
        <w:tabs>
          <w:tab w:val="num" w:pos="2880"/>
        </w:tabs>
        <w:ind w:left="2880" w:hanging="360"/>
      </w:pPr>
      <w:rPr>
        <w:rFonts w:ascii="Arial" w:hAnsi="Arial" w:hint="default"/>
      </w:rPr>
    </w:lvl>
    <w:lvl w:ilvl="4" w:tplc="E1D2D34A" w:tentative="1">
      <w:start w:val="1"/>
      <w:numFmt w:val="bullet"/>
      <w:lvlText w:val="•"/>
      <w:lvlJc w:val="left"/>
      <w:pPr>
        <w:tabs>
          <w:tab w:val="num" w:pos="3600"/>
        </w:tabs>
        <w:ind w:left="3600" w:hanging="360"/>
      </w:pPr>
      <w:rPr>
        <w:rFonts w:ascii="Arial" w:hAnsi="Arial" w:hint="default"/>
      </w:rPr>
    </w:lvl>
    <w:lvl w:ilvl="5" w:tplc="5854188E" w:tentative="1">
      <w:start w:val="1"/>
      <w:numFmt w:val="bullet"/>
      <w:lvlText w:val="•"/>
      <w:lvlJc w:val="left"/>
      <w:pPr>
        <w:tabs>
          <w:tab w:val="num" w:pos="4320"/>
        </w:tabs>
        <w:ind w:left="4320" w:hanging="360"/>
      </w:pPr>
      <w:rPr>
        <w:rFonts w:ascii="Arial" w:hAnsi="Arial" w:hint="default"/>
      </w:rPr>
    </w:lvl>
    <w:lvl w:ilvl="6" w:tplc="4BFEC9D4" w:tentative="1">
      <w:start w:val="1"/>
      <w:numFmt w:val="bullet"/>
      <w:lvlText w:val="•"/>
      <w:lvlJc w:val="left"/>
      <w:pPr>
        <w:tabs>
          <w:tab w:val="num" w:pos="5040"/>
        </w:tabs>
        <w:ind w:left="5040" w:hanging="360"/>
      </w:pPr>
      <w:rPr>
        <w:rFonts w:ascii="Arial" w:hAnsi="Arial" w:hint="default"/>
      </w:rPr>
    </w:lvl>
    <w:lvl w:ilvl="7" w:tplc="682A8112" w:tentative="1">
      <w:start w:val="1"/>
      <w:numFmt w:val="bullet"/>
      <w:lvlText w:val="•"/>
      <w:lvlJc w:val="left"/>
      <w:pPr>
        <w:tabs>
          <w:tab w:val="num" w:pos="5760"/>
        </w:tabs>
        <w:ind w:left="5760" w:hanging="360"/>
      </w:pPr>
      <w:rPr>
        <w:rFonts w:ascii="Arial" w:hAnsi="Arial" w:hint="default"/>
      </w:rPr>
    </w:lvl>
    <w:lvl w:ilvl="8" w:tplc="29AC14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A04C17"/>
    <w:multiLevelType w:val="hybridMultilevel"/>
    <w:tmpl w:val="A59A9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3A530B"/>
    <w:multiLevelType w:val="hybridMultilevel"/>
    <w:tmpl w:val="475AA2EA"/>
    <w:lvl w:ilvl="0" w:tplc="49BE6FF0">
      <w:start w:val="1"/>
      <w:numFmt w:val="lowerRoman"/>
      <w:lvlText w:val="%1."/>
      <w:lvlJc w:val="left"/>
      <w:pPr>
        <w:ind w:left="360" w:hanging="360"/>
      </w:pPr>
      <w:rPr>
        <w:rFonts w:hint="default"/>
        <w:b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70E16"/>
    <w:multiLevelType w:val="hybridMultilevel"/>
    <w:tmpl w:val="398AAF0C"/>
    <w:lvl w:ilvl="0" w:tplc="04090013">
      <w:start w:val="1"/>
      <w:numFmt w:val="upper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296C59B8"/>
    <w:multiLevelType w:val="hybridMultilevel"/>
    <w:tmpl w:val="6CFEB216"/>
    <w:lvl w:ilvl="0" w:tplc="8B50F0D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07C4BE8"/>
    <w:multiLevelType w:val="hybridMultilevel"/>
    <w:tmpl w:val="8E1A075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95FD9"/>
    <w:multiLevelType w:val="hybridMultilevel"/>
    <w:tmpl w:val="A3C09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094132"/>
    <w:multiLevelType w:val="hybridMultilevel"/>
    <w:tmpl w:val="953E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06544"/>
    <w:multiLevelType w:val="hybridMultilevel"/>
    <w:tmpl w:val="38DCD9A2"/>
    <w:lvl w:ilvl="0" w:tplc="A87C2900">
      <w:start w:val="1"/>
      <w:numFmt w:val="decimal"/>
      <w:lvlText w:val="%1."/>
      <w:lvlJc w:val="left"/>
      <w:pPr>
        <w:ind w:left="360" w:hanging="360"/>
      </w:pPr>
      <w:rPr>
        <w:b w:val="0"/>
        <w:color w:val="000000" w:themeColor="text1"/>
      </w:rPr>
    </w:lvl>
    <w:lvl w:ilvl="1" w:tplc="80D60354">
      <w:start w:val="1"/>
      <w:numFmt w:val="lowerLetter"/>
      <w:lvlText w:val="%2."/>
      <w:lvlJc w:val="left"/>
      <w:pPr>
        <w:ind w:left="1080" w:hanging="360"/>
      </w:pPr>
      <w:rPr>
        <w:b w:val="0"/>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494552"/>
    <w:multiLevelType w:val="hybridMultilevel"/>
    <w:tmpl w:val="29227752"/>
    <w:lvl w:ilvl="0" w:tplc="C312FBFE">
      <w:start w:val="1"/>
      <w:numFmt w:val="decimal"/>
      <w:lvlText w:val="%1."/>
      <w:lvlJc w:val="left"/>
      <w:pPr>
        <w:ind w:left="1890" w:hanging="360"/>
      </w:pPr>
      <w:rPr>
        <w:color w:val="auto"/>
      </w:rPr>
    </w:lvl>
    <w:lvl w:ilvl="1" w:tplc="04090017">
      <w:start w:val="1"/>
      <w:numFmt w:val="lowerLetter"/>
      <w:lvlText w:val="%2)"/>
      <w:lvlJc w:val="left"/>
      <w:pPr>
        <w:ind w:left="1440" w:hanging="360"/>
      </w:pPr>
    </w:lvl>
    <w:lvl w:ilvl="2" w:tplc="08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3198C"/>
    <w:multiLevelType w:val="hybridMultilevel"/>
    <w:tmpl w:val="C0563FC2"/>
    <w:lvl w:ilvl="0" w:tplc="C312FBFE">
      <w:start w:val="1"/>
      <w:numFmt w:val="decimal"/>
      <w:lvlText w:val="%1."/>
      <w:lvlJc w:val="left"/>
      <w:pPr>
        <w:ind w:left="1260" w:hanging="360"/>
      </w:pPr>
      <w:rPr>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53CCA"/>
    <w:multiLevelType w:val="hybridMultilevel"/>
    <w:tmpl w:val="C988F4F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97524"/>
    <w:multiLevelType w:val="hybridMultilevel"/>
    <w:tmpl w:val="71FAFFB4"/>
    <w:lvl w:ilvl="0" w:tplc="49BE6FF0">
      <w:start w:val="1"/>
      <w:numFmt w:val="lowerRoman"/>
      <w:lvlText w:val="%1."/>
      <w:lvlJc w:val="left"/>
      <w:pPr>
        <w:ind w:left="720" w:hanging="360"/>
      </w:pPr>
      <w:rPr>
        <w:rFonts w:hint="default"/>
        <w:b w:val="0"/>
        <w:color w:val="000000" w:themeColor="text1"/>
      </w:rPr>
    </w:lvl>
    <w:lvl w:ilvl="1" w:tplc="49BE6FF0">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0F4DA4"/>
    <w:multiLevelType w:val="hybridMultilevel"/>
    <w:tmpl w:val="DD9EA1C0"/>
    <w:lvl w:ilvl="0" w:tplc="8B360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957EA"/>
    <w:multiLevelType w:val="hybridMultilevel"/>
    <w:tmpl w:val="F55C6EEA"/>
    <w:lvl w:ilvl="0" w:tplc="49BE6F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6D760A8"/>
    <w:multiLevelType w:val="hybridMultilevel"/>
    <w:tmpl w:val="C164C39C"/>
    <w:lvl w:ilvl="0" w:tplc="49BE6FF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4443C2"/>
    <w:multiLevelType w:val="hybridMultilevel"/>
    <w:tmpl w:val="3DBCC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F60D33"/>
    <w:multiLevelType w:val="hybridMultilevel"/>
    <w:tmpl w:val="133E898E"/>
    <w:lvl w:ilvl="0" w:tplc="49BE6F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460767"/>
    <w:multiLevelType w:val="hybridMultilevel"/>
    <w:tmpl w:val="9B7A47C0"/>
    <w:lvl w:ilvl="0" w:tplc="49BE6F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5230E4"/>
    <w:multiLevelType w:val="hybridMultilevel"/>
    <w:tmpl w:val="B1CA2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F45A2"/>
    <w:multiLevelType w:val="hybridMultilevel"/>
    <w:tmpl w:val="20E07408"/>
    <w:lvl w:ilvl="0" w:tplc="C312FBFE">
      <w:start w:val="1"/>
      <w:numFmt w:val="decimal"/>
      <w:lvlText w:val="%1."/>
      <w:lvlJc w:val="left"/>
      <w:pPr>
        <w:ind w:left="1890" w:hanging="360"/>
      </w:pPr>
      <w:rPr>
        <w:color w:val="auto"/>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E4653"/>
    <w:multiLevelType w:val="hybridMultilevel"/>
    <w:tmpl w:val="65AE5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B2D41"/>
    <w:multiLevelType w:val="hybridMultilevel"/>
    <w:tmpl w:val="A7E2F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2202C"/>
    <w:multiLevelType w:val="hybridMultilevel"/>
    <w:tmpl w:val="68C0E78A"/>
    <w:lvl w:ilvl="0" w:tplc="C312FBFE">
      <w:start w:val="1"/>
      <w:numFmt w:val="decimal"/>
      <w:lvlText w:val="%1."/>
      <w:lvlJc w:val="left"/>
      <w:pPr>
        <w:ind w:left="1890" w:hanging="360"/>
      </w:pPr>
      <w:rPr>
        <w:color w:val="auto"/>
      </w:rPr>
    </w:lvl>
    <w:lvl w:ilvl="1" w:tplc="04090017">
      <w:start w:val="1"/>
      <w:numFmt w:val="lowerLetter"/>
      <w:lvlText w:val="%2)"/>
      <w:lvlJc w:val="left"/>
      <w:pPr>
        <w:ind w:left="1440" w:hanging="360"/>
      </w:pPr>
    </w:lvl>
    <w:lvl w:ilvl="2" w:tplc="4DF05960">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D7068"/>
    <w:multiLevelType w:val="hybridMultilevel"/>
    <w:tmpl w:val="7480B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991FD5"/>
    <w:multiLevelType w:val="hybridMultilevel"/>
    <w:tmpl w:val="D7B2845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B8464F"/>
    <w:multiLevelType w:val="hybridMultilevel"/>
    <w:tmpl w:val="EE06F9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3117DD"/>
    <w:multiLevelType w:val="hybridMultilevel"/>
    <w:tmpl w:val="B7C824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4F63F3"/>
    <w:multiLevelType w:val="hybridMultilevel"/>
    <w:tmpl w:val="54C8E93C"/>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32C6938"/>
    <w:multiLevelType w:val="hybridMultilevel"/>
    <w:tmpl w:val="AA6C95FA"/>
    <w:lvl w:ilvl="0" w:tplc="A87C2900">
      <w:start w:val="1"/>
      <w:numFmt w:val="decimal"/>
      <w:lvlText w:val="%1."/>
      <w:lvlJc w:val="left"/>
      <w:pPr>
        <w:ind w:left="2070" w:hanging="360"/>
      </w:pPr>
      <w:rPr>
        <w:b w:val="0"/>
        <w:color w:val="000000" w:themeColor="text1"/>
      </w:rPr>
    </w:lvl>
    <w:lvl w:ilvl="1" w:tplc="ADD8ACB2">
      <w:start w:val="1"/>
      <w:numFmt w:val="lowerLetter"/>
      <w:lvlText w:val="(%2)"/>
      <w:lvlJc w:val="left"/>
      <w:pPr>
        <w:ind w:left="4050" w:hanging="360"/>
      </w:pPr>
      <w:rPr>
        <w:rFonts w:hint="default"/>
      </w:r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42" w15:restartNumberingAfterBreak="0">
    <w:nsid w:val="63A63049"/>
    <w:multiLevelType w:val="hybridMultilevel"/>
    <w:tmpl w:val="5CF247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E46466"/>
    <w:multiLevelType w:val="hybridMultilevel"/>
    <w:tmpl w:val="0B76F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B07C60"/>
    <w:multiLevelType w:val="hybridMultilevel"/>
    <w:tmpl w:val="74764096"/>
    <w:lvl w:ilvl="0" w:tplc="ADD8ACB2">
      <w:start w:val="1"/>
      <w:numFmt w:val="lowerLetter"/>
      <w:lvlText w:val="(%1)"/>
      <w:lvlJc w:val="left"/>
      <w:pPr>
        <w:ind w:left="40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040BC7"/>
    <w:multiLevelType w:val="hybridMultilevel"/>
    <w:tmpl w:val="37320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6DF487F"/>
    <w:multiLevelType w:val="hybridMultilevel"/>
    <w:tmpl w:val="F1025F86"/>
    <w:lvl w:ilvl="0" w:tplc="49BE6F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602B6D"/>
    <w:multiLevelType w:val="hybridMultilevel"/>
    <w:tmpl w:val="54AE0274"/>
    <w:lvl w:ilvl="0" w:tplc="ADD8ACB2">
      <w:start w:val="1"/>
      <w:numFmt w:val="lowerLetter"/>
      <w:lvlText w:val="(%1)"/>
      <w:lvlJc w:val="left"/>
      <w:pPr>
        <w:ind w:left="4050" w:hanging="360"/>
      </w:pPr>
      <w:rPr>
        <w:rFonts w:hint="default"/>
        <w:b w:val="0"/>
        <w:color w:val="000000" w:themeColor="text1"/>
      </w:rPr>
    </w:lvl>
    <w:lvl w:ilvl="1" w:tplc="49BE6FF0">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A713A89"/>
    <w:multiLevelType w:val="hybridMultilevel"/>
    <w:tmpl w:val="9D3A2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03877"/>
    <w:multiLevelType w:val="hybridMultilevel"/>
    <w:tmpl w:val="B6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667D53"/>
    <w:multiLevelType w:val="hybridMultilevel"/>
    <w:tmpl w:val="4AB2E78E"/>
    <w:lvl w:ilvl="0" w:tplc="A87C2900">
      <w:start w:val="1"/>
      <w:numFmt w:val="decimal"/>
      <w:lvlText w:val="%1."/>
      <w:lvlJc w:val="left"/>
      <w:pPr>
        <w:ind w:left="720" w:hanging="360"/>
      </w:pPr>
      <w:rPr>
        <w:b w:val="0"/>
        <w:color w:val="000000" w:themeColor="text1"/>
      </w:rPr>
    </w:lvl>
    <w:lvl w:ilvl="1" w:tplc="49BE6FF0">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E82418B"/>
    <w:multiLevelType w:val="hybridMultilevel"/>
    <w:tmpl w:val="3EBC4524"/>
    <w:lvl w:ilvl="0" w:tplc="DF2631EE">
      <w:start w:val="1"/>
      <w:numFmt w:val="decimal"/>
      <w:lvlText w:val="%1."/>
      <w:lvlJc w:val="left"/>
      <w:pPr>
        <w:ind w:left="2070" w:hanging="360"/>
      </w:pPr>
      <w:rPr>
        <w:rFonts w:ascii="Times New Roman" w:hAnsi="Times New Roman" w:cs="Times New Roman" w:hint="default"/>
        <w:b w:val="0"/>
        <w:color w:val="000000" w:themeColor="text1"/>
        <w:sz w:val="20"/>
        <w:szCs w:val="20"/>
      </w:rPr>
    </w:lvl>
    <w:lvl w:ilvl="1" w:tplc="08090019">
      <w:start w:val="1"/>
      <w:numFmt w:val="lowerLetter"/>
      <w:lvlText w:val="%2."/>
      <w:lvlJc w:val="left"/>
      <w:pPr>
        <w:ind w:left="4050" w:hanging="360"/>
      </w:p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52" w15:restartNumberingAfterBreak="0">
    <w:nsid w:val="6F002C5C"/>
    <w:multiLevelType w:val="hybridMultilevel"/>
    <w:tmpl w:val="DF266DE8"/>
    <w:lvl w:ilvl="0" w:tplc="ADD8ACB2">
      <w:start w:val="1"/>
      <w:numFmt w:val="lowerLetter"/>
      <w:lvlText w:val="(%1)"/>
      <w:lvlJc w:val="left"/>
      <w:pPr>
        <w:ind w:left="4050" w:hanging="360"/>
      </w:pPr>
      <w:rPr>
        <w:rFonts w:hint="default"/>
        <w:b w:val="0"/>
        <w:color w:val="000000" w:themeColor="text1"/>
      </w:rPr>
    </w:lvl>
    <w:lvl w:ilvl="1" w:tplc="80D60354">
      <w:start w:val="1"/>
      <w:numFmt w:val="lowerLetter"/>
      <w:lvlText w:val="%2."/>
      <w:lvlJc w:val="left"/>
      <w:pPr>
        <w:ind w:left="1080" w:hanging="360"/>
      </w:pPr>
      <w:rPr>
        <w:b w:val="0"/>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DF14DC"/>
    <w:multiLevelType w:val="hybridMultilevel"/>
    <w:tmpl w:val="DDDA6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F052F"/>
    <w:multiLevelType w:val="hybridMultilevel"/>
    <w:tmpl w:val="1C1002C0"/>
    <w:lvl w:ilvl="0" w:tplc="04090019">
      <w:start w:val="1"/>
      <w:numFmt w:val="lowerLetter"/>
      <w:lvlText w:val="%1."/>
      <w:lvlJc w:val="left"/>
      <w:pPr>
        <w:ind w:left="360" w:hanging="360"/>
      </w:pPr>
      <w:rPr>
        <w:b w:val="0"/>
        <w:color w:val="000000" w:themeColor="text1"/>
      </w:rPr>
    </w:lvl>
    <w:lvl w:ilvl="1" w:tplc="80D60354">
      <w:start w:val="1"/>
      <w:numFmt w:val="lowerLetter"/>
      <w:lvlText w:val="%2."/>
      <w:lvlJc w:val="left"/>
      <w:pPr>
        <w:ind w:left="1080" w:hanging="360"/>
      </w:pPr>
      <w:rPr>
        <w:b w:val="0"/>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962BA2"/>
    <w:multiLevelType w:val="hybridMultilevel"/>
    <w:tmpl w:val="114E34FA"/>
    <w:lvl w:ilvl="0" w:tplc="C312FBFE">
      <w:start w:val="1"/>
      <w:numFmt w:val="decimal"/>
      <w:lvlText w:val="%1."/>
      <w:lvlJc w:val="left"/>
      <w:pPr>
        <w:ind w:left="189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DE78D8"/>
    <w:multiLevelType w:val="hybridMultilevel"/>
    <w:tmpl w:val="9A2AE1E6"/>
    <w:lvl w:ilvl="0" w:tplc="49BE6F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5E1208"/>
    <w:multiLevelType w:val="hybridMultilevel"/>
    <w:tmpl w:val="D61CB290"/>
    <w:lvl w:ilvl="0" w:tplc="A87C2900">
      <w:start w:val="1"/>
      <w:numFmt w:val="decimal"/>
      <w:lvlText w:val="%1."/>
      <w:lvlJc w:val="left"/>
      <w:pPr>
        <w:ind w:left="36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F212DD"/>
    <w:multiLevelType w:val="hybridMultilevel"/>
    <w:tmpl w:val="AC2C8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75DE1"/>
    <w:multiLevelType w:val="hybridMultilevel"/>
    <w:tmpl w:val="114E34FA"/>
    <w:lvl w:ilvl="0" w:tplc="C312FBFE">
      <w:start w:val="1"/>
      <w:numFmt w:val="decimal"/>
      <w:lvlText w:val="%1."/>
      <w:lvlJc w:val="left"/>
      <w:pPr>
        <w:ind w:left="189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E0277"/>
    <w:multiLevelType w:val="hybridMultilevel"/>
    <w:tmpl w:val="42AAD6A2"/>
    <w:lvl w:ilvl="0" w:tplc="C312FBFE">
      <w:start w:val="1"/>
      <w:numFmt w:val="decimal"/>
      <w:lvlText w:val="%1."/>
      <w:lvlJc w:val="left"/>
      <w:pPr>
        <w:ind w:left="12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D84CAC"/>
    <w:multiLevelType w:val="hybridMultilevel"/>
    <w:tmpl w:val="13E6DA56"/>
    <w:lvl w:ilvl="0" w:tplc="BC582C7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6"/>
  </w:num>
  <w:num w:numId="3">
    <w:abstractNumId w:val="61"/>
  </w:num>
  <w:num w:numId="4">
    <w:abstractNumId w:val="62"/>
  </w:num>
  <w:num w:numId="5">
    <w:abstractNumId w:val="56"/>
  </w:num>
  <w:num w:numId="6">
    <w:abstractNumId w:val="59"/>
  </w:num>
  <w:num w:numId="7">
    <w:abstractNumId w:val="60"/>
  </w:num>
  <w:num w:numId="8">
    <w:abstractNumId w:val="17"/>
  </w:num>
  <w:num w:numId="9">
    <w:abstractNumId w:val="12"/>
  </w:num>
  <w:num w:numId="10">
    <w:abstractNumId w:val="1"/>
  </w:num>
  <w:num w:numId="11">
    <w:abstractNumId w:val="48"/>
  </w:num>
  <w:num w:numId="12">
    <w:abstractNumId w:val="3"/>
  </w:num>
  <w:num w:numId="13">
    <w:abstractNumId w:val="21"/>
  </w:num>
  <w:num w:numId="14">
    <w:abstractNumId w:val="34"/>
  </w:num>
  <w:num w:numId="15">
    <w:abstractNumId w:val="53"/>
  </w:num>
  <w:num w:numId="16">
    <w:abstractNumId w:val="38"/>
  </w:num>
  <w:num w:numId="17">
    <w:abstractNumId w:val="39"/>
  </w:num>
  <w:num w:numId="18">
    <w:abstractNumId w:val="19"/>
  </w:num>
  <w:num w:numId="19">
    <w:abstractNumId w:val="31"/>
  </w:num>
  <w:num w:numId="20">
    <w:abstractNumId w:val="33"/>
  </w:num>
  <w:num w:numId="21">
    <w:abstractNumId w:val="18"/>
  </w:num>
  <w:num w:numId="22">
    <w:abstractNumId w:val="32"/>
  </w:num>
  <w:num w:numId="23">
    <w:abstractNumId w:val="36"/>
  </w:num>
  <w:num w:numId="24">
    <w:abstractNumId w:val="35"/>
  </w:num>
  <w:num w:numId="25">
    <w:abstractNumId w:val="49"/>
  </w:num>
  <w:num w:numId="26">
    <w:abstractNumId w:val="42"/>
  </w:num>
  <w:num w:numId="27">
    <w:abstractNumId w:val="11"/>
  </w:num>
  <w:num w:numId="28">
    <w:abstractNumId w:val="28"/>
  </w:num>
  <w:num w:numId="29">
    <w:abstractNumId w:val="45"/>
  </w:num>
  <w:num w:numId="30">
    <w:abstractNumId w:val="43"/>
  </w:num>
  <w:num w:numId="31">
    <w:abstractNumId w:val="9"/>
  </w:num>
  <w:num w:numId="32">
    <w:abstractNumId w:val="20"/>
  </w:num>
  <w:num w:numId="33">
    <w:abstractNumId w:val="16"/>
  </w:num>
  <w:num w:numId="34">
    <w:abstractNumId w:val="7"/>
  </w:num>
  <w:num w:numId="35">
    <w:abstractNumId w:val="27"/>
  </w:num>
  <w:num w:numId="36">
    <w:abstractNumId w:val="15"/>
  </w:num>
  <w:num w:numId="37">
    <w:abstractNumId w:val="14"/>
  </w:num>
  <w:num w:numId="38">
    <w:abstractNumId w:val="25"/>
  </w:num>
  <w:num w:numId="39">
    <w:abstractNumId w:val="51"/>
  </w:num>
  <w:num w:numId="40">
    <w:abstractNumId w:val="54"/>
  </w:num>
  <w:num w:numId="41">
    <w:abstractNumId w:val="4"/>
  </w:num>
  <w:num w:numId="42">
    <w:abstractNumId w:val="22"/>
  </w:num>
  <w:num w:numId="43">
    <w:abstractNumId w:val="30"/>
  </w:num>
  <w:num w:numId="44">
    <w:abstractNumId w:val="40"/>
  </w:num>
  <w:num w:numId="45">
    <w:abstractNumId w:val="37"/>
  </w:num>
  <w:num w:numId="46">
    <w:abstractNumId w:val="46"/>
  </w:num>
  <w:num w:numId="47">
    <w:abstractNumId w:val="29"/>
  </w:num>
  <w:num w:numId="48">
    <w:abstractNumId w:val="57"/>
  </w:num>
  <w:num w:numId="49">
    <w:abstractNumId w:val="24"/>
  </w:num>
  <w:num w:numId="50">
    <w:abstractNumId w:val="58"/>
  </w:num>
  <w:num w:numId="51">
    <w:abstractNumId w:val="10"/>
  </w:num>
  <w:num w:numId="52">
    <w:abstractNumId w:val="2"/>
  </w:num>
  <w:num w:numId="53">
    <w:abstractNumId w:val="13"/>
  </w:num>
  <w:num w:numId="54">
    <w:abstractNumId w:val="50"/>
  </w:num>
  <w:num w:numId="55">
    <w:abstractNumId w:val="23"/>
  </w:num>
  <w:num w:numId="56">
    <w:abstractNumId w:val="26"/>
  </w:num>
  <w:num w:numId="57">
    <w:abstractNumId w:val="8"/>
  </w:num>
  <w:num w:numId="58">
    <w:abstractNumId w:val="41"/>
  </w:num>
  <w:num w:numId="59">
    <w:abstractNumId w:val="44"/>
  </w:num>
  <w:num w:numId="60">
    <w:abstractNumId w:val="52"/>
  </w:num>
  <w:num w:numId="61">
    <w:abstractNumId w:val="0"/>
  </w:num>
  <w:num w:numId="62">
    <w:abstractNumId w:val="47"/>
  </w:num>
  <w:num w:numId="6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171"/>
    <w:rsid w:val="000010B5"/>
    <w:rsid w:val="000027D2"/>
    <w:rsid w:val="00002C27"/>
    <w:rsid w:val="000038CD"/>
    <w:rsid w:val="00005E26"/>
    <w:rsid w:val="000069B9"/>
    <w:rsid w:val="00006EF1"/>
    <w:rsid w:val="00007536"/>
    <w:rsid w:val="00010045"/>
    <w:rsid w:val="000105D1"/>
    <w:rsid w:val="0001309E"/>
    <w:rsid w:val="00014C9E"/>
    <w:rsid w:val="00015B7F"/>
    <w:rsid w:val="00015B97"/>
    <w:rsid w:val="00015FDE"/>
    <w:rsid w:val="00016217"/>
    <w:rsid w:val="00016460"/>
    <w:rsid w:val="00016861"/>
    <w:rsid w:val="000200CF"/>
    <w:rsid w:val="000205F1"/>
    <w:rsid w:val="00022047"/>
    <w:rsid w:val="000225CE"/>
    <w:rsid w:val="00024898"/>
    <w:rsid w:val="00025D6B"/>
    <w:rsid w:val="00025F50"/>
    <w:rsid w:val="000274B9"/>
    <w:rsid w:val="0002758B"/>
    <w:rsid w:val="000276A0"/>
    <w:rsid w:val="000304D8"/>
    <w:rsid w:val="00032808"/>
    <w:rsid w:val="00032F4A"/>
    <w:rsid w:val="000330DB"/>
    <w:rsid w:val="0003429F"/>
    <w:rsid w:val="000343E1"/>
    <w:rsid w:val="00034CE9"/>
    <w:rsid w:val="0003538B"/>
    <w:rsid w:val="0003562A"/>
    <w:rsid w:val="00036095"/>
    <w:rsid w:val="00036AF4"/>
    <w:rsid w:val="00037D92"/>
    <w:rsid w:val="00041C10"/>
    <w:rsid w:val="00043293"/>
    <w:rsid w:val="0004363E"/>
    <w:rsid w:val="00043804"/>
    <w:rsid w:val="000441A1"/>
    <w:rsid w:val="00050401"/>
    <w:rsid w:val="00050869"/>
    <w:rsid w:val="00051243"/>
    <w:rsid w:val="0005162D"/>
    <w:rsid w:val="00051815"/>
    <w:rsid w:val="000525CB"/>
    <w:rsid w:val="000538BF"/>
    <w:rsid w:val="00054B5C"/>
    <w:rsid w:val="0005573A"/>
    <w:rsid w:val="00055F80"/>
    <w:rsid w:val="00056092"/>
    <w:rsid w:val="000561C1"/>
    <w:rsid w:val="00056204"/>
    <w:rsid w:val="0005692A"/>
    <w:rsid w:val="00056A53"/>
    <w:rsid w:val="000570D1"/>
    <w:rsid w:val="000571A9"/>
    <w:rsid w:val="00060290"/>
    <w:rsid w:val="00061867"/>
    <w:rsid w:val="0006197C"/>
    <w:rsid w:val="0006279C"/>
    <w:rsid w:val="00063E24"/>
    <w:rsid w:val="00065E0F"/>
    <w:rsid w:val="000668BE"/>
    <w:rsid w:val="00066E27"/>
    <w:rsid w:val="0007083F"/>
    <w:rsid w:val="00070CFB"/>
    <w:rsid w:val="00071975"/>
    <w:rsid w:val="00072229"/>
    <w:rsid w:val="00073CF1"/>
    <w:rsid w:val="00074BD0"/>
    <w:rsid w:val="00074D9A"/>
    <w:rsid w:val="00074DB9"/>
    <w:rsid w:val="000753C4"/>
    <w:rsid w:val="00075DF0"/>
    <w:rsid w:val="000762CA"/>
    <w:rsid w:val="000803A4"/>
    <w:rsid w:val="000806E3"/>
    <w:rsid w:val="00081553"/>
    <w:rsid w:val="00082F04"/>
    <w:rsid w:val="0008339E"/>
    <w:rsid w:val="0008487B"/>
    <w:rsid w:val="00090AD1"/>
    <w:rsid w:val="00090B57"/>
    <w:rsid w:val="00090F4F"/>
    <w:rsid w:val="00091476"/>
    <w:rsid w:val="00092682"/>
    <w:rsid w:val="00092879"/>
    <w:rsid w:val="0009354B"/>
    <w:rsid w:val="00094CB4"/>
    <w:rsid w:val="00094E87"/>
    <w:rsid w:val="00095721"/>
    <w:rsid w:val="00095DEF"/>
    <w:rsid w:val="00095E7E"/>
    <w:rsid w:val="000972E1"/>
    <w:rsid w:val="00097FB2"/>
    <w:rsid w:val="000A151D"/>
    <w:rsid w:val="000A1D3A"/>
    <w:rsid w:val="000A2476"/>
    <w:rsid w:val="000A24C5"/>
    <w:rsid w:val="000A3A79"/>
    <w:rsid w:val="000A3C51"/>
    <w:rsid w:val="000A3F7F"/>
    <w:rsid w:val="000A6B0E"/>
    <w:rsid w:val="000B0F13"/>
    <w:rsid w:val="000B1620"/>
    <w:rsid w:val="000B2A9F"/>
    <w:rsid w:val="000B2E81"/>
    <w:rsid w:val="000B2EB9"/>
    <w:rsid w:val="000B3A13"/>
    <w:rsid w:val="000B4030"/>
    <w:rsid w:val="000B4266"/>
    <w:rsid w:val="000B4BB2"/>
    <w:rsid w:val="000B6352"/>
    <w:rsid w:val="000B6379"/>
    <w:rsid w:val="000B7349"/>
    <w:rsid w:val="000C0A70"/>
    <w:rsid w:val="000C0BCB"/>
    <w:rsid w:val="000C159E"/>
    <w:rsid w:val="000C1972"/>
    <w:rsid w:val="000C3A0D"/>
    <w:rsid w:val="000C3E05"/>
    <w:rsid w:val="000C4DD2"/>
    <w:rsid w:val="000C56EA"/>
    <w:rsid w:val="000C6D4E"/>
    <w:rsid w:val="000C76B0"/>
    <w:rsid w:val="000C7BBE"/>
    <w:rsid w:val="000D2475"/>
    <w:rsid w:val="000D40F2"/>
    <w:rsid w:val="000D442C"/>
    <w:rsid w:val="000D4CFD"/>
    <w:rsid w:val="000D4DC4"/>
    <w:rsid w:val="000D7A21"/>
    <w:rsid w:val="000D7D76"/>
    <w:rsid w:val="000E063D"/>
    <w:rsid w:val="000E1F92"/>
    <w:rsid w:val="000E612D"/>
    <w:rsid w:val="000E6AB1"/>
    <w:rsid w:val="000E745A"/>
    <w:rsid w:val="000E7E9E"/>
    <w:rsid w:val="000F0044"/>
    <w:rsid w:val="000F02E9"/>
    <w:rsid w:val="000F3848"/>
    <w:rsid w:val="000F46C8"/>
    <w:rsid w:val="000F5541"/>
    <w:rsid w:val="000F703B"/>
    <w:rsid w:val="000F72ED"/>
    <w:rsid w:val="000F7A4C"/>
    <w:rsid w:val="0010661C"/>
    <w:rsid w:val="00106EF8"/>
    <w:rsid w:val="001077FF"/>
    <w:rsid w:val="0010798B"/>
    <w:rsid w:val="001101A2"/>
    <w:rsid w:val="00111489"/>
    <w:rsid w:val="00111792"/>
    <w:rsid w:val="00111797"/>
    <w:rsid w:val="00111B19"/>
    <w:rsid w:val="00112B51"/>
    <w:rsid w:val="00113659"/>
    <w:rsid w:val="00113759"/>
    <w:rsid w:val="00114A64"/>
    <w:rsid w:val="00114A76"/>
    <w:rsid w:val="00115F59"/>
    <w:rsid w:val="00116C1A"/>
    <w:rsid w:val="00121F3E"/>
    <w:rsid w:val="0012229E"/>
    <w:rsid w:val="00123849"/>
    <w:rsid w:val="00123A5E"/>
    <w:rsid w:val="00125010"/>
    <w:rsid w:val="00125266"/>
    <w:rsid w:val="00125B82"/>
    <w:rsid w:val="001277FD"/>
    <w:rsid w:val="00130487"/>
    <w:rsid w:val="001305E6"/>
    <w:rsid w:val="0013110D"/>
    <w:rsid w:val="0013239A"/>
    <w:rsid w:val="001324D8"/>
    <w:rsid w:val="0013284D"/>
    <w:rsid w:val="0013289E"/>
    <w:rsid w:val="00132D44"/>
    <w:rsid w:val="00132D93"/>
    <w:rsid w:val="00133450"/>
    <w:rsid w:val="00133F4B"/>
    <w:rsid w:val="0013571B"/>
    <w:rsid w:val="00136587"/>
    <w:rsid w:val="00136A5E"/>
    <w:rsid w:val="0013761A"/>
    <w:rsid w:val="001376CB"/>
    <w:rsid w:val="00140B5B"/>
    <w:rsid w:val="00142E5A"/>
    <w:rsid w:val="00143DAB"/>
    <w:rsid w:val="0014423A"/>
    <w:rsid w:val="00147042"/>
    <w:rsid w:val="001471A7"/>
    <w:rsid w:val="001476E5"/>
    <w:rsid w:val="0015010F"/>
    <w:rsid w:val="001506F6"/>
    <w:rsid w:val="00151641"/>
    <w:rsid w:val="00153BD6"/>
    <w:rsid w:val="00154032"/>
    <w:rsid w:val="00154667"/>
    <w:rsid w:val="001547D3"/>
    <w:rsid w:val="00154E5A"/>
    <w:rsid w:val="001559BD"/>
    <w:rsid w:val="0015675D"/>
    <w:rsid w:val="00156B9E"/>
    <w:rsid w:val="00157F09"/>
    <w:rsid w:val="00157F79"/>
    <w:rsid w:val="0016335E"/>
    <w:rsid w:val="00163E72"/>
    <w:rsid w:val="00163E84"/>
    <w:rsid w:val="00164CC2"/>
    <w:rsid w:val="00165BD4"/>
    <w:rsid w:val="001668AA"/>
    <w:rsid w:val="001675B1"/>
    <w:rsid w:val="0016789D"/>
    <w:rsid w:val="00167C87"/>
    <w:rsid w:val="00171590"/>
    <w:rsid w:val="00171DA9"/>
    <w:rsid w:val="00172A0F"/>
    <w:rsid w:val="00172EE3"/>
    <w:rsid w:val="00176262"/>
    <w:rsid w:val="00176741"/>
    <w:rsid w:val="00176CD3"/>
    <w:rsid w:val="00177E7E"/>
    <w:rsid w:val="0018343E"/>
    <w:rsid w:val="0018356F"/>
    <w:rsid w:val="00183A1C"/>
    <w:rsid w:val="0018509A"/>
    <w:rsid w:val="0018513F"/>
    <w:rsid w:val="001876C5"/>
    <w:rsid w:val="00187D68"/>
    <w:rsid w:val="00190155"/>
    <w:rsid w:val="0019068D"/>
    <w:rsid w:val="001906B5"/>
    <w:rsid w:val="001913EE"/>
    <w:rsid w:val="001930DC"/>
    <w:rsid w:val="00193A08"/>
    <w:rsid w:val="00194163"/>
    <w:rsid w:val="00194FEB"/>
    <w:rsid w:val="001963F0"/>
    <w:rsid w:val="00196445"/>
    <w:rsid w:val="001966FA"/>
    <w:rsid w:val="001970A4"/>
    <w:rsid w:val="001976DB"/>
    <w:rsid w:val="00197AD1"/>
    <w:rsid w:val="001A052D"/>
    <w:rsid w:val="001A1DEA"/>
    <w:rsid w:val="001A29C3"/>
    <w:rsid w:val="001A3A23"/>
    <w:rsid w:val="001A4E0A"/>
    <w:rsid w:val="001A7075"/>
    <w:rsid w:val="001B0020"/>
    <w:rsid w:val="001B00C5"/>
    <w:rsid w:val="001B3F87"/>
    <w:rsid w:val="001B4026"/>
    <w:rsid w:val="001B4308"/>
    <w:rsid w:val="001B453E"/>
    <w:rsid w:val="001B46BC"/>
    <w:rsid w:val="001B4D4F"/>
    <w:rsid w:val="001B529A"/>
    <w:rsid w:val="001B532B"/>
    <w:rsid w:val="001B598C"/>
    <w:rsid w:val="001B5E09"/>
    <w:rsid w:val="001B739A"/>
    <w:rsid w:val="001B76A6"/>
    <w:rsid w:val="001C07F8"/>
    <w:rsid w:val="001C0F72"/>
    <w:rsid w:val="001C1147"/>
    <w:rsid w:val="001C2F59"/>
    <w:rsid w:val="001C5C8D"/>
    <w:rsid w:val="001C6C08"/>
    <w:rsid w:val="001C6C52"/>
    <w:rsid w:val="001D11B9"/>
    <w:rsid w:val="001D2056"/>
    <w:rsid w:val="001D42D1"/>
    <w:rsid w:val="001D64E5"/>
    <w:rsid w:val="001D6EB8"/>
    <w:rsid w:val="001E05EC"/>
    <w:rsid w:val="001E1047"/>
    <w:rsid w:val="001E16E2"/>
    <w:rsid w:val="001E295F"/>
    <w:rsid w:val="001E4809"/>
    <w:rsid w:val="001E4F4F"/>
    <w:rsid w:val="001E74FB"/>
    <w:rsid w:val="001F27F4"/>
    <w:rsid w:val="001F2841"/>
    <w:rsid w:val="001F3DC0"/>
    <w:rsid w:val="001F4C5A"/>
    <w:rsid w:val="001F4EA9"/>
    <w:rsid w:val="001F4F73"/>
    <w:rsid w:val="001F524A"/>
    <w:rsid w:val="001F532A"/>
    <w:rsid w:val="001F5B6B"/>
    <w:rsid w:val="001F5F38"/>
    <w:rsid w:val="001F6425"/>
    <w:rsid w:val="001F6772"/>
    <w:rsid w:val="001F6C73"/>
    <w:rsid w:val="001F7421"/>
    <w:rsid w:val="00200195"/>
    <w:rsid w:val="00200B5F"/>
    <w:rsid w:val="00201BA8"/>
    <w:rsid w:val="00201C34"/>
    <w:rsid w:val="00201EEF"/>
    <w:rsid w:val="00201FE6"/>
    <w:rsid w:val="0020223E"/>
    <w:rsid w:val="002022D2"/>
    <w:rsid w:val="002047C8"/>
    <w:rsid w:val="002052B3"/>
    <w:rsid w:val="00205453"/>
    <w:rsid w:val="002058F9"/>
    <w:rsid w:val="00207F32"/>
    <w:rsid w:val="00210320"/>
    <w:rsid w:val="00210EF9"/>
    <w:rsid w:val="00210FAD"/>
    <w:rsid w:val="0021213C"/>
    <w:rsid w:val="00212AE2"/>
    <w:rsid w:val="00212B1F"/>
    <w:rsid w:val="00213340"/>
    <w:rsid w:val="00213D7C"/>
    <w:rsid w:val="00214513"/>
    <w:rsid w:val="002155B7"/>
    <w:rsid w:val="0021766A"/>
    <w:rsid w:val="002204C8"/>
    <w:rsid w:val="00221FE1"/>
    <w:rsid w:val="002225D3"/>
    <w:rsid w:val="00222A35"/>
    <w:rsid w:val="0022301D"/>
    <w:rsid w:val="00224B2C"/>
    <w:rsid w:val="00226A4B"/>
    <w:rsid w:val="002273C7"/>
    <w:rsid w:val="00227675"/>
    <w:rsid w:val="00227E55"/>
    <w:rsid w:val="00232AA0"/>
    <w:rsid w:val="00233115"/>
    <w:rsid w:val="002349DB"/>
    <w:rsid w:val="00234CDF"/>
    <w:rsid w:val="00236B0E"/>
    <w:rsid w:val="00236B91"/>
    <w:rsid w:val="002405D6"/>
    <w:rsid w:val="0024084D"/>
    <w:rsid w:val="00240A82"/>
    <w:rsid w:val="00240DFE"/>
    <w:rsid w:val="002411A9"/>
    <w:rsid w:val="00241651"/>
    <w:rsid w:val="00241F96"/>
    <w:rsid w:val="002424C0"/>
    <w:rsid w:val="00242617"/>
    <w:rsid w:val="00242CAA"/>
    <w:rsid w:val="002431F8"/>
    <w:rsid w:val="0024346A"/>
    <w:rsid w:val="0024503B"/>
    <w:rsid w:val="00245D74"/>
    <w:rsid w:val="00246034"/>
    <w:rsid w:val="00246604"/>
    <w:rsid w:val="00246D03"/>
    <w:rsid w:val="00246DDF"/>
    <w:rsid w:val="00247DF2"/>
    <w:rsid w:val="00250554"/>
    <w:rsid w:val="0025255B"/>
    <w:rsid w:val="002573CC"/>
    <w:rsid w:val="00257F40"/>
    <w:rsid w:val="00260FAA"/>
    <w:rsid w:val="00262338"/>
    <w:rsid w:val="00262BBE"/>
    <w:rsid w:val="0026376A"/>
    <w:rsid w:val="00263938"/>
    <w:rsid w:val="002646D7"/>
    <w:rsid w:val="002650EF"/>
    <w:rsid w:val="00266419"/>
    <w:rsid w:val="00266ABA"/>
    <w:rsid w:val="00266CFC"/>
    <w:rsid w:val="002671D7"/>
    <w:rsid w:val="002700A0"/>
    <w:rsid w:val="0027037E"/>
    <w:rsid w:val="00270FCE"/>
    <w:rsid w:val="002715A8"/>
    <w:rsid w:val="002715CB"/>
    <w:rsid w:val="0027259C"/>
    <w:rsid w:val="002729AB"/>
    <w:rsid w:val="00273543"/>
    <w:rsid w:val="00274C82"/>
    <w:rsid w:val="00275FDD"/>
    <w:rsid w:val="0027654D"/>
    <w:rsid w:val="002766A9"/>
    <w:rsid w:val="00277A27"/>
    <w:rsid w:val="00280DDC"/>
    <w:rsid w:val="00280E8F"/>
    <w:rsid w:val="002810DF"/>
    <w:rsid w:val="002812AB"/>
    <w:rsid w:val="002816D8"/>
    <w:rsid w:val="00282A8C"/>
    <w:rsid w:val="00283673"/>
    <w:rsid w:val="00283721"/>
    <w:rsid w:val="00283B21"/>
    <w:rsid w:val="00283D87"/>
    <w:rsid w:val="00284F7B"/>
    <w:rsid w:val="002854EE"/>
    <w:rsid w:val="0028565C"/>
    <w:rsid w:val="002867F1"/>
    <w:rsid w:val="002875DE"/>
    <w:rsid w:val="00287E07"/>
    <w:rsid w:val="0029001B"/>
    <w:rsid w:val="00290B07"/>
    <w:rsid w:val="00290EB3"/>
    <w:rsid w:val="00292286"/>
    <w:rsid w:val="00292846"/>
    <w:rsid w:val="00292A90"/>
    <w:rsid w:val="00292EEE"/>
    <w:rsid w:val="00295F54"/>
    <w:rsid w:val="00296E09"/>
    <w:rsid w:val="00296F8E"/>
    <w:rsid w:val="002971D6"/>
    <w:rsid w:val="002A21F5"/>
    <w:rsid w:val="002A2F08"/>
    <w:rsid w:val="002A3641"/>
    <w:rsid w:val="002A4401"/>
    <w:rsid w:val="002A495F"/>
    <w:rsid w:val="002A5879"/>
    <w:rsid w:val="002A6C8F"/>
    <w:rsid w:val="002A706F"/>
    <w:rsid w:val="002A70EA"/>
    <w:rsid w:val="002A7363"/>
    <w:rsid w:val="002A7F43"/>
    <w:rsid w:val="002B0790"/>
    <w:rsid w:val="002B07A8"/>
    <w:rsid w:val="002B1905"/>
    <w:rsid w:val="002B23B4"/>
    <w:rsid w:val="002B2CF7"/>
    <w:rsid w:val="002B365E"/>
    <w:rsid w:val="002B3B63"/>
    <w:rsid w:val="002B3E6C"/>
    <w:rsid w:val="002B489A"/>
    <w:rsid w:val="002B6341"/>
    <w:rsid w:val="002C031A"/>
    <w:rsid w:val="002C0526"/>
    <w:rsid w:val="002C27A8"/>
    <w:rsid w:val="002C2F36"/>
    <w:rsid w:val="002C333E"/>
    <w:rsid w:val="002C36C8"/>
    <w:rsid w:val="002C4A62"/>
    <w:rsid w:val="002C51A0"/>
    <w:rsid w:val="002C54A1"/>
    <w:rsid w:val="002C57E0"/>
    <w:rsid w:val="002C6B5B"/>
    <w:rsid w:val="002C76AA"/>
    <w:rsid w:val="002C7811"/>
    <w:rsid w:val="002C7971"/>
    <w:rsid w:val="002C7F7C"/>
    <w:rsid w:val="002D0584"/>
    <w:rsid w:val="002D1151"/>
    <w:rsid w:val="002D2E2A"/>
    <w:rsid w:val="002D311E"/>
    <w:rsid w:val="002D372D"/>
    <w:rsid w:val="002D4274"/>
    <w:rsid w:val="002D5295"/>
    <w:rsid w:val="002D52BF"/>
    <w:rsid w:val="002D68FA"/>
    <w:rsid w:val="002D7ECA"/>
    <w:rsid w:val="002E0141"/>
    <w:rsid w:val="002E0362"/>
    <w:rsid w:val="002E0B5D"/>
    <w:rsid w:val="002E0B76"/>
    <w:rsid w:val="002E13C0"/>
    <w:rsid w:val="002E1495"/>
    <w:rsid w:val="002E2466"/>
    <w:rsid w:val="002E2900"/>
    <w:rsid w:val="002E2ACF"/>
    <w:rsid w:val="002E34ED"/>
    <w:rsid w:val="002E3C0D"/>
    <w:rsid w:val="002E43EC"/>
    <w:rsid w:val="002E43FD"/>
    <w:rsid w:val="002E4883"/>
    <w:rsid w:val="002E5B3C"/>
    <w:rsid w:val="002E7A79"/>
    <w:rsid w:val="002F0DBF"/>
    <w:rsid w:val="002F1D9E"/>
    <w:rsid w:val="002F2C6E"/>
    <w:rsid w:val="002F3AE5"/>
    <w:rsid w:val="002F3C88"/>
    <w:rsid w:val="002F4067"/>
    <w:rsid w:val="002F47EB"/>
    <w:rsid w:val="002F7339"/>
    <w:rsid w:val="002F7461"/>
    <w:rsid w:val="00301D9D"/>
    <w:rsid w:val="0030216C"/>
    <w:rsid w:val="003025E2"/>
    <w:rsid w:val="0030441F"/>
    <w:rsid w:val="003051D8"/>
    <w:rsid w:val="00306356"/>
    <w:rsid w:val="00306D24"/>
    <w:rsid w:val="003074E5"/>
    <w:rsid w:val="00307712"/>
    <w:rsid w:val="00310F71"/>
    <w:rsid w:val="00312AE4"/>
    <w:rsid w:val="00313247"/>
    <w:rsid w:val="0031404A"/>
    <w:rsid w:val="00314B7C"/>
    <w:rsid w:val="00314E49"/>
    <w:rsid w:val="00315105"/>
    <w:rsid w:val="00315445"/>
    <w:rsid w:val="00317183"/>
    <w:rsid w:val="0031741F"/>
    <w:rsid w:val="00317BAD"/>
    <w:rsid w:val="003204AE"/>
    <w:rsid w:val="003208EF"/>
    <w:rsid w:val="00321B71"/>
    <w:rsid w:val="00324846"/>
    <w:rsid w:val="00324ABD"/>
    <w:rsid w:val="00324D9B"/>
    <w:rsid w:val="00325752"/>
    <w:rsid w:val="00325C03"/>
    <w:rsid w:val="0032633C"/>
    <w:rsid w:val="00326C18"/>
    <w:rsid w:val="003272A6"/>
    <w:rsid w:val="003273CB"/>
    <w:rsid w:val="00330255"/>
    <w:rsid w:val="0033125E"/>
    <w:rsid w:val="0033136C"/>
    <w:rsid w:val="00331D7E"/>
    <w:rsid w:val="0033232F"/>
    <w:rsid w:val="0033325E"/>
    <w:rsid w:val="003348F0"/>
    <w:rsid w:val="00335FDA"/>
    <w:rsid w:val="003364D7"/>
    <w:rsid w:val="00336836"/>
    <w:rsid w:val="00336913"/>
    <w:rsid w:val="0033718C"/>
    <w:rsid w:val="00337407"/>
    <w:rsid w:val="00337806"/>
    <w:rsid w:val="00337BB8"/>
    <w:rsid w:val="0034045B"/>
    <w:rsid w:val="00340E02"/>
    <w:rsid w:val="00340E0C"/>
    <w:rsid w:val="003414C4"/>
    <w:rsid w:val="003419E4"/>
    <w:rsid w:val="00341C22"/>
    <w:rsid w:val="00343E6E"/>
    <w:rsid w:val="00343E9A"/>
    <w:rsid w:val="003450C8"/>
    <w:rsid w:val="00346391"/>
    <w:rsid w:val="0034782B"/>
    <w:rsid w:val="00351C22"/>
    <w:rsid w:val="00351E5C"/>
    <w:rsid w:val="0035277B"/>
    <w:rsid w:val="00353EEB"/>
    <w:rsid w:val="00353FD8"/>
    <w:rsid w:val="0035580F"/>
    <w:rsid w:val="00355B50"/>
    <w:rsid w:val="00355F7A"/>
    <w:rsid w:val="00356539"/>
    <w:rsid w:val="00357987"/>
    <w:rsid w:val="00357CB4"/>
    <w:rsid w:val="00357CC9"/>
    <w:rsid w:val="003604EE"/>
    <w:rsid w:val="003612F0"/>
    <w:rsid w:val="00361AB6"/>
    <w:rsid w:val="0036286B"/>
    <w:rsid w:val="0036316B"/>
    <w:rsid w:val="00363371"/>
    <w:rsid w:val="00363606"/>
    <w:rsid w:val="00363D1C"/>
    <w:rsid w:val="00363EDD"/>
    <w:rsid w:val="00364989"/>
    <w:rsid w:val="003660C5"/>
    <w:rsid w:val="003664C0"/>
    <w:rsid w:val="003665E1"/>
    <w:rsid w:val="00366769"/>
    <w:rsid w:val="00367A28"/>
    <w:rsid w:val="00367E04"/>
    <w:rsid w:val="003726FA"/>
    <w:rsid w:val="003761F2"/>
    <w:rsid w:val="00376A05"/>
    <w:rsid w:val="00376D5D"/>
    <w:rsid w:val="003774FE"/>
    <w:rsid w:val="00381A19"/>
    <w:rsid w:val="003828D3"/>
    <w:rsid w:val="00384943"/>
    <w:rsid w:val="00387D9E"/>
    <w:rsid w:val="0039034E"/>
    <w:rsid w:val="00390E30"/>
    <w:rsid w:val="00391CB0"/>
    <w:rsid w:val="00393ABE"/>
    <w:rsid w:val="0039439F"/>
    <w:rsid w:val="0039458D"/>
    <w:rsid w:val="00394947"/>
    <w:rsid w:val="00394D61"/>
    <w:rsid w:val="003959A9"/>
    <w:rsid w:val="0039789D"/>
    <w:rsid w:val="003A03E2"/>
    <w:rsid w:val="003A1B35"/>
    <w:rsid w:val="003A1F5A"/>
    <w:rsid w:val="003A20C4"/>
    <w:rsid w:val="003A2ECE"/>
    <w:rsid w:val="003A4252"/>
    <w:rsid w:val="003A539A"/>
    <w:rsid w:val="003A58EC"/>
    <w:rsid w:val="003A62A4"/>
    <w:rsid w:val="003A7163"/>
    <w:rsid w:val="003A7476"/>
    <w:rsid w:val="003A76A8"/>
    <w:rsid w:val="003A7D86"/>
    <w:rsid w:val="003B0262"/>
    <w:rsid w:val="003B0AA1"/>
    <w:rsid w:val="003B243D"/>
    <w:rsid w:val="003B304F"/>
    <w:rsid w:val="003B56F7"/>
    <w:rsid w:val="003B5D18"/>
    <w:rsid w:val="003B6919"/>
    <w:rsid w:val="003B7744"/>
    <w:rsid w:val="003B795D"/>
    <w:rsid w:val="003C074A"/>
    <w:rsid w:val="003C0A67"/>
    <w:rsid w:val="003C22AE"/>
    <w:rsid w:val="003C26A6"/>
    <w:rsid w:val="003C26C1"/>
    <w:rsid w:val="003C459A"/>
    <w:rsid w:val="003C4C1B"/>
    <w:rsid w:val="003C5C11"/>
    <w:rsid w:val="003C6A5A"/>
    <w:rsid w:val="003C6AAD"/>
    <w:rsid w:val="003C76E4"/>
    <w:rsid w:val="003C7793"/>
    <w:rsid w:val="003D1D4D"/>
    <w:rsid w:val="003D2E59"/>
    <w:rsid w:val="003D330B"/>
    <w:rsid w:val="003D3682"/>
    <w:rsid w:val="003D37DD"/>
    <w:rsid w:val="003D4141"/>
    <w:rsid w:val="003D45DF"/>
    <w:rsid w:val="003D47C6"/>
    <w:rsid w:val="003D4F4F"/>
    <w:rsid w:val="003D7E38"/>
    <w:rsid w:val="003D7EAC"/>
    <w:rsid w:val="003E1146"/>
    <w:rsid w:val="003E1722"/>
    <w:rsid w:val="003E1AFA"/>
    <w:rsid w:val="003E379A"/>
    <w:rsid w:val="003E4DFF"/>
    <w:rsid w:val="003E52B0"/>
    <w:rsid w:val="003E64DC"/>
    <w:rsid w:val="003E74A4"/>
    <w:rsid w:val="003E7A43"/>
    <w:rsid w:val="003F0B58"/>
    <w:rsid w:val="003F0D40"/>
    <w:rsid w:val="003F2236"/>
    <w:rsid w:val="003F27B7"/>
    <w:rsid w:val="003F4051"/>
    <w:rsid w:val="003F4635"/>
    <w:rsid w:val="003F5812"/>
    <w:rsid w:val="003F625A"/>
    <w:rsid w:val="003F6AA4"/>
    <w:rsid w:val="003F6EA1"/>
    <w:rsid w:val="00400BC0"/>
    <w:rsid w:val="00400E4A"/>
    <w:rsid w:val="00402E9A"/>
    <w:rsid w:val="00402F75"/>
    <w:rsid w:val="00403FA8"/>
    <w:rsid w:val="00404040"/>
    <w:rsid w:val="00404213"/>
    <w:rsid w:val="00404342"/>
    <w:rsid w:val="00404649"/>
    <w:rsid w:val="004048AC"/>
    <w:rsid w:val="00404B8E"/>
    <w:rsid w:val="00405254"/>
    <w:rsid w:val="004062C1"/>
    <w:rsid w:val="004068C2"/>
    <w:rsid w:val="0040767B"/>
    <w:rsid w:val="00412559"/>
    <w:rsid w:val="0041368B"/>
    <w:rsid w:val="004136A9"/>
    <w:rsid w:val="00413B3D"/>
    <w:rsid w:val="00413CA0"/>
    <w:rsid w:val="00415E7F"/>
    <w:rsid w:val="00420288"/>
    <w:rsid w:val="0042178C"/>
    <w:rsid w:val="00421C78"/>
    <w:rsid w:val="004224CE"/>
    <w:rsid w:val="00424A78"/>
    <w:rsid w:val="004254DB"/>
    <w:rsid w:val="00425CB0"/>
    <w:rsid w:val="00425E29"/>
    <w:rsid w:val="00425FA0"/>
    <w:rsid w:val="00427EEA"/>
    <w:rsid w:val="004310FF"/>
    <w:rsid w:val="00431836"/>
    <w:rsid w:val="00431E93"/>
    <w:rsid w:val="004321E6"/>
    <w:rsid w:val="0043278E"/>
    <w:rsid w:val="00432903"/>
    <w:rsid w:val="00433B4F"/>
    <w:rsid w:val="00434D0F"/>
    <w:rsid w:val="00434EFD"/>
    <w:rsid w:val="00435674"/>
    <w:rsid w:val="004358FB"/>
    <w:rsid w:val="00435D81"/>
    <w:rsid w:val="004360AC"/>
    <w:rsid w:val="00436B83"/>
    <w:rsid w:val="00436F45"/>
    <w:rsid w:val="004370DA"/>
    <w:rsid w:val="00441061"/>
    <w:rsid w:val="0044112C"/>
    <w:rsid w:val="00442C27"/>
    <w:rsid w:val="00442E3E"/>
    <w:rsid w:val="004430BB"/>
    <w:rsid w:val="00443556"/>
    <w:rsid w:val="00444705"/>
    <w:rsid w:val="00444E1A"/>
    <w:rsid w:val="0044560C"/>
    <w:rsid w:val="00445E98"/>
    <w:rsid w:val="00447545"/>
    <w:rsid w:val="004501C9"/>
    <w:rsid w:val="00450C70"/>
    <w:rsid w:val="00451FD9"/>
    <w:rsid w:val="00453344"/>
    <w:rsid w:val="00453DC5"/>
    <w:rsid w:val="00454E76"/>
    <w:rsid w:val="00455DA4"/>
    <w:rsid w:val="00457080"/>
    <w:rsid w:val="0045735F"/>
    <w:rsid w:val="00460891"/>
    <w:rsid w:val="0046110B"/>
    <w:rsid w:val="004616E4"/>
    <w:rsid w:val="004630C4"/>
    <w:rsid w:val="00463355"/>
    <w:rsid w:val="004635DC"/>
    <w:rsid w:val="00464286"/>
    <w:rsid w:val="00464367"/>
    <w:rsid w:val="00464FB2"/>
    <w:rsid w:val="004662A8"/>
    <w:rsid w:val="00466CDC"/>
    <w:rsid w:val="00466E8E"/>
    <w:rsid w:val="0046745E"/>
    <w:rsid w:val="00467FDF"/>
    <w:rsid w:val="0047167E"/>
    <w:rsid w:val="004721CE"/>
    <w:rsid w:val="0047275D"/>
    <w:rsid w:val="00473680"/>
    <w:rsid w:val="004736BE"/>
    <w:rsid w:val="0047472E"/>
    <w:rsid w:val="0047556D"/>
    <w:rsid w:val="00475789"/>
    <w:rsid w:val="00476170"/>
    <w:rsid w:val="004812BB"/>
    <w:rsid w:val="004817D1"/>
    <w:rsid w:val="004820B0"/>
    <w:rsid w:val="00482117"/>
    <w:rsid w:val="004822D6"/>
    <w:rsid w:val="00482E2F"/>
    <w:rsid w:val="0048467F"/>
    <w:rsid w:val="00485207"/>
    <w:rsid w:val="004859B4"/>
    <w:rsid w:val="00486ACD"/>
    <w:rsid w:val="0048771B"/>
    <w:rsid w:val="004904B4"/>
    <w:rsid w:val="00490B8D"/>
    <w:rsid w:val="00490BAD"/>
    <w:rsid w:val="00491DBC"/>
    <w:rsid w:val="00492C65"/>
    <w:rsid w:val="0049382E"/>
    <w:rsid w:val="0049403F"/>
    <w:rsid w:val="00494323"/>
    <w:rsid w:val="00494349"/>
    <w:rsid w:val="00494485"/>
    <w:rsid w:val="004949EC"/>
    <w:rsid w:val="00495669"/>
    <w:rsid w:val="00495D54"/>
    <w:rsid w:val="00496DD5"/>
    <w:rsid w:val="0049762B"/>
    <w:rsid w:val="00497E3E"/>
    <w:rsid w:val="004A0F27"/>
    <w:rsid w:val="004A0F37"/>
    <w:rsid w:val="004A0F68"/>
    <w:rsid w:val="004A1B98"/>
    <w:rsid w:val="004A1F18"/>
    <w:rsid w:val="004A35F0"/>
    <w:rsid w:val="004A3608"/>
    <w:rsid w:val="004A4FBD"/>
    <w:rsid w:val="004A60A4"/>
    <w:rsid w:val="004A7810"/>
    <w:rsid w:val="004A7E93"/>
    <w:rsid w:val="004B1939"/>
    <w:rsid w:val="004B277A"/>
    <w:rsid w:val="004B3CFB"/>
    <w:rsid w:val="004B4476"/>
    <w:rsid w:val="004B455C"/>
    <w:rsid w:val="004B494D"/>
    <w:rsid w:val="004B5D6B"/>
    <w:rsid w:val="004B6B38"/>
    <w:rsid w:val="004B76F8"/>
    <w:rsid w:val="004C1FA6"/>
    <w:rsid w:val="004C2DD9"/>
    <w:rsid w:val="004C5CFD"/>
    <w:rsid w:val="004C664E"/>
    <w:rsid w:val="004C741C"/>
    <w:rsid w:val="004D117A"/>
    <w:rsid w:val="004D122D"/>
    <w:rsid w:val="004D12C0"/>
    <w:rsid w:val="004D18EA"/>
    <w:rsid w:val="004D2093"/>
    <w:rsid w:val="004D3713"/>
    <w:rsid w:val="004D6254"/>
    <w:rsid w:val="004D70FD"/>
    <w:rsid w:val="004D7640"/>
    <w:rsid w:val="004D777E"/>
    <w:rsid w:val="004D7940"/>
    <w:rsid w:val="004D7E99"/>
    <w:rsid w:val="004E00CE"/>
    <w:rsid w:val="004E04D0"/>
    <w:rsid w:val="004E2BDB"/>
    <w:rsid w:val="004E2F42"/>
    <w:rsid w:val="004E40A0"/>
    <w:rsid w:val="004E62B5"/>
    <w:rsid w:val="004F1ABC"/>
    <w:rsid w:val="004F2036"/>
    <w:rsid w:val="004F2ED9"/>
    <w:rsid w:val="004F403A"/>
    <w:rsid w:val="004F4815"/>
    <w:rsid w:val="004F50AF"/>
    <w:rsid w:val="004F681D"/>
    <w:rsid w:val="004F6E14"/>
    <w:rsid w:val="004F7C60"/>
    <w:rsid w:val="00501D70"/>
    <w:rsid w:val="0050228C"/>
    <w:rsid w:val="00502321"/>
    <w:rsid w:val="00502857"/>
    <w:rsid w:val="005044A9"/>
    <w:rsid w:val="00505994"/>
    <w:rsid w:val="00505FD4"/>
    <w:rsid w:val="00506E25"/>
    <w:rsid w:val="00510059"/>
    <w:rsid w:val="0051132C"/>
    <w:rsid w:val="00511720"/>
    <w:rsid w:val="0051228A"/>
    <w:rsid w:val="00513483"/>
    <w:rsid w:val="00514A55"/>
    <w:rsid w:val="00514EF5"/>
    <w:rsid w:val="005167A6"/>
    <w:rsid w:val="00516EDC"/>
    <w:rsid w:val="0051782D"/>
    <w:rsid w:val="0052087E"/>
    <w:rsid w:val="00521A36"/>
    <w:rsid w:val="005224D3"/>
    <w:rsid w:val="0052293B"/>
    <w:rsid w:val="0052315E"/>
    <w:rsid w:val="005235BB"/>
    <w:rsid w:val="005236CB"/>
    <w:rsid w:val="005239F5"/>
    <w:rsid w:val="005250F9"/>
    <w:rsid w:val="00530ED3"/>
    <w:rsid w:val="0053438E"/>
    <w:rsid w:val="005346B7"/>
    <w:rsid w:val="005355EE"/>
    <w:rsid w:val="005359EE"/>
    <w:rsid w:val="00535B16"/>
    <w:rsid w:val="00536405"/>
    <w:rsid w:val="005366D0"/>
    <w:rsid w:val="00537E27"/>
    <w:rsid w:val="0054002C"/>
    <w:rsid w:val="00540B4D"/>
    <w:rsid w:val="00540FFA"/>
    <w:rsid w:val="005411DF"/>
    <w:rsid w:val="00542930"/>
    <w:rsid w:val="005435B3"/>
    <w:rsid w:val="00544CE2"/>
    <w:rsid w:val="0054682B"/>
    <w:rsid w:val="0055004D"/>
    <w:rsid w:val="0055014F"/>
    <w:rsid w:val="00550849"/>
    <w:rsid w:val="00550866"/>
    <w:rsid w:val="005514DB"/>
    <w:rsid w:val="00551F9B"/>
    <w:rsid w:val="005538D3"/>
    <w:rsid w:val="00554251"/>
    <w:rsid w:val="00554BF3"/>
    <w:rsid w:val="00556322"/>
    <w:rsid w:val="005563C8"/>
    <w:rsid w:val="0055655F"/>
    <w:rsid w:val="0055657D"/>
    <w:rsid w:val="00560D0D"/>
    <w:rsid w:val="005618F3"/>
    <w:rsid w:val="0056203B"/>
    <w:rsid w:val="0056235E"/>
    <w:rsid w:val="0056386A"/>
    <w:rsid w:val="00565203"/>
    <w:rsid w:val="00565FB1"/>
    <w:rsid w:val="005662FB"/>
    <w:rsid w:val="0056662F"/>
    <w:rsid w:val="00566D68"/>
    <w:rsid w:val="00566DC1"/>
    <w:rsid w:val="005671D8"/>
    <w:rsid w:val="00567781"/>
    <w:rsid w:val="00567C2D"/>
    <w:rsid w:val="00567ECC"/>
    <w:rsid w:val="005702BB"/>
    <w:rsid w:val="00571085"/>
    <w:rsid w:val="005713B1"/>
    <w:rsid w:val="0057178B"/>
    <w:rsid w:val="0057224B"/>
    <w:rsid w:val="005750E7"/>
    <w:rsid w:val="005761D4"/>
    <w:rsid w:val="005811AC"/>
    <w:rsid w:val="00583090"/>
    <w:rsid w:val="005835F4"/>
    <w:rsid w:val="00583EFE"/>
    <w:rsid w:val="00584076"/>
    <w:rsid w:val="005841A3"/>
    <w:rsid w:val="0058421A"/>
    <w:rsid w:val="00586D9A"/>
    <w:rsid w:val="00590EAE"/>
    <w:rsid w:val="0059112A"/>
    <w:rsid w:val="005920D1"/>
    <w:rsid w:val="00593216"/>
    <w:rsid w:val="00593933"/>
    <w:rsid w:val="00593B08"/>
    <w:rsid w:val="00594BC3"/>
    <w:rsid w:val="00596CA7"/>
    <w:rsid w:val="00596DC8"/>
    <w:rsid w:val="00596E16"/>
    <w:rsid w:val="00597A00"/>
    <w:rsid w:val="005A16A3"/>
    <w:rsid w:val="005A1A5E"/>
    <w:rsid w:val="005A1C48"/>
    <w:rsid w:val="005A253A"/>
    <w:rsid w:val="005A31A3"/>
    <w:rsid w:val="005A40AF"/>
    <w:rsid w:val="005A64BF"/>
    <w:rsid w:val="005B068D"/>
    <w:rsid w:val="005B1D12"/>
    <w:rsid w:val="005B2F4F"/>
    <w:rsid w:val="005B3C75"/>
    <w:rsid w:val="005B3F70"/>
    <w:rsid w:val="005B4421"/>
    <w:rsid w:val="005B4434"/>
    <w:rsid w:val="005B4F1C"/>
    <w:rsid w:val="005B624B"/>
    <w:rsid w:val="005B7929"/>
    <w:rsid w:val="005C03B4"/>
    <w:rsid w:val="005C04B8"/>
    <w:rsid w:val="005C0FDA"/>
    <w:rsid w:val="005C10C6"/>
    <w:rsid w:val="005C1B89"/>
    <w:rsid w:val="005C23AF"/>
    <w:rsid w:val="005C23D3"/>
    <w:rsid w:val="005C25D1"/>
    <w:rsid w:val="005C35A9"/>
    <w:rsid w:val="005C464B"/>
    <w:rsid w:val="005C4A04"/>
    <w:rsid w:val="005C4E5F"/>
    <w:rsid w:val="005C56FF"/>
    <w:rsid w:val="005C74A0"/>
    <w:rsid w:val="005D052C"/>
    <w:rsid w:val="005D15EA"/>
    <w:rsid w:val="005D16FE"/>
    <w:rsid w:val="005D37BA"/>
    <w:rsid w:val="005D4084"/>
    <w:rsid w:val="005D4777"/>
    <w:rsid w:val="005D4C2B"/>
    <w:rsid w:val="005D6623"/>
    <w:rsid w:val="005D6E7B"/>
    <w:rsid w:val="005E0382"/>
    <w:rsid w:val="005E53AB"/>
    <w:rsid w:val="005E5F94"/>
    <w:rsid w:val="005E68C9"/>
    <w:rsid w:val="005E68F2"/>
    <w:rsid w:val="005E6B93"/>
    <w:rsid w:val="005E7953"/>
    <w:rsid w:val="005E79E1"/>
    <w:rsid w:val="005E7E41"/>
    <w:rsid w:val="005E7E5F"/>
    <w:rsid w:val="005E7E82"/>
    <w:rsid w:val="005F17D1"/>
    <w:rsid w:val="005F2C42"/>
    <w:rsid w:val="005F4A47"/>
    <w:rsid w:val="005F54CB"/>
    <w:rsid w:val="005F6C28"/>
    <w:rsid w:val="005F7AB6"/>
    <w:rsid w:val="005F7E3C"/>
    <w:rsid w:val="0060034A"/>
    <w:rsid w:val="00600908"/>
    <w:rsid w:val="00600FA8"/>
    <w:rsid w:val="006020B3"/>
    <w:rsid w:val="00603D92"/>
    <w:rsid w:val="006063AA"/>
    <w:rsid w:val="006063DA"/>
    <w:rsid w:val="00606610"/>
    <w:rsid w:val="00606B3D"/>
    <w:rsid w:val="00606CD0"/>
    <w:rsid w:val="00606CE3"/>
    <w:rsid w:val="00610318"/>
    <w:rsid w:val="00611DD3"/>
    <w:rsid w:val="00611E27"/>
    <w:rsid w:val="00611EC7"/>
    <w:rsid w:val="00611EF0"/>
    <w:rsid w:val="00612219"/>
    <w:rsid w:val="00612E04"/>
    <w:rsid w:val="00614D4E"/>
    <w:rsid w:val="00614FED"/>
    <w:rsid w:val="006151ED"/>
    <w:rsid w:val="00616904"/>
    <w:rsid w:val="006173A4"/>
    <w:rsid w:val="00617C44"/>
    <w:rsid w:val="00620086"/>
    <w:rsid w:val="00621321"/>
    <w:rsid w:val="00622CE4"/>
    <w:rsid w:val="00622F9E"/>
    <w:rsid w:val="006234A7"/>
    <w:rsid w:val="00623F8E"/>
    <w:rsid w:val="00624F6D"/>
    <w:rsid w:val="00625917"/>
    <w:rsid w:val="00625F73"/>
    <w:rsid w:val="00627832"/>
    <w:rsid w:val="0062789F"/>
    <w:rsid w:val="006301BE"/>
    <w:rsid w:val="0063096E"/>
    <w:rsid w:val="00630E4E"/>
    <w:rsid w:val="00631025"/>
    <w:rsid w:val="0063221F"/>
    <w:rsid w:val="006326EA"/>
    <w:rsid w:val="00632CA9"/>
    <w:rsid w:val="00633349"/>
    <w:rsid w:val="00633748"/>
    <w:rsid w:val="00633A84"/>
    <w:rsid w:val="00633D61"/>
    <w:rsid w:val="0063402B"/>
    <w:rsid w:val="0063489F"/>
    <w:rsid w:val="00634C5D"/>
    <w:rsid w:val="00636570"/>
    <w:rsid w:val="00636F6A"/>
    <w:rsid w:val="00637859"/>
    <w:rsid w:val="00637901"/>
    <w:rsid w:val="006379BF"/>
    <w:rsid w:val="00637E1B"/>
    <w:rsid w:val="006402DF"/>
    <w:rsid w:val="00640B8B"/>
    <w:rsid w:val="0064164B"/>
    <w:rsid w:val="0064186B"/>
    <w:rsid w:val="00642676"/>
    <w:rsid w:val="00642D6D"/>
    <w:rsid w:val="00643910"/>
    <w:rsid w:val="00644468"/>
    <w:rsid w:val="00645426"/>
    <w:rsid w:val="00645988"/>
    <w:rsid w:val="00645F5E"/>
    <w:rsid w:val="00647B1E"/>
    <w:rsid w:val="00647C55"/>
    <w:rsid w:val="0065008B"/>
    <w:rsid w:val="006507CE"/>
    <w:rsid w:val="00653A3B"/>
    <w:rsid w:val="00653FD9"/>
    <w:rsid w:val="0065419F"/>
    <w:rsid w:val="00654D42"/>
    <w:rsid w:val="0065623B"/>
    <w:rsid w:val="00656328"/>
    <w:rsid w:val="00657E6B"/>
    <w:rsid w:val="00660279"/>
    <w:rsid w:val="00660A94"/>
    <w:rsid w:val="00661B45"/>
    <w:rsid w:val="006622B9"/>
    <w:rsid w:val="00662CD7"/>
    <w:rsid w:val="00662E1E"/>
    <w:rsid w:val="006633E7"/>
    <w:rsid w:val="0066371E"/>
    <w:rsid w:val="00664EC1"/>
    <w:rsid w:val="00665BB3"/>
    <w:rsid w:val="00666803"/>
    <w:rsid w:val="00670420"/>
    <w:rsid w:val="00672437"/>
    <w:rsid w:val="006724AD"/>
    <w:rsid w:val="00672BAB"/>
    <w:rsid w:val="0067314A"/>
    <w:rsid w:val="00673CF8"/>
    <w:rsid w:val="00673D1E"/>
    <w:rsid w:val="00673DC2"/>
    <w:rsid w:val="006741A8"/>
    <w:rsid w:val="00675B20"/>
    <w:rsid w:val="006779CF"/>
    <w:rsid w:val="00677A8F"/>
    <w:rsid w:val="00677CDD"/>
    <w:rsid w:val="00677D63"/>
    <w:rsid w:val="00677DDE"/>
    <w:rsid w:val="00677F8A"/>
    <w:rsid w:val="00680E31"/>
    <w:rsid w:val="0068128F"/>
    <w:rsid w:val="006821E3"/>
    <w:rsid w:val="00682BA8"/>
    <w:rsid w:val="00682E66"/>
    <w:rsid w:val="006834D8"/>
    <w:rsid w:val="00683AD6"/>
    <w:rsid w:val="006842AE"/>
    <w:rsid w:val="00685EB8"/>
    <w:rsid w:val="00687537"/>
    <w:rsid w:val="006875BA"/>
    <w:rsid w:val="0068767E"/>
    <w:rsid w:val="0069049E"/>
    <w:rsid w:val="0069097D"/>
    <w:rsid w:val="0069168E"/>
    <w:rsid w:val="00693E4A"/>
    <w:rsid w:val="00693FEA"/>
    <w:rsid w:val="00694C68"/>
    <w:rsid w:val="00696C8D"/>
    <w:rsid w:val="00697227"/>
    <w:rsid w:val="00697D49"/>
    <w:rsid w:val="006A25A0"/>
    <w:rsid w:val="006A3126"/>
    <w:rsid w:val="006A406D"/>
    <w:rsid w:val="006A5773"/>
    <w:rsid w:val="006A5804"/>
    <w:rsid w:val="006A58F0"/>
    <w:rsid w:val="006A6262"/>
    <w:rsid w:val="006A769B"/>
    <w:rsid w:val="006B0341"/>
    <w:rsid w:val="006B0372"/>
    <w:rsid w:val="006B0764"/>
    <w:rsid w:val="006B081C"/>
    <w:rsid w:val="006B3AA2"/>
    <w:rsid w:val="006B4467"/>
    <w:rsid w:val="006B6708"/>
    <w:rsid w:val="006B6C46"/>
    <w:rsid w:val="006B6E78"/>
    <w:rsid w:val="006C0039"/>
    <w:rsid w:val="006C04EA"/>
    <w:rsid w:val="006C1927"/>
    <w:rsid w:val="006C2585"/>
    <w:rsid w:val="006C27DD"/>
    <w:rsid w:val="006C3EF4"/>
    <w:rsid w:val="006C4008"/>
    <w:rsid w:val="006C4E2C"/>
    <w:rsid w:val="006C589E"/>
    <w:rsid w:val="006C5931"/>
    <w:rsid w:val="006C73EF"/>
    <w:rsid w:val="006D03D2"/>
    <w:rsid w:val="006D1723"/>
    <w:rsid w:val="006D2632"/>
    <w:rsid w:val="006D5D3F"/>
    <w:rsid w:val="006D60ED"/>
    <w:rsid w:val="006D648E"/>
    <w:rsid w:val="006D7317"/>
    <w:rsid w:val="006E00F5"/>
    <w:rsid w:val="006E1166"/>
    <w:rsid w:val="006E24D9"/>
    <w:rsid w:val="006E3197"/>
    <w:rsid w:val="006E3838"/>
    <w:rsid w:val="006E596E"/>
    <w:rsid w:val="006E5C5F"/>
    <w:rsid w:val="006E6368"/>
    <w:rsid w:val="006E65E0"/>
    <w:rsid w:val="006E6749"/>
    <w:rsid w:val="006F033F"/>
    <w:rsid w:val="006F15B6"/>
    <w:rsid w:val="006F24D8"/>
    <w:rsid w:val="006F2BE3"/>
    <w:rsid w:val="006F33B8"/>
    <w:rsid w:val="006F3A74"/>
    <w:rsid w:val="006F3CC2"/>
    <w:rsid w:val="006F4486"/>
    <w:rsid w:val="006F46D8"/>
    <w:rsid w:val="006F4C9C"/>
    <w:rsid w:val="006F640F"/>
    <w:rsid w:val="006F762A"/>
    <w:rsid w:val="00701B6B"/>
    <w:rsid w:val="0070384F"/>
    <w:rsid w:val="0070398C"/>
    <w:rsid w:val="007039AD"/>
    <w:rsid w:val="00703A9E"/>
    <w:rsid w:val="00703D6D"/>
    <w:rsid w:val="00704095"/>
    <w:rsid w:val="00704152"/>
    <w:rsid w:val="00704F92"/>
    <w:rsid w:val="00704FB5"/>
    <w:rsid w:val="00705DE5"/>
    <w:rsid w:val="00706B71"/>
    <w:rsid w:val="0071022A"/>
    <w:rsid w:val="0071048E"/>
    <w:rsid w:val="0071277A"/>
    <w:rsid w:val="00712EE5"/>
    <w:rsid w:val="00713493"/>
    <w:rsid w:val="00713494"/>
    <w:rsid w:val="00713895"/>
    <w:rsid w:val="00714031"/>
    <w:rsid w:val="0071466E"/>
    <w:rsid w:val="00714A6C"/>
    <w:rsid w:val="00714CD3"/>
    <w:rsid w:val="0071685D"/>
    <w:rsid w:val="007206A8"/>
    <w:rsid w:val="0072116D"/>
    <w:rsid w:val="0072226F"/>
    <w:rsid w:val="00722E7B"/>
    <w:rsid w:val="00723BBD"/>
    <w:rsid w:val="00725A22"/>
    <w:rsid w:val="00725B78"/>
    <w:rsid w:val="00727082"/>
    <w:rsid w:val="00727C9F"/>
    <w:rsid w:val="007305D0"/>
    <w:rsid w:val="00730B28"/>
    <w:rsid w:val="0073233C"/>
    <w:rsid w:val="00732D0C"/>
    <w:rsid w:val="0073305B"/>
    <w:rsid w:val="0073376F"/>
    <w:rsid w:val="00733EAD"/>
    <w:rsid w:val="00734F54"/>
    <w:rsid w:val="00736668"/>
    <w:rsid w:val="00736D93"/>
    <w:rsid w:val="00737C04"/>
    <w:rsid w:val="00737F64"/>
    <w:rsid w:val="007403CE"/>
    <w:rsid w:val="00740841"/>
    <w:rsid w:val="007416D2"/>
    <w:rsid w:val="00741829"/>
    <w:rsid w:val="00742806"/>
    <w:rsid w:val="00742B3A"/>
    <w:rsid w:val="00744110"/>
    <w:rsid w:val="00744595"/>
    <w:rsid w:val="00744A10"/>
    <w:rsid w:val="00747A52"/>
    <w:rsid w:val="00750C56"/>
    <w:rsid w:val="00750F1E"/>
    <w:rsid w:val="00751C12"/>
    <w:rsid w:val="00752691"/>
    <w:rsid w:val="007528F2"/>
    <w:rsid w:val="00753043"/>
    <w:rsid w:val="007545D3"/>
    <w:rsid w:val="007551EA"/>
    <w:rsid w:val="00755E38"/>
    <w:rsid w:val="00756627"/>
    <w:rsid w:val="007575C4"/>
    <w:rsid w:val="00757D63"/>
    <w:rsid w:val="00760108"/>
    <w:rsid w:val="007601D0"/>
    <w:rsid w:val="00762A1B"/>
    <w:rsid w:val="00762D6D"/>
    <w:rsid w:val="00763700"/>
    <w:rsid w:val="0076427C"/>
    <w:rsid w:val="00765217"/>
    <w:rsid w:val="007659AA"/>
    <w:rsid w:val="00765CF0"/>
    <w:rsid w:val="00766334"/>
    <w:rsid w:val="00766F64"/>
    <w:rsid w:val="007708AD"/>
    <w:rsid w:val="0077097A"/>
    <w:rsid w:val="00772558"/>
    <w:rsid w:val="0077266C"/>
    <w:rsid w:val="00772802"/>
    <w:rsid w:val="00774A6E"/>
    <w:rsid w:val="00775066"/>
    <w:rsid w:val="007762C2"/>
    <w:rsid w:val="00776406"/>
    <w:rsid w:val="00776D58"/>
    <w:rsid w:val="00777279"/>
    <w:rsid w:val="0078005A"/>
    <w:rsid w:val="00781B6F"/>
    <w:rsid w:val="00781F9C"/>
    <w:rsid w:val="00782DFD"/>
    <w:rsid w:val="00784424"/>
    <w:rsid w:val="007846C8"/>
    <w:rsid w:val="00785474"/>
    <w:rsid w:val="007869D3"/>
    <w:rsid w:val="00786D56"/>
    <w:rsid w:val="00787B99"/>
    <w:rsid w:val="00790416"/>
    <w:rsid w:val="0079074F"/>
    <w:rsid w:val="00790ABF"/>
    <w:rsid w:val="007925B6"/>
    <w:rsid w:val="0079421C"/>
    <w:rsid w:val="00794C86"/>
    <w:rsid w:val="00795002"/>
    <w:rsid w:val="0079526D"/>
    <w:rsid w:val="007956BC"/>
    <w:rsid w:val="00795A2C"/>
    <w:rsid w:val="00797390"/>
    <w:rsid w:val="00797CA1"/>
    <w:rsid w:val="007A05B6"/>
    <w:rsid w:val="007A1C0A"/>
    <w:rsid w:val="007A1C59"/>
    <w:rsid w:val="007A3469"/>
    <w:rsid w:val="007A3741"/>
    <w:rsid w:val="007A43F8"/>
    <w:rsid w:val="007A5B41"/>
    <w:rsid w:val="007A5F0C"/>
    <w:rsid w:val="007A60C5"/>
    <w:rsid w:val="007A6A92"/>
    <w:rsid w:val="007A7A20"/>
    <w:rsid w:val="007B10BD"/>
    <w:rsid w:val="007B15CD"/>
    <w:rsid w:val="007B3A58"/>
    <w:rsid w:val="007B3A76"/>
    <w:rsid w:val="007B5792"/>
    <w:rsid w:val="007B6A8C"/>
    <w:rsid w:val="007C0678"/>
    <w:rsid w:val="007C2157"/>
    <w:rsid w:val="007C2B90"/>
    <w:rsid w:val="007C31E2"/>
    <w:rsid w:val="007C4704"/>
    <w:rsid w:val="007C5749"/>
    <w:rsid w:val="007C5CE1"/>
    <w:rsid w:val="007C6F85"/>
    <w:rsid w:val="007C778D"/>
    <w:rsid w:val="007D0032"/>
    <w:rsid w:val="007D0569"/>
    <w:rsid w:val="007D16B1"/>
    <w:rsid w:val="007D19E4"/>
    <w:rsid w:val="007D4839"/>
    <w:rsid w:val="007D6200"/>
    <w:rsid w:val="007D7400"/>
    <w:rsid w:val="007D7761"/>
    <w:rsid w:val="007D79FF"/>
    <w:rsid w:val="007E02A7"/>
    <w:rsid w:val="007E307F"/>
    <w:rsid w:val="007E468A"/>
    <w:rsid w:val="007E51A5"/>
    <w:rsid w:val="007E6938"/>
    <w:rsid w:val="007E7F4C"/>
    <w:rsid w:val="007F128D"/>
    <w:rsid w:val="007F2E6A"/>
    <w:rsid w:val="007F2E8D"/>
    <w:rsid w:val="007F2EC6"/>
    <w:rsid w:val="007F3018"/>
    <w:rsid w:val="007F3214"/>
    <w:rsid w:val="007F42E2"/>
    <w:rsid w:val="007F4653"/>
    <w:rsid w:val="007F5B65"/>
    <w:rsid w:val="007F6223"/>
    <w:rsid w:val="007F6862"/>
    <w:rsid w:val="008013FC"/>
    <w:rsid w:val="0080342A"/>
    <w:rsid w:val="008041D4"/>
    <w:rsid w:val="008060C3"/>
    <w:rsid w:val="008063A1"/>
    <w:rsid w:val="00806E76"/>
    <w:rsid w:val="00807A6E"/>
    <w:rsid w:val="00807F00"/>
    <w:rsid w:val="00812095"/>
    <w:rsid w:val="0081246E"/>
    <w:rsid w:val="008125DB"/>
    <w:rsid w:val="008134BD"/>
    <w:rsid w:val="00814656"/>
    <w:rsid w:val="00814BD1"/>
    <w:rsid w:val="00814F77"/>
    <w:rsid w:val="008175C9"/>
    <w:rsid w:val="0082033C"/>
    <w:rsid w:val="00820E45"/>
    <w:rsid w:val="00821A77"/>
    <w:rsid w:val="00821C83"/>
    <w:rsid w:val="00821E2C"/>
    <w:rsid w:val="00822835"/>
    <w:rsid w:val="00823644"/>
    <w:rsid w:val="0082459B"/>
    <w:rsid w:val="008249ED"/>
    <w:rsid w:val="00826758"/>
    <w:rsid w:val="00830489"/>
    <w:rsid w:val="00833C53"/>
    <w:rsid w:val="0083527D"/>
    <w:rsid w:val="008353E0"/>
    <w:rsid w:val="008365F0"/>
    <w:rsid w:val="008400F2"/>
    <w:rsid w:val="00841534"/>
    <w:rsid w:val="0084241F"/>
    <w:rsid w:val="00842515"/>
    <w:rsid w:val="00842B73"/>
    <w:rsid w:val="00843441"/>
    <w:rsid w:val="00844823"/>
    <w:rsid w:val="008462F1"/>
    <w:rsid w:val="00846930"/>
    <w:rsid w:val="00847BE5"/>
    <w:rsid w:val="00850FDE"/>
    <w:rsid w:val="008511A7"/>
    <w:rsid w:val="00852876"/>
    <w:rsid w:val="008543F5"/>
    <w:rsid w:val="0085454A"/>
    <w:rsid w:val="00855004"/>
    <w:rsid w:val="008555F5"/>
    <w:rsid w:val="008572C4"/>
    <w:rsid w:val="0085733E"/>
    <w:rsid w:val="0085765A"/>
    <w:rsid w:val="0086019D"/>
    <w:rsid w:val="008604A8"/>
    <w:rsid w:val="00860804"/>
    <w:rsid w:val="00860E64"/>
    <w:rsid w:val="008616F7"/>
    <w:rsid w:val="00861AFA"/>
    <w:rsid w:val="00863C61"/>
    <w:rsid w:val="00863E21"/>
    <w:rsid w:val="0086427D"/>
    <w:rsid w:val="00864686"/>
    <w:rsid w:val="00864B56"/>
    <w:rsid w:val="00864C1F"/>
    <w:rsid w:val="00865422"/>
    <w:rsid w:val="00865522"/>
    <w:rsid w:val="00865ADF"/>
    <w:rsid w:val="00865E71"/>
    <w:rsid w:val="0086644C"/>
    <w:rsid w:val="008666B5"/>
    <w:rsid w:val="008703B3"/>
    <w:rsid w:val="00870731"/>
    <w:rsid w:val="00871486"/>
    <w:rsid w:val="00873148"/>
    <w:rsid w:val="00874757"/>
    <w:rsid w:val="00876985"/>
    <w:rsid w:val="008769B5"/>
    <w:rsid w:val="00876A22"/>
    <w:rsid w:val="008777FC"/>
    <w:rsid w:val="00883780"/>
    <w:rsid w:val="00883B99"/>
    <w:rsid w:val="00885066"/>
    <w:rsid w:val="00885F85"/>
    <w:rsid w:val="0088665E"/>
    <w:rsid w:val="00886FED"/>
    <w:rsid w:val="00887F48"/>
    <w:rsid w:val="00890D6F"/>
    <w:rsid w:val="008923C8"/>
    <w:rsid w:val="008924B5"/>
    <w:rsid w:val="0089286B"/>
    <w:rsid w:val="00892B83"/>
    <w:rsid w:val="00893260"/>
    <w:rsid w:val="008932A8"/>
    <w:rsid w:val="00893756"/>
    <w:rsid w:val="008943AD"/>
    <w:rsid w:val="00894A9E"/>
    <w:rsid w:val="008950F6"/>
    <w:rsid w:val="00896815"/>
    <w:rsid w:val="00896CFE"/>
    <w:rsid w:val="00897FBA"/>
    <w:rsid w:val="008A0744"/>
    <w:rsid w:val="008A0A6E"/>
    <w:rsid w:val="008A0D0F"/>
    <w:rsid w:val="008A0F91"/>
    <w:rsid w:val="008A1B0A"/>
    <w:rsid w:val="008A2FB3"/>
    <w:rsid w:val="008A398B"/>
    <w:rsid w:val="008A4437"/>
    <w:rsid w:val="008A5601"/>
    <w:rsid w:val="008A59AD"/>
    <w:rsid w:val="008A65A0"/>
    <w:rsid w:val="008B0EEB"/>
    <w:rsid w:val="008B120C"/>
    <w:rsid w:val="008B12BF"/>
    <w:rsid w:val="008B14E0"/>
    <w:rsid w:val="008B1CE9"/>
    <w:rsid w:val="008B2E41"/>
    <w:rsid w:val="008B3B73"/>
    <w:rsid w:val="008B431D"/>
    <w:rsid w:val="008B4E5D"/>
    <w:rsid w:val="008B51FD"/>
    <w:rsid w:val="008B586B"/>
    <w:rsid w:val="008B5BE9"/>
    <w:rsid w:val="008B6766"/>
    <w:rsid w:val="008B7186"/>
    <w:rsid w:val="008B7192"/>
    <w:rsid w:val="008B7CA6"/>
    <w:rsid w:val="008C1939"/>
    <w:rsid w:val="008C23EA"/>
    <w:rsid w:val="008C3396"/>
    <w:rsid w:val="008C4D85"/>
    <w:rsid w:val="008C621C"/>
    <w:rsid w:val="008C697C"/>
    <w:rsid w:val="008C7448"/>
    <w:rsid w:val="008C75ED"/>
    <w:rsid w:val="008C7649"/>
    <w:rsid w:val="008C7A9E"/>
    <w:rsid w:val="008D142D"/>
    <w:rsid w:val="008D1478"/>
    <w:rsid w:val="008D2107"/>
    <w:rsid w:val="008D3409"/>
    <w:rsid w:val="008D4C72"/>
    <w:rsid w:val="008D505E"/>
    <w:rsid w:val="008D772B"/>
    <w:rsid w:val="008E0991"/>
    <w:rsid w:val="008E0ED0"/>
    <w:rsid w:val="008E0FAB"/>
    <w:rsid w:val="008E338E"/>
    <w:rsid w:val="008E3CB6"/>
    <w:rsid w:val="008E4E39"/>
    <w:rsid w:val="008E5266"/>
    <w:rsid w:val="008E57FE"/>
    <w:rsid w:val="008E60A2"/>
    <w:rsid w:val="008E7F9B"/>
    <w:rsid w:val="008F04E6"/>
    <w:rsid w:val="008F1797"/>
    <w:rsid w:val="008F2665"/>
    <w:rsid w:val="008F3A67"/>
    <w:rsid w:val="008F507E"/>
    <w:rsid w:val="008F5251"/>
    <w:rsid w:val="008F5EDC"/>
    <w:rsid w:val="008F5F42"/>
    <w:rsid w:val="008F6376"/>
    <w:rsid w:val="008F6555"/>
    <w:rsid w:val="008F66E4"/>
    <w:rsid w:val="008F69FF"/>
    <w:rsid w:val="00900CC2"/>
    <w:rsid w:val="00901770"/>
    <w:rsid w:val="009019FB"/>
    <w:rsid w:val="00902AA5"/>
    <w:rsid w:val="009052B7"/>
    <w:rsid w:val="0090573D"/>
    <w:rsid w:val="00905B05"/>
    <w:rsid w:val="00907485"/>
    <w:rsid w:val="0090753C"/>
    <w:rsid w:val="00911B66"/>
    <w:rsid w:val="00912A7E"/>
    <w:rsid w:val="00915330"/>
    <w:rsid w:val="009165A9"/>
    <w:rsid w:val="00916E69"/>
    <w:rsid w:val="00917525"/>
    <w:rsid w:val="0091777D"/>
    <w:rsid w:val="00917C39"/>
    <w:rsid w:val="0092057D"/>
    <w:rsid w:val="009206D3"/>
    <w:rsid w:val="009218DE"/>
    <w:rsid w:val="00921F0E"/>
    <w:rsid w:val="00922A25"/>
    <w:rsid w:val="00922D00"/>
    <w:rsid w:val="00923C3F"/>
    <w:rsid w:val="00923F17"/>
    <w:rsid w:val="00924092"/>
    <w:rsid w:val="00924950"/>
    <w:rsid w:val="00925F05"/>
    <w:rsid w:val="00926215"/>
    <w:rsid w:val="009266DA"/>
    <w:rsid w:val="0092724D"/>
    <w:rsid w:val="00930DE8"/>
    <w:rsid w:val="00930E56"/>
    <w:rsid w:val="009318DD"/>
    <w:rsid w:val="00931DC6"/>
    <w:rsid w:val="00931E60"/>
    <w:rsid w:val="00934EC6"/>
    <w:rsid w:val="00935293"/>
    <w:rsid w:val="00935413"/>
    <w:rsid w:val="00935F5D"/>
    <w:rsid w:val="00936570"/>
    <w:rsid w:val="0093669F"/>
    <w:rsid w:val="009368E0"/>
    <w:rsid w:val="0094018D"/>
    <w:rsid w:val="0094260B"/>
    <w:rsid w:val="00942661"/>
    <w:rsid w:val="00945307"/>
    <w:rsid w:val="0094558D"/>
    <w:rsid w:val="00946FCE"/>
    <w:rsid w:val="00947FA3"/>
    <w:rsid w:val="009515BC"/>
    <w:rsid w:val="009515F7"/>
    <w:rsid w:val="009524AA"/>
    <w:rsid w:val="0095349A"/>
    <w:rsid w:val="00953B5B"/>
    <w:rsid w:val="00953ED0"/>
    <w:rsid w:val="009546E8"/>
    <w:rsid w:val="0095492E"/>
    <w:rsid w:val="00954A4C"/>
    <w:rsid w:val="00955F7D"/>
    <w:rsid w:val="0096089E"/>
    <w:rsid w:val="00960938"/>
    <w:rsid w:val="00961DBE"/>
    <w:rsid w:val="0096242F"/>
    <w:rsid w:val="00962E3B"/>
    <w:rsid w:val="00962FF5"/>
    <w:rsid w:val="00963B0E"/>
    <w:rsid w:val="00964A4E"/>
    <w:rsid w:val="00965B02"/>
    <w:rsid w:val="00965C07"/>
    <w:rsid w:val="00965D2D"/>
    <w:rsid w:val="00966142"/>
    <w:rsid w:val="0097084F"/>
    <w:rsid w:val="00970A16"/>
    <w:rsid w:val="0097181E"/>
    <w:rsid w:val="00971847"/>
    <w:rsid w:val="00972964"/>
    <w:rsid w:val="009733B3"/>
    <w:rsid w:val="00973BA1"/>
    <w:rsid w:val="00974E9E"/>
    <w:rsid w:val="009750A3"/>
    <w:rsid w:val="009757A8"/>
    <w:rsid w:val="0097762F"/>
    <w:rsid w:val="00977E5E"/>
    <w:rsid w:val="00981395"/>
    <w:rsid w:val="009816B8"/>
    <w:rsid w:val="00983024"/>
    <w:rsid w:val="009835D4"/>
    <w:rsid w:val="0098379A"/>
    <w:rsid w:val="00983B15"/>
    <w:rsid w:val="00983B45"/>
    <w:rsid w:val="00983B5C"/>
    <w:rsid w:val="0098766F"/>
    <w:rsid w:val="00991111"/>
    <w:rsid w:val="00993912"/>
    <w:rsid w:val="00994050"/>
    <w:rsid w:val="0099498B"/>
    <w:rsid w:val="009962CF"/>
    <w:rsid w:val="009969D6"/>
    <w:rsid w:val="009A027B"/>
    <w:rsid w:val="009A18A8"/>
    <w:rsid w:val="009A1EFA"/>
    <w:rsid w:val="009A3949"/>
    <w:rsid w:val="009A4543"/>
    <w:rsid w:val="009A5DB1"/>
    <w:rsid w:val="009A5F46"/>
    <w:rsid w:val="009A70CA"/>
    <w:rsid w:val="009A7C5A"/>
    <w:rsid w:val="009A7E51"/>
    <w:rsid w:val="009B026A"/>
    <w:rsid w:val="009B055F"/>
    <w:rsid w:val="009B13C6"/>
    <w:rsid w:val="009B21B9"/>
    <w:rsid w:val="009B2607"/>
    <w:rsid w:val="009B2FAD"/>
    <w:rsid w:val="009B4504"/>
    <w:rsid w:val="009B4CD0"/>
    <w:rsid w:val="009B4DA7"/>
    <w:rsid w:val="009B6D0F"/>
    <w:rsid w:val="009C1E27"/>
    <w:rsid w:val="009C21C6"/>
    <w:rsid w:val="009C383B"/>
    <w:rsid w:val="009C3A80"/>
    <w:rsid w:val="009C409F"/>
    <w:rsid w:val="009C41EC"/>
    <w:rsid w:val="009C4A0D"/>
    <w:rsid w:val="009C51FD"/>
    <w:rsid w:val="009C5238"/>
    <w:rsid w:val="009C5D68"/>
    <w:rsid w:val="009D0193"/>
    <w:rsid w:val="009D0286"/>
    <w:rsid w:val="009D0AE8"/>
    <w:rsid w:val="009D12B4"/>
    <w:rsid w:val="009D1E70"/>
    <w:rsid w:val="009D2135"/>
    <w:rsid w:val="009D25BC"/>
    <w:rsid w:val="009D2655"/>
    <w:rsid w:val="009D2FA7"/>
    <w:rsid w:val="009D37F7"/>
    <w:rsid w:val="009D3FAF"/>
    <w:rsid w:val="009D4CAE"/>
    <w:rsid w:val="009D55F9"/>
    <w:rsid w:val="009D5A11"/>
    <w:rsid w:val="009D712B"/>
    <w:rsid w:val="009D765F"/>
    <w:rsid w:val="009D7760"/>
    <w:rsid w:val="009E0160"/>
    <w:rsid w:val="009E085D"/>
    <w:rsid w:val="009E16E6"/>
    <w:rsid w:val="009E1802"/>
    <w:rsid w:val="009E1E62"/>
    <w:rsid w:val="009E2953"/>
    <w:rsid w:val="009E30CE"/>
    <w:rsid w:val="009E4CDF"/>
    <w:rsid w:val="009F04C3"/>
    <w:rsid w:val="009F0760"/>
    <w:rsid w:val="009F1FE9"/>
    <w:rsid w:val="009F36C2"/>
    <w:rsid w:val="009F3B29"/>
    <w:rsid w:val="009F4860"/>
    <w:rsid w:val="009F48F1"/>
    <w:rsid w:val="009F5252"/>
    <w:rsid w:val="009F7160"/>
    <w:rsid w:val="009F77EF"/>
    <w:rsid w:val="009F7834"/>
    <w:rsid w:val="009F7E66"/>
    <w:rsid w:val="00A00057"/>
    <w:rsid w:val="00A00485"/>
    <w:rsid w:val="00A01A5F"/>
    <w:rsid w:val="00A025AC"/>
    <w:rsid w:val="00A02C96"/>
    <w:rsid w:val="00A02E65"/>
    <w:rsid w:val="00A0340A"/>
    <w:rsid w:val="00A03443"/>
    <w:rsid w:val="00A03604"/>
    <w:rsid w:val="00A0370D"/>
    <w:rsid w:val="00A040B6"/>
    <w:rsid w:val="00A04270"/>
    <w:rsid w:val="00A0440C"/>
    <w:rsid w:val="00A04785"/>
    <w:rsid w:val="00A047AE"/>
    <w:rsid w:val="00A0585F"/>
    <w:rsid w:val="00A05872"/>
    <w:rsid w:val="00A0694A"/>
    <w:rsid w:val="00A0708A"/>
    <w:rsid w:val="00A077AC"/>
    <w:rsid w:val="00A07A33"/>
    <w:rsid w:val="00A07A9D"/>
    <w:rsid w:val="00A10A30"/>
    <w:rsid w:val="00A1137C"/>
    <w:rsid w:val="00A113D7"/>
    <w:rsid w:val="00A11F0F"/>
    <w:rsid w:val="00A1230F"/>
    <w:rsid w:val="00A12894"/>
    <w:rsid w:val="00A1415F"/>
    <w:rsid w:val="00A159CE"/>
    <w:rsid w:val="00A160B8"/>
    <w:rsid w:val="00A16126"/>
    <w:rsid w:val="00A2105B"/>
    <w:rsid w:val="00A217E9"/>
    <w:rsid w:val="00A21C6C"/>
    <w:rsid w:val="00A2220F"/>
    <w:rsid w:val="00A22B58"/>
    <w:rsid w:val="00A23574"/>
    <w:rsid w:val="00A2365A"/>
    <w:rsid w:val="00A24133"/>
    <w:rsid w:val="00A24EB8"/>
    <w:rsid w:val="00A262BF"/>
    <w:rsid w:val="00A27809"/>
    <w:rsid w:val="00A27B4A"/>
    <w:rsid w:val="00A30533"/>
    <w:rsid w:val="00A317B0"/>
    <w:rsid w:val="00A31FD2"/>
    <w:rsid w:val="00A34591"/>
    <w:rsid w:val="00A34E44"/>
    <w:rsid w:val="00A35D8A"/>
    <w:rsid w:val="00A3640F"/>
    <w:rsid w:val="00A37ECF"/>
    <w:rsid w:val="00A404E6"/>
    <w:rsid w:val="00A40CE2"/>
    <w:rsid w:val="00A40E77"/>
    <w:rsid w:val="00A41CDE"/>
    <w:rsid w:val="00A4203E"/>
    <w:rsid w:val="00A42FAE"/>
    <w:rsid w:val="00A43C09"/>
    <w:rsid w:val="00A4517A"/>
    <w:rsid w:val="00A469EA"/>
    <w:rsid w:val="00A46E13"/>
    <w:rsid w:val="00A47176"/>
    <w:rsid w:val="00A475C5"/>
    <w:rsid w:val="00A4768C"/>
    <w:rsid w:val="00A50A68"/>
    <w:rsid w:val="00A50D3B"/>
    <w:rsid w:val="00A50E38"/>
    <w:rsid w:val="00A510C6"/>
    <w:rsid w:val="00A518AA"/>
    <w:rsid w:val="00A525E7"/>
    <w:rsid w:val="00A52F9E"/>
    <w:rsid w:val="00A53073"/>
    <w:rsid w:val="00A54317"/>
    <w:rsid w:val="00A548D3"/>
    <w:rsid w:val="00A553F6"/>
    <w:rsid w:val="00A555C0"/>
    <w:rsid w:val="00A559FC"/>
    <w:rsid w:val="00A56348"/>
    <w:rsid w:val="00A56E1C"/>
    <w:rsid w:val="00A5703F"/>
    <w:rsid w:val="00A5725C"/>
    <w:rsid w:val="00A57D39"/>
    <w:rsid w:val="00A6106E"/>
    <w:rsid w:val="00A6316B"/>
    <w:rsid w:val="00A63719"/>
    <w:rsid w:val="00A65114"/>
    <w:rsid w:val="00A65316"/>
    <w:rsid w:val="00A65B9D"/>
    <w:rsid w:val="00A65F85"/>
    <w:rsid w:val="00A674FF"/>
    <w:rsid w:val="00A70592"/>
    <w:rsid w:val="00A70F69"/>
    <w:rsid w:val="00A72611"/>
    <w:rsid w:val="00A73ABB"/>
    <w:rsid w:val="00A751A1"/>
    <w:rsid w:val="00A76D2C"/>
    <w:rsid w:val="00A775C6"/>
    <w:rsid w:val="00A77746"/>
    <w:rsid w:val="00A806AA"/>
    <w:rsid w:val="00A81CEF"/>
    <w:rsid w:val="00A82239"/>
    <w:rsid w:val="00A822DA"/>
    <w:rsid w:val="00A83BF6"/>
    <w:rsid w:val="00A84C2C"/>
    <w:rsid w:val="00A86A18"/>
    <w:rsid w:val="00A86BC3"/>
    <w:rsid w:val="00A87B4F"/>
    <w:rsid w:val="00A87F31"/>
    <w:rsid w:val="00A90D27"/>
    <w:rsid w:val="00A9103B"/>
    <w:rsid w:val="00A91284"/>
    <w:rsid w:val="00A918A7"/>
    <w:rsid w:val="00A92871"/>
    <w:rsid w:val="00A9394F"/>
    <w:rsid w:val="00A94081"/>
    <w:rsid w:val="00A945B1"/>
    <w:rsid w:val="00A955EB"/>
    <w:rsid w:val="00A97118"/>
    <w:rsid w:val="00AA1164"/>
    <w:rsid w:val="00AA155D"/>
    <w:rsid w:val="00AA1F49"/>
    <w:rsid w:val="00AA26F4"/>
    <w:rsid w:val="00AA2821"/>
    <w:rsid w:val="00AA2B86"/>
    <w:rsid w:val="00AA36AF"/>
    <w:rsid w:val="00AA3A2E"/>
    <w:rsid w:val="00AA4099"/>
    <w:rsid w:val="00AA435A"/>
    <w:rsid w:val="00AA64F2"/>
    <w:rsid w:val="00AA6913"/>
    <w:rsid w:val="00AA6C84"/>
    <w:rsid w:val="00AA6D73"/>
    <w:rsid w:val="00AB0135"/>
    <w:rsid w:val="00AB0809"/>
    <w:rsid w:val="00AB1172"/>
    <w:rsid w:val="00AB1FD9"/>
    <w:rsid w:val="00AB2190"/>
    <w:rsid w:val="00AB23AB"/>
    <w:rsid w:val="00AB3761"/>
    <w:rsid w:val="00AB39EB"/>
    <w:rsid w:val="00AB3F27"/>
    <w:rsid w:val="00AB3FD9"/>
    <w:rsid w:val="00AB529A"/>
    <w:rsid w:val="00AB5BCE"/>
    <w:rsid w:val="00AB7140"/>
    <w:rsid w:val="00AB7BFC"/>
    <w:rsid w:val="00AB7DE7"/>
    <w:rsid w:val="00AC03AB"/>
    <w:rsid w:val="00AC0650"/>
    <w:rsid w:val="00AC192D"/>
    <w:rsid w:val="00AC1BE7"/>
    <w:rsid w:val="00AC275F"/>
    <w:rsid w:val="00AC3091"/>
    <w:rsid w:val="00AC3D3E"/>
    <w:rsid w:val="00AC3EE4"/>
    <w:rsid w:val="00AC3FCF"/>
    <w:rsid w:val="00AC50A4"/>
    <w:rsid w:val="00AC5A95"/>
    <w:rsid w:val="00AC5EDB"/>
    <w:rsid w:val="00AC6074"/>
    <w:rsid w:val="00AC61C1"/>
    <w:rsid w:val="00AC6471"/>
    <w:rsid w:val="00AD0681"/>
    <w:rsid w:val="00AD08BF"/>
    <w:rsid w:val="00AD1751"/>
    <w:rsid w:val="00AD243A"/>
    <w:rsid w:val="00AD2B6E"/>
    <w:rsid w:val="00AD3443"/>
    <w:rsid w:val="00AD40C4"/>
    <w:rsid w:val="00AD4ADF"/>
    <w:rsid w:val="00AD4B3C"/>
    <w:rsid w:val="00AD68A5"/>
    <w:rsid w:val="00AD7706"/>
    <w:rsid w:val="00AD7C66"/>
    <w:rsid w:val="00AE0F80"/>
    <w:rsid w:val="00AE185D"/>
    <w:rsid w:val="00AE18D3"/>
    <w:rsid w:val="00AE1BFE"/>
    <w:rsid w:val="00AE1E4F"/>
    <w:rsid w:val="00AE3842"/>
    <w:rsid w:val="00AE3D83"/>
    <w:rsid w:val="00AE3D84"/>
    <w:rsid w:val="00AE4374"/>
    <w:rsid w:val="00AE466A"/>
    <w:rsid w:val="00AE485C"/>
    <w:rsid w:val="00AE5D85"/>
    <w:rsid w:val="00AE687C"/>
    <w:rsid w:val="00AE6DF2"/>
    <w:rsid w:val="00AE7D4F"/>
    <w:rsid w:val="00AE7FE4"/>
    <w:rsid w:val="00AF0117"/>
    <w:rsid w:val="00AF17D3"/>
    <w:rsid w:val="00AF1D77"/>
    <w:rsid w:val="00AF216D"/>
    <w:rsid w:val="00AF38BA"/>
    <w:rsid w:val="00AF4F67"/>
    <w:rsid w:val="00AF5811"/>
    <w:rsid w:val="00AF5F99"/>
    <w:rsid w:val="00AF6509"/>
    <w:rsid w:val="00AF66B4"/>
    <w:rsid w:val="00AF7CCF"/>
    <w:rsid w:val="00B00BBE"/>
    <w:rsid w:val="00B02FE9"/>
    <w:rsid w:val="00B0456E"/>
    <w:rsid w:val="00B04CBA"/>
    <w:rsid w:val="00B04F53"/>
    <w:rsid w:val="00B0620B"/>
    <w:rsid w:val="00B0682C"/>
    <w:rsid w:val="00B06A05"/>
    <w:rsid w:val="00B06BF6"/>
    <w:rsid w:val="00B06F7F"/>
    <w:rsid w:val="00B100F0"/>
    <w:rsid w:val="00B10669"/>
    <w:rsid w:val="00B1082D"/>
    <w:rsid w:val="00B10DC0"/>
    <w:rsid w:val="00B10E91"/>
    <w:rsid w:val="00B12FBE"/>
    <w:rsid w:val="00B13B0C"/>
    <w:rsid w:val="00B1402E"/>
    <w:rsid w:val="00B14865"/>
    <w:rsid w:val="00B152AD"/>
    <w:rsid w:val="00B210E7"/>
    <w:rsid w:val="00B215EE"/>
    <w:rsid w:val="00B21D50"/>
    <w:rsid w:val="00B22F62"/>
    <w:rsid w:val="00B22F9B"/>
    <w:rsid w:val="00B23747"/>
    <w:rsid w:val="00B23E0A"/>
    <w:rsid w:val="00B24090"/>
    <w:rsid w:val="00B25172"/>
    <w:rsid w:val="00B25489"/>
    <w:rsid w:val="00B257E3"/>
    <w:rsid w:val="00B25990"/>
    <w:rsid w:val="00B260C7"/>
    <w:rsid w:val="00B264C0"/>
    <w:rsid w:val="00B26CA2"/>
    <w:rsid w:val="00B27494"/>
    <w:rsid w:val="00B279B9"/>
    <w:rsid w:val="00B27B86"/>
    <w:rsid w:val="00B27BFD"/>
    <w:rsid w:val="00B27F66"/>
    <w:rsid w:val="00B3019B"/>
    <w:rsid w:val="00B3091D"/>
    <w:rsid w:val="00B31B61"/>
    <w:rsid w:val="00B31CED"/>
    <w:rsid w:val="00B329E1"/>
    <w:rsid w:val="00B348A2"/>
    <w:rsid w:val="00B34F48"/>
    <w:rsid w:val="00B35534"/>
    <w:rsid w:val="00B35DF0"/>
    <w:rsid w:val="00B36F0E"/>
    <w:rsid w:val="00B37913"/>
    <w:rsid w:val="00B37B23"/>
    <w:rsid w:val="00B4198D"/>
    <w:rsid w:val="00B41D31"/>
    <w:rsid w:val="00B42941"/>
    <w:rsid w:val="00B46742"/>
    <w:rsid w:val="00B47D11"/>
    <w:rsid w:val="00B47F4C"/>
    <w:rsid w:val="00B51187"/>
    <w:rsid w:val="00B51BA0"/>
    <w:rsid w:val="00B535BD"/>
    <w:rsid w:val="00B53701"/>
    <w:rsid w:val="00B53D7F"/>
    <w:rsid w:val="00B54986"/>
    <w:rsid w:val="00B56307"/>
    <w:rsid w:val="00B56A26"/>
    <w:rsid w:val="00B603D5"/>
    <w:rsid w:val="00B60702"/>
    <w:rsid w:val="00B6110A"/>
    <w:rsid w:val="00B6175B"/>
    <w:rsid w:val="00B6176A"/>
    <w:rsid w:val="00B6301A"/>
    <w:rsid w:val="00B643DF"/>
    <w:rsid w:val="00B6473C"/>
    <w:rsid w:val="00B64CAD"/>
    <w:rsid w:val="00B651FA"/>
    <w:rsid w:val="00B66751"/>
    <w:rsid w:val="00B668CB"/>
    <w:rsid w:val="00B67830"/>
    <w:rsid w:val="00B67AA6"/>
    <w:rsid w:val="00B67BE7"/>
    <w:rsid w:val="00B67FE6"/>
    <w:rsid w:val="00B7066C"/>
    <w:rsid w:val="00B70B0B"/>
    <w:rsid w:val="00B717D8"/>
    <w:rsid w:val="00B71CCD"/>
    <w:rsid w:val="00B721B1"/>
    <w:rsid w:val="00B724FA"/>
    <w:rsid w:val="00B72A51"/>
    <w:rsid w:val="00B72DF3"/>
    <w:rsid w:val="00B74146"/>
    <w:rsid w:val="00B74A81"/>
    <w:rsid w:val="00B75A66"/>
    <w:rsid w:val="00B76A32"/>
    <w:rsid w:val="00B76F6C"/>
    <w:rsid w:val="00B8080B"/>
    <w:rsid w:val="00B811EF"/>
    <w:rsid w:val="00B831B9"/>
    <w:rsid w:val="00B83322"/>
    <w:rsid w:val="00B83C03"/>
    <w:rsid w:val="00B86EF1"/>
    <w:rsid w:val="00B90674"/>
    <w:rsid w:val="00B91103"/>
    <w:rsid w:val="00B91406"/>
    <w:rsid w:val="00B9153D"/>
    <w:rsid w:val="00B91882"/>
    <w:rsid w:val="00B91FFF"/>
    <w:rsid w:val="00B9322A"/>
    <w:rsid w:val="00B934E3"/>
    <w:rsid w:val="00B93E01"/>
    <w:rsid w:val="00B94323"/>
    <w:rsid w:val="00B94444"/>
    <w:rsid w:val="00B9566B"/>
    <w:rsid w:val="00B9580A"/>
    <w:rsid w:val="00B95F92"/>
    <w:rsid w:val="00B961B7"/>
    <w:rsid w:val="00B963D4"/>
    <w:rsid w:val="00B9772B"/>
    <w:rsid w:val="00B97859"/>
    <w:rsid w:val="00BA2DEF"/>
    <w:rsid w:val="00BA35F2"/>
    <w:rsid w:val="00BA42FB"/>
    <w:rsid w:val="00BA4768"/>
    <w:rsid w:val="00BA4A92"/>
    <w:rsid w:val="00BA516F"/>
    <w:rsid w:val="00BA5E32"/>
    <w:rsid w:val="00BA628C"/>
    <w:rsid w:val="00BA7059"/>
    <w:rsid w:val="00BB0051"/>
    <w:rsid w:val="00BB02C6"/>
    <w:rsid w:val="00BB0656"/>
    <w:rsid w:val="00BB1082"/>
    <w:rsid w:val="00BB2127"/>
    <w:rsid w:val="00BB2390"/>
    <w:rsid w:val="00BB3805"/>
    <w:rsid w:val="00BB4589"/>
    <w:rsid w:val="00BB471C"/>
    <w:rsid w:val="00BB52A5"/>
    <w:rsid w:val="00BB5893"/>
    <w:rsid w:val="00BB62F8"/>
    <w:rsid w:val="00BB6740"/>
    <w:rsid w:val="00BB7D2A"/>
    <w:rsid w:val="00BB7EA1"/>
    <w:rsid w:val="00BB7F81"/>
    <w:rsid w:val="00BC0647"/>
    <w:rsid w:val="00BC0EA2"/>
    <w:rsid w:val="00BC0EFC"/>
    <w:rsid w:val="00BC1CDB"/>
    <w:rsid w:val="00BC1F2A"/>
    <w:rsid w:val="00BC2432"/>
    <w:rsid w:val="00BC269B"/>
    <w:rsid w:val="00BC27D2"/>
    <w:rsid w:val="00BC2D86"/>
    <w:rsid w:val="00BD22C3"/>
    <w:rsid w:val="00BD2301"/>
    <w:rsid w:val="00BD2799"/>
    <w:rsid w:val="00BD3259"/>
    <w:rsid w:val="00BD35E1"/>
    <w:rsid w:val="00BD3F1D"/>
    <w:rsid w:val="00BD4D1E"/>
    <w:rsid w:val="00BD52B1"/>
    <w:rsid w:val="00BD54FC"/>
    <w:rsid w:val="00BD5663"/>
    <w:rsid w:val="00BD63C3"/>
    <w:rsid w:val="00BD67CE"/>
    <w:rsid w:val="00BD7084"/>
    <w:rsid w:val="00BD729A"/>
    <w:rsid w:val="00BD76A4"/>
    <w:rsid w:val="00BE1C8A"/>
    <w:rsid w:val="00BE2592"/>
    <w:rsid w:val="00BE25DC"/>
    <w:rsid w:val="00BE4857"/>
    <w:rsid w:val="00BE5847"/>
    <w:rsid w:val="00BE5BE0"/>
    <w:rsid w:val="00BE6445"/>
    <w:rsid w:val="00BE686E"/>
    <w:rsid w:val="00BE697B"/>
    <w:rsid w:val="00BE70E8"/>
    <w:rsid w:val="00BE7EC7"/>
    <w:rsid w:val="00BF0E76"/>
    <w:rsid w:val="00BF19DC"/>
    <w:rsid w:val="00BF2B3E"/>
    <w:rsid w:val="00BF2DAF"/>
    <w:rsid w:val="00BF4686"/>
    <w:rsid w:val="00BF4E1B"/>
    <w:rsid w:val="00BF7255"/>
    <w:rsid w:val="00BF7CA9"/>
    <w:rsid w:val="00C00DDC"/>
    <w:rsid w:val="00C01083"/>
    <w:rsid w:val="00C01C57"/>
    <w:rsid w:val="00C0276B"/>
    <w:rsid w:val="00C02857"/>
    <w:rsid w:val="00C03D5B"/>
    <w:rsid w:val="00C04595"/>
    <w:rsid w:val="00C0480F"/>
    <w:rsid w:val="00C05F69"/>
    <w:rsid w:val="00C10426"/>
    <w:rsid w:val="00C1043C"/>
    <w:rsid w:val="00C12A51"/>
    <w:rsid w:val="00C12CD1"/>
    <w:rsid w:val="00C156CA"/>
    <w:rsid w:val="00C156F6"/>
    <w:rsid w:val="00C1591E"/>
    <w:rsid w:val="00C17353"/>
    <w:rsid w:val="00C173EE"/>
    <w:rsid w:val="00C20D36"/>
    <w:rsid w:val="00C21038"/>
    <w:rsid w:val="00C2286B"/>
    <w:rsid w:val="00C2396B"/>
    <w:rsid w:val="00C23D89"/>
    <w:rsid w:val="00C24B1E"/>
    <w:rsid w:val="00C25A9E"/>
    <w:rsid w:val="00C26865"/>
    <w:rsid w:val="00C2785F"/>
    <w:rsid w:val="00C27917"/>
    <w:rsid w:val="00C3067E"/>
    <w:rsid w:val="00C306BB"/>
    <w:rsid w:val="00C30BA6"/>
    <w:rsid w:val="00C31467"/>
    <w:rsid w:val="00C31FBC"/>
    <w:rsid w:val="00C33F0C"/>
    <w:rsid w:val="00C3468B"/>
    <w:rsid w:val="00C34CCB"/>
    <w:rsid w:val="00C34D57"/>
    <w:rsid w:val="00C34EEE"/>
    <w:rsid w:val="00C35515"/>
    <w:rsid w:val="00C35807"/>
    <w:rsid w:val="00C35A4B"/>
    <w:rsid w:val="00C36097"/>
    <w:rsid w:val="00C36614"/>
    <w:rsid w:val="00C36696"/>
    <w:rsid w:val="00C36720"/>
    <w:rsid w:val="00C36777"/>
    <w:rsid w:val="00C36D65"/>
    <w:rsid w:val="00C37518"/>
    <w:rsid w:val="00C37A73"/>
    <w:rsid w:val="00C37F00"/>
    <w:rsid w:val="00C40DDD"/>
    <w:rsid w:val="00C41342"/>
    <w:rsid w:val="00C421C9"/>
    <w:rsid w:val="00C42393"/>
    <w:rsid w:val="00C42A3A"/>
    <w:rsid w:val="00C437C6"/>
    <w:rsid w:val="00C4517F"/>
    <w:rsid w:val="00C45232"/>
    <w:rsid w:val="00C46E94"/>
    <w:rsid w:val="00C4713F"/>
    <w:rsid w:val="00C47547"/>
    <w:rsid w:val="00C477B8"/>
    <w:rsid w:val="00C52097"/>
    <w:rsid w:val="00C52899"/>
    <w:rsid w:val="00C52BA5"/>
    <w:rsid w:val="00C52DED"/>
    <w:rsid w:val="00C52F08"/>
    <w:rsid w:val="00C52F47"/>
    <w:rsid w:val="00C53323"/>
    <w:rsid w:val="00C54D46"/>
    <w:rsid w:val="00C54D8C"/>
    <w:rsid w:val="00C56BCF"/>
    <w:rsid w:val="00C57493"/>
    <w:rsid w:val="00C57F4F"/>
    <w:rsid w:val="00C605E6"/>
    <w:rsid w:val="00C60A8F"/>
    <w:rsid w:val="00C6186C"/>
    <w:rsid w:val="00C63564"/>
    <w:rsid w:val="00C64725"/>
    <w:rsid w:val="00C64A0E"/>
    <w:rsid w:val="00C64BB5"/>
    <w:rsid w:val="00C64D07"/>
    <w:rsid w:val="00C64EFB"/>
    <w:rsid w:val="00C65674"/>
    <w:rsid w:val="00C66CEF"/>
    <w:rsid w:val="00C670FE"/>
    <w:rsid w:val="00C67E2F"/>
    <w:rsid w:val="00C71087"/>
    <w:rsid w:val="00C71E3C"/>
    <w:rsid w:val="00C73B63"/>
    <w:rsid w:val="00C73C17"/>
    <w:rsid w:val="00C744F9"/>
    <w:rsid w:val="00C75492"/>
    <w:rsid w:val="00C763D1"/>
    <w:rsid w:val="00C77C78"/>
    <w:rsid w:val="00C80006"/>
    <w:rsid w:val="00C8069C"/>
    <w:rsid w:val="00C8146C"/>
    <w:rsid w:val="00C8231E"/>
    <w:rsid w:val="00C831FD"/>
    <w:rsid w:val="00C83F08"/>
    <w:rsid w:val="00C846DD"/>
    <w:rsid w:val="00C846E0"/>
    <w:rsid w:val="00C8491B"/>
    <w:rsid w:val="00C85312"/>
    <w:rsid w:val="00C85CA6"/>
    <w:rsid w:val="00C873DA"/>
    <w:rsid w:val="00C90A7F"/>
    <w:rsid w:val="00C9147E"/>
    <w:rsid w:val="00C91949"/>
    <w:rsid w:val="00C925ED"/>
    <w:rsid w:val="00C9339F"/>
    <w:rsid w:val="00C94B17"/>
    <w:rsid w:val="00C96083"/>
    <w:rsid w:val="00C96A10"/>
    <w:rsid w:val="00C9753B"/>
    <w:rsid w:val="00C97A0C"/>
    <w:rsid w:val="00C97AE5"/>
    <w:rsid w:val="00CA03A1"/>
    <w:rsid w:val="00CA0AAD"/>
    <w:rsid w:val="00CA0C87"/>
    <w:rsid w:val="00CA19CD"/>
    <w:rsid w:val="00CA1DAD"/>
    <w:rsid w:val="00CA237E"/>
    <w:rsid w:val="00CA2E7F"/>
    <w:rsid w:val="00CA4A62"/>
    <w:rsid w:val="00CA4E10"/>
    <w:rsid w:val="00CA561E"/>
    <w:rsid w:val="00CA5B58"/>
    <w:rsid w:val="00CA659E"/>
    <w:rsid w:val="00CB0E79"/>
    <w:rsid w:val="00CB23DD"/>
    <w:rsid w:val="00CB2757"/>
    <w:rsid w:val="00CB2FE7"/>
    <w:rsid w:val="00CB3B57"/>
    <w:rsid w:val="00CB42AE"/>
    <w:rsid w:val="00CB432A"/>
    <w:rsid w:val="00CB4BB6"/>
    <w:rsid w:val="00CB6768"/>
    <w:rsid w:val="00CB714D"/>
    <w:rsid w:val="00CB75E1"/>
    <w:rsid w:val="00CB7743"/>
    <w:rsid w:val="00CB789C"/>
    <w:rsid w:val="00CC03A4"/>
    <w:rsid w:val="00CC1187"/>
    <w:rsid w:val="00CC17DB"/>
    <w:rsid w:val="00CC2F01"/>
    <w:rsid w:val="00CC4343"/>
    <w:rsid w:val="00CC61D6"/>
    <w:rsid w:val="00CC6453"/>
    <w:rsid w:val="00CC7BF1"/>
    <w:rsid w:val="00CD2BCF"/>
    <w:rsid w:val="00CD2D8A"/>
    <w:rsid w:val="00CD31EA"/>
    <w:rsid w:val="00CD5819"/>
    <w:rsid w:val="00CD692F"/>
    <w:rsid w:val="00CD72B0"/>
    <w:rsid w:val="00CE0392"/>
    <w:rsid w:val="00CE2303"/>
    <w:rsid w:val="00CE27DB"/>
    <w:rsid w:val="00CE2A62"/>
    <w:rsid w:val="00CE2FC8"/>
    <w:rsid w:val="00CE444B"/>
    <w:rsid w:val="00CE47FB"/>
    <w:rsid w:val="00CE5481"/>
    <w:rsid w:val="00CE5866"/>
    <w:rsid w:val="00CE6845"/>
    <w:rsid w:val="00CE6DC2"/>
    <w:rsid w:val="00CF003F"/>
    <w:rsid w:val="00CF0045"/>
    <w:rsid w:val="00CF027C"/>
    <w:rsid w:val="00CF15B4"/>
    <w:rsid w:val="00CF46A6"/>
    <w:rsid w:val="00CF4EFA"/>
    <w:rsid w:val="00CF5F99"/>
    <w:rsid w:val="00CF609C"/>
    <w:rsid w:val="00CF6557"/>
    <w:rsid w:val="00CF7194"/>
    <w:rsid w:val="00CF7817"/>
    <w:rsid w:val="00CF7C90"/>
    <w:rsid w:val="00CF7EA0"/>
    <w:rsid w:val="00D000E1"/>
    <w:rsid w:val="00D00600"/>
    <w:rsid w:val="00D00A29"/>
    <w:rsid w:val="00D012E0"/>
    <w:rsid w:val="00D024F4"/>
    <w:rsid w:val="00D02612"/>
    <w:rsid w:val="00D0329F"/>
    <w:rsid w:val="00D04689"/>
    <w:rsid w:val="00D04F9C"/>
    <w:rsid w:val="00D0512F"/>
    <w:rsid w:val="00D05881"/>
    <w:rsid w:val="00D06299"/>
    <w:rsid w:val="00D074B5"/>
    <w:rsid w:val="00D07C07"/>
    <w:rsid w:val="00D1045D"/>
    <w:rsid w:val="00D11A84"/>
    <w:rsid w:val="00D11EE3"/>
    <w:rsid w:val="00D133AA"/>
    <w:rsid w:val="00D13B0B"/>
    <w:rsid w:val="00D13CCF"/>
    <w:rsid w:val="00D14764"/>
    <w:rsid w:val="00D14CF7"/>
    <w:rsid w:val="00D14F82"/>
    <w:rsid w:val="00D1576E"/>
    <w:rsid w:val="00D15E67"/>
    <w:rsid w:val="00D1798C"/>
    <w:rsid w:val="00D17B86"/>
    <w:rsid w:val="00D17F16"/>
    <w:rsid w:val="00D202F1"/>
    <w:rsid w:val="00D20655"/>
    <w:rsid w:val="00D20ABB"/>
    <w:rsid w:val="00D210C1"/>
    <w:rsid w:val="00D24306"/>
    <w:rsid w:val="00D24AEE"/>
    <w:rsid w:val="00D26A33"/>
    <w:rsid w:val="00D27905"/>
    <w:rsid w:val="00D3073E"/>
    <w:rsid w:val="00D31676"/>
    <w:rsid w:val="00D316C8"/>
    <w:rsid w:val="00D31EC4"/>
    <w:rsid w:val="00D32F10"/>
    <w:rsid w:val="00D33275"/>
    <w:rsid w:val="00D333EA"/>
    <w:rsid w:val="00D337D5"/>
    <w:rsid w:val="00D33DF7"/>
    <w:rsid w:val="00D34817"/>
    <w:rsid w:val="00D35B53"/>
    <w:rsid w:val="00D365BB"/>
    <w:rsid w:val="00D3712B"/>
    <w:rsid w:val="00D3795A"/>
    <w:rsid w:val="00D37AB5"/>
    <w:rsid w:val="00D407AE"/>
    <w:rsid w:val="00D40C74"/>
    <w:rsid w:val="00D41275"/>
    <w:rsid w:val="00D42896"/>
    <w:rsid w:val="00D42D66"/>
    <w:rsid w:val="00D43282"/>
    <w:rsid w:val="00D43EA4"/>
    <w:rsid w:val="00D44508"/>
    <w:rsid w:val="00D44630"/>
    <w:rsid w:val="00D45B9E"/>
    <w:rsid w:val="00D46E7F"/>
    <w:rsid w:val="00D47810"/>
    <w:rsid w:val="00D50043"/>
    <w:rsid w:val="00D506AF"/>
    <w:rsid w:val="00D5128E"/>
    <w:rsid w:val="00D513C7"/>
    <w:rsid w:val="00D52051"/>
    <w:rsid w:val="00D52C9D"/>
    <w:rsid w:val="00D52FD0"/>
    <w:rsid w:val="00D53734"/>
    <w:rsid w:val="00D53E46"/>
    <w:rsid w:val="00D54385"/>
    <w:rsid w:val="00D56CD9"/>
    <w:rsid w:val="00D610C8"/>
    <w:rsid w:val="00D6157B"/>
    <w:rsid w:val="00D617E2"/>
    <w:rsid w:val="00D61D8E"/>
    <w:rsid w:val="00D6231C"/>
    <w:rsid w:val="00D6259C"/>
    <w:rsid w:val="00D63B91"/>
    <w:rsid w:val="00D64A4A"/>
    <w:rsid w:val="00D6679C"/>
    <w:rsid w:val="00D7080F"/>
    <w:rsid w:val="00D71B48"/>
    <w:rsid w:val="00D720D0"/>
    <w:rsid w:val="00D72F5D"/>
    <w:rsid w:val="00D73EE6"/>
    <w:rsid w:val="00D742D2"/>
    <w:rsid w:val="00D744DC"/>
    <w:rsid w:val="00D74E49"/>
    <w:rsid w:val="00D75CF7"/>
    <w:rsid w:val="00D75F59"/>
    <w:rsid w:val="00D776C3"/>
    <w:rsid w:val="00D77797"/>
    <w:rsid w:val="00D80153"/>
    <w:rsid w:val="00D81AC7"/>
    <w:rsid w:val="00D8348C"/>
    <w:rsid w:val="00D83685"/>
    <w:rsid w:val="00D836CA"/>
    <w:rsid w:val="00D836D9"/>
    <w:rsid w:val="00D83E45"/>
    <w:rsid w:val="00D842CD"/>
    <w:rsid w:val="00D8495C"/>
    <w:rsid w:val="00D8554C"/>
    <w:rsid w:val="00D8562F"/>
    <w:rsid w:val="00D86737"/>
    <w:rsid w:val="00D8696A"/>
    <w:rsid w:val="00D8705A"/>
    <w:rsid w:val="00D874B2"/>
    <w:rsid w:val="00D90F5A"/>
    <w:rsid w:val="00D9153B"/>
    <w:rsid w:val="00D91542"/>
    <w:rsid w:val="00D91EE9"/>
    <w:rsid w:val="00D92508"/>
    <w:rsid w:val="00D92594"/>
    <w:rsid w:val="00D9569F"/>
    <w:rsid w:val="00D95903"/>
    <w:rsid w:val="00D95D78"/>
    <w:rsid w:val="00D965F1"/>
    <w:rsid w:val="00D97288"/>
    <w:rsid w:val="00DA0810"/>
    <w:rsid w:val="00DA0BCC"/>
    <w:rsid w:val="00DA3FCE"/>
    <w:rsid w:val="00DA50D1"/>
    <w:rsid w:val="00DA60F8"/>
    <w:rsid w:val="00DA61F6"/>
    <w:rsid w:val="00DB266C"/>
    <w:rsid w:val="00DB2BE7"/>
    <w:rsid w:val="00DB4203"/>
    <w:rsid w:val="00DB4BE3"/>
    <w:rsid w:val="00DB5562"/>
    <w:rsid w:val="00DB69BA"/>
    <w:rsid w:val="00DB7CA1"/>
    <w:rsid w:val="00DB7EC5"/>
    <w:rsid w:val="00DC00A1"/>
    <w:rsid w:val="00DC0384"/>
    <w:rsid w:val="00DC094F"/>
    <w:rsid w:val="00DC0D8B"/>
    <w:rsid w:val="00DC24B5"/>
    <w:rsid w:val="00DC25DA"/>
    <w:rsid w:val="00DC4C59"/>
    <w:rsid w:val="00DC5149"/>
    <w:rsid w:val="00DC5340"/>
    <w:rsid w:val="00DC547F"/>
    <w:rsid w:val="00DC5623"/>
    <w:rsid w:val="00DC608E"/>
    <w:rsid w:val="00DC68E1"/>
    <w:rsid w:val="00DC6D44"/>
    <w:rsid w:val="00DC7FCE"/>
    <w:rsid w:val="00DD1B88"/>
    <w:rsid w:val="00DD3049"/>
    <w:rsid w:val="00DD334C"/>
    <w:rsid w:val="00DD3C08"/>
    <w:rsid w:val="00DD49B3"/>
    <w:rsid w:val="00DD4A18"/>
    <w:rsid w:val="00DD4BAC"/>
    <w:rsid w:val="00DD542E"/>
    <w:rsid w:val="00DD5838"/>
    <w:rsid w:val="00DD5B8E"/>
    <w:rsid w:val="00DD634F"/>
    <w:rsid w:val="00DD6696"/>
    <w:rsid w:val="00DE0476"/>
    <w:rsid w:val="00DE11C9"/>
    <w:rsid w:val="00DE1976"/>
    <w:rsid w:val="00DE1B2F"/>
    <w:rsid w:val="00DE1C5A"/>
    <w:rsid w:val="00DE2676"/>
    <w:rsid w:val="00DE2AAC"/>
    <w:rsid w:val="00DE2F26"/>
    <w:rsid w:val="00DE405E"/>
    <w:rsid w:val="00DE5344"/>
    <w:rsid w:val="00DE5E04"/>
    <w:rsid w:val="00DE61EA"/>
    <w:rsid w:val="00DE6634"/>
    <w:rsid w:val="00DE6E4A"/>
    <w:rsid w:val="00DE6FC9"/>
    <w:rsid w:val="00DE7726"/>
    <w:rsid w:val="00DF0C87"/>
    <w:rsid w:val="00DF1125"/>
    <w:rsid w:val="00DF1CBA"/>
    <w:rsid w:val="00DF27AC"/>
    <w:rsid w:val="00DF28E7"/>
    <w:rsid w:val="00DF2FD1"/>
    <w:rsid w:val="00DF399A"/>
    <w:rsid w:val="00DF3AC9"/>
    <w:rsid w:val="00DF447B"/>
    <w:rsid w:val="00DF5175"/>
    <w:rsid w:val="00DF5476"/>
    <w:rsid w:val="00DF6280"/>
    <w:rsid w:val="00DF7B14"/>
    <w:rsid w:val="00E00009"/>
    <w:rsid w:val="00E01EF4"/>
    <w:rsid w:val="00E02CF2"/>
    <w:rsid w:val="00E04947"/>
    <w:rsid w:val="00E06041"/>
    <w:rsid w:val="00E069F7"/>
    <w:rsid w:val="00E06C35"/>
    <w:rsid w:val="00E0710D"/>
    <w:rsid w:val="00E07F71"/>
    <w:rsid w:val="00E10301"/>
    <w:rsid w:val="00E1141C"/>
    <w:rsid w:val="00E114D8"/>
    <w:rsid w:val="00E12032"/>
    <w:rsid w:val="00E1256E"/>
    <w:rsid w:val="00E1347F"/>
    <w:rsid w:val="00E13524"/>
    <w:rsid w:val="00E1621B"/>
    <w:rsid w:val="00E178BD"/>
    <w:rsid w:val="00E21114"/>
    <w:rsid w:val="00E219C0"/>
    <w:rsid w:val="00E22636"/>
    <w:rsid w:val="00E22B84"/>
    <w:rsid w:val="00E26045"/>
    <w:rsid w:val="00E26BDB"/>
    <w:rsid w:val="00E27304"/>
    <w:rsid w:val="00E304D5"/>
    <w:rsid w:val="00E314B2"/>
    <w:rsid w:val="00E31678"/>
    <w:rsid w:val="00E33084"/>
    <w:rsid w:val="00E337F5"/>
    <w:rsid w:val="00E339E4"/>
    <w:rsid w:val="00E34EBC"/>
    <w:rsid w:val="00E36256"/>
    <w:rsid w:val="00E37211"/>
    <w:rsid w:val="00E37848"/>
    <w:rsid w:val="00E4034D"/>
    <w:rsid w:val="00E404B3"/>
    <w:rsid w:val="00E40FC1"/>
    <w:rsid w:val="00E41EE7"/>
    <w:rsid w:val="00E41F28"/>
    <w:rsid w:val="00E42084"/>
    <w:rsid w:val="00E425E0"/>
    <w:rsid w:val="00E43B01"/>
    <w:rsid w:val="00E44854"/>
    <w:rsid w:val="00E46515"/>
    <w:rsid w:val="00E50093"/>
    <w:rsid w:val="00E52329"/>
    <w:rsid w:val="00E52660"/>
    <w:rsid w:val="00E538E3"/>
    <w:rsid w:val="00E540A3"/>
    <w:rsid w:val="00E543B9"/>
    <w:rsid w:val="00E544E9"/>
    <w:rsid w:val="00E54BF4"/>
    <w:rsid w:val="00E54D70"/>
    <w:rsid w:val="00E550DC"/>
    <w:rsid w:val="00E55808"/>
    <w:rsid w:val="00E559EA"/>
    <w:rsid w:val="00E5696D"/>
    <w:rsid w:val="00E56E45"/>
    <w:rsid w:val="00E5794D"/>
    <w:rsid w:val="00E60087"/>
    <w:rsid w:val="00E6161C"/>
    <w:rsid w:val="00E62DEC"/>
    <w:rsid w:val="00E63233"/>
    <w:rsid w:val="00E63679"/>
    <w:rsid w:val="00E63FE6"/>
    <w:rsid w:val="00E646F7"/>
    <w:rsid w:val="00E64C11"/>
    <w:rsid w:val="00E65960"/>
    <w:rsid w:val="00E65F8A"/>
    <w:rsid w:val="00E66ECB"/>
    <w:rsid w:val="00E67486"/>
    <w:rsid w:val="00E67625"/>
    <w:rsid w:val="00E67DD4"/>
    <w:rsid w:val="00E70561"/>
    <w:rsid w:val="00E7116B"/>
    <w:rsid w:val="00E712B8"/>
    <w:rsid w:val="00E71537"/>
    <w:rsid w:val="00E71726"/>
    <w:rsid w:val="00E71C9D"/>
    <w:rsid w:val="00E71FEB"/>
    <w:rsid w:val="00E727CE"/>
    <w:rsid w:val="00E729C9"/>
    <w:rsid w:val="00E737E5"/>
    <w:rsid w:val="00E7382C"/>
    <w:rsid w:val="00E738BF"/>
    <w:rsid w:val="00E73D84"/>
    <w:rsid w:val="00E74325"/>
    <w:rsid w:val="00E749E1"/>
    <w:rsid w:val="00E75A46"/>
    <w:rsid w:val="00E8007A"/>
    <w:rsid w:val="00E80578"/>
    <w:rsid w:val="00E80B43"/>
    <w:rsid w:val="00E82198"/>
    <w:rsid w:val="00E83199"/>
    <w:rsid w:val="00E833CB"/>
    <w:rsid w:val="00E83995"/>
    <w:rsid w:val="00E83CA4"/>
    <w:rsid w:val="00E83CBA"/>
    <w:rsid w:val="00E83D2E"/>
    <w:rsid w:val="00E83FB2"/>
    <w:rsid w:val="00E844D4"/>
    <w:rsid w:val="00E85A94"/>
    <w:rsid w:val="00E90615"/>
    <w:rsid w:val="00E906AE"/>
    <w:rsid w:val="00E91FE0"/>
    <w:rsid w:val="00E9209B"/>
    <w:rsid w:val="00E93AF8"/>
    <w:rsid w:val="00E95AC2"/>
    <w:rsid w:val="00E967A7"/>
    <w:rsid w:val="00E96C8B"/>
    <w:rsid w:val="00E96FCF"/>
    <w:rsid w:val="00E97167"/>
    <w:rsid w:val="00E97DBB"/>
    <w:rsid w:val="00EA0169"/>
    <w:rsid w:val="00EA093A"/>
    <w:rsid w:val="00EA1EB0"/>
    <w:rsid w:val="00EA3781"/>
    <w:rsid w:val="00EA38D4"/>
    <w:rsid w:val="00EA411C"/>
    <w:rsid w:val="00EA5023"/>
    <w:rsid w:val="00EA56BE"/>
    <w:rsid w:val="00EA7061"/>
    <w:rsid w:val="00EA7C5B"/>
    <w:rsid w:val="00EB1376"/>
    <w:rsid w:val="00EB13FE"/>
    <w:rsid w:val="00EB2088"/>
    <w:rsid w:val="00EB254B"/>
    <w:rsid w:val="00EB375F"/>
    <w:rsid w:val="00EB39F1"/>
    <w:rsid w:val="00EB3B87"/>
    <w:rsid w:val="00EB460F"/>
    <w:rsid w:val="00EB472E"/>
    <w:rsid w:val="00EB4F4F"/>
    <w:rsid w:val="00EB5434"/>
    <w:rsid w:val="00EB5511"/>
    <w:rsid w:val="00EB5D6C"/>
    <w:rsid w:val="00EB6A9B"/>
    <w:rsid w:val="00EB76D6"/>
    <w:rsid w:val="00EC0178"/>
    <w:rsid w:val="00EC049F"/>
    <w:rsid w:val="00EC11E3"/>
    <w:rsid w:val="00EC2537"/>
    <w:rsid w:val="00EC3828"/>
    <w:rsid w:val="00EC57B0"/>
    <w:rsid w:val="00EC700C"/>
    <w:rsid w:val="00EC7B08"/>
    <w:rsid w:val="00ED024E"/>
    <w:rsid w:val="00ED194C"/>
    <w:rsid w:val="00ED1CF7"/>
    <w:rsid w:val="00ED2C26"/>
    <w:rsid w:val="00ED3898"/>
    <w:rsid w:val="00ED597C"/>
    <w:rsid w:val="00ED5EC2"/>
    <w:rsid w:val="00ED644C"/>
    <w:rsid w:val="00EE0DF2"/>
    <w:rsid w:val="00EE1124"/>
    <w:rsid w:val="00EE1AF4"/>
    <w:rsid w:val="00EE21DD"/>
    <w:rsid w:val="00EE3C3E"/>
    <w:rsid w:val="00EE56DF"/>
    <w:rsid w:val="00EE5ED7"/>
    <w:rsid w:val="00EE64CC"/>
    <w:rsid w:val="00EE6D6B"/>
    <w:rsid w:val="00EE72F8"/>
    <w:rsid w:val="00EE75C6"/>
    <w:rsid w:val="00EF0A4A"/>
    <w:rsid w:val="00EF0E33"/>
    <w:rsid w:val="00EF195B"/>
    <w:rsid w:val="00EF1A24"/>
    <w:rsid w:val="00EF1BF1"/>
    <w:rsid w:val="00EF2258"/>
    <w:rsid w:val="00EF2365"/>
    <w:rsid w:val="00EF2E82"/>
    <w:rsid w:val="00EF6232"/>
    <w:rsid w:val="00EF70AE"/>
    <w:rsid w:val="00EF71E1"/>
    <w:rsid w:val="00F0009E"/>
    <w:rsid w:val="00F01BD5"/>
    <w:rsid w:val="00F024E3"/>
    <w:rsid w:val="00F0264E"/>
    <w:rsid w:val="00F02815"/>
    <w:rsid w:val="00F02E94"/>
    <w:rsid w:val="00F03335"/>
    <w:rsid w:val="00F03790"/>
    <w:rsid w:val="00F041F1"/>
    <w:rsid w:val="00F04866"/>
    <w:rsid w:val="00F05EAF"/>
    <w:rsid w:val="00F06D7C"/>
    <w:rsid w:val="00F07089"/>
    <w:rsid w:val="00F073A9"/>
    <w:rsid w:val="00F07F02"/>
    <w:rsid w:val="00F1049D"/>
    <w:rsid w:val="00F110F0"/>
    <w:rsid w:val="00F119F0"/>
    <w:rsid w:val="00F11A13"/>
    <w:rsid w:val="00F147FD"/>
    <w:rsid w:val="00F1505E"/>
    <w:rsid w:val="00F15FC1"/>
    <w:rsid w:val="00F166CE"/>
    <w:rsid w:val="00F17762"/>
    <w:rsid w:val="00F17F86"/>
    <w:rsid w:val="00F2004F"/>
    <w:rsid w:val="00F208EC"/>
    <w:rsid w:val="00F21C54"/>
    <w:rsid w:val="00F22320"/>
    <w:rsid w:val="00F22FA9"/>
    <w:rsid w:val="00F23232"/>
    <w:rsid w:val="00F236CE"/>
    <w:rsid w:val="00F23C5A"/>
    <w:rsid w:val="00F23CF0"/>
    <w:rsid w:val="00F23E91"/>
    <w:rsid w:val="00F23F00"/>
    <w:rsid w:val="00F24244"/>
    <w:rsid w:val="00F24B8E"/>
    <w:rsid w:val="00F25AC9"/>
    <w:rsid w:val="00F261BC"/>
    <w:rsid w:val="00F264DC"/>
    <w:rsid w:val="00F277D4"/>
    <w:rsid w:val="00F30064"/>
    <w:rsid w:val="00F31104"/>
    <w:rsid w:val="00F3230D"/>
    <w:rsid w:val="00F32324"/>
    <w:rsid w:val="00F33E65"/>
    <w:rsid w:val="00F34E93"/>
    <w:rsid w:val="00F40BFD"/>
    <w:rsid w:val="00F40D61"/>
    <w:rsid w:val="00F41AE5"/>
    <w:rsid w:val="00F431BC"/>
    <w:rsid w:val="00F43F5A"/>
    <w:rsid w:val="00F44511"/>
    <w:rsid w:val="00F4474B"/>
    <w:rsid w:val="00F50010"/>
    <w:rsid w:val="00F50145"/>
    <w:rsid w:val="00F5097D"/>
    <w:rsid w:val="00F513E5"/>
    <w:rsid w:val="00F51C74"/>
    <w:rsid w:val="00F5219B"/>
    <w:rsid w:val="00F53138"/>
    <w:rsid w:val="00F534C0"/>
    <w:rsid w:val="00F54308"/>
    <w:rsid w:val="00F5445A"/>
    <w:rsid w:val="00F54930"/>
    <w:rsid w:val="00F54C70"/>
    <w:rsid w:val="00F5523B"/>
    <w:rsid w:val="00F623B6"/>
    <w:rsid w:val="00F6280F"/>
    <w:rsid w:val="00F62819"/>
    <w:rsid w:val="00F6394B"/>
    <w:rsid w:val="00F63ECC"/>
    <w:rsid w:val="00F64599"/>
    <w:rsid w:val="00F65866"/>
    <w:rsid w:val="00F664A2"/>
    <w:rsid w:val="00F6653B"/>
    <w:rsid w:val="00F67B64"/>
    <w:rsid w:val="00F70578"/>
    <w:rsid w:val="00F708D9"/>
    <w:rsid w:val="00F71524"/>
    <w:rsid w:val="00F720BF"/>
    <w:rsid w:val="00F720FB"/>
    <w:rsid w:val="00F7219F"/>
    <w:rsid w:val="00F721C2"/>
    <w:rsid w:val="00F77BA6"/>
    <w:rsid w:val="00F80602"/>
    <w:rsid w:val="00F81376"/>
    <w:rsid w:val="00F81F9D"/>
    <w:rsid w:val="00F8208A"/>
    <w:rsid w:val="00F83207"/>
    <w:rsid w:val="00F834AB"/>
    <w:rsid w:val="00F84C20"/>
    <w:rsid w:val="00F870DD"/>
    <w:rsid w:val="00F87614"/>
    <w:rsid w:val="00F91A97"/>
    <w:rsid w:val="00F92112"/>
    <w:rsid w:val="00F9230A"/>
    <w:rsid w:val="00F92366"/>
    <w:rsid w:val="00F92753"/>
    <w:rsid w:val="00F9360A"/>
    <w:rsid w:val="00F94EA2"/>
    <w:rsid w:val="00F9598E"/>
    <w:rsid w:val="00F96B32"/>
    <w:rsid w:val="00F9735A"/>
    <w:rsid w:val="00F97788"/>
    <w:rsid w:val="00FA052D"/>
    <w:rsid w:val="00FA0622"/>
    <w:rsid w:val="00FA34E6"/>
    <w:rsid w:val="00FA3D06"/>
    <w:rsid w:val="00FA42F4"/>
    <w:rsid w:val="00FA6502"/>
    <w:rsid w:val="00FA74C3"/>
    <w:rsid w:val="00FB0730"/>
    <w:rsid w:val="00FB0BC1"/>
    <w:rsid w:val="00FB0BD1"/>
    <w:rsid w:val="00FB14A0"/>
    <w:rsid w:val="00FB3B2B"/>
    <w:rsid w:val="00FB425B"/>
    <w:rsid w:val="00FB4E4A"/>
    <w:rsid w:val="00FB6D3A"/>
    <w:rsid w:val="00FB745E"/>
    <w:rsid w:val="00FB7924"/>
    <w:rsid w:val="00FB7F35"/>
    <w:rsid w:val="00FC11D6"/>
    <w:rsid w:val="00FC38B2"/>
    <w:rsid w:val="00FC48DD"/>
    <w:rsid w:val="00FC569E"/>
    <w:rsid w:val="00FC5A5B"/>
    <w:rsid w:val="00FC607F"/>
    <w:rsid w:val="00FC67E5"/>
    <w:rsid w:val="00FC6BFF"/>
    <w:rsid w:val="00FC7B5F"/>
    <w:rsid w:val="00FD04EB"/>
    <w:rsid w:val="00FD0946"/>
    <w:rsid w:val="00FD1036"/>
    <w:rsid w:val="00FD131D"/>
    <w:rsid w:val="00FD1894"/>
    <w:rsid w:val="00FD2BB7"/>
    <w:rsid w:val="00FD5177"/>
    <w:rsid w:val="00FD597D"/>
    <w:rsid w:val="00FD5E4E"/>
    <w:rsid w:val="00FD782F"/>
    <w:rsid w:val="00FD7AD8"/>
    <w:rsid w:val="00FE1FE0"/>
    <w:rsid w:val="00FE354A"/>
    <w:rsid w:val="00FE35E1"/>
    <w:rsid w:val="00FE3AFC"/>
    <w:rsid w:val="00FE3C0A"/>
    <w:rsid w:val="00FE4572"/>
    <w:rsid w:val="00FE6078"/>
    <w:rsid w:val="00FE6D86"/>
    <w:rsid w:val="00FF0DA7"/>
    <w:rsid w:val="00FF2A18"/>
    <w:rsid w:val="00FF3276"/>
    <w:rsid w:val="00FF4397"/>
    <w:rsid w:val="00FF4861"/>
    <w:rsid w:val="00FF5ABE"/>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3D4816"/>
  <w15:docId w15:val="{F6104475-2CE9-4601-99BE-E20EBAA9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17A"/>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t,footnote text,fn, Tegn1,Char,f"/>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Char Char,FO,16 Point,Superscript 6 Point,Footnotes refss,BVI fnr,fr,Footnote text,(NECG) Footnote Reference,4_G,callout,Footnote Reference Superscript,Footnote Reference Char Char Char,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customStyle="1" w:styleId="MediumGrid1-Accent21">
    <w:name w:val="Medium Grid 1 - Accent 21"/>
    <w:aliases w:val="List Paragraph (numbered (a)),Lapis Bulleted List,Dot pt,F5 List Paragraph,List Paragraph1,No Spacing1,List Paragraph Char Char Char,Indicator Text,Numbered Para 1,Bullet 1,List Paragraph12,Bullet Point"/>
    <w:basedOn w:val="Normal"/>
    <w:link w:val="MediumGrid1-Accent2Char"/>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D6679C"/>
    <w:rPr>
      <w:sz w:val="24"/>
      <w:lang w:val="en-US" w:eastAsia="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t Char,fn Char"/>
    <w:link w:val="FootnoteText"/>
    <w:uiPriority w:val="99"/>
    <w:rsid w:val="00D6679C"/>
    <w:rPr>
      <w:rFonts w:ascii="Courier" w:hAnsi="Courier"/>
      <w:lang w:val="en-US" w:eastAsia="en-US"/>
    </w:rPr>
  </w:style>
  <w:style w:type="character" w:customStyle="1" w:styleId="MediumGrid1-Accent2Char">
    <w:name w:val="Medium Grid 1 - Accent 2 Char"/>
    <w:aliases w:val="List Paragraph (numbered (a)) Char,Medium Grid 1 - Accent 21 Char,Lapis Bulleted List Char,Dot pt Char,F5 List Paragraph Char,List Paragraph1 Char,No Spacing1 Char,List Paragraph Char Char Char Char,Indicator Text Char"/>
    <w:link w:val="MediumGrid1-Accent21"/>
    <w:qFormat/>
    <w:locked/>
    <w:rsid w:val="009A4543"/>
    <w:rPr>
      <w:lang w:val="en-US" w:eastAsia="en-US"/>
    </w:rPr>
  </w:style>
  <w:style w:type="paragraph" w:customStyle="1" w:styleId="MediumList2-Accent21">
    <w:name w:val="Medium List 2 - Accent 21"/>
    <w:hidden/>
    <w:uiPriority w:val="99"/>
    <w:semiHidden/>
    <w:rsid w:val="0050228C"/>
  </w:style>
  <w:style w:type="character" w:styleId="FollowedHyperlink">
    <w:name w:val="FollowedHyperlink"/>
    <w:semiHidden/>
    <w:unhideWhenUsed/>
    <w:rsid w:val="00704095"/>
    <w:rPr>
      <w:color w:val="800080"/>
      <w:u w:val="single"/>
    </w:rPr>
  </w:style>
  <w:style w:type="paragraph" w:customStyle="1" w:styleId="Char2">
    <w:name w:val="Char2"/>
    <w:basedOn w:val="Normal"/>
    <w:link w:val="FootnoteReference"/>
    <w:uiPriority w:val="99"/>
    <w:rsid w:val="00DE2F26"/>
    <w:pPr>
      <w:spacing w:after="160" w:line="240" w:lineRule="exact"/>
    </w:pPr>
    <w:rPr>
      <w:vertAlign w:val="superscript"/>
      <w:lang w:val="en-GB" w:eastAsia="en-GB"/>
    </w:rPr>
  </w:style>
  <w:style w:type="character" w:customStyle="1" w:styleId="Heading2Char">
    <w:name w:val="Heading 2 Char"/>
    <w:link w:val="Heading2"/>
    <w:rsid w:val="00DE2F26"/>
    <w:rPr>
      <w:rFonts w:ascii="Arial" w:hAnsi="Arial"/>
      <w:b/>
      <w:sz w:val="28"/>
      <w:lang w:val="en-US" w:eastAsia="en-US"/>
    </w:rPr>
  </w:style>
  <w:style w:type="paragraph" w:customStyle="1" w:styleId="ColorfulList-Accent11">
    <w:name w:val="Colorful List - Accent 11"/>
    <w:basedOn w:val="Normal"/>
    <w:uiPriority w:val="72"/>
    <w:qFormat/>
    <w:rsid w:val="004F1ABC"/>
    <w:pPr>
      <w:ind w:left="720"/>
    </w:pPr>
  </w:style>
  <w:style w:type="character" w:customStyle="1" w:styleId="title-notes1">
    <w:name w:val="title-notes1"/>
    <w:rsid w:val="007C0678"/>
    <w:rPr>
      <w:b w:val="0"/>
      <w:bCs w:val="0"/>
      <w:color w:val="6F747F"/>
      <w:sz w:val="21"/>
      <w:szCs w:val="21"/>
    </w:rPr>
  </w:style>
  <w:style w:type="paragraph" w:styleId="ListParagraph">
    <w:name w:val="List Paragraph"/>
    <w:basedOn w:val="Normal"/>
    <w:link w:val="ListParagraphChar"/>
    <w:uiPriority w:val="34"/>
    <w:qFormat/>
    <w:rsid w:val="00864686"/>
    <w:pPr>
      <w:ind w:left="720"/>
    </w:pPr>
  </w:style>
  <w:style w:type="character" w:customStyle="1" w:styleId="name2">
    <w:name w:val="name2"/>
    <w:rsid w:val="0071048E"/>
    <w:rPr>
      <w:vanish w:val="0"/>
      <w:webHidden w:val="0"/>
      <w:specVanish w:val="0"/>
    </w:rPr>
  </w:style>
  <w:style w:type="paragraph" w:styleId="NormalWeb">
    <w:name w:val="Normal (Web)"/>
    <w:basedOn w:val="Normal"/>
    <w:uiPriority w:val="99"/>
    <w:unhideWhenUsed/>
    <w:rsid w:val="00566D68"/>
    <w:pPr>
      <w:spacing w:before="100" w:beforeAutospacing="1" w:after="100" w:afterAutospacing="1"/>
    </w:pPr>
    <w:rPr>
      <w:sz w:val="24"/>
      <w:szCs w:val="24"/>
    </w:rPr>
  </w:style>
  <w:style w:type="paragraph" w:customStyle="1" w:styleId="Default">
    <w:name w:val="Default"/>
    <w:rsid w:val="00E737E5"/>
    <w:pPr>
      <w:autoSpaceDE w:val="0"/>
      <w:autoSpaceDN w:val="0"/>
      <w:adjustRightInd w:val="0"/>
    </w:pPr>
    <w:rPr>
      <w:color w:val="000000"/>
      <w:sz w:val="24"/>
      <w:szCs w:val="24"/>
    </w:rPr>
  </w:style>
  <w:style w:type="character" w:styleId="Strong">
    <w:name w:val="Strong"/>
    <w:uiPriority w:val="22"/>
    <w:qFormat/>
    <w:locked/>
    <w:rsid w:val="00241F96"/>
    <w:rPr>
      <w:b/>
      <w:bCs/>
    </w:rPr>
  </w:style>
  <w:style w:type="paragraph" w:styleId="Revision">
    <w:name w:val="Revision"/>
    <w:hidden/>
    <w:uiPriority w:val="62"/>
    <w:unhideWhenUsed/>
    <w:rsid w:val="00A4517A"/>
  </w:style>
  <w:style w:type="character" w:styleId="Emphasis">
    <w:name w:val="Emphasis"/>
    <w:basedOn w:val="DefaultParagraphFont"/>
    <w:uiPriority w:val="20"/>
    <w:qFormat/>
    <w:locked/>
    <w:rsid w:val="009B026A"/>
    <w:rPr>
      <w:i/>
      <w:iCs/>
    </w:rPr>
  </w:style>
  <w:style w:type="character" w:customStyle="1" w:styleId="apple-converted-space">
    <w:name w:val="apple-converted-space"/>
    <w:basedOn w:val="DefaultParagraphFont"/>
    <w:rsid w:val="009B026A"/>
  </w:style>
  <w:style w:type="paragraph" w:styleId="EndnoteText">
    <w:name w:val="endnote text"/>
    <w:basedOn w:val="Normal"/>
    <w:link w:val="EndnoteTextChar"/>
    <w:semiHidden/>
    <w:unhideWhenUsed/>
    <w:rsid w:val="00025D6B"/>
  </w:style>
  <w:style w:type="character" w:customStyle="1" w:styleId="EndnoteTextChar">
    <w:name w:val="Endnote Text Char"/>
    <w:basedOn w:val="DefaultParagraphFont"/>
    <w:link w:val="EndnoteText"/>
    <w:semiHidden/>
    <w:rsid w:val="00025D6B"/>
  </w:style>
  <w:style w:type="character" w:styleId="EndnoteReference">
    <w:name w:val="endnote reference"/>
    <w:basedOn w:val="DefaultParagraphFont"/>
    <w:semiHidden/>
    <w:unhideWhenUsed/>
    <w:rsid w:val="00025D6B"/>
    <w:rPr>
      <w:vertAlign w:val="superscript"/>
    </w:rPr>
  </w:style>
  <w:style w:type="character" w:customStyle="1" w:styleId="ListParagraphChar">
    <w:name w:val="List Paragraph Char"/>
    <w:basedOn w:val="DefaultParagraphFont"/>
    <w:link w:val="ListParagraph"/>
    <w:uiPriority w:val="34"/>
    <w:rsid w:val="0064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4179015">
      <w:bodyDiv w:val="1"/>
      <w:marLeft w:val="0"/>
      <w:marRight w:val="0"/>
      <w:marTop w:val="0"/>
      <w:marBottom w:val="0"/>
      <w:divBdr>
        <w:top w:val="none" w:sz="0" w:space="0" w:color="auto"/>
        <w:left w:val="none" w:sz="0" w:space="0" w:color="auto"/>
        <w:bottom w:val="none" w:sz="0" w:space="0" w:color="auto"/>
        <w:right w:val="none" w:sz="0" w:space="0" w:color="auto"/>
      </w:divBdr>
    </w:div>
    <w:div w:id="317154910">
      <w:bodyDiv w:val="1"/>
      <w:marLeft w:val="0"/>
      <w:marRight w:val="0"/>
      <w:marTop w:val="0"/>
      <w:marBottom w:val="0"/>
      <w:divBdr>
        <w:top w:val="none" w:sz="0" w:space="0" w:color="auto"/>
        <w:left w:val="none" w:sz="0" w:space="0" w:color="auto"/>
        <w:bottom w:val="none" w:sz="0" w:space="0" w:color="auto"/>
        <w:right w:val="none" w:sz="0" w:space="0" w:color="auto"/>
      </w:divBdr>
    </w:div>
    <w:div w:id="480852414">
      <w:bodyDiv w:val="1"/>
      <w:marLeft w:val="0"/>
      <w:marRight w:val="0"/>
      <w:marTop w:val="0"/>
      <w:marBottom w:val="0"/>
      <w:divBdr>
        <w:top w:val="none" w:sz="0" w:space="0" w:color="auto"/>
        <w:left w:val="none" w:sz="0" w:space="0" w:color="auto"/>
        <w:bottom w:val="none" w:sz="0" w:space="0" w:color="auto"/>
        <w:right w:val="none" w:sz="0" w:space="0" w:color="auto"/>
      </w:divBdr>
    </w:div>
    <w:div w:id="529535904">
      <w:bodyDiv w:val="1"/>
      <w:marLeft w:val="0"/>
      <w:marRight w:val="0"/>
      <w:marTop w:val="0"/>
      <w:marBottom w:val="0"/>
      <w:divBdr>
        <w:top w:val="none" w:sz="0" w:space="0" w:color="auto"/>
        <w:left w:val="none" w:sz="0" w:space="0" w:color="auto"/>
        <w:bottom w:val="none" w:sz="0" w:space="0" w:color="auto"/>
        <w:right w:val="none" w:sz="0" w:space="0" w:color="auto"/>
      </w:divBdr>
    </w:div>
    <w:div w:id="537202902">
      <w:bodyDiv w:val="1"/>
      <w:marLeft w:val="0"/>
      <w:marRight w:val="0"/>
      <w:marTop w:val="0"/>
      <w:marBottom w:val="0"/>
      <w:divBdr>
        <w:top w:val="none" w:sz="0" w:space="0" w:color="auto"/>
        <w:left w:val="none" w:sz="0" w:space="0" w:color="auto"/>
        <w:bottom w:val="none" w:sz="0" w:space="0" w:color="auto"/>
        <w:right w:val="none" w:sz="0" w:space="0" w:color="auto"/>
      </w:divBdr>
      <w:divsChild>
        <w:div w:id="1569143946">
          <w:marLeft w:val="0"/>
          <w:marRight w:val="0"/>
          <w:marTop w:val="0"/>
          <w:marBottom w:val="0"/>
          <w:divBdr>
            <w:top w:val="none" w:sz="0" w:space="0" w:color="auto"/>
            <w:left w:val="none" w:sz="0" w:space="0" w:color="auto"/>
            <w:bottom w:val="none" w:sz="0" w:space="0" w:color="auto"/>
            <w:right w:val="none" w:sz="0" w:space="0" w:color="auto"/>
          </w:divBdr>
          <w:divsChild>
            <w:div w:id="1673214162">
              <w:marLeft w:val="0"/>
              <w:marRight w:val="0"/>
              <w:marTop w:val="0"/>
              <w:marBottom w:val="0"/>
              <w:divBdr>
                <w:top w:val="none" w:sz="0" w:space="0" w:color="auto"/>
                <w:left w:val="none" w:sz="0" w:space="0" w:color="auto"/>
                <w:bottom w:val="none" w:sz="0" w:space="0" w:color="auto"/>
                <w:right w:val="none" w:sz="0" w:space="0" w:color="auto"/>
              </w:divBdr>
              <w:divsChild>
                <w:div w:id="1723092586">
                  <w:marLeft w:val="-150"/>
                  <w:marRight w:val="-150"/>
                  <w:marTop w:val="0"/>
                  <w:marBottom w:val="0"/>
                  <w:divBdr>
                    <w:top w:val="none" w:sz="0" w:space="0" w:color="auto"/>
                    <w:left w:val="none" w:sz="0" w:space="0" w:color="auto"/>
                    <w:bottom w:val="none" w:sz="0" w:space="0" w:color="auto"/>
                    <w:right w:val="none" w:sz="0" w:space="0" w:color="auto"/>
                  </w:divBdr>
                  <w:divsChild>
                    <w:div w:id="613633018">
                      <w:marLeft w:val="0"/>
                      <w:marRight w:val="0"/>
                      <w:marTop w:val="0"/>
                      <w:marBottom w:val="0"/>
                      <w:divBdr>
                        <w:top w:val="none" w:sz="0" w:space="0" w:color="auto"/>
                        <w:left w:val="none" w:sz="0" w:space="0" w:color="auto"/>
                        <w:bottom w:val="none" w:sz="0" w:space="0" w:color="auto"/>
                        <w:right w:val="none" w:sz="0" w:space="0" w:color="auto"/>
                      </w:divBdr>
                      <w:divsChild>
                        <w:div w:id="1726219188">
                          <w:marLeft w:val="0"/>
                          <w:marRight w:val="0"/>
                          <w:marTop w:val="0"/>
                          <w:marBottom w:val="0"/>
                          <w:divBdr>
                            <w:top w:val="none" w:sz="0" w:space="0" w:color="auto"/>
                            <w:left w:val="none" w:sz="0" w:space="0" w:color="auto"/>
                            <w:bottom w:val="none" w:sz="0" w:space="0" w:color="auto"/>
                            <w:right w:val="none" w:sz="0" w:space="0" w:color="auto"/>
                          </w:divBdr>
                          <w:divsChild>
                            <w:div w:id="568226159">
                              <w:marLeft w:val="0"/>
                              <w:marRight w:val="0"/>
                              <w:marTop w:val="0"/>
                              <w:marBottom w:val="0"/>
                              <w:divBdr>
                                <w:top w:val="none" w:sz="0" w:space="0" w:color="auto"/>
                                <w:left w:val="none" w:sz="0" w:space="0" w:color="auto"/>
                                <w:bottom w:val="none" w:sz="0" w:space="0" w:color="auto"/>
                                <w:right w:val="none" w:sz="0" w:space="0" w:color="auto"/>
                              </w:divBdr>
                              <w:divsChild>
                                <w:div w:id="971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59532">
      <w:bodyDiv w:val="1"/>
      <w:marLeft w:val="0"/>
      <w:marRight w:val="0"/>
      <w:marTop w:val="0"/>
      <w:marBottom w:val="0"/>
      <w:divBdr>
        <w:top w:val="none" w:sz="0" w:space="0" w:color="auto"/>
        <w:left w:val="none" w:sz="0" w:space="0" w:color="auto"/>
        <w:bottom w:val="none" w:sz="0" w:space="0" w:color="auto"/>
        <w:right w:val="none" w:sz="0" w:space="0" w:color="auto"/>
      </w:divBdr>
      <w:divsChild>
        <w:div w:id="124589472">
          <w:marLeft w:val="0"/>
          <w:marRight w:val="0"/>
          <w:marTop w:val="0"/>
          <w:marBottom w:val="0"/>
          <w:divBdr>
            <w:top w:val="none" w:sz="0" w:space="0" w:color="auto"/>
            <w:left w:val="none" w:sz="0" w:space="0" w:color="auto"/>
            <w:bottom w:val="none" w:sz="0" w:space="0" w:color="auto"/>
            <w:right w:val="none" w:sz="0" w:space="0" w:color="auto"/>
          </w:divBdr>
          <w:divsChild>
            <w:div w:id="1481115208">
              <w:marLeft w:val="0"/>
              <w:marRight w:val="0"/>
              <w:marTop w:val="0"/>
              <w:marBottom w:val="0"/>
              <w:divBdr>
                <w:top w:val="none" w:sz="0" w:space="0" w:color="auto"/>
                <w:left w:val="none" w:sz="0" w:space="0" w:color="auto"/>
                <w:bottom w:val="none" w:sz="0" w:space="0" w:color="auto"/>
                <w:right w:val="none" w:sz="0" w:space="0" w:color="auto"/>
              </w:divBdr>
              <w:divsChild>
                <w:div w:id="1506627291">
                  <w:marLeft w:val="-150"/>
                  <w:marRight w:val="-150"/>
                  <w:marTop w:val="0"/>
                  <w:marBottom w:val="0"/>
                  <w:divBdr>
                    <w:top w:val="none" w:sz="0" w:space="0" w:color="auto"/>
                    <w:left w:val="none" w:sz="0" w:space="0" w:color="auto"/>
                    <w:bottom w:val="none" w:sz="0" w:space="0" w:color="auto"/>
                    <w:right w:val="none" w:sz="0" w:space="0" w:color="auto"/>
                  </w:divBdr>
                  <w:divsChild>
                    <w:div w:id="1870484838">
                      <w:marLeft w:val="0"/>
                      <w:marRight w:val="0"/>
                      <w:marTop w:val="0"/>
                      <w:marBottom w:val="0"/>
                      <w:divBdr>
                        <w:top w:val="none" w:sz="0" w:space="0" w:color="auto"/>
                        <w:left w:val="none" w:sz="0" w:space="0" w:color="auto"/>
                        <w:bottom w:val="none" w:sz="0" w:space="0" w:color="auto"/>
                        <w:right w:val="none" w:sz="0" w:space="0" w:color="auto"/>
                      </w:divBdr>
                      <w:divsChild>
                        <w:div w:id="52507341">
                          <w:marLeft w:val="0"/>
                          <w:marRight w:val="0"/>
                          <w:marTop w:val="0"/>
                          <w:marBottom w:val="0"/>
                          <w:divBdr>
                            <w:top w:val="none" w:sz="0" w:space="0" w:color="auto"/>
                            <w:left w:val="none" w:sz="0" w:space="0" w:color="auto"/>
                            <w:bottom w:val="none" w:sz="0" w:space="0" w:color="auto"/>
                            <w:right w:val="none" w:sz="0" w:space="0" w:color="auto"/>
                          </w:divBdr>
                          <w:divsChild>
                            <w:div w:id="21443060">
                              <w:marLeft w:val="0"/>
                              <w:marRight w:val="0"/>
                              <w:marTop w:val="0"/>
                              <w:marBottom w:val="0"/>
                              <w:divBdr>
                                <w:top w:val="none" w:sz="0" w:space="0" w:color="auto"/>
                                <w:left w:val="none" w:sz="0" w:space="0" w:color="auto"/>
                                <w:bottom w:val="none" w:sz="0" w:space="0" w:color="auto"/>
                                <w:right w:val="none" w:sz="0" w:space="0" w:color="auto"/>
                              </w:divBdr>
                              <w:divsChild>
                                <w:div w:id="1694182720">
                                  <w:marLeft w:val="0"/>
                                  <w:marRight w:val="0"/>
                                  <w:marTop w:val="0"/>
                                  <w:marBottom w:val="0"/>
                                  <w:divBdr>
                                    <w:top w:val="none" w:sz="0" w:space="0" w:color="auto"/>
                                    <w:left w:val="none" w:sz="0" w:space="0" w:color="auto"/>
                                    <w:bottom w:val="none" w:sz="0" w:space="0" w:color="auto"/>
                                    <w:right w:val="none" w:sz="0" w:space="0" w:color="auto"/>
                                  </w:divBdr>
                                  <w:divsChild>
                                    <w:div w:id="19883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06636">
      <w:bodyDiv w:val="1"/>
      <w:marLeft w:val="0"/>
      <w:marRight w:val="0"/>
      <w:marTop w:val="0"/>
      <w:marBottom w:val="0"/>
      <w:divBdr>
        <w:top w:val="none" w:sz="0" w:space="0" w:color="auto"/>
        <w:left w:val="none" w:sz="0" w:space="0" w:color="auto"/>
        <w:bottom w:val="none" w:sz="0" w:space="0" w:color="auto"/>
        <w:right w:val="none" w:sz="0" w:space="0" w:color="auto"/>
      </w:divBdr>
    </w:div>
    <w:div w:id="1119301675">
      <w:bodyDiv w:val="1"/>
      <w:marLeft w:val="0"/>
      <w:marRight w:val="0"/>
      <w:marTop w:val="0"/>
      <w:marBottom w:val="0"/>
      <w:divBdr>
        <w:top w:val="none" w:sz="0" w:space="0" w:color="auto"/>
        <w:left w:val="none" w:sz="0" w:space="0" w:color="auto"/>
        <w:bottom w:val="none" w:sz="0" w:space="0" w:color="auto"/>
        <w:right w:val="none" w:sz="0" w:space="0" w:color="auto"/>
      </w:divBdr>
      <w:divsChild>
        <w:div w:id="27417705">
          <w:marLeft w:val="0"/>
          <w:marRight w:val="0"/>
          <w:marTop w:val="0"/>
          <w:marBottom w:val="0"/>
          <w:divBdr>
            <w:top w:val="none" w:sz="0" w:space="0" w:color="auto"/>
            <w:left w:val="none" w:sz="0" w:space="0" w:color="auto"/>
            <w:bottom w:val="none" w:sz="0" w:space="0" w:color="auto"/>
            <w:right w:val="none" w:sz="0" w:space="0" w:color="auto"/>
          </w:divBdr>
          <w:divsChild>
            <w:div w:id="3480354">
              <w:marLeft w:val="0"/>
              <w:marRight w:val="0"/>
              <w:marTop w:val="0"/>
              <w:marBottom w:val="0"/>
              <w:divBdr>
                <w:top w:val="none" w:sz="0" w:space="0" w:color="auto"/>
                <w:left w:val="none" w:sz="0" w:space="0" w:color="auto"/>
                <w:bottom w:val="none" w:sz="0" w:space="0" w:color="auto"/>
                <w:right w:val="none" w:sz="0" w:space="0" w:color="auto"/>
              </w:divBdr>
              <w:divsChild>
                <w:div w:id="289634399">
                  <w:marLeft w:val="-150"/>
                  <w:marRight w:val="-150"/>
                  <w:marTop w:val="0"/>
                  <w:marBottom w:val="0"/>
                  <w:divBdr>
                    <w:top w:val="none" w:sz="0" w:space="0" w:color="auto"/>
                    <w:left w:val="none" w:sz="0" w:space="0" w:color="auto"/>
                    <w:bottom w:val="none" w:sz="0" w:space="0" w:color="auto"/>
                    <w:right w:val="none" w:sz="0" w:space="0" w:color="auto"/>
                  </w:divBdr>
                  <w:divsChild>
                    <w:div w:id="1264337508">
                      <w:marLeft w:val="0"/>
                      <w:marRight w:val="0"/>
                      <w:marTop w:val="0"/>
                      <w:marBottom w:val="0"/>
                      <w:divBdr>
                        <w:top w:val="none" w:sz="0" w:space="0" w:color="auto"/>
                        <w:left w:val="none" w:sz="0" w:space="0" w:color="auto"/>
                        <w:bottom w:val="none" w:sz="0" w:space="0" w:color="auto"/>
                        <w:right w:val="none" w:sz="0" w:space="0" w:color="auto"/>
                      </w:divBdr>
                      <w:divsChild>
                        <w:div w:id="1455442387">
                          <w:marLeft w:val="0"/>
                          <w:marRight w:val="0"/>
                          <w:marTop w:val="0"/>
                          <w:marBottom w:val="0"/>
                          <w:divBdr>
                            <w:top w:val="none" w:sz="0" w:space="0" w:color="auto"/>
                            <w:left w:val="none" w:sz="0" w:space="0" w:color="auto"/>
                            <w:bottom w:val="none" w:sz="0" w:space="0" w:color="auto"/>
                            <w:right w:val="none" w:sz="0" w:space="0" w:color="auto"/>
                          </w:divBdr>
                          <w:divsChild>
                            <w:div w:id="1029768138">
                              <w:marLeft w:val="0"/>
                              <w:marRight w:val="0"/>
                              <w:marTop w:val="0"/>
                              <w:marBottom w:val="0"/>
                              <w:divBdr>
                                <w:top w:val="none" w:sz="0" w:space="0" w:color="auto"/>
                                <w:left w:val="none" w:sz="0" w:space="0" w:color="auto"/>
                                <w:bottom w:val="none" w:sz="0" w:space="0" w:color="auto"/>
                                <w:right w:val="none" w:sz="0" w:space="0" w:color="auto"/>
                              </w:divBdr>
                              <w:divsChild>
                                <w:div w:id="209850471">
                                  <w:marLeft w:val="0"/>
                                  <w:marRight w:val="0"/>
                                  <w:marTop w:val="0"/>
                                  <w:marBottom w:val="0"/>
                                  <w:divBdr>
                                    <w:top w:val="none" w:sz="0" w:space="0" w:color="auto"/>
                                    <w:left w:val="none" w:sz="0" w:space="0" w:color="auto"/>
                                    <w:bottom w:val="none" w:sz="0" w:space="0" w:color="auto"/>
                                    <w:right w:val="none" w:sz="0" w:space="0" w:color="auto"/>
                                  </w:divBdr>
                                  <w:divsChild>
                                    <w:div w:id="2040474400">
                                      <w:marLeft w:val="0"/>
                                      <w:marRight w:val="0"/>
                                      <w:marTop w:val="0"/>
                                      <w:marBottom w:val="0"/>
                                      <w:divBdr>
                                        <w:top w:val="none" w:sz="0" w:space="0" w:color="auto"/>
                                        <w:left w:val="none" w:sz="0" w:space="0" w:color="auto"/>
                                        <w:bottom w:val="none" w:sz="0" w:space="0" w:color="auto"/>
                                        <w:right w:val="none" w:sz="0" w:space="0" w:color="auto"/>
                                      </w:divBdr>
                                      <w:divsChild>
                                        <w:div w:id="1768960400">
                                          <w:marLeft w:val="0"/>
                                          <w:marRight w:val="0"/>
                                          <w:marTop w:val="0"/>
                                          <w:marBottom w:val="0"/>
                                          <w:divBdr>
                                            <w:top w:val="none" w:sz="0" w:space="0" w:color="auto"/>
                                            <w:left w:val="none" w:sz="0" w:space="0" w:color="auto"/>
                                            <w:bottom w:val="none" w:sz="0" w:space="0" w:color="auto"/>
                                            <w:right w:val="none" w:sz="0" w:space="0" w:color="auto"/>
                                          </w:divBdr>
                                          <w:divsChild>
                                            <w:div w:id="13097500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99181">
      <w:bodyDiv w:val="1"/>
      <w:marLeft w:val="0"/>
      <w:marRight w:val="0"/>
      <w:marTop w:val="0"/>
      <w:marBottom w:val="0"/>
      <w:divBdr>
        <w:top w:val="none" w:sz="0" w:space="0" w:color="auto"/>
        <w:left w:val="none" w:sz="0" w:space="0" w:color="auto"/>
        <w:bottom w:val="none" w:sz="0" w:space="0" w:color="auto"/>
        <w:right w:val="none" w:sz="0" w:space="0" w:color="auto"/>
      </w:divBdr>
      <w:divsChild>
        <w:div w:id="1671180066">
          <w:marLeft w:val="274"/>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3087712">
      <w:bodyDiv w:val="1"/>
      <w:marLeft w:val="0"/>
      <w:marRight w:val="0"/>
      <w:marTop w:val="0"/>
      <w:marBottom w:val="0"/>
      <w:divBdr>
        <w:top w:val="none" w:sz="0" w:space="0" w:color="auto"/>
        <w:left w:val="none" w:sz="0" w:space="0" w:color="auto"/>
        <w:bottom w:val="none" w:sz="0" w:space="0" w:color="auto"/>
        <w:right w:val="none" w:sz="0" w:space="0" w:color="auto"/>
      </w:divBdr>
      <w:divsChild>
        <w:div w:id="1608273390">
          <w:marLeft w:val="0"/>
          <w:marRight w:val="0"/>
          <w:marTop w:val="0"/>
          <w:marBottom w:val="0"/>
          <w:divBdr>
            <w:top w:val="none" w:sz="0" w:space="0" w:color="auto"/>
            <w:left w:val="none" w:sz="0" w:space="0" w:color="auto"/>
            <w:bottom w:val="none" w:sz="0" w:space="0" w:color="auto"/>
            <w:right w:val="none" w:sz="0" w:space="0" w:color="auto"/>
          </w:divBdr>
          <w:divsChild>
            <w:div w:id="392892740">
              <w:marLeft w:val="0"/>
              <w:marRight w:val="0"/>
              <w:marTop w:val="450"/>
              <w:marBottom w:val="450"/>
              <w:divBdr>
                <w:top w:val="none" w:sz="0" w:space="8" w:color="auto"/>
                <w:left w:val="none" w:sz="0" w:space="15" w:color="auto"/>
                <w:bottom w:val="none" w:sz="0" w:space="15" w:color="auto"/>
                <w:right w:val="none" w:sz="0" w:space="15" w:color="auto"/>
              </w:divBdr>
              <w:divsChild>
                <w:div w:id="879391079">
                  <w:marLeft w:val="0"/>
                  <w:marRight w:val="0"/>
                  <w:marTop w:val="0"/>
                  <w:marBottom w:val="0"/>
                  <w:divBdr>
                    <w:top w:val="none" w:sz="0" w:space="0" w:color="auto"/>
                    <w:left w:val="none" w:sz="0" w:space="0" w:color="auto"/>
                    <w:bottom w:val="none" w:sz="0" w:space="0" w:color="auto"/>
                    <w:right w:val="none" w:sz="0" w:space="0" w:color="auto"/>
                  </w:divBdr>
                  <w:divsChild>
                    <w:div w:id="1925868980">
                      <w:marLeft w:val="0"/>
                      <w:marRight w:val="0"/>
                      <w:marTop w:val="0"/>
                      <w:marBottom w:val="0"/>
                      <w:divBdr>
                        <w:top w:val="none" w:sz="0" w:space="0" w:color="auto"/>
                        <w:left w:val="none" w:sz="0" w:space="0" w:color="auto"/>
                        <w:bottom w:val="none" w:sz="0" w:space="0" w:color="auto"/>
                        <w:right w:val="none" w:sz="0" w:space="0" w:color="auto"/>
                      </w:divBdr>
                      <w:divsChild>
                        <w:div w:id="1581136282">
                          <w:marLeft w:val="0"/>
                          <w:marRight w:val="0"/>
                          <w:marTop w:val="0"/>
                          <w:marBottom w:val="0"/>
                          <w:divBdr>
                            <w:top w:val="none" w:sz="0" w:space="0" w:color="auto"/>
                            <w:left w:val="none" w:sz="0" w:space="0" w:color="auto"/>
                            <w:bottom w:val="none" w:sz="0" w:space="0" w:color="auto"/>
                            <w:right w:val="none" w:sz="0" w:space="0" w:color="auto"/>
                          </w:divBdr>
                          <w:divsChild>
                            <w:div w:id="885600438">
                              <w:marLeft w:val="0"/>
                              <w:marRight w:val="0"/>
                              <w:marTop w:val="0"/>
                              <w:marBottom w:val="0"/>
                              <w:divBdr>
                                <w:top w:val="none" w:sz="0" w:space="0" w:color="auto"/>
                                <w:left w:val="none" w:sz="0" w:space="0" w:color="auto"/>
                                <w:bottom w:val="none" w:sz="0" w:space="0" w:color="auto"/>
                                <w:right w:val="none" w:sz="0" w:space="0" w:color="auto"/>
                              </w:divBdr>
                              <w:divsChild>
                                <w:div w:id="1242642614">
                                  <w:marLeft w:val="0"/>
                                  <w:marRight w:val="0"/>
                                  <w:marTop w:val="0"/>
                                  <w:marBottom w:val="0"/>
                                  <w:divBdr>
                                    <w:top w:val="none" w:sz="0" w:space="0" w:color="auto"/>
                                    <w:left w:val="none" w:sz="0" w:space="0" w:color="auto"/>
                                    <w:bottom w:val="none" w:sz="0" w:space="0" w:color="auto"/>
                                    <w:right w:val="none" w:sz="0" w:space="0" w:color="auto"/>
                                  </w:divBdr>
                                  <w:divsChild>
                                    <w:div w:id="1916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214299">
      <w:bodyDiv w:val="1"/>
      <w:marLeft w:val="0"/>
      <w:marRight w:val="0"/>
      <w:marTop w:val="0"/>
      <w:marBottom w:val="0"/>
      <w:divBdr>
        <w:top w:val="none" w:sz="0" w:space="0" w:color="auto"/>
        <w:left w:val="none" w:sz="0" w:space="0" w:color="auto"/>
        <w:bottom w:val="none" w:sz="0" w:space="0" w:color="auto"/>
        <w:right w:val="none" w:sz="0" w:space="0" w:color="auto"/>
      </w:divBdr>
      <w:divsChild>
        <w:div w:id="1643802568">
          <w:marLeft w:val="0"/>
          <w:marRight w:val="0"/>
          <w:marTop w:val="0"/>
          <w:marBottom w:val="0"/>
          <w:divBdr>
            <w:top w:val="none" w:sz="0" w:space="0" w:color="auto"/>
            <w:left w:val="none" w:sz="0" w:space="0" w:color="auto"/>
            <w:bottom w:val="none" w:sz="0" w:space="0" w:color="auto"/>
            <w:right w:val="none" w:sz="0" w:space="0" w:color="auto"/>
          </w:divBdr>
          <w:divsChild>
            <w:div w:id="159271693">
              <w:marLeft w:val="0"/>
              <w:marRight w:val="0"/>
              <w:marTop w:val="0"/>
              <w:marBottom w:val="0"/>
              <w:divBdr>
                <w:top w:val="none" w:sz="0" w:space="0" w:color="auto"/>
                <w:left w:val="none" w:sz="0" w:space="0" w:color="auto"/>
                <w:bottom w:val="none" w:sz="0" w:space="0" w:color="auto"/>
                <w:right w:val="none" w:sz="0" w:space="0" w:color="auto"/>
              </w:divBdr>
              <w:divsChild>
                <w:div w:id="517886398">
                  <w:marLeft w:val="0"/>
                  <w:marRight w:val="0"/>
                  <w:marTop w:val="0"/>
                  <w:marBottom w:val="0"/>
                  <w:divBdr>
                    <w:top w:val="none" w:sz="0" w:space="0" w:color="auto"/>
                    <w:left w:val="none" w:sz="0" w:space="0" w:color="auto"/>
                    <w:bottom w:val="none" w:sz="0" w:space="0" w:color="auto"/>
                    <w:right w:val="none" w:sz="0" w:space="0" w:color="auto"/>
                  </w:divBdr>
                  <w:divsChild>
                    <w:div w:id="177236523">
                      <w:marLeft w:val="0"/>
                      <w:marRight w:val="0"/>
                      <w:marTop w:val="0"/>
                      <w:marBottom w:val="0"/>
                      <w:divBdr>
                        <w:top w:val="none" w:sz="0" w:space="0" w:color="auto"/>
                        <w:left w:val="none" w:sz="0" w:space="0" w:color="auto"/>
                        <w:bottom w:val="none" w:sz="0" w:space="0" w:color="auto"/>
                        <w:right w:val="none" w:sz="0" w:space="0" w:color="auto"/>
                      </w:divBdr>
                      <w:divsChild>
                        <w:div w:id="15484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2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undp.org/publicserv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pripak.org/pakistans-youth-bulge-human-resource-development-hrd-challenges/" TargetMode="External"/><Relationship Id="rId2" Type="http://schemas.openxmlformats.org/officeDocument/2006/relationships/hyperlink" Target="http://na.gov.pk/en/all_members.php" TargetMode="External"/><Relationship Id="rId1" Type="http://schemas.openxmlformats.org/officeDocument/2006/relationships/hyperlink" Target="https://www.transparency.org/news/feature/corruption_perceptions_index_2016);%20however" TargetMode="External"/><Relationship Id="rId5" Type="http://schemas.openxmlformats.org/officeDocument/2006/relationships/hyperlink" Target="http://www.undp.org/content/undp/en/home/librarypage/operations1/undp-social-and-environmental-standards.html" TargetMode="External"/><Relationship Id="rId4" Type="http://schemas.openxmlformats.org/officeDocument/2006/relationships/hyperlink" Target="http://www.ophi.org.uk/wp-content/uploads/web_21.07_MPPN-brochure_201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E062-62A4-410A-9AE8-C7D593FC9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AD387388-8DDD-40B8-ABED-6FDED874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4855</Words>
  <Characters>30494</Characters>
  <Application>Microsoft Office Word</Application>
  <DocSecurity>0</DocSecurity>
  <Lines>726</Lines>
  <Paragraphs>174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35175</CharactersWithSpaces>
  <SharedDoc>false</SharedDoc>
  <HLinks>
    <vt:vector size="30" baseType="variant">
      <vt:variant>
        <vt:i4>1638410</vt:i4>
      </vt:variant>
      <vt:variant>
        <vt:i4>15</vt:i4>
      </vt:variant>
      <vt:variant>
        <vt:i4>0</vt:i4>
      </vt:variant>
      <vt:variant>
        <vt:i4>5</vt:i4>
      </vt:variant>
      <vt:variant>
        <vt:lpwstr>http://www.fidh.org/human-rights-in-pakistan-six-recommendations-ahead-of-the-elections-13211</vt:lpwstr>
      </vt:variant>
      <vt:variant>
        <vt:lpwstr/>
      </vt:variant>
      <vt:variant>
        <vt:i4>7077951</vt:i4>
      </vt:variant>
      <vt:variant>
        <vt:i4>9</vt:i4>
      </vt:variant>
      <vt:variant>
        <vt:i4>0</vt:i4>
      </vt:variant>
      <vt:variant>
        <vt:i4>5</vt:i4>
      </vt:variant>
      <vt:variant>
        <vt:lpwstr>http://www.ipripak.org/pakistans-youth-bulge-human-resource-development-hrd-challenges/</vt:lpwstr>
      </vt:variant>
      <vt:variant>
        <vt:lpwstr/>
      </vt:variant>
      <vt:variant>
        <vt:i4>6226033</vt:i4>
      </vt:variant>
      <vt:variant>
        <vt:i4>6</vt:i4>
      </vt:variant>
      <vt:variant>
        <vt:i4>0</vt:i4>
      </vt:variant>
      <vt:variant>
        <vt:i4>5</vt:i4>
      </vt:variant>
      <vt:variant>
        <vt:lpwstr>http://hdr.undp.org/sites/default/files/2015_human_development_report.pdf</vt:lpwstr>
      </vt:variant>
      <vt:variant>
        <vt:lpwstr/>
      </vt:variant>
      <vt:variant>
        <vt:i4>1310815</vt:i4>
      </vt:variant>
      <vt:variant>
        <vt:i4>3</vt:i4>
      </vt:variant>
      <vt:variant>
        <vt:i4>0</vt:i4>
      </vt:variant>
      <vt:variant>
        <vt:i4>5</vt:i4>
      </vt:variant>
      <vt:variant>
        <vt:lpwstr>http://www.tradingeconomics.com/pakistan/gdp-growth/forecast</vt:lpwstr>
      </vt:variant>
      <vt:variant>
        <vt:lpwstr/>
      </vt:variant>
      <vt:variant>
        <vt:i4>1310815</vt:i4>
      </vt:variant>
      <vt:variant>
        <vt:i4>0</vt:i4>
      </vt:variant>
      <vt:variant>
        <vt:i4>0</vt:i4>
      </vt:variant>
      <vt:variant>
        <vt:i4>5</vt:i4>
      </vt:variant>
      <vt:variant>
        <vt:lpwstr>http://www.tradingeconomics.com/pakistan/gdp-growth/forecast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3</cp:revision>
  <cp:lastPrinted>2017-10-03T07:31:00Z</cp:lastPrinted>
  <dcterms:created xsi:type="dcterms:W3CDTF">2017-10-27T17:12:00Z</dcterms:created>
  <dcterms:modified xsi:type="dcterms:W3CDTF">2017-10-27T17:24:00Z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