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BA95" w14:textId="7F0D2417" w:rsidR="00983E57" w:rsidRPr="00983E57" w:rsidRDefault="00983E57" w:rsidP="00983E57">
      <w:pPr>
        <w:tabs>
          <w:tab w:val="left" w:pos="720"/>
        </w:tabs>
        <w:spacing w:before="120" w:after="240" w:line="240" w:lineRule="auto"/>
        <w:ind w:right="1034"/>
        <w:jc w:val="center"/>
        <w:rPr>
          <w:rFonts w:cs="Times New Roman"/>
          <w:b/>
          <w:sz w:val="24"/>
          <w:szCs w:val="24"/>
        </w:rPr>
      </w:pPr>
      <w:r w:rsidRPr="00983E57">
        <w:rPr>
          <w:rFonts w:cs="Times New Roman"/>
          <w:b/>
          <w:sz w:val="24"/>
          <w:szCs w:val="24"/>
        </w:rPr>
        <w:t xml:space="preserve">COMMENTS ON THE UNDP DRAFT COUNTRY PROGRAMME DOCUMENT FOR </w:t>
      </w:r>
      <w:r>
        <w:rPr>
          <w:rFonts w:cs="Times New Roman"/>
          <w:b/>
          <w:sz w:val="24"/>
          <w:szCs w:val="24"/>
        </w:rPr>
        <w:t>KE</w:t>
      </w:r>
      <w:r w:rsidRPr="00983E57">
        <w:rPr>
          <w:rFonts w:cs="Times New Roman"/>
          <w:b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Y</w:t>
      </w:r>
      <w:r w:rsidRPr="00983E57">
        <w:rPr>
          <w:rFonts w:cs="Times New Roman"/>
          <w:b/>
          <w:sz w:val="24"/>
          <w:szCs w:val="24"/>
        </w:rPr>
        <w:t>A (2022-202</w:t>
      </w:r>
      <w:r w:rsidR="00742364">
        <w:rPr>
          <w:rFonts w:cs="Times New Roman"/>
          <w:b/>
          <w:sz w:val="24"/>
          <w:szCs w:val="24"/>
        </w:rPr>
        <w:t>6</w:t>
      </w:r>
      <w:r w:rsidRPr="00983E57">
        <w:rPr>
          <w:rFonts w:cs="Times New Roman"/>
          <w:b/>
          <w:sz w:val="24"/>
          <w:szCs w:val="24"/>
        </w:rPr>
        <w:t>)</w:t>
      </w:r>
    </w:p>
    <w:p w14:paraId="6E93C164" w14:textId="77777777" w:rsidR="00983E57" w:rsidRPr="00983E57" w:rsidRDefault="00983E57" w:rsidP="00983E57">
      <w:pPr>
        <w:tabs>
          <w:tab w:val="left" w:pos="720"/>
        </w:tabs>
        <w:spacing w:before="120" w:after="240" w:line="240" w:lineRule="auto"/>
        <w:ind w:right="1034"/>
        <w:jc w:val="center"/>
        <w:rPr>
          <w:rFonts w:cs="Times New Roman"/>
          <w:b/>
          <w:i/>
          <w:sz w:val="24"/>
          <w:szCs w:val="24"/>
        </w:rPr>
      </w:pPr>
      <w:r w:rsidRPr="00983E57">
        <w:rPr>
          <w:rFonts w:cs="Times New Roman"/>
          <w:b/>
          <w:i/>
          <w:sz w:val="24"/>
          <w:szCs w:val="24"/>
        </w:rPr>
        <w:t>Annual session 2022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7869"/>
        <w:gridCol w:w="6565"/>
      </w:tblGrid>
      <w:tr w:rsidR="00D4001F" w:rsidRPr="005323D5" w14:paraId="52AB6EBB" w14:textId="3380240E" w:rsidTr="008E2666">
        <w:trPr>
          <w:trHeight w:val="476"/>
        </w:trPr>
        <w:tc>
          <w:tcPr>
            <w:tcW w:w="7869" w:type="dxa"/>
            <w:tcBorders>
              <w:bottom w:val="single" w:sz="4" w:space="0" w:color="auto"/>
            </w:tcBorders>
            <w:vAlign w:val="center"/>
          </w:tcPr>
          <w:p w14:paraId="3C4F8B9A" w14:textId="6CA79F58" w:rsidR="00D4001F" w:rsidRPr="00A457DA" w:rsidRDefault="00DC43F6" w:rsidP="00D83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43F6">
              <w:rPr>
                <w:rFonts w:cs="Times New Roman"/>
                <w:b/>
                <w:bCs/>
                <w:sz w:val="24"/>
                <w:szCs w:val="24"/>
              </w:rPr>
              <w:t>Member States comments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center"/>
          </w:tcPr>
          <w:p w14:paraId="55F40BCB" w14:textId="0C318F86" w:rsidR="00D4001F" w:rsidRPr="00534E03" w:rsidRDefault="008E2666" w:rsidP="00D83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2666">
              <w:rPr>
                <w:rFonts w:cs="Times New Roman"/>
                <w:b/>
                <w:bCs/>
                <w:sz w:val="24"/>
                <w:szCs w:val="24"/>
              </w:rPr>
              <w:t>Country Office response</w:t>
            </w:r>
          </w:p>
        </w:tc>
      </w:tr>
      <w:tr w:rsidR="008E2666" w:rsidRPr="005323D5" w14:paraId="30BF6861" w14:textId="77777777" w:rsidTr="008E2666">
        <w:trPr>
          <w:trHeight w:val="476"/>
        </w:trPr>
        <w:tc>
          <w:tcPr>
            <w:tcW w:w="14434" w:type="dxa"/>
            <w:gridSpan w:val="2"/>
            <w:shd w:val="clear" w:color="auto" w:fill="BFBFBF" w:themeFill="background1" w:themeFillShade="BF"/>
            <w:vAlign w:val="center"/>
          </w:tcPr>
          <w:p w14:paraId="00C2157F" w14:textId="0817DE0B" w:rsidR="008E2666" w:rsidRPr="00534E03" w:rsidRDefault="008E2666" w:rsidP="008E266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EU as a donor</w:t>
            </w:r>
          </w:p>
        </w:tc>
      </w:tr>
      <w:tr w:rsidR="00D4001F" w:rsidRPr="005323D5" w14:paraId="4BEE88CC" w14:textId="0E755B5E" w:rsidTr="00D4001F">
        <w:trPr>
          <w:trHeight w:val="476"/>
        </w:trPr>
        <w:tc>
          <w:tcPr>
            <w:tcW w:w="7869" w:type="dxa"/>
            <w:vAlign w:val="center"/>
          </w:tcPr>
          <w:p w14:paraId="15C3E955" w14:textId="77777777" w:rsidR="00D4001F" w:rsidRDefault="00D4001F" w:rsidP="00D83A4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Kenya CPD analytical</w:t>
            </w:r>
            <w:r w:rsidRPr="00D83A4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section consistent with EU views.</w:t>
            </w:r>
          </w:p>
          <w:p w14:paraId="17DB1CDA" w14:textId="77777777" w:rsidR="00D4001F" w:rsidRPr="00D83A43" w:rsidRDefault="00D4001F" w:rsidP="006805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83A43">
              <w:rPr>
                <w:rFonts w:cs="Times New Roman"/>
                <w:sz w:val="24"/>
                <w:szCs w:val="24"/>
              </w:rPr>
              <w:t>Commitment to focus on youth and</w:t>
            </w:r>
            <w:r>
              <w:rPr>
                <w:rFonts w:cs="Times New Roman"/>
                <w:sz w:val="24"/>
                <w:szCs w:val="24"/>
              </w:rPr>
              <w:t xml:space="preserve"> gender equality is similar to EU’s</w:t>
            </w:r>
            <w:r w:rsidRPr="00D83A43">
              <w:rPr>
                <w:rFonts w:cs="Times New Roman"/>
                <w:sz w:val="24"/>
                <w:szCs w:val="24"/>
              </w:rPr>
              <w:t xml:space="preserve"> and the focus on governance, peace, social cohesion; green growth and resilience </w:t>
            </w:r>
            <w:r>
              <w:rPr>
                <w:rFonts w:cs="Times New Roman"/>
                <w:sz w:val="24"/>
                <w:szCs w:val="24"/>
              </w:rPr>
              <w:t>are consistent</w:t>
            </w:r>
            <w:r w:rsidRPr="00D83A43">
              <w:rPr>
                <w:rFonts w:cs="Times New Roman"/>
                <w:sz w:val="24"/>
                <w:szCs w:val="24"/>
              </w:rPr>
              <w:t xml:space="preserve"> with EU M</w:t>
            </w:r>
            <w:r>
              <w:rPr>
                <w:rFonts w:cs="Times New Roman"/>
                <w:sz w:val="24"/>
                <w:szCs w:val="24"/>
              </w:rPr>
              <w:t>ultiannual Indicative Programme 2021-2027.</w:t>
            </w:r>
            <w:r w:rsidRPr="00D83A4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473ED8D9" w14:textId="77777777" w:rsidR="00D4001F" w:rsidRDefault="00D4001F" w:rsidP="00DC43F6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D4001F" w:rsidRPr="005323D5" w14:paraId="7D1F8F2D" w14:textId="5111E368" w:rsidTr="00FB2ED7">
        <w:trPr>
          <w:trHeight w:val="476"/>
        </w:trPr>
        <w:tc>
          <w:tcPr>
            <w:tcW w:w="7869" w:type="dxa"/>
          </w:tcPr>
          <w:p w14:paraId="1902DD64" w14:textId="4764A65F" w:rsidR="00D4001F" w:rsidRDefault="00D4001F" w:rsidP="006805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Recommendation 1: </w:t>
            </w:r>
            <w:r w:rsidRPr="0068053C">
              <w:rPr>
                <w:rFonts w:cs="Times New Roman"/>
                <w:sz w:val="24"/>
                <w:szCs w:val="24"/>
              </w:rPr>
              <w:t>The Youth Sounding Board is one innovation that should be used further at its full potential in the implementation of the new country programme.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E4A1744" w14:textId="77777777" w:rsidR="00D4001F" w:rsidRDefault="00D4001F" w:rsidP="00D4001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1DF412A8" w14:textId="7D8997AD" w:rsidR="00D4001F" w:rsidRPr="0068053C" w:rsidRDefault="00D4001F" w:rsidP="006805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Recommendation 2: The UNDP G</w:t>
            </w:r>
            <w:r w:rsidRPr="00D83A43">
              <w:rPr>
                <w:rFonts w:cs="Times New Roman"/>
                <w:sz w:val="24"/>
                <w:szCs w:val="24"/>
              </w:rPr>
              <w:t xml:space="preserve">ender Strategy </w:t>
            </w:r>
            <w:r>
              <w:rPr>
                <w:rFonts w:cs="Times New Roman"/>
                <w:sz w:val="24"/>
                <w:szCs w:val="24"/>
              </w:rPr>
              <w:t xml:space="preserve">should be updated, </w:t>
            </w:r>
            <w:r w:rsidRPr="00D83A43">
              <w:rPr>
                <w:rFonts w:cs="Times New Roman"/>
                <w:sz w:val="24"/>
                <w:szCs w:val="24"/>
              </w:rPr>
              <w:t>as it ended in 2021</w:t>
            </w:r>
            <w:r>
              <w:rPr>
                <w:rFonts w:cs="Times New Roman"/>
                <w:sz w:val="24"/>
                <w:szCs w:val="24"/>
              </w:rPr>
              <w:t xml:space="preserve">. A priority for a </w:t>
            </w:r>
            <w:r w:rsidRPr="0068053C">
              <w:rPr>
                <w:rFonts w:cs="Times New Roman"/>
                <w:sz w:val="24"/>
                <w:szCs w:val="24"/>
              </w:rPr>
              <w:t>CPD that</w:t>
            </w:r>
            <w:r>
              <w:rPr>
                <w:rFonts w:cs="Times New Roman"/>
                <w:sz w:val="24"/>
                <w:szCs w:val="24"/>
              </w:rPr>
              <w:t xml:space="preserve"> aims to support gender equality. </w:t>
            </w:r>
          </w:p>
          <w:p w14:paraId="377C7BE4" w14:textId="7368FDA4" w:rsidR="00D4001F" w:rsidRDefault="00D4001F" w:rsidP="006805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Recommendation 3: The </w:t>
            </w:r>
            <w:r w:rsidRPr="0068053C">
              <w:rPr>
                <w:rFonts w:cs="Times New Roman"/>
                <w:sz w:val="24"/>
                <w:szCs w:val="24"/>
              </w:rPr>
              <w:t xml:space="preserve">country programme should emphasise better </w:t>
            </w:r>
            <w:r>
              <w:rPr>
                <w:rFonts w:cs="Times New Roman"/>
                <w:sz w:val="24"/>
                <w:szCs w:val="24"/>
              </w:rPr>
              <w:t xml:space="preserve">on </w:t>
            </w:r>
            <w:r w:rsidRPr="0068053C">
              <w:rPr>
                <w:rFonts w:cs="Times New Roman"/>
                <w:sz w:val="24"/>
                <w:szCs w:val="24"/>
              </w:rPr>
              <w:t>how it will address specific developmental opportunities and challenges already identified in the strategic plan, notably on devolution, digitalisation or the fight against corruption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7A64E65" w14:textId="77777777" w:rsidR="00D4001F" w:rsidRDefault="00D4001F" w:rsidP="00D4001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59D3DAEF" w14:textId="77777777" w:rsidR="00D4001F" w:rsidRDefault="00D4001F" w:rsidP="00D4001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31F41D94" w14:textId="5F40E895" w:rsidR="00D4001F" w:rsidRPr="00A457DA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Recommendation 4: The </w:t>
            </w:r>
            <w:r w:rsidRPr="0068053C">
              <w:rPr>
                <w:rFonts w:cs="Times New Roman"/>
                <w:sz w:val="24"/>
                <w:szCs w:val="24"/>
              </w:rPr>
              <w:t>country programme should pay particular attention to the recommendations of the recent independent country programme evaluation, especially on resource mobilization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65" w:type="dxa"/>
          </w:tcPr>
          <w:p w14:paraId="1018B6F3" w14:textId="50643021" w:rsidR="00D4001F" w:rsidRPr="00D4001F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4001F">
              <w:rPr>
                <w:rFonts w:cs="Times New Roman"/>
                <w:sz w:val="24"/>
                <w:szCs w:val="24"/>
              </w:rPr>
              <w:t>Fully appreciated and very much in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001F">
              <w:rPr>
                <w:rFonts w:cs="Times New Roman"/>
                <w:sz w:val="24"/>
                <w:szCs w:val="24"/>
              </w:rPr>
              <w:t>line with its specific inclusion in the CPD and clear recommendation within our 2021 Management Audit and RBA guidance from YouthConnekt and 2022 RBA Cluster meeting</w:t>
            </w:r>
            <w:r w:rsidR="00983E57">
              <w:rPr>
                <w:rFonts w:cs="Times New Roman"/>
                <w:sz w:val="24"/>
                <w:szCs w:val="24"/>
              </w:rPr>
              <w:t>.</w:t>
            </w:r>
          </w:p>
          <w:p w14:paraId="0F2F3698" w14:textId="79F9DE0D" w:rsidR="00D4001F" w:rsidRPr="00D4001F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4001F">
              <w:rPr>
                <w:rFonts w:cs="Times New Roman"/>
                <w:sz w:val="24"/>
                <w:szCs w:val="24"/>
              </w:rPr>
              <w:t>Fully noted – will be changed accordingly as the new UNDP Gender Strategy was not formally approved in the drafting stage of this current CPD</w:t>
            </w:r>
            <w:r w:rsidR="00983E57">
              <w:rPr>
                <w:rFonts w:cs="Times New Roman"/>
                <w:sz w:val="24"/>
                <w:szCs w:val="24"/>
              </w:rPr>
              <w:t>.</w:t>
            </w:r>
          </w:p>
          <w:p w14:paraId="7F2A975C" w14:textId="77777777" w:rsidR="00D4001F" w:rsidRPr="00D4001F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4001F">
              <w:rPr>
                <w:rFonts w:cs="Times New Roman"/>
                <w:sz w:val="24"/>
                <w:szCs w:val="24"/>
              </w:rPr>
              <w:t xml:space="preserve">Duly noted and appreciated recommendation. Will review the text/language to further strengthen </w:t>
            </w:r>
            <w:r w:rsidRPr="00D4001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points on digitalisation </w:t>
            </w:r>
            <w:r w:rsidRPr="00D4001F">
              <w:rPr>
                <w:rFonts w:cs="Times New Roman"/>
                <w:sz w:val="24"/>
                <w:szCs w:val="24"/>
              </w:rPr>
              <w:t xml:space="preserve">which is expected under the programmatic interventions within the new CPD. Devolution and the fight against corruption are duly noted and integrated in the CPD as key programmatic interventions. </w:t>
            </w:r>
          </w:p>
          <w:p w14:paraId="3EEAFAB2" w14:textId="56604A83" w:rsidR="00D4001F" w:rsidRPr="00D4001F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4001F">
              <w:rPr>
                <w:rFonts w:cs="Times New Roman"/>
                <w:sz w:val="24"/>
                <w:szCs w:val="24"/>
              </w:rPr>
              <w:t>Fully noted and taken into consideration through the modest $120mil CPD envelope in</w:t>
            </w:r>
            <w:r w:rsidR="00937C68">
              <w:rPr>
                <w:rFonts w:cs="Times New Roman"/>
                <w:sz w:val="24"/>
                <w:szCs w:val="24"/>
              </w:rPr>
              <w:t xml:space="preserve"> </w:t>
            </w:r>
            <w:r w:rsidRPr="00D4001F">
              <w:rPr>
                <w:rFonts w:cs="Times New Roman"/>
                <w:sz w:val="24"/>
                <w:szCs w:val="24"/>
              </w:rPr>
              <w:t xml:space="preserve">line with the resource mobilisation strategy for the CPD and recommendation of the ICPE as well as the 2021 Management Audit. </w:t>
            </w:r>
          </w:p>
          <w:p w14:paraId="364E002C" w14:textId="2E9D5199" w:rsidR="00D4001F" w:rsidRDefault="00D4001F" w:rsidP="00D4001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D4001F">
              <w:rPr>
                <w:rFonts w:cs="Times New Roman"/>
                <w:sz w:val="24"/>
                <w:szCs w:val="24"/>
              </w:rPr>
              <w:lastRenderedPageBreak/>
              <w:t>This is also noted as a key recommendation from the UNDAF 2018-2022 evaluation which has informed and guided the development of the new CF 2022-2026 and the CPD with regards to resource mobilisation and financing for the SDGs</w:t>
            </w:r>
            <w:r w:rsidR="00FB2ED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3EC4BE70" w14:textId="77777777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_______</w:t>
      </w:r>
    </w:p>
    <w:sectPr w:rsidR="001567CA" w:rsidRPr="005323D5" w:rsidSect="009F5068">
      <w:footerReference w:type="default" r:id="rId11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ABD2" w14:textId="77777777" w:rsidR="00B5178E" w:rsidRDefault="00B5178E" w:rsidP="0053576A">
      <w:pPr>
        <w:spacing w:after="0" w:line="240" w:lineRule="auto"/>
      </w:pPr>
      <w:r>
        <w:separator/>
      </w:r>
    </w:p>
  </w:endnote>
  <w:endnote w:type="continuationSeparator" w:id="0">
    <w:p w14:paraId="77FA2FE6" w14:textId="77777777" w:rsidR="00B5178E" w:rsidRDefault="00B5178E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E0617" w14:textId="7777777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C8E34" w14:textId="77777777" w:rsidR="00F3633B" w:rsidRDefault="00F3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A9BA" w14:textId="77777777" w:rsidR="00B5178E" w:rsidRDefault="00B5178E" w:rsidP="0053576A">
      <w:pPr>
        <w:spacing w:after="0" w:line="240" w:lineRule="auto"/>
      </w:pPr>
      <w:r>
        <w:separator/>
      </w:r>
    </w:p>
  </w:footnote>
  <w:footnote w:type="continuationSeparator" w:id="0">
    <w:p w14:paraId="537E281F" w14:textId="77777777" w:rsidR="00B5178E" w:rsidRDefault="00B5178E" w:rsidP="0053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44FE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3221"/>
    <w:rsid w:val="00425E1A"/>
    <w:rsid w:val="004261B4"/>
    <w:rsid w:val="00431490"/>
    <w:rsid w:val="004334BB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1F03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071D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53C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3E02"/>
    <w:rsid w:val="007245FA"/>
    <w:rsid w:val="00724BDE"/>
    <w:rsid w:val="0073380D"/>
    <w:rsid w:val="00733C3B"/>
    <w:rsid w:val="00737CD6"/>
    <w:rsid w:val="007403A0"/>
    <w:rsid w:val="0074051E"/>
    <w:rsid w:val="00740BEC"/>
    <w:rsid w:val="00742364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2666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37C68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3E57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1C94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178E"/>
    <w:rsid w:val="00B53AA0"/>
    <w:rsid w:val="00B5461D"/>
    <w:rsid w:val="00B56E74"/>
    <w:rsid w:val="00B60E64"/>
    <w:rsid w:val="00B643AF"/>
    <w:rsid w:val="00B64A30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B82"/>
    <w:rsid w:val="00C32891"/>
    <w:rsid w:val="00C3356E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001F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3A43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3F6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2ED7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0ABA3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5E18C-0616-4F78-9F29-1346CD56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5</cp:revision>
  <cp:lastPrinted>2019-10-23T14:31:00Z</cp:lastPrinted>
  <dcterms:created xsi:type="dcterms:W3CDTF">2022-04-19T18:29:00Z</dcterms:created>
  <dcterms:modified xsi:type="dcterms:W3CDTF">2022-04-19T18:32:00Z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