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4996" w14:textId="3C7FE2A8" w:rsidR="001620F5" w:rsidRPr="00973ED0" w:rsidRDefault="00C06ED2" w:rsidP="00973ED0">
      <w:pPr>
        <w:rPr>
          <w:b/>
          <w:color w:val="000000"/>
        </w:rPr>
      </w:pPr>
      <w:r w:rsidRPr="00973ED0">
        <w:rPr>
          <w:b/>
          <w:bCs/>
          <w:color w:val="000000"/>
        </w:rPr>
        <w:t>ANNEX. FULLY-COSTED EVALUATION PLAN</w:t>
      </w:r>
      <w:r w:rsidRPr="00973ED0">
        <w:rPr>
          <w:b/>
          <w:color w:val="000000"/>
        </w:rPr>
        <w:t xml:space="preserve"> </w:t>
      </w:r>
    </w:p>
    <w:p w14:paraId="549FDC75" w14:textId="77777777" w:rsidR="00973ED0" w:rsidRPr="00973ED0" w:rsidRDefault="00973ED0" w:rsidP="00973ED0"/>
    <w:p w14:paraId="3166DE97" w14:textId="3718AC0D" w:rsidR="007C4386" w:rsidRDefault="007C4386" w:rsidP="007C4386">
      <w:pPr>
        <w:pStyle w:val="paragraph"/>
        <w:spacing w:before="0" w:beforeAutospacing="0" w:after="0" w:afterAutospacing="0"/>
        <w:jc w:val="both"/>
        <w:textAlignment w:val="baseline"/>
        <w:rPr>
          <w:rFonts w:ascii="Times New Roman" w:eastAsia="Times New Roman" w:hAnsi="Times New Roman" w:cs="Times New Roman"/>
          <w:sz w:val="20"/>
          <w:szCs w:val="20"/>
        </w:rPr>
      </w:pPr>
      <w:r w:rsidRPr="00973ED0">
        <w:rPr>
          <w:rFonts w:ascii="Times New Roman" w:eastAsia="Times New Roman" w:hAnsi="Times New Roman" w:cs="Times New Roman"/>
          <w:sz w:val="20"/>
          <w:szCs w:val="20"/>
        </w:rPr>
        <w:t xml:space="preserve">The UNDP Kyrgyz Republic CPD Evaluation Plan is a programme accountability and learning instrument for the Country Office, its partners and stakeholders. It is designed as a strategic tool to inform decision-making at critical points of both project and programme implementation. The plan describes the intended evaluations over the period 2023-2027 along with associated costs. It contains a mix of portfolio, thematic outcome level evaluations and project evaluations across the duration of the Country Programme, to measure the extent to which UNDP in Kyrgyz Republic is contributing to development change in the country. The UNSDCF and Integrated Country Program Evaluations, while not included into this Plan, will be also critical in gauging the UNDP contributions at the outcome level.  </w:t>
      </w:r>
    </w:p>
    <w:p w14:paraId="488D2E43" w14:textId="77777777" w:rsidR="00973ED0" w:rsidRPr="00973ED0" w:rsidRDefault="00973ED0" w:rsidP="007C4386">
      <w:pPr>
        <w:pStyle w:val="paragraph"/>
        <w:spacing w:before="0" w:beforeAutospacing="0" w:after="0" w:afterAutospacing="0"/>
        <w:jc w:val="both"/>
        <w:textAlignment w:val="baseline"/>
        <w:rPr>
          <w:rFonts w:ascii="Times New Roman" w:eastAsia="Times New Roman" w:hAnsi="Times New Roman" w:cs="Times New Roman"/>
          <w:sz w:val="20"/>
          <w:szCs w:val="20"/>
        </w:rPr>
      </w:pPr>
    </w:p>
    <w:p w14:paraId="5DEF31A6" w14:textId="7F54141B" w:rsidR="00CD05F1" w:rsidRPr="00973ED0" w:rsidRDefault="00E705A1" w:rsidP="00CD05F1">
      <w:pPr>
        <w:pStyle w:val="paragraph"/>
        <w:spacing w:before="0" w:beforeAutospacing="0" w:after="0" w:afterAutospacing="0"/>
        <w:jc w:val="both"/>
        <w:textAlignment w:val="baseline"/>
        <w:rPr>
          <w:rFonts w:ascii="Times New Roman" w:eastAsia="Times New Roman" w:hAnsi="Times New Roman" w:cs="Times New Roman"/>
          <w:sz w:val="20"/>
          <w:szCs w:val="20"/>
        </w:rPr>
      </w:pPr>
      <w:r w:rsidRPr="00973ED0">
        <w:rPr>
          <w:rFonts w:ascii="Times New Roman" w:hAnsi="Times New Roman" w:cs="Times New Roman"/>
          <w:sz w:val="20"/>
          <w:szCs w:val="20"/>
        </w:rPr>
        <w:t xml:space="preserve">The Evaluation Plan includes 7 evaluations including </w:t>
      </w:r>
      <w:r w:rsidR="009008F1" w:rsidRPr="00973ED0">
        <w:rPr>
          <w:rFonts w:ascii="Times New Roman" w:hAnsi="Times New Roman" w:cs="Times New Roman"/>
          <w:sz w:val="20"/>
          <w:szCs w:val="20"/>
        </w:rPr>
        <w:t>3 Strategic evaluations (</w:t>
      </w:r>
      <w:r w:rsidRPr="00973ED0">
        <w:rPr>
          <w:rFonts w:ascii="Times New Roman" w:hAnsi="Times New Roman" w:cs="Times New Roman"/>
          <w:sz w:val="20"/>
          <w:szCs w:val="20"/>
        </w:rPr>
        <w:t>2 Thematic evaluations, 1 Portfolio evaluation</w:t>
      </w:r>
      <w:r w:rsidR="009008F1" w:rsidRPr="00973ED0">
        <w:rPr>
          <w:rFonts w:ascii="Times New Roman" w:hAnsi="Times New Roman" w:cs="Times New Roman"/>
          <w:sz w:val="20"/>
          <w:szCs w:val="20"/>
        </w:rPr>
        <w:t>)</w:t>
      </w:r>
      <w:r w:rsidRPr="00973ED0">
        <w:rPr>
          <w:rFonts w:ascii="Times New Roman" w:hAnsi="Times New Roman" w:cs="Times New Roman"/>
          <w:sz w:val="20"/>
          <w:szCs w:val="20"/>
        </w:rPr>
        <w:t xml:space="preserve"> and 4 Project evaluations. </w:t>
      </w:r>
      <w:r w:rsidR="00CD05F1" w:rsidRPr="00973ED0">
        <w:rPr>
          <w:rFonts w:ascii="Times New Roman" w:hAnsi="Times New Roman" w:cs="Times New Roman"/>
          <w:sz w:val="20"/>
          <w:szCs w:val="20"/>
        </w:rPr>
        <w:t xml:space="preserve">There are two thematic evaluations included in the Evaluation Plan which are cross-cutting areas in all three UNSDCF outcomes (Gender equality and Women empowerment, and Innovation and Digitalization). </w:t>
      </w:r>
      <w:r w:rsidR="007C4386" w:rsidRPr="00973ED0">
        <w:rPr>
          <w:rFonts w:ascii="Times New Roman" w:hAnsi="Times New Roman" w:cs="Times New Roman"/>
          <w:sz w:val="20"/>
          <w:szCs w:val="20"/>
        </w:rPr>
        <w:t xml:space="preserve"> to provide comprehensive picture on the UNDP’s contribution across the whole portfolio </w:t>
      </w:r>
      <w:r w:rsidR="007C4386" w:rsidRPr="00973ED0">
        <w:rPr>
          <w:rFonts w:ascii="Times New Roman" w:eastAsia="Times New Roman" w:hAnsi="Times New Roman" w:cs="Times New Roman"/>
          <w:sz w:val="20"/>
          <w:szCs w:val="20"/>
        </w:rPr>
        <w:t>and document lessons-learnt from the approaches and pathways the Country Office pursues in these two thematic areas</w:t>
      </w:r>
      <w:r w:rsidR="007C4386" w:rsidRPr="00973ED0">
        <w:rPr>
          <w:rFonts w:ascii="Times New Roman" w:hAnsi="Times New Roman" w:cs="Times New Roman"/>
          <w:sz w:val="20"/>
          <w:szCs w:val="20"/>
        </w:rPr>
        <w:t xml:space="preserve">. </w:t>
      </w:r>
      <w:r w:rsidR="00CD05F1" w:rsidRPr="00973ED0">
        <w:rPr>
          <w:rFonts w:ascii="Times New Roman" w:eastAsia="Times New Roman" w:hAnsi="Times New Roman" w:cs="Times New Roman"/>
          <w:sz w:val="20"/>
          <w:szCs w:val="20"/>
        </w:rPr>
        <w:t xml:space="preserve">All project level evaluations listed are mandatory in line with the donor requirements specified in the donor agreements and respective Project documents. </w:t>
      </w:r>
      <w:r w:rsidR="00CD05F1" w:rsidRPr="00973ED0">
        <w:rPr>
          <w:rFonts w:ascii="Times New Roman" w:hAnsi="Times New Roman" w:cs="Times New Roman"/>
          <w:sz w:val="20"/>
          <w:szCs w:val="20"/>
        </w:rPr>
        <w:t>While there are no stand-alone project evaluations specified in the Evaluation Plan for UNSDCF Outcome 2/UNDP Outcome 1 (Green Economic Growth), UNDP included Portfolio evaluation for this outcome to cover the programme area for results tracking and providing substantive information for decision making and learning purposes.</w:t>
      </w:r>
    </w:p>
    <w:p w14:paraId="5CC12786" w14:textId="6D199414" w:rsidR="00AE1B74" w:rsidRPr="00973ED0" w:rsidRDefault="00CD05F1" w:rsidP="00E705A1">
      <w:pPr>
        <w:spacing w:before="120" w:after="120"/>
      </w:pPr>
      <w:r w:rsidRPr="00973ED0">
        <w:t>T</w:t>
      </w:r>
      <w:r w:rsidR="00E705A1" w:rsidRPr="00973ED0">
        <w:t xml:space="preserve">he Evaluation Plan will be updated regularly </w:t>
      </w:r>
      <w:r w:rsidR="009008F1" w:rsidRPr="00973ED0">
        <w:t xml:space="preserve">(annually) as UNDP foresees new projects to be developed which can be captured either in outcome evaluation, portfolio, </w:t>
      </w:r>
      <w:proofErr w:type="gramStart"/>
      <w:r w:rsidR="009008F1" w:rsidRPr="00973ED0">
        <w:t>or,</w:t>
      </w:r>
      <w:proofErr w:type="gramEnd"/>
      <w:r w:rsidR="009008F1" w:rsidRPr="00973ED0">
        <w:t xml:space="preserve"> project evaluations, which can be added to the Evaluation Plan later</w:t>
      </w:r>
      <w:r w:rsidRPr="00973ED0">
        <w:t xml:space="preserve"> in compliance with relevant UNDP policies</w:t>
      </w:r>
      <w:r w:rsidR="009008F1" w:rsidRPr="00973ED0">
        <w:t xml:space="preserve">. All programme areas are covered and evaluations are balanced across the outcomes. </w:t>
      </w:r>
      <w:r w:rsidR="00AE1B74" w:rsidRPr="00973ED0">
        <w:t>The timeline specified in the current Evaluation Plan is realistic.</w:t>
      </w:r>
    </w:p>
    <w:p w14:paraId="15482D20" w14:textId="4BE46AB4" w:rsidR="00465842" w:rsidRPr="00973ED0" w:rsidRDefault="00AE1B74" w:rsidP="00501A0E">
      <w:pPr>
        <w:spacing w:before="120" w:after="120"/>
      </w:pPr>
      <w:r w:rsidRPr="00973ED0">
        <w:t>The Evaluation Plan and timing will be updated annually considering new projects and s</w:t>
      </w:r>
      <w:r w:rsidR="00465842" w:rsidRPr="00973ED0">
        <w:t xml:space="preserve">ocioeconomic, political, and environmental risks. </w:t>
      </w: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652"/>
        <w:gridCol w:w="1833"/>
        <w:gridCol w:w="1601"/>
        <w:gridCol w:w="1657"/>
        <w:gridCol w:w="1680"/>
        <w:gridCol w:w="1374"/>
        <w:gridCol w:w="1524"/>
        <w:gridCol w:w="1465"/>
        <w:gridCol w:w="1380"/>
      </w:tblGrid>
      <w:tr w:rsidR="008C0AF2" w:rsidRPr="003C26C1" w14:paraId="06E39E33" w14:textId="77777777" w:rsidTr="00A76773">
        <w:trPr>
          <w:trHeight w:val="845"/>
        </w:trPr>
        <w:tc>
          <w:tcPr>
            <w:tcW w:w="583" w:type="pct"/>
            <w:shd w:val="clear" w:color="auto" w:fill="D9E2F3" w:themeFill="accent1" w:themeFillTint="33"/>
            <w:vAlign w:val="center"/>
          </w:tcPr>
          <w:p w14:paraId="3F504959" w14:textId="0DAFC56A" w:rsidR="00C06ED2" w:rsidRPr="003C26C1" w:rsidRDefault="00C06ED2" w:rsidP="001D0653">
            <w:pPr>
              <w:jc w:val="center"/>
              <w:rPr>
                <w:b/>
                <w:bCs/>
                <w:sz w:val="16"/>
                <w:szCs w:val="16"/>
              </w:rPr>
            </w:pPr>
            <w:r w:rsidRPr="003C26C1">
              <w:rPr>
                <w:b/>
                <w:bCs/>
                <w:sz w:val="16"/>
                <w:szCs w:val="16"/>
              </w:rPr>
              <w:t>UN</w:t>
            </w:r>
            <w:r w:rsidR="00A905DB">
              <w:rPr>
                <w:b/>
                <w:bCs/>
                <w:sz w:val="16"/>
                <w:szCs w:val="16"/>
              </w:rPr>
              <w:t>S</w:t>
            </w:r>
            <w:r w:rsidRPr="003C26C1">
              <w:rPr>
                <w:b/>
                <w:bCs/>
                <w:sz w:val="16"/>
                <w:szCs w:val="16"/>
              </w:rPr>
              <w:t>D</w:t>
            </w:r>
            <w:r w:rsidR="00A905DB">
              <w:rPr>
                <w:b/>
                <w:bCs/>
                <w:sz w:val="16"/>
                <w:szCs w:val="16"/>
              </w:rPr>
              <w:t>C</w:t>
            </w:r>
            <w:r w:rsidRPr="003C26C1">
              <w:rPr>
                <w:b/>
                <w:bCs/>
                <w:sz w:val="16"/>
                <w:szCs w:val="16"/>
              </w:rPr>
              <w:t>F (or equivalent)</w:t>
            </w:r>
          </w:p>
          <w:p w14:paraId="061AB480" w14:textId="77777777" w:rsidR="00C06ED2" w:rsidRPr="003C26C1" w:rsidRDefault="00C06ED2" w:rsidP="001D0653">
            <w:pPr>
              <w:jc w:val="center"/>
              <w:rPr>
                <w:b/>
                <w:bCs/>
                <w:sz w:val="16"/>
                <w:szCs w:val="16"/>
              </w:rPr>
            </w:pPr>
            <w:r w:rsidRPr="003C26C1">
              <w:rPr>
                <w:b/>
                <w:bCs/>
                <w:sz w:val="16"/>
                <w:szCs w:val="16"/>
              </w:rPr>
              <w:t xml:space="preserve">Outcome </w:t>
            </w:r>
          </w:p>
        </w:tc>
        <w:tc>
          <w:tcPr>
            <w:tcW w:w="647" w:type="pct"/>
            <w:shd w:val="clear" w:color="auto" w:fill="D9E2F3" w:themeFill="accent1" w:themeFillTint="33"/>
            <w:vAlign w:val="center"/>
          </w:tcPr>
          <w:p w14:paraId="498B4BD2" w14:textId="77777777" w:rsidR="00C06ED2" w:rsidRPr="003C26C1" w:rsidRDefault="00C06ED2" w:rsidP="001D0653">
            <w:pPr>
              <w:jc w:val="center"/>
              <w:rPr>
                <w:b/>
                <w:bCs/>
                <w:sz w:val="16"/>
                <w:szCs w:val="16"/>
              </w:rPr>
            </w:pPr>
            <w:r w:rsidRPr="003C26C1">
              <w:rPr>
                <w:b/>
                <w:bCs/>
                <w:sz w:val="16"/>
                <w:szCs w:val="16"/>
              </w:rPr>
              <w:t>UNDP Strategic Plan Outcome</w:t>
            </w:r>
          </w:p>
        </w:tc>
        <w:tc>
          <w:tcPr>
            <w:tcW w:w="565" w:type="pct"/>
            <w:shd w:val="clear" w:color="auto" w:fill="D9E2F3" w:themeFill="accent1" w:themeFillTint="33"/>
            <w:vAlign w:val="center"/>
          </w:tcPr>
          <w:p w14:paraId="7FE88F67" w14:textId="77777777" w:rsidR="00C06ED2" w:rsidRPr="003C26C1" w:rsidRDefault="00C06ED2" w:rsidP="001D0653">
            <w:pPr>
              <w:jc w:val="center"/>
              <w:rPr>
                <w:b/>
                <w:bCs/>
                <w:sz w:val="16"/>
                <w:szCs w:val="16"/>
              </w:rPr>
            </w:pPr>
            <w:r w:rsidRPr="003C26C1">
              <w:rPr>
                <w:b/>
                <w:bCs/>
                <w:sz w:val="16"/>
                <w:szCs w:val="16"/>
              </w:rPr>
              <w:t>Evaluation Title</w:t>
            </w:r>
          </w:p>
        </w:tc>
        <w:tc>
          <w:tcPr>
            <w:tcW w:w="585" w:type="pct"/>
            <w:shd w:val="clear" w:color="auto" w:fill="D9E2F3" w:themeFill="accent1" w:themeFillTint="33"/>
            <w:vAlign w:val="center"/>
          </w:tcPr>
          <w:p w14:paraId="17D253A3" w14:textId="77777777" w:rsidR="00C06ED2" w:rsidRPr="003C26C1" w:rsidDel="00BA628C" w:rsidRDefault="00C06ED2" w:rsidP="001D0653">
            <w:pPr>
              <w:jc w:val="center"/>
              <w:rPr>
                <w:b/>
                <w:bCs/>
                <w:sz w:val="16"/>
                <w:szCs w:val="16"/>
              </w:rPr>
            </w:pPr>
            <w:r w:rsidRPr="003C26C1">
              <w:rPr>
                <w:b/>
                <w:bCs/>
                <w:sz w:val="16"/>
                <w:szCs w:val="16"/>
              </w:rPr>
              <w:t>Partners (joint evaluation)</w:t>
            </w:r>
          </w:p>
        </w:tc>
        <w:tc>
          <w:tcPr>
            <w:tcW w:w="593" w:type="pct"/>
            <w:shd w:val="clear" w:color="auto" w:fill="D9E2F3" w:themeFill="accent1" w:themeFillTint="33"/>
            <w:vAlign w:val="center"/>
          </w:tcPr>
          <w:p w14:paraId="7ADF595F" w14:textId="77777777" w:rsidR="00C06ED2" w:rsidRPr="003C26C1" w:rsidRDefault="00C06ED2" w:rsidP="001D0653">
            <w:pPr>
              <w:jc w:val="center"/>
              <w:rPr>
                <w:b/>
                <w:bCs/>
                <w:sz w:val="16"/>
                <w:szCs w:val="16"/>
              </w:rPr>
            </w:pPr>
            <w:r w:rsidRPr="003C26C1">
              <w:rPr>
                <w:b/>
                <w:bCs/>
                <w:sz w:val="16"/>
                <w:szCs w:val="16"/>
              </w:rPr>
              <w:t>Evaluation commissioned by (if not UNDP)</w:t>
            </w:r>
          </w:p>
        </w:tc>
        <w:tc>
          <w:tcPr>
            <w:tcW w:w="485" w:type="pct"/>
            <w:shd w:val="clear" w:color="auto" w:fill="D9E2F3" w:themeFill="accent1" w:themeFillTint="33"/>
            <w:vAlign w:val="center"/>
          </w:tcPr>
          <w:p w14:paraId="65748473" w14:textId="77777777" w:rsidR="00C06ED2" w:rsidRPr="003C26C1" w:rsidRDefault="00C06ED2" w:rsidP="001D0653">
            <w:pPr>
              <w:jc w:val="center"/>
              <w:rPr>
                <w:b/>
                <w:bCs/>
                <w:sz w:val="16"/>
                <w:szCs w:val="16"/>
              </w:rPr>
            </w:pPr>
            <w:r w:rsidRPr="003C26C1">
              <w:rPr>
                <w:b/>
                <w:bCs/>
                <w:sz w:val="16"/>
                <w:szCs w:val="16"/>
              </w:rPr>
              <w:t>Type of evaluation</w:t>
            </w:r>
          </w:p>
        </w:tc>
        <w:tc>
          <w:tcPr>
            <w:tcW w:w="538" w:type="pct"/>
            <w:shd w:val="clear" w:color="auto" w:fill="D9E2F3" w:themeFill="accent1" w:themeFillTint="33"/>
            <w:vAlign w:val="center"/>
          </w:tcPr>
          <w:p w14:paraId="420A2231" w14:textId="77777777" w:rsidR="00C06ED2" w:rsidRPr="003C26C1" w:rsidRDefault="00C06ED2" w:rsidP="001D0653">
            <w:pPr>
              <w:jc w:val="center"/>
              <w:rPr>
                <w:b/>
                <w:bCs/>
                <w:sz w:val="16"/>
                <w:szCs w:val="16"/>
              </w:rPr>
            </w:pPr>
            <w:r w:rsidRPr="003C26C1">
              <w:rPr>
                <w:b/>
                <w:bCs/>
                <w:sz w:val="16"/>
                <w:szCs w:val="16"/>
              </w:rPr>
              <w:t>Planned Evaluation Completion Date</w:t>
            </w:r>
          </w:p>
        </w:tc>
        <w:tc>
          <w:tcPr>
            <w:tcW w:w="517" w:type="pct"/>
            <w:shd w:val="clear" w:color="auto" w:fill="D9E2F3" w:themeFill="accent1" w:themeFillTint="33"/>
            <w:vAlign w:val="center"/>
          </w:tcPr>
          <w:p w14:paraId="19CE99A7" w14:textId="77777777" w:rsidR="00C06ED2" w:rsidRPr="003C26C1" w:rsidRDefault="00C06ED2" w:rsidP="001D0653">
            <w:pPr>
              <w:jc w:val="center"/>
              <w:rPr>
                <w:b/>
                <w:bCs/>
                <w:sz w:val="16"/>
                <w:szCs w:val="16"/>
              </w:rPr>
            </w:pPr>
            <w:r w:rsidRPr="003C26C1">
              <w:rPr>
                <w:b/>
                <w:bCs/>
                <w:sz w:val="16"/>
                <w:szCs w:val="16"/>
              </w:rPr>
              <w:t>Estimated Cost</w:t>
            </w:r>
          </w:p>
        </w:tc>
        <w:tc>
          <w:tcPr>
            <w:tcW w:w="487" w:type="pct"/>
            <w:shd w:val="clear" w:color="auto" w:fill="D9E2F3" w:themeFill="accent1" w:themeFillTint="33"/>
            <w:vAlign w:val="center"/>
          </w:tcPr>
          <w:p w14:paraId="25E96C11" w14:textId="77777777" w:rsidR="00C06ED2" w:rsidRPr="003C26C1" w:rsidRDefault="00C06ED2" w:rsidP="001D0653">
            <w:pPr>
              <w:jc w:val="center"/>
              <w:rPr>
                <w:b/>
                <w:bCs/>
                <w:sz w:val="16"/>
                <w:szCs w:val="16"/>
              </w:rPr>
            </w:pPr>
            <w:r w:rsidRPr="003C26C1">
              <w:rPr>
                <w:b/>
                <w:bCs/>
                <w:sz w:val="16"/>
                <w:szCs w:val="16"/>
              </w:rPr>
              <w:t>Provisional Source of Funding</w:t>
            </w:r>
          </w:p>
        </w:tc>
      </w:tr>
      <w:tr w:rsidR="003D2258" w:rsidRPr="003C26C1" w14:paraId="7DAE02B5" w14:textId="77777777" w:rsidTr="00A76773">
        <w:trPr>
          <w:trHeight w:val="980"/>
        </w:trPr>
        <w:tc>
          <w:tcPr>
            <w:tcW w:w="583" w:type="pct"/>
          </w:tcPr>
          <w:p w14:paraId="54639AC9" w14:textId="77777777" w:rsidR="003D2258" w:rsidRPr="008C0AF2" w:rsidRDefault="003D2258" w:rsidP="003D2258">
            <w:pPr>
              <w:rPr>
                <w:sz w:val="16"/>
                <w:szCs w:val="16"/>
              </w:rPr>
            </w:pPr>
            <w:r w:rsidRPr="00A905DB">
              <w:rPr>
                <w:sz w:val="16"/>
                <w:szCs w:val="16"/>
              </w:rPr>
              <w:t>OUTCOME 2</w:t>
            </w:r>
            <w:r w:rsidRPr="008C0AF2">
              <w:rPr>
                <w:sz w:val="16"/>
                <w:szCs w:val="16"/>
              </w:rPr>
              <w:t xml:space="preserve"> </w:t>
            </w:r>
          </w:p>
          <w:p w14:paraId="0C35E10C" w14:textId="77777777" w:rsidR="003D2258" w:rsidRDefault="003D2258" w:rsidP="003D2258">
            <w:pPr>
              <w:widowControl w:val="0"/>
              <w:jc w:val="both"/>
              <w:rPr>
                <w:sz w:val="16"/>
                <w:szCs w:val="16"/>
              </w:rPr>
            </w:pPr>
          </w:p>
          <w:p w14:paraId="0A073C8A" w14:textId="77777777" w:rsidR="003D2258" w:rsidRPr="00A905DB" w:rsidRDefault="003D2258" w:rsidP="003D2258">
            <w:pPr>
              <w:rPr>
                <w:sz w:val="16"/>
                <w:szCs w:val="16"/>
              </w:rPr>
            </w:pPr>
            <w:r w:rsidRPr="00A905DB">
              <w:rPr>
                <w:sz w:val="16"/>
                <w:szCs w:val="16"/>
              </w:rPr>
              <w:t>OUTCOME 3</w:t>
            </w:r>
          </w:p>
          <w:p w14:paraId="52AA2FEE" w14:textId="77777777" w:rsidR="003D2258" w:rsidRDefault="003D2258" w:rsidP="003D2258">
            <w:pPr>
              <w:jc w:val="both"/>
              <w:rPr>
                <w:sz w:val="16"/>
                <w:szCs w:val="16"/>
              </w:rPr>
            </w:pPr>
          </w:p>
          <w:p w14:paraId="6538ABB8" w14:textId="65FDA755" w:rsidR="003D2258" w:rsidRPr="001620F5" w:rsidRDefault="003D2258" w:rsidP="003D2258">
            <w:pPr>
              <w:rPr>
                <w:color w:val="000000"/>
                <w:sz w:val="16"/>
                <w:szCs w:val="16"/>
              </w:rPr>
            </w:pPr>
            <w:r w:rsidRPr="00A905DB">
              <w:rPr>
                <w:sz w:val="16"/>
                <w:szCs w:val="16"/>
              </w:rPr>
              <w:t>OUTCOME 4</w:t>
            </w:r>
          </w:p>
        </w:tc>
        <w:tc>
          <w:tcPr>
            <w:tcW w:w="647" w:type="pct"/>
          </w:tcPr>
          <w:p w14:paraId="4A209D97" w14:textId="170E9BED" w:rsidR="003D2258" w:rsidRPr="007E22C3" w:rsidRDefault="003D2258" w:rsidP="003D2258">
            <w:pPr>
              <w:rPr>
                <w:sz w:val="16"/>
                <w:szCs w:val="16"/>
              </w:rPr>
            </w:pPr>
            <w:r>
              <w:rPr>
                <w:sz w:val="16"/>
                <w:szCs w:val="16"/>
              </w:rPr>
              <w:t>Gender Equality</w:t>
            </w:r>
          </w:p>
        </w:tc>
        <w:tc>
          <w:tcPr>
            <w:tcW w:w="565" w:type="pct"/>
          </w:tcPr>
          <w:p w14:paraId="604A8B56" w14:textId="1FE64BCD" w:rsidR="003D2258" w:rsidRPr="003C26C1" w:rsidRDefault="003D2258" w:rsidP="003D2258">
            <w:pPr>
              <w:rPr>
                <w:sz w:val="16"/>
                <w:szCs w:val="16"/>
              </w:rPr>
            </w:pPr>
            <w:r>
              <w:rPr>
                <w:sz w:val="16"/>
                <w:szCs w:val="16"/>
              </w:rPr>
              <w:t>Thematic evaluation: UNDP contribution to the gender equality and women empowerment</w:t>
            </w:r>
          </w:p>
        </w:tc>
        <w:tc>
          <w:tcPr>
            <w:tcW w:w="585" w:type="pct"/>
          </w:tcPr>
          <w:p w14:paraId="319A6693" w14:textId="32C2D701" w:rsidR="003D2258" w:rsidRDefault="003D2258" w:rsidP="003D2258">
            <w:pPr>
              <w:rPr>
                <w:sz w:val="16"/>
                <w:szCs w:val="16"/>
              </w:rPr>
            </w:pPr>
            <w:r>
              <w:rPr>
                <w:sz w:val="16"/>
                <w:szCs w:val="16"/>
              </w:rPr>
              <w:t>Cabinet of Ministers a</w:t>
            </w:r>
            <w:r w:rsidRPr="000744F8">
              <w:rPr>
                <w:sz w:val="16"/>
                <w:szCs w:val="16"/>
              </w:rPr>
              <w:t xml:space="preserve">nd Parliament </w:t>
            </w:r>
            <w:r>
              <w:rPr>
                <w:sz w:val="16"/>
                <w:szCs w:val="16"/>
              </w:rPr>
              <w:t>(line ministries, state agencies);</w:t>
            </w:r>
          </w:p>
          <w:p w14:paraId="3361572B" w14:textId="77777777" w:rsidR="003D2258" w:rsidRDefault="003D2258" w:rsidP="003D2258">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2092393A" w14:textId="77777777" w:rsidR="003D2258" w:rsidRDefault="003D2258" w:rsidP="003D2258">
            <w:pPr>
              <w:rPr>
                <w:sz w:val="16"/>
                <w:szCs w:val="16"/>
              </w:rPr>
            </w:pPr>
            <w:r>
              <w:rPr>
                <w:sz w:val="16"/>
                <w:szCs w:val="16"/>
              </w:rPr>
              <w:t>CSOs/NGOs;</w:t>
            </w:r>
          </w:p>
          <w:p w14:paraId="358EAAE6" w14:textId="0E99F42B" w:rsidR="003D2258" w:rsidRDefault="003D2258" w:rsidP="003D2258">
            <w:pPr>
              <w:rPr>
                <w:sz w:val="16"/>
                <w:szCs w:val="16"/>
              </w:rPr>
            </w:pPr>
            <w:r>
              <w:rPr>
                <w:sz w:val="16"/>
                <w:szCs w:val="16"/>
              </w:rPr>
              <w:t xml:space="preserve">Academia </w:t>
            </w:r>
            <w:r w:rsidRPr="000744F8">
              <w:rPr>
                <w:sz w:val="16"/>
                <w:szCs w:val="16"/>
              </w:rPr>
              <w:t>and media</w:t>
            </w:r>
            <w:r>
              <w:rPr>
                <w:sz w:val="16"/>
                <w:szCs w:val="16"/>
              </w:rPr>
              <w:t>;</w:t>
            </w:r>
          </w:p>
          <w:p w14:paraId="26D04826" w14:textId="573035D8" w:rsidR="003D2258" w:rsidRPr="003C26C1" w:rsidRDefault="003D2258" w:rsidP="003D2258">
            <w:pPr>
              <w:rPr>
                <w:sz w:val="16"/>
                <w:szCs w:val="16"/>
              </w:rPr>
            </w:pPr>
            <w:r>
              <w:rPr>
                <w:sz w:val="16"/>
                <w:szCs w:val="16"/>
              </w:rPr>
              <w:t>Private sector</w:t>
            </w:r>
            <w:r w:rsidRPr="003C26C1">
              <w:rPr>
                <w:sz w:val="16"/>
                <w:szCs w:val="16"/>
              </w:rPr>
              <w:t>.</w:t>
            </w:r>
          </w:p>
        </w:tc>
        <w:tc>
          <w:tcPr>
            <w:tcW w:w="593" w:type="pct"/>
          </w:tcPr>
          <w:p w14:paraId="1F6C8E7B" w14:textId="60F6BD27" w:rsidR="003D2258" w:rsidRPr="003C26C1" w:rsidRDefault="003D2258" w:rsidP="003D2258">
            <w:pPr>
              <w:rPr>
                <w:sz w:val="16"/>
                <w:szCs w:val="16"/>
              </w:rPr>
            </w:pPr>
            <w:r>
              <w:rPr>
                <w:sz w:val="16"/>
                <w:szCs w:val="16"/>
              </w:rPr>
              <w:t>UNDP</w:t>
            </w:r>
          </w:p>
        </w:tc>
        <w:tc>
          <w:tcPr>
            <w:tcW w:w="485" w:type="pct"/>
          </w:tcPr>
          <w:p w14:paraId="5B7C40A8" w14:textId="7358DA02" w:rsidR="003D2258" w:rsidRPr="003C26C1" w:rsidRDefault="003D2258" w:rsidP="003D2258">
            <w:pPr>
              <w:rPr>
                <w:sz w:val="16"/>
                <w:szCs w:val="16"/>
              </w:rPr>
            </w:pPr>
            <w:r>
              <w:rPr>
                <w:sz w:val="16"/>
                <w:szCs w:val="16"/>
              </w:rPr>
              <w:t>Thematic</w:t>
            </w:r>
          </w:p>
          <w:p w14:paraId="48C94140" w14:textId="2DEF1BEC" w:rsidR="003D2258" w:rsidRPr="003C26C1" w:rsidRDefault="003D2258" w:rsidP="003D2258">
            <w:pPr>
              <w:rPr>
                <w:sz w:val="16"/>
                <w:szCs w:val="16"/>
              </w:rPr>
            </w:pPr>
          </w:p>
        </w:tc>
        <w:tc>
          <w:tcPr>
            <w:tcW w:w="538" w:type="pct"/>
          </w:tcPr>
          <w:p w14:paraId="6BD91461" w14:textId="6FBCB246" w:rsidR="003D2258" w:rsidRPr="003C26C1" w:rsidRDefault="003D2258" w:rsidP="003D2258">
            <w:pPr>
              <w:spacing w:before="40" w:after="40"/>
              <w:rPr>
                <w:sz w:val="16"/>
                <w:szCs w:val="16"/>
              </w:rPr>
            </w:pPr>
            <w:r>
              <w:rPr>
                <w:sz w:val="16"/>
                <w:szCs w:val="16"/>
              </w:rPr>
              <w:t>Dec’ 2027 (Q4)</w:t>
            </w:r>
          </w:p>
          <w:p w14:paraId="01EFCF2B" w14:textId="77777777" w:rsidR="003D2258" w:rsidRPr="003C26C1" w:rsidRDefault="003D2258" w:rsidP="003D2258">
            <w:pPr>
              <w:spacing w:before="40" w:after="40"/>
              <w:rPr>
                <w:sz w:val="16"/>
                <w:szCs w:val="16"/>
              </w:rPr>
            </w:pPr>
          </w:p>
          <w:p w14:paraId="67EB56E5" w14:textId="369031BD" w:rsidR="003D2258" w:rsidRPr="003C26C1" w:rsidRDefault="003D2258" w:rsidP="003D2258">
            <w:pPr>
              <w:spacing w:before="40" w:after="40"/>
              <w:rPr>
                <w:sz w:val="16"/>
                <w:szCs w:val="16"/>
              </w:rPr>
            </w:pPr>
          </w:p>
        </w:tc>
        <w:tc>
          <w:tcPr>
            <w:tcW w:w="517" w:type="pct"/>
          </w:tcPr>
          <w:p w14:paraId="51E1F124" w14:textId="04108C38" w:rsidR="003D2258" w:rsidRDefault="003D2258" w:rsidP="003D2258">
            <w:pPr>
              <w:rPr>
                <w:sz w:val="16"/>
                <w:szCs w:val="16"/>
              </w:rPr>
            </w:pPr>
            <w:r>
              <w:rPr>
                <w:sz w:val="16"/>
                <w:szCs w:val="16"/>
              </w:rPr>
              <w:t>$30,000</w:t>
            </w:r>
          </w:p>
          <w:p w14:paraId="63ECD0A3" w14:textId="77777777" w:rsidR="003D2258" w:rsidRPr="003C26C1" w:rsidRDefault="003D2258" w:rsidP="003D2258">
            <w:pPr>
              <w:rPr>
                <w:sz w:val="16"/>
                <w:szCs w:val="16"/>
              </w:rPr>
            </w:pPr>
          </w:p>
        </w:tc>
        <w:tc>
          <w:tcPr>
            <w:tcW w:w="487" w:type="pct"/>
          </w:tcPr>
          <w:p w14:paraId="0F0CEB5D" w14:textId="73B2D135" w:rsidR="003D2258" w:rsidRPr="003C26C1" w:rsidRDefault="003D2258" w:rsidP="003D2258">
            <w:pPr>
              <w:rPr>
                <w:rStyle w:val="CommentReference"/>
                <w:sz w:val="16"/>
                <w:szCs w:val="16"/>
                <w:lang w:eastAsia="uk-UA"/>
              </w:rPr>
            </w:pPr>
            <w:r>
              <w:rPr>
                <w:rStyle w:val="CommentReference"/>
                <w:sz w:val="16"/>
                <w:szCs w:val="16"/>
                <w:lang w:eastAsia="uk-UA"/>
              </w:rPr>
              <w:t>UNDP</w:t>
            </w:r>
          </w:p>
        </w:tc>
      </w:tr>
      <w:tr w:rsidR="00512995" w:rsidRPr="003C26C1" w14:paraId="18AB7254" w14:textId="77777777" w:rsidTr="00A76773">
        <w:trPr>
          <w:trHeight w:val="980"/>
        </w:trPr>
        <w:tc>
          <w:tcPr>
            <w:tcW w:w="583" w:type="pct"/>
          </w:tcPr>
          <w:p w14:paraId="467CFF3E" w14:textId="61ED8341" w:rsidR="00512995" w:rsidRPr="008C0AF2" w:rsidRDefault="00512995" w:rsidP="00512995">
            <w:pPr>
              <w:rPr>
                <w:sz w:val="16"/>
                <w:szCs w:val="16"/>
              </w:rPr>
            </w:pPr>
            <w:r w:rsidRPr="00A905DB">
              <w:rPr>
                <w:sz w:val="16"/>
                <w:szCs w:val="16"/>
              </w:rPr>
              <w:t>OUTCOME 2</w:t>
            </w:r>
            <w:r w:rsidRPr="008C0AF2">
              <w:rPr>
                <w:sz w:val="16"/>
                <w:szCs w:val="16"/>
              </w:rPr>
              <w:t xml:space="preserve"> </w:t>
            </w:r>
          </w:p>
          <w:p w14:paraId="1FC4EB5A" w14:textId="77777777" w:rsidR="00512995" w:rsidRDefault="00512995" w:rsidP="00512995">
            <w:pPr>
              <w:widowControl w:val="0"/>
              <w:jc w:val="both"/>
              <w:rPr>
                <w:sz w:val="16"/>
                <w:szCs w:val="16"/>
              </w:rPr>
            </w:pPr>
          </w:p>
          <w:p w14:paraId="01A0FC54" w14:textId="5D1D35E4" w:rsidR="00512995" w:rsidRPr="00A905DB" w:rsidRDefault="00512995" w:rsidP="00CB2C89">
            <w:pPr>
              <w:rPr>
                <w:sz w:val="16"/>
                <w:szCs w:val="16"/>
              </w:rPr>
            </w:pPr>
            <w:r w:rsidRPr="00A905DB">
              <w:rPr>
                <w:sz w:val="16"/>
                <w:szCs w:val="16"/>
              </w:rPr>
              <w:t>OUTCOME 3</w:t>
            </w:r>
          </w:p>
          <w:p w14:paraId="17FCDB17" w14:textId="77777777" w:rsidR="00512995" w:rsidRDefault="00512995" w:rsidP="00512995">
            <w:pPr>
              <w:jc w:val="both"/>
              <w:rPr>
                <w:sz w:val="16"/>
                <w:szCs w:val="16"/>
              </w:rPr>
            </w:pPr>
          </w:p>
          <w:p w14:paraId="4A33AA90" w14:textId="73DF7988" w:rsidR="00512995" w:rsidRPr="00A905DB" w:rsidRDefault="00512995" w:rsidP="00CB2C89">
            <w:pPr>
              <w:rPr>
                <w:sz w:val="16"/>
                <w:szCs w:val="16"/>
              </w:rPr>
            </w:pPr>
            <w:r w:rsidRPr="00A905DB">
              <w:rPr>
                <w:sz w:val="16"/>
                <w:szCs w:val="16"/>
              </w:rPr>
              <w:t>OUTCOME 4</w:t>
            </w:r>
          </w:p>
        </w:tc>
        <w:tc>
          <w:tcPr>
            <w:tcW w:w="647" w:type="pct"/>
          </w:tcPr>
          <w:p w14:paraId="7AB7AA93" w14:textId="77777777" w:rsidR="00512995" w:rsidRDefault="00512995" w:rsidP="00512995">
            <w:pPr>
              <w:rPr>
                <w:sz w:val="16"/>
                <w:szCs w:val="16"/>
              </w:rPr>
            </w:pPr>
            <w:r>
              <w:rPr>
                <w:sz w:val="16"/>
                <w:szCs w:val="16"/>
              </w:rPr>
              <w:t>Poverty and Inequality</w:t>
            </w:r>
          </w:p>
          <w:p w14:paraId="7317B3B9" w14:textId="77777777" w:rsidR="00512995" w:rsidRDefault="00512995" w:rsidP="00512995">
            <w:pPr>
              <w:rPr>
                <w:sz w:val="16"/>
                <w:szCs w:val="16"/>
              </w:rPr>
            </w:pPr>
          </w:p>
          <w:p w14:paraId="6F56B6D1" w14:textId="77777777" w:rsidR="00512995" w:rsidRDefault="00512995" w:rsidP="00512995">
            <w:pPr>
              <w:rPr>
                <w:sz w:val="16"/>
                <w:szCs w:val="16"/>
              </w:rPr>
            </w:pPr>
            <w:r>
              <w:rPr>
                <w:sz w:val="16"/>
                <w:szCs w:val="16"/>
              </w:rPr>
              <w:t>Governance</w:t>
            </w:r>
          </w:p>
          <w:p w14:paraId="3B23236A" w14:textId="1ECEB30D" w:rsidR="00512995" w:rsidRDefault="00512995" w:rsidP="00512995">
            <w:pPr>
              <w:rPr>
                <w:sz w:val="16"/>
                <w:szCs w:val="16"/>
              </w:rPr>
            </w:pPr>
          </w:p>
        </w:tc>
        <w:tc>
          <w:tcPr>
            <w:tcW w:w="565" w:type="pct"/>
          </w:tcPr>
          <w:p w14:paraId="4E126FD3" w14:textId="41E0AE65" w:rsidR="00512995" w:rsidRDefault="00512995" w:rsidP="00512995">
            <w:pPr>
              <w:rPr>
                <w:sz w:val="16"/>
                <w:szCs w:val="16"/>
              </w:rPr>
            </w:pPr>
            <w:r>
              <w:rPr>
                <w:sz w:val="16"/>
                <w:szCs w:val="16"/>
              </w:rPr>
              <w:t>Thematic evaluation: UNDP’s mainstreaming of i</w:t>
            </w:r>
            <w:r w:rsidRPr="008E67B9">
              <w:rPr>
                <w:sz w:val="16"/>
                <w:szCs w:val="16"/>
              </w:rPr>
              <w:t>nnovation and digitalization across its programming portfolio</w:t>
            </w:r>
            <w:r>
              <w:rPr>
                <w:sz w:val="16"/>
                <w:szCs w:val="16"/>
              </w:rPr>
              <w:t>s</w:t>
            </w:r>
            <w:r w:rsidRPr="008E67B9">
              <w:rPr>
                <w:sz w:val="16"/>
                <w:szCs w:val="16"/>
              </w:rPr>
              <w:t xml:space="preserve"> (including Accelerator Lab)</w:t>
            </w:r>
          </w:p>
        </w:tc>
        <w:tc>
          <w:tcPr>
            <w:tcW w:w="585" w:type="pct"/>
          </w:tcPr>
          <w:p w14:paraId="4B5E546B" w14:textId="77777777" w:rsidR="00512995" w:rsidRDefault="00512995" w:rsidP="00512995">
            <w:pPr>
              <w:rPr>
                <w:sz w:val="16"/>
                <w:szCs w:val="16"/>
              </w:rPr>
            </w:pPr>
            <w:r>
              <w:rPr>
                <w:sz w:val="16"/>
                <w:szCs w:val="16"/>
              </w:rPr>
              <w:t>Cabinet of Ministers a</w:t>
            </w:r>
            <w:r w:rsidRPr="000744F8">
              <w:rPr>
                <w:sz w:val="16"/>
                <w:szCs w:val="16"/>
              </w:rPr>
              <w:t xml:space="preserve">nd Parliament </w:t>
            </w:r>
            <w:r>
              <w:rPr>
                <w:sz w:val="16"/>
                <w:szCs w:val="16"/>
              </w:rPr>
              <w:t>(line ministries, state agencies);</w:t>
            </w:r>
          </w:p>
          <w:p w14:paraId="7CD96EA6" w14:textId="77777777" w:rsidR="00512995" w:rsidRDefault="00512995" w:rsidP="00512995">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3C76D815" w14:textId="77777777" w:rsidR="00512995" w:rsidRDefault="00512995" w:rsidP="00512995">
            <w:pPr>
              <w:rPr>
                <w:sz w:val="16"/>
                <w:szCs w:val="16"/>
              </w:rPr>
            </w:pPr>
            <w:r>
              <w:rPr>
                <w:sz w:val="16"/>
                <w:szCs w:val="16"/>
              </w:rPr>
              <w:t>CSOs/NGOs;</w:t>
            </w:r>
          </w:p>
          <w:p w14:paraId="364C682F" w14:textId="77777777" w:rsidR="00512995" w:rsidRDefault="00512995" w:rsidP="00512995">
            <w:pPr>
              <w:rPr>
                <w:sz w:val="16"/>
                <w:szCs w:val="16"/>
              </w:rPr>
            </w:pPr>
            <w:r>
              <w:rPr>
                <w:sz w:val="16"/>
                <w:szCs w:val="16"/>
              </w:rPr>
              <w:t xml:space="preserve">Academia </w:t>
            </w:r>
            <w:r w:rsidRPr="000744F8">
              <w:rPr>
                <w:sz w:val="16"/>
                <w:szCs w:val="16"/>
              </w:rPr>
              <w:t>and media</w:t>
            </w:r>
            <w:r>
              <w:rPr>
                <w:sz w:val="16"/>
                <w:szCs w:val="16"/>
              </w:rPr>
              <w:t>;</w:t>
            </w:r>
          </w:p>
          <w:p w14:paraId="3458D515" w14:textId="2C45A2A6" w:rsidR="00512995" w:rsidRDefault="00512995" w:rsidP="00512995">
            <w:pPr>
              <w:rPr>
                <w:sz w:val="16"/>
                <w:szCs w:val="16"/>
              </w:rPr>
            </w:pPr>
            <w:r>
              <w:rPr>
                <w:sz w:val="16"/>
                <w:szCs w:val="16"/>
              </w:rPr>
              <w:t>Private sector</w:t>
            </w:r>
            <w:r w:rsidRPr="003C26C1">
              <w:rPr>
                <w:sz w:val="16"/>
                <w:szCs w:val="16"/>
              </w:rPr>
              <w:t>.</w:t>
            </w:r>
          </w:p>
        </w:tc>
        <w:tc>
          <w:tcPr>
            <w:tcW w:w="593" w:type="pct"/>
          </w:tcPr>
          <w:p w14:paraId="4EF361E4" w14:textId="067D9067" w:rsidR="00512995" w:rsidRDefault="00512995" w:rsidP="00512995">
            <w:pPr>
              <w:rPr>
                <w:sz w:val="16"/>
                <w:szCs w:val="16"/>
              </w:rPr>
            </w:pPr>
            <w:r>
              <w:rPr>
                <w:sz w:val="16"/>
                <w:szCs w:val="16"/>
              </w:rPr>
              <w:t>UNDP</w:t>
            </w:r>
          </w:p>
        </w:tc>
        <w:tc>
          <w:tcPr>
            <w:tcW w:w="485" w:type="pct"/>
          </w:tcPr>
          <w:p w14:paraId="1A196795" w14:textId="77777777" w:rsidR="00512995" w:rsidRPr="003C26C1" w:rsidRDefault="00512995" w:rsidP="00512995">
            <w:pPr>
              <w:rPr>
                <w:sz w:val="16"/>
                <w:szCs w:val="16"/>
              </w:rPr>
            </w:pPr>
            <w:r>
              <w:rPr>
                <w:sz w:val="16"/>
                <w:szCs w:val="16"/>
              </w:rPr>
              <w:t>Thematic</w:t>
            </w:r>
          </w:p>
          <w:p w14:paraId="69FF4ACE" w14:textId="77777777" w:rsidR="00512995" w:rsidRDefault="00512995" w:rsidP="00512995">
            <w:pPr>
              <w:rPr>
                <w:sz w:val="16"/>
                <w:szCs w:val="16"/>
              </w:rPr>
            </w:pPr>
          </w:p>
        </w:tc>
        <w:tc>
          <w:tcPr>
            <w:tcW w:w="538" w:type="pct"/>
          </w:tcPr>
          <w:p w14:paraId="5BA78064" w14:textId="559C1588" w:rsidR="00512995" w:rsidRPr="003C26C1" w:rsidRDefault="00512995" w:rsidP="00512995">
            <w:pPr>
              <w:spacing w:before="40" w:after="40"/>
              <w:rPr>
                <w:sz w:val="16"/>
                <w:szCs w:val="16"/>
              </w:rPr>
            </w:pPr>
            <w:r>
              <w:rPr>
                <w:sz w:val="16"/>
                <w:szCs w:val="16"/>
              </w:rPr>
              <w:t>Dec’ 2026 (Q4)</w:t>
            </w:r>
          </w:p>
          <w:p w14:paraId="43F55E2F" w14:textId="77777777" w:rsidR="00512995" w:rsidRPr="003C26C1" w:rsidRDefault="00512995" w:rsidP="00512995">
            <w:pPr>
              <w:spacing w:before="40" w:after="40"/>
              <w:rPr>
                <w:sz w:val="16"/>
                <w:szCs w:val="16"/>
              </w:rPr>
            </w:pPr>
          </w:p>
          <w:p w14:paraId="01E5BF05" w14:textId="77777777" w:rsidR="00512995" w:rsidRDefault="00512995" w:rsidP="00512995">
            <w:pPr>
              <w:spacing w:before="40" w:after="40"/>
              <w:rPr>
                <w:sz w:val="16"/>
                <w:szCs w:val="16"/>
              </w:rPr>
            </w:pPr>
          </w:p>
        </w:tc>
        <w:tc>
          <w:tcPr>
            <w:tcW w:w="517" w:type="pct"/>
          </w:tcPr>
          <w:p w14:paraId="372B1375" w14:textId="77777777" w:rsidR="00512995" w:rsidRDefault="00512995" w:rsidP="00512995">
            <w:pPr>
              <w:rPr>
                <w:sz w:val="16"/>
                <w:szCs w:val="16"/>
              </w:rPr>
            </w:pPr>
            <w:r>
              <w:rPr>
                <w:sz w:val="16"/>
                <w:szCs w:val="16"/>
              </w:rPr>
              <w:t>$30,000</w:t>
            </w:r>
          </w:p>
          <w:p w14:paraId="65DDD1CB" w14:textId="77777777" w:rsidR="00512995" w:rsidRDefault="00512995" w:rsidP="00512995">
            <w:pPr>
              <w:rPr>
                <w:sz w:val="16"/>
                <w:szCs w:val="16"/>
              </w:rPr>
            </w:pPr>
          </w:p>
        </w:tc>
        <w:tc>
          <w:tcPr>
            <w:tcW w:w="487" w:type="pct"/>
          </w:tcPr>
          <w:p w14:paraId="09C654AF" w14:textId="0A9635F1" w:rsidR="00512995" w:rsidRDefault="00512995" w:rsidP="00512995">
            <w:pPr>
              <w:rPr>
                <w:rStyle w:val="CommentReference"/>
                <w:sz w:val="16"/>
                <w:szCs w:val="16"/>
                <w:lang w:eastAsia="uk-UA"/>
              </w:rPr>
            </w:pPr>
            <w:r>
              <w:rPr>
                <w:rStyle w:val="CommentReference"/>
                <w:sz w:val="16"/>
                <w:szCs w:val="16"/>
                <w:lang w:eastAsia="uk-UA"/>
              </w:rPr>
              <w:t>UNDP</w:t>
            </w:r>
          </w:p>
        </w:tc>
      </w:tr>
      <w:tr w:rsidR="00512995" w:rsidRPr="003C26C1" w14:paraId="232B7FF1" w14:textId="77777777" w:rsidTr="00A76773">
        <w:trPr>
          <w:trHeight w:val="980"/>
        </w:trPr>
        <w:tc>
          <w:tcPr>
            <w:tcW w:w="583" w:type="pct"/>
          </w:tcPr>
          <w:p w14:paraId="3649E509" w14:textId="77777777" w:rsidR="00512995" w:rsidRDefault="00512995" w:rsidP="001620F5">
            <w:pPr>
              <w:jc w:val="both"/>
              <w:rPr>
                <w:color w:val="000000"/>
                <w:sz w:val="16"/>
                <w:szCs w:val="16"/>
              </w:rPr>
            </w:pPr>
            <w:r w:rsidRPr="00A905DB">
              <w:rPr>
                <w:sz w:val="16"/>
                <w:szCs w:val="16"/>
              </w:rPr>
              <w:t xml:space="preserve">OUTCOME 2: </w:t>
            </w:r>
            <w:r w:rsidRPr="008C0AF2">
              <w:rPr>
                <w:sz w:val="16"/>
                <w:szCs w:val="16"/>
              </w:rPr>
              <w:t xml:space="preserve"> </w:t>
            </w:r>
            <w:r w:rsidR="001A321B" w:rsidRPr="00CB2C89">
              <w:rPr>
                <w:color w:val="000000"/>
                <w:sz w:val="16"/>
                <w:szCs w:val="16"/>
              </w:rPr>
              <w:t xml:space="preserve">By 2027, the well-being of the population of the Kyrgyz Republic will have improved through the further rollout of a green economy based on sustainable and healthy food systems </w:t>
            </w:r>
            <w:r w:rsidR="001A321B" w:rsidRPr="00CB2C89">
              <w:rPr>
                <w:color w:val="000000"/>
                <w:sz w:val="16"/>
                <w:szCs w:val="16"/>
              </w:rPr>
              <w:lastRenderedPageBreak/>
              <w:t>natural resource management, and effective migration processes, by accelerating the use of innovation and entrepreneurship</w:t>
            </w:r>
            <w:r w:rsidR="001A321B">
              <w:rPr>
                <w:color w:val="000000"/>
                <w:sz w:val="16"/>
                <w:szCs w:val="16"/>
              </w:rPr>
              <w:t xml:space="preserve"> </w:t>
            </w:r>
          </w:p>
          <w:p w14:paraId="0B9FCA34" w14:textId="604E48C0" w:rsidR="00501A0E" w:rsidRPr="00A905DB" w:rsidRDefault="00501A0E" w:rsidP="001620F5">
            <w:pPr>
              <w:jc w:val="both"/>
              <w:rPr>
                <w:sz w:val="16"/>
                <w:szCs w:val="16"/>
              </w:rPr>
            </w:pPr>
          </w:p>
        </w:tc>
        <w:tc>
          <w:tcPr>
            <w:tcW w:w="647" w:type="pct"/>
          </w:tcPr>
          <w:p w14:paraId="7520379B" w14:textId="77777777" w:rsidR="00512995" w:rsidRDefault="00512995" w:rsidP="00512995">
            <w:pPr>
              <w:rPr>
                <w:sz w:val="16"/>
                <w:szCs w:val="16"/>
              </w:rPr>
            </w:pPr>
            <w:r>
              <w:rPr>
                <w:sz w:val="16"/>
                <w:szCs w:val="16"/>
              </w:rPr>
              <w:lastRenderedPageBreak/>
              <w:t>Poverty and Inequality</w:t>
            </w:r>
          </w:p>
          <w:p w14:paraId="0C1CD98D" w14:textId="77777777" w:rsidR="00512995" w:rsidRDefault="00512995" w:rsidP="00512995">
            <w:pPr>
              <w:rPr>
                <w:sz w:val="16"/>
                <w:szCs w:val="16"/>
              </w:rPr>
            </w:pPr>
          </w:p>
        </w:tc>
        <w:tc>
          <w:tcPr>
            <w:tcW w:w="565" w:type="pct"/>
          </w:tcPr>
          <w:p w14:paraId="1F10DCD2" w14:textId="17BE09F5" w:rsidR="00512995" w:rsidRPr="008C0AF2" w:rsidRDefault="00512995" w:rsidP="00512995">
            <w:pPr>
              <w:rPr>
                <w:sz w:val="16"/>
                <w:szCs w:val="16"/>
              </w:rPr>
            </w:pPr>
            <w:r>
              <w:rPr>
                <w:sz w:val="16"/>
                <w:szCs w:val="16"/>
              </w:rPr>
              <w:t xml:space="preserve">Portfolio evaluation: </w:t>
            </w:r>
            <w:r w:rsidRPr="008C0AF2">
              <w:rPr>
                <w:sz w:val="16"/>
                <w:szCs w:val="16"/>
              </w:rPr>
              <w:t xml:space="preserve">Green </w:t>
            </w:r>
            <w:r>
              <w:rPr>
                <w:sz w:val="16"/>
                <w:szCs w:val="16"/>
              </w:rPr>
              <w:t>e</w:t>
            </w:r>
            <w:r w:rsidRPr="008C0AF2">
              <w:rPr>
                <w:sz w:val="16"/>
                <w:szCs w:val="16"/>
              </w:rPr>
              <w:t xml:space="preserve">conomic transformation and inclusive development </w:t>
            </w:r>
          </w:p>
          <w:p w14:paraId="49D2B397" w14:textId="77777777" w:rsidR="00512995" w:rsidRDefault="00512995" w:rsidP="00512995">
            <w:pPr>
              <w:rPr>
                <w:sz w:val="16"/>
                <w:szCs w:val="16"/>
              </w:rPr>
            </w:pPr>
          </w:p>
        </w:tc>
        <w:tc>
          <w:tcPr>
            <w:tcW w:w="585" w:type="pct"/>
          </w:tcPr>
          <w:p w14:paraId="3D64DBD9" w14:textId="77777777" w:rsidR="00512995" w:rsidRDefault="00512995" w:rsidP="00512995">
            <w:pPr>
              <w:rPr>
                <w:sz w:val="16"/>
                <w:szCs w:val="16"/>
              </w:rPr>
            </w:pPr>
            <w:r>
              <w:rPr>
                <w:sz w:val="16"/>
                <w:szCs w:val="16"/>
              </w:rPr>
              <w:t>Cabinet of Ministers a</w:t>
            </w:r>
            <w:r w:rsidRPr="000744F8">
              <w:rPr>
                <w:sz w:val="16"/>
                <w:szCs w:val="16"/>
              </w:rPr>
              <w:t xml:space="preserve">nd Parliament </w:t>
            </w:r>
            <w:r>
              <w:rPr>
                <w:sz w:val="16"/>
                <w:szCs w:val="16"/>
              </w:rPr>
              <w:t>(r</w:t>
            </w:r>
            <w:r w:rsidRPr="000744F8">
              <w:rPr>
                <w:sz w:val="16"/>
                <w:szCs w:val="16"/>
              </w:rPr>
              <w:t xml:space="preserve">elevant </w:t>
            </w:r>
            <w:r>
              <w:rPr>
                <w:sz w:val="16"/>
                <w:szCs w:val="16"/>
              </w:rPr>
              <w:t>ministry, state agencies);</w:t>
            </w:r>
          </w:p>
          <w:p w14:paraId="6152FBD5" w14:textId="77777777" w:rsidR="00512995" w:rsidRDefault="00512995" w:rsidP="00512995">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4793F8B7" w14:textId="77777777" w:rsidR="00512995" w:rsidRDefault="00512995" w:rsidP="00512995">
            <w:pPr>
              <w:rPr>
                <w:sz w:val="16"/>
                <w:szCs w:val="16"/>
              </w:rPr>
            </w:pPr>
            <w:r>
              <w:rPr>
                <w:sz w:val="16"/>
                <w:szCs w:val="16"/>
              </w:rPr>
              <w:t>CSOs/NGOs;</w:t>
            </w:r>
          </w:p>
          <w:p w14:paraId="12B95242" w14:textId="77777777" w:rsidR="00512995" w:rsidRDefault="00512995" w:rsidP="00512995">
            <w:pPr>
              <w:rPr>
                <w:sz w:val="16"/>
                <w:szCs w:val="16"/>
              </w:rPr>
            </w:pPr>
            <w:r>
              <w:rPr>
                <w:sz w:val="16"/>
                <w:szCs w:val="16"/>
              </w:rPr>
              <w:t xml:space="preserve">Academia </w:t>
            </w:r>
            <w:r w:rsidRPr="000744F8">
              <w:rPr>
                <w:sz w:val="16"/>
                <w:szCs w:val="16"/>
              </w:rPr>
              <w:t>and media</w:t>
            </w:r>
            <w:r>
              <w:rPr>
                <w:sz w:val="16"/>
                <w:szCs w:val="16"/>
              </w:rPr>
              <w:t>;</w:t>
            </w:r>
          </w:p>
          <w:p w14:paraId="334078A1" w14:textId="6A957648" w:rsidR="00512995" w:rsidRDefault="00512995" w:rsidP="00512995">
            <w:pPr>
              <w:rPr>
                <w:sz w:val="16"/>
                <w:szCs w:val="16"/>
              </w:rPr>
            </w:pPr>
            <w:r>
              <w:rPr>
                <w:sz w:val="16"/>
                <w:szCs w:val="16"/>
              </w:rPr>
              <w:t>Private sector</w:t>
            </w:r>
            <w:r w:rsidRPr="003C26C1">
              <w:rPr>
                <w:sz w:val="16"/>
                <w:szCs w:val="16"/>
              </w:rPr>
              <w:t>.</w:t>
            </w:r>
          </w:p>
        </w:tc>
        <w:tc>
          <w:tcPr>
            <w:tcW w:w="593" w:type="pct"/>
          </w:tcPr>
          <w:p w14:paraId="4B608AFC" w14:textId="74083FA6" w:rsidR="00512995" w:rsidRDefault="00512995" w:rsidP="00512995">
            <w:pPr>
              <w:rPr>
                <w:sz w:val="16"/>
                <w:szCs w:val="16"/>
              </w:rPr>
            </w:pPr>
            <w:r>
              <w:rPr>
                <w:sz w:val="16"/>
                <w:szCs w:val="16"/>
              </w:rPr>
              <w:t>U</w:t>
            </w:r>
            <w:r w:rsidRPr="000744F8">
              <w:rPr>
                <w:sz w:val="16"/>
                <w:szCs w:val="16"/>
              </w:rPr>
              <w:t>NDP</w:t>
            </w:r>
          </w:p>
        </w:tc>
        <w:tc>
          <w:tcPr>
            <w:tcW w:w="485" w:type="pct"/>
          </w:tcPr>
          <w:p w14:paraId="51C0BEDC" w14:textId="60725C5D" w:rsidR="00512995" w:rsidRDefault="00512995" w:rsidP="00512995">
            <w:pPr>
              <w:rPr>
                <w:sz w:val="16"/>
                <w:szCs w:val="16"/>
              </w:rPr>
            </w:pPr>
            <w:r>
              <w:rPr>
                <w:sz w:val="16"/>
                <w:szCs w:val="16"/>
              </w:rPr>
              <w:t>Portfolio Evaluation</w:t>
            </w:r>
            <w:r w:rsidRPr="000744F8">
              <w:rPr>
                <w:sz w:val="16"/>
                <w:szCs w:val="16"/>
              </w:rPr>
              <w:t xml:space="preserve"> </w:t>
            </w:r>
          </w:p>
        </w:tc>
        <w:tc>
          <w:tcPr>
            <w:tcW w:w="538" w:type="pct"/>
          </w:tcPr>
          <w:p w14:paraId="6A66EB8A" w14:textId="72344DD5" w:rsidR="00512995" w:rsidRDefault="00512995" w:rsidP="00512995">
            <w:pPr>
              <w:spacing w:before="40" w:after="40"/>
              <w:rPr>
                <w:sz w:val="16"/>
                <w:szCs w:val="16"/>
              </w:rPr>
            </w:pPr>
            <w:r>
              <w:rPr>
                <w:sz w:val="16"/>
                <w:szCs w:val="16"/>
              </w:rPr>
              <w:t>Dec’ 2</w:t>
            </w:r>
            <w:r w:rsidRPr="000744F8">
              <w:rPr>
                <w:sz w:val="16"/>
                <w:szCs w:val="16"/>
              </w:rPr>
              <w:t>02</w:t>
            </w:r>
            <w:r>
              <w:rPr>
                <w:sz w:val="16"/>
                <w:szCs w:val="16"/>
              </w:rPr>
              <w:t>6 (Q4)</w:t>
            </w:r>
          </w:p>
        </w:tc>
        <w:tc>
          <w:tcPr>
            <w:tcW w:w="517" w:type="pct"/>
          </w:tcPr>
          <w:p w14:paraId="09670360" w14:textId="51CD2B38" w:rsidR="00512995" w:rsidRPr="00E705A1" w:rsidRDefault="00512995" w:rsidP="00512995">
            <w:pPr>
              <w:rPr>
                <w:sz w:val="16"/>
                <w:szCs w:val="16"/>
              </w:rPr>
            </w:pPr>
            <w:r w:rsidRPr="00E705A1">
              <w:rPr>
                <w:sz w:val="16"/>
                <w:szCs w:val="16"/>
              </w:rPr>
              <w:t>$20,000</w:t>
            </w:r>
          </w:p>
        </w:tc>
        <w:tc>
          <w:tcPr>
            <w:tcW w:w="487" w:type="pct"/>
          </w:tcPr>
          <w:p w14:paraId="4FF91F1D" w14:textId="32D9C811" w:rsidR="00512995" w:rsidRDefault="00512995" w:rsidP="00512995">
            <w:pPr>
              <w:rPr>
                <w:rStyle w:val="CommentReference"/>
                <w:sz w:val="16"/>
                <w:szCs w:val="16"/>
                <w:lang w:eastAsia="uk-UA"/>
              </w:rPr>
            </w:pPr>
            <w:r w:rsidRPr="008F445B">
              <w:rPr>
                <w:sz w:val="16"/>
                <w:szCs w:val="16"/>
              </w:rPr>
              <w:t>UNDP</w:t>
            </w:r>
          </w:p>
        </w:tc>
      </w:tr>
      <w:tr w:rsidR="00512995" w:rsidRPr="003C26C1" w14:paraId="3D26C73A" w14:textId="77777777" w:rsidTr="00A76773">
        <w:trPr>
          <w:trHeight w:val="490"/>
        </w:trPr>
        <w:tc>
          <w:tcPr>
            <w:tcW w:w="583" w:type="pct"/>
          </w:tcPr>
          <w:p w14:paraId="7D9C28C7" w14:textId="2F89900E" w:rsidR="00512995" w:rsidRPr="001620F5" w:rsidRDefault="00512995" w:rsidP="001620F5">
            <w:pPr>
              <w:widowControl w:val="0"/>
              <w:jc w:val="both"/>
              <w:rPr>
                <w:color w:val="000000"/>
                <w:sz w:val="16"/>
                <w:szCs w:val="16"/>
              </w:rPr>
            </w:pPr>
            <w:r w:rsidRPr="001620F5">
              <w:rPr>
                <w:color w:val="000000"/>
                <w:sz w:val="16"/>
                <w:szCs w:val="16"/>
              </w:rPr>
              <w:t xml:space="preserve">OUTCOME 3:  </w:t>
            </w:r>
            <w:r w:rsidR="001A321B" w:rsidRPr="001620F5">
              <w:rPr>
                <w:color w:val="000000"/>
                <w:sz w:val="16"/>
                <w:szCs w:val="16"/>
              </w:rPr>
              <w:t>By 2027, the Kyrgyz Republic has started the transition to low-carbon development and risk-informed climate resilience, contributing to people’s fair and equitable access to ecosystem benefits and to empowerment of vulnerable communities in the governance of natural resources and disaster prevention</w:t>
            </w:r>
          </w:p>
          <w:p w14:paraId="17AAD53D" w14:textId="542DD6F4" w:rsidR="00512995" w:rsidRPr="001620F5" w:rsidRDefault="00512995" w:rsidP="00512995">
            <w:pPr>
              <w:widowControl w:val="0"/>
              <w:rPr>
                <w:color w:val="000000"/>
                <w:sz w:val="16"/>
                <w:szCs w:val="16"/>
              </w:rPr>
            </w:pPr>
          </w:p>
        </w:tc>
        <w:tc>
          <w:tcPr>
            <w:tcW w:w="647" w:type="pct"/>
          </w:tcPr>
          <w:p w14:paraId="48A99890" w14:textId="77777777" w:rsidR="00512995" w:rsidRDefault="00512995" w:rsidP="00512995">
            <w:pPr>
              <w:rPr>
                <w:sz w:val="16"/>
                <w:szCs w:val="16"/>
              </w:rPr>
            </w:pPr>
            <w:r>
              <w:rPr>
                <w:sz w:val="16"/>
                <w:szCs w:val="16"/>
              </w:rPr>
              <w:t>Environment</w:t>
            </w:r>
          </w:p>
          <w:p w14:paraId="3B9CAB1C" w14:textId="77777777" w:rsidR="00512995" w:rsidRDefault="00512995" w:rsidP="00512995">
            <w:pPr>
              <w:rPr>
                <w:sz w:val="16"/>
                <w:szCs w:val="16"/>
              </w:rPr>
            </w:pPr>
          </w:p>
          <w:p w14:paraId="0FC345D4" w14:textId="2D4E9AFD" w:rsidR="00512995" w:rsidRPr="003C26C1" w:rsidRDefault="00512995" w:rsidP="00512995">
            <w:pPr>
              <w:rPr>
                <w:sz w:val="16"/>
                <w:szCs w:val="16"/>
              </w:rPr>
            </w:pPr>
          </w:p>
        </w:tc>
        <w:tc>
          <w:tcPr>
            <w:tcW w:w="565" w:type="pct"/>
          </w:tcPr>
          <w:p w14:paraId="515A8020" w14:textId="72425CEF" w:rsidR="00512995" w:rsidRPr="003C26C1" w:rsidRDefault="00512995" w:rsidP="00512995">
            <w:pPr>
              <w:rPr>
                <w:sz w:val="16"/>
                <w:szCs w:val="16"/>
              </w:rPr>
            </w:pPr>
            <w:r w:rsidRPr="000744F8">
              <w:rPr>
                <w:sz w:val="16"/>
                <w:szCs w:val="16"/>
              </w:rPr>
              <w:t>Advancing development of a National Adaptation Plan (NAP) process for medium and long-term adaptation planning and implementation in the Kyrgyz Republic</w:t>
            </w:r>
          </w:p>
        </w:tc>
        <w:tc>
          <w:tcPr>
            <w:tcW w:w="585" w:type="pct"/>
          </w:tcPr>
          <w:p w14:paraId="3693A2EF" w14:textId="3B7FE4A2" w:rsidR="00512995" w:rsidRDefault="00512995" w:rsidP="00512995">
            <w:pPr>
              <w:rPr>
                <w:sz w:val="16"/>
                <w:szCs w:val="16"/>
              </w:rPr>
            </w:pPr>
            <w:r>
              <w:rPr>
                <w:sz w:val="16"/>
                <w:szCs w:val="16"/>
              </w:rPr>
              <w:t>Cabinet of Ministers a</w:t>
            </w:r>
            <w:r w:rsidRPr="000744F8">
              <w:rPr>
                <w:sz w:val="16"/>
                <w:szCs w:val="16"/>
              </w:rPr>
              <w:t xml:space="preserve">nd Parliament </w:t>
            </w:r>
            <w:r>
              <w:rPr>
                <w:sz w:val="16"/>
                <w:szCs w:val="16"/>
              </w:rPr>
              <w:t>(r</w:t>
            </w:r>
            <w:r w:rsidRPr="000744F8">
              <w:rPr>
                <w:sz w:val="16"/>
                <w:szCs w:val="16"/>
              </w:rPr>
              <w:t xml:space="preserve">elevant </w:t>
            </w:r>
            <w:r>
              <w:rPr>
                <w:sz w:val="16"/>
                <w:szCs w:val="16"/>
              </w:rPr>
              <w:t>ministry, state agencies);</w:t>
            </w:r>
          </w:p>
          <w:p w14:paraId="58DE6FAF" w14:textId="77777777" w:rsidR="00512995" w:rsidRDefault="00512995" w:rsidP="00512995">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686F63A4" w14:textId="77777777" w:rsidR="00512995" w:rsidRDefault="00512995" w:rsidP="00512995">
            <w:pPr>
              <w:rPr>
                <w:sz w:val="16"/>
                <w:szCs w:val="16"/>
              </w:rPr>
            </w:pPr>
            <w:r>
              <w:rPr>
                <w:sz w:val="16"/>
                <w:szCs w:val="16"/>
              </w:rPr>
              <w:t>CSOs/NGOs;</w:t>
            </w:r>
          </w:p>
          <w:p w14:paraId="144E66F8" w14:textId="77777777" w:rsidR="00512995" w:rsidRDefault="00512995" w:rsidP="00512995">
            <w:pPr>
              <w:rPr>
                <w:sz w:val="16"/>
                <w:szCs w:val="16"/>
              </w:rPr>
            </w:pPr>
            <w:r>
              <w:rPr>
                <w:sz w:val="16"/>
                <w:szCs w:val="16"/>
              </w:rPr>
              <w:t xml:space="preserve">Academia </w:t>
            </w:r>
            <w:r w:rsidRPr="000744F8">
              <w:rPr>
                <w:sz w:val="16"/>
                <w:szCs w:val="16"/>
              </w:rPr>
              <w:t>and media</w:t>
            </w:r>
            <w:r>
              <w:rPr>
                <w:sz w:val="16"/>
                <w:szCs w:val="16"/>
              </w:rPr>
              <w:t>;</w:t>
            </w:r>
          </w:p>
          <w:p w14:paraId="17F2289D" w14:textId="1ED0EA26" w:rsidR="00512995" w:rsidRPr="003C26C1" w:rsidRDefault="00512995" w:rsidP="00512995">
            <w:pPr>
              <w:rPr>
                <w:sz w:val="16"/>
                <w:szCs w:val="16"/>
              </w:rPr>
            </w:pPr>
            <w:r>
              <w:rPr>
                <w:sz w:val="16"/>
                <w:szCs w:val="16"/>
              </w:rPr>
              <w:t>Private sector</w:t>
            </w:r>
            <w:r w:rsidRPr="003C26C1">
              <w:rPr>
                <w:sz w:val="16"/>
                <w:szCs w:val="16"/>
              </w:rPr>
              <w:t>.</w:t>
            </w:r>
          </w:p>
        </w:tc>
        <w:tc>
          <w:tcPr>
            <w:tcW w:w="593" w:type="pct"/>
          </w:tcPr>
          <w:p w14:paraId="400CD279" w14:textId="6C9C8709" w:rsidR="00512995" w:rsidRPr="003C26C1" w:rsidRDefault="00512995" w:rsidP="00512995">
            <w:pPr>
              <w:rPr>
                <w:sz w:val="16"/>
                <w:szCs w:val="16"/>
              </w:rPr>
            </w:pPr>
            <w:r>
              <w:rPr>
                <w:sz w:val="16"/>
                <w:szCs w:val="16"/>
              </w:rPr>
              <w:t>U</w:t>
            </w:r>
            <w:r w:rsidRPr="000744F8">
              <w:rPr>
                <w:sz w:val="16"/>
                <w:szCs w:val="16"/>
              </w:rPr>
              <w:t>NDP</w:t>
            </w:r>
          </w:p>
        </w:tc>
        <w:tc>
          <w:tcPr>
            <w:tcW w:w="485" w:type="pct"/>
          </w:tcPr>
          <w:p w14:paraId="46F331B7" w14:textId="50D3F69B" w:rsidR="00512995" w:rsidRPr="003C26C1" w:rsidRDefault="00512995" w:rsidP="00512995">
            <w:pPr>
              <w:rPr>
                <w:sz w:val="16"/>
                <w:szCs w:val="16"/>
              </w:rPr>
            </w:pPr>
            <w:r>
              <w:rPr>
                <w:sz w:val="16"/>
                <w:szCs w:val="16"/>
              </w:rPr>
              <w:t>P</w:t>
            </w:r>
            <w:r w:rsidRPr="000744F8">
              <w:rPr>
                <w:sz w:val="16"/>
                <w:szCs w:val="16"/>
              </w:rPr>
              <w:t xml:space="preserve">roject </w:t>
            </w:r>
            <w:r>
              <w:rPr>
                <w:sz w:val="16"/>
                <w:szCs w:val="16"/>
              </w:rPr>
              <w:t>F</w:t>
            </w:r>
            <w:r w:rsidRPr="000744F8">
              <w:rPr>
                <w:sz w:val="16"/>
                <w:szCs w:val="16"/>
              </w:rPr>
              <w:t xml:space="preserve">inal Evaluation </w:t>
            </w:r>
          </w:p>
        </w:tc>
        <w:tc>
          <w:tcPr>
            <w:tcW w:w="538" w:type="pct"/>
          </w:tcPr>
          <w:p w14:paraId="7AC71770" w14:textId="2CE49EDF" w:rsidR="00512995" w:rsidRPr="003C26C1" w:rsidRDefault="00512995" w:rsidP="00512995">
            <w:pPr>
              <w:spacing w:before="40" w:after="40"/>
              <w:rPr>
                <w:sz w:val="16"/>
                <w:szCs w:val="16"/>
              </w:rPr>
            </w:pPr>
            <w:r>
              <w:rPr>
                <w:sz w:val="16"/>
                <w:szCs w:val="16"/>
              </w:rPr>
              <w:t>Aug’ 2</w:t>
            </w:r>
            <w:r w:rsidRPr="000744F8">
              <w:rPr>
                <w:sz w:val="16"/>
                <w:szCs w:val="16"/>
              </w:rPr>
              <w:t>023</w:t>
            </w:r>
            <w:r>
              <w:rPr>
                <w:sz w:val="16"/>
                <w:szCs w:val="16"/>
              </w:rPr>
              <w:t xml:space="preserve"> (Q3)</w:t>
            </w:r>
          </w:p>
        </w:tc>
        <w:tc>
          <w:tcPr>
            <w:tcW w:w="517" w:type="pct"/>
          </w:tcPr>
          <w:p w14:paraId="42DB1B59" w14:textId="18748933" w:rsidR="00512995" w:rsidRPr="00E705A1" w:rsidRDefault="00512995" w:rsidP="00512995">
            <w:pPr>
              <w:rPr>
                <w:sz w:val="16"/>
                <w:szCs w:val="16"/>
              </w:rPr>
            </w:pPr>
            <w:r w:rsidRPr="00E705A1">
              <w:rPr>
                <w:sz w:val="16"/>
                <w:szCs w:val="16"/>
              </w:rPr>
              <w:t>$15,000</w:t>
            </w:r>
          </w:p>
        </w:tc>
        <w:tc>
          <w:tcPr>
            <w:tcW w:w="487" w:type="pct"/>
          </w:tcPr>
          <w:p w14:paraId="6AB50251" w14:textId="48B303D6" w:rsidR="00512995" w:rsidRPr="000744F8" w:rsidRDefault="00512995" w:rsidP="00512995">
            <w:r w:rsidRPr="000744F8">
              <w:rPr>
                <w:sz w:val="16"/>
                <w:szCs w:val="16"/>
              </w:rPr>
              <w:t>Project budget</w:t>
            </w:r>
          </w:p>
        </w:tc>
      </w:tr>
      <w:tr w:rsidR="00512995" w:rsidRPr="003C26C1" w14:paraId="02B86595" w14:textId="77777777" w:rsidTr="00A76773">
        <w:trPr>
          <w:trHeight w:val="490"/>
        </w:trPr>
        <w:tc>
          <w:tcPr>
            <w:tcW w:w="583" w:type="pct"/>
          </w:tcPr>
          <w:p w14:paraId="61DE6A63" w14:textId="4B6824E1" w:rsidR="001A321B" w:rsidRPr="001620F5" w:rsidRDefault="00512995" w:rsidP="001620F5">
            <w:pPr>
              <w:jc w:val="both"/>
              <w:rPr>
                <w:color w:val="000000"/>
                <w:sz w:val="16"/>
                <w:szCs w:val="16"/>
              </w:rPr>
            </w:pPr>
            <w:r w:rsidRPr="001620F5">
              <w:rPr>
                <w:color w:val="000000"/>
                <w:sz w:val="16"/>
                <w:szCs w:val="16"/>
              </w:rPr>
              <w:t xml:space="preserve">OUTCOME 4:   </w:t>
            </w:r>
            <w:r w:rsidR="001A321B" w:rsidRPr="001620F5">
              <w:rPr>
                <w:color w:val="000000"/>
                <w:sz w:val="16"/>
                <w:szCs w:val="16"/>
              </w:rPr>
              <w:t xml:space="preserve"> By 2027, all people in the Kyrgyz Republic enjoy the benefits of fair and accountable democratic institutions that are free from corruption and apply innovative solutions that promote respect for human rights and strengthen peace and cohesion</w:t>
            </w:r>
          </w:p>
          <w:p w14:paraId="22B8884C" w14:textId="0C667E61" w:rsidR="00512995" w:rsidRPr="001620F5" w:rsidRDefault="00512995" w:rsidP="00512995">
            <w:pPr>
              <w:rPr>
                <w:color w:val="000000"/>
                <w:sz w:val="16"/>
                <w:szCs w:val="16"/>
              </w:rPr>
            </w:pPr>
          </w:p>
        </w:tc>
        <w:tc>
          <w:tcPr>
            <w:tcW w:w="647" w:type="pct"/>
          </w:tcPr>
          <w:p w14:paraId="5E30721D" w14:textId="77777777" w:rsidR="00512995" w:rsidRDefault="00512995" w:rsidP="00512995">
            <w:pPr>
              <w:rPr>
                <w:sz w:val="16"/>
                <w:szCs w:val="16"/>
              </w:rPr>
            </w:pPr>
            <w:r>
              <w:rPr>
                <w:sz w:val="16"/>
                <w:szCs w:val="16"/>
              </w:rPr>
              <w:t>Resilience</w:t>
            </w:r>
          </w:p>
          <w:p w14:paraId="44671BA2" w14:textId="77777777" w:rsidR="00512995" w:rsidRDefault="00512995" w:rsidP="00512995">
            <w:pPr>
              <w:rPr>
                <w:sz w:val="16"/>
                <w:szCs w:val="16"/>
              </w:rPr>
            </w:pPr>
          </w:p>
          <w:p w14:paraId="310E5427" w14:textId="7A8AC7C7" w:rsidR="00512995" w:rsidRDefault="00512995" w:rsidP="00512995">
            <w:pPr>
              <w:rPr>
                <w:sz w:val="16"/>
                <w:szCs w:val="16"/>
              </w:rPr>
            </w:pPr>
            <w:r>
              <w:rPr>
                <w:sz w:val="16"/>
                <w:szCs w:val="16"/>
              </w:rPr>
              <w:t>Gender equality</w:t>
            </w:r>
          </w:p>
          <w:p w14:paraId="1C519052" w14:textId="28C1E22B" w:rsidR="00512995" w:rsidRPr="003C26C1" w:rsidRDefault="00512995" w:rsidP="00512995">
            <w:pPr>
              <w:rPr>
                <w:sz w:val="16"/>
                <w:szCs w:val="16"/>
              </w:rPr>
            </w:pPr>
          </w:p>
        </w:tc>
        <w:tc>
          <w:tcPr>
            <w:tcW w:w="565" w:type="pct"/>
          </w:tcPr>
          <w:p w14:paraId="001A62EC" w14:textId="4BAC5B90" w:rsidR="00512995" w:rsidRPr="000744F8" w:rsidRDefault="00512995" w:rsidP="00512995">
            <w:pPr>
              <w:rPr>
                <w:sz w:val="16"/>
                <w:szCs w:val="16"/>
              </w:rPr>
            </w:pPr>
            <w:r w:rsidRPr="00E532E1">
              <w:rPr>
                <w:sz w:val="16"/>
                <w:szCs w:val="16"/>
              </w:rPr>
              <w:t xml:space="preserve">Socio-Economic Recovery from negative consequences of COVID-19 in Osh, Jalal-Abad and </w:t>
            </w:r>
            <w:proofErr w:type="spellStart"/>
            <w:r w:rsidRPr="00E532E1">
              <w:rPr>
                <w:sz w:val="16"/>
                <w:szCs w:val="16"/>
              </w:rPr>
              <w:t>Batken</w:t>
            </w:r>
            <w:proofErr w:type="spellEnd"/>
            <w:r w:rsidRPr="00E532E1">
              <w:rPr>
                <w:sz w:val="16"/>
                <w:szCs w:val="16"/>
              </w:rPr>
              <w:t xml:space="preserve"> provinces of the Kyrgyz Republic</w:t>
            </w:r>
          </w:p>
        </w:tc>
        <w:tc>
          <w:tcPr>
            <w:tcW w:w="585" w:type="pct"/>
          </w:tcPr>
          <w:p w14:paraId="604E81DA" w14:textId="77777777" w:rsidR="00512995" w:rsidRDefault="00512995" w:rsidP="00512995">
            <w:pPr>
              <w:rPr>
                <w:sz w:val="16"/>
                <w:szCs w:val="16"/>
              </w:rPr>
            </w:pPr>
            <w:r>
              <w:rPr>
                <w:sz w:val="16"/>
                <w:szCs w:val="16"/>
              </w:rPr>
              <w:t>Cabinet of Ministers a</w:t>
            </w:r>
            <w:r w:rsidRPr="000744F8">
              <w:rPr>
                <w:sz w:val="16"/>
                <w:szCs w:val="16"/>
              </w:rPr>
              <w:t xml:space="preserve">nd Parliament </w:t>
            </w:r>
            <w:r>
              <w:rPr>
                <w:sz w:val="16"/>
                <w:szCs w:val="16"/>
              </w:rPr>
              <w:t>(r</w:t>
            </w:r>
            <w:r w:rsidRPr="000744F8">
              <w:rPr>
                <w:sz w:val="16"/>
                <w:szCs w:val="16"/>
              </w:rPr>
              <w:t xml:space="preserve">elevant </w:t>
            </w:r>
            <w:r>
              <w:rPr>
                <w:sz w:val="16"/>
                <w:szCs w:val="16"/>
              </w:rPr>
              <w:t>ministry, state agencies);</w:t>
            </w:r>
          </w:p>
          <w:p w14:paraId="3ED85F1D" w14:textId="77777777" w:rsidR="00512995" w:rsidRDefault="00512995" w:rsidP="00512995">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0DC5A9FD" w14:textId="77777777" w:rsidR="00512995" w:rsidRDefault="00512995" w:rsidP="00512995">
            <w:pPr>
              <w:rPr>
                <w:sz w:val="16"/>
                <w:szCs w:val="16"/>
              </w:rPr>
            </w:pPr>
            <w:r>
              <w:rPr>
                <w:sz w:val="16"/>
                <w:szCs w:val="16"/>
              </w:rPr>
              <w:t>CSOs/NGOs;</w:t>
            </w:r>
          </w:p>
          <w:p w14:paraId="73170934" w14:textId="77777777" w:rsidR="00512995" w:rsidRDefault="00512995" w:rsidP="00512995">
            <w:pPr>
              <w:rPr>
                <w:sz w:val="16"/>
                <w:szCs w:val="16"/>
              </w:rPr>
            </w:pPr>
            <w:r>
              <w:rPr>
                <w:sz w:val="16"/>
                <w:szCs w:val="16"/>
              </w:rPr>
              <w:t xml:space="preserve">Academia </w:t>
            </w:r>
            <w:r w:rsidRPr="000744F8">
              <w:rPr>
                <w:sz w:val="16"/>
                <w:szCs w:val="16"/>
              </w:rPr>
              <w:t>and media</w:t>
            </w:r>
            <w:r>
              <w:rPr>
                <w:sz w:val="16"/>
                <w:szCs w:val="16"/>
              </w:rPr>
              <w:t>;</w:t>
            </w:r>
          </w:p>
          <w:p w14:paraId="0F51B601" w14:textId="55C8F5DE" w:rsidR="00512995" w:rsidRDefault="00512995" w:rsidP="00512995">
            <w:pPr>
              <w:rPr>
                <w:sz w:val="16"/>
                <w:szCs w:val="16"/>
              </w:rPr>
            </w:pPr>
            <w:r>
              <w:rPr>
                <w:sz w:val="16"/>
                <w:szCs w:val="16"/>
              </w:rPr>
              <w:t>Private sector</w:t>
            </w:r>
            <w:r w:rsidRPr="003C26C1">
              <w:rPr>
                <w:sz w:val="16"/>
                <w:szCs w:val="16"/>
              </w:rPr>
              <w:t>.</w:t>
            </w:r>
          </w:p>
        </w:tc>
        <w:tc>
          <w:tcPr>
            <w:tcW w:w="593" w:type="pct"/>
          </w:tcPr>
          <w:p w14:paraId="4CBFF5AB" w14:textId="7FAC2736" w:rsidR="00512995" w:rsidRDefault="00512995" w:rsidP="00512995">
            <w:pPr>
              <w:rPr>
                <w:sz w:val="16"/>
                <w:szCs w:val="16"/>
              </w:rPr>
            </w:pPr>
            <w:r>
              <w:rPr>
                <w:sz w:val="16"/>
                <w:szCs w:val="16"/>
              </w:rPr>
              <w:t>U</w:t>
            </w:r>
            <w:r w:rsidRPr="000744F8">
              <w:rPr>
                <w:sz w:val="16"/>
                <w:szCs w:val="16"/>
              </w:rPr>
              <w:t>NDP</w:t>
            </w:r>
          </w:p>
        </w:tc>
        <w:tc>
          <w:tcPr>
            <w:tcW w:w="485" w:type="pct"/>
          </w:tcPr>
          <w:p w14:paraId="7B4076E4" w14:textId="0A693017" w:rsidR="00512995" w:rsidRDefault="00512995" w:rsidP="00512995">
            <w:pPr>
              <w:rPr>
                <w:sz w:val="16"/>
                <w:szCs w:val="16"/>
              </w:rPr>
            </w:pPr>
            <w:r>
              <w:rPr>
                <w:sz w:val="16"/>
                <w:szCs w:val="16"/>
              </w:rPr>
              <w:t>P</w:t>
            </w:r>
            <w:r w:rsidRPr="000744F8">
              <w:rPr>
                <w:sz w:val="16"/>
                <w:szCs w:val="16"/>
              </w:rPr>
              <w:t xml:space="preserve">roject </w:t>
            </w:r>
            <w:r>
              <w:rPr>
                <w:sz w:val="16"/>
                <w:szCs w:val="16"/>
              </w:rPr>
              <w:t>F</w:t>
            </w:r>
            <w:r w:rsidRPr="000744F8">
              <w:rPr>
                <w:sz w:val="16"/>
                <w:szCs w:val="16"/>
              </w:rPr>
              <w:t xml:space="preserve">inal Evaluation </w:t>
            </w:r>
          </w:p>
        </w:tc>
        <w:tc>
          <w:tcPr>
            <w:tcW w:w="538" w:type="pct"/>
          </w:tcPr>
          <w:p w14:paraId="731E1012" w14:textId="7293FD0A" w:rsidR="00512995" w:rsidRDefault="00512995" w:rsidP="00512995">
            <w:pPr>
              <w:spacing w:before="40" w:after="40"/>
              <w:rPr>
                <w:sz w:val="16"/>
                <w:szCs w:val="16"/>
              </w:rPr>
            </w:pPr>
            <w:r>
              <w:rPr>
                <w:sz w:val="16"/>
                <w:szCs w:val="16"/>
              </w:rPr>
              <w:t>Dec’ 2</w:t>
            </w:r>
            <w:r w:rsidRPr="000744F8">
              <w:rPr>
                <w:sz w:val="16"/>
                <w:szCs w:val="16"/>
              </w:rPr>
              <w:t>023</w:t>
            </w:r>
            <w:r>
              <w:rPr>
                <w:sz w:val="16"/>
                <w:szCs w:val="16"/>
              </w:rPr>
              <w:t xml:space="preserve"> (Q4)</w:t>
            </w:r>
          </w:p>
        </w:tc>
        <w:tc>
          <w:tcPr>
            <w:tcW w:w="517" w:type="pct"/>
          </w:tcPr>
          <w:p w14:paraId="635B7D7F" w14:textId="7CBC84F5" w:rsidR="00512995" w:rsidRPr="00E705A1" w:rsidRDefault="00512995" w:rsidP="00512995">
            <w:pPr>
              <w:rPr>
                <w:sz w:val="16"/>
                <w:szCs w:val="16"/>
              </w:rPr>
            </w:pPr>
            <w:r w:rsidRPr="00E705A1">
              <w:rPr>
                <w:sz w:val="16"/>
                <w:szCs w:val="16"/>
              </w:rPr>
              <w:t>$15,000</w:t>
            </w:r>
          </w:p>
        </w:tc>
        <w:tc>
          <w:tcPr>
            <w:tcW w:w="487" w:type="pct"/>
          </w:tcPr>
          <w:p w14:paraId="47EA4DD3" w14:textId="6745B0E6" w:rsidR="00512995" w:rsidRPr="000744F8" w:rsidRDefault="00512995" w:rsidP="00512995">
            <w:pPr>
              <w:rPr>
                <w:sz w:val="16"/>
                <w:szCs w:val="16"/>
              </w:rPr>
            </w:pPr>
            <w:r w:rsidRPr="000744F8">
              <w:rPr>
                <w:sz w:val="16"/>
                <w:szCs w:val="16"/>
              </w:rPr>
              <w:t>Project budget</w:t>
            </w:r>
          </w:p>
        </w:tc>
      </w:tr>
      <w:tr w:rsidR="00512995" w:rsidRPr="003C26C1" w14:paraId="3FEA0BB6" w14:textId="77777777" w:rsidTr="00A76773">
        <w:trPr>
          <w:trHeight w:val="490"/>
        </w:trPr>
        <w:tc>
          <w:tcPr>
            <w:tcW w:w="583" w:type="pct"/>
          </w:tcPr>
          <w:p w14:paraId="35A170EE" w14:textId="755BA3A0" w:rsidR="001A321B" w:rsidRPr="001620F5" w:rsidRDefault="00512995" w:rsidP="001620F5">
            <w:pPr>
              <w:jc w:val="both"/>
              <w:rPr>
                <w:color w:val="000000"/>
                <w:sz w:val="16"/>
                <w:szCs w:val="16"/>
              </w:rPr>
            </w:pPr>
            <w:r w:rsidRPr="001620F5">
              <w:rPr>
                <w:color w:val="000000"/>
                <w:sz w:val="16"/>
                <w:szCs w:val="16"/>
              </w:rPr>
              <w:t xml:space="preserve">OUTCOME 4:   </w:t>
            </w:r>
            <w:r w:rsidR="001A321B" w:rsidRPr="001620F5">
              <w:rPr>
                <w:color w:val="000000"/>
                <w:sz w:val="16"/>
                <w:szCs w:val="16"/>
              </w:rPr>
              <w:t xml:space="preserve"> By 2027, all people in the Kyrgyz Republic enjoy the benefits of fair and accountable democratic institutions that are free from corruption and apply innovative solutions that promote respect for human rights and strengthen peace and cohesion</w:t>
            </w:r>
          </w:p>
          <w:p w14:paraId="2BC2F61D" w14:textId="03A02CBA" w:rsidR="00512995" w:rsidRPr="001620F5" w:rsidRDefault="00512995" w:rsidP="00512995">
            <w:pPr>
              <w:rPr>
                <w:color w:val="000000"/>
                <w:sz w:val="16"/>
                <w:szCs w:val="16"/>
              </w:rPr>
            </w:pPr>
          </w:p>
        </w:tc>
        <w:tc>
          <w:tcPr>
            <w:tcW w:w="647" w:type="pct"/>
          </w:tcPr>
          <w:p w14:paraId="63023B29" w14:textId="77777777" w:rsidR="00512995" w:rsidRDefault="00512995" w:rsidP="00512995">
            <w:pPr>
              <w:rPr>
                <w:sz w:val="16"/>
                <w:szCs w:val="16"/>
              </w:rPr>
            </w:pPr>
            <w:r>
              <w:rPr>
                <w:sz w:val="16"/>
                <w:szCs w:val="16"/>
              </w:rPr>
              <w:t>Governance</w:t>
            </w:r>
          </w:p>
          <w:p w14:paraId="2E512616" w14:textId="77777777" w:rsidR="00512995" w:rsidRDefault="00512995" w:rsidP="00512995">
            <w:pPr>
              <w:rPr>
                <w:sz w:val="16"/>
                <w:szCs w:val="16"/>
              </w:rPr>
            </w:pPr>
          </w:p>
          <w:p w14:paraId="79913FF5" w14:textId="67A48A0E" w:rsidR="00512995" w:rsidRDefault="00512995" w:rsidP="00512995">
            <w:pPr>
              <w:rPr>
                <w:sz w:val="16"/>
                <w:szCs w:val="16"/>
              </w:rPr>
            </w:pPr>
            <w:r>
              <w:rPr>
                <w:sz w:val="16"/>
                <w:szCs w:val="16"/>
              </w:rPr>
              <w:t>Resilience</w:t>
            </w:r>
          </w:p>
          <w:p w14:paraId="716874CC" w14:textId="60D57FB5" w:rsidR="00512995" w:rsidRPr="003C26C1" w:rsidRDefault="00512995" w:rsidP="00512995">
            <w:pPr>
              <w:rPr>
                <w:sz w:val="16"/>
                <w:szCs w:val="16"/>
              </w:rPr>
            </w:pPr>
          </w:p>
        </w:tc>
        <w:tc>
          <w:tcPr>
            <w:tcW w:w="565" w:type="pct"/>
          </w:tcPr>
          <w:p w14:paraId="4F55B423" w14:textId="768547DE" w:rsidR="00512995" w:rsidRPr="00E532E1" w:rsidRDefault="00512995" w:rsidP="00512995">
            <w:pPr>
              <w:rPr>
                <w:sz w:val="16"/>
                <w:szCs w:val="16"/>
              </w:rPr>
            </w:pPr>
            <w:r w:rsidRPr="00E532E1">
              <w:rPr>
                <w:sz w:val="16"/>
                <w:szCs w:val="16"/>
              </w:rPr>
              <w:t>Inclusive governance and shared identity for sustainable peace and development (PBF), 2022-2023</w:t>
            </w:r>
          </w:p>
        </w:tc>
        <w:tc>
          <w:tcPr>
            <w:tcW w:w="585" w:type="pct"/>
          </w:tcPr>
          <w:p w14:paraId="2312419A" w14:textId="77777777" w:rsidR="00512995" w:rsidRDefault="00512995" w:rsidP="00512995">
            <w:pPr>
              <w:rPr>
                <w:sz w:val="16"/>
                <w:szCs w:val="16"/>
              </w:rPr>
            </w:pPr>
            <w:r>
              <w:rPr>
                <w:sz w:val="16"/>
                <w:szCs w:val="16"/>
              </w:rPr>
              <w:t>Cabinet of Ministers a</w:t>
            </w:r>
            <w:r w:rsidRPr="000744F8">
              <w:rPr>
                <w:sz w:val="16"/>
                <w:szCs w:val="16"/>
              </w:rPr>
              <w:t xml:space="preserve">nd Parliament </w:t>
            </w:r>
            <w:r>
              <w:rPr>
                <w:sz w:val="16"/>
                <w:szCs w:val="16"/>
              </w:rPr>
              <w:t>(r</w:t>
            </w:r>
            <w:r w:rsidRPr="000744F8">
              <w:rPr>
                <w:sz w:val="16"/>
                <w:szCs w:val="16"/>
              </w:rPr>
              <w:t xml:space="preserve">elevant </w:t>
            </w:r>
            <w:r>
              <w:rPr>
                <w:sz w:val="16"/>
                <w:szCs w:val="16"/>
              </w:rPr>
              <w:t>ministry, state agencies);</w:t>
            </w:r>
          </w:p>
          <w:p w14:paraId="0E6B84F1" w14:textId="77777777" w:rsidR="00512995" w:rsidRDefault="00512995" w:rsidP="00512995">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4DD7DCC7" w14:textId="77777777" w:rsidR="00512995" w:rsidRDefault="00512995" w:rsidP="00512995">
            <w:pPr>
              <w:rPr>
                <w:sz w:val="16"/>
                <w:szCs w:val="16"/>
              </w:rPr>
            </w:pPr>
            <w:r>
              <w:rPr>
                <w:sz w:val="16"/>
                <w:szCs w:val="16"/>
              </w:rPr>
              <w:t>CSOs/NGOs;</w:t>
            </w:r>
          </w:p>
          <w:p w14:paraId="6D3DA637" w14:textId="77777777" w:rsidR="00512995" w:rsidRDefault="00512995" w:rsidP="00512995">
            <w:pPr>
              <w:rPr>
                <w:sz w:val="16"/>
                <w:szCs w:val="16"/>
              </w:rPr>
            </w:pPr>
            <w:r>
              <w:rPr>
                <w:sz w:val="16"/>
                <w:szCs w:val="16"/>
              </w:rPr>
              <w:t xml:space="preserve">Academia </w:t>
            </w:r>
            <w:r w:rsidRPr="000744F8">
              <w:rPr>
                <w:sz w:val="16"/>
                <w:szCs w:val="16"/>
              </w:rPr>
              <w:t>and media</w:t>
            </w:r>
            <w:r>
              <w:rPr>
                <w:sz w:val="16"/>
                <w:szCs w:val="16"/>
              </w:rPr>
              <w:t>;</w:t>
            </w:r>
          </w:p>
          <w:p w14:paraId="25EC90A3" w14:textId="711E89B5" w:rsidR="00512995" w:rsidRDefault="00512995" w:rsidP="00512995">
            <w:pPr>
              <w:rPr>
                <w:sz w:val="16"/>
                <w:szCs w:val="16"/>
              </w:rPr>
            </w:pPr>
            <w:r>
              <w:rPr>
                <w:sz w:val="16"/>
                <w:szCs w:val="16"/>
              </w:rPr>
              <w:t>Private sector</w:t>
            </w:r>
            <w:r w:rsidRPr="003C26C1">
              <w:rPr>
                <w:sz w:val="16"/>
                <w:szCs w:val="16"/>
              </w:rPr>
              <w:t>.</w:t>
            </w:r>
          </w:p>
        </w:tc>
        <w:tc>
          <w:tcPr>
            <w:tcW w:w="593" w:type="pct"/>
          </w:tcPr>
          <w:p w14:paraId="7F758298" w14:textId="7DAA9760" w:rsidR="00512995" w:rsidRDefault="00512995" w:rsidP="00512995">
            <w:pPr>
              <w:rPr>
                <w:sz w:val="16"/>
                <w:szCs w:val="16"/>
              </w:rPr>
            </w:pPr>
            <w:r>
              <w:rPr>
                <w:sz w:val="16"/>
                <w:szCs w:val="16"/>
              </w:rPr>
              <w:t>U</w:t>
            </w:r>
            <w:r w:rsidRPr="00E532E1">
              <w:rPr>
                <w:sz w:val="16"/>
                <w:szCs w:val="16"/>
              </w:rPr>
              <w:t>NDP/PBSO</w:t>
            </w:r>
          </w:p>
        </w:tc>
        <w:tc>
          <w:tcPr>
            <w:tcW w:w="485" w:type="pct"/>
          </w:tcPr>
          <w:p w14:paraId="5A200910" w14:textId="426E9023" w:rsidR="00512995" w:rsidRDefault="00512995" w:rsidP="00512995">
            <w:pPr>
              <w:rPr>
                <w:sz w:val="16"/>
                <w:szCs w:val="16"/>
              </w:rPr>
            </w:pPr>
            <w:r>
              <w:rPr>
                <w:sz w:val="16"/>
                <w:szCs w:val="16"/>
              </w:rPr>
              <w:t>P</w:t>
            </w:r>
            <w:r w:rsidRPr="000744F8">
              <w:rPr>
                <w:sz w:val="16"/>
                <w:szCs w:val="16"/>
              </w:rPr>
              <w:t xml:space="preserve">roject </w:t>
            </w:r>
            <w:r>
              <w:rPr>
                <w:sz w:val="16"/>
                <w:szCs w:val="16"/>
              </w:rPr>
              <w:t>F</w:t>
            </w:r>
            <w:r w:rsidRPr="000744F8">
              <w:rPr>
                <w:sz w:val="16"/>
                <w:szCs w:val="16"/>
              </w:rPr>
              <w:t xml:space="preserve">inal Evaluation </w:t>
            </w:r>
          </w:p>
        </w:tc>
        <w:tc>
          <w:tcPr>
            <w:tcW w:w="538" w:type="pct"/>
          </w:tcPr>
          <w:p w14:paraId="1A0890CB" w14:textId="6CC2DD59" w:rsidR="00512995" w:rsidRDefault="00512995" w:rsidP="00512995">
            <w:pPr>
              <w:spacing w:before="40" w:after="40"/>
              <w:rPr>
                <w:sz w:val="16"/>
                <w:szCs w:val="16"/>
              </w:rPr>
            </w:pPr>
            <w:r>
              <w:rPr>
                <w:sz w:val="16"/>
                <w:szCs w:val="16"/>
              </w:rPr>
              <w:t>Dec’ 2</w:t>
            </w:r>
            <w:r w:rsidRPr="000744F8">
              <w:rPr>
                <w:sz w:val="16"/>
                <w:szCs w:val="16"/>
              </w:rPr>
              <w:t>023</w:t>
            </w:r>
            <w:r>
              <w:rPr>
                <w:sz w:val="16"/>
                <w:szCs w:val="16"/>
              </w:rPr>
              <w:t xml:space="preserve"> (Q4)</w:t>
            </w:r>
          </w:p>
        </w:tc>
        <w:tc>
          <w:tcPr>
            <w:tcW w:w="517" w:type="pct"/>
          </w:tcPr>
          <w:p w14:paraId="55A77763" w14:textId="42406F35" w:rsidR="00512995" w:rsidRPr="00E705A1" w:rsidRDefault="00512995" w:rsidP="00512995">
            <w:pPr>
              <w:rPr>
                <w:sz w:val="16"/>
                <w:szCs w:val="16"/>
              </w:rPr>
            </w:pPr>
            <w:r w:rsidRPr="00E705A1">
              <w:rPr>
                <w:sz w:val="16"/>
                <w:szCs w:val="16"/>
              </w:rPr>
              <w:t>$100,000</w:t>
            </w:r>
          </w:p>
        </w:tc>
        <w:tc>
          <w:tcPr>
            <w:tcW w:w="487" w:type="pct"/>
          </w:tcPr>
          <w:p w14:paraId="149C0149" w14:textId="6A09B5C0" w:rsidR="00512995" w:rsidRPr="000744F8" w:rsidRDefault="00512995" w:rsidP="00512995">
            <w:pPr>
              <w:rPr>
                <w:sz w:val="16"/>
                <w:szCs w:val="16"/>
              </w:rPr>
            </w:pPr>
            <w:r w:rsidRPr="000744F8">
              <w:rPr>
                <w:sz w:val="16"/>
                <w:szCs w:val="16"/>
              </w:rPr>
              <w:t>Project budget</w:t>
            </w:r>
          </w:p>
        </w:tc>
      </w:tr>
      <w:tr w:rsidR="00512995" w:rsidRPr="003C26C1" w14:paraId="2EB3BBA8" w14:textId="77777777" w:rsidTr="00A76773">
        <w:trPr>
          <w:trHeight w:val="490"/>
        </w:trPr>
        <w:tc>
          <w:tcPr>
            <w:tcW w:w="583" w:type="pct"/>
          </w:tcPr>
          <w:p w14:paraId="4D0DE93E" w14:textId="3E65BE9C" w:rsidR="00512995" w:rsidRPr="001620F5" w:rsidRDefault="00512995" w:rsidP="001620F5">
            <w:pPr>
              <w:jc w:val="both"/>
              <w:rPr>
                <w:color w:val="000000"/>
                <w:sz w:val="16"/>
                <w:szCs w:val="16"/>
              </w:rPr>
            </w:pPr>
            <w:r w:rsidRPr="00A905DB">
              <w:rPr>
                <w:sz w:val="16"/>
                <w:szCs w:val="16"/>
              </w:rPr>
              <w:t>OUTCOME 4:</w:t>
            </w:r>
            <w:r w:rsidR="00501A0E">
              <w:rPr>
                <w:sz w:val="16"/>
                <w:szCs w:val="16"/>
              </w:rPr>
              <w:t xml:space="preserve"> </w:t>
            </w:r>
            <w:r w:rsidR="001A321B" w:rsidRPr="001620F5">
              <w:rPr>
                <w:color w:val="000000"/>
                <w:sz w:val="16"/>
                <w:szCs w:val="16"/>
              </w:rPr>
              <w:t xml:space="preserve">By 2027, all people in the Kyrgyz Republic enjoy the benefits of fair and accountable democratic institutions that are </w:t>
            </w:r>
            <w:r w:rsidR="001A321B" w:rsidRPr="001620F5">
              <w:rPr>
                <w:color w:val="000000"/>
                <w:sz w:val="16"/>
                <w:szCs w:val="16"/>
              </w:rPr>
              <w:lastRenderedPageBreak/>
              <w:t>free from corruption and apply innovative solutions that promote respect for human rights and strengthen peace and cohesion</w:t>
            </w:r>
          </w:p>
          <w:p w14:paraId="7604C8B8" w14:textId="77777777" w:rsidR="00512995" w:rsidRPr="00A905DB" w:rsidRDefault="00512995" w:rsidP="00512995">
            <w:pPr>
              <w:rPr>
                <w:sz w:val="16"/>
                <w:szCs w:val="16"/>
              </w:rPr>
            </w:pPr>
          </w:p>
        </w:tc>
        <w:tc>
          <w:tcPr>
            <w:tcW w:w="647" w:type="pct"/>
          </w:tcPr>
          <w:p w14:paraId="7D1C3F48" w14:textId="77777777" w:rsidR="00512995" w:rsidRDefault="00512995" w:rsidP="00512995">
            <w:pPr>
              <w:rPr>
                <w:sz w:val="16"/>
                <w:szCs w:val="16"/>
              </w:rPr>
            </w:pPr>
            <w:r>
              <w:rPr>
                <w:sz w:val="16"/>
                <w:szCs w:val="16"/>
              </w:rPr>
              <w:lastRenderedPageBreak/>
              <w:t>Resilience</w:t>
            </w:r>
          </w:p>
          <w:p w14:paraId="10D5FAE6" w14:textId="77777777" w:rsidR="00512995" w:rsidRDefault="00512995" w:rsidP="00512995">
            <w:pPr>
              <w:rPr>
                <w:sz w:val="16"/>
                <w:szCs w:val="16"/>
              </w:rPr>
            </w:pPr>
          </w:p>
          <w:p w14:paraId="309537AD" w14:textId="3FB4A976" w:rsidR="00512995" w:rsidRPr="003C26C1" w:rsidRDefault="00512995" w:rsidP="00512995">
            <w:pPr>
              <w:rPr>
                <w:sz w:val="16"/>
                <w:szCs w:val="16"/>
              </w:rPr>
            </w:pPr>
            <w:r>
              <w:rPr>
                <w:sz w:val="16"/>
                <w:szCs w:val="16"/>
              </w:rPr>
              <w:t>Gender equality</w:t>
            </w:r>
          </w:p>
        </w:tc>
        <w:tc>
          <w:tcPr>
            <w:tcW w:w="565" w:type="pct"/>
          </w:tcPr>
          <w:p w14:paraId="6785B300" w14:textId="7E4E7AD6" w:rsidR="00512995" w:rsidRPr="00E532E1" w:rsidRDefault="00512995" w:rsidP="00512995">
            <w:pPr>
              <w:rPr>
                <w:sz w:val="16"/>
                <w:szCs w:val="16"/>
              </w:rPr>
            </w:pPr>
            <w:r w:rsidRPr="00A76773">
              <w:rPr>
                <w:sz w:val="16"/>
                <w:szCs w:val="16"/>
              </w:rPr>
              <w:t xml:space="preserve">Economic empowerment of youth and developing sustainable solutions for youth’s entrepreneurship at </w:t>
            </w:r>
            <w:r w:rsidRPr="00A76773">
              <w:rPr>
                <w:sz w:val="16"/>
                <w:szCs w:val="16"/>
              </w:rPr>
              <w:lastRenderedPageBreak/>
              <w:t>the local level for fostering greater social cohesion and resilience, 2022-2024</w:t>
            </w:r>
          </w:p>
        </w:tc>
        <w:tc>
          <w:tcPr>
            <w:tcW w:w="585" w:type="pct"/>
          </w:tcPr>
          <w:p w14:paraId="4D1B8195" w14:textId="77777777" w:rsidR="00512995" w:rsidRDefault="00512995" w:rsidP="00512995">
            <w:pPr>
              <w:rPr>
                <w:sz w:val="16"/>
                <w:szCs w:val="16"/>
              </w:rPr>
            </w:pPr>
            <w:r>
              <w:rPr>
                <w:sz w:val="16"/>
                <w:szCs w:val="16"/>
              </w:rPr>
              <w:lastRenderedPageBreak/>
              <w:t>Cabinet of Ministers a</w:t>
            </w:r>
            <w:r w:rsidRPr="000744F8">
              <w:rPr>
                <w:sz w:val="16"/>
                <w:szCs w:val="16"/>
              </w:rPr>
              <w:t xml:space="preserve">nd Parliament </w:t>
            </w:r>
            <w:r>
              <w:rPr>
                <w:sz w:val="16"/>
                <w:szCs w:val="16"/>
              </w:rPr>
              <w:t>(r</w:t>
            </w:r>
            <w:r w:rsidRPr="000744F8">
              <w:rPr>
                <w:sz w:val="16"/>
                <w:szCs w:val="16"/>
              </w:rPr>
              <w:t xml:space="preserve">elevant </w:t>
            </w:r>
            <w:r>
              <w:rPr>
                <w:sz w:val="16"/>
                <w:szCs w:val="16"/>
              </w:rPr>
              <w:t>ministry, state agencies);</w:t>
            </w:r>
          </w:p>
          <w:p w14:paraId="334719F4" w14:textId="77777777" w:rsidR="00512995" w:rsidRDefault="00512995" w:rsidP="00512995">
            <w:pPr>
              <w:rPr>
                <w:sz w:val="16"/>
                <w:szCs w:val="16"/>
              </w:rPr>
            </w:pPr>
            <w:r w:rsidRPr="003C26C1">
              <w:rPr>
                <w:sz w:val="16"/>
                <w:szCs w:val="16"/>
              </w:rPr>
              <w:t>UN</w:t>
            </w:r>
            <w:r>
              <w:rPr>
                <w:sz w:val="16"/>
                <w:szCs w:val="16"/>
              </w:rPr>
              <w:t xml:space="preserve"> agencies</w:t>
            </w:r>
            <w:r w:rsidRPr="003C26C1">
              <w:rPr>
                <w:sz w:val="16"/>
                <w:szCs w:val="16"/>
              </w:rPr>
              <w:t xml:space="preserve">; </w:t>
            </w:r>
            <w:r>
              <w:rPr>
                <w:sz w:val="16"/>
                <w:szCs w:val="16"/>
              </w:rPr>
              <w:t>Development partners;</w:t>
            </w:r>
          </w:p>
          <w:p w14:paraId="49BB83E6" w14:textId="77777777" w:rsidR="00512995" w:rsidRDefault="00512995" w:rsidP="00512995">
            <w:pPr>
              <w:rPr>
                <w:sz w:val="16"/>
                <w:szCs w:val="16"/>
              </w:rPr>
            </w:pPr>
            <w:r>
              <w:rPr>
                <w:sz w:val="16"/>
                <w:szCs w:val="16"/>
              </w:rPr>
              <w:lastRenderedPageBreak/>
              <w:t>CSOs/NGOs;</w:t>
            </w:r>
          </w:p>
          <w:p w14:paraId="39BFFBBA" w14:textId="77777777" w:rsidR="00512995" w:rsidRDefault="00512995" w:rsidP="00512995">
            <w:pPr>
              <w:rPr>
                <w:sz w:val="16"/>
                <w:szCs w:val="16"/>
              </w:rPr>
            </w:pPr>
            <w:r>
              <w:rPr>
                <w:sz w:val="16"/>
                <w:szCs w:val="16"/>
              </w:rPr>
              <w:t xml:space="preserve">Academia </w:t>
            </w:r>
            <w:r w:rsidRPr="000744F8">
              <w:rPr>
                <w:sz w:val="16"/>
                <w:szCs w:val="16"/>
              </w:rPr>
              <w:t>and media</w:t>
            </w:r>
            <w:r>
              <w:rPr>
                <w:sz w:val="16"/>
                <w:szCs w:val="16"/>
              </w:rPr>
              <w:t>;</w:t>
            </w:r>
          </w:p>
          <w:p w14:paraId="0F30E7F6" w14:textId="1528DB00" w:rsidR="00512995" w:rsidRDefault="00512995" w:rsidP="00512995">
            <w:pPr>
              <w:rPr>
                <w:sz w:val="16"/>
                <w:szCs w:val="16"/>
              </w:rPr>
            </w:pPr>
            <w:r>
              <w:rPr>
                <w:sz w:val="16"/>
                <w:szCs w:val="16"/>
              </w:rPr>
              <w:t>Private sector</w:t>
            </w:r>
            <w:r w:rsidRPr="003C26C1">
              <w:rPr>
                <w:sz w:val="16"/>
                <w:szCs w:val="16"/>
              </w:rPr>
              <w:t>.</w:t>
            </w:r>
          </w:p>
        </w:tc>
        <w:tc>
          <w:tcPr>
            <w:tcW w:w="593" w:type="pct"/>
          </w:tcPr>
          <w:p w14:paraId="623F7D7D" w14:textId="01D81D2A" w:rsidR="00512995" w:rsidRDefault="00512995" w:rsidP="00512995">
            <w:pPr>
              <w:rPr>
                <w:sz w:val="16"/>
                <w:szCs w:val="16"/>
              </w:rPr>
            </w:pPr>
            <w:r>
              <w:rPr>
                <w:sz w:val="16"/>
                <w:szCs w:val="16"/>
              </w:rPr>
              <w:lastRenderedPageBreak/>
              <w:t>U</w:t>
            </w:r>
            <w:r w:rsidRPr="00E532E1">
              <w:rPr>
                <w:sz w:val="16"/>
                <w:szCs w:val="16"/>
              </w:rPr>
              <w:t>NDP</w:t>
            </w:r>
          </w:p>
        </w:tc>
        <w:tc>
          <w:tcPr>
            <w:tcW w:w="485" w:type="pct"/>
          </w:tcPr>
          <w:p w14:paraId="38BE1C4C" w14:textId="7EA381E2" w:rsidR="00512995" w:rsidRDefault="00512995" w:rsidP="00512995">
            <w:pPr>
              <w:rPr>
                <w:sz w:val="16"/>
                <w:szCs w:val="16"/>
              </w:rPr>
            </w:pPr>
            <w:r>
              <w:rPr>
                <w:sz w:val="16"/>
                <w:szCs w:val="16"/>
              </w:rPr>
              <w:t>P</w:t>
            </w:r>
            <w:r w:rsidRPr="000744F8">
              <w:rPr>
                <w:sz w:val="16"/>
                <w:szCs w:val="16"/>
              </w:rPr>
              <w:t xml:space="preserve">roject </w:t>
            </w:r>
            <w:r>
              <w:rPr>
                <w:sz w:val="16"/>
                <w:szCs w:val="16"/>
              </w:rPr>
              <w:t>F</w:t>
            </w:r>
            <w:r w:rsidRPr="000744F8">
              <w:rPr>
                <w:sz w:val="16"/>
                <w:szCs w:val="16"/>
              </w:rPr>
              <w:t xml:space="preserve">inal Evaluation </w:t>
            </w:r>
          </w:p>
        </w:tc>
        <w:tc>
          <w:tcPr>
            <w:tcW w:w="538" w:type="pct"/>
          </w:tcPr>
          <w:p w14:paraId="70505B0F" w14:textId="198FBE87" w:rsidR="00512995" w:rsidRDefault="00512995" w:rsidP="00512995">
            <w:pPr>
              <w:spacing w:before="40" w:after="40"/>
              <w:rPr>
                <w:sz w:val="16"/>
                <w:szCs w:val="16"/>
              </w:rPr>
            </w:pPr>
            <w:r>
              <w:rPr>
                <w:sz w:val="16"/>
                <w:szCs w:val="16"/>
              </w:rPr>
              <w:t>Dec’ 2</w:t>
            </w:r>
            <w:r w:rsidRPr="000744F8">
              <w:rPr>
                <w:sz w:val="16"/>
                <w:szCs w:val="16"/>
              </w:rPr>
              <w:t>02</w:t>
            </w:r>
            <w:r>
              <w:rPr>
                <w:sz w:val="16"/>
                <w:szCs w:val="16"/>
              </w:rPr>
              <w:t>4 (Q4)</w:t>
            </w:r>
          </w:p>
        </w:tc>
        <w:tc>
          <w:tcPr>
            <w:tcW w:w="517" w:type="pct"/>
          </w:tcPr>
          <w:p w14:paraId="55C24B47" w14:textId="6B835E0E" w:rsidR="00512995" w:rsidRPr="000744F8" w:rsidRDefault="00512995" w:rsidP="00512995">
            <w:pPr>
              <w:rPr>
                <w:sz w:val="16"/>
                <w:szCs w:val="16"/>
                <w:highlight w:val="yellow"/>
              </w:rPr>
            </w:pPr>
            <w:r w:rsidRPr="00E705A1">
              <w:rPr>
                <w:sz w:val="16"/>
                <w:szCs w:val="16"/>
              </w:rPr>
              <w:t>$14,852</w:t>
            </w:r>
          </w:p>
        </w:tc>
        <w:tc>
          <w:tcPr>
            <w:tcW w:w="487" w:type="pct"/>
          </w:tcPr>
          <w:p w14:paraId="19CED450" w14:textId="7FC851D3" w:rsidR="00512995" w:rsidRPr="000744F8" w:rsidRDefault="00512995" w:rsidP="00512995">
            <w:pPr>
              <w:rPr>
                <w:sz w:val="16"/>
                <w:szCs w:val="16"/>
              </w:rPr>
            </w:pPr>
            <w:r w:rsidRPr="000744F8">
              <w:rPr>
                <w:sz w:val="16"/>
                <w:szCs w:val="16"/>
              </w:rPr>
              <w:t>Project budget</w:t>
            </w:r>
          </w:p>
        </w:tc>
      </w:tr>
      <w:tr w:rsidR="00512995" w:rsidRPr="003C26C1" w14:paraId="422BB071" w14:textId="77777777" w:rsidTr="00A76773">
        <w:trPr>
          <w:trHeight w:val="60"/>
        </w:trPr>
        <w:tc>
          <w:tcPr>
            <w:tcW w:w="583" w:type="pct"/>
          </w:tcPr>
          <w:p w14:paraId="13B5C1D5" w14:textId="77777777" w:rsidR="00512995" w:rsidRPr="003C26C1" w:rsidRDefault="00512995" w:rsidP="00512995">
            <w:pPr>
              <w:rPr>
                <w:sz w:val="16"/>
                <w:szCs w:val="16"/>
              </w:rPr>
            </w:pPr>
          </w:p>
        </w:tc>
        <w:tc>
          <w:tcPr>
            <w:tcW w:w="647" w:type="pct"/>
          </w:tcPr>
          <w:p w14:paraId="3ED9BFFA" w14:textId="77777777" w:rsidR="00512995" w:rsidRPr="003C26C1" w:rsidRDefault="00512995" w:rsidP="00512995">
            <w:pPr>
              <w:rPr>
                <w:sz w:val="16"/>
                <w:szCs w:val="16"/>
              </w:rPr>
            </w:pPr>
          </w:p>
        </w:tc>
        <w:tc>
          <w:tcPr>
            <w:tcW w:w="565" w:type="pct"/>
          </w:tcPr>
          <w:p w14:paraId="42A6AB1E" w14:textId="77777777" w:rsidR="00512995" w:rsidRPr="003C26C1" w:rsidRDefault="00512995" w:rsidP="00512995">
            <w:pPr>
              <w:rPr>
                <w:sz w:val="16"/>
                <w:szCs w:val="16"/>
              </w:rPr>
            </w:pPr>
          </w:p>
        </w:tc>
        <w:tc>
          <w:tcPr>
            <w:tcW w:w="585" w:type="pct"/>
          </w:tcPr>
          <w:p w14:paraId="0EFF7AD0" w14:textId="77777777" w:rsidR="00512995" w:rsidRPr="003C26C1" w:rsidRDefault="00512995" w:rsidP="00512995">
            <w:pPr>
              <w:rPr>
                <w:sz w:val="16"/>
                <w:szCs w:val="16"/>
              </w:rPr>
            </w:pPr>
          </w:p>
        </w:tc>
        <w:tc>
          <w:tcPr>
            <w:tcW w:w="593" w:type="pct"/>
          </w:tcPr>
          <w:p w14:paraId="7A173A07" w14:textId="77777777" w:rsidR="00512995" w:rsidRPr="003C26C1" w:rsidRDefault="00512995" w:rsidP="00512995">
            <w:pPr>
              <w:rPr>
                <w:sz w:val="16"/>
                <w:szCs w:val="16"/>
              </w:rPr>
            </w:pPr>
          </w:p>
        </w:tc>
        <w:tc>
          <w:tcPr>
            <w:tcW w:w="485" w:type="pct"/>
          </w:tcPr>
          <w:p w14:paraId="681A0EC9" w14:textId="77777777" w:rsidR="00512995" w:rsidRPr="003C26C1" w:rsidRDefault="00512995" w:rsidP="00512995">
            <w:pPr>
              <w:rPr>
                <w:sz w:val="16"/>
                <w:szCs w:val="16"/>
              </w:rPr>
            </w:pPr>
          </w:p>
        </w:tc>
        <w:tc>
          <w:tcPr>
            <w:tcW w:w="538" w:type="pct"/>
          </w:tcPr>
          <w:p w14:paraId="4AB612C1" w14:textId="77777777" w:rsidR="00512995" w:rsidRPr="003C26C1" w:rsidRDefault="00512995" w:rsidP="00512995">
            <w:pPr>
              <w:spacing w:before="40" w:after="40"/>
              <w:rPr>
                <w:sz w:val="16"/>
                <w:szCs w:val="16"/>
              </w:rPr>
            </w:pPr>
          </w:p>
        </w:tc>
        <w:tc>
          <w:tcPr>
            <w:tcW w:w="517" w:type="pct"/>
          </w:tcPr>
          <w:p w14:paraId="45FA58DE" w14:textId="77777777" w:rsidR="00512995" w:rsidRPr="003C26C1" w:rsidRDefault="00512995" w:rsidP="00512995">
            <w:pPr>
              <w:rPr>
                <w:sz w:val="16"/>
                <w:szCs w:val="16"/>
              </w:rPr>
            </w:pPr>
          </w:p>
        </w:tc>
        <w:tc>
          <w:tcPr>
            <w:tcW w:w="487" w:type="pct"/>
          </w:tcPr>
          <w:p w14:paraId="303025ED" w14:textId="77777777" w:rsidR="00512995" w:rsidRPr="003C26C1" w:rsidRDefault="00512995" w:rsidP="00512995">
            <w:pPr>
              <w:rPr>
                <w:rStyle w:val="CommentReference"/>
                <w:sz w:val="16"/>
                <w:szCs w:val="16"/>
                <w:lang w:eastAsia="uk-UA"/>
              </w:rPr>
            </w:pPr>
          </w:p>
        </w:tc>
      </w:tr>
    </w:tbl>
    <w:p w14:paraId="3AEB149D" w14:textId="77777777" w:rsidR="004B45DE" w:rsidRPr="003D2258" w:rsidRDefault="004B45DE">
      <w:pPr>
        <w:rPr>
          <w:sz w:val="2"/>
          <w:szCs w:val="2"/>
        </w:rPr>
      </w:pPr>
    </w:p>
    <w:sectPr w:rsidR="004B45DE" w:rsidRPr="003D2258" w:rsidSect="008A7BB8">
      <w:pgSz w:w="15840" w:h="12240" w:orient="landscape"/>
      <w:pgMar w:top="540" w:right="54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04B7B"/>
    <w:multiLevelType w:val="hybridMultilevel"/>
    <w:tmpl w:val="B43A9508"/>
    <w:lvl w:ilvl="0" w:tplc="779E5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D2"/>
    <w:rsid w:val="000744F8"/>
    <w:rsid w:val="001260A9"/>
    <w:rsid w:val="001620F5"/>
    <w:rsid w:val="001A321B"/>
    <w:rsid w:val="003D2258"/>
    <w:rsid w:val="00465842"/>
    <w:rsid w:val="00495C29"/>
    <w:rsid w:val="004B45DE"/>
    <w:rsid w:val="00501A0E"/>
    <w:rsid w:val="00512995"/>
    <w:rsid w:val="005F4C99"/>
    <w:rsid w:val="007C4386"/>
    <w:rsid w:val="007E22C3"/>
    <w:rsid w:val="008605D3"/>
    <w:rsid w:val="008A091C"/>
    <w:rsid w:val="008A7BB8"/>
    <w:rsid w:val="008B7230"/>
    <w:rsid w:val="008C0AF2"/>
    <w:rsid w:val="008E67B9"/>
    <w:rsid w:val="008F445B"/>
    <w:rsid w:val="009008F1"/>
    <w:rsid w:val="00973ED0"/>
    <w:rsid w:val="00A76773"/>
    <w:rsid w:val="00A905DB"/>
    <w:rsid w:val="00AE1B74"/>
    <w:rsid w:val="00B51595"/>
    <w:rsid w:val="00C06ED2"/>
    <w:rsid w:val="00CB2C89"/>
    <w:rsid w:val="00CC1E8C"/>
    <w:rsid w:val="00CD05F1"/>
    <w:rsid w:val="00D40F3C"/>
    <w:rsid w:val="00E532E1"/>
    <w:rsid w:val="00E705A1"/>
    <w:rsid w:val="00E70FD8"/>
    <w:rsid w:val="00F100EF"/>
    <w:rsid w:val="00F22B61"/>
    <w:rsid w:val="00F4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F816"/>
  <w15:chartTrackingRefBased/>
  <w15:docId w15:val="{4FAC5AEE-9FF0-419F-8F17-A3339688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06ED2"/>
    <w:rPr>
      <w:rFonts w:cs="Times New Roman"/>
      <w:sz w:val="6"/>
      <w:szCs w:val="6"/>
    </w:rPr>
  </w:style>
  <w:style w:type="paragraph" w:styleId="BalloonText">
    <w:name w:val="Balloon Text"/>
    <w:basedOn w:val="Normal"/>
    <w:link w:val="BalloonTextChar"/>
    <w:uiPriority w:val="99"/>
    <w:semiHidden/>
    <w:unhideWhenUsed/>
    <w:rsid w:val="00A90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DB"/>
    <w:rPr>
      <w:rFonts w:ascii="Segoe UI" w:eastAsia="Times New Roman" w:hAnsi="Segoe UI" w:cs="Segoe UI"/>
      <w:sz w:val="18"/>
      <w:szCs w:val="18"/>
    </w:rPr>
  </w:style>
  <w:style w:type="paragraph" w:styleId="ListParagraph">
    <w:name w:val="List Paragraph"/>
    <w:basedOn w:val="Normal"/>
    <w:uiPriority w:val="34"/>
    <w:qFormat/>
    <w:rsid w:val="00A905DB"/>
    <w:pPr>
      <w:ind w:left="720"/>
      <w:contextualSpacing/>
    </w:pPr>
  </w:style>
  <w:style w:type="paragraph" w:styleId="CommentText">
    <w:name w:val="annotation text"/>
    <w:basedOn w:val="Normal"/>
    <w:link w:val="CommentTextChar"/>
    <w:uiPriority w:val="99"/>
    <w:semiHidden/>
    <w:unhideWhenUsed/>
    <w:rsid w:val="00F100EF"/>
  </w:style>
  <w:style w:type="character" w:customStyle="1" w:styleId="CommentTextChar">
    <w:name w:val="Comment Text Char"/>
    <w:basedOn w:val="DefaultParagraphFont"/>
    <w:link w:val="CommentText"/>
    <w:uiPriority w:val="99"/>
    <w:semiHidden/>
    <w:rsid w:val="00F100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0EF"/>
    <w:rPr>
      <w:b/>
      <w:bCs/>
    </w:rPr>
  </w:style>
  <w:style w:type="character" w:customStyle="1" w:styleId="CommentSubjectChar">
    <w:name w:val="Comment Subject Char"/>
    <w:basedOn w:val="CommentTextChar"/>
    <w:link w:val="CommentSubject"/>
    <w:uiPriority w:val="99"/>
    <w:semiHidden/>
    <w:rsid w:val="00F100EF"/>
    <w:rPr>
      <w:rFonts w:ascii="Times New Roman" w:eastAsia="Times New Roman" w:hAnsi="Times New Roman" w:cs="Times New Roman"/>
      <w:b/>
      <w:bCs/>
      <w:sz w:val="20"/>
      <w:szCs w:val="20"/>
    </w:rPr>
  </w:style>
  <w:style w:type="paragraph" w:customStyle="1" w:styleId="paragraph">
    <w:name w:val="paragraph"/>
    <w:basedOn w:val="Normal"/>
    <w:rsid w:val="00F100E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100EF"/>
  </w:style>
  <w:style w:type="character" w:customStyle="1" w:styleId="eop">
    <w:name w:val="eop"/>
    <w:basedOn w:val="DefaultParagraphFont"/>
    <w:rsid w:val="00F1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6795">
      <w:bodyDiv w:val="1"/>
      <w:marLeft w:val="0"/>
      <w:marRight w:val="0"/>
      <w:marTop w:val="0"/>
      <w:marBottom w:val="0"/>
      <w:divBdr>
        <w:top w:val="none" w:sz="0" w:space="0" w:color="auto"/>
        <w:left w:val="none" w:sz="0" w:space="0" w:color="auto"/>
        <w:bottom w:val="none" w:sz="0" w:space="0" w:color="auto"/>
        <w:right w:val="none" w:sz="0" w:space="0" w:color="auto"/>
      </w:divBdr>
    </w:div>
    <w:div w:id="1356466748">
      <w:bodyDiv w:val="1"/>
      <w:marLeft w:val="0"/>
      <w:marRight w:val="0"/>
      <w:marTop w:val="0"/>
      <w:marBottom w:val="0"/>
      <w:divBdr>
        <w:top w:val="none" w:sz="0" w:space="0" w:color="auto"/>
        <w:left w:val="none" w:sz="0" w:space="0" w:color="auto"/>
        <w:bottom w:val="none" w:sz="0" w:space="0" w:color="auto"/>
        <w:right w:val="none" w:sz="0" w:space="0" w:color="auto"/>
      </w:divBdr>
    </w:div>
    <w:div w:id="17685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UNITOFFICE-440-2368</_dlc_DocId>
    <_dlc_DocIdUrl xmlns="5ebeba3d-fd60-4dcb-8548-a9fd3c51d9ff">
      <Url>https://intranet.undp.org/unit/office/exo/sp2014/SP201417/_layouts/15/DocIdRedir.aspx?ID=UNITOFFICE-440-2368</Url>
      <Description>UNITOFFICE-440-2368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B8DA6-A7DA-4487-87FA-E40C58F60A3E}">
  <ds:schemaRefs>
    <ds:schemaRef ds:uri="http://schemas.microsoft.com/sharepoint/events"/>
  </ds:schemaRefs>
</ds:datastoreItem>
</file>

<file path=customXml/itemProps2.xml><?xml version="1.0" encoding="utf-8"?>
<ds:datastoreItem xmlns:ds="http://schemas.openxmlformats.org/officeDocument/2006/customXml" ds:itemID="{9A932121-0D4C-4F86-BDC1-4F08F00E7DAC}">
  <ds:schemaRefs>
    <ds:schemaRef ds:uri="http://purl.org/dc/elements/1.1/"/>
    <ds:schemaRef ds:uri="http://schemas.microsoft.com/office/2006/metadata/properties"/>
    <ds:schemaRef ds:uri="5ebeba3d-fd60-4dcb-8548-a9fd3c51d9f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192986-2604-4216-941B-2F88F2B85CCF}">
  <ds:schemaRefs>
    <ds:schemaRef ds:uri="http://schemas.microsoft.com/sharepoint/v3/contenttype/forms"/>
  </ds:schemaRefs>
</ds:datastoreItem>
</file>

<file path=customXml/itemProps4.xml><?xml version="1.0" encoding="utf-8"?>
<ds:datastoreItem xmlns:ds="http://schemas.openxmlformats.org/officeDocument/2006/customXml" ds:itemID="{D8DE3C17-6370-4F2F-BBC9-630E3FD5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Arstanbekova</dc:creator>
  <cp:keywords/>
  <dc:description/>
  <cp:lastModifiedBy>Svetlana Iazykova</cp:lastModifiedBy>
  <cp:revision>2</cp:revision>
  <dcterms:created xsi:type="dcterms:W3CDTF">2022-05-25T16:04:00Z</dcterms:created>
  <dcterms:modified xsi:type="dcterms:W3CDTF">2022-05-25T16:04:00Z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1b4082de-5208-4ae1-a54c-7c6994223930</vt:lpwstr>
  </property>
</Properties>
</file>