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86B9F" w14:textId="77777777" w:rsidR="000B2DCA" w:rsidRPr="000B2DCA" w:rsidRDefault="000B2DCA" w:rsidP="000B2DCA">
      <w:pPr>
        <w:tabs>
          <w:tab w:val="left" w:pos="900"/>
          <w:tab w:val="left" w:pos="990"/>
          <w:tab w:val="left" w:pos="8640"/>
          <w:tab w:val="left" w:pos="9180"/>
        </w:tabs>
        <w:spacing w:after="120"/>
        <w:ind w:left="450"/>
        <w:rPr>
          <w:color w:val="000000"/>
          <w:sz w:val="20"/>
          <w:szCs w:val="20"/>
        </w:rPr>
        <w:sectPr w:rsidR="000B2DCA" w:rsidRPr="000B2DCA" w:rsidSect="00AB64CB">
          <w:headerReference w:type="default" r:id="rId12"/>
          <w:footerReference w:type="even" r:id="rId13"/>
          <w:footerReference w:type="default" r:id="rId14"/>
          <w:headerReference w:type="first" r:id="rId15"/>
          <w:footnotePr>
            <w:numRestart w:val="eachSect"/>
          </w:footnotePr>
          <w:endnotePr>
            <w:numFmt w:val="decimal"/>
            <w:numStart w:val="7"/>
          </w:endnotePr>
          <w:pgSz w:w="12240" w:h="15840" w:code="1"/>
          <w:pgMar w:top="1166" w:right="1195" w:bottom="1440" w:left="1195" w:header="576" w:footer="1030" w:gutter="0"/>
          <w:pgNumType w:start="1"/>
          <w:cols w:space="720"/>
          <w:titlePg/>
        </w:sectPr>
      </w:pPr>
      <w:bookmarkStart w:id="0" w:name="_GoBack"/>
      <w:bookmarkEnd w:id="0"/>
    </w:p>
    <w:p w14:paraId="23B5894E" w14:textId="24995E69" w:rsidR="00FE7037" w:rsidRPr="000B2DCA" w:rsidRDefault="00DB64A0" w:rsidP="000B4BE2">
      <w:pPr>
        <w:tabs>
          <w:tab w:val="left" w:pos="900"/>
          <w:tab w:val="left" w:pos="99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 w:val="left" w:pos="9180"/>
        </w:tabs>
        <w:ind w:right="1267"/>
        <w:rPr>
          <w:b/>
          <w:color w:val="000000"/>
          <w:sz w:val="20"/>
          <w:szCs w:val="20"/>
        </w:rPr>
      </w:pPr>
      <w:r w:rsidRPr="000B2DCA">
        <w:rPr>
          <w:b/>
          <w:color w:val="000000"/>
          <w:sz w:val="20"/>
          <w:szCs w:val="20"/>
        </w:rPr>
        <w:t>Se</w:t>
      </w:r>
      <w:r w:rsidR="00D51BA5" w:rsidRPr="000B2DCA">
        <w:rPr>
          <w:b/>
          <w:color w:val="000000"/>
          <w:sz w:val="20"/>
          <w:szCs w:val="20"/>
        </w:rPr>
        <w:t>cond regular session</w:t>
      </w:r>
      <w:r w:rsidRPr="000B2DCA">
        <w:rPr>
          <w:b/>
          <w:color w:val="000000"/>
          <w:sz w:val="20"/>
          <w:szCs w:val="20"/>
        </w:rPr>
        <w:t xml:space="preserve"> 2016</w:t>
      </w:r>
    </w:p>
    <w:p w14:paraId="06614750" w14:textId="62ACBB76" w:rsidR="00FE7037" w:rsidRPr="000B2DCA" w:rsidRDefault="004E7CAF" w:rsidP="000B4BE2">
      <w:pPr>
        <w:tabs>
          <w:tab w:val="left" w:pos="900"/>
          <w:tab w:val="left" w:pos="99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 w:val="left" w:pos="9180"/>
        </w:tabs>
        <w:ind w:right="1267"/>
        <w:rPr>
          <w:color w:val="000000"/>
          <w:sz w:val="20"/>
          <w:szCs w:val="20"/>
        </w:rPr>
      </w:pPr>
      <w:r>
        <w:rPr>
          <w:color w:val="000000"/>
          <w:sz w:val="20"/>
          <w:szCs w:val="20"/>
        </w:rPr>
        <w:t>6-9 and 13 September</w:t>
      </w:r>
      <w:r w:rsidR="00FE7037" w:rsidRPr="000B2DCA">
        <w:rPr>
          <w:color w:val="000000"/>
          <w:sz w:val="20"/>
          <w:szCs w:val="20"/>
        </w:rPr>
        <w:t xml:space="preserve">, </w:t>
      </w:r>
      <w:r w:rsidR="00D51BA5" w:rsidRPr="000B2DCA">
        <w:rPr>
          <w:color w:val="000000"/>
          <w:sz w:val="20"/>
          <w:szCs w:val="20"/>
        </w:rPr>
        <w:t>New York</w:t>
      </w:r>
    </w:p>
    <w:p w14:paraId="5CF97099" w14:textId="41F5C5CA" w:rsidR="00FE7037" w:rsidRPr="000B2DCA" w:rsidRDefault="00FE7037" w:rsidP="000B4BE2">
      <w:pPr>
        <w:tabs>
          <w:tab w:val="left" w:pos="900"/>
          <w:tab w:val="left" w:pos="99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 w:val="left" w:pos="9180"/>
        </w:tabs>
        <w:ind w:right="1267"/>
        <w:rPr>
          <w:color w:val="000000"/>
          <w:sz w:val="20"/>
          <w:szCs w:val="20"/>
        </w:rPr>
      </w:pPr>
      <w:r w:rsidRPr="000B2DCA">
        <w:rPr>
          <w:color w:val="000000"/>
          <w:sz w:val="20"/>
          <w:szCs w:val="20"/>
        </w:rPr>
        <w:t xml:space="preserve">Item </w:t>
      </w:r>
      <w:r w:rsidR="00D51BA5" w:rsidRPr="000B2DCA">
        <w:rPr>
          <w:color w:val="000000"/>
          <w:sz w:val="20"/>
          <w:szCs w:val="20"/>
        </w:rPr>
        <w:t>xx</w:t>
      </w:r>
      <w:r w:rsidRPr="000B2DCA">
        <w:rPr>
          <w:color w:val="000000"/>
          <w:sz w:val="20"/>
          <w:szCs w:val="20"/>
        </w:rPr>
        <w:t xml:space="preserve"> of the provisional agenda</w:t>
      </w:r>
    </w:p>
    <w:p w14:paraId="686181AF" w14:textId="77777777" w:rsidR="00FE7037" w:rsidRPr="000B2DCA" w:rsidRDefault="00FE7037" w:rsidP="000B4BE2">
      <w:pPr>
        <w:tabs>
          <w:tab w:val="left" w:pos="900"/>
          <w:tab w:val="left" w:pos="990"/>
          <w:tab w:val="left" w:pos="8640"/>
          <w:tab w:val="left" w:pos="9180"/>
        </w:tabs>
        <w:spacing w:after="120"/>
        <w:ind w:right="1260"/>
        <w:rPr>
          <w:b/>
          <w:color w:val="000000"/>
          <w:sz w:val="20"/>
          <w:szCs w:val="20"/>
        </w:rPr>
      </w:pPr>
      <w:r w:rsidRPr="000B2DCA">
        <w:rPr>
          <w:b/>
          <w:color w:val="000000"/>
          <w:sz w:val="20"/>
          <w:szCs w:val="20"/>
        </w:rPr>
        <w:t>Country programmes and related matters</w:t>
      </w:r>
    </w:p>
    <w:p w14:paraId="473BDCA3" w14:textId="77777777" w:rsidR="00FE7037" w:rsidRPr="000B2DCA" w:rsidRDefault="00FE7037" w:rsidP="000B4BE2">
      <w:pPr>
        <w:pStyle w:val="SingleTxt"/>
        <w:tabs>
          <w:tab w:val="left" w:pos="900"/>
          <w:tab w:val="left" w:pos="990"/>
          <w:tab w:val="left" w:pos="8640"/>
          <w:tab w:val="left" w:pos="9180"/>
        </w:tabs>
        <w:spacing w:line="240" w:lineRule="auto"/>
        <w:ind w:left="0"/>
        <w:rPr>
          <w:color w:val="000000"/>
          <w:sz w:val="20"/>
          <w:szCs w:val="20"/>
        </w:rPr>
      </w:pPr>
    </w:p>
    <w:p w14:paraId="5E8C433D" w14:textId="4165CD94" w:rsidR="00FE7037" w:rsidRDefault="00F95A84" w:rsidP="000B4BE2">
      <w:pPr>
        <w:pStyle w:val="HCh"/>
        <w:tabs>
          <w:tab w:val="left" w:pos="900"/>
          <w:tab w:val="left" w:pos="99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830"/>
          <w:tab w:val="left" w:pos="7920"/>
          <w:tab w:val="left" w:pos="8640"/>
          <w:tab w:val="left" w:pos="9180"/>
        </w:tabs>
        <w:spacing w:after="120" w:line="240" w:lineRule="auto"/>
        <w:rPr>
          <w:color w:val="000000"/>
          <w:szCs w:val="28"/>
        </w:rPr>
      </w:pPr>
      <w:r w:rsidRPr="000B4BE2">
        <w:rPr>
          <w:color w:val="000000"/>
          <w:szCs w:val="28"/>
        </w:rPr>
        <w:t xml:space="preserve">Draft </w:t>
      </w:r>
      <w:r w:rsidR="00D51BA5" w:rsidRPr="000B4BE2">
        <w:rPr>
          <w:color w:val="000000"/>
          <w:szCs w:val="28"/>
        </w:rPr>
        <w:t>c</w:t>
      </w:r>
      <w:r w:rsidR="00FE7037" w:rsidRPr="000B4BE2">
        <w:rPr>
          <w:color w:val="000000"/>
          <w:szCs w:val="28"/>
        </w:rPr>
        <w:t xml:space="preserve">ountry programme document for Bangladesh </w:t>
      </w:r>
      <w:r w:rsidR="000B4BE2" w:rsidRPr="000B4BE2">
        <w:rPr>
          <w:color w:val="000000"/>
          <w:szCs w:val="28"/>
        </w:rPr>
        <w:t>(</w:t>
      </w:r>
      <w:r w:rsidR="00FE7037" w:rsidRPr="000B4BE2">
        <w:rPr>
          <w:color w:val="000000"/>
          <w:szCs w:val="28"/>
        </w:rPr>
        <w:t>2017-2020</w:t>
      </w:r>
      <w:r w:rsidR="000B4BE2" w:rsidRPr="000B4BE2">
        <w:rPr>
          <w:color w:val="000000"/>
          <w:szCs w:val="28"/>
        </w:rPr>
        <w:t>)</w:t>
      </w:r>
      <w:r w:rsidR="00FE7037" w:rsidRPr="000B4BE2">
        <w:rPr>
          <w:color w:val="000000"/>
          <w:szCs w:val="28"/>
        </w:rPr>
        <w:br/>
      </w:r>
    </w:p>
    <w:p w14:paraId="11DA9AB7" w14:textId="77777777" w:rsidR="000B4BE2" w:rsidRPr="000B4BE2" w:rsidRDefault="000B4BE2" w:rsidP="000B4BE2">
      <w:pPr>
        <w:tabs>
          <w:tab w:val="left" w:pos="1620"/>
        </w:tabs>
        <w:rPr>
          <w:sz w:val="20"/>
          <w:szCs w:val="20"/>
          <w:lang w:val="en-US"/>
        </w:rPr>
      </w:pPr>
    </w:p>
    <w:p w14:paraId="0A6E0718" w14:textId="77777777" w:rsidR="000B4BE2" w:rsidRPr="000B4BE2" w:rsidRDefault="000B4BE2" w:rsidP="000B4BE2">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firstLine="450"/>
        <w:outlineLvl w:val="0"/>
        <w:rPr>
          <w:spacing w:val="-2"/>
          <w:w w:val="103"/>
          <w:kern w:val="14"/>
          <w:sz w:val="28"/>
          <w:szCs w:val="20"/>
        </w:rPr>
      </w:pPr>
      <w:r w:rsidRPr="000B4BE2">
        <w:rPr>
          <w:spacing w:val="-2"/>
          <w:w w:val="103"/>
          <w:kern w:val="14"/>
          <w:sz w:val="28"/>
          <w:szCs w:val="20"/>
        </w:rPr>
        <w:t>Contents</w:t>
      </w:r>
    </w:p>
    <w:tbl>
      <w:tblPr>
        <w:tblW w:w="9902" w:type="dxa"/>
        <w:tblLayout w:type="fixed"/>
        <w:tblCellMar>
          <w:left w:w="0" w:type="dxa"/>
          <w:right w:w="0" w:type="dxa"/>
        </w:tblCellMar>
        <w:tblLook w:val="0000" w:firstRow="0" w:lastRow="0" w:firstColumn="0" w:lastColumn="0" w:noHBand="0" w:noVBand="0"/>
      </w:tblPr>
      <w:tblGrid>
        <w:gridCol w:w="1060"/>
        <w:gridCol w:w="8300"/>
        <w:gridCol w:w="9"/>
        <w:gridCol w:w="533"/>
      </w:tblGrid>
      <w:tr w:rsidR="000B4BE2" w:rsidRPr="000B4BE2" w14:paraId="5D708E37" w14:textId="77777777" w:rsidTr="00DB5E92">
        <w:tc>
          <w:tcPr>
            <w:tcW w:w="1060" w:type="dxa"/>
            <w:shd w:val="clear" w:color="auto" w:fill="auto"/>
          </w:tcPr>
          <w:p w14:paraId="3A12E86E" w14:textId="77777777" w:rsidR="000B4BE2" w:rsidRPr="000B4BE2" w:rsidRDefault="000B4BE2" w:rsidP="000B4BE2">
            <w:pPr>
              <w:tabs>
                <w:tab w:val="left" w:pos="1620"/>
              </w:tabs>
              <w:suppressAutoHyphens/>
              <w:spacing w:after="120"/>
              <w:jc w:val="right"/>
              <w:rPr>
                <w:i/>
                <w:spacing w:val="4"/>
                <w:w w:val="103"/>
                <w:kern w:val="14"/>
                <w:sz w:val="14"/>
                <w:szCs w:val="20"/>
              </w:rPr>
            </w:pPr>
          </w:p>
        </w:tc>
        <w:tc>
          <w:tcPr>
            <w:tcW w:w="8300" w:type="dxa"/>
            <w:shd w:val="clear" w:color="auto" w:fill="auto"/>
          </w:tcPr>
          <w:p w14:paraId="026B8D18" w14:textId="77777777" w:rsidR="000B4BE2" w:rsidRPr="000B4BE2" w:rsidRDefault="000B4BE2" w:rsidP="000B4BE2">
            <w:pPr>
              <w:tabs>
                <w:tab w:val="left" w:pos="1620"/>
              </w:tabs>
              <w:suppressAutoHyphens/>
              <w:spacing w:after="120"/>
              <w:rPr>
                <w:i/>
                <w:spacing w:val="4"/>
                <w:w w:val="103"/>
                <w:kern w:val="14"/>
                <w:sz w:val="14"/>
                <w:szCs w:val="20"/>
              </w:rPr>
            </w:pPr>
          </w:p>
        </w:tc>
        <w:tc>
          <w:tcPr>
            <w:tcW w:w="542" w:type="dxa"/>
            <w:gridSpan w:val="2"/>
            <w:shd w:val="clear" w:color="auto" w:fill="auto"/>
          </w:tcPr>
          <w:p w14:paraId="73108FFB" w14:textId="77777777" w:rsidR="000B4BE2" w:rsidRPr="000B4BE2" w:rsidRDefault="000B4BE2" w:rsidP="000B4BE2">
            <w:pPr>
              <w:tabs>
                <w:tab w:val="left" w:pos="1620"/>
              </w:tabs>
              <w:suppressAutoHyphens/>
              <w:spacing w:after="120"/>
              <w:jc w:val="right"/>
              <w:rPr>
                <w:i/>
                <w:spacing w:val="4"/>
                <w:w w:val="103"/>
                <w:kern w:val="14"/>
                <w:sz w:val="14"/>
                <w:szCs w:val="20"/>
              </w:rPr>
            </w:pPr>
            <w:r w:rsidRPr="000B4BE2">
              <w:rPr>
                <w:i/>
                <w:spacing w:val="4"/>
                <w:w w:val="103"/>
                <w:kern w:val="14"/>
                <w:sz w:val="14"/>
                <w:szCs w:val="20"/>
              </w:rPr>
              <w:t>Page</w:t>
            </w:r>
          </w:p>
        </w:tc>
      </w:tr>
      <w:tr w:rsidR="000B4BE2" w:rsidRPr="000B4BE2" w14:paraId="70CA1D58" w14:textId="77777777" w:rsidTr="00DB5E92">
        <w:tc>
          <w:tcPr>
            <w:tcW w:w="9360" w:type="dxa"/>
            <w:gridSpan w:val="2"/>
            <w:shd w:val="clear" w:color="auto" w:fill="auto"/>
          </w:tcPr>
          <w:p w14:paraId="420CB277" w14:textId="77777777" w:rsidR="000B4BE2" w:rsidRPr="000B4BE2" w:rsidRDefault="000B4BE2" w:rsidP="000B4BE2">
            <w:pPr>
              <w:numPr>
                <w:ilvl w:val="0"/>
                <w:numId w:val="11"/>
              </w:numPr>
              <w:tabs>
                <w:tab w:val="right" w:pos="1080"/>
                <w:tab w:val="left" w:pos="1296"/>
                <w:tab w:val="left" w:pos="1620"/>
                <w:tab w:val="left" w:pos="2160"/>
                <w:tab w:val="left" w:pos="2592"/>
                <w:tab w:val="right" w:leader="dot" w:pos="8381"/>
              </w:tabs>
              <w:suppressAutoHyphens/>
              <w:spacing w:after="120" w:line="240" w:lineRule="exact"/>
              <w:jc w:val="both"/>
              <w:rPr>
                <w:spacing w:val="4"/>
                <w:w w:val="103"/>
                <w:kern w:val="14"/>
                <w:sz w:val="20"/>
                <w:szCs w:val="20"/>
              </w:rPr>
            </w:pPr>
            <w:r w:rsidRPr="000B4BE2">
              <w:rPr>
                <w:spacing w:val="4"/>
                <w:w w:val="103"/>
                <w:kern w:val="14"/>
                <w:sz w:val="20"/>
                <w:szCs w:val="20"/>
              </w:rPr>
              <w:tab/>
              <w:t>Programme rationale</w:t>
            </w:r>
            <w:r w:rsidRPr="000B4BE2">
              <w:rPr>
                <w:spacing w:val="60"/>
                <w:w w:val="103"/>
                <w:kern w:val="14"/>
                <w:sz w:val="17"/>
                <w:szCs w:val="20"/>
              </w:rPr>
              <w:tab/>
            </w:r>
          </w:p>
        </w:tc>
        <w:tc>
          <w:tcPr>
            <w:tcW w:w="542" w:type="dxa"/>
            <w:gridSpan w:val="2"/>
            <w:vMerge w:val="restart"/>
            <w:shd w:val="clear" w:color="auto" w:fill="auto"/>
            <w:vAlign w:val="bottom"/>
          </w:tcPr>
          <w:p w14:paraId="7C275AF0" w14:textId="77777777" w:rsidR="000B4BE2" w:rsidRPr="000B4BE2" w:rsidRDefault="000B4BE2" w:rsidP="000B4BE2">
            <w:pPr>
              <w:tabs>
                <w:tab w:val="left" w:pos="1620"/>
              </w:tabs>
              <w:suppressAutoHyphens/>
              <w:spacing w:after="120" w:line="240" w:lineRule="exact"/>
              <w:jc w:val="right"/>
              <w:rPr>
                <w:spacing w:val="4"/>
                <w:w w:val="103"/>
                <w:kern w:val="14"/>
                <w:sz w:val="20"/>
                <w:szCs w:val="20"/>
              </w:rPr>
            </w:pPr>
            <w:r w:rsidRPr="000B4BE2">
              <w:rPr>
                <w:spacing w:val="4"/>
                <w:w w:val="103"/>
                <w:kern w:val="14"/>
                <w:sz w:val="20"/>
                <w:szCs w:val="20"/>
              </w:rPr>
              <w:t>2</w:t>
            </w:r>
          </w:p>
          <w:p w14:paraId="0CD8B5FB" w14:textId="046A9DCA" w:rsidR="000B4BE2" w:rsidRPr="000B4BE2" w:rsidRDefault="003026BC" w:rsidP="000B4BE2">
            <w:pPr>
              <w:tabs>
                <w:tab w:val="left" w:pos="1620"/>
              </w:tabs>
              <w:suppressAutoHyphens/>
              <w:spacing w:after="120" w:line="240" w:lineRule="exact"/>
              <w:jc w:val="right"/>
              <w:rPr>
                <w:spacing w:val="4"/>
                <w:w w:val="103"/>
                <w:kern w:val="14"/>
                <w:sz w:val="20"/>
                <w:szCs w:val="20"/>
              </w:rPr>
            </w:pPr>
            <w:r>
              <w:rPr>
                <w:spacing w:val="4"/>
                <w:w w:val="103"/>
                <w:kern w:val="14"/>
                <w:sz w:val="20"/>
                <w:szCs w:val="20"/>
              </w:rPr>
              <w:t>4</w:t>
            </w:r>
          </w:p>
        </w:tc>
      </w:tr>
      <w:tr w:rsidR="000B4BE2" w:rsidRPr="000B4BE2" w14:paraId="64BD3B46" w14:textId="77777777" w:rsidTr="00DB5E92">
        <w:tc>
          <w:tcPr>
            <w:tcW w:w="9360" w:type="dxa"/>
            <w:gridSpan w:val="2"/>
            <w:shd w:val="clear" w:color="auto" w:fill="auto"/>
          </w:tcPr>
          <w:p w14:paraId="14D4BDE5" w14:textId="77777777" w:rsidR="000B4BE2" w:rsidRPr="000B4BE2" w:rsidRDefault="000B4BE2" w:rsidP="000B4BE2">
            <w:pPr>
              <w:numPr>
                <w:ilvl w:val="0"/>
                <w:numId w:val="11"/>
              </w:numPr>
              <w:tabs>
                <w:tab w:val="right" w:pos="1080"/>
                <w:tab w:val="left" w:pos="1296"/>
                <w:tab w:val="left" w:pos="1620"/>
                <w:tab w:val="left" w:pos="2160"/>
                <w:tab w:val="left" w:pos="2592"/>
                <w:tab w:val="left" w:pos="3024"/>
                <w:tab w:val="left" w:pos="3456"/>
                <w:tab w:val="left" w:pos="3888"/>
                <w:tab w:val="left" w:pos="4320"/>
                <w:tab w:val="right" w:leader="dot" w:pos="8381"/>
              </w:tabs>
              <w:suppressAutoHyphens/>
              <w:spacing w:after="120" w:line="240" w:lineRule="exact"/>
              <w:jc w:val="both"/>
              <w:rPr>
                <w:spacing w:val="4"/>
                <w:w w:val="103"/>
                <w:kern w:val="14"/>
                <w:sz w:val="20"/>
                <w:szCs w:val="20"/>
              </w:rPr>
            </w:pPr>
            <w:r w:rsidRPr="000B4BE2">
              <w:rPr>
                <w:spacing w:val="4"/>
                <w:w w:val="103"/>
                <w:kern w:val="14"/>
                <w:sz w:val="20"/>
                <w:szCs w:val="20"/>
              </w:rPr>
              <w:tab/>
              <w:t>Programme priorities and partnerships</w:t>
            </w:r>
            <w:r w:rsidRPr="000B4BE2">
              <w:rPr>
                <w:spacing w:val="60"/>
                <w:w w:val="103"/>
                <w:kern w:val="14"/>
                <w:sz w:val="17"/>
                <w:szCs w:val="20"/>
              </w:rPr>
              <w:tab/>
            </w:r>
          </w:p>
        </w:tc>
        <w:tc>
          <w:tcPr>
            <w:tcW w:w="542" w:type="dxa"/>
            <w:gridSpan w:val="2"/>
            <w:vMerge/>
            <w:shd w:val="clear" w:color="auto" w:fill="auto"/>
            <w:vAlign w:val="bottom"/>
          </w:tcPr>
          <w:p w14:paraId="4085B6A9" w14:textId="77777777" w:rsidR="000B4BE2" w:rsidRPr="000B4BE2" w:rsidRDefault="000B4BE2" w:rsidP="000B4BE2">
            <w:pPr>
              <w:tabs>
                <w:tab w:val="left" w:pos="1620"/>
              </w:tabs>
              <w:suppressAutoHyphens/>
              <w:spacing w:after="120" w:line="240" w:lineRule="exact"/>
              <w:jc w:val="right"/>
              <w:rPr>
                <w:spacing w:val="4"/>
                <w:w w:val="103"/>
                <w:kern w:val="14"/>
                <w:sz w:val="20"/>
                <w:szCs w:val="20"/>
              </w:rPr>
            </w:pPr>
          </w:p>
        </w:tc>
      </w:tr>
      <w:tr w:rsidR="000B4BE2" w:rsidRPr="000B4BE2" w14:paraId="29D0AD16" w14:textId="77777777" w:rsidTr="00DB5E92">
        <w:tc>
          <w:tcPr>
            <w:tcW w:w="9360" w:type="dxa"/>
            <w:gridSpan w:val="2"/>
            <w:shd w:val="clear" w:color="auto" w:fill="auto"/>
          </w:tcPr>
          <w:p w14:paraId="4A97CA04" w14:textId="77777777" w:rsidR="000B4BE2" w:rsidRPr="000B4BE2" w:rsidRDefault="000B4BE2" w:rsidP="000B4BE2">
            <w:pPr>
              <w:numPr>
                <w:ilvl w:val="0"/>
                <w:numId w:val="11"/>
              </w:numPr>
              <w:tabs>
                <w:tab w:val="right" w:pos="1080"/>
                <w:tab w:val="left" w:pos="1296"/>
                <w:tab w:val="left" w:pos="1620"/>
                <w:tab w:val="left" w:pos="2160"/>
                <w:tab w:val="left" w:pos="2592"/>
                <w:tab w:val="left" w:pos="3024"/>
                <w:tab w:val="right" w:leader="dot" w:pos="8381"/>
              </w:tabs>
              <w:suppressAutoHyphens/>
              <w:spacing w:after="120" w:line="240" w:lineRule="exact"/>
              <w:jc w:val="both"/>
              <w:rPr>
                <w:spacing w:val="4"/>
                <w:w w:val="103"/>
                <w:kern w:val="14"/>
                <w:sz w:val="20"/>
                <w:szCs w:val="20"/>
              </w:rPr>
            </w:pPr>
            <w:r w:rsidRPr="000B4BE2">
              <w:rPr>
                <w:spacing w:val="4"/>
                <w:w w:val="103"/>
                <w:kern w:val="14"/>
                <w:sz w:val="20"/>
                <w:szCs w:val="20"/>
              </w:rPr>
              <w:tab/>
              <w:t>Programme and risk management</w:t>
            </w:r>
            <w:r w:rsidRPr="000B4BE2">
              <w:rPr>
                <w:spacing w:val="60"/>
                <w:w w:val="103"/>
                <w:kern w:val="14"/>
                <w:sz w:val="17"/>
                <w:szCs w:val="20"/>
              </w:rPr>
              <w:tab/>
            </w:r>
          </w:p>
        </w:tc>
        <w:tc>
          <w:tcPr>
            <w:tcW w:w="542" w:type="dxa"/>
            <w:gridSpan w:val="2"/>
            <w:vMerge w:val="restart"/>
            <w:shd w:val="clear" w:color="auto" w:fill="auto"/>
            <w:vAlign w:val="bottom"/>
          </w:tcPr>
          <w:p w14:paraId="3C2DD046" w14:textId="291E9EC8" w:rsidR="000B4BE2" w:rsidRPr="000B4BE2" w:rsidRDefault="003026BC" w:rsidP="000B4BE2">
            <w:pPr>
              <w:tabs>
                <w:tab w:val="left" w:pos="1620"/>
              </w:tabs>
              <w:suppressAutoHyphens/>
              <w:spacing w:after="120" w:line="240" w:lineRule="exact"/>
              <w:jc w:val="right"/>
              <w:rPr>
                <w:spacing w:val="4"/>
                <w:w w:val="103"/>
                <w:kern w:val="14"/>
                <w:sz w:val="20"/>
                <w:szCs w:val="20"/>
              </w:rPr>
            </w:pPr>
            <w:r>
              <w:rPr>
                <w:spacing w:val="4"/>
                <w:w w:val="103"/>
                <w:kern w:val="14"/>
                <w:sz w:val="20"/>
                <w:szCs w:val="20"/>
              </w:rPr>
              <w:t>6</w:t>
            </w:r>
          </w:p>
          <w:p w14:paraId="449BD895" w14:textId="6A151A41" w:rsidR="000B4BE2" w:rsidRPr="000B4BE2" w:rsidRDefault="00443D38" w:rsidP="000B4BE2">
            <w:pPr>
              <w:tabs>
                <w:tab w:val="left" w:pos="1620"/>
              </w:tabs>
              <w:suppressAutoHyphens/>
              <w:spacing w:after="120" w:line="240" w:lineRule="exact"/>
              <w:jc w:val="right"/>
              <w:rPr>
                <w:spacing w:val="4"/>
                <w:w w:val="103"/>
                <w:kern w:val="14"/>
                <w:sz w:val="20"/>
                <w:szCs w:val="20"/>
              </w:rPr>
            </w:pPr>
            <w:r>
              <w:rPr>
                <w:spacing w:val="4"/>
                <w:w w:val="103"/>
                <w:kern w:val="14"/>
                <w:sz w:val="20"/>
                <w:szCs w:val="20"/>
              </w:rPr>
              <w:t>7</w:t>
            </w:r>
            <w:r w:rsidR="000B4BE2" w:rsidRPr="000B4BE2">
              <w:rPr>
                <w:spacing w:val="4"/>
                <w:w w:val="103"/>
                <w:kern w:val="14"/>
                <w:sz w:val="20"/>
                <w:szCs w:val="20"/>
              </w:rPr>
              <w:t xml:space="preserve"> </w:t>
            </w:r>
          </w:p>
        </w:tc>
      </w:tr>
      <w:tr w:rsidR="000B4BE2" w:rsidRPr="000B4BE2" w14:paraId="4DA3FCB5" w14:textId="77777777" w:rsidTr="00DB5E92">
        <w:tc>
          <w:tcPr>
            <w:tcW w:w="9360" w:type="dxa"/>
            <w:gridSpan w:val="2"/>
            <w:shd w:val="clear" w:color="auto" w:fill="auto"/>
          </w:tcPr>
          <w:p w14:paraId="458D007B" w14:textId="77777777" w:rsidR="000B4BE2" w:rsidRPr="000B4BE2" w:rsidRDefault="000B4BE2" w:rsidP="000B4BE2">
            <w:pPr>
              <w:numPr>
                <w:ilvl w:val="0"/>
                <w:numId w:val="11"/>
              </w:numPr>
              <w:tabs>
                <w:tab w:val="right" w:pos="1080"/>
                <w:tab w:val="left" w:pos="1296"/>
                <w:tab w:val="left" w:pos="1620"/>
                <w:tab w:val="left" w:pos="2160"/>
                <w:tab w:val="left" w:pos="2592"/>
                <w:tab w:val="left" w:pos="3024"/>
                <w:tab w:val="left" w:pos="3420"/>
                <w:tab w:val="left" w:pos="3456"/>
                <w:tab w:val="right" w:leader="dot" w:pos="8381"/>
              </w:tabs>
              <w:suppressAutoHyphens/>
              <w:spacing w:after="120" w:line="240" w:lineRule="exact"/>
              <w:jc w:val="both"/>
              <w:rPr>
                <w:spacing w:val="4"/>
                <w:w w:val="103"/>
                <w:kern w:val="14"/>
                <w:sz w:val="20"/>
                <w:szCs w:val="20"/>
              </w:rPr>
            </w:pPr>
            <w:r w:rsidRPr="000B4BE2">
              <w:rPr>
                <w:spacing w:val="4"/>
                <w:w w:val="103"/>
                <w:kern w:val="14"/>
                <w:sz w:val="20"/>
                <w:szCs w:val="20"/>
              </w:rPr>
              <w:tab/>
              <w:t>Monitoring and evaluation</w:t>
            </w:r>
            <w:r w:rsidRPr="000B4BE2">
              <w:rPr>
                <w:spacing w:val="60"/>
                <w:w w:val="103"/>
                <w:kern w:val="14"/>
                <w:sz w:val="17"/>
                <w:szCs w:val="20"/>
              </w:rPr>
              <w:tab/>
            </w:r>
            <w:r w:rsidRPr="000B4BE2">
              <w:rPr>
                <w:spacing w:val="60"/>
                <w:w w:val="103"/>
                <w:kern w:val="14"/>
                <w:sz w:val="17"/>
                <w:szCs w:val="20"/>
              </w:rPr>
              <w:tab/>
            </w:r>
          </w:p>
        </w:tc>
        <w:tc>
          <w:tcPr>
            <w:tcW w:w="542" w:type="dxa"/>
            <w:gridSpan w:val="2"/>
            <w:vMerge/>
            <w:shd w:val="clear" w:color="auto" w:fill="auto"/>
            <w:vAlign w:val="bottom"/>
          </w:tcPr>
          <w:p w14:paraId="4D584035" w14:textId="77777777" w:rsidR="000B4BE2" w:rsidRPr="000B4BE2" w:rsidRDefault="000B4BE2" w:rsidP="000B4BE2">
            <w:pPr>
              <w:tabs>
                <w:tab w:val="left" w:pos="1620"/>
              </w:tabs>
              <w:suppressAutoHyphens/>
              <w:spacing w:after="120" w:line="240" w:lineRule="exact"/>
              <w:jc w:val="right"/>
              <w:rPr>
                <w:spacing w:val="4"/>
                <w:w w:val="103"/>
                <w:kern w:val="14"/>
                <w:sz w:val="20"/>
                <w:szCs w:val="20"/>
              </w:rPr>
            </w:pPr>
          </w:p>
        </w:tc>
      </w:tr>
      <w:tr w:rsidR="000B4BE2" w:rsidRPr="000B4BE2" w14:paraId="4E980C23" w14:textId="77777777" w:rsidTr="00DB5E92">
        <w:tc>
          <w:tcPr>
            <w:tcW w:w="9369" w:type="dxa"/>
            <w:gridSpan w:val="3"/>
            <w:shd w:val="clear" w:color="auto" w:fill="auto"/>
          </w:tcPr>
          <w:p w14:paraId="27228239" w14:textId="77777777" w:rsidR="000B4BE2" w:rsidRPr="000B4BE2" w:rsidRDefault="000B4BE2" w:rsidP="000B4BE2">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spacing w:val="4"/>
                <w:w w:val="103"/>
                <w:kern w:val="14"/>
                <w:sz w:val="20"/>
                <w:szCs w:val="20"/>
              </w:rPr>
            </w:pPr>
            <w:r w:rsidRPr="000B4BE2">
              <w:rPr>
                <w:spacing w:val="4"/>
                <w:w w:val="103"/>
                <w:kern w:val="14"/>
                <w:sz w:val="20"/>
                <w:szCs w:val="20"/>
              </w:rPr>
              <w:t xml:space="preserve">     Annex</w:t>
            </w:r>
          </w:p>
        </w:tc>
        <w:tc>
          <w:tcPr>
            <w:tcW w:w="533" w:type="dxa"/>
            <w:shd w:val="clear" w:color="auto" w:fill="auto"/>
            <w:vAlign w:val="bottom"/>
          </w:tcPr>
          <w:p w14:paraId="71EA8FB5" w14:textId="77777777" w:rsidR="000B4BE2" w:rsidRPr="000B4BE2" w:rsidRDefault="000B4BE2" w:rsidP="00443D38">
            <w:pPr>
              <w:tabs>
                <w:tab w:val="left" w:pos="1620"/>
              </w:tabs>
              <w:suppressAutoHyphens/>
              <w:spacing w:after="120" w:line="240" w:lineRule="exact"/>
              <w:jc w:val="center"/>
              <w:rPr>
                <w:spacing w:val="4"/>
                <w:w w:val="103"/>
                <w:kern w:val="14"/>
                <w:sz w:val="20"/>
                <w:szCs w:val="20"/>
              </w:rPr>
            </w:pPr>
          </w:p>
        </w:tc>
      </w:tr>
      <w:tr w:rsidR="000B4BE2" w:rsidRPr="000B4BE2" w14:paraId="1DC37FF0" w14:textId="77777777" w:rsidTr="00DB5E92">
        <w:tc>
          <w:tcPr>
            <w:tcW w:w="9369" w:type="dxa"/>
            <w:gridSpan w:val="3"/>
            <w:shd w:val="clear" w:color="auto" w:fill="auto"/>
          </w:tcPr>
          <w:p w14:paraId="3A167E72" w14:textId="73A42CA1" w:rsidR="000B4BE2" w:rsidRPr="000B4BE2" w:rsidRDefault="000B4BE2" w:rsidP="000B4BE2">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spacing w:val="60"/>
                <w:w w:val="103"/>
                <w:kern w:val="14"/>
                <w:sz w:val="17"/>
                <w:szCs w:val="20"/>
              </w:rPr>
            </w:pPr>
            <w:r w:rsidRPr="000B4BE2">
              <w:rPr>
                <w:spacing w:val="4"/>
                <w:w w:val="103"/>
                <w:kern w:val="14"/>
                <w:sz w:val="20"/>
                <w:szCs w:val="20"/>
              </w:rPr>
              <w:t xml:space="preserve">Results and resources framework for </w:t>
            </w:r>
            <w:r>
              <w:rPr>
                <w:spacing w:val="4"/>
                <w:w w:val="103"/>
                <w:kern w:val="14"/>
                <w:sz w:val="20"/>
                <w:szCs w:val="20"/>
              </w:rPr>
              <w:t>Bangladesh</w:t>
            </w:r>
            <w:r w:rsidRPr="000B4BE2">
              <w:rPr>
                <w:spacing w:val="4"/>
                <w:w w:val="103"/>
                <w:kern w:val="14"/>
                <w:sz w:val="20"/>
                <w:szCs w:val="20"/>
              </w:rPr>
              <w:t xml:space="preserve"> (2017-2020)</w:t>
            </w:r>
            <w:r w:rsidRPr="000B4BE2">
              <w:rPr>
                <w:spacing w:val="60"/>
                <w:w w:val="103"/>
                <w:kern w:val="14"/>
                <w:sz w:val="17"/>
                <w:szCs w:val="20"/>
              </w:rPr>
              <w:tab/>
            </w:r>
          </w:p>
        </w:tc>
        <w:tc>
          <w:tcPr>
            <w:tcW w:w="533" w:type="dxa"/>
            <w:shd w:val="clear" w:color="auto" w:fill="auto"/>
            <w:vAlign w:val="bottom"/>
          </w:tcPr>
          <w:p w14:paraId="0BFDAC31" w14:textId="14211A8E" w:rsidR="000B4BE2" w:rsidRPr="000B4BE2" w:rsidRDefault="00443D38" w:rsidP="000B4BE2">
            <w:pPr>
              <w:tabs>
                <w:tab w:val="left" w:pos="1620"/>
              </w:tabs>
              <w:suppressAutoHyphens/>
              <w:spacing w:after="120" w:line="240" w:lineRule="exact"/>
              <w:jc w:val="right"/>
              <w:rPr>
                <w:spacing w:val="4"/>
                <w:w w:val="103"/>
                <w:kern w:val="14"/>
                <w:sz w:val="20"/>
                <w:szCs w:val="20"/>
              </w:rPr>
            </w:pPr>
            <w:r>
              <w:rPr>
                <w:spacing w:val="4"/>
                <w:w w:val="103"/>
                <w:kern w:val="14"/>
                <w:sz w:val="20"/>
                <w:szCs w:val="20"/>
              </w:rPr>
              <w:t>8</w:t>
            </w:r>
          </w:p>
        </w:tc>
      </w:tr>
    </w:tbl>
    <w:p w14:paraId="700FCD23" w14:textId="77777777" w:rsidR="000B4BE2" w:rsidRPr="000B4BE2" w:rsidRDefault="000B4BE2" w:rsidP="000B4BE2">
      <w:pPr>
        <w:jc w:val="both"/>
        <w:rPr>
          <w:sz w:val="22"/>
          <w:szCs w:val="22"/>
        </w:rPr>
        <w:sectPr w:rsidR="000B4BE2" w:rsidRPr="000B4BE2" w:rsidSect="00AB64CB">
          <w:headerReference w:type="even" r:id="rId16"/>
          <w:headerReference w:type="default" r:id="rId17"/>
          <w:footerReference w:type="even" r:id="rId18"/>
          <w:footerReference w:type="default" r:id="rId19"/>
          <w:headerReference w:type="first" r:id="rId20"/>
          <w:footnotePr>
            <w:numRestart w:val="eachSect"/>
          </w:footnotePr>
          <w:endnotePr>
            <w:numFmt w:val="decimal"/>
            <w:numStart w:val="7"/>
          </w:endnotePr>
          <w:type w:val="continuous"/>
          <w:pgSz w:w="12240" w:h="15840" w:code="1"/>
          <w:pgMar w:top="1166" w:right="1195" w:bottom="1440" w:left="1195" w:header="576" w:footer="1030" w:gutter="0"/>
          <w:pgNumType w:start="1"/>
          <w:cols w:space="720"/>
          <w:titlePg/>
        </w:sectPr>
      </w:pPr>
    </w:p>
    <w:p w14:paraId="5D72367C" w14:textId="09F2AEC5" w:rsidR="00F46466" w:rsidRPr="000B2DCA" w:rsidRDefault="00F46466" w:rsidP="000B2DCA">
      <w:pPr>
        <w:tabs>
          <w:tab w:val="left" w:pos="900"/>
          <w:tab w:val="left" w:pos="990"/>
          <w:tab w:val="left" w:pos="8640"/>
          <w:tab w:val="left" w:pos="9180"/>
        </w:tabs>
        <w:spacing w:after="120"/>
        <w:ind w:left="450"/>
        <w:rPr>
          <w:sz w:val="20"/>
          <w:szCs w:val="20"/>
        </w:rPr>
      </w:pPr>
      <w:r w:rsidRPr="000B2DCA">
        <w:rPr>
          <w:sz w:val="20"/>
          <w:szCs w:val="20"/>
        </w:rPr>
        <w:br w:type="page"/>
      </w:r>
    </w:p>
    <w:p w14:paraId="01A1180E" w14:textId="7A534616" w:rsidR="00FE7037" w:rsidRPr="000B2DCA" w:rsidRDefault="00FE7037" w:rsidP="000B2DCA">
      <w:pPr>
        <w:pStyle w:val="Heading2"/>
        <w:numPr>
          <w:ilvl w:val="0"/>
          <w:numId w:val="4"/>
        </w:numPr>
        <w:tabs>
          <w:tab w:val="left" w:pos="720"/>
          <w:tab w:val="left" w:pos="990"/>
          <w:tab w:val="left" w:pos="8640"/>
          <w:tab w:val="left" w:pos="9180"/>
        </w:tabs>
        <w:ind w:left="180" w:right="1267" w:firstLine="0"/>
        <w:jc w:val="both"/>
        <w:rPr>
          <w:rFonts w:ascii="Times New Roman" w:hAnsi="Times New Roman"/>
          <w:bCs/>
          <w:color w:val="000000"/>
          <w:szCs w:val="28"/>
        </w:rPr>
      </w:pPr>
      <w:r w:rsidRPr="000B2DCA">
        <w:rPr>
          <w:rFonts w:ascii="Times New Roman" w:hAnsi="Times New Roman"/>
          <w:bCs/>
          <w:color w:val="000000"/>
          <w:szCs w:val="28"/>
        </w:rPr>
        <w:lastRenderedPageBreak/>
        <w:t xml:space="preserve">Programme </w:t>
      </w:r>
      <w:r w:rsidR="00170240" w:rsidRPr="000B2DCA">
        <w:rPr>
          <w:rFonts w:ascii="Times New Roman" w:hAnsi="Times New Roman"/>
          <w:bCs/>
          <w:color w:val="000000"/>
          <w:szCs w:val="28"/>
        </w:rPr>
        <w:t>r</w:t>
      </w:r>
      <w:r w:rsidRPr="000B2DCA">
        <w:rPr>
          <w:rFonts w:ascii="Times New Roman" w:hAnsi="Times New Roman"/>
          <w:bCs/>
          <w:color w:val="000000"/>
          <w:szCs w:val="28"/>
        </w:rPr>
        <w:t xml:space="preserve">ationale </w:t>
      </w:r>
    </w:p>
    <w:p w14:paraId="1C247EDF" w14:textId="77777777" w:rsidR="00FD44FE" w:rsidRPr="000B2DCA" w:rsidRDefault="00FD44FE" w:rsidP="000B2DCA">
      <w:pPr>
        <w:tabs>
          <w:tab w:val="left" w:pos="900"/>
          <w:tab w:val="left" w:pos="990"/>
          <w:tab w:val="left" w:pos="8640"/>
          <w:tab w:val="left" w:pos="9180"/>
        </w:tabs>
        <w:ind w:left="446"/>
        <w:rPr>
          <w:b/>
          <w:sz w:val="20"/>
          <w:szCs w:val="20"/>
        </w:rPr>
      </w:pPr>
    </w:p>
    <w:p w14:paraId="3F23E3D1" w14:textId="1C6BD57F" w:rsidR="00FD44FE" w:rsidRPr="00AF61F7" w:rsidRDefault="00FD44FE" w:rsidP="000B2DCA">
      <w:pPr>
        <w:pStyle w:val="ListParagraph"/>
        <w:numPr>
          <w:ilvl w:val="0"/>
          <w:numId w:val="6"/>
        </w:numPr>
        <w:tabs>
          <w:tab w:val="left" w:pos="1170"/>
          <w:tab w:val="left" w:pos="8640"/>
          <w:tab w:val="left" w:pos="9180"/>
        </w:tabs>
        <w:ind w:left="720" w:firstLine="0"/>
        <w:rPr>
          <w:b/>
        </w:rPr>
      </w:pPr>
      <w:r w:rsidRPr="00AF61F7">
        <w:rPr>
          <w:b/>
        </w:rPr>
        <w:t xml:space="preserve">Country </w:t>
      </w:r>
      <w:r w:rsidR="00170240" w:rsidRPr="00AF61F7">
        <w:rPr>
          <w:b/>
        </w:rPr>
        <w:t>c</w:t>
      </w:r>
      <w:r w:rsidRPr="00AF61F7">
        <w:rPr>
          <w:b/>
        </w:rPr>
        <w:t xml:space="preserve">ontext and </w:t>
      </w:r>
      <w:r w:rsidR="00170240" w:rsidRPr="00AF61F7">
        <w:rPr>
          <w:b/>
        </w:rPr>
        <w:t>o</w:t>
      </w:r>
      <w:r w:rsidRPr="00AF61F7">
        <w:rPr>
          <w:b/>
        </w:rPr>
        <w:t xml:space="preserve">pportunities </w:t>
      </w:r>
    </w:p>
    <w:p w14:paraId="5EE78DBF" w14:textId="77777777" w:rsidR="00FD44FE" w:rsidRPr="000B2DCA" w:rsidRDefault="00FD44FE" w:rsidP="000B2DCA">
      <w:pPr>
        <w:tabs>
          <w:tab w:val="left" w:pos="900"/>
          <w:tab w:val="left" w:pos="990"/>
          <w:tab w:val="left" w:pos="8640"/>
          <w:tab w:val="left" w:pos="9180"/>
        </w:tabs>
        <w:ind w:left="446"/>
        <w:rPr>
          <w:b/>
          <w:sz w:val="20"/>
          <w:szCs w:val="20"/>
        </w:rPr>
      </w:pPr>
    </w:p>
    <w:p w14:paraId="4CF4765E" w14:textId="7F3F3745" w:rsidR="00FE7037" w:rsidRPr="00F50884" w:rsidRDefault="00F82A37" w:rsidP="001038DC">
      <w:pPr>
        <w:pStyle w:val="ListParagraph"/>
        <w:widowControl w:val="0"/>
        <w:numPr>
          <w:ilvl w:val="0"/>
          <w:numId w:val="3"/>
        </w:numPr>
        <w:tabs>
          <w:tab w:val="left" w:pos="1080"/>
          <w:tab w:val="left" w:pos="1985"/>
          <w:tab w:val="left" w:pos="8640"/>
          <w:tab w:val="left" w:pos="9180"/>
        </w:tabs>
        <w:autoSpaceDE w:val="0"/>
        <w:autoSpaceDN w:val="0"/>
        <w:adjustRightInd w:val="0"/>
        <w:spacing w:after="120"/>
        <w:ind w:firstLine="0"/>
        <w:jc w:val="both"/>
        <w:rPr>
          <w:sz w:val="20"/>
          <w:szCs w:val="20"/>
          <w:lang w:eastAsia="en-GB"/>
        </w:rPr>
      </w:pPr>
      <w:r w:rsidRPr="00482FA3">
        <w:rPr>
          <w:sz w:val="20"/>
          <w:szCs w:val="20"/>
        </w:rPr>
        <w:t>Over</w:t>
      </w:r>
      <w:r w:rsidR="005266C8" w:rsidRPr="00482FA3">
        <w:rPr>
          <w:sz w:val="20"/>
          <w:szCs w:val="20"/>
        </w:rPr>
        <w:t xml:space="preserve"> the last </w:t>
      </w:r>
      <w:r w:rsidR="00F46466" w:rsidRPr="00482FA3">
        <w:rPr>
          <w:sz w:val="20"/>
          <w:szCs w:val="20"/>
        </w:rPr>
        <w:t xml:space="preserve">15 </w:t>
      </w:r>
      <w:r w:rsidR="00FE7037" w:rsidRPr="00482FA3">
        <w:rPr>
          <w:sz w:val="20"/>
          <w:szCs w:val="20"/>
        </w:rPr>
        <w:t>years</w:t>
      </w:r>
      <w:r w:rsidRPr="00482FA3">
        <w:rPr>
          <w:sz w:val="20"/>
          <w:szCs w:val="20"/>
        </w:rPr>
        <w:t xml:space="preserve">, </w:t>
      </w:r>
      <w:r w:rsidRPr="00482FA3">
        <w:rPr>
          <w:sz w:val="20"/>
          <w:szCs w:val="20"/>
          <w:lang w:eastAsia="en-GB"/>
        </w:rPr>
        <w:t>m</w:t>
      </w:r>
      <w:r w:rsidR="00417B30" w:rsidRPr="00482FA3">
        <w:rPr>
          <w:sz w:val="20"/>
          <w:szCs w:val="20"/>
          <w:lang w:eastAsia="en-GB"/>
        </w:rPr>
        <w:t>acroeconomic stability, i</w:t>
      </w:r>
      <w:r w:rsidR="009B55A2" w:rsidRPr="00482FA3">
        <w:rPr>
          <w:sz w:val="20"/>
          <w:szCs w:val="20"/>
          <w:lang w:eastAsia="en-GB"/>
        </w:rPr>
        <w:t xml:space="preserve">mprovements </w:t>
      </w:r>
      <w:r w:rsidR="00FE7037" w:rsidRPr="00482FA3">
        <w:rPr>
          <w:sz w:val="20"/>
          <w:szCs w:val="20"/>
          <w:lang w:eastAsia="en-GB"/>
        </w:rPr>
        <w:t>in agricultural productivity</w:t>
      </w:r>
      <w:r w:rsidR="009B55A2" w:rsidRPr="00482FA3">
        <w:rPr>
          <w:sz w:val="20"/>
          <w:szCs w:val="20"/>
          <w:lang w:eastAsia="en-GB"/>
        </w:rPr>
        <w:t xml:space="preserve">, job creation through expansion in manufacturing and </w:t>
      </w:r>
      <w:r w:rsidR="00326758" w:rsidRPr="00482FA3">
        <w:rPr>
          <w:sz w:val="20"/>
          <w:szCs w:val="20"/>
          <w:lang w:eastAsia="en-GB"/>
        </w:rPr>
        <w:t xml:space="preserve">the </w:t>
      </w:r>
      <w:r w:rsidR="009B55A2" w:rsidRPr="00482FA3">
        <w:rPr>
          <w:sz w:val="20"/>
          <w:szCs w:val="20"/>
          <w:lang w:eastAsia="en-GB"/>
        </w:rPr>
        <w:t>service sector</w:t>
      </w:r>
      <w:r w:rsidR="00326758" w:rsidRPr="00482FA3">
        <w:rPr>
          <w:sz w:val="20"/>
          <w:szCs w:val="20"/>
          <w:lang w:eastAsia="en-GB"/>
        </w:rPr>
        <w:t>,</w:t>
      </w:r>
      <w:r w:rsidR="007D64FE" w:rsidRPr="00482FA3">
        <w:rPr>
          <w:sz w:val="20"/>
          <w:szCs w:val="20"/>
          <w:lang w:eastAsia="en-GB"/>
        </w:rPr>
        <w:t xml:space="preserve"> and increased inward remittance</w:t>
      </w:r>
      <w:r w:rsidR="00603C3C" w:rsidRPr="00482FA3">
        <w:rPr>
          <w:sz w:val="20"/>
          <w:szCs w:val="20"/>
          <w:lang w:eastAsia="en-GB"/>
        </w:rPr>
        <w:t>s</w:t>
      </w:r>
      <w:r w:rsidR="00326758" w:rsidRPr="00482FA3">
        <w:rPr>
          <w:sz w:val="20"/>
          <w:szCs w:val="20"/>
          <w:lang w:eastAsia="en-GB"/>
        </w:rPr>
        <w:t>,</w:t>
      </w:r>
      <w:r w:rsidR="00FE7037" w:rsidRPr="00482FA3">
        <w:rPr>
          <w:sz w:val="20"/>
          <w:szCs w:val="20"/>
          <w:lang w:eastAsia="en-GB"/>
        </w:rPr>
        <w:t xml:space="preserve"> have boosted employment</w:t>
      </w:r>
      <w:r w:rsidR="007D64FE" w:rsidRPr="00482FA3">
        <w:rPr>
          <w:sz w:val="20"/>
          <w:szCs w:val="20"/>
          <w:lang w:eastAsia="en-GB"/>
        </w:rPr>
        <w:t xml:space="preserve">, </w:t>
      </w:r>
      <w:r w:rsidR="00FE7037" w:rsidRPr="00482FA3">
        <w:rPr>
          <w:sz w:val="20"/>
          <w:szCs w:val="20"/>
          <w:lang w:eastAsia="en-GB"/>
        </w:rPr>
        <w:t>food security</w:t>
      </w:r>
      <w:r w:rsidR="007D64FE" w:rsidRPr="00482FA3">
        <w:rPr>
          <w:sz w:val="20"/>
          <w:szCs w:val="20"/>
          <w:lang w:eastAsia="en-GB"/>
        </w:rPr>
        <w:t xml:space="preserve"> and household income</w:t>
      </w:r>
      <w:r w:rsidR="00FE7037" w:rsidRPr="00482FA3">
        <w:rPr>
          <w:sz w:val="20"/>
          <w:szCs w:val="20"/>
          <w:lang w:eastAsia="en-GB"/>
        </w:rPr>
        <w:t>, leading to significant reductions in poverty</w:t>
      </w:r>
      <w:r w:rsidRPr="00482FA3">
        <w:rPr>
          <w:sz w:val="20"/>
          <w:szCs w:val="20"/>
          <w:lang w:eastAsia="en-GB"/>
        </w:rPr>
        <w:t xml:space="preserve"> in Bangladesh</w:t>
      </w:r>
      <w:r w:rsidR="00FE7037" w:rsidRPr="00482FA3">
        <w:rPr>
          <w:sz w:val="20"/>
          <w:szCs w:val="20"/>
          <w:lang w:eastAsia="en-GB"/>
        </w:rPr>
        <w:t>. By 2015 the proportion of the population living below the national poverty line</w:t>
      </w:r>
      <w:r w:rsidR="00A45BB8" w:rsidRPr="00482FA3">
        <w:rPr>
          <w:sz w:val="20"/>
          <w:szCs w:val="20"/>
          <w:lang w:eastAsia="en-GB"/>
        </w:rPr>
        <w:t xml:space="preserve"> </w:t>
      </w:r>
      <w:r w:rsidR="00326758" w:rsidRPr="00482FA3">
        <w:rPr>
          <w:sz w:val="20"/>
          <w:szCs w:val="20"/>
          <w:lang w:eastAsia="en-GB"/>
        </w:rPr>
        <w:t xml:space="preserve">had </w:t>
      </w:r>
      <w:r w:rsidR="00FE7037" w:rsidRPr="00482FA3">
        <w:rPr>
          <w:sz w:val="20"/>
          <w:szCs w:val="20"/>
          <w:lang w:eastAsia="en-GB"/>
        </w:rPr>
        <w:t>declined to 24.7</w:t>
      </w:r>
      <w:r w:rsidR="00326758" w:rsidRPr="00482FA3">
        <w:rPr>
          <w:sz w:val="20"/>
          <w:szCs w:val="20"/>
          <w:lang w:eastAsia="en-GB"/>
        </w:rPr>
        <w:t xml:space="preserve"> per cent</w:t>
      </w:r>
      <w:r w:rsidR="002429E9" w:rsidRPr="00482FA3">
        <w:rPr>
          <w:sz w:val="20"/>
          <w:szCs w:val="20"/>
          <w:lang w:eastAsia="en-GB"/>
        </w:rPr>
        <w:t xml:space="preserve"> – </w:t>
      </w:r>
      <w:r w:rsidR="00FE7037" w:rsidRPr="00482FA3">
        <w:rPr>
          <w:sz w:val="20"/>
          <w:szCs w:val="20"/>
          <w:lang w:eastAsia="en-GB"/>
        </w:rPr>
        <w:t>down from 31.5</w:t>
      </w:r>
      <w:r w:rsidR="00326758" w:rsidRPr="00482FA3">
        <w:rPr>
          <w:sz w:val="20"/>
          <w:szCs w:val="20"/>
          <w:lang w:eastAsia="en-GB"/>
        </w:rPr>
        <w:t xml:space="preserve"> per cent</w:t>
      </w:r>
      <w:r w:rsidR="00FE7037" w:rsidRPr="00482FA3">
        <w:rPr>
          <w:sz w:val="20"/>
          <w:szCs w:val="20"/>
          <w:lang w:eastAsia="en-GB"/>
        </w:rPr>
        <w:t xml:space="preserve"> in</w:t>
      </w:r>
      <w:r w:rsidR="00FE7037" w:rsidRPr="00F50884">
        <w:rPr>
          <w:sz w:val="20"/>
          <w:szCs w:val="20"/>
          <w:lang w:eastAsia="en-GB"/>
        </w:rPr>
        <w:t xml:space="preserve"> 20</w:t>
      </w:r>
      <w:r w:rsidR="00603C3C" w:rsidRPr="00F50884">
        <w:rPr>
          <w:sz w:val="20"/>
          <w:szCs w:val="20"/>
          <w:lang w:eastAsia="en-GB"/>
        </w:rPr>
        <w:t>10 (and from 57</w:t>
      </w:r>
      <w:r w:rsidR="003D531F" w:rsidRPr="00F50884">
        <w:rPr>
          <w:sz w:val="20"/>
          <w:szCs w:val="20"/>
          <w:lang w:eastAsia="en-GB"/>
        </w:rPr>
        <w:t> per </w:t>
      </w:r>
      <w:r w:rsidR="00326758" w:rsidRPr="00F50884">
        <w:rPr>
          <w:sz w:val="20"/>
          <w:szCs w:val="20"/>
          <w:lang w:eastAsia="en-GB"/>
        </w:rPr>
        <w:t>cent</w:t>
      </w:r>
      <w:r w:rsidR="00603C3C" w:rsidRPr="00F50884">
        <w:rPr>
          <w:sz w:val="20"/>
          <w:szCs w:val="20"/>
          <w:lang w:eastAsia="en-GB"/>
        </w:rPr>
        <w:t xml:space="preserve"> in 1992</w:t>
      </w:r>
      <w:r w:rsidR="00FE7037" w:rsidRPr="00F50884">
        <w:rPr>
          <w:sz w:val="20"/>
          <w:szCs w:val="20"/>
          <w:lang w:eastAsia="en-GB"/>
        </w:rPr>
        <w:t xml:space="preserve">). Over the same </w:t>
      </w:r>
      <w:r w:rsidR="004B49DF" w:rsidRPr="00F50884">
        <w:rPr>
          <w:sz w:val="20"/>
          <w:szCs w:val="20"/>
          <w:lang w:eastAsia="en-GB"/>
        </w:rPr>
        <w:t>period,</w:t>
      </w:r>
      <w:r w:rsidR="00FE7037" w:rsidRPr="00F50884">
        <w:rPr>
          <w:sz w:val="20"/>
          <w:szCs w:val="20"/>
          <w:lang w:eastAsia="en-GB"/>
        </w:rPr>
        <w:t xml:space="preserve"> the incidence of extreme poverty declined to 12</w:t>
      </w:r>
      <w:r w:rsidR="00326758" w:rsidRPr="00F50884">
        <w:rPr>
          <w:sz w:val="20"/>
          <w:szCs w:val="20"/>
          <w:lang w:eastAsia="en-GB"/>
        </w:rPr>
        <w:t xml:space="preserve"> per cent</w:t>
      </w:r>
      <w:r w:rsidR="00FE7037" w:rsidRPr="00F50884">
        <w:rPr>
          <w:sz w:val="20"/>
          <w:szCs w:val="20"/>
          <w:lang w:eastAsia="en-GB"/>
        </w:rPr>
        <w:t>.</w:t>
      </w:r>
      <w:r w:rsidR="00FE7037" w:rsidRPr="000B2DCA">
        <w:rPr>
          <w:rStyle w:val="FootnoteReference"/>
          <w:sz w:val="20"/>
          <w:szCs w:val="20"/>
          <w:lang w:eastAsia="en-GB"/>
        </w:rPr>
        <w:footnoteReference w:id="1"/>
      </w:r>
      <w:r w:rsidR="00FE7037" w:rsidRPr="00F50884">
        <w:rPr>
          <w:sz w:val="20"/>
          <w:szCs w:val="20"/>
          <w:lang w:eastAsia="en-GB"/>
        </w:rPr>
        <w:t xml:space="preserve"> By mid-2015 average incomes had risen to $1</w:t>
      </w:r>
      <w:r w:rsidR="0077676E" w:rsidRPr="00F50884">
        <w:rPr>
          <w:sz w:val="20"/>
          <w:szCs w:val="20"/>
          <w:lang w:eastAsia="en-GB"/>
        </w:rPr>
        <w:t>,</w:t>
      </w:r>
      <w:r w:rsidR="00FE7037" w:rsidRPr="00F50884">
        <w:rPr>
          <w:sz w:val="20"/>
          <w:szCs w:val="20"/>
          <w:lang w:eastAsia="en-GB"/>
        </w:rPr>
        <w:t xml:space="preserve">314 per capita, elevating Bangladesh into the ranks of lower </w:t>
      </w:r>
      <w:r w:rsidR="003D531F" w:rsidRPr="00F50884">
        <w:rPr>
          <w:sz w:val="20"/>
          <w:szCs w:val="20"/>
          <w:lang w:eastAsia="en-GB"/>
        </w:rPr>
        <w:t>m</w:t>
      </w:r>
      <w:r w:rsidR="00F50884">
        <w:rPr>
          <w:sz w:val="20"/>
          <w:szCs w:val="20"/>
          <w:lang w:eastAsia="en-GB"/>
        </w:rPr>
        <w:t>iddle-</w:t>
      </w:r>
      <w:r w:rsidR="003D531F" w:rsidRPr="00F50884">
        <w:rPr>
          <w:sz w:val="20"/>
          <w:szCs w:val="20"/>
          <w:lang w:eastAsia="en-GB"/>
        </w:rPr>
        <w:t>i</w:t>
      </w:r>
      <w:r w:rsidR="00FE7037" w:rsidRPr="00F50884">
        <w:rPr>
          <w:sz w:val="20"/>
          <w:szCs w:val="20"/>
          <w:lang w:eastAsia="en-GB"/>
        </w:rPr>
        <w:t xml:space="preserve">ncome </w:t>
      </w:r>
      <w:r w:rsidR="003D531F" w:rsidRPr="00F50884">
        <w:rPr>
          <w:sz w:val="20"/>
          <w:szCs w:val="20"/>
          <w:lang w:eastAsia="en-GB"/>
        </w:rPr>
        <w:t>c</w:t>
      </w:r>
      <w:r w:rsidR="00FE7037" w:rsidRPr="00F50884">
        <w:rPr>
          <w:sz w:val="20"/>
          <w:szCs w:val="20"/>
          <w:lang w:eastAsia="en-GB"/>
        </w:rPr>
        <w:t>ountries</w:t>
      </w:r>
      <w:r w:rsidR="007D64FE" w:rsidRPr="000B2DCA">
        <w:rPr>
          <w:rStyle w:val="FootnoteReference"/>
          <w:sz w:val="20"/>
          <w:szCs w:val="20"/>
          <w:lang w:eastAsia="en-GB"/>
        </w:rPr>
        <w:footnoteReference w:id="2"/>
      </w:r>
      <w:r w:rsidR="00D05F0A" w:rsidRPr="00F50884">
        <w:rPr>
          <w:sz w:val="20"/>
          <w:szCs w:val="20"/>
          <w:lang w:eastAsia="en-GB"/>
        </w:rPr>
        <w:t>, before the Government</w:t>
      </w:r>
      <w:r w:rsidR="007163C7" w:rsidRPr="00F50884">
        <w:rPr>
          <w:sz w:val="20"/>
          <w:szCs w:val="20"/>
          <w:lang w:eastAsia="en-GB"/>
        </w:rPr>
        <w:t>-</w:t>
      </w:r>
      <w:r w:rsidR="00D05F0A" w:rsidRPr="00F50884">
        <w:rPr>
          <w:sz w:val="20"/>
          <w:szCs w:val="20"/>
          <w:lang w:eastAsia="en-GB"/>
        </w:rPr>
        <w:t>targeted date of 2021</w:t>
      </w:r>
      <w:r w:rsidR="00FE7037" w:rsidRPr="00F50884">
        <w:rPr>
          <w:sz w:val="20"/>
          <w:szCs w:val="20"/>
          <w:lang w:eastAsia="en-GB"/>
        </w:rPr>
        <w:t>. An anticipated demographic dividend presents a strong basis for continued economic growth.</w:t>
      </w:r>
      <w:r w:rsidR="00FE7037" w:rsidRPr="000B2DCA">
        <w:rPr>
          <w:rStyle w:val="FootnoteReference"/>
          <w:sz w:val="20"/>
          <w:szCs w:val="20"/>
        </w:rPr>
        <w:footnoteReference w:id="3"/>
      </w:r>
      <w:r w:rsidR="00FE7037" w:rsidRPr="00F50884">
        <w:rPr>
          <w:sz w:val="20"/>
          <w:szCs w:val="20"/>
          <w:lang w:eastAsia="en-GB"/>
        </w:rPr>
        <w:t xml:space="preserve"> Approximately 62 million</w:t>
      </w:r>
      <w:r w:rsidR="002429E9" w:rsidRPr="00F50884">
        <w:rPr>
          <w:sz w:val="20"/>
          <w:szCs w:val="20"/>
          <w:lang w:eastAsia="en-GB"/>
        </w:rPr>
        <w:t xml:space="preserve"> people</w:t>
      </w:r>
      <w:r w:rsidR="00FE7037" w:rsidRPr="00F50884">
        <w:rPr>
          <w:sz w:val="20"/>
          <w:szCs w:val="20"/>
          <w:lang w:eastAsia="en-GB"/>
        </w:rPr>
        <w:t xml:space="preserve"> people (40</w:t>
      </w:r>
      <w:r w:rsidR="00326758" w:rsidRPr="00F50884">
        <w:rPr>
          <w:sz w:val="20"/>
          <w:szCs w:val="20"/>
          <w:lang w:eastAsia="en-GB"/>
        </w:rPr>
        <w:t xml:space="preserve"> per cent</w:t>
      </w:r>
      <w:r w:rsidR="00AF684D" w:rsidRPr="00F50884">
        <w:rPr>
          <w:sz w:val="20"/>
          <w:szCs w:val="20"/>
          <w:lang w:eastAsia="en-GB"/>
        </w:rPr>
        <w:t xml:space="preserve"> </w:t>
      </w:r>
      <w:r w:rsidR="00FE7037" w:rsidRPr="00F50884">
        <w:rPr>
          <w:sz w:val="20"/>
          <w:szCs w:val="20"/>
          <w:lang w:eastAsia="en-GB"/>
        </w:rPr>
        <w:t>of the population) are under 18</w:t>
      </w:r>
      <w:r w:rsidR="007163C7" w:rsidRPr="00F50884">
        <w:rPr>
          <w:sz w:val="20"/>
          <w:szCs w:val="20"/>
          <w:lang w:eastAsia="en-GB"/>
        </w:rPr>
        <w:t xml:space="preserve"> years of age</w:t>
      </w:r>
      <w:r w:rsidR="00FE7037" w:rsidRPr="00F50884">
        <w:rPr>
          <w:sz w:val="20"/>
          <w:szCs w:val="20"/>
          <w:lang w:eastAsia="en-GB"/>
        </w:rPr>
        <w:t>.</w:t>
      </w:r>
      <w:r w:rsidR="00FE7037" w:rsidRPr="000B2DCA">
        <w:rPr>
          <w:rStyle w:val="FootnoteReference"/>
          <w:sz w:val="20"/>
          <w:szCs w:val="20"/>
        </w:rPr>
        <w:footnoteReference w:id="4"/>
      </w:r>
      <w:r w:rsidR="00FE7037" w:rsidRPr="00F50884">
        <w:rPr>
          <w:sz w:val="20"/>
          <w:szCs w:val="20"/>
          <w:lang w:eastAsia="en-GB"/>
        </w:rPr>
        <w:t xml:space="preserve"> Between 2011 and 2015 the national budget doubled in nominal terms</w:t>
      </w:r>
      <w:r w:rsidR="007163C7" w:rsidRPr="00F50884">
        <w:rPr>
          <w:sz w:val="20"/>
          <w:szCs w:val="20"/>
          <w:lang w:eastAsia="en-GB"/>
        </w:rPr>
        <w:t>,</w:t>
      </w:r>
      <w:r w:rsidR="00FE7037" w:rsidRPr="00F50884">
        <w:rPr>
          <w:sz w:val="20"/>
          <w:szCs w:val="20"/>
          <w:lang w:eastAsia="en-GB"/>
        </w:rPr>
        <w:t xml:space="preserve"> from $20</w:t>
      </w:r>
      <w:r w:rsidR="007163C7" w:rsidRPr="00F50884">
        <w:rPr>
          <w:sz w:val="20"/>
          <w:szCs w:val="20"/>
          <w:lang w:eastAsia="en-GB"/>
        </w:rPr>
        <w:t> </w:t>
      </w:r>
      <w:r w:rsidR="00FE7037" w:rsidRPr="00F50884">
        <w:rPr>
          <w:sz w:val="20"/>
          <w:szCs w:val="20"/>
          <w:lang w:eastAsia="en-GB"/>
        </w:rPr>
        <w:t>billion to $40 billion.</w:t>
      </w:r>
      <w:r w:rsidR="00755F9B" w:rsidRPr="000B2DCA">
        <w:rPr>
          <w:rStyle w:val="FootnoteReference"/>
          <w:sz w:val="20"/>
          <w:szCs w:val="20"/>
          <w:lang w:eastAsia="en-GB"/>
        </w:rPr>
        <w:footnoteReference w:id="5"/>
      </w:r>
      <w:r w:rsidR="00F50884" w:rsidRPr="00F50884">
        <w:rPr>
          <w:sz w:val="20"/>
          <w:szCs w:val="20"/>
          <w:lang w:eastAsia="en-GB"/>
        </w:rPr>
        <w:t xml:space="preserve"> </w:t>
      </w:r>
      <w:r w:rsidR="00FE7037" w:rsidRPr="00F50884">
        <w:rPr>
          <w:sz w:val="20"/>
          <w:szCs w:val="20"/>
        </w:rPr>
        <w:t>Strong growth and rising incomes enabled Bangladesh to make significant progress against</w:t>
      </w:r>
      <w:r w:rsidR="00FE7037" w:rsidRPr="00F50884">
        <w:rPr>
          <w:sz w:val="20"/>
          <w:szCs w:val="20"/>
          <w:lang w:eastAsia="en-GB"/>
        </w:rPr>
        <w:t xml:space="preserve"> most </w:t>
      </w:r>
      <w:r w:rsidR="002B28B7" w:rsidRPr="00F50884">
        <w:rPr>
          <w:sz w:val="20"/>
          <w:szCs w:val="20"/>
          <w:lang w:eastAsia="en-GB"/>
        </w:rPr>
        <w:t xml:space="preserve">Millennium Development Goals </w:t>
      </w:r>
      <w:r w:rsidR="00FE7037" w:rsidRPr="00F50884">
        <w:rPr>
          <w:sz w:val="20"/>
          <w:szCs w:val="20"/>
          <w:lang w:eastAsia="en-GB"/>
        </w:rPr>
        <w:t xml:space="preserve">and human development indicators. </w:t>
      </w:r>
    </w:p>
    <w:p w14:paraId="596DDD92" w14:textId="56F410D1" w:rsidR="002F47C8" w:rsidRPr="000B2DCA" w:rsidRDefault="00FE7037" w:rsidP="000B2DCA">
      <w:pPr>
        <w:pStyle w:val="ListParagraph"/>
        <w:widowControl w:val="0"/>
        <w:numPr>
          <w:ilvl w:val="0"/>
          <w:numId w:val="3"/>
        </w:numPr>
        <w:tabs>
          <w:tab w:val="left" w:pos="220"/>
          <w:tab w:val="left" w:pos="720"/>
          <w:tab w:val="left" w:pos="1080"/>
          <w:tab w:val="left" w:pos="8640"/>
          <w:tab w:val="left" w:pos="9180"/>
        </w:tabs>
        <w:autoSpaceDE w:val="0"/>
        <w:autoSpaceDN w:val="0"/>
        <w:adjustRightInd w:val="0"/>
        <w:ind w:firstLine="0"/>
        <w:jc w:val="both"/>
        <w:rPr>
          <w:sz w:val="20"/>
          <w:szCs w:val="20"/>
          <w:lang w:eastAsia="en-GB"/>
        </w:rPr>
      </w:pPr>
      <w:r w:rsidRPr="000B2DCA">
        <w:rPr>
          <w:sz w:val="20"/>
          <w:szCs w:val="20"/>
        </w:rPr>
        <w:t>The Government</w:t>
      </w:r>
      <w:r w:rsidR="00FB6588" w:rsidRPr="000B2DCA">
        <w:rPr>
          <w:sz w:val="20"/>
          <w:szCs w:val="20"/>
        </w:rPr>
        <w:t xml:space="preserve"> of Bangladesh</w:t>
      </w:r>
      <w:r w:rsidRPr="000B2DCA">
        <w:rPr>
          <w:sz w:val="20"/>
          <w:szCs w:val="20"/>
        </w:rPr>
        <w:t xml:space="preserve"> </w:t>
      </w:r>
      <w:r w:rsidR="002F271F">
        <w:rPr>
          <w:sz w:val="20"/>
          <w:szCs w:val="20"/>
        </w:rPr>
        <w:t>‘</w:t>
      </w:r>
      <w:r w:rsidRPr="000B2DCA">
        <w:rPr>
          <w:sz w:val="20"/>
          <w:szCs w:val="20"/>
        </w:rPr>
        <w:t>Vision 2021</w:t>
      </w:r>
      <w:r w:rsidR="002F271F">
        <w:rPr>
          <w:sz w:val="20"/>
          <w:szCs w:val="20"/>
        </w:rPr>
        <w:t>’</w:t>
      </w:r>
      <w:r w:rsidRPr="000B2DCA">
        <w:rPr>
          <w:sz w:val="20"/>
          <w:szCs w:val="20"/>
        </w:rPr>
        <w:t xml:space="preserve"> outlines a plan to</w:t>
      </w:r>
      <w:r w:rsidR="00911DEF" w:rsidRPr="000B2DCA">
        <w:rPr>
          <w:sz w:val="20"/>
          <w:szCs w:val="20"/>
        </w:rPr>
        <w:t xml:space="preserve"> </w:t>
      </w:r>
      <w:r w:rsidRPr="000B2DCA">
        <w:rPr>
          <w:sz w:val="20"/>
          <w:szCs w:val="20"/>
        </w:rPr>
        <w:t>modernize and diversify the economy</w:t>
      </w:r>
      <w:r w:rsidR="00FB6588" w:rsidRPr="000B2DCA">
        <w:rPr>
          <w:sz w:val="20"/>
          <w:szCs w:val="20"/>
        </w:rPr>
        <w:t>.</w:t>
      </w:r>
      <w:r w:rsidRPr="000B2DCA">
        <w:rPr>
          <w:sz w:val="20"/>
          <w:szCs w:val="20"/>
        </w:rPr>
        <w:t xml:space="preserve"> The Government’s </w:t>
      </w:r>
      <w:r w:rsidR="002F271F">
        <w:rPr>
          <w:sz w:val="20"/>
          <w:szCs w:val="20"/>
        </w:rPr>
        <w:t>s</w:t>
      </w:r>
      <w:r w:rsidRPr="000B2DCA">
        <w:rPr>
          <w:sz w:val="20"/>
          <w:szCs w:val="20"/>
        </w:rPr>
        <w:t xml:space="preserve">ixth </w:t>
      </w:r>
      <w:r w:rsidR="002F271F">
        <w:rPr>
          <w:sz w:val="20"/>
          <w:szCs w:val="20"/>
        </w:rPr>
        <w:t>and seventh f</w:t>
      </w:r>
      <w:r w:rsidRPr="000B2DCA">
        <w:rPr>
          <w:sz w:val="20"/>
          <w:szCs w:val="20"/>
        </w:rPr>
        <w:t>ive-</w:t>
      </w:r>
      <w:r w:rsidR="002F271F">
        <w:rPr>
          <w:sz w:val="20"/>
          <w:szCs w:val="20"/>
        </w:rPr>
        <w:t>y</w:t>
      </w:r>
      <w:r w:rsidRPr="000B2DCA">
        <w:rPr>
          <w:sz w:val="20"/>
          <w:szCs w:val="20"/>
        </w:rPr>
        <w:t xml:space="preserve">ear </w:t>
      </w:r>
      <w:r w:rsidR="002F271F">
        <w:rPr>
          <w:sz w:val="20"/>
          <w:szCs w:val="20"/>
        </w:rPr>
        <w:t>p</w:t>
      </w:r>
      <w:r w:rsidRPr="000B2DCA">
        <w:rPr>
          <w:sz w:val="20"/>
          <w:szCs w:val="20"/>
        </w:rPr>
        <w:t>lan</w:t>
      </w:r>
      <w:r w:rsidR="002F271F">
        <w:rPr>
          <w:sz w:val="20"/>
          <w:szCs w:val="20"/>
        </w:rPr>
        <w:t>s</w:t>
      </w:r>
      <w:r w:rsidRPr="000B2DCA">
        <w:rPr>
          <w:sz w:val="20"/>
          <w:szCs w:val="20"/>
        </w:rPr>
        <w:t xml:space="preserve"> (</w:t>
      </w:r>
      <w:r w:rsidR="002F271F">
        <w:rPr>
          <w:sz w:val="20"/>
          <w:szCs w:val="20"/>
        </w:rPr>
        <w:t>known as ‘</w:t>
      </w:r>
      <w:r w:rsidRPr="000B2DCA">
        <w:rPr>
          <w:sz w:val="20"/>
          <w:szCs w:val="20"/>
        </w:rPr>
        <w:t>6FYP, 2011-2015</w:t>
      </w:r>
      <w:r w:rsidR="002F271F">
        <w:rPr>
          <w:sz w:val="20"/>
          <w:szCs w:val="20"/>
        </w:rPr>
        <w:t>’ and ‘</w:t>
      </w:r>
      <w:r w:rsidR="002F271F" w:rsidRPr="003C5D47">
        <w:rPr>
          <w:sz w:val="20"/>
          <w:szCs w:val="20"/>
        </w:rPr>
        <w:t>7FYP, 2016-2020</w:t>
      </w:r>
      <w:r w:rsidR="002F271F">
        <w:rPr>
          <w:sz w:val="20"/>
          <w:szCs w:val="20"/>
        </w:rPr>
        <w:t>’, respectively</w:t>
      </w:r>
      <w:r w:rsidRPr="000B2DCA">
        <w:rPr>
          <w:sz w:val="20"/>
          <w:szCs w:val="20"/>
        </w:rPr>
        <w:t>) outline the strategies for realizing Vision 2021</w:t>
      </w:r>
      <w:r w:rsidR="00FB6588" w:rsidRPr="000B2DCA">
        <w:rPr>
          <w:sz w:val="20"/>
          <w:szCs w:val="20"/>
        </w:rPr>
        <w:t>, while promoting sustainable human development</w:t>
      </w:r>
      <w:r w:rsidRPr="000B2DCA">
        <w:rPr>
          <w:sz w:val="20"/>
          <w:szCs w:val="20"/>
        </w:rPr>
        <w:t>. Commencing in 201</w:t>
      </w:r>
      <w:r w:rsidR="00AE72B7" w:rsidRPr="000B2DCA">
        <w:rPr>
          <w:sz w:val="20"/>
          <w:szCs w:val="20"/>
        </w:rPr>
        <w:t>6</w:t>
      </w:r>
      <w:r w:rsidRPr="000B2DCA">
        <w:rPr>
          <w:sz w:val="20"/>
          <w:szCs w:val="20"/>
        </w:rPr>
        <w:t xml:space="preserve">, the </w:t>
      </w:r>
      <w:r w:rsidR="002F271F">
        <w:rPr>
          <w:sz w:val="20"/>
          <w:szCs w:val="20"/>
        </w:rPr>
        <w:t>seventh f</w:t>
      </w:r>
      <w:r w:rsidR="002F271F" w:rsidRPr="003C5D47">
        <w:rPr>
          <w:sz w:val="20"/>
          <w:szCs w:val="20"/>
        </w:rPr>
        <w:t>ive-</w:t>
      </w:r>
      <w:r w:rsidR="002F271F">
        <w:rPr>
          <w:sz w:val="20"/>
          <w:szCs w:val="20"/>
        </w:rPr>
        <w:t>y</w:t>
      </w:r>
      <w:r w:rsidR="002F271F" w:rsidRPr="003C5D47">
        <w:rPr>
          <w:sz w:val="20"/>
          <w:szCs w:val="20"/>
        </w:rPr>
        <w:t xml:space="preserve">ear </w:t>
      </w:r>
      <w:r w:rsidR="002F271F">
        <w:rPr>
          <w:sz w:val="20"/>
          <w:szCs w:val="20"/>
        </w:rPr>
        <w:t>p</w:t>
      </w:r>
      <w:r w:rsidR="002F271F" w:rsidRPr="003C5D47">
        <w:rPr>
          <w:sz w:val="20"/>
          <w:szCs w:val="20"/>
        </w:rPr>
        <w:t>lan</w:t>
      </w:r>
      <w:r w:rsidR="005266C8" w:rsidRPr="000B2DCA">
        <w:rPr>
          <w:sz w:val="20"/>
          <w:szCs w:val="20"/>
        </w:rPr>
        <w:t xml:space="preserve"> is aligned with</w:t>
      </w:r>
      <w:r w:rsidRPr="000B2DCA">
        <w:rPr>
          <w:sz w:val="20"/>
          <w:szCs w:val="20"/>
        </w:rPr>
        <w:t xml:space="preserve"> the </w:t>
      </w:r>
      <w:r w:rsidR="002F271F">
        <w:rPr>
          <w:sz w:val="20"/>
          <w:szCs w:val="20"/>
        </w:rPr>
        <w:t>s</w:t>
      </w:r>
      <w:r w:rsidRPr="000B2DCA">
        <w:rPr>
          <w:sz w:val="20"/>
          <w:szCs w:val="20"/>
        </w:rPr>
        <w:t xml:space="preserve">ustainable </w:t>
      </w:r>
      <w:r w:rsidR="002F271F">
        <w:rPr>
          <w:sz w:val="20"/>
          <w:szCs w:val="20"/>
        </w:rPr>
        <w:t>d</w:t>
      </w:r>
      <w:r w:rsidRPr="000B2DCA">
        <w:rPr>
          <w:sz w:val="20"/>
          <w:szCs w:val="20"/>
        </w:rPr>
        <w:t xml:space="preserve">evelopment </w:t>
      </w:r>
      <w:r w:rsidR="002F271F">
        <w:rPr>
          <w:sz w:val="20"/>
          <w:szCs w:val="20"/>
        </w:rPr>
        <w:t>g</w:t>
      </w:r>
      <w:r w:rsidRPr="000B2DCA">
        <w:rPr>
          <w:sz w:val="20"/>
          <w:szCs w:val="20"/>
        </w:rPr>
        <w:t>oals</w:t>
      </w:r>
      <w:r w:rsidR="002F271F">
        <w:rPr>
          <w:sz w:val="20"/>
          <w:szCs w:val="20"/>
        </w:rPr>
        <w:t>,</w:t>
      </w:r>
      <w:r w:rsidRPr="000B2DCA">
        <w:rPr>
          <w:sz w:val="20"/>
          <w:szCs w:val="20"/>
        </w:rPr>
        <w:t xml:space="preserve"> </w:t>
      </w:r>
      <w:r w:rsidR="00AE72B7" w:rsidRPr="000B2DCA">
        <w:rPr>
          <w:sz w:val="20"/>
          <w:szCs w:val="20"/>
        </w:rPr>
        <w:t>and places Bangladesh in good stead to become a regional leader and global model for development</w:t>
      </w:r>
      <w:r w:rsidRPr="000B2DCA">
        <w:rPr>
          <w:sz w:val="20"/>
          <w:szCs w:val="20"/>
        </w:rPr>
        <w:t xml:space="preserve">. </w:t>
      </w:r>
    </w:p>
    <w:p w14:paraId="5F2CF6E6" w14:textId="77777777" w:rsidR="003D531F" w:rsidRDefault="003D531F" w:rsidP="000B2DCA">
      <w:pPr>
        <w:pStyle w:val="ListParagraph"/>
        <w:tabs>
          <w:tab w:val="left" w:pos="1080"/>
          <w:tab w:val="left" w:pos="8640"/>
          <w:tab w:val="left" w:pos="9180"/>
        </w:tabs>
        <w:jc w:val="both"/>
        <w:rPr>
          <w:b/>
          <w:sz w:val="20"/>
          <w:szCs w:val="20"/>
        </w:rPr>
      </w:pPr>
    </w:p>
    <w:p w14:paraId="66DA19AE" w14:textId="71107CF4" w:rsidR="00FD44FE" w:rsidRPr="000B2DCA" w:rsidRDefault="00F50884" w:rsidP="000B2DCA">
      <w:pPr>
        <w:pStyle w:val="ListParagraph"/>
        <w:numPr>
          <w:ilvl w:val="0"/>
          <w:numId w:val="6"/>
        </w:numPr>
        <w:tabs>
          <w:tab w:val="left" w:pos="1080"/>
          <w:tab w:val="left" w:pos="8640"/>
          <w:tab w:val="left" w:pos="9180"/>
        </w:tabs>
        <w:ind w:left="720" w:firstLine="0"/>
        <w:jc w:val="both"/>
        <w:rPr>
          <w:b/>
        </w:rPr>
      </w:pPr>
      <w:r>
        <w:rPr>
          <w:b/>
        </w:rPr>
        <w:t>D</w:t>
      </w:r>
      <w:r w:rsidR="00FD44FE" w:rsidRPr="003D531F">
        <w:rPr>
          <w:b/>
        </w:rPr>
        <w:t xml:space="preserve">evelopment </w:t>
      </w:r>
      <w:r w:rsidR="003D531F">
        <w:rPr>
          <w:b/>
        </w:rPr>
        <w:t>c</w:t>
      </w:r>
      <w:r w:rsidR="00FD44FE" w:rsidRPr="003D531F">
        <w:rPr>
          <w:b/>
        </w:rPr>
        <w:t xml:space="preserve">hallenges and </w:t>
      </w:r>
      <w:r w:rsidR="003D531F">
        <w:rPr>
          <w:b/>
        </w:rPr>
        <w:t>u</w:t>
      </w:r>
      <w:r w:rsidR="00FD44FE" w:rsidRPr="003D531F">
        <w:rPr>
          <w:b/>
        </w:rPr>
        <w:t xml:space="preserve">nderlying </w:t>
      </w:r>
      <w:r w:rsidR="003D531F">
        <w:rPr>
          <w:b/>
        </w:rPr>
        <w:t>c</w:t>
      </w:r>
      <w:r w:rsidR="00FD44FE" w:rsidRPr="003D531F">
        <w:rPr>
          <w:b/>
        </w:rPr>
        <w:t>auses</w:t>
      </w:r>
    </w:p>
    <w:p w14:paraId="5B08B709" w14:textId="77777777" w:rsidR="003D531F" w:rsidRPr="000B2DCA" w:rsidRDefault="003D531F" w:rsidP="000B2DCA">
      <w:pPr>
        <w:pStyle w:val="ListParagraph"/>
        <w:tabs>
          <w:tab w:val="left" w:pos="1080"/>
          <w:tab w:val="left" w:pos="8640"/>
          <w:tab w:val="left" w:pos="9180"/>
        </w:tabs>
        <w:jc w:val="both"/>
        <w:rPr>
          <w:b/>
          <w:sz w:val="20"/>
          <w:szCs w:val="20"/>
        </w:rPr>
      </w:pPr>
    </w:p>
    <w:p w14:paraId="2FC813B8" w14:textId="4CF4DD40" w:rsidR="005A7008" w:rsidRPr="000B2DCA" w:rsidRDefault="00FE7037" w:rsidP="000B2DCA">
      <w:pPr>
        <w:pStyle w:val="ListParagraph"/>
        <w:numPr>
          <w:ilvl w:val="0"/>
          <w:numId w:val="3"/>
        </w:numPr>
        <w:tabs>
          <w:tab w:val="left" w:pos="1080"/>
          <w:tab w:val="left" w:pos="8640"/>
          <w:tab w:val="left" w:pos="9180"/>
        </w:tabs>
        <w:spacing w:after="120"/>
        <w:ind w:firstLine="0"/>
        <w:jc w:val="both"/>
        <w:rPr>
          <w:sz w:val="20"/>
          <w:szCs w:val="20"/>
        </w:rPr>
      </w:pPr>
      <w:r w:rsidRPr="000B2DCA">
        <w:rPr>
          <w:sz w:val="20"/>
          <w:szCs w:val="20"/>
        </w:rPr>
        <w:t xml:space="preserve">Despite strong progress, </w:t>
      </w:r>
      <w:r w:rsidR="009430F7" w:rsidRPr="000B2DCA">
        <w:rPr>
          <w:sz w:val="20"/>
          <w:szCs w:val="20"/>
        </w:rPr>
        <w:t xml:space="preserve">Bangladesh </w:t>
      </w:r>
      <w:r w:rsidR="00AF684D" w:rsidRPr="000B2DCA">
        <w:rPr>
          <w:sz w:val="20"/>
          <w:szCs w:val="20"/>
        </w:rPr>
        <w:t xml:space="preserve">remains </w:t>
      </w:r>
      <w:r w:rsidR="002662A8" w:rsidRPr="000B2DCA">
        <w:rPr>
          <w:sz w:val="20"/>
          <w:szCs w:val="20"/>
          <w:lang w:val="id-ID"/>
        </w:rPr>
        <w:t xml:space="preserve">challenged by high levels </w:t>
      </w:r>
      <w:r w:rsidR="009430F7" w:rsidRPr="000B2DCA">
        <w:rPr>
          <w:sz w:val="20"/>
          <w:szCs w:val="20"/>
        </w:rPr>
        <w:t>of poverty, social inequalit</w:t>
      </w:r>
      <w:r w:rsidR="002662A8" w:rsidRPr="000B2DCA">
        <w:rPr>
          <w:sz w:val="20"/>
          <w:szCs w:val="20"/>
        </w:rPr>
        <w:t>y</w:t>
      </w:r>
      <w:r w:rsidR="009430F7" w:rsidRPr="000B2DCA">
        <w:rPr>
          <w:sz w:val="20"/>
          <w:szCs w:val="20"/>
        </w:rPr>
        <w:t xml:space="preserve"> and vulnerability.</w:t>
      </w:r>
      <w:r w:rsidR="00F71EB7" w:rsidRPr="000B2DCA">
        <w:rPr>
          <w:sz w:val="20"/>
          <w:szCs w:val="20"/>
        </w:rPr>
        <w:t xml:space="preserve"> </w:t>
      </w:r>
      <w:r w:rsidR="002662A8" w:rsidRPr="000B2DCA">
        <w:rPr>
          <w:sz w:val="20"/>
          <w:szCs w:val="20"/>
        </w:rPr>
        <w:t>A</w:t>
      </w:r>
      <w:r w:rsidRPr="000B2DCA">
        <w:rPr>
          <w:sz w:val="20"/>
          <w:szCs w:val="20"/>
        </w:rPr>
        <w:t xml:space="preserve">pproximately 40 million </w:t>
      </w:r>
      <w:r w:rsidR="0093283F" w:rsidRPr="003C5D47">
        <w:rPr>
          <w:sz w:val="20"/>
          <w:szCs w:val="20"/>
        </w:rPr>
        <w:t>Bangladeshis</w:t>
      </w:r>
      <w:r w:rsidR="0093283F" w:rsidRPr="0093283F">
        <w:rPr>
          <w:sz w:val="20"/>
          <w:szCs w:val="20"/>
        </w:rPr>
        <w:t xml:space="preserve"> </w:t>
      </w:r>
      <w:r w:rsidRPr="000B2DCA">
        <w:rPr>
          <w:sz w:val="20"/>
          <w:szCs w:val="20"/>
        </w:rPr>
        <w:t>(51</w:t>
      </w:r>
      <w:r w:rsidR="00326758">
        <w:rPr>
          <w:sz w:val="20"/>
          <w:szCs w:val="20"/>
        </w:rPr>
        <w:t xml:space="preserve"> per cent</w:t>
      </w:r>
      <w:r w:rsidRPr="000B2DCA">
        <w:rPr>
          <w:sz w:val="20"/>
          <w:szCs w:val="20"/>
        </w:rPr>
        <w:t xml:space="preserve"> male and 49</w:t>
      </w:r>
      <w:r w:rsidR="0093283F">
        <w:rPr>
          <w:sz w:val="20"/>
          <w:szCs w:val="20"/>
        </w:rPr>
        <w:t> per </w:t>
      </w:r>
      <w:r w:rsidR="00326758">
        <w:rPr>
          <w:sz w:val="20"/>
          <w:szCs w:val="20"/>
        </w:rPr>
        <w:t>cent</w:t>
      </w:r>
      <w:r w:rsidRPr="000B2DCA">
        <w:rPr>
          <w:sz w:val="20"/>
          <w:szCs w:val="20"/>
        </w:rPr>
        <w:t xml:space="preserve"> female)</w:t>
      </w:r>
      <w:r w:rsidRPr="000B2DCA">
        <w:rPr>
          <w:color w:val="FF0000"/>
          <w:sz w:val="20"/>
          <w:szCs w:val="20"/>
        </w:rPr>
        <w:t xml:space="preserve"> </w:t>
      </w:r>
      <w:r w:rsidRPr="000B2DCA">
        <w:rPr>
          <w:sz w:val="20"/>
          <w:szCs w:val="20"/>
        </w:rPr>
        <w:t>live below the national poverty line,</w:t>
      </w:r>
      <w:r w:rsidR="004617F5" w:rsidRPr="000B2DCA">
        <w:rPr>
          <w:rStyle w:val="FootnoteReference"/>
          <w:sz w:val="20"/>
          <w:szCs w:val="20"/>
        </w:rPr>
        <w:footnoteReference w:id="6"/>
      </w:r>
      <w:r w:rsidRPr="000B2DCA">
        <w:rPr>
          <w:sz w:val="20"/>
          <w:szCs w:val="20"/>
        </w:rPr>
        <w:t xml:space="preserve"> and as many as 120 million (76</w:t>
      </w:r>
      <w:r w:rsidR="00326758">
        <w:rPr>
          <w:sz w:val="20"/>
          <w:szCs w:val="20"/>
        </w:rPr>
        <w:t xml:space="preserve"> per cent</w:t>
      </w:r>
      <w:r w:rsidRPr="000B2DCA">
        <w:rPr>
          <w:sz w:val="20"/>
          <w:szCs w:val="20"/>
        </w:rPr>
        <w:t xml:space="preserve"> of the population) subsist below the international poverty line of $1.90 per day.</w:t>
      </w:r>
      <w:r w:rsidR="004617F5" w:rsidRPr="000B2DCA">
        <w:rPr>
          <w:rStyle w:val="FootnoteReference"/>
          <w:sz w:val="20"/>
          <w:szCs w:val="20"/>
        </w:rPr>
        <w:footnoteReference w:id="7"/>
      </w:r>
      <w:r w:rsidRPr="000B2DCA">
        <w:rPr>
          <w:sz w:val="20"/>
          <w:szCs w:val="20"/>
        </w:rPr>
        <w:t xml:space="preserve"> Rural poverty</w:t>
      </w:r>
      <w:r w:rsidR="00950326" w:rsidRPr="000B2DCA">
        <w:rPr>
          <w:sz w:val="20"/>
          <w:szCs w:val="20"/>
        </w:rPr>
        <w:t xml:space="preserve"> persists</w:t>
      </w:r>
      <w:r w:rsidR="00002CDA" w:rsidRPr="000B2DCA">
        <w:rPr>
          <w:sz w:val="20"/>
          <w:szCs w:val="20"/>
        </w:rPr>
        <w:t>, particularly</w:t>
      </w:r>
      <w:r w:rsidRPr="000B2DCA">
        <w:rPr>
          <w:sz w:val="20"/>
          <w:szCs w:val="20"/>
        </w:rPr>
        <w:t xml:space="preserve"> in the remote north and southwest of the country and in the Chittagong Hill Tracts</w:t>
      </w:r>
      <w:r w:rsidR="004265B4">
        <w:rPr>
          <w:sz w:val="20"/>
          <w:szCs w:val="20"/>
        </w:rPr>
        <w:t xml:space="preserve"> region</w:t>
      </w:r>
      <w:r w:rsidR="008B529F">
        <w:rPr>
          <w:sz w:val="20"/>
          <w:szCs w:val="20"/>
        </w:rPr>
        <w:t>,</w:t>
      </w:r>
      <w:r w:rsidRPr="000B2DCA">
        <w:rPr>
          <w:sz w:val="20"/>
          <w:szCs w:val="20"/>
        </w:rPr>
        <w:t xml:space="preserve"> where the legacies of a </w:t>
      </w:r>
      <w:r w:rsidR="005422B5" w:rsidRPr="000B2DCA">
        <w:rPr>
          <w:sz w:val="20"/>
          <w:szCs w:val="20"/>
        </w:rPr>
        <w:t>previous</w:t>
      </w:r>
      <w:r w:rsidRPr="000B2DCA">
        <w:rPr>
          <w:sz w:val="20"/>
          <w:szCs w:val="20"/>
        </w:rPr>
        <w:t xml:space="preserve"> conflict</w:t>
      </w:r>
      <w:r w:rsidR="00002CDA" w:rsidRPr="000B2DCA">
        <w:rPr>
          <w:sz w:val="20"/>
          <w:szCs w:val="20"/>
        </w:rPr>
        <w:t xml:space="preserve"> </w:t>
      </w:r>
      <w:r w:rsidR="009B55A2" w:rsidRPr="000B2DCA">
        <w:rPr>
          <w:sz w:val="20"/>
          <w:szCs w:val="20"/>
        </w:rPr>
        <w:t xml:space="preserve">contributed to slow progress </w:t>
      </w:r>
      <w:r w:rsidR="008B529F">
        <w:rPr>
          <w:sz w:val="20"/>
          <w:szCs w:val="20"/>
        </w:rPr>
        <w:t>i</w:t>
      </w:r>
      <w:r w:rsidR="009B55A2" w:rsidRPr="000B2DCA">
        <w:rPr>
          <w:sz w:val="20"/>
          <w:szCs w:val="20"/>
        </w:rPr>
        <w:t>n social and economic development</w:t>
      </w:r>
      <w:r w:rsidRPr="000B2DCA">
        <w:rPr>
          <w:sz w:val="20"/>
          <w:szCs w:val="20"/>
        </w:rPr>
        <w:t>.</w:t>
      </w:r>
      <w:r w:rsidR="00175FF5" w:rsidRPr="000B2DCA">
        <w:rPr>
          <w:rStyle w:val="FootnoteReference"/>
          <w:sz w:val="20"/>
          <w:szCs w:val="20"/>
        </w:rPr>
        <w:footnoteReference w:id="8"/>
      </w:r>
    </w:p>
    <w:p w14:paraId="5D55D0C4" w14:textId="385A26CF" w:rsidR="00190E4E" w:rsidRPr="000B2DCA" w:rsidRDefault="00190E4E" w:rsidP="000B2DCA">
      <w:pPr>
        <w:pStyle w:val="ListParagraph"/>
        <w:widowControl w:val="0"/>
        <w:numPr>
          <w:ilvl w:val="0"/>
          <w:numId w:val="3"/>
        </w:numPr>
        <w:tabs>
          <w:tab w:val="left" w:pos="1080"/>
          <w:tab w:val="left" w:pos="8640"/>
          <w:tab w:val="left" w:pos="9180"/>
        </w:tabs>
        <w:autoSpaceDE w:val="0"/>
        <w:autoSpaceDN w:val="0"/>
        <w:adjustRightInd w:val="0"/>
        <w:spacing w:after="120"/>
        <w:ind w:firstLine="0"/>
        <w:jc w:val="both"/>
        <w:rPr>
          <w:sz w:val="20"/>
          <w:szCs w:val="20"/>
        </w:rPr>
      </w:pPr>
      <w:r w:rsidRPr="000B2DCA">
        <w:rPr>
          <w:sz w:val="20"/>
          <w:szCs w:val="20"/>
        </w:rPr>
        <w:t xml:space="preserve">As Bangladesh </w:t>
      </w:r>
      <w:r w:rsidR="00942696" w:rsidRPr="000B2DCA">
        <w:rPr>
          <w:sz w:val="20"/>
          <w:szCs w:val="20"/>
        </w:rPr>
        <w:t xml:space="preserve">graduates from </w:t>
      </w:r>
      <w:r w:rsidR="008B529F">
        <w:rPr>
          <w:sz w:val="20"/>
          <w:szCs w:val="20"/>
        </w:rPr>
        <w:t>l</w:t>
      </w:r>
      <w:r w:rsidR="00942696" w:rsidRPr="000B2DCA">
        <w:rPr>
          <w:sz w:val="20"/>
          <w:szCs w:val="20"/>
        </w:rPr>
        <w:t xml:space="preserve">east </w:t>
      </w:r>
      <w:r w:rsidR="008B529F">
        <w:rPr>
          <w:sz w:val="20"/>
          <w:szCs w:val="20"/>
        </w:rPr>
        <w:t>d</w:t>
      </w:r>
      <w:r w:rsidR="00942696" w:rsidRPr="000B2DCA">
        <w:rPr>
          <w:sz w:val="20"/>
          <w:szCs w:val="20"/>
        </w:rPr>
        <w:t>eveloped</w:t>
      </w:r>
      <w:r w:rsidRPr="000B2DCA">
        <w:rPr>
          <w:sz w:val="20"/>
          <w:szCs w:val="20"/>
        </w:rPr>
        <w:t xml:space="preserve"> </w:t>
      </w:r>
      <w:r w:rsidR="008B529F">
        <w:rPr>
          <w:sz w:val="20"/>
          <w:szCs w:val="20"/>
        </w:rPr>
        <w:t>c</w:t>
      </w:r>
      <w:r w:rsidRPr="000B2DCA">
        <w:rPr>
          <w:sz w:val="20"/>
          <w:szCs w:val="20"/>
        </w:rPr>
        <w:t>ountr</w:t>
      </w:r>
      <w:r w:rsidR="008B529F">
        <w:rPr>
          <w:sz w:val="20"/>
          <w:szCs w:val="20"/>
        </w:rPr>
        <w:t>y</w:t>
      </w:r>
      <w:r w:rsidRPr="000B2DCA">
        <w:rPr>
          <w:sz w:val="20"/>
          <w:szCs w:val="20"/>
        </w:rPr>
        <w:t xml:space="preserve"> status</w:t>
      </w:r>
      <w:r w:rsidR="009068CB" w:rsidRPr="000B2DCA">
        <w:rPr>
          <w:sz w:val="20"/>
          <w:szCs w:val="20"/>
        </w:rPr>
        <w:t>,</w:t>
      </w:r>
      <w:r w:rsidRPr="000B2DCA">
        <w:rPr>
          <w:sz w:val="20"/>
          <w:szCs w:val="20"/>
        </w:rPr>
        <w:t xml:space="preserve"> r</w:t>
      </w:r>
      <w:r w:rsidRPr="000B2DCA">
        <w:rPr>
          <w:sz w:val="20"/>
          <w:szCs w:val="20"/>
          <w:lang w:val="id-ID"/>
        </w:rPr>
        <w:t xml:space="preserve">ising </w:t>
      </w:r>
      <w:r w:rsidRPr="000B2DCA">
        <w:rPr>
          <w:sz w:val="20"/>
          <w:szCs w:val="20"/>
        </w:rPr>
        <w:t>economic inequality is</w:t>
      </w:r>
      <w:r w:rsidRPr="000B2DCA">
        <w:rPr>
          <w:sz w:val="20"/>
          <w:szCs w:val="20"/>
          <w:lang w:val="id-ID"/>
        </w:rPr>
        <w:t xml:space="preserve"> </w:t>
      </w:r>
      <w:r w:rsidR="002651C2" w:rsidRPr="000B2DCA">
        <w:rPr>
          <w:sz w:val="20"/>
          <w:szCs w:val="20"/>
          <w:lang w:val="id-ID"/>
        </w:rPr>
        <w:t xml:space="preserve">becoming </w:t>
      </w:r>
      <w:r w:rsidRPr="000B2DCA">
        <w:rPr>
          <w:sz w:val="20"/>
          <w:szCs w:val="20"/>
          <w:lang w:val="id-ID"/>
        </w:rPr>
        <w:t>a pressing challenge</w:t>
      </w:r>
      <w:r w:rsidRPr="000B2DCA">
        <w:rPr>
          <w:sz w:val="20"/>
          <w:szCs w:val="20"/>
        </w:rPr>
        <w:t>. An increasing proportion of the urban workforce (85.5</w:t>
      </w:r>
      <w:r w:rsidR="00326758">
        <w:rPr>
          <w:sz w:val="20"/>
          <w:szCs w:val="20"/>
        </w:rPr>
        <w:t xml:space="preserve"> per cent</w:t>
      </w:r>
      <w:r w:rsidRPr="000B2DCA">
        <w:rPr>
          <w:sz w:val="20"/>
          <w:szCs w:val="20"/>
        </w:rPr>
        <w:t xml:space="preserve"> of men and 92.3</w:t>
      </w:r>
      <w:r w:rsidR="00326758">
        <w:rPr>
          <w:sz w:val="20"/>
          <w:szCs w:val="20"/>
        </w:rPr>
        <w:t xml:space="preserve"> per cent</w:t>
      </w:r>
      <w:r w:rsidRPr="000B2DCA">
        <w:rPr>
          <w:sz w:val="20"/>
          <w:szCs w:val="20"/>
        </w:rPr>
        <w:t xml:space="preserve"> of women) is </w:t>
      </w:r>
      <w:r w:rsidR="008B529F">
        <w:rPr>
          <w:sz w:val="20"/>
          <w:szCs w:val="20"/>
        </w:rPr>
        <w:t>composed</w:t>
      </w:r>
      <w:r w:rsidRPr="000B2DCA">
        <w:rPr>
          <w:sz w:val="20"/>
          <w:szCs w:val="20"/>
        </w:rPr>
        <w:t xml:space="preserve"> of marginalized minorities such as </w:t>
      </w:r>
      <w:r w:rsidRPr="000B2DCA">
        <w:rPr>
          <w:i/>
          <w:sz w:val="20"/>
          <w:szCs w:val="20"/>
        </w:rPr>
        <w:t>dhopa</w:t>
      </w:r>
      <w:r w:rsidRPr="000B2DCA">
        <w:rPr>
          <w:sz w:val="20"/>
          <w:szCs w:val="20"/>
        </w:rPr>
        <w:t xml:space="preserve">, </w:t>
      </w:r>
      <w:r w:rsidRPr="000B2DCA">
        <w:rPr>
          <w:i/>
          <w:sz w:val="20"/>
          <w:szCs w:val="20"/>
        </w:rPr>
        <w:t>muchi</w:t>
      </w:r>
      <w:r w:rsidRPr="000B2DCA">
        <w:rPr>
          <w:sz w:val="20"/>
          <w:szCs w:val="20"/>
        </w:rPr>
        <w:t xml:space="preserve">, </w:t>
      </w:r>
      <w:r w:rsidRPr="000B2DCA">
        <w:rPr>
          <w:i/>
          <w:sz w:val="20"/>
          <w:szCs w:val="20"/>
        </w:rPr>
        <w:t>napit</w:t>
      </w:r>
      <w:r w:rsidRPr="000B2DCA">
        <w:rPr>
          <w:sz w:val="20"/>
          <w:szCs w:val="20"/>
        </w:rPr>
        <w:t xml:space="preserve"> and other traditionally low</w:t>
      </w:r>
      <w:r w:rsidR="008B529F">
        <w:rPr>
          <w:sz w:val="20"/>
          <w:szCs w:val="20"/>
        </w:rPr>
        <w:t>-</w:t>
      </w:r>
      <w:r w:rsidRPr="000B2DCA">
        <w:rPr>
          <w:sz w:val="20"/>
          <w:szCs w:val="20"/>
        </w:rPr>
        <w:t xml:space="preserve">caste groups whose members are especially vulnerable to discrimination and to political and economic shocks. </w:t>
      </w:r>
      <w:r w:rsidR="008B529F">
        <w:rPr>
          <w:sz w:val="20"/>
          <w:szCs w:val="20"/>
        </w:rPr>
        <w:t>S</w:t>
      </w:r>
      <w:r w:rsidR="00F50884">
        <w:rPr>
          <w:sz w:val="20"/>
          <w:szCs w:val="20"/>
        </w:rPr>
        <w:t>ocial safety-</w:t>
      </w:r>
      <w:r w:rsidR="00060036" w:rsidRPr="000B2DCA">
        <w:rPr>
          <w:sz w:val="20"/>
          <w:szCs w:val="20"/>
        </w:rPr>
        <w:t>net schemes provide only limited coverage, with up to 64</w:t>
      </w:r>
      <w:r w:rsidR="00326758">
        <w:rPr>
          <w:sz w:val="20"/>
          <w:szCs w:val="20"/>
        </w:rPr>
        <w:t xml:space="preserve"> per cent</w:t>
      </w:r>
      <w:r w:rsidR="00060036" w:rsidRPr="000B2DCA">
        <w:rPr>
          <w:sz w:val="20"/>
          <w:szCs w:val="20"/>
        </w:rPr>
        <w:t xml:space="preserve"> of the poor unable to access to any form of social protection.</w:t>
      </w:r>
      <w:r w:rsidR="00060036" w:rsidRPr="000B2DCA">
        <w:rPr>
          <w:rStyle w:val="FootnoteReference"/>
          <w:sz w:val="20"/>
          <w:szCs w:val="20"/>
        </w:rPr>
        <w:footnoteReference w:id="9"/>
      </w:r>
      <w:r w:rsidR="00060036" w:rsidRPr="000B2DCA">
        <w:rPr>
          <w:sz w:val="20"/>
          <w:szCs w:val="20"/>
        </w:rPr>
        <w:t xml:space="preserve"> Women’s </w:t>
      </w:r>
      <w:r w:rsidRPr="000B2DCA">
        <w:rPr>
          <w:sz w:val="20"/>
          <w:szCs w:val="20"/>
        </w:rPr>
        <w:t xml:space="preserve">labour force participation rate </w:t>
      </w:r>
      <w:r w:rsidR="00060036" w:rsidRPr="000B2DCA">
        <w:rPr>
          <w:sz w:val="20"/>
          <w:szCs w:val="20"/>
        </w:rPr>
        <w:t xml:space="preserve">is </w:t>
      </w:r>
      <w:r w:rsidRPr="000B2DCA">
        <w:rPr>
          <w:sz w:val="20"/>
          <w:szCs w:val="20"/>
        </w:rPr>
        <w:t>34</w:t>
      </w:r>
      <w:r w:rsidR="00326758">
        <w:rPr>
          <w:sz w:val="20"/>
          <w:szCs w:val="20"/>
        </w:rPr>
        <w:t xml:space="preserve"> per cent</w:t>
      </w:r>
      <w:r w:rsidR="008B529F">
        <w:rPr>
          <w:sz w:val="20"/>
          <w:szCs w:val="20"/>
        </w:rPr>
        <w:t>,</w:t>
      </w:r>
      <w:r w:rsidRPr="000B2DCA">
        <w:rPr>
          <w:sz w:val="20"/>
          <w:szCs w:val="20"/>
        </w:rPr>
        <w:t xml:space="preserve"> versus 82</w:t>
      </w:r>
      <w:r w:rsidR="00326758">
        <w:rPr>
          <w:sz w:val="20"/>
          <w:szCs w:val="20"/>
        </w:rPr>
        <w:t xml:space="preserve"> per cent</w:t>
      </w:r>
      <w:r w:rsidRPr="000B2DCA">
        <w:rPr>
          <w:sz w:val="20"/>
          <w:szCs w:val="20"/>
        </w:rPr>
        <w:t xml:space="preserve"> for men,</w:t>
      </w:r>
      <w:r w:rsidR="004617F5" w:rsidRPr="000B2DCA">
        <w:rPr>
          <w:rStyle w:val="FootnoteReference"/>
          <w:sz w:val="20"/>
          <w:szCs w:val="20"/>
        </w:rPr>
        <w:footnoteReference w:id="10"/>
      </w:r>
      <w:r w:rsidRPr="000B2DCA">
        <w:rPr>
          <w:sz w:val="20"/>
          <w:szCs w:val="20"/>
        </w:rPr>
        <w:t xml:space="preserve"> and women’s earnings are only 52</w:t>
      </w:r>
      <w:r w:rsidR="00326758">
        <w:rPr>
          <w:sz w:val="20"/>
          <w:szCs w:val="20"/>
        </w:rPr>
        <w:t xml:space="preserve"> per cent</w:t>
      </w:r>
      <w:r w:rsidRPr="000B2DCA">
        <w:rPr>
          <w:sz w:val="20"/>
          <w:szCs w:val="20"/>
        </w:rPr>
        <w:t xml:space="preserve"> of men’s.</w:t>
      </w:r>
      <w:r w:rsidRPr="000B2DCA">
        <w:rPr>
          <w:rStyle w:val="FootnoteReference"/>
          <w:sz w:val="20"/>
          <w:szCs w:val="20"/>
        </w:rPr>
        <w:footnoteReference w:id="11"/>
      </w:r>
      <w:r w:rsidRPr="000B2DCA">
        <w:rPr>
          <w:sz w:val="20"/>
          <w:szCs w:val="20"/>
        </w:rPr>
        <w:t xml:space="preserve"> Only </w:t>
      </w:r>
      <w:r w:rsidR="004D174B" w:rsidRPr="000B2DCA">
        <w:rPr>
          <w:sz w:val="20"/>
          <w:szCs w:val="20"/>
        </w:rPr>
        <w:t>8</w:t>
      </w:r>
      <w:r w:rsidR="00326758">
        <w:rPr>
          <w:sz w:val="20"/>
          <w:szCs w:val="20"/>
        </w:rPr>
        <w:t xml:space="preserve"> per cent</w:t>
      </w:r>
      <w:r w:rsidRPr="000B2DCA">
        <w:rPr>
          <w:sz w:val="20"/>
          <w:szCs w:val="20"/>
        </w:rPr>
        <w:t xml:space="preserve"> of Bangladesh</w:t>
      </w:r>
      <w:r w:rsidR="008B529F">
        <w:rPr>
          <w:sz w:val="20"/>
          <w:szCs w:val="20"/>
        </w:rPr>
        <w:t>i</w:t>
      </w:r>
      <w:r w:rsidRPr="000B2DCA">
        <w:rPr>
          <w:sz w:val="20"/>
          <w:szCs w:val="20"/>
        </w:rPr>
        <w:t xml:space="preserve"> </w:t>
      </w:r>
      <w:r w:rsidRPr="000B2DCA">
        <w:rPr>
          <w:sz w:val="20"/>
          <w:szCs w:val="20"/>
        </w:rPr>
        <w:lastRenderedPageBreak/>
        <w:t>entrepreneurs are women</w:t>
      </w:r>
      <w:r w:rsidR="00060036" w:rsidRPr="000B2DCA">
        <w:rPr>
          <w:sz w:val="20"/>
          <w:szCs w:val="20"/>
        </w:rPr>
        <w:t>,</w:t>
      </w:r>
      <w:r w:rsidR="00060036" w:rsidRPr="000B2DCA">
        <w:rPr>
          <w:rStyle w:val="FootnoteReference"/>
          <w:sz w:val="20"/>
          <w:szCs w:val="20"/>
        </w:rPr>
        <w:footnoteReference w:id="12"/>
      </w:r>
      <w:r w:rsidR="00060036" w:rsidRPr="000B2DCA">
        <w:rPr>
          <w:sz w:val="20"/>
          <w:szCs w:val="20"/>
        </w:rPr>
        <w:t xml:space="preserve"> and</w:t>
      </w:r>
      <w:r w:rsidRPr="000B2DCA">
        <w:rPr>
          <w:sz w:val="20"/>
          <w:szCs w:val="20"/>
        </w:rPr>
        <w:t xml:space="preserve"> </w:t>
      </w:r>
      <w:r w:rsidR="00060036" w:rsidRPr="000B2DCA">
        <w:rPr>
          <w:sz w:val="20"/>
          <w:szCs w:val="20"/>
        </w:rPr>
        <w:t>only 25</w:t>
      </w:r>
      <w:r w:rsidR="00326758">
        <w:rPr>
          <w:sz w:val="20"/>
          <w:szCs w:val="20"/>
        </w:rPr>
        <w:t xml:space="preserve"> per cent</w:t>
      </w:r>
      <w:r w:rsidR="00060036" w:rsidRPr="000B2DCA">
        <w:rPr>
          <w:sz w:val="20"/>
          <w:szCs w:val="20"/>
        </w:rPr>
        <w:t xml:space="preserve"> of women have an account at a formal financial institution</w:t>
      </w:r>
      <w:r w:rsidR="004617F5" w:rsidRPr="000B2DCA">
        <w:rPr>
          <w:sz w:val="20"/>
          <w:szCs w:val="20"/>
        </w:rPr>
        <w:t>.</w:t>
      </w:r>
      <w:r w:rsidR="00060036" w:rsidRPr="000B2DCA">
        <w:rPr>
          <w:rStyle w:val="FootnoteReference"/>
          <w:sz w:val="20"/>
          <w:szCs w:val="20"/>
        </w:rPr>
        <w:footnoteReference w:id="13"/>
      </w:r>
      <w:r w:rsidR="004617F5" w:rsidRPr="000B2DCA">
        <w:rPr>
          <w:sz w:val="20"/>
          <w:szCs w:val="20"/>
        </w:rPr>
        <w:t xml:space="preserve"> L</w:t>
      </w:r>
      <w:r w:rsidR="00060036" w:rsidRPr="000B2DCA">
        <w:rPr>
          <w:sz w:val="20"/>
          <w:szCs w:val="20"/>
        </w:rPr>
        <w:t>evels of gender-based violence</w:t>
      </w:r>
      <w:r w:rsidR="004617F5" w:rsidRPr="000B2DCA">
        <w:rPr>
          <w:sz w:val="20"/>
          <w:szCs w:val="20"/>
        </w:rPr>
        <w:t xml:space="preserve"> remain high</w:t>
      </w:r>
      <w:r w:rsidR="00060036" w:rsidRPr="000B2DCA">
        <w:rPr>
          <w:sz w:val="20"/>
          <w:szCs w:val="20"/>
        </w:rPr>
        <w:t>, with 87</w:t>
      </w:r>
      <w:r w:rsidR="00326758">
        <w:rPr>
          <w:sz w:val="20"/>
          <w:szCs w:val="20"/>
        </w:rPr>
        <w:t xml:space="preserve"> per cent</w:t>
      </w:r>
      <w:r w:rsidR="00060036" w:rsidRPr="000B2DCA">
        <w:rPr>
          <w:sz w:val="20"/>
          <w:szCs w:val="20"/>
        </w:rPr>
        <w:t xml:space="preserve"> of married women </w:t>
      </w:r>
      <w:r w:rsidR="004617F5" w:rsidRPr="000B2DCA">
        <w:rPr>
          <w:sz w:val="20"/>
          <w:szCs w:val="20"/>
        </w:rPr>
        <w:t>reporting</w:t>
      </w:r>
      <w:r w:rsidR="00060036" w:rsidRPr="000B2DCA">
        <w:rPr>
          <w:sz w:val="20"/>
          <w:szCs w:val="20"/>
        </w:rPr>
        <w:t xml:space="preserve"> expe</w:t>
      </w:r>
      <w:r w:rsidR="004617F5" w:rsidRPr="000B2DCA">
        <w:rPr>
          <w:sz w:val="20"/>
          <w:szCs w:val="20"/>
        </w:rPr>
        <w:t>rience of</w:t>
      </w:r>
      <w:r w:rsidR="00060036" w:rsidRPr="000B2DCA">
        <w:rPr>
          <w:sz w:val="20"/>
          <w:szCs w:val="20"/>
        </w:rPr>
        <w:t xml:space="preserve"> do</w:t>
      </w:r>
      <w:r w:rsidR="004617F5" w:rsidRPr="000B2DCA">
        <w:rPr>
          <w:sz w:val="20"/>
          <w:szCs w:val="20"/>
        </w:rPr>
        <w:t>mestic violence</w:t>
      </w:r>
      <w:r w:rsidR="00060036" w:rsidRPr="000B2DCA">
        <w:rPr>
          <w:sz w:val="20"/>
          <w:szCs w:val="20"/>
        </w:rPr>
        <w:t>.</w:t>
      </w:r>
      <w:r w:rsidR="00060036" w:rsidRPr="000B2DCA">
        <w:rPr>
          <w:rStyle w:val="FootnoteReference"/>
          <w:sz w:val="20"/>
          <w:szCs w:val="20"/>
        </w:rPr>
        <w:footnoteReference w:id="14"/>
      </w:r>
    </w:p>
    <w:p w14:paraId="4036D614" w14:textId="23CBABDC" w:rsidR="0029684F" w:rsidRPr="000B2DCA" w:rsidRDefault="0029684F" w:rsidP="000B2DCA">
      <w:pPr>
        <w:pStyle w:val="ListParagraph"/>
        <w:numPr>
          <w:ilvl w:val="0"/>
          <w:numId w:val="3"/>
        </w:numPr>
        <w:tabs>
          <w:tab w:val="left" w:pos="1080"/>
          <w:tab w:val="left" w:pos="8640"/>
          <w:tab w:val="left" w:pos="9180"/>
        </w:tabs>
        <w:spacing w:after="120"/>
        <w:ind w:firstLine="0"/>
        <w:jc w:val="both"/>
        <w:rPr>
          <w:sz w:val="20"/>
          <w:szCs w:val="20"/>
        </w:rPr>
      </w:pPr>
      <w:r w:rsidRPr="000B2DCA">
        <w:rPr>
          <w:sz w:val="20"/>
          <w:szCs w:val="20"/>
        </w:rPr>
        <w:t>Bangladesh remains</w:t>
      </w:r>
      <w:r w:rsidR="002F47C8" w:rsidRPr="000B2DCA">
        <w:rPr>
          <w:sz w:val="20"/>
          <w:szCs w:val="20"/>
        </w:rPr>
        <w:t xml:space="preserve"> highly </w:t>
      </w:r>
      <w:r w:rsidR="00200B26" w:rsidRPr="000B2DCA">
        <w:rPr>
          <w:sz w:val="20"/>
          <w:szCs w:val="20"/>
        </w:rPr>
        <w:t xml:space="preserve">vulnerable </w:t>
      </w:r>
      <w:r w:rsidRPr="000B2DCA">
        <w:rPr>
          <w:sz w:val="20"/>
          <w:szCs w:val="20"/>
        </w:rPr>
        <w:t xml:space="preserve">to natural and man-made disasters and </w:t>
      </w:r>
      <w:r w:rsidR="002F47C8" w:rsidRPr="000B2DCA">
        <w:rPr>
          <w:sz w:val="20"/>
          <w:szCs w:val="20"/>
        </w:rPr>
        <w:t>the effects of climate change</w:t>
      </w:r>
      <w:r w:rsidRPr="000B2DCA">
        <w:rPr>
          <w:sz w:val="20"/>
          <w:szCs w:val="20"/>
        </w:rPr>
        <w:t xml:space="preserve">. </w:t>
      </w:r>
      <w:r w:rsidR="00981B57" w:rsidRPr="000B2DCA">
        <w:rPr>
          <w:sz w:val="20"/>
          <w:szCs w:val="20"/>
        </w:rPr>
        <w:t>The World Risk Report</w:t>
      </w:r>
      <w:r w:rsidR="00F50884">
        <w:rPr>
          <w:sz w:val="20"/>
          <w:szCs w:val="20"/>
        </w:rPr>
        <w:t>,</w:t>
      </w:r>
      <w:r w:rsidR="00981B57" w:rsidRPr="000B2DCA">
        <w:rPr>
          <w:sz w:val="20"/>
          <w:szCs w:val="20"/>
        </w:rPr>
        <w:t xml:space="preserve"> </w:t>
      </w:r>
      <w:r w:rsidR="0026695D" w:rsidRPr="000B2DCA">
        <w:rPr>
          <w:sz w:val="20"/>
          <w:szCs w:val="20"/>
        </w:rPr>
        <w:t>2015</w:t>
      </w:r>
      <w:r w:rsidR="00F50884">
        <w:rPr>
          <w:sz w:val="20"/>
          <w:szCs w:val="20"/>
        </w:rPr>
        <w:t>,</w:t>
      </w:r>
      <w:r w:rsidR="0026695D" w:rsidRPr="000B2DCA">
        <w:rPr>
          <w:sz w:val="20"/>
          <w:szCs w:val="20"/>
        </w:rPr>
        <w:t xml:space="preserve"> </w:t>
      </w:r>
      <w:r w:rsidR="00981B57" w:rsidRPr="000B2DCA">
        <w:rPr>
          <w:sz w:val="20"/>
          <w:szCs w:val="20"/>
        </w:rPr>
        <w:t xml:space="preserve">ranks Bangladesh as </w:t>
      </w:r>
      <w:r w:rsidR="004D174B" w:rsidRPr="000B2DCA">
        <w:rPr>
          <w:sz w:val="20"/>
          <w:szCs w:val="20"/>
        </w:rPr>
        <w:t>the wor</w:t>
      </w:r>
      <w:r w:rsidR="0026695D" w:rsidRPr="000B2DCA">
        <w:rPr>
          <w:sz w:val="20"/>
          <w:szCs w:val="20"/>
        </w:rPr>
        <w:t>ld’s sixth most at-risk country</w:t>
      </w:r>
      <w:r w:rsidR="008B529F">
        <w:rPr>
          <w:sz w:val="20"/>
          <w:szCs w:val="20"/>
        </w:rPr>
        <w:t>,</w:t>
      </w:r>
      <w:r w:rsidR="0026695D" w:rsidRPr="000B2DCA">
        <w:rPr>
          <w:sz w:val="20"/>
          <w:szCs w:val="20"/>
        </w:rPr>
        <w:t xml:space="preserve"> </w:t>
      </w:r>
      <w:r w:rsidR="00981B57" w:rsidRPr="000B2DCA">
        <w:rPr>
          <w:sz w:val="20"/>
          <w:szCs w:val="20"/>
        </w:rPr>
        <w:t xml:space="preserve">with a score of </w:t>
      </w:r>
      <w:r w:rsidR="0026695D" w:rsidRPr="000B2DCA">
        <w:rPr>
          <w:sz w:val="20"/>
          <w:szCs w:val="20"/>
        </w:rPr>
        <w:t>56.69</w:t>
      </w:r>
      <w:r w:rsidR="00326758">
        <w:rPr>
          <w:sz w:val="20"/>
          <w:szCs w:val="20"/>
        </w:rPr>
        <w:t xml:space="preserve"> per cent</w:t>
      </w:r>
      <w:r w:rsidR="00981B57" w:rsidRPr="000B2DCA">
        <w:rPr>
          <w:sz w:val="20"/>
          <w:szCs w:val="20"/>
        </w:rPr>
        <w:t xml:space="preserve"> for adaptive capacity.</w:t>
      </w:r>
      <w:r w:rsidR="00981B57" w:rsidRPr="000B2DCA">
        <w:rPr>
          <w:rStyle w:val="FootnoteReference"/>
          <w:sz w:val="20"/>
          <w:szCs w:val="20"/>
        </w:rPr>
        <w:footnoteReference w:id="15"/>
      </w:r>
      <w:r w:rsidR="00981B57" w:rsidRPr="000B2DCA">
        <w:rPr>
          <w:sz w:val="20"/>
          <w:szCs w:val="20"/>
        </w:rPr>
        <w:t xml:space="preserve"> </w:t>
      </w:r>
      <w:r w:rsidR="002F47C8" w:rsidRPr="000B2DCA">
        <w:rPr>
          <w:sz w:val="20"/>
          <w:szCs w:val="20"/>
        </w:rPr>
        <w:t>Tens of millions of people whose incomes depend on the land and river systems of the Bengal Delta are threatened by rising sea levels, saline intrusion, waterlogging and riverbank erosion.</w:t>
      </w:r>
      <w:r w:rsidR="002F47C8" w:rsidRPr="000B2DCA">
        <w:rPr>
          <w:rStyle w:val="FootnoteReference"/>
          <w:sz w:val="20"/>
          <w:szCs w:val="20"/>
        </w:rPr>
        <w:footnoteReference w:id="16"/>
      </w:r>
      <w:r w:rsidR="002F47C8" w:rsidRPr="000B2DCA">
        <w:rPr>
          <w:sz w:val="20"/>
          <w:szCs w:val="20"/>
        </w:rPr>
        <w:t xml:space="preserve"> An estimated 26,000 people per year lose land to flooding and erosion.</w:t>
      </w:r>
      <w:r w:rsidR="002F47C8" w:rsidRPr="000B2DCA">
        <w:rPr>
          <w:rStyle w:val="FootnoteReference"/>
          <w:sz w:val="20"/>
          <w:szCs w:val="20"/>
        </w:rPr>
        <w:footnoteReference w:id="17"/>
      </w:r>
      <w:r w:rsidR="002F47C8" w:rsidRPr="000B2DCA">
        <w:rPr>
          <w:sz w:val="20"/>
          <w:szCs w:val="20"/>
        </w:rPr>
        <w:t xml:space="preserve"> Rapid urbanization</w:t>
      </w:r>
      <w:r w:rsidR="00200B26" w:rsidRPr="000B2DCA">
        <w:rPr>
          <w:sz w:val="20"/>
          <w:szCs w:val="20"/>
        </w:rPr>
        <w:t xml:space="preserve"> has </w:t>
      </w:r>
      <w:r w:rsidRPr="000B2DCA">
        <w:rPr>
          <w:sz w:val="20"/>
          <w:szCs w:val="20"/>
        </w:rPr>
        <w:t xml:space="preserve">exacerbated risks and vulnerabilities </w:t>
      </w:r>
      <w:r w:rsidR="008B529F">
        <w:rPr>
          <w:sz w:val="20"/>
          <w:szCs w:val="20"/>
          <w:lang w:eastAsia="en-GB"/>
        </w:rPr>
        <w:t>–</w:t>
      </w:r>
      <w:r w:rsidR="002F47C8" w:rsidRPr="000B2DCA">
        <w:rPr>
          <w:sz w:val="20"/>
          <w:szCs w:val="20"/>
          <w:lang w:eastAsia="en-GB"/>
        </w:rPr>
        <w:t xml:space="preserve"> an estimated 62.3</w:t>
      </w:r>
      <w:r w:rsidR="00326758">
        <w:rPr>
          <w:sz w:val="20"/>
          <w:szCs w:val="20"/>
          <w:lang w:eastAsia="en-GB"/>
        </w:rPr>
        <w:t xml:space="preserve"> per cent</w:t>
      </w:r>
      <w:r w:rsidR="002F47C8" w:rsidRPr="000B2DCA">
        <w:rPr>
          <w:sz w:val="20"/>
          <w:szCs w:val="20"/>
          <w:lang w:eastAsia="en-GB"/>
        </w:rPr>
        <w:t xml:space="preserve"> male and 61</w:t>
      </w:r>
      <w:r w:rsidR="00326758">
        <w:rPr>
          <w:sz w:val="20"/>
          <w:szCs w:val="20"/>
          <w:lang w:eastAsia="en-GB"/>
        </w:rPr>
        <w:t xml:space="preserve"> per cent</w:t>
      </w:r>
      <w:r w:rsidR="002F47C8" w:rsidRPr="000B2DCA">
        <w:rPr>
          <w:sz w:val="20"/>
          <w:szCs w:val="20"/>
          <w:lang w:eastAsia="en-GB"/>
        </w:rPr>
        <w:t xml:space="preserve"> female</w:t>
      </w:r>
      <w:r w:rsidR="002F47C8" w:rsidRPr="000B2DCA">
        <w:rPr>
          <w:color w:val="FF0000"/>
          <w:sz w:val="20"/>
          <w:szCs w:val="20"/>
          <w:lang w:eastAsia="en-GB"/>
        </w:rPr>
        <w:t xml:space="preserve"> </w:t>
      </w:r>
      <w:r w:rsidR="002F47C8" w:rsidRPr="000B2DCA">
        <w:rPr>
          <w:sz w:val="20"/>
          <w:szCs w:val="20"/>
          <w:lang w:eastAsia="en-GB"/>
        </w:rPr>
        <w:t>urban dwellers live in slums, where they are vulnerable to violence, poor sanitation and eviction.</w:t>
      </w:r>
      <w:r w:rsidR="002F47C8" w:rsidRPr="000B2DCA">
        <w:rPr>
          <w:rStyle w:val="FootnoteReference"/>
          <w:sz w:val="20"/>
          <w:szCs w:val="20"/>
          <w:lang w:eastAsia="en-GB"/>
        </w:rPr>
        <w:footnoteReference w:id="18"/>
      </w:r>
      <w:r w:rsidR="002F47C8" w:rsidRPr="000B2DCA">
        <w:rPr>
          <w:sz w:val="20"/>
          <w:szCs w:val="20"/>
          <w:lang w:eastAsia="en-GB"/>
        </w:rPr>
        <w:t xml:space="preserve"> </w:t>
      </w:r>
    </w:p>
    <w:p w14:paraId="5D567E7C" w14:textId="23DBE983" w:rsidR="002F47C8" w:rsidRPr="000B2DCA" w:rsidRDefault="002B28B7" w:rsidP="000B2DCA">
      <w:pPr>
        <w:pStyle w:val="ListParagraph"/>
        <w:numPr>
          <w:ilvl w:val="0"/>
          <w:numId w:val="3"/>
        </w:numPr>
        <w:tabs>
          <w:tab w:val="left" w:pos="1080"/>
          <w:tab w:val="left" w:pos="8640"/>
          <w:tab w:val="left" w:pos="9180"/>
        </w:tabs>
        <w:spacing w:after="120"/>
        <w:ind w:firstLine="0"/>
        <w:jc w:val="both"/>
        <w:rPr>
          <w:sz w:val="20"/>
          <w:szCs w:val="20"/>
        </w:rPr>
      </w:pPr>
      <w:r w:rsidRPr="000B2DCA">
        <w:rPr>
          <w:sz w:val="20"/>
          <w:szCs w:val="20"/>
        </w:rPr>
        <w:t>I</w:t>
      </w:r>
      <w:r w:rsidR="002F47C8" w:rsidRPr="000B2DCA">
        <w:rPr>
          <w:sz w:val="20"/>
          <w:szCs w:val="20"/>
        </w:rPr>
        <w:t>ndustrial pollution is causing damage to land and water resources</w:t>
      </w:r>
      <w:r w:rsidR="00AF684D" w:rsidRPr="000B2DCA">
        <w:rPr>
          <w:sz w:val="20"/>
          <w:szCs w:val="20"/>
        </w:rPr>
        <w:t>.</w:t>
      </w:r>
      <w:r w:rsidR="002F47C8" w:rsidRPr="000B2DCA">
        <w:rPr>
          <w:sz w:val="20"/>
          <w:szCs w:val="20"/>
        </w:rPr>
        <w:t xml:space="preserve"> </w:t>
      </w:r>
      <w:r w:rsidR="00AF684D" w:rsidRPr="000B2DCA">
        <w:rPr>
          <w:sz w:val="20"/>
          <w:szCs w:val="20"/>
          <w:lang w:val="id-ID"/>
        </w:rPr>
        <w:t>A</w:t>
      </w:r>
      <w:r w:rsidR="002F47C8" w:rsidRPr="000B2DCA">
        <w:rPr>
          <w:sz w:val="20"/>
          <w:szCs w:val="20"/>
          <w:lang w:val="id-ID"/>
        </w:rPr>
        <w:t xml:space="preserve">ccidents such as </w:t>
      </w:r>
      <w:r w:rsidR="002F47C8" w:rsidRPr="000B2DCA">
        <w:rPr>
          <w:sz w:val="20"/>
          <w:szCs w:val="20"/>
        </w:rPr>
        <w:t xml:space="preserve">the December 2014 oil spill in the Sundarbans ecological zone </w:t>
      </w:r>
      <w:r w:rsidR="002F47C8" w:rsidRPr="000B2DCA">
        <w:rPr>
          <w:sz w:val="20"/>
          <w:szCs w:val="20"/>
          <w:lang w:val="id-ID"/>
        </w:rPr>
        <w:t xml:space="preserve">have </w:t>
      </w:r>
      <w:r w:rsidR="002F47C8" w:rsidRPr="000B2DCA">
        <w:rPr>
          <w:sz w:val="20"/>
          <w:szCs w:val="20"/>
        </w:rPr>
        <w:t xml:space="preserve">highlighted the need for </w:t>
      </w:r>
      <w:r w:rsidR="002F47C8" w:rsidRPr="000B2DCA">
        <w:rPr>
          <w:sz w:val="20"/>
          <w:szCs w:val="20"/>
          <w:lang w:val="id-ID"/>
        </w:rPr>
        <w:t>improved</w:t>
      </w:r>
      <w:r w:rsidR="002F47C8" w:rsidRPr="000B2DCA">
        <w:rPr>
          <w:sz w:val="20"/>
          <w:szCs w:val="20"/>
        </w:rPr>
        <w:t xml:space="preserve"> natural resource management. Between 2010 and 2014</w:t>
      </w:r>
      <w:r w:rsidR="0029684F" w:rsidRPr="000B2DCA">
        <w:rPr>
          <w:sz w:val="20"/>
          <w:szCs w:val="20"/>
        </w:rPr>
        <w:t xml:space="preserve">, </w:t>
      </w:r>
      <w:r w:rsidR="002F47C8" w:rsidRPr="000B2DCA">
        <w:rPr>
          <w:sz w:val="20"/>
          <w:szCs w:val="20"/>
        </w:rPr>
        <w:t xml:space="preserve">Bangladesh slid 30 places on the global </w:t>
      </w:r>
      <w:r w:rsidR="008B529F">
        <w:rPr>
          <w:sz w:val="20"/>
          <w:szCs w:val="20"/>
        </w:rPr>
        <w:t>e</w:t>
      </w:r>
      <w:r w:rsidR="002F47C8" w:rsidRPr="000B2DCA">
        <w:rPr>
          <w:sz w:val="20"/>
          <w:szCs w:val="20"/>
        </w:rPr>
        <w:t xml:space="preserve">nvironmental </w:t>
      </w:r>
      <w:r w:rsidR="008B529F">
        <w:rPr>
          <w:sz w:val="20"/>
          <w:szCs w:val="20"/>
        </w:rPr>
        <w:t>p</w:t>
      </w:r>
      <w:r w:rsidR="002F47C8" w:rsidRPr="000B2DCA">
        <w:rPr>
          <w:sz w:val="20"/>
          <w:szCs w:val="20"/>
        </w:rPr>
        <w:t xml:space="preserve">ollution </w:t>
      </w:r>
      <w:r w:rsidR="008B529F">
        <w:rPr>
          <w:sz w:val="20"/>
          <w:szCs w:val="20"/>
        </w:rPr>
        <w:t>i</w:t>
      </w:r>
      <w:r w:rsidR="002F47C8" w:rsidRPr="000B2DCA">
        <w:rPr>
          <w:sz w:val="20"/>
          <w:szCs w:val="20"/>
        </w:rPr>
        <w:t>ndex to become the ninth most polluted country in the world</w:t>
      </w:r>
      <w:r w:rsidR="00466383" w:rsidRPr="000B2DCA">
        <w:rPr>
          <w:sz w:val="20"/>
          <w:szCs w:val="20"/>
        </w:rPr>
        <w:t>.</w:t>
      </w:r>
      <w:r w:rsidR="002F47C8" w:rsidRPr="000B2DCA">
        <w:rPr>
          <w:rStyle w:val="FootnoteReference"/>
          <w:sz w:val="20"/>
          <w:szCs w:val="20"/>
        </w:rPr>
        <w:footnoteReference w:id="19"/>
      </w:r>
      <w:r w:rsidR="002F47C8" w:rsidRPr="000B2DCA">
        <w:rPr>
          <w:sz w:val="20"/>
          <w:szCs w:val="20"/>
        </w:rPr>
        <w:t xml:space="preserve"> </w:t>
      </w:r>
      <w:r w:rsidR="00466383" w:rsidRPr="000B2DCA">
        <w:rPr>
          <w:sz w:val="20"/>
          <w:szCs w:val="20"/>
        </w:rPr>
        <w:t>T</w:t>
      </w:r>
      <w:r w:rsidR="002F47C8" w:rsidRPr="000B2DCA">
        <w:rPr>
          <w:sz w:val="20"/>
          <w:szCs w:val="20"/>
        </w:rPr>
        <w:t xml:space="preserve">he </w:t>
      </w:r>
      <w:r w:rsidR="008B529F">
        <w:rPr>
          <w:sz w:val="20"/>
          <w:szCs w:val="20"/>
        </w:rPr>
        <w:t>e</w:t>
      </w:r>
      <w:r w:rsidR="002F47C8" w:rsidRPr="000B2DCA">
        <w:rPr>
          <w:sz w:val="20"/>
          <w:szCs w:val="20"/>
        </w:rPr>
        <w:t xml:space="preserve">nvironmental </w:t>
      </w:r>
      <w:r w:rsidR="008B529F">
        <w:rPr>
          <w:sz w:val="20"/>
          <w:szCs w:val="20"/>
        </w:rPr>
        <w:t>p</w:t>
      </w:r>
      <w:r w:rsidR="002F47C8" w:rsidRPr="000B2DCA">
        <w:rPr>
          <w:sz w:val="20"/>
          <w:szCs w:val="20"/>
        </w:rPr>
        <w:t xml:space="preserve">erformance </w:t>
      </w:r>
      <w:r w:rsidR="008B529F">
        <w:rPr>
          <w:sz w:val="20"/>
          <w:szCs w:val="20"/>
        </w:rPr>
        <w:t>i</w:t>
      </w:r>
      <w:r w:rsidR="002F47C8" w:rsidRPr="000B2DCA">
        <w:rPr>
          <w:sz w:val="20"/>
          <w:szCs w:val="20"/>
        </w:rPr>
        <w:t>ndex, which considers human health and ecosystems</w:t>
      </w:r>
      <w:r w:rsidR="008B529F">
        <w:rPr>
          <w:sz w:val="20"/>
          <w:szCs w:val="20"/>
        </w:rPr>
        <w:t>,</w:t>
      </w:r>
      <w:r w:rsidR="00466383" w:rsidRPr="000B2DCA">
        <w:rPr>
          <w:sz w:val="20"/>
          <w:szCs w:val="20"/>
        </w:rPr>
        <w:t xml:space="preserve"> ranks</w:t>
      </w:r>
      <w:r w:rsidR="002F47C8" w:rsidRPr="000B2DCA">
        <w:rPr>
          <w:sz w:val="20"/>
          <w:szCs w:val="20"/>
        </w:rPr>
        <w:t xml:space="preserve"> Bangladesh 173</w:t>
      </w:r>
      <w:r w:rsidR="008B529F" w:rsidRPr="000B2DCA">
        <w:rPr>
          <w:sz w:val="20"/>
          <w:szCs w:val="20"/>
          <w:vertAlign w:val="superscript"/>
        </w:rPr>
        <w:t>rd</w:t>
      </w:r>
      <w:r w:rsidR="002F47C8" w:rsidRPr="000B2DCA">
        <w:rPr>
          <w:sz w:val="20"/>
          <w:szCs w:val="20"/>
        </w:rPr>
        <w:t xml:space="preserve"> out of 180 countries</w:t>
      </w:r>
      <w:r w:rsidR="00981B57" w:rsidRPr="000B2DCA">
        <w:rPr>
          <w:sz w:val="20"/>
          <w:szCs w:val="20"/>
        </w:rPr>
        <w:t>.</w:t>
      </w:r>
      <w:r w:rsidR="002F47C8" w:rsidRPr="000B2DCA">
        <w:rPr>
          <w:rStyle w:val="FootnoteReference"/>
          <w:sz w:val="20"/>
          <w:szCs w:val="20"/>
        </w:rPr>
        <w:footnoteReference w:id="20"/>
      </w:r>
      <w:r w:rsidR="002F47C8" w:rsidRPr="000B2DCA">
        <w:rPr>
          <w:sz w:val="20"/>
          <w:szCs w:val="20"/>
        </w:rPr>
        <w:t xml:space="preserve"> Bangladesh has adopted policies that promote conservation and natural resource</w:t>
      </w:r>
      <w:r w:rsidR="00466383" w:rsidRPr="000B2DCA">
        <w:rPr>
          <w:sz w:val="20"/>
          <w:szCs w:val="20"/>
        </w:rPr>
        <w:t xml:space="preserve"> regeneration</w:t>
      </w:r>
      <w:r w:rsidR="002F47C8" w:rsidRPr="000B2DCA">
        <w:rPr>
          <w:sz w:val="20"/>
          <w:szCs w:val="20"/>
        </w:rPr>
        <w:t xml:space="preserve">, </w:t>
      </w:r>
      <w:r w:rsidR="008B529F">
        <w:rPr>
          <w:sz w:val="20"/>
          <w:szCs w:val="20"/>
        </w:rPr>
        <w:t>but they</w:t>
      </w:r>
      <w:r w:rsidR="008B529F" w:rsidRPr="000B2DCA">
        <w:rPr>
          <w:sz w:val="20"/>
          <w:szCs w:val="20"/>
        </w:rPr>
        <w:t xml:space="preserve"> </w:t>
      </w:r>
      <w:r w:rsidR="003B1345" w:rsidRPr="000B2DCA">
        <w:rPr>
          <w:sz w:val="20"/>
          <w:szCs w:val="20"/>
        </w:rPr>
        <w:t xml:space="preserve">need </w:t>
      </w:r>
      <w:r w:rsidR="002F47C8" w:rsidRPr="000B2DCA">
        <w:rPr>
          <w:sz w:val="20"/>
          <w:szCs w:val="20"/>
        </w:rPr>
        <w:t xml:space="preserve">further </w:t>
      </w:r>
      <w:r w:rsidR="003B1345" w:rsidRPr="000B2DCA">
        <w:rPr>
          <w:sz w:val="20"/>
          <w:szCs w:val="20"/>
        </w:rPr>
        <w:t xml:space="preserve">refinement </w:t>
      </w:r>
      <w:r w:rsidR="002F47C8" w:rsidRPr="000B2DCA">
        <w:rPr>
          <w:sz w:val="20"/>
          <w:szCs w:val="20"/>
        </w:rPr>
        <w:t xml:space="preserve">and </w:t>
      </w:r>
      <w:r w:rsidR="003B1345" w:rsidRPr="000B2DCA">
        <w:rPr>
          <w:sz w:val="20"/>
          <w:szCs w:val="20"/>
        </w:rPr>
        <w:t xml:space="preserve">stronger </w:t>
      </w:r>
      <w:r w:rsidR="002F47C8" w:rsidRPr="000B2DCA">
        <w:rPr>
          <w:sz w:val="20"/>
          <w:szCs w:val="20"/>
        </w:rPr>
        <w:t>enforce</w:t>
      </w:r>
      <w:r w:rsidR="003B1345" w:rsidRPr="000B2DCA">
        <w:rPr>
          <w:sz w:val="20"/>
          <w:szCs w:val="20"/>
        </w:rPr>
        <w:t>ment</w:t>
      </w:r>
      <w:r w:rsidR="002F47C8" w:rsidRPr="000B2DCA">
        <w:rPr>
          <w:sz w:val="20"/>
          <w:szCs w:val="20"/>
        </w:rPr>
        <w:t>.</w:t>
      </w:r>
    </w:p>
    <w:p w14:paraId="48243FE2" w14:textId="578CD530" w:rsidR="00FD44FE" w:rsidRPr="000B2DCA" w:rsidRDefault="00FD44FE" w:rsidP="000B2DCA">
      <w:pPr>
        <w:pStyle w:val="ListParagraph"/>
        <w:widowControl w:val="0"/>
        <w:numPr>
          <w:ilvl w:val="0"/>
          <w:numId w:val="3"/>
        </w:numPr>
        <w:tabs>
          <w:tab w:val="left" w:pos="1080"/>
          <w:tab w:val="left" w:pos="8640"/>
          <w:tab w:val="left" w:pos="9180"/>
        </w:tabs>
        <w:autoSpaceDE w:val="0"/>
        <w:autoSpaceDN w:val="0"/>
        <w:adjustRightInd w:val="0"/>
        <w:spacing w:after="120"/>
        <w:ind w:firstLine="0"/>
        <w:jc w:val="both"/>
        <w:rPr>
          <w:sz w:val="20"/>
          <w:szCs w:val="20"/>
        </w:rPr>
      </w:pPr>
      <w:r w:rsidRPr="000B2DCA">
        <w:rPr>
          <w:sz w:val="20"/>
          <w:szCs w:val="20"/>
          <w:lang w:eastAsia="en-GB"/>
        </w:rPr>
        <w:t xml:space="preserve">Cutting across </w:t>
      </w:r>
      <w:r w:rsidR="008B529F">
        <w:rPr>
          <w:sz w:val="20"/>
          <w:szCs w:val="20"/>
          <w:lang w:eastAsia="en-GB"/>
        </w:rPr>
        <w:t xml:space="preserve">these </w:t>
      </w:r>
      <w:r w:rsidRPr="000B2DCA">
        <w:rPr>
          <w:sz w:val="20"/>
          <w:szCs w:val="20"/>
          <w:lang w:eastAsia="en-GB"/>
        </w:rPr>
        <w:t>development challenges is an urgent need for more accountable and inclusive</w:t>
      </w:r>
      <w:r w:rsidRPr="000B2DCA">
        <w:rPr>
          <w:sz w:val="20"/>
          <w:szCs w:val="20"/>
        </w:rPr>
        <w:t xml:space="preserve"> state institutions that will deliver the level and quality of services expected by the population of a </w:t>
      </w:r>
      <w:r w:rsidR="0093283F">
        <w:rPr>
          <w:sz w:val="20"/>
          <w:szCs w:val="20"/>
        </w:rPr>
        <w:t>middle-income country</w:t>
      </w:r>
      <w:r w:rsidRPr="000B2DCA">
        <w:rPr>
          <w:sz w:val="20"/>
          <w:szCs w:val="20"/>
        </w:rPr>
        <w:t>. In 2016, Bangladesh ranked 147</w:t>
      </w:r>
      <w:r w:rsidR="003E067E" w:rsidRPr="000B2DCA">
        <w:rPr>
          <w:sz w:val="20"/>
          <w:szCs w:val="20"/>
          <w:vertAlign w:val="superscript"/>
        </w:rPr>
        <w:t>th</w:t>
      </w:r>
      <w:r w:rsidR="003E067E" w:rsidRPr="000B2DCA">
        <w:rPr>
          <w:sz w:val="20"/>
          <w:szCs w:val="20"/>
        </w:rPr>
        <w:t xml:space="preserve"> </w:t>
      </w:r>
      <w:r w:rsidRPr="000B2DCA">
        <w:rPr>
          <w:sz w:val="20"/>
          <w:szCs w:val="20"/>
        </w:rPr>
        <w:t>out of 167 countries o</w:t>
      </w:r>
      <w:r w:rsidR="003E067E" w:rsidRPr="000B2DCA">
        <w:rPr>
          <w:sz w:val="20"/>
          <w:szCs w:val="20"/>
        </w:rPr>
        <w:t xml:space="preserve">n </w:t>
      </w:r>
      <w:r w:rsidR="0093283F">
        <w:rPr>
          <w:sz w:val="20"/>
          <w:szCs w:val="20"/>
        </w:rPr>
        <w:t xml:space="preserve">the </w:t>
      </w:r>
      <w:r w:rsidR="003E067E" w:rsidRPr="000B2DCA">
        <w:rPr>
          <w:sz w:val="20"/>
          <w:szCs w:val="20"/>
        </w:rPr>
        <w:t xml:space="preserve">Transparency International </w:t>
      </w:r>
      <w:r w:rsidR="0093283F">
        <w:rPr>
          <w:sz w:val="20"/>
          <w:szCs w:val="20"/>
        </w:rPr>
        <w:t>c</w:t>
      </w:r>
      <w:r w:rsidRPr="000B2DCA">
        <w:rPr>
          <w:sz w:val="20"/>
          <w:szCs w:val="20"/>
        </w:rPr>
        <w:t>orruption</w:t>
      </w:r>
      <w:r w:rsidR="003E067E" w:rsidRPr="000B2DCA">
        <w:rPr>
          <w:sz w:val="20"/>
          <w:szCs w:val="20"/>
        </w:rPr>
        <w:t xml:space="preserve"> </w:t>
      </w:r>
      <w:r w:rsidR="0093283F">
        <w:rPr>
          <w:sz w:val="20"/>
          <w:szCs w:val="20"/>
        </w:rPr>
        <w:t>p</w:t>
      </w:r>
      <w:r w:rsidR="003E067E" w:rsidRPr="000B2DCA">
        <w:rPr>
          <w:sz w:val="20"/>
          <w:szCs w:val="20"/>
        </w:rPr>
        <w:t>erception</w:t>
      </w:r>
      <w:r w:rsidRPr="000B2DCA">
        <w:rPr>
          <w:sz w:val="20"/>
          <w:szCs w:val="20"/>
        </w:rPr>
        <w:t xml:space="preserve"> </w:t>
      </w:r>
      <w:r w:rsidR="0093283F">
        <w:rPr>
          <w:sz w:val="20"/>
          <w:szCs w:val="20"/>
        </w:rPr>
        <w:t>i</w:t>
      </w:r>
      <w:r w:rsidRPr="000B2DCA">
        <w:rPr>
          <w:sz w:val="20"/>
          <w:szCs w:val="20"/>
        </w:rPr>
        <w:t>ndex, and 73</w:t>
      </w:r>
      <w:r w:rsidR="003E067E" w:rsidRPr="000B2DCA">
        <w:rPr>
          <w:sz w:val="20"/>
          <w:szCs w:val="20"/>
          <w:vertAlign w:val="superscript"/>
        </w:rPr>
        <w:t>rd</w:t>
      </w:r>
      <w:r w:rsidR="003E067E" w:rsidRPr="000B2DCA">
        <w:rPr>
          <w:sz w:val="20"/>
          <w:szCs w:val="20"/>
        </w:rPr>
        <w:t xml:space="preserve"> </w:t>
      </w:r>
      <w:r w:rsidRPr="000B2DCA">
        <w:rPr>
          <w:sz w:val="20"/>
          <w:szCs w:val="20"/>
        </w:rPr>
        <w:t xml:space="preserve">out of 102 countries on the </w:t>
      </w:r>
      <w:r w:rsidR="0093283F">
        <w:rPr>
          <w:sz w:val="20"/>
          <w:szCs w:val="20"/>
        </w:rPr>
        <w:t>o</w:t>
      </w:r>
      <w:r w:rsidRPr="000B2DCA">
        <w:rPr>
          <w:sz w:val="20"/>
          <w:szCs w:val="20"/>
        </w:rPr>
        <w:t xml:space="preserve">pen </w:t>
      </w:r>
      <w:r w:rsidR="0093283F">
        <w:rPr>
          <w:sz w:val="20"/>
          <w:szCs w:val="20"/>
        </w:rPr>
        <w:t>g</w:t>
      </w:r>
      <w:r w:rsidRPr="000B2DCA">
        <w:rPr>
          <w:sz w:val="20"/>
          <w:szCs w:val="20"/>
        </w:rPr>
        <w:t xml:space="preserve">overnment </w:t>
      </w:r>
      <w:r w:rsidR="0093283F">
        <w:rPr>
          <w:sz w:val="20"/>
          <w:szCs w:val="20"/>
        </w:rPr>
        <w:t>i</w:t>
      </w:r>
      <w:r w:rsidRPr="000B2DCA">
        <w:rPr>
          <w:sz w:val="20"/>
          <w:szCs w:val="20"/>
        </w:rPr>
        <w:t>ndex.</w:t>
      </w:r>
      <w:r w:rsidRPr="000B2DCA">
        <w:rPr>
          <w:rStyle w:val="FootnoteReference"/>
          <w:sz w:val="20"/>
          <w:szCs w:val="20"/>
        </w:rPr>
        <w:footnoteReference w:id="21"/>
      </w:r>
      <w:r w:rsidRPr="000B2DCA">
        <w:rPr>
          <w:sz w:val="20"/>
          <w:szCs w:val="20"/>
        </w:rPr>
        <w:t xml:space="preserve"> The judiciary faces a backlog of 3.1 million cases, and struggles to provide the transparency and legal certainty needed for future investment and development. Vision 2021 calls for stronger democratic institutions and greater civic participation in decision-making at all levels. </w:t>
      </w:r>
      <w:r w:rsidR="003E067E" w:rsidRPr="000B2DCA">
        <w:rPr>
          <w:sz w:val="20"/>
          <w:szCs w:val="20"/>
        </w:rPr>
        <w:t>It</w:t>
      </w:r>
      <w:r w:rsidRPr="000B2DCA">
        <w:rPr>
          <w:sz w:val="20"/>
          <w:szCs w:val="20"/>
        </w:rPr>
        <w:t xml:space="preserve"> also highlights the need for strengthened rule of law and anti-corruption measures, as well as improvements in responsiveness, oversight, transparency and accountability across the public sector. </w:t>
      </w:r>
    </w:p>
    <w:p w14:paraId="31B3A1E9" w14:textId="7F6C7F06" w:rsidR="00FD44FE" w:rsidRPr="000B2DCA" w:rsidRDefault="00FD44FE" w:rsidP="000B2DCA">
      <w:pPr>
        <w:tabs>
          <w:tab w:val="left" w:pos="1080"/>
          <w:tab w:val="left" w:pos="8640"/>
          <w:tab w:val="left" w:pos="9180"/>
        </w:tabs>
        <w:spacing w:after="120"/>
        <w:ind w:left="720"/>
        <w:jc w:val="both"/>
        <w:rPr>
          <w:b/>
          <w:i/>
          <w:sz w:val="20"/>
          <w:szCs w:val="20"/>
        </w:rPr>
      </w:pPr>
      <w:r w:rsidRPr="000B2DCA">
        <w:rPr>
          <w:b/>
          <w:i/>
          <w:sz w:val="20"/>
          <w:szCs w:val="20"/>
        </w:rPr>
        <w:t xml:space="preserve">UNDP </w:t>
      </w:r>
      <w:r w:rsidR="0093283F" w:rsidRPr="000B2DCA">
        <w:rPr>
          <w:b/>
          <w:i/>
          <w:sz w:val="20"/>
          <w:szCs w:val="20"/>
        </w:rPr>
        <w:t>c</w:t>
      </w:r>
      <w:r w:rsidRPr="000B2DCA">
        <w:rPr>
          <w:b/>
          <w:i/>
          <w:sz w:val="20"/>
          <w:szCs w:val="20"/>
        </w:rPr>
        <w:t xml:space="preserve">ontributions: </w:t>
      </w:r>
      <w:r w:rsidR="0093283F" w:rsidRPr="000B2DCA">
        <w:rPr>
          <w:b/>
          <w:i/>
          <w:sz w:val="20"/>
          <w:szCs w:val="20"/>
        </w:rPr>
        <w:t>l</w:t>
      </w:r>
      <w:r w:rsidRPr="000B2DCA">
        <w:rPr>
          <w:b/>
          <w:i/>
          <w:sz w:val="20"/>
          <w:szCs w:val="20"/>
        </w:rPr>
        <w:t xml:space="preserve">earning from the </w:t>
      </w:r>
      <w:r w:rsidR="0093283F" w:rsidRPr="000B2DCA">
        <w:rPr>
          <w:b/>
          <w:i/>
          <w:sz w:val="20"/>
          <w:szCs w:val="20"/>
        </w:rPr>
        <w:t>p</w:t>
      </w:r>
      <w:r w:rsidRPr="000B2DCA">
        <w:rPr>
          <w:b/>
          <w:i/>
          <w:sz w:val="20"/>
          <w:szCs w:val="20"/>
        </w:rPr>
        <w:t xml:space="preserve">ast </w:t>
      </w:r>
    </w:p>
    <w:p w14:paraId="53A098ED" w14:textId="20C6D609" w:rsidR="00AD348A" w:rsidRPr="000B2DCA" w:rsidRDefault="00030FAD" w:rsidP="000B2DCA">
      <w:pPr>
        <w:pStyle w:val="ListParagraph"/>
        <w:numPr>
          <w:ilvl w:val="0"/>
          <w:numId w:val="3"/>
        </w:numPr>
        <w:tabs>
          <w:tab w:val="left" w:pos="1080"/>
          <w:tab w:val="left" w:pos="8640"/>
          <w:tab w:val="left" w:pos="9180"/>
        </w:tabs>
        <w:spacing w:after="120"/>
        <w:ind w:firstLine="0"/>
        <w:jc w:val="both"/>
        <w:rPr>
          <w:sz w:val="20"/>
          <w:szCs w:val="20"/>
        </w:rPr>
      </w:pPr>
      <w:r>
        <w:rPr>
          <w:sz w:val="20"/>
          <w:szCs w:val="20"/>
        </w:rPr>
        <w:t xml:space="preserve">The </w:t>
      </w:r>
      <w:r w:rsidR="00470093" w:rsidRPr="000B2DCA">
        <w:rPr>
          <w:sz w:val="20"/>
          <w:szCs w:val="20"/>
        </w:rPr>
        <w:t>UNDP</w:t>
      </w:r>
      <w:r w:rsidR="00CE6F85" w:rsidRPr="000B2DCA">
        <w:rPr>
          <w:sz w:val="20"/>
          <w:szCs w:val="20"/>
        </w:rPr>
        <w:t xml:space="preserve"> country programme </w:t>
      </w:r>
      <w:r w:rsidR="00470093" w:rsidRPr="000B2DCA">
        <w:rPr>
          <w:sz w:val="20"/>
          <w:szCs w:val="20"/>
        </w:rPr>
        <w:t xml:space="preserve">has contributed to significant advances on several national development </w:t>
      </w:r>
      <w:r w:rsidR="004F4EE2" w:rsidRPr="000B2DCA">
        <w:rPr>
          <w:sz w:val="20"/>
          <w:szCs w:val="20"/>
        </w:rPr>
        <w:t>priorities</w:t>
      </w:r>
      <w:r w:rsidR="00470093" w:rsidRPr="000B2DCA">
        <w:rPr>
          <w:sz w:val="20"/>
          <w:szCs w:val="20"/>
        </w:rPr>
        <w:t>.</w:t>
      </w:r>
      <w:r w:rsidR="006026A3" w:rsidRPr="000B2DCA">
        <w:rPr>
          <w:sz w:val="20"/>
          <w:szCs w:val="20"/>
        </w:rPr>
        <w:t xml:space="preserve"> </w:t>
      </w:r>
      <w:r w:rsidR="0098086F" w:rsidRPr="000B2DCA">
        <w:rPr>
          <w:sz w:val="20"/>
          <w:szCs w:val="20"/>
        </w:rPr>
        <w:t xml:space="preserve">At the policy level, </w:t>
      </w:r>
      <w:r w:rsidR="006026A3" w:rsidRPr="000B2DCA">
        <w:rPr>
          <w:sz w:val="20"/>
          <w:szCs w:val="20"/>
        </w:rPr>
        <w:t xml:space="preserve">UNDP </w:t>
      </w:r>
      <w:r w:rsidR="00EE0674" w:rsidRPr="000B2DCA">
        <w:rPr>
          <w:sz w:val="20"/>
          <w:szCs w:val="20"/>
        </w:rPr>
        <w:t xml:space="preserve">technical </w:t>
      </w:r>
      <w:r w:rsidR="00CE6F85" w:rsidRPr="000B2DCA">
        <w:rPr>
          <w:sz w:val="20"/>
          <w:szCs w:val="20"/>
        </w:rPr>
        <w:t>support f</w:t>
      </w:r>
      <w:r w:rsidR="00EE0674" w:rsidRPr="000B2DCA">
        <w:rPr>
          <w:sz w:val="20"/>
          <w:szCs w:val="20"/>
        </w:rPr>
        <w:t>o</w:t>
      </w:r>
      <w:r w:rsidR="00CE6F85" w:rsidRPr="000B2DCA">
        <w:rPr>
          <w:sz w:val="20"/>
          <w:szCs w:val="20"/>
        </w:rPr>
        <w:t>r</w:t>
      </w:r>
      <w:r w:rsidR="00EE0674" w:rsidRPr="000B2DCA">
        <w:rPr>
          <w:sz w:val="20"/>
          <w:szCs w:val="20"/>
        </w:rPr>
        <w:t xml:space="preserve"> the </w:t>
      </w:r>
      <w:r w:rsidR="00E523C5">
        <w:rPr>
          <w:sz w:val="20"/>
          <w:szCs w:val="20"/>
        </w:rPr>
        <w:t>seventh five-year plan</w:t>
      </w:r>
      <w:r w:rsidR="00E523C5" w:rsidRPr="000B2DCA">
        <w:rPr>
          <w:sz w:val="20"/>
          <w:szCs w:val="20"/>
        </w:rPr>
        <w:t xml:space="preserve"> </w:t>
      </w:r>
      <w:r w:rsidR="00EE0674" w:rsidRPr="000B2DCA">
        <w:rPr>
          <w:sz w:val="20"/>
          <w:szCs w:val="20"/>
        </w:rPr>
        <w:t>has</w:t>
      </w:r>
      <w:r w:rsidR="006026A3" w:rsidRPr="000B2DCA">
        <w:rPr>
          <w:sz w:val="20"/>
          <w:szCs w:val="20"/>
        </w:rPr>
        <w:t xml:space="preserve"> </w:t>
      </w:r>
      <w:r w:rsidR="00CE6F85" w:rsidRPr="000B2DCA">
        <w:rPr>
          <w:sz w:val="20"/>
          <w:szCs w:val="20"/>
        </w:rPr>
        <w:t xml:space="preserve">facilitated the creation of </w:t>
      </w:r>
      <w:r w:rsidR="006026A3" w:rsidRPr="000B2DCA">
        <w:rPr>
          <w:sz w:val="20"/>
          <w:szCs w:val="20"/>
        </w:rPr>
        <w:t xml:space="preserve">a national development agenda </w:t>
      </w:r>
      <w:r w:rsidR="00CE6F85" w:rsidRPr="000B2DCA">
        <w:rPr>
          <w:sz w:val="20"/>
          <w:szCs w:val="20"/>
        </w:rPr>
        <w:t>closely</w:t>
      </w:r>
      <w:r w:rsidR="006026A3" w:rsidRPr="000B2DCA">
        <w:rPr>
          <w:sz w:val="20"/>
          <w:szCs w:val="20"/>
        </w:rPr>
        <w:t xml:space="preserve"> aligned with Agenda 2030.</w:t>
      </w:r>
      <w:r w:rsidR="00CE6F85" w:rsidRPr="000B2DCA">
        <w:rPr>
          <w:sz w:val="20"/>
          <w:szCs w:val="20"/>
        </w:rPr>
        <w:t xml:space="preserve"> F</w:t>
      </w:r>
      <w:r w:rsidR="00DF2FAE" w:rsidRPr="000B2DCA">
        <w:rPr>
          <w:sz w:val="20"/>
          <w:szCs w:val="20"/>
        </w:rPr>
        <w:t xml:space="preserve">urther </w:t>
      </w:r>
      <w:r w:rsidR="002A2CEF" w:rsidRPr="000B2DCA">
        <w:rPr>
          <w:sz w:val="20"/>
          <w:szCs w:val="20"/>
        </w:rPr>
        <w:t xml:space="preserve">support is </w:t>
      </w:r>
      <w:r w:rsidR="00CE6F85" w:rsidRPr="000B2DCA">
        <w:rPr>
          <w:sz w:val="20"/>
          <w:szCs w:val="20"/>
        </w:rPr>
        <w:t xml:space="preserve">needed for the </w:t>
      </w:r>
      <w:r w:rsidR="00DF2FAE" w:rsidRPr="000B2DCA">
        <w:rPr>
          <w:sz w:val="20"/>
          <w:szCs w:val="20"/>
        </w:rPr>
        <w:t>develop</w:t>
      </w:r>
      <w:r w:rsidR="00CE6F85" w:rsidRPr="000B2DCA">
        <w:rPr>
          <w:sz w:val="20"/>
          <w:szCs w:val="20"/>
        </w:rPr>
        <w:t>ment of</w:t>
      </w:r>
      <w:r w:rsidR="00DF2FAE" w:rsidRPr="000B2DCA">
        <w:rPr>
          <w:sz w:val="20"/>
          <w:szCs w:val="20"/>
        </w:rPr>
        <w:t xml:space="preserve"> a</w:t>
      </w:r>
      <w:r w:rsidR="00E523C5">
        <w:rPr>
          <w:sz w:val="20"/>
          <w:szCs w:val="20"/>
        </w:rPr>
        <w:t xml:space="preserve"> sustainable development goals</w:t>
      </w:r>
      <w:r w:rsidR="00AD348A" w:rsidRPr="000B2DCA">
        <w:rPr>
          <w:sz w:val="20"/>
          <w:szCs w:val="20"/>
        </w:rPr>
        <w:t xml:space="preserve"> </w:t>
      </w:r>
      <w:r w:rsidR="00DF2FAE" w:rsidRPr="000B2DCA">
        <w:rPr>
          <w:sz w:val="20"/>
          <w:szCs w:val="20"/>
        </w:rPr>
        <w:t>implementation</w:t>
      </w:r>
      <w:r w:rsidR="00AD348A" w:rsidRPr="000B2DCA">
        <w:rPr>
          <w:sz w:val="20"/>
          <w:szCs w:val="20"/>
        </w:rPr>
        <w:t xml:space="preserve"> and </w:t>
      </w:r>
      <w:r w:rsidR="00696FD6" w:rsidRPr="000B2DCA">
        <w:rPr>
          <w:sz w:val="20"/>
          <w:szCs w:val="20"/>
        </w:rPr>
        <w:t>monitoring</w:t>
      </w:r>
      <w:r w:rsidR="00DF2FAE" w:rsidRPr="000B2DCA">
        <w:rPr>
          <w:sz w:val="20"/>
          <w:szCs w:val="20"/>
        </w:rPr>
        <w:t xml:space="preserve"> plan.</w:t>
      </w:r>
      <w:r w:rsidR="00EE0674" w:rsidRPr="000B2DCA">
        <w:rPr>
          <w:sz w:val="20"/>
          <w:szCs w:val="20"/>
        </w:rPr>
        <w:t xml:space="preserve"> </w:t>
      </w:r>
      <w:r w:rsidR="00974D0F" w:rsidRPr="000B2DCA">
        <w:rPr>
          <w:sz w:val="20"/>
          <w:szCs w:val="20"/>
        </w:rPr>
        <w:t xml:space="preserve">UNDP facilitated learning from </w:t>
      </w:r>
      <w:r w:rsidR="00C81332" w:rsidRPr="000B2DCA">
        <w:rPr>
          <w:sz w:val="20"/>
          <w:szCs w:val="20"/>
        </w:rPr>
        <w:t>S</w:t>
      </w:r>
      <w:r w:rsidR="00974D0F" w:rsidRPr="000B2DCA">
        <w:rPr>
          <w:sz w:val="20"/>
          <w:szCs w:val="20"/>
        </w:rPr>
        <w:t>outh-</w:t>
      </w:r>
      <w:r w:rsidR="00C81332" w:rsidRPr="000B2DCA">
        <w:rPr>
          <w:sz w:val="20"/>
          <w:szCs w:val="20"/>
        </w:rPr>
        <w:t>S</w:t>
      </w:r>
      <w:r w:rsidR="00974D0F" w:rsidRPr="000B2DCA">
        <w:rPr>
          <w:sz w:val="20"/>
          <w:szCs w:val="20"/>
        </w:rPr>
        <w:t xml:space="preserve">outh exchanges </w:t>
      </w:r>
      <w:r w:rsidR="00CE6F85" w:rsidRPr="000B2DCA">
        <w:rPr>
          <w:sz w:val="20"/>
          <w:szCs w:val="20"/>
        </w:rPr>
        <w:t xml:space="preserve">as part of its support for the </w:t>
      </w:r>
      <w:r w:rsidR="00E523C5">
        <w:rPr>
          <w:sz w:val="20"/>
          <w:szCs w:val="20"/>
        </w:rPr>
        <w:t>n</w:t>
      </w:r>
      <w:r w:rsidR="00470093" w:rsidRPr="000B2DCA">
        <w:rPr>
          <w:sz w:val="20"/>
          <w:szCs w:val="20"/>
        </w:rPr>
        <w:t xml:space="preserve">ational </w:t>
      </w:r>
      <w:r w:rsidR="00E523C5">
        <w:rPr>
          <w:sz w:val="20"/>
          <w:szCs w:val="20"/>
        </w:rPr>
        <w:t>s</w:t>
      </w:r>
      <w:r w:rsidR="00470093" w:rsidRPr="000B2DCA">
        <w:rPr>
          <w:sz w:val="20"/>
          <w:szCs w:val="20"/>
        </w:rPr>
        <w:t xml:space="preserve">ocial </w:t>
      </w:r>
      <w:r w:rsidR="00E523C5">
        <w:rPr>
          <w:sz w:val="20"/>
          <w:szCs w:val="20"/>
        </w:rPr>
        <w:t>s</w:t>
      </w:r>
      <w:r w:rsidR="00470093" w:rsidRPr="000B2DCA">
        <w:rPr>
          <w:sz w:val="20"/>
          <w:szCs w:val="20"/>
        </w:rPr>
        <w:t xml:space="preserve">ecurity </w:t>
      </w:r>
      <w:r w:rsidR="00E523C5">
        <w:rPr>
          <w:sz w:val="20"/>
          <w:szCs w:val="20"/>
        </w:rPr>
        <w:t>s</w:t>
      </w:r>
      <w:r w:rsidR="00470093" w:rsidRPr="000B2DCA">
        <w:rPr>
          <w:sz w:val="20"/>
          <w:szCs w:val="20"/>
        </w:rPr>
        <w:t>trategy</w:t>
      </w:r>
      <w:r w:rsidR="00CE6F85" w:rsidRPr="000B2DCA">
        <w:rPr>
          <w:sz w:val="20"/>
          <w:szCs w:val="20"/>
        </w:rPr>
        <w:t xml:space="preserve">—a path-breaking framework for </w:t>
      </w:r>
      <w:r w:rsidR="00CC111E" w:rsidRPr="000B2DCA">
        <w:rPr>
          <w:sz w:val="20"/>
          <w:szCs w:val="20"/>
        </w:rPr>
        <w:t>address</w:t>
      </w:r>
      <w:r w:rsidR="00CE6F85" w:rsidRPr="000B2DCA">
        <w:rPr>
          <w:sz w:val="20"/>
          <w:szCs w:val="20"/>
        </w:rPr>
        <w:t>ing</w:t>
      </w:r>
      <w:r w:rsidR="00CC111E" w:rsidRPr="000B2DCA">
        <w:rPr>
          <w:sz w:val="20"/>
          <w:szCs w:val="20"/>
        </w:rPr>
        <w:t xml:space="preserve"> poverty and inequality</w:t>
      </w:r>
      <w:r w:rsidR="00974D0F" w:rsidRPr="000B2DCA">
        <w:rPr>
          <w:sz w:val="20"/>
          <w:szCs w:val="20"/>
        </w:rPr>
        <w:t xml:space="preserve"> </w:t>
      </w:r>
      <w:r w:rsidR="00CE6F85" w:rsidRPr="000B2DCA">
        <w:rPr>
          <w:sz w:val="20"/>
          <w:szCs w:val="20"/>
        </w:rPr>
        <w:t xml:space="preserve">based on the identification of </w:t>
      </w:r>
      <w:r w:rsidR="00683643" w:rsidRPr="000B2DCA">
        <w:rPr>
          <w:sz w:val="20"/>
          <w:szCs w:val="20"/>
        </w:rPr>
        <w:t>multi-dimensional needs and risks.</w:t>
      </w:r>
      <w:r w:rsidR="006F78B2" w:rsidRPr="000B2DCA">
        <w:rPr>
          <w:sz w:val="20"/>
          <w:szCs w:val="20"/>
        </w:rPr>
        <w:t xml:space="preserve"> Implement</w:t>
      </w:r>
      <w:r w:rsidR="00CE6F85" w:rsidRPr="000B2DCA">
        <w:rPr>
          <w:sz w:val="20"/>
          <w:szCs w:val="20"/>
        </w:rPr>
        <w:t>ing</w:t>
      </w:r>
      <w:r w:rsidR="006F78B2" w:rsidRPr="000B2DCA">
        <w:rPr>
          <w:sz w:val="20"/>
          <w:szCs w:val="20"/>
        </w:rPr>
        <w:t xml:space="preserve"> the </w:t>
      </w:r>
      <w:r w:rsidR="004265B4">
        <w:rPr>
          <w:sz w:val="20"/>
          <w:szCs w:val="20"/>
        </w:rPr>
        <w:t>national social security</w:t>
      </w:r>
      <w:r w:rsidR="00FA4B73">
        <w:rPr>
          <w:sz w:val="20"/>
          <w:szCs w:val="20"/>
        </w:rPr>
        <w:t xml:space="preserve"> </w:t>
      </w:r>
      <w:r w:rsidR="00E523C5">
        <w:rPr>
          <w:sz w:val="20"/>
          <w:szCs w:val="20"/>
        </w:rPr>
        <w:t>strategy</w:t>
      </w:r>
      <w:r w:rsidR="00E523C5" w:rsidRPr="000B2DCA">
        <w:rPr>
          <w:sz w:val="20"/>
          <w:szCs w:val="20"/>
        </w:rPr>
        <w:t xml:space="preserve"> </w:t>
      </w:r>
      <w:r w:rsidR="00CE6F85" w:rsidRPr="000B2DCA">
        <w:rPr>
          <w:sz w:val="20"/>
          <w:szCs w:val="20"/>
        </w:rPr>
        <w:t>and building effective targeting and delivery</w:t>
      </w:r>
      <w:r w:rsidR="00CE6F85" w:rsidRPr="000B2DCA" w:rsidDel="00CE6F85">
        <w:rPr>
          <w:sz w:val="20"/>
          <w:szCs w:val="20"/>
        </w:rPr>
        <w:t xml:space="preserve"> </w:t>
      </w:r>
      <w:r w:rsidR="00CE6F85" w:rsidRPr="000B2DCA">
        <w:rPr>
          <w:sz w:val="20"/>
          <w:szCs w:val="20"/>
        </w:rPr>
        <w:t xml:space="preserve">systems </w:t>
      </w:r>
      <w:r w:rsidR="006F78B2" w:rsidRPr="000B2DCA">
        <w:rPr>
          <w:sz w:val="20"/>
          <w:szCs w:val="20"/>
        </w:rPr>
        <w:t>will require further planning and</w:t>
      </w:r>
      <w:r w:rsidR="00470093" w:rsidRPr="000B2DCA">
        <w:rPr>
          <w:sz w:val="20"/>
          <w:szCs w:val="20"/>
        </w:rPr>
        <w:t xml:space="preserve"> strengthen</w:t>
      </w:r>
      <w:r w:rsidR="006F78B2" w:rsidRPr="000B2DCA">
        <w:rPr>
          <w:sz w:val="20"/>
          <w:szCs w:val="20"/>
        </w:rPr>
        <w:t>ed</w:t>
      </w:r>
      <w:r w:rsidR="00470093" w:rsidRPr="000B2DCA">
        <w:rPr>
          <w:sz w:val="20"/>
          <w:szCs w:val="20"/>
        </w:rPr>
        <w:t xml:space="preserve"> coordination across </w:t>
      </w:r>
      <w:r w:rsidR="00E523C5">
        <w:rPr>
          <w:sz w:val="20"/>
          <w:szCs w:val="20"/>
        </w:rPr>
        <w:t>m</w:t>
      </w:r>
      <w:r w:rsidR="00470093" w:rsidRPr="000B2DCA">
        <w:rPr>
          <w:sz w:val="20"/>
          <w:szCs w:val="20"/>
        </w:rPr>
        <w:t>inistries</w:t>
      </w:r>
      <w:r w:rsidR="006F78B2" w:rsidRPr="000B2DCA">
        <w:rPr>
          <w:sz w:val="20"/>
          <w:szCs w:val="20"/>
        </w:rPr>
        <w:t>.</w:t>
      </w:r>
      <w:r w:rsidR="00CE4301" w:rsidRPr="000B2DCA">
        <w:rPr>
          <w:rStyle w:val="FootnoteReference"/>
          <w:sz w:val="20"/>
          <w:szCs w:val="20"/>
        </w:rPr>
        <w:footnoteReference w:id="22"/>
      </w:r>
    </w:p>
    <w:p w14:paraId="572E99D1" w14:textId="070DD8EA" w:rsidR="00D17C27" w:rsidRPr="000B2DCA" w:rsidRDefault="00B70272" w:rsidP="000B2DCA">
      <w:pPr>
        <w:pStyle w:val="ListParagraph"/>
        <w:numPr>
          <w:ilvl w:val="0"/>
          <w:numId w:val="3"/>
        </w:numPr>
        <w:tabs>
          <w:tab w:val="left" w:pos="1080"/>
          <w:tab w:val="left" w:pos="8640"/>
          <w:tab w:val="left" w:pos="9180"/>
        </w:tabs>
        <w:spacing w:after="120"/>
        <w:ind w:firstLine="0"/>
        <w:jc w:val="both"/>
        <w:rPr>
          <w:sz w:val="20"/>
          <w:szCs w:val="20"/>
        </w:rPr>
      </w:pPr>
      <w:r>
        <w:rPr>
          <w:sz w:val="20"/>
          <w:szCs w:val="20"/>
        </w:rPr>
        <w:t>C</w:t>
      </w:r>
      <w:r w:rsidR="00D17C27" w:rsidRPr="000B2DCA">
        <w:rPr>
          <w:sz w:val="20"/>
          <w:szCs w:val="20"/>
        </w:rPr>
        <w:t xml:space="preserve">omprehensive </w:t>
      </w:r>
      <w:r>
        <w:rPr>
          <w:sz w:val="20"/>
          <w:szCs w:val="20"/>
        </w:rPr>
        <w:t xml:space="preserve">UNDP </w:t>
      </w:r>
      <w:r w:rsidR="00D17C27" w:rsidRPr="000B2DCA">
        <w:rPr>
          <w:sz w:val="20"/>
          <w:szCs w:val="20"/>
        </w:rPr>
        <w:t xml:space="preserve">support to national disaster management has facilitated a fundamental shift from addressing disaster relief to </w:t>
      </w:r>
      <w:r>
        <w:rPr>
          <w:sz w:val="20"/>
          <w:szCs w:val="20"/>
        </w:rPr>
        <w:t>‘</w:t>
      </w:r>
      <w:r w:rsidR="00D17C27" w:rsidRPr="000B2DCA">
        <w:rPr>
          <w:sz w:val="20"/>
          <w:szCs w:val="20"/>
        </w:rPr>
        <w:t>building back better</w:t>
      </w:r>
      <w:r>
        <w:rPr>
          <w:sz w:val="20"/>
          <w:szCs w:val="20"/>
        </w:rPr>
        <w:t>’</w:t>
      </w:r>
      <w:r w:rsidR="00D17C27" w:rsidRPr="000B2DCA">
        <w:rPr>
          <w:sz w:val="20"/>
          <w:szCs w:val="20"/>
        </w:rPr>
        <w:t xml:space="preserve"> and promoting resilience.</w:t>
      </w:r>
      <w:r w:rsidR="00CE4301" w:rsidRPr="000B2DCA">
        <w:rPr>
          <w:rStyle w:val="FootnoteReference"/>
          <w:sz w:val="20"/>
          <w:szCs w:val="20"/>
        </w:rPr>
        <w:footnoteReference w:id="23"/>
      </w:r>
      <w:r w:rsidR="00D17C27" w:rsidRPr="000B2DCA">
        <w:rPr>
          <w:sz w:val="20"/>
          <w:szCs w:val="20"/>
        </w:rPr>
        <w:t xml:space="preserve"> UNDP was instrumental in </w:t>
      </w:r>
      <w:r w:rsidR="00D17C27" w:rsidRPr="000B2DCA">
        <w:rPr>
          <w:sz w:val="20"/>
          <w:szCs w:val="20"/>
        </w:rPr>
        <w:lastRenderedPageBreak/>
        <w:t xml:space="preserve">integrating risk management into the </w:t>
      </w:r>
      <w:r>
        <w:rPr>
          <w:sz w:val="20"/>
          <w:szCs w:val="20"/>
        </w:rPr>
        <w:t>seventh five-year plan</w:t>
      </w:r>
      <w:r w:rsidR="00D17C27" w:rsidRPr="000B2DCA">
        <w:rPr>
          <w:sz w:val="20"/>
          <w:szCs w:val="20"/>
        </w:rPr>
        <w:t xml:space="preserve">. </w:t>
      </w:r>
      <w:r>
        <w:rPr>
          <w:sz w:val="20"/>
          <w:szCs w:val="20"/>
        </w:rPr>
        <w:t>M</w:t>
      </w:r>
      <w:r w:rsidR="00D17C27" w:rsidRPr="000B2DCA">
        <w:rPr>
          <w:sz w:val="20"/>
          <w:szCs w:val="20"/>
        </w:rPr>
        <w:t>ore work is required to institutionalize a whole</w:t>
      </w:r>
      <w:r w:rsidR="00981B57" w:rsidRPr="000B2DCA">
        <w:rPr>
          <w:sz w:val="20"/>
          <w:szCs w:val="20"/>
        </w:rPr>
        <w:t>-</w:t>
      </w:r>
      <w:r w:rsidR="00D17C27" w:rsidRPr="000B2DCA">
        <w:rPr>
          <w:sz w:val="20"/>
          <w:szCs w:val="20"/>
        </w:rPr>
        <w:t>of</w:t>
      </w:r>
      <w:r w:rsidR="00981B57" w:rsidRPr="000B2DCA">
        <w:rPr>
          <w:sz w:val="20"/>
          <w:szCs w:val="20"/>
        </w:rPr>
        <w:t>-</w:t>
      </w:r>
      <w:r w:rsidR="00D17C27" w:rsidRPr="000B2DCA">
        <w:rPr>
          <w:sz w:val="20"/>
          <w:szCs w:val="20"/>
        </w:rPr>
        <w:t>government and broader</w:t>
      </w:r>
      <w:r>
        <w:rPr>
          <w:sz w:val="20"/>
          <w:szCs w:val="20"/>
        </w:rPr>
        <w:t>-</w:t>
      </w:r>
      <w:r w:rsidR="00D17C27" w:rsidRPr="000B2DCA">
        <w:rPr>
          <w:sz w:val="20"/>
          <w:szCs w:val="20"/>
        </w:rPr>
        <w:t>society approach to risk management, including in preparing for mega</w:t>
      </w:r>
      <w:r w:rsidR="00981B57" w:rsidRPr="000B2DCA">
        <w:rPr>
          <w:sz w:val="20"/>
          <w:szCs w:val="20"/>
        </w:rPr>
        <w:t xml:space="preserve"> </w:t>
      </w:r>
      <w:r w:rsidR="00D17C27" w:rsidRPr="000B2DCA">
        <w:rPr>
          <w:sz w:val="20"/>
          <w:szCs w:val="20"/>
        </w:rPr>
        <w:t>disaster</w:t>
      </w:r>
      <w:r w:rsidR="001F51FA" w:rsidRPr="000B2DCA">
        <w:rPr>
          <w:sz w:val="20"/>
          <w:szCs w:val="20"/>
        </w:rPr>
        <w:t>s</w:t>
      </w:r>
      <w:r w:rsidR="00D17C27" w:rsidRPr="000B2DCA">
        <w:rPr>
          <w:sz w:val="20"/>
          <w:szCs w:val="20"/>
        </w:rPr>
        <w:t xml:space="preserve"> and in implementing the Sendai Framework</w:t>
      </w:r>
      <w:r>
        <w:rPr>
          <w:sz w:val="20"/>
          <w:szCs w:val="20"/>
        </w:rPr>
        <w:t xml:space="preserve"> for Disaster Risk Reduction</w:t>
      </w:r>
      <w:r w:rsidR="00D17C27" w:rsidRPr="000B2DCA">
        <w:rPr>
          <w:sz w:val="20"/>
          <w:szCs w:val="20"/>
        </w:rPr>
        <w:t xml:space="preserve">. </w:t>
      </w:r>
      <w:r>
        <w:rPr>
          <w:sz w:val="20"/>
          <w:szCs w:val="20"/>
        </w:rPr>
        <w:t>T</w:t>
      </w:r>
      <w:r w:rsidR="00D17C27" w:rsidRPr="000B2DCA">
        <w:rPr>
          <w:sz w:val="20"/>
          <w:szCs w:val="20"/>
        </w:rPr>
        <w:t xml:space="preserve">his </w:t>
      </w:r>
      <w:r w:rsidR="0026695D" w:rsidRPr="000B2DCA">
        <w:rPr>
          <w:sz w:val="20"/>
          <w:szCs w:val="20"/>
        </w:rPr>
        <w:t xml:space="preserve">work </w:t>
      </w:r>
      <w:r>
        <w:rPr>
          <w:sz w:val="20"/>
          <w:szCs w:val="20"/>
        </w:rPr>
        <w:t xml:space="preserve">must be merged </w:t>
      </w:r>
      <w:r w:rsidR="00D17C27" w:rsidRPr="000B2DCA">
        <w:rPr>
          <w:sz w:val="20"/>
          <w:szCs w:val="20"/>
        </w:rPr>
        <w:t>with efforts in inclusive growth and poverty reduction, particularly for policies and measures target</w:t>
      </w:r>
      <w:r w:rsidR="0026695D" w:rsidRPr="000B2DCA">
        <w:rPr>
          <w:sz w:val="20"/>
          <w:szCs w:val="20"/>
        </w:rPr>
        <w:t>ing</w:t>
      </w:r>
      <w:r w:rsidR="00D17C27" w:rsidRPr="000B2DCA">
        <w:rPr>
          <w:sz w:val="20"/>
          <w:szCs w:val="20"/>
        </w:rPr>
        <w:t xml:space="preserve"> women, who remain </w:t>
      </w:r>
      <w:r w:rsidR="001341CC" w:rsidRPr="000B2DCA">
        <w:rPr>
          <w:sz w:val="20"/>
          <w:szCs w:val="20"/>
        </w:rPr>
        <w:t>disproportionately</w:t>
      </w:r>
      <w:r w:rsidR="00D17C27" w:rsidRPr="000B2DCA">
        <w:rPr>
          <w:sz w:val="20"/>
          <w:szCs w:val="20"/>
        </w:rPr>
        <w:t xml:space="preserve"> affected by disaster and climate risks. </w:t>
      </w:r>
      <w:r w:rsidR="00CE4301" w:rsidRPr="000B2DCA">
        <w:rPr>
          <w:rStyle w:val="FootnoteReference"/>
          <w:sz w:val="20"/>
          <w:szCs w:val="20"/>
        </w:rPr>
        <w:footnoteReference w:id="24"/>
      </w:r>
    </w:p>
    <w:p w14:paraId="35FFC825" w14:textId="7F9EC995" w:rsidR="00F71AAF" w:rsidRPr="000B2DCA" w:rsidRDefault="00B70272" w:rsidP="000B2DCA">
      <w:pPr>
        <w:pStyle w:val="ListParagraph"/>
        <w:numPr>
          <w:ilvl w:val="0"/>
          <w:numId w:val="3"/>
        </w:numPr>
        <w:tabs>
          <w:tab w:val="left" w:pos="1080"/>
          <w:tab w:val="left" w:pos="8640"/>
          <w:tab w:val="left" w:pos="9180"/>
        </w:tabs>
        <w:spacing w:after="120"/>
        <w:ind w:firstLine="0"/>
        <w:jc w:val="both"/>
        <w:rPr>
          <w:sz w:val="20"/>
          <w:szCs w:val="20"/>
        </w:rPr>
      </w:pPr>
      <w:r>
        <w:rPr>
          <w:sz w:val="20"/>
          <w:szCs w:val="20"/>
        </w:rPr>
        <w:t xml:space="preserve">The </w:t>
      </w:r>
      <w:r w:rsidR="0098086F" w:rsidRPr="000B2DCA">
        <w:rPr>
          <w:sz w:val="20"/>
          <w:szCs w:val="20"/>
        </w:rPr>
        <w:t xml:space="preserve">long-standing </w:t>
      </w:r>
      <w:r w:rsidR="00B52C89" w:rsidRPr="000B2DCA">
        <w:rPr>
          <w:sz w:val="20"/>
          <w:szCs w:val="20"/>
        </w:rPr>
        <w:t xml:space="preserve">support </w:t>
      </w:r>
      <w:r>
        <w:rPr>
          <w:sz w:val="20"/>
          <w:szCs w:val="20"/>
        </w:rPr>
        <w:t xml:space="preserve">of UNDP </w:t>
      </w:r>
      <w:r w:rsidR="001E7018" w:rsidRPr="000B2DCA">
        <w:rPr>
          <w:sz w:val="20"/>
          <w:szCs w:val="20"/>
        </w:rPr>
        <w:t xml:space="preserve">for </w:t>
      </w:r>
      <w:r>
        <w:rPr>
          <w:sz w:val="20"/>
          <w:szCs w:val="20"/>
        </w:rPr>
        <w:t>g</w:t>
      </w:r>
      <w:r w:rsidR="00B52C89" w:rsidRPr="000B2DCA">
        <w:rPr>
          <w:sz w:val="20"/>
          <w:szCs w:val="20"/>
        </w:rPr>
        <w:t>overnment serv</w:t>
      </w:r>
      <w:r w:rsidR="00231F87" w:rsidRPr="000B2DCA">
        <w:rPr>
          <w:sz w:val="20"/>
          <w:szCs w:val="20"/>
        </w:rPr>
        <w:t>ice delivery has led to break</w:t>
      </w:r>
      <w:r w:rsidR="00696FD6" w:rsidRPr="000B2DCA">
        <w:rPr>
          <w:sz w:val="20"/>
          <w:szCs w:val="20"/>
        </w:rPr>
        <w:t>through</w:t>
      </w:r>
      <w:r w:rsidR="001E7018" w:rsidRPr="000B2DCA">
        <w:rPr>
          <w:sz w:val="20"/>
          <w:szCs w:val="20"/>
        </w:rPr>
        <w:t>s</w:t>
      </w:r>
      <w:r w:rsidR="00A32E96" w:rsidRPr="000B2DCA">
        <w:rPr>
          <w:sz w:val="20"/>
          <w:szCs w:val="20"/>
        </w:rPr>
        <w:t xml:space="preserve"> in</w:t>
      </w:r>
      <w:r w:rsidR="00470093" w:rsidRPr="000B2DCA">
        <w:rPr>
          <w:sz w:val="20"/>
          <w:szCs w:val="20"/>
        </w:rPr>
        <w:t xml:space="preserve"> </w:t>
      </w:r>
      <w:r w:rsidR="00663D0D" w:rsidRPr="000B2DCA">
        <w:rPr>
          <w:sz w:val="20"/>
          <w:szCs w:val="20"/>
        </w:rPr>
        <w:t>improving the efficiency and accessibility of services</w:t>
      </w:r>
      <w:r w:rsidR="00470093" w:rsidRPr="000B2DCA">
        <w:rPr>
          <w:sz w:val="20"/>
          <w:szCs w:val="20"/>
        </w:rPr>
        <w:t xml:space="preserve">. The </w:t>
      </w:r>
      <w:r w:rsidR="005F0177">
        <w:rPr>
          <w:sz w:val="20"/>
          <w:szCs w:val="20"/>
        </w:rPr>
        <w:t>g</w:t>
      </w:r>
      <w:r w:rsidR="00470093" w:rsidRPr="000B2DCA">
        <w:rPr>
          <w:sz w:val="20"/>
          <w:szCs w:val="20"/>
        </w:rPr>
        <w:t>overnment digitalization and transfer of 53</w:t>
      </w:r>
      <w:r w:rsidR="005F0177">
        <w:rPr>
          <w:sz w:val="20"/>
          <w:szCs w:val="20"/>
        </w:rPr>
        <w:t> </w:t>
      </w:r>
      <w:r w:rsidR="00470093" w:rsidRPr="000B2DCA">
        <w:rPr>
          <w:sz w:val="20"/>
          <w:szCs w:val="20"/>
        </w:rPr>
        <w:t xml:space="preserve">services from line ministries to the </w:t>
      </w:r>
      <w:r w:rsidR="00470093" w:rsidRPr="000B2DCA">
        <w:rPr>
          <w:i/>
          <w:sz w:val="20"/>
          <w:szCs w:val="20"/>
        </w:rPr>
        <w:t>upazila</w:t>
      </w:r>
      <w:r w:rsidR="00470093" w:rsidRPr="000B2DCA">
        <w:rPr>
          <w:sz w:val="20"/>
          <w:szCs w:val="20"/>
        </w:rPr>
        <w:t xml:space="preserve"> (sub-district) level resulted in 4.5 million people per month accessing new </w:t>
      </w:r>
      <w:r w:rsidR="00B917E0" w:rsidRPr="000B2DCA">
        <w:rPr>
          <w:sz w:val="20"/>
          <w:szCs w:val="20"/>
        </w:rPr>
        <w:t>e-services</w:t>
      </w:r>
      <w:r w:rsidR="00696FD6" w:rsidRPr="000B2DCA">
        <w:rPr>
          <w:sz w:val="20"/>
          <w:szCs w:val="20"/>
        </w:rPr>
        <w:t>.</w:t>
      </w:r>
      <w:r w:rsidR="00470093" w:rsidRPr="000B2DCA">
        <w:rPr>
          <w:rStyle w:val="FootnoteReference"/>
          <w:sz w:val="20"/>
          <w:szCs w:val="20"/>
        </w:rPr>
        <w:footnoteReference w:id="25"/>
      </w:r>
      <w:r w:rsidR="00470093" w:rsidRPr="000B2DCA">
        <w:rPr>
          <w:sz w:val="20"/>
          <w:szCs w:val="20"/>
        </w:rPr>
        <w:t xml:space="preserve"> </w:t>
      </w:r>
      <w:r w:rsidR="00A32E96" w:rsidRPr="000B2DCA">
        <w:rPr>
          <w:sz w:val="20"/>
          <w:szCs w:val="20"/>
        </w:rPr>
        <w:t>The UNDP</w:t>
      </w:r>
      <w:r w:rsidR="001E7018" w:rsidRPr="000B2DCA">
        <w:rPr>
          <w:sz w:val="20"/>
          <w:szCs w:val="20"/>
        </w:rPr>
        <w:t>-</w:t>
      </w:r>
      <w:r w:rsidR="00A32E96" w:rsidRPr="000B2DCA">
        <w:rPr>
          <w:sz w:val="20"/>
          <w:szCs w:val="20"/>
        </w:rPr>
        <w:t>support</w:t>
      </w:r>
      <w:r w:rsidR="0098086F" w:rsidRPr="000B2DCA">
        <w:rPr>
          <w:sz w:val="20"/>
          <w:szCs w:val="20"/>
        </w:rPr>
        <w:t>ed Access to Information programme</w:t>
      </w:r>
      <w:r w:rsidR="00A32E96" w:rsidRPr="000B2DCA">
        <w:rPr>
          <w:sz w:val="20"/>
          <w:szCs w:val="20"/>
        </w:rPr>
        <w:t xml:space="preserve"> has</w:t>
      </w:r>
      <w:r w:rsidR="001E7018" w:rsidRPr="000B2DCA">
        <w:rPr>
          <w:sz w:val="20"/>
          <w:szCs w:val="20"/>
        </w:rPr>
        <w:t xml:space="preserve"> helped to</w:t>
      </w:r>
      <w:r w:rsidR="00A32E96" w:rsidRPr="000B2DCA">
        <w:rPr>
          <w:sz w:val="20"/>
          <w:szCs w:val="20"/>
        </w:rPr>
        <w:t xml:space="preserve"> realiz</w:t>
      </w:r>
      <w:r w:rsidR="001E7018" w:rsidRPr="000B2DCA">
        <w:rPr>
          <w:sz w:val="20"/>
          <w:szCs w:val="20"/>
        </w:rPr>
        <w:t>e</w:t>
      </w:r>
      <w:r w:rsidR="00A32E96" w:rsidRPr="000B2DCA">
        <w:rPr>
          <w:sz w:val="20"/>
          <w:szCs w:val="20"/>
        </w:rPr>
        <w:t xml:space="preserve"> the </w:t>
      </w:r>
      <w:r w:rsidR="005F0177">
        <w:rPr>
          <w:sz w:val="20"/>
          <w:szCs w:val="20"/>
        </w:rPr>
        <w:t>‘</w:t>
      </w:r>
      <w:r w:rsidR="00A32E96" w:rsidRPr="000B2DCA">
        <w:rPr>
          <w:sz w:val="20"/>
          <w:szCs w:val="20"/>
        </w:rPr>
        <w:t>Digital Bangladesh</w:t>
      </w:r>
      <w:r w:rsidR="005F0177">
        <w:rPr>
          <w:sz w:val="20"/>
          <w:szCs w:val="20"/>
        </w:rPr>
        <w:t>’</w:t>
      </w:r>
      <w:r w:rsidR="00A32E96" w:rsidRPr="000B2DCA">
        <w:rPr>
          <w:sz w:val="20"/>
          <w:szCs w:val="20"/>
        </w:rPr>
        <w:t xml:space="preserve"> strategy </w:t>
      </w:r>
      <w:r w:rsidR="005F0177">
        <w:rPr>
          <w:sz w:val="20"/>
          <w:szCs w:val="20"/>
        </w:rPr>
        <w:t xml:space="preserve">of the Government </w:t>
      </w:r>
      <w:r w:rsidR="0098086F" w:rsidRPr="000B2DCA">
        <w:rPr>
          <w:sz w:val="20"/>
          <w:szCs w:val="20"/>
        </w:rPr>
        <w:t xml:space="preserve">for </w:t>
      </w:r>
      <w:r w:rsidR="00A32E96" w:rsidRPr="000B2DCA">
        <w:rPr>
          <w:sz w:val="20"/>
          <w:szCs w:val="20"/>
        </w:rPr>
        <w:t xml:space="preserve">more transparent and accountable service delivery. </w:t>
      </w:r>
      <w:r w:rsidR="00470093" w:rsidRPr="000B2DCA">
        <w:rPr>
          <w:sz w:val="20"/>
          <w:szCs w:val="20"/>
        </w:rPr>
        <w:t>The</w:t>
      </w:r>
      <w:r w:rsidR="005F0177">
        <w:rPr>
          <w:sz w:val="20"/>
          <w:szCs w:val="20"/>
        </w:rPr>
        <w:t xml:space="preserve"> </w:t>
      </w:r>
      <w:r w:rsidR="00470093" w:rsidRPr="000B2DCA">
        <w:rPr>
          <w:sz w:val="20"/>
          <w:szCs w:val="20"/>
        </w:rPr>
        <w:t xml:space="preserve">opportunity </w:t>
      </w:r>
      <w:r w:rsidR="005F0177">
        <w:rPr>
          <w:sz w:val="20"/>
          <w:szCs w:val="20"/>
        </w:rPr>
        <w:t xml:space="preserve">exists </w:t>
      </w:r>
      <w:r w:rsidR="001E7018" w:rsidRPr="000B2DCA">
        <w:rPr>
          <w:sz w:val="20"/>
          <w:szCs w:val="20"/>
        </w:rPr>
        <w:t xml:space="preserve">to </w:t>
      </w:r>
      <w:r w:rsidR="0098086F" w:rsidRPr="000B2DCA">
        <w:rPr>
          <w:sz w:val="20"/>
          <w:szCs w:val="20"/>
        </w:rPr>
        <w:t>scal</w:t>
      </w:r>
      <w:r w:rsidR="001E7018" w:rsidRPr="000B2DCA">
        <w:rPr>
          <w:sz w:val="20"/>
          <w:szCs w:val="20"/>
        </w:rPr>
        <w:t>e</w:t>
      </w:r>
      <w:r w:rsidR="00470093" w:rsidRPr="000B2DCA">
        <w:rPr>
          <w:sz w:val="20"/>
          <w:szCs w:val="20"/>
        </w:rPr>
        <w:t xml:space="preserve"> up</w:t>
      </w:r>
      <w:r w:rsidR="00A32E96" w:rsidRPr="000B2DCA">
        <w:rPr>
          <w:sz w:val="20"/>
          <w:szCs w:val="20"/>
        </w:rPr>
        <w:t xml:space="preserve"> this initiative and </w:t>
      </w:r>
      <w:r w:rsidR="001E7018" w:rsidRPr="000B2DCA">
        <w:rPr>
          <w:sz w:val="20"/>
          <w:szCs w:val="20"/>
        </w:rPr>
        <w:t xml:space="preserve">to </w:t>
      </w:r>
      <w:r w:rsidR="00AB4E90" w:rsidRPr="000B2DCA">
        <w:rPr>
          <w:sz w:val="20"/>
          <w:szCs w:val="20"/>
        </w:rPr>
        <w:t xml:space="preserve">expand a </w:t>
      </w:r>
      <w:r w:rsidR="00470093" w:rsidRPr="000B2DCA">
        <w:rPr>
          <w:sz w:val="20"/>
          <w:szCs w:val="20"/>
        </w:rPr>
        <w:t xml:space="preserve">culture of </w:t>
      </w:r>
      <w:r w:rsidR="00676239" w:rsidRPr="000B2DCA">
        <w:rPr>
          <w:sz w:val="20"/>
          <w:szCs w:val="20"/>
        </w:rPr>
        <w:t>innovation across the G</w:t>
      </w:r>
      <w:r w:rsidR="00470093" w:rsidRPr="000B2DCA">
        <w:rPr>
          <w:sz w:val="20"/>
          <w:szCs w:val="20"/>
        </w:rPr>
        <w:t>overnment</w:t>
      </w:r>
      <w:r w:rsidR="00755F9B" w:rsidRPr="000B2DCA">
        <w:rPr>
          <w:sz w:val="20"/>
          <w:szCs w:val="20"/>
        </w:rPr>
        <w:t>.</w:t>
      </w:r>
    </w:p>
    <w:p w14:paraId="21430931" w14:textId="19CC929E" w:rsidR="00A80673" w:rsidRPr="000B2DCA" w:rsidRDefault="001E7018" w:rsidP="003026BC">
      <w:pPr>
        <w:pStyle w:val="ListParagraph"/>
        <w:numPr>
          <w:ilvl w:val="0"/>
          <w:numId w:val="3"/>
        </w:numPr>
        <w:tabs>
          <w:tab w:val="left" w:pos="1080"/>
          <w:tab w:val="left" w:pos="8640"/>
          <w:tab w:val="left" w:pos="9180"/>
        </w:tabs>
        <w:spacing w:after="240"/>
        <w:ind w:firstLine="0"/>
        <w:jc w:val="both"/>
        <w:rPr>
          <w:sz w:val="20"/>
          <w:szCs w:val="20"/>
        </w:rPr>
      </w:pPr>
      <w:r w:rsidRPr="000B2DCA">
        <w:rPr>
          <w:sz w:val="20"/>
          <w:szCs w:val="20"/>
        </w:rPr>
        <w:t>M</w:t>
      </w:r>
      <w:r w:rsidR="00AB4E90" w:rsidRPr="000B2DCA">
        <w:rPr>
          <w:sz w:val="20"/>
          <w:szCs w:val="20"/>
        </w:rPr>
        <w:t xml:space="preserve">idterm outcome evaluations emphasize that </w:t>
      </w:r>
      <w:r w:rsidR="00A968AD" w:rsidRPr="000B2DCA">
        <w:rPr>
          <w:sz w:val="20"/>
          <w:szCs w:val="20"/>
        </w:rPr>
        <w:t>UNDP</w:t>
      </w:r>
      <w:r w:rsidRPr="000B2DCA">
        <w:rPr>
          <w:sz w:val="20"/>
          <w:szCs w:val="20"/>
        </w:rPr>
        <w:t>-</w:t>
      </w:r>
      <w:r w:rsidR="00AB1177" w:rsidRPr="000B2DCA">
        <w:rPr>
          <w:sz w:val="20"/>
          <w:szCs w:val="20"/>
        </w:rPr>
        <w:t>support</w:t>
      </w:r>
      <w:r w:rsidRPr="000B2DCA">
        <w:rPr>
          <w:sz w:val="20"/>
          <w:szCs w:val="20"/>
        </w:rPr>
        <w:t>ed</w:t>
      </w:r>
      <w:r w:rsidR="00AB1177" w:rsidRPr="000B2DCA">
        <w:rPr>
          <w:sz w:val="20"/>
          <w:szCs w:val="20"/>
        </w:rPr>
        <w:t xml:space="preserve"> </w:t>
      </w:r>
      <w:r w:rsidR="00435230" w:rsidRPr="000B2DCA">
        <w:rPr>
          <w:sz w:val="20"/>
          <w:szCs w:val="20"/>
        </w:rPr>
        <w:t xml:space="preserve">models of community empowerment, including community and women-led development </w:t>
      </w:r>
      <w:r w:rsidR="00A968AD" w:rsidRPr="000B2DCA">
        <w:rPr>
          <w:sz w:val="20"/>
          <w:szCs w:val="20"/>
        </w:rPr>
        <w:t xml:space="preserve">forums, participatory budgeting, </w:t>
      </w:r>
      <w:r w:rsidR="00F624F6" w:rsidRPr="000B2DCA">
        <w:rPr>
          <w:sz w:val="20"/>
          <w:szCs w:val="20"/>
        </w:rPr>
        <w:t>and</w:t>
      </w:r>
      <w:r w:rsidR="00A968AD" w:rsidRPr="000B2DCA">
        <w:rPr>
          <w:sz w:val="20"/>
          <w:szCs w:val="20"/>
        </w:rPr>
        <w:t xml:space="preserve"> facilitation of direct partnerships with municipal government and </w:t>
      </w:r>
      <w:r w:rsidR="00676239" w:rsidRPr="000B2DCA">
        <w:rPr>
          <w:sz w:val="20"/>
          <w:szCs w:val="20"/>
        </w:rPr>
        <w:t>private sector institutions</w:t>
      </w:r>
      <w:r w:rsidR="00B917E0" w:rsidRPr="000B2DCA">
        <w:rPr>
          <w:sz w:val="20"/>
          <w:szCs w:val="20"/>
        </w:rPr>
        <w:t xml:space="preserve"> have </w:t>
      </w:r>
      <w:r w:rsidR="00CE20A8" w:rsidRPr="000B2DCA">
        <w:rPr>
          <w:sz w:val="20"/>
          <w:szCs w:val="20"/>
        </w:rPr>
        <w:t>helped to build</w:t>
      </w:r>
      <w:r w:rsidR="00A968AD" w:rsidRPr="000B2DCA">
        <w:rPr>
          <w:sz w:val="20"/>
          <w:szCs w:val="20"/>
        </w:rPr>
        <w:t xml:space="preserve"> </w:t>
      </w:r>
      <w:r w:rsidR="00AB1177" w:rsidRPr="000B2DCA">
        <w:rPr>
          <w:sz w:val="20"/>
          <w:szCs w:val="20"/>
        </w:rPr>
        <w:t>more responsive local development p</w:t>
      </w:r>
      <w:r w:rsidR="00CE20A8" w:rsidRPr="000B2DCA">
        <w:rPr>
          <w:sz w:val="20"/>
          <w:szCs w:val="20"/>
        </w:rPr>
        <w:t xml:space="preserve">rocesses, leading to </w:t>
      </w:r>
      <w:r w:rsidR="00AB1177" w:rsidRPr="000B2DCA">
        <w:rPr>
          <w:sz w:val="20"/>
          <w:szCs w:val="20"/>
        </w:rPr>
        <w:t xml:space="preserve">a </w:t>
      </w:r>
      <w:r w:rsidR="00A968AD" w:rsidRPr="000B2DCA">
        <w:rPr>
          <w:sz w:val="20"/>
          <w:szCs w:val="20"/>
        </w:rPr>
        <w:t>reduc</w:t>
      </w:r>
      <w:r w:rsidR="00AB1177" w:rsidRPr="000B2DCA">
        <w:rPr>
          <w:sz w:val="20"/>
          <w:szCs w:val="20"/>
        </w:rPr>
        <w:t>tion in</w:t>
      </w:r>
      <w:r w:rsidR="00A968AD" w:rsidRPr="000B2DCA">
        <w:rPr>
          <w:sz w:val="20"/>
          <w:szCs w:val="20"/>
        </w:rPr>
        <w:t xml:space="preserve"> multi-</w:t>
      </w:r>
      <w:r w:rsidR="00EE1CE5" w:rsidRPr="000B2DCA">
        <w:rPr>
          <w:sz w:val="20"/>
          <w:szCs w:val="20"/>
        </w:rPr>
        <w:t>dimensional poverty in</w:t>
      </w:r>
      <w:r w:rsidR="00A968AD" w:rsidRPr="000B2DCA">
        <w:rPr>
          <w:sz w:val="20"/>
          <w:szCs w:val="20"/>
        </w:rPr>
        <w:t xml:space="preserve"> urban </w:t>
      </w:r>
      <w:r w:rsidR="00EE1CE5" w:rsidRPr="000B2DCA">
        <w:rPr>
          <w:sz w:val="20"/>
          <w:szCs w:val="20"/>
        </w:rPr>
        <w:t xml:space="preserve">and rural </w:t>
      </w:r>
      <w:r w:rsidR="00A968AD" w:rsidRPr="000B2DCA">
        <w:rPr>
          <w:sz w:val="20"/>
          <w:szCs w:val="20"/>
        </w:rPr>
        <w:t>areas.</w:t>
      </w:r>
      <w:r w:rsidR="00CE4301" w:rsidRPr="000B2DCA">
        <w:rPr>
          <w:rStyle w:val="FootnoteReference"/>
          <w:sz w:val="20"/>
          <w:szCs w:val="20"/>
        </w:rPr>
        <w:footnoteReference w:id="26"/>
      </w:r>
      <w:r w:rsidR="00A968AD" w:rsidRPr="000B2DCA">
        <w:rPr>
          <w:sz w:val="20"/>
          <w:szCs w:val="20"/>
        </w:rPr>
        <w:t xml:space="preserve"> </w:t>
      </w:r>
      <w:r w:rsidR="00435230" w:rsidRPr="000B2DCA">
        <w:rPr>
          <w:sz w:val="20"/>
          <w:szCs w:val="20"/>
        </w:rPr>
        <w:t>I</w:t>
      </w:r>
      <w:r w:rsidRPr="000B2DCA">
        <w:rPr>
          <w:sz w:val="20"/>
          <w:szCs w:val="20"/>
        </w:rPr>
        <w:t xml:space="preserve">n the next </w:t>
      </w:r>
      <w:r w:rsidR="00CE20A8" w:rsidRPr="000B2DCA">
        <w:rPr>
          <w:sz w:val="20"/>
          <w:szCs w:val="20"/>
        </w:rPr>
        <w:t>cycle</w:t>
      </w:r>
      <w:r w:rsidRPr="000B2DCA">
        <w:rPr>
          <w:sz w:val="20"/>
          <w:szCs w:val="20"/>
        </w:rPr>
        <w:t xml:space="preserve"> it will be important </w:t>
      </w:r>
      <w:r w:rsidR="00435230" w:rsidRPr="000B2DCA">
        <w:rPr>
          <w:sz w:val="20"/>
          <w:szCs w:val="20"/>
        </w:rPr>
        <w:t xml:space="preserve">to ensure </w:t>
      </w:r>
      <w:r w:rsidRPr="000B2DCA">
        <w:rPr>
          <w:sz w:val="20"/>
          <w:szCs w:val="20"/>
        </w:rPr>
        <w:t xml:space="preserve">that </w:t>
      </w:r>
      <w:r w:rsidR="00435230" w:rsidRPr="000B2DCA">
        <w:rPr>
          <w:sz w:val="20"/>
          <w:szCs w:val="20"/>
        </w:rPr>
        <w:t>successful models are institutionalized and scaled up to the national level</w:t>
      </w:r>
      <w:r w:rsidR="00F46466" w:rsidRPr="000B2DCA">
        <w:rPr>
          <w:sz w:val="20"/>
          <w:szCs w:val="20"/>
        </w:rPr>
        <w:t xml:space="preserve">. </w:t>
      </w:r>
    </w:p>
    <w:p w14:paraId="3F1FF041" w14:textId="14952A7B" w:rsidR="00FE7037" w:rsidRPr="000B2DCA" w:rsidRDefault="00FE7037" w:rsidP="003026BC">
      <w:pPr>
        <w:pStyle w:val="Heading2"/>
        <w:numPr>
          <w:ilvl w:val="0"/>
          <w:numId w:val="4"/>
        </w:numPr>
        <w:tabs>
          <w:tab w:val="left" w:pos="1080"/>
          <w:tab w:val="left" w:pos="8640"/>
          <w:tab w:val="left" w:pos="9180"/>
        </w:tabs>
        <w:spacing w:after="120"/>
        <w:ind w:left="720" w:right="1267" w:hanging="630"/>
        <w:jc w:val="both"/>
        <w:rPr>
          <w:rFonts w:ascii="Times New Roman" w:hAnsi="Times New Roman"/>
          <w:bCs/>
          <w:color w:val="000000"/>
          <w:szCs w:val="28"/>
        </w:rPr>
      </w:pPr>
      <w:r w:rsidRPr="000B2DCA">
        <w:rPr>
          <w:rFonts w:ascii="Times New Roman" w:hAnsi="Times New Roman"/>
          <w:bCs/>
          <w:color w:val="000000"/>
          <w:szCs w:val="28"/>
        </w:rPr>
        <w:t xml:space="preserve">Programme </w:t>
      </w:r>
      <w:r w:rsidR="005F0177" w:rsidRPr="000B2DCA">
        <w:rPr>
          <w:rFonts w:ascii="Times New Roman" w:hAnsi="Times New Roman"/>
          <w:bCs/>
          <w:color w:val="000000"/>
          <w:szCs w:val="28"/>
        </w:rPr>
        <w:t>p</w:t>
      </w:r>
      <w:r w:rsidRPr="000B2DCA">
        <w:rPr>
          <w:rFonts w:ascii="Times New Roman" w:hAnsi="Times New Roman"/>
          <w:bCs/>
          <w:color w:val="000000"/>
          <w:szCs w:val="28"/>
        </w:rPr>
        <w:t xml:space="preserve">riorities and </w:t>
      </w:r>
      <w:r w:rsidR="005F0177" w:rsidRPr="000B2DCA">
        <w:rPr>
          <w:rFonts w:ascii="Times New Roman" w:hAnsi="Times New Roman"/>
          <w:bCs/>
          <w:color w:val="000000"/>
          <w:szCs w:val="28"/>
        </w:rPr>
        <w:t>p</w:t>
      </w:r>
      <w:r w:rsidRPr="000B2DCA">
        <w:rPr>
          <w:rFonts w:ascii="Times New Roman" w:hAnsi="Times New Roman"/>
          <w:bCs/>
          <w:color w:val="000000"/>
          <w:szCs w:val="28"/>
        </w:rPr>
        <w:t xml:space="preserve">artnerships </w:t>
      </w:r>
    </w:p>
    <w:p w14:paraId="0322A63F" w14:textId="3947319F" w:rsidR="00940481" w:rsidRPr="000B2DCA" w:rsidRDefault="00782703" w:rsidP="000B2DCA">
      <w:pPr>
        <w:pStyle w:val="ListParagraph"/>
        <w:widowControl w:val="0"/>
        <w:numPr>
          <w:ilvl w:val="0"/>
          <w:numId w:val="3"/>
        </w:numPr>
        <w:tabs>
          <w:tab w:val="left" w:pos="220"/>
          <w:tab w:val="left" w:pos="720"/>
          <w:tab w:val="left" w:pos="1080"/>
          <w:tab w:val="left" w:pos="8640"/>
          <w:tab w:val="left" w:pos="9180"/>
        </w:tabs>
        <w:autoSpaceDE w:val="0"/>
        <w:autoSpaceDN w:val="0"/>
        <w:adjustRightInd w:val="0"/>
        <w:spacing w:after="60"/>
        <w:ind w:firstLine="0"/>
        <w:jc w:val="both"/>
        <w:rPr>
          <w:b/>
          <w:sz w:val="20"/>
          <w:szCs w:val="20"/>
        </w:rPr>
      </w:pPr>
      <w:r w:rsidRPr="000B2DCA">
        <w:rPr>
          <w:sz w:val="20"/>
          <w:szCs w:val="20"/>
        </w:rPr>
        <w:t xml:space="preserve">In the context of </w:t>
      </w:r>
      <w:r w:rsidR="0020359F" w:rsidRPr="000B2DCA">
        <w:rPr>
          <w:sz w:val="20"/>
          <w:szCs w:val="20"/>
        </w:rPr>
        <w:t xml:space="preserve">the </w:t>
      </w:r>
      <w:r w:rsidR="005F0177">
        <w:rPr>
          <w:sz w:val="20"/>
          <w:szCs w:val="20"/>
        </w:rPr>
        <w:t>seventh five-year plan</w:t>
      </w:r>
      <w:r w:rsidR="003A2FEB" w:rsidRPr="000B2DCA">
        <w:rPr>
          <w:sz w:val="20"/>
          <w:szCs w:val="20"/>
        </w:rPr>
        <w:t xml:space="preserve"> and the </w:t>
      </w:r>
      <w:r w:rsidR="005F0177">
        <w:rPr>
          <w:sz w:val="20"/>
          <w:szCs w:val="20"/>
        </w:rPr>
        <w:t>g</w:t>
      </w:r>
      <w:r w:rsidR="00766564" w:rsidRPr="000B2DCA">
        <w:rPr>
          <w:sz w:val="20"/>
          <w:szCs w:val="20"/>
        </w:rPr>
        <w:t xml:space="preserve">overnment </w:t>
      </w:r>
      <w:r w:rsidR="003A2FEB" w:rsidRPr="000B2DCA">
        <w:rPr>
          <w:sz w:val="20"/>
          <w:szCs w:val="20"/>
        </w:rPr>
        <w:t>vision f</w:t>
      </w:r>
      <w:r w:rsidR="00011EF0" w:rsidRPr="000B2DCA">
        <w:rPr>
          <w:sz w:val="20"/>
          <w:szCs w:val="20"/>
        </w:rPr>
        <w:t>o</w:t>
      </w:r>
      <w:r w:rsidR="003A2FEB" w:rsidRPr="000B2DCA">
        <w:rPr>
          <w:sz w:val="20"/>
          <w:szCs w:val="20"/>
        </w:rPr>
        <w:t>r</w:t>
      </w:r>
      <w:r w:rsidR="00011EF0" w:rsidRPr="000B2DCA">
        <w:rPr>
          <w:sz w:val="20"/>
          <w:szCs w:val="20"/>
        </w:rPr>
        <w:t xml:space="preserve"> graduat</w:t>
      </w:r>
      <w:r w:rsidR="003A2FEB" w:rsidRPr="000B2DCA">
        <w:rPr>
          <w:sz w:val="20"/>
          <w:szCs w:val="20"/>
        </w:rPr>
        <w:t>ion</w:t>
      </w:r>
      <w:r w:rsidR="005F0177">
        <w:rPr>
          <w:sz w:val="20"/>
          <w:szCs w:val="20"/>
        </w:rPr>
        <w:t xml:space="preserve"> from least developed country status</w:t>
      </w:r>
      <w:r w:rsidR="00011EF0" w:rsidRPr="000B2DCA">
        <w:rPr>
          <w:sz w:val="20"/>
          <w:szCs w:val="20"/>
        </w:rPr>
        <w:t>,</w:t>
      </w:r>
      <w:r w:rsidRPr="000B2DCA">
        <w:rPr>
          <w:sz w:val="20"/>
          <w:szCs w:val="20"/>
        </w:rPr>
        <w:t xml:space="preserve"> UNDP will </w:t>
      </w:r>
      <w:r w:rsidR="005F0177">
        <w:rPr>
          <w:sz w:val="20"/>
          <w:szCs w:val="20"/>
        </w:rPr>
        <w:t>seek</w:t>
      </w:r>
      <w:r w:rsidR="005F0177" w:rsidRPr="000B2DCA">
        <w:rPr>
          <w:sz w:val="20"/>
          <w:szCs w:val="20"/>
        </w:rPr>
        <w:t xml:space="preserve"> </w:t>
      </w:r>
      <w:r w:rsidRPr="000B2DCA">
        <w:rPr>
          <w:sz w:val="20"/>
          <w:szCs w:val="20"/>
        </w:rPr>
        <w:t>to ensure a more resilient and inclusive society that shares its increasing prosperity with all. UNDP</w:t>
      </w:r>
      <w:r w:rsidR="0019024B" w:rsidRPr="000B2DCA">
        <w:rPr>
          <w:sz w:val="20"/>
          <w:szCs w:val="20"/>
        </w:rPr>
        <w:t xml:space="preserve"> will work within the United Nations Development Assistance Framework </w:t>
      </w:r>
      <w:r w:rsidR="000B2DCA">
        <w:rPr>
          <w:sz w:val="20"/>
          <w:szCs w:val="20"/>
        </w:rPr>
        <w:t xml:space="preserve">(UNDAF) </w:t>
      </w:r>
      <w:r w:rsidR="0019024B" w:rsidRPr="000B2DCA">
        <w:rPr>
          <w:sz w:val="20"/>
          <w:szCs w:val="20"/>
        </w:rPr>
        <w:t>to deliver a</w:t>
      </w:r>
      <w:r w:rsidRPr="000B2DCA">
        <w:rPr>
          <w:sz w:val="20"/>
          <w:szCs w:val="20"/>
        </w:rPr>
        <w:t xml:space="preserve"> </w:t>
      </w:r>
      <w:r w:rsidR="004B4CE6" w:rsidRPr="000B2DCA">
        <w:rPr>
          <w:sz w:val="20"/>
          <w:szCs w:val="20"/>
        </w:rPr>
        <w:t>country programme focus</w:t>
      </w:r>
      <w:r w:rsidR="0019024B" w:rsidRPr="000B2DCA">
        <w:rPr>
          <w:sz w:val="20"/>
          <w:szCs w:val="20"/>
        </w:rPr>
        <w:t>ing</w:t>
      </w:r>
      <w:r w:rsidR="004B4CE6" w:rsidRPr="000B2DCA">
        <w:rPr>
          <w:sz w:val="20"/>
          <w:szCs w:val="20"/>
        </w:rPr>
        <w:t xml:space="preserve"> on </w:t>
      </w:r>
      <w:r w:rsidR="00F71AAF" w:rsidRPr="000B2DCA">
        <w:rPr>
          <w:sz w:val="20"/>
          <w:szCs w:val="20"/>
        </w:rPr>
        <w:t>three priorities</w:t>
      </w:r>
      <w:r w:rsidR="00766564" w:rsidRPr="000B2DCA">
        <w:rPr>
          <w:sz w:val="20"/>
          <w:szCs w:val="20"/>
        </w:rPr>
        <w:t>:</w:t>
      </w:r>
    </w:p>
    <w:p w14:paraId="1DD34765" w14:textId="1241E157" w:rsidR="00766564" w:rsidRPr="000B2DCA" w:rsidRDefault="005F0177" w:rsidP="000B2DCA">
      <w:pPr>
        <w:pStyle w:val="ListParagraph"/>
        <w:widowControl w:val="0"/>
        <w:tabs>
          <w:tab w:val="left" w:pos="220"/>
          <w:tab w:val="left" w:pos="1080"/>
          <w:tab w:val="left" w:pos="1440"/>
          <w:tab w:val="left" w:pos="8640"/>
          <w:tab w:val="left" w:pos="9180"/>
        </w:tabs>
        <w:autoSpaceDE w:val="0"/>
        <w:autoSpaceDN w:val="0"/>
        <w:adjustRightInd w:val="0"/>
        <w:spacing w:after="60"/>
        <w:ind w:left="1080"/>
        <w:jc w:val="both"/>
        <w:rPr>
          <w:b/>
          <w:sz w:val="20"/>
          <w:szCs w:val="20"/>
        </w:rPr>
      </w:pPr>
      <w:r>
        <w:rPr>
          <w:sz w:val="20"/>
          <w:szCs w:val="20"/>
        </w:rPr>
        <w:t xml:space="preserve">(a) </w:t>
      </w:r>
      <w:r>
        <w:rPr>
          <w:sz w:val="20"/>
          <w:szCs w:val="20"/>
        </w:rPr>
        <w:tab/>
      </w:r>
      <w:r w:rsidR="00F71AAF" w:rsidRPr="000B2DCA">
        <w:rPr>
          <w:sz w:val="20"/>
          <w:szCs w:val="20"/>
        </w:rPr>
        <w:t>Ensuring economic growth is inclusive and supports economic opportunities, particularly for women</w:t>
      </w:r>
      <w:r>
        <w:rPr>
          <w:sz w:val="20"/>
          <w:szCs w:val="20"/>
        </w:rPr>
        <w:t>;</w:t>
      </w:r>
      <w:r w:rsidR="00F71AAF" w:rsidRPr="000B2DCA">
        <w:rPr>
          <w:sz w:val="20"/>
          <w:szCs w:val="20"/>
        </w:rPr>
        <w:t xml:space="preserve"> </w:t>
      </w:r>
    </w:p>
    <w:p w14:paraId="4D66BF83" w14:textId="5D1F4DCA" w:rsidR="00766564" w:rsidRPr="000B2DCA" w:rsidRDefault="005F0177" w:rsidP="000B2DCA">
      <w:pPr>
        <w:pStyle w:val="ListParagraph"/>
        <w:widowControl w:val="0"/>
        <w:tabs>
          <w:tab w:val="left" w:pos="220"/>
          <w:tab w:val="left" w:pos="1080"/>
          <w:tab w:val="left" w:pos="1440"/>
          <w:tab w:val="left" w:pos="8640"/>
          <w:tab w:val="left" w:pos="9180"/>
        </w:tabs>
        <w:autoSpaceDE w:val="0"/>
        <w:autoSpaceDN w:val="0"/>
        <w:adjustRightInd w:val="0"/>
        <w:spacing w:after="60"/>
        <w:ind w:left="1080"/>
        <w:jc w:val="both"/>
        <w:rPr>
          <w:b/>
          <w:sz w:val="20"/>
          <w:szCs w:val="20"/>
        </w:rPr>
      </w:pPr>
      <w:r>
        <w:rPr>
          <w:sz w:val="20"/>
          <w:szCs w:val="20"/>
        </w:rPr>
        <w:t>(b)</w:t>
      </w:r>
      <w:r>
        <w:rPr>
          <w:sz w:val="20"/>
          <w:szCs w:val="20"/>
        </w:rPr>
        <w:tab/>
      </w:r>
      <w:r w:rsidR="00766564" w:rsidRPr="000B2DCA">
        <w:rPr>
          <w:sz w:val="20"/>
          <w:szCs w:val="20"/>
        </w:rPr>
        <w:t>Improv</w:t>
      </w:r>
      <w:r w:rsidR="00F71AAF" w:rsidRPr="000B2DCA">
        <w:rPr>
          <w:sz w:val="20"/>
          <w:szCs w:val="20"/>
        </w:rPr>
        <w:t>ing social policies and programmes</w:t>
      </w:r>
      <w:r w:rsidR="00367178">
        <w:rPr>
          <w:sz w:val="20"/>
          <w:szCs w:val="20"/>
        </w:rPr>
        <w:t>,</w:t>
      </w:r>
      <w:r w:rsidR="00766564" w:rsidRPr="000B2DCA">
        <w:rPr>
          <w:sz w:val="20"/>
          <w:szCs w:val="20"/>
        </w:rPr>
        <w:t xml:space="preserve"> </w:t>
      </w:r>
      <w:r w:rsidR="00F71AAF" w:rsidRPr="000B2DCA">
        <w:rPr>
          <w:sz w:val="20"/>
          <w:szCs w:val="20"/>
        </w:rPr>
        <w:t>with a focus on good governance and structural inequalities</w:t>
      </w:r>
      <w:r>
        <w:rPr>
          <w:sz w:val="20"/>
          <w:szCs w:val="20"/>
        </w:rPr>
        <w:t>; and</w:t>
      </w:r>
      <w:r w:rsidR="00F71AAF" w:rsidRPr="000B2DCA">
        <w:rPr>
          <w:sz w:val="20"/>
          <w:szCs w:val="20"/>
        </w:rPr>
        <w:t xml:space="preserve"> </w:t>
      </w:r>
    </w:p>
    <w:p w14:paraId="79CDEBEA" w14:textId="5824C3F7" w:rsidR="006E10C9" w:rsidRPr="000B2DCA" w:rsidRDefault="005F0177" w:rsidP="000B2DCA">
      <w:pPr>
        <w:pStyle w:val="ListParagraph"/>
        <w:widowControl w:val="0"/>
        <w:tabs>
          <w:tab w:val="left" w:pos="220"/>
          <w:tab w:val="left" w:pos="1080"/>
          <w:tab w:val="left" w:pos="1440"/>
          <w:tab w:val="left" w:pos="8640"/>
          <w:tab w:val="left" w:pos="9180"/>
        </w:tabs>
        <w:autoSpaceDE w:val="0"/>
        <w:autoSpaceDN w:val="0"/>
        <w:adjustRightInd w:val="0"/>
        <w:spacing w:after="120"/>
        <w:ind w:left="1080"/>
        <w:jc w:val="both"/>
        <w:rPr>
          <w:b/>
          <w:sz w:val="20"/>
          <w:szCs w:val="20"/>
        </w:rPr>
      </w:pPr>
      <w:r>
        <w:rPr>
          <w:sz w:val="20"/>
          <w:szCs w:val="20"/>
        </w:rPr>
        <w:t>(c)</w:t>
      </w:r>
      <w:r>
        <w:rPr>
          <w:sz w:val="20"/>
          <w:szCs w:val="20"/>
        </w:rPr>
        <w:tab/>
      </w:r>
      <w:r w:rsidR="00766564" w:rsidRPr="000B2DCA">
        <w:rPr>
          <w:sz w:val="20"/>
          <w:szCs w:val="20"/>
        </w:rPr>
        <w:t>Building resilience and improving environmental sustainability.</w:t>
      </w:r>
    </w:p>
    <w:p w14:paraId="6312BBE0" w14:textId="7B476578" w:rsidR="00D166F1" w:rsidRPr="000B2DCA" w:rsidRDefault="00D166F1" w:rsidP="000B2DCA">
      <w:pPr>
        <w:pStyle w:val="ListParagraph"/>
        <w:widowControl w:val="0"/>
        <w:numPr>
          <w:ilvl w:val="0"/>
          <w:numId w:val="3"/>
        </w:numPr>
        <w:tabs>
          <w:tab w:val="left" w:pos="220"/>
          <w:tab w:val="left" w:pos="720"/>
          <w:tab w:val="left" w:pos="1080"/>
          <w:tab w:val="left" w:pos="8640"/>
          <w:tab w:val="left" w:pos="9180"/>
        </w:tabs>
        <w:autoSpaceDE w:val="0"/>
        <w:autoSpaceDN w:val="0"/>
        <w:adjustRightInd w:val="0"/>
        <w:spacing w:after="120"/>
        <w:ind w:firstLine="0"/>
        <w:jc w:val="both"/>
        <w:rPr>
          <w:b/>
          <w:sz w:val="20"/>
          <w:szCs w:val="20"/>
        </w:rPr>
      </w:pPr>
      <w:r w:rsidRPr="000B2DCA">
        <w:rPr>
          <w:sz w:val="20"/>
          <w:szCs w:val="20"/>
        </w:rPr>
        <w:t>The country programme will target disadvantaged groups and pockets of poverty in Bangladesh (particularly remote areas and those that have been left behind)</w:t>
      </w:r>
      <w:r w:rsidR="00CD6E0E">
        <w:rPr>
          <w:sz w:val="20"/>
          <w:szCs w:val="20"/>
        </w:rPr>
        <w:t>,</w:t>
      </w:r>
      <w:r w:rsidRPr="000B2DCA">
        <w:rPr>
          <w:sz w:val="20"/>
          <w:szCs w:val="20"/>
        </w:rPr>
        <w:t xml:space="preserve"> building on the geographical targeting of the </w:t>
      </w:r>
      <w:r w:rsidR="00CD6E0E">
        <w:rPr>
          <w:sz w:val="20"/>
          <w:szCs w:val="20"/>
        </w:rPr>
        <w:t>United Nations Development Assistance Framework</w:t>
      </w:r>
      <w:r w:rsidRPr="000B2DCA">
        <w:rPr>
          <w:sz w:val="20"/>
          <w:szCs w:val="20"/>
        </w:rPr>
        <w:t>. It will emphasi</w:t>
      </w:r>
      <w:r w:rsidR="00CD6E0E">
        <w:rPr>
          <w:sz w:val="20"/>
          <w:szCs w:val="20"/>
        </w:rPr>
        <w:t>ze</w:t>
      </w:r>
      <w:r w:rsidRPr="000B2DCA">
        <w:rPr>
          <w:sz w:val="20"/>
          <w:szCs w:val="20"/>
        </w:rPr>
        <w:t xml:space="preserve"> two key groups as agents of change: </w:t>
      </w:r>
      <w:r w:rsidR="00CD6E0E">
        <w:rPr>
          <w:sz w:val="20"/>
          <w:szCs w:val="20"/>
        </w:rPr>
        <w:t>(</w:t>
      </w:r>
      <w:r w:rsidRPr="000B2DCA">
        <w:rPr>
          <w:sz w:val="20"/>
          <w:szCs w:val="20"/>
        </w:rPr>
        <w:t>a) women, address</w:t>
      </w:r>
      <w:r w:rsidR="00CD6E0E">
        <w:rPr>
          <w:sz w:val="20"/>
          <w:szCs w:val="20"/>
        </w:rPr>
        <w:t>ing</w:t>
      </w:r>
      <w:r w:rsidRPr="000B2DCA">
        <w:rPr>
          <w:sz w:val="20"/>
          <w:szCs w:val="20"/>
        </w:rPr>
        <w:t xml:space="preserve"> their vulnerability and marginalization; and </w:t>
      </w:r>
      <w:r w:rsidR="00CD6E0E">
        <w:rPr>
          <w:sz w:val="20"/>
          <w:szCs w:val="20"/>
        </w:rPr>
        <w:t>(</w:t>
      </w:r>
      <w:r w:rsidRPr="000B2DCA">
        <w:rPr>
          <w:sz w:val="20"/>
          <w:szCs w:val="20"/>
        </w:rPr>
        <w:t xml:space="preserve">b) youth, leveraging the opportunity of the </w:t>
      </w:r>
      <w:r w:rsidR="00CD6E0E">
        <w:rPr>
          <w:sz w:val="20"/>
          <w:szCs w:val="20"/>
        </w:rPr>
        <w:t>‘</w:t>
      </w:r>
      <w:r w:rsidRPr="000B2DCA">
        <w:rPr>
          <w:sz w:val="20"/>
          <w:szCs w:val="20"/>
        </w:rPr>
        <w:t>demographic dividend</w:t>
      </w:r>
      <w:r w:rsidR="00CD6E0E">
        <w:rPr>
          <w:sz w:val="20"/>
          <w:szCs w:val="20"/>
        </w:rPr>
        <w:t>’</w:t>
      </w:r>
      <w:r w:rsidRPr="000B2DCA">
        <w:rPr>
          <w:sz w:val="20"/>
          <w:szCs w:val="20"/>
        </w:rPr>
        <w:t xml:space="preserve"> that will drive future growth in Bangladesh. The country programme will contribute to ensuring that people are not left behind in </w:t>
      </w:r>
      <w:r w:rsidR="00CD6E0E">
        <w:rPr>
          <w:sz w:val="20"/>
          <w:szCs w:val="20"/>
        </w:rPr>
        <w:t>the</w:t>
      </w:r>
      <w:r w:rsidRPr="000B2DCA">
        <w:rPr>
          <w:sz w:val="20"/>
          <w:szCs w:val="20"/>
        </w:rPr>
        <w:t xml:space="preserve"> development trajectory</w:t>
      </w:r>
      <w:r w:rsidR="00CD6E0E">
        <w:rPr>
          <w:sz w:val="20"/>
          <w:szCs w:val="20"/>
        </w:rPr>
        <w:t xml:space="preserve"> of Bangladesh</w:t>
      </w:r>
      <w:r w:rsidRPr="000B2DCA">
        <w:rPr>
          <w:sz w:val="20"/>
          <w:szCs w:val="20"/>
        </w:rPr>
        <w:t>.</w:t>
      </w:r>
    </w:p>
    <w:p w14:paraId="5E2A3D98" w14:textId="7D0C9C15" w:rsidR="009240B8" w:rsidRPr="000B2DCA" w:rsidRDefault="009240B8" w:rsidP="000B2DCA">
      <w:pPr>
        <w:pStyle w:val="ListParagraph"/>
        <w:widowControl w:val="0"/>
        <w:numPr>
          <w:ilvl w:val="0"/>
          <w:numId w:val="3"/>
        </w:numPr>
        <w:tabs>
          <w:tab w:val="left" w:pos="220"/>
          <w:tab w:val="left" w:pos="720"/>
          <w:tab w:val="left" w:pos="1080"/>
          <w:tab w:val="left" w:pos="8640"/>
          <w:tab w:val="left" w:pos="9180"/>
        </w:tabs>
        <w:autoSpaceDE w:val="0"/>
        <w:autoSpaceDN w:val="0"/>
        <w:adjustRightInd w:val="0"/>
        <w:spacing w:after="120"/>
        <w:ind w:firstLine="0"/>
        <w:jc w:val="both"/>
        <w:rPr>
          <w:b/>
          <w:sz w:val="20"/>
          <w:szCs w:val="20"/>
        </w:rPr>
      </w:pPr>
      <w:r w:rsidRPr="000B2DCA">
        <w:rPr>
          <w:sz w:val="20"/>
          <w:szCs w:val="20"/>
        </w:rPr>
        <w:t xml:space="preserve">UNDP will leverage its unique position and experience to deliver tactical policy and programme expertise that supports implementation of the </w:t>
      </w:r>
      <w:r w:rsidR="00CD6E0E">
        <w:rPr>
          <w:sz w:val="20"/>
          <w:szCs w:val="20"/>
        </w:rPr>
        <w:t>seventh five-year plan</w:t>
      </w:r>
      <w:r w:rsidRPr="000B2DCA">
        <w:rPr>
          <w:sz w:val="20"/>
          <w:szCs w:val="20"/>
        </w:rPr>
        <w:t xml:space="preserve"> and cements UNDP</w:t>
      </w:r>
      <w:r w:rsidR="00A01475" w:rsidRPr="000B2DCA">
        <w:rPr>
          <w:sz w:val="20"/>
          <w:szCs w:val="20"/>
        </w:rPr>
        <w:t xml:space="preserve"> as a strategic partner of the G</w:t>
      </w:r>
      <w:r w:rsidRPr="000B2DCA">
        <w:rPr>
          <w:sz w:val="20"/>
          <w:szCs w:val="20"/>
        </w:rPr>
        <w:t xml:space="preserve">overnment </w:t>
      </w:r>
      <w:r w:rsidR="00CD6E0E">
        <w:rPr>
          <w:sz w:val="20"/>
          <w:szCs w:val="20"/>
        </w:rPr>
        <w:t>i</w:t>
      </w:r>
      <w:r w:rsidRPr="000B2DCA">
        <w:rPr>
          <w:sz w:val="20"/>
          <w:szCs w:val="20"/>
        </w:rPr>
        <w:t xml:space="preserve">n the sustainable development agenda. It will </w:t>
      </w:r>
      <w:r w:rsidR="00CD6E0E">
        <w:rPr>
          <w:sz w:val="20"/>
          <w:szCs w:val="20"/>
        </w:rPr>
        <w:t>use</w:t>
      </w:r>
      <w:r w:rsidR="00CD6E0E" w:rsidRPr="000B2DCA">
        <w:rPr>
          <w:sz w:val="20"/>
          <w:szCs w:val="20"/>
        </w:rPr>
        <w:t xml:space="preserve"> </w:t>
      </w:r>
      <w:r w:rsidRPr="000B2DCA">
        <w:rPr>
          <w:sz w:val="20"/>
          <w:szCs w:val="20"/>
        </w:rPr>
        <w:t>best</w:t>
      </w:r>
      <w:r w:rsidR="00CD6E0E">
        <w:rPr>
          <w:sz w:val="20"/>
          <w:szCs w:val="20"/>
        </w:rPr>
        <w:t>-</w:t>
      </w:r>
      <w:r w:rsidRPr="000B2DCA">
        <w:rPr>
          <w:sz w:val="20"/>
          <w:szCs w:val="20"/>
        </w:rPr>
        <w:t>practice approaches and facilitate regional and global knowledge</w:t>
      </w:r>
      <w:r w:rsidR="00CD6E0E">
        <w:rPr>
          <w:sz w:val="20"/>
          <w:szCs w:val="20"/>
        </w:rPr>
        <w:t>-</w:t>
      </w:r>
      <w:r w:rsidRPr="000B2DCA">
        <w:rPr>
          <w:sz w:val="20"/>
          <w:szCs w:val="20"/>
        </w:rPr>
        <w:t>sharing through South-South and triangular cooperation as a core implementation modality. Particularly, UNDP will support establishment of South-South centres of excellence in the priority areas of disaster management and innovation</w:t>
      </w:r>
      <w:r w:rsidR="00CD6E0E">
        <w:rPr>
          <w:sz w:val="20"/>
          <w:szCs w:val="20"/>
        </w:rPr>
        <w:t>,</w:t>
      </w:r>
      <w:r w:rsidRPr="000B2DCA">
        <w:rPr>
          <w:sz w:val="20"/>
          <w:szCs w:val="20"/>
        </w:rPr>
        <w:t xml:space="preserve"> working with partners </w:t>
      </w:r>
      <w:r w:rsidR="00096CCD">
        <w:rPr>
          <w:sz w:val="20"/>
          <w:szCs w:val="20"/>
        </w:rPr>
        <w:t>including</w:t>
      </w:r>
      <w:r w:rsidRPr="000B2DCA">
        <w:rPr>
          <w:sz w:val="20"/>
          <w:szCs w:val="20"/>
        </w:rPr>
        <w:t xml:space="preserve"> China, </w:t>
      </w:r>
      <w:r w:rsidR="00CD6E0E">
        <w:rPr>
          <w:sz w:val="20"/>
          <w:szCs w:val="20"/>
        </w:rPr>
        <w:t xml:space="preserve">the </w:t>
      </w:r>
      <w:r w:rsidRPr="000B2DCA">
        <w:rPr>
          <w:sz w:val="20"/>
          <w:szCs w:val="20"/>
        </w:rPr>
        <w:t xml:space="preserve">World Bank, </w:t>
      </w:r>
      <w:r w:rsidR="00CD6E0E">
        <w:rPr>
          <w:sz w:val="20"/>
          <w:szCs w:val="20"/>
        </w:rPr>
        <w:t>the Swedish Civil Contingencies Agency</w:t>
      </w:r>
      <w:r w:rsidRPr="000B2DCA">
        <w:rPr>
          <w:sz w:val="20"/>
          <w:szCs w:val="20"/>
        </w:rPr>
        <w:t>, N</w:t>
      </w:r>
      <w:r w:rsidR="00CD6E0E">
        <w:rPr>
          <w:sz w:val="20"/>
          <w:szCs w:val="20"/>
        </w:rPr>
        <w:t>esta,</w:t>
      </w:r>
      <w:r w:rsidRPr="000B2DCA">
        <w:rPr>
          <w:sz w:val="20"/>
          <w:szCs w:val="20"/>
        </w:rPr>
        <w:t xml:space="preserve"> and MindLab.</w:t>
      </w:r>
    </w:p>
    <w:p w14:paraId="055733D7" w14:textId="313C0B2C" w:rsidR="00C05E74" w:rsidRPr="000B2DCA" w:rsidRDefault="00B3124F" w:rsidP="000B2DCA">
      <w:pPr>
        <w:pStyle w:val="ListParagraph"/>
        <w:widowControl w:val="0"/>
        <w:numPr>
          <w:ilvl w:val="0"/>
          <w:numId w:val="3"/>
        </w:numPr>
        <w:tabs>
          <w:tab w:val="left" w:pos="220"/>
          <w:tab w:val="left" w:pos="720"/>
          <w:tab w:val="left" w:pos="1080"/>
          <w:tab w:val="left" w:pos="8640"/>
          <w:tab w:val="left" w:pos="9180"/>
        </w:tabs>
        <w:autoSpaceDE w:val="0"/>
        <w:autoSpaceDN w:val="0"/>
        <w:adjustRightInd w:val="0"/>
        <w:spacing w:after="120"/>
        <w:ind w:firstLine="0"/>
        <w:jc w:val="both"/>
        <w:rPr>
          <w:b/>
          <w:sz w:val="20"/>
          <w:szCs w:val="20"/>
        </w:rPr>
      </w:pPr>
      <w:r w:rsidRPr="000B2DCA">
        <w:rPr>
          <w:sz w:val="20"/>
          <w:szCs w:val="20"/>
        </w:rPr>
        <w:t>UNDP will support a</w:t>
      </w:r>
      <w:r w:rsidR="0081435E" w:rsidRPr="000B2DCA">
        <w:rPr>
          <w:sz w:val="20"/>
          <w:szCs w:val="20"/>
        </w:rPr>
        <w:t>n</w:t>
      </w:r>
      <w:r w:rsidRPr="000B2DCA">
        <w:rPr>
          <w:sz w:val="20"/>
          <w:szCs w:val="20"/>
        </w:rPr>
        <w:t xml:space="preserve"> inter-ministerial committee on </w:t>
      </w:r>
      <w:r w:rsidR="00096CCD">
        <w:rPr>
          <w:sz w:val="20"/>
          <w:szCs w:val="20"/>
        </w:rPr>
        <w:t xml:space="preserve">the </w:t>
      </w:r>
      <w:r w:rsidRPr="000B2DCA">
        <w:rPr>
          <w:sz w:val="20"/>
          <w:szCs w:val="20"/>
        </w:rPr>
        <w:t xml:space="preserve">implementation and monitoring </w:t>
      </w:r>
      <w:r w:rsidR="00096CCD">
        <w:rPr>
          <w:sz w:val="20"/>
          <w:szCs w:val="20"/>
        </w:rPr>
        <w:t>of the sustainable development goals</w:t>
      </w:r>
      <w:r w:rsidR="00367178">
        <w:rPr>
          <w:sz w:val="20"/>
          <w:szCs w:val="20"/>
        </w:rPr>
        <w:t>,</w:t>
      </w:r>
      <w:r w:rsidR="00096CCD">
        <w:rPr>
          <w:sz w:val="20"/>
          <w:szCs w:val="20"/>
        </w:rPr>
        <w:t xml:space="preserve"> </w:t>
      </w:r>
      <w:r w:rsidRPr="000B2DCA">
        <w:rPr>
          <w:sz w:val="20"/>
          <w:szCs w:val="20"/>
        </w:rPr>
        <w:t>develop</w:t>
      </w:r>
      <w:r w:rsidR="00096CCD">
        <w:rPr>
          <w:sz w:val="20"/>
          <w:szCs w:val="20"/>
        </w:rPr>
        <w:t>ing</w:t>
      </w:r>
      <w:r w:rsidRPr="000B2DCA">
        <w:rPr>
          <w:sz w:val="20"/>
          <w:szCs w:val="20"/>
        </w:rPr>
        <w:t xml:space="preserve"> a widely owned, actionable and adequately financed implementation plan with measurable results and accountability mechanisms. </w:t>
      </w:r>
      <w:r w:rsidR="00C05E74" w:rsidRPr="000B2DCA">
        <w:rPr>
          <w:sz w:val="20"/>
          <w:szCs w:val="20"/>
        </w:rPr>
        <w:t xml:space="preserve">UNDP will drive the strategic </w:t>
      </w:r>
      <w:r w:rsidR="00C05E74" w:rsidRPr="000B2DCA">
        <w:rPr>
          <w:sz w:val="20"/>
          <w:szCs w:val="20"/>
        </w:rPr>
        <w:lastRenderedPageBreak/>
        <w:t xml:space="preserve">need for stronger </w:t>
      </w:r>
      <w:r w:rsidR="00355F5A" w:rsidRPr="000B2DCA">
        <w:rPr>
          <w:sz w:val="20"/>
          <w:szCs w:val="20"/>
        </w:rPr>
        <w:t xml:space="preserve">national </w:t>
      </w:r>
      <w:r w:rsidR="00C05E74" w:rsidRPr="000B2DCA">
        <w:rPr>
          <w:sz w:val="20"/>
          <w:szCs w:val="20"/>
        </w:rPr>
        <w:t>data collection and analysis to monitor performance</w:t>
      </w:r>
      <w:r w:rsidR="00CF5413" w:rsidRPr="000B2DCA">
        <w:rPr>
          <w:sz w:val="20"/>
          <w:szCs w:val="20"/>
        </w:rPr>
        <w:t>,</w:t>
      </w:r>
      <w:r w:rsidR="00C05E74" w:rsidRPr="000B2DCA">
        <w:rPr>
          <w:sz w:val="20"/>
          <w:szCs w:val="20"/>
        </w:rPr>
        <w:t xml:space="preserve"> and support key </w:t>
      </w:r>
      <w:r w:rsidR="00096CCD">
        <w:rPr>
          <w:sz w:val="20"/>
          <w:szCs w:val="20"/>
        </w:rPr>
        <w:t>g</w:t>
      </w:r>
      <w:r w:rsidR="00C05E74" w:rsidRPr="000B2DCA">
        <w:rPr>
          <w:sz w:val="20"/>
          <w:szCs w:val="20"/>
        </w:rPr>
        <w:t>overnment institutions</w:t>
      </w:r>
      <w:r w:rsidR="009240B8" w:rsidRPr="000B2DCA">
        <w:rPr>
          <w:sz w:val="20"/>
          <w:szCs w:val="20"/>
        </w:rPr>
        <w:t xml:space="preserve"> in developing a rigorous</w:t>
      </w:r>
      <w:r w:rsidR="00C46E3D" w:rsidRPr="000B2DCA">
        <w:rPr>
          <w:sz w:val="20"/>
          <w:szCs w:val="20"/>
        </w:rPr>
        <w:t xml:space="preserve">, </w:t>
      </w:r>
      <w:r w:rsidR="009240B8" w:rsidRPr="000B2DCA">
        <w:rPr>
          <w:sz w:val="20"/>
          <w:szCs w:val="20"/>
        </w:rPr>
        <w:t xml:space="preserve">comprehensive </w:t>
      </w:r>
      <w:r w:rsidR="00C46E3D" w:rsidRPr="000B2DCA">
        <w:rPr>
          <w:sz w:val="20"/>
          <w:szCs w:val="20"/>
        </w:rPr>
        <w:t xml:space="preserve">and disaggregated </w:t>
      </w:r>
      <w:r w:rsidR="009240B8" w:rsidRPr="000B2DCA">
        <w:rPr>
          <w:sz w:val="20"/>
          <w:szCs w:val="20"/>
        </w:rPr>
        <w:t>national data ecosystem</w:t>
      </w:r>
      <w:r w:rsidR="00C05E74" w:rsidRPr="000B2DCA">
        <w:rPr>
          <w:sz w:val="20"/>
          <w:szCs w:val="20"/>
        </w:rPr>
        <w:t xml:space="preserve">, </w:t>
      </w:r>
      <w:r w:rsidR="00C46E3D" w:rsidRPr="000B2DCA">
        <w:rPr>
          <w:sz w:val="20"/>
          <w:szCs w:val="20"/>
        </w:rPr>
        <w:t xml:space="preserve">working with </w:t>
      </w:r>
      <w:r w:rsidR="00C05E74" w:rsidRPr="000B2DCA">
        <w:rPr>
          <w:sz w:val="20"/>
          <w:szCs w:val="20"/>
        </w:rPr>
        <w:t xml:space="preserve">the General Economics Division, the Bangladesh Bureau of Statistics, and </w:t>
      </w:r>
      <w:r w:rsidR="00096CCD">
        <w:rPr>
          <w:sz w:val="20"/>
          <w:szCs w:val="20"/>
        </w:rPr>
        <w:t xml:space="preserve">the </w:t>
      </w:r>
      <w:r w:rsidR="00C05E74" w:rsidRPr="000B2DCA">
        <w:rPr>
          <w:sz w:val="20"/>
          <w:szCs w:val="20"/>
        </w:rPr>
        <w:t xml:space="preserve">Implementation Monitoring and Evaluation Division. </w:t>
      </w:r>
      <w:r w:rsidR="00C05E74" w:rsidRPr="000B2DCA">
        <w:rPr>
          <w:color w:val="000000"/>
          <w:sz w:val="20"/>
          <w:szCs w:val="20"/>
        </w:rPr>
        <w:t xml:space="preserve">UNDP </w:t>
      </w:r>
      <w:r w:rsidR="00B778AC" w:rsidRPr="000B2DCA">
        <w:rPr>
          <w:color w:val="000000"/>
          <w:sz w:val="20"/>
          <w:szCs w:val="20"/>
        </w:rPr>
        <w:t xml:space="preserve">will </w:t>
      </w:r>
      <w:r w:rsidR="00CF5413" w:rsidRPr="000B2DCA">
        <w:rPr>
          <w:color w:val="000000"/>
          <w:sz w:val="20"/>
          <w:szCs w:val="20"/>
        </w:rPr>
        <w:t>support the G</w:t>
      </w:r>
      <w:r w:rsidR="00B778AC" w:rsidRPr="000B2DCA">
        <w:rPr>
          <w:color w:val="000000"/>
          <w:sz w:val="20"/>
          <w:szCs w:val="20"/>
        </w:rPr>
        <w:t xml:space="preserve">overnment in consolidating data from </w:t>
      </w:r>
      <w:r w:rsidR="00C05E74" w:rsidRPr="000B2DCA">
        <w:rPr>
          <w:color w:val="000000"/>
          <w:sz w:val="20"/>
          <w:szCs w:val="20"/>
        </w:rPr>
        <w:t>U</w:t>
      </w:r>
      <w:r w:rsidR="00AC7FA1">
        <w:rPr>
          <w:color w:val="000000"/>
          <w:sz w:val="20"/>
          <w:szCs w:val="20"/>
        </w:rPr>
        <w:t>nited </w:t>
      </w:r>
      <w:r w:rsidR="00096CCD">
        <w:rPr>
          <w:color w:val="000000"/>
          <w:sz w:val="20"/>
          <w:szCs w:val="20"/>
        </w:rPr>
        <w:t>Nations entities such as</w:t>
      </w:r>
      <w:r w:rsidR="00C05E74" w:rsidRPr="000B2DCA">
        <w:rPr>
          <w:color w:val="000000"/>
          <w:sz w:val="20"/>
          <w:szCs w:val="20"/>
        </w:rPr>
        <w:t xml:space="preserve"> UNFPA, </w:t>
      </w:r>
      <w:r w:rsidR="00096CCD">
        <w:rPr>
          <w:color w:val="000000"/>
          <w:sz w:val="20"/>
          <w:szCs w:val="20"/>
        </w:rPr>
        <w:t>the World Food Programme (</w:t>
      </w:r>
      <w:r w:rsidR="001F51FA" w:rsidRPr="000B2DCA">
        <w:rPr>
          <w:color w:val="000000"/>
          <w:sz w:val="20"/>
          <w:szCs w:val="20"/>
        </w:rPr>
        <w:t>WFP</w:t>
      </w:r>
      <w:r w:rsidR="00096CCD">
        <w:rPr>
          <w:color w:val="000000"/>
          <w:sz w:val="20"/>
          <w:szCs w:val="20"/>
        </w:rPr>
        <w:t>)</w:t>
      </w:r>
      <w:r w:rsidR="001F51FA" w:rsidRPr="000B2DCA">
        <w:rPr>
          <w:color w:val="000000"/>
          <w:sz w:val="20"/>
          <w:szCs w:val="20"/>
        </w:rPr>
        <w:t xml:space="preserve">, </w:t>
      </w:r>
      <w:r w:rsidR="00096CCD">
        <w:rPr>
          <w:color w:val="000000"/>
          <w:sz w:val="20"/>
          <w:szCs w:val="20"/>
        </w:rPr>
        <w:t>the Food and Agriculture Organization (</w:t>
      </w:r>
      <w:r w:rsidR="00C05E74" w:rsidRPr="000B2DCA">
        <w:rPr>
          <w:color w:val="000000"/>
          <w:sz w:val="20"/>
          <w:szCs w:val="20"/>
        </w:rPr>
        <w:t>FAO</w:t>
      </w:r>
      <w:r w:rsidR="00096CCD">
        <w:rPr>
          <w:color w:val="000000"/>
          <w:sz w:val="20"/>
          <w:szCs w:val="20"/>
        </w:rPr>
        <w:t>)</w:t>
      </w:r>
      <w:r w:rsidR="001F51FA" w:rsidRPr="000B2DCA">
        <w:rPr>
          <w:color w:val="000000"/>
          <w:sz w:val="20"/>
          <w:szCs w:val="20"/>
        </w:rPr>
        <w:t>, UN</w:t>
      </w:r>
      <w:r w:rsidR="00096CCD">
        <w:rPr>
          <w:color w:val="000000"/>
          <w:sz w:val="20"/>
          <w:szCs w:val="20"/>
        </w:rPr>
        <w:t>-</w:t>
      </w:r>
      <w:r w:rsidR="001F51FA" w:rsidRPr="000B2DCA">
        <w:rPr>
          <w:color w:val="000000"/>
          <w:sz w:val="20"/>
          <w:szCs w:val="20"/>
        </w:rPr>
        <w:t>Women</w:t>
      </w:r>
      <w:r w:rsidR="00355F5A" w:rsidRPr="000B2DCA">
        <w:rPr>
          <w:color w:val="000000"/>
          <w:sz w:val="20"/>
          <w:szCs w:val="20"/>
        </w:rPr>
        <w:t xml:space="preserve">, </w:t>
      </w:r>
      <w:r w:rsidR="00096CCD">
        <w:rPr>
          <w:color w:val="000000"/>
          <w:sz w:val="20"/>
          <w:szCs w:val="20"/>
        </w:rPr>
        <w:t>and the United Nations Children’s Fund (</w:t>
      </w:r>
      <w:r w:rsidR="00355F5A" w:rsidRPr="000B2DCA">
        <w:rPr>
          <w:color w:val="000000"/>
          <w:sz w:val="20"/>
          <w:szCs w:val="20"/>
        </w:rPr>
        <w:t>UNICEF</w:t>
      </w:r>
      <w:r w:rsidR="00CF5413" w:rsidRPr="000B2DCA">
        <w:rPr>
          <w:color w:val="000000"/>
          <w:sz w:val="20"/>
          <w:szCs w:val="20"/>
        </w:rPr>
        <w:t>) for</w:t>
      </w:r>
      <w:r w:rsidR="000B2DCA">
        <w:rPr>
          <w:color w:val="000000"/>
          <w:sz w:val="20"/>
          <w:szCs w:val="20"/>
        </w:rPr>
        <w:t xml:space="preserve"> </w:t>
      </w:r>
      <w:r w:rsidR="00367178">
        <w:rPr>
          <w:color w:val="000000"/>
          <w:sz w:val="20"/>
          <w:szCs w:val="20"/>
        </w:rPr>
        <w:t xml:space="preserve">a </w:t>
      </w:r>
      <w:r w:rsidR="00C05E74" w:rsidRPr="000B2DCA">
        <w:rPr>
          <w:color w:val="000000"/>
          <w:sz w:val="20"/>
          <w:szCs w:val="20"/>
        </w:rPr>
        <w:t xml:space="preserve">comprehensive national data </w:t>
      </w:r>
      <w:r w:rsidR="00B778AC" w:rsidRPr="000B2DCA">
        <w:rPr>
          <w:color w:val="000000"/>
          <w:sz w:val="20"/>
          <w:szCs w:val="20"/>
        </w:rPr>
        <w:t xml:space="preserve">ecosystem </w:t>
      </w:r>
      <w:r w:rsidR="00C05E74" w:rsidRPr="000B2DCA">
        <w:rPr>
          <w:color w:val="000000"/>
          <w:sz w:val="20"/>
          <w:szCs w:val="20"/>
        </w:rPr>
        <w:t>to inform</w:t>
      </w:r>
      <w:r w:rsidR="00096CCD" w:rsidRPr="00096CCD">
        <w:rPr>
          <w:sz w:val="20"/>
          <w:szCs w:val="20"/>
        </w:rPr>
        <w:t xml:space="preserve"> </w:t>
      </w:r>
      <w:r w:rsidR="00096CCD">
        <w:rPr>
          <w:sz w:val="20"/>
          <w:szCs w:val="20"/>
        </w:rPr>
        <w:t>sustainable development goals</w:t>
      </w:r>
      <w:r w:rsidR="00B778AC" w:rsidRPr="000B2DCA">
        <w:rPr>
          <w:color w:val="000000"/>
          <w:sz w:val="20"/>
          <w:szCs w:val="20"/>
        </w:rPr>
        <w:t xml:space="preserve"> planning and monitoring efforts</w:t>
      </w:r>
      <w:r w:rsidR="00C05E74" w:rsidRPr="000B2DCA">
        <w:rPr>
          <w:color w:val="000000"/>
          <w:sz w:val="20"/>
          <w:szCs w:val="20"/>
        </w:rPr>
        <w:t>.</w:t>
      </w:r>
    </w:p>
    <w:p w14:paraId="047EB5C7" w14:textId="18DE43DA" w:rsidR="00AA2CE1" w:rsidRPr="00936082" w:rsidRDefault="00096CCD" w:rsidP="000B2DCA">
      <w:pPr>
        <w:pStyle w:val="ADRText"/>
        <w:widowControl w:val="0"/>
        <w:numPr>
          <w:ilvl w:val="0"/>
          <w:numId w:val="3"/>
        </w:numPr>
        <w:tabs>
          <w:tab w:val="left" w:pos="220"/>
          <w:tab w:val="left" w:pos="720"/>
          <w:tab w:val="left" w:pos="1080"/>
          <w:tab w:val="left" w:pos="8640"/>
          <w:tab w:val="left" w:pos="9180"/>
        </w:tabs>
        <w:spacing w:after="120"/>
        <w:ind w:firstLine="0"/>
        <w:jc w:val="both"/>
        <w:rPr>
          <w:rFonts w:ascii="Times New Roman" w:hAnsi="Times New Roman"/>
          <w:sz w:val="20"/>
          <w:szCs w:val="20"/>
        </w:rPr>
      </w:pPr>
      <w:r w:rsidRPr="00936082">
        <w:rPr>
          <w:rFonts w:ascii="Times New Roman" w:hAnsi="Times New Roman"/>
          <w:sz w:val="20"/>
          <w:szCs w:val="20"/>
        </w:rPr>
        <w:t xml:space="preserve">The </w:t>
      </w:r>
      <w:r w:rsidR="0081435E" w:rsidRPr="00936082">
        <w:rPr>
          <w:rFonts w:ascii="Times New Roman" w:hAnsi="Times New Roman"/>
          <w:sz w:val="20"/>
          <w:szCs w:val="20"/>
        </w:rPr>
        <w:t xml:space="preserve">UNDP approach </w:t>
      </w:r>
      <w:r w:rsidR="00274436" w:rsidRPr="00936082">
        <w:rPr>
          <w:rFonts w:ascii="Times New Roman" w:hAnsi="Times New Roman"/>
          <w:sz w:val="20"/>
          <w:szCs w:val="20"/>
        </w:rPr>
        <w:t xml:space="preserve">will </w:t>
      </w:r>
      <w:r w:rsidR="0081435E" w:rsidRPr="00936082">
        <w:rPr>
          <w:rFonts w:ascii="Times New Roman" w:hAnsi="Times New Roman"/>
          <w:sz w:val="20"/>
          <w:szCs w:val="20"/>
        </w:rPr>
        <w:t>emphasize (</w:t>
      </w:r>
      <w:r w:rsidRPr="00936082">
        <w:rPr>
          <w:rFonts w:ascii="Times New Roman" w:hAnsi="Times New Roman"/>
          <w:sz w:val="20"/>
          <w:szCs w:val="20"/>
        </w:rPr>
        <w:t>a</w:t>
      </w:r>
      <w:r w:rsidR="0081435E" w:rsidRPr="00936082">
        <w:rPr>
          <w:rFonts w:ascii="Times New Roman" w:hAnsi="Times New Roman"/>
          <w:sz w:val="20"/>
          <w:szCs w:val="20"/>
        </w:rPr>
        <w:t>) reforming policies and frameworks</w:t>
      </w:r>
      <w:r w:rsidRPr="00936082">
        <w:rPr>
          <w:rFonts w:ascii="Times New Roman" w:hAnsi="Times New Roman"/>
          <w:sz w:val="20"/>
          <w:szCs w:val="20"/>
        </w:rPr>
        <w:t>;</w:t>
      </w:r>
      <w:r w:rsidR="0081435E" w:rsidRPr="00936082">
        <w:rPr>
          <w:rFonts w:ascii="Times New Roman" w:hAnsi="Times New Roman"/>
          <w:sz w:val="20"/>
          <w:szCs w:val="20"/>
        </w:rPr>
        <w:t xml:space="preserve"> (</w:t>
      </w:r>
      <w:r w:rsidRPr="00936082">
        <w:rPr>
          <w:rFonts w:ascii="Times New Roman" w:hAnsi="Times New Roman"/>
          <w:sz w:val="20"/>
          <w:szCs w:val="20"/>
        </w:rPr>
        <w:t>b</w:t>
      </w:r>
      <w:r w:rsidR="0081435E" w:rsidRPr="00936082">
        <w:rPr>
          <w:rFonts w:ascii="Times New Roman" w:hAnsi="Times New Roman"/>
          <w:sz w:val="20"/>
          <w:szCs w:val="20"/>
        </w:rPr>
        <w:t>) strengthening</w:t>
      </w:r>
      <w:r w:rsidR="001B798C" w:rsidRPr="00936082">
        <w:rPr>
          <w:rFonts w:ascii="Times New Roman" w:hAnsi="Times New Roman"/>
          <w:sz w:val="20"/>
          <w:szCs w:val="20"/>
        </w:rPr>
        <w:t xml:space="preserve"> institutional practices; and </w:t>
      </w:r>
      <w:r w:rsidR="0081435E" w:rsidRPr="00936082">
        <w:rPr>
          <w:rFonts w:ascii="Times New Roman" w:hAnsi="Times New Roman"/>
          <w:sz w:val="20"/>
          <w:szCs w:val="20"/>
        </w:rPr>
        <w:t>(</w:t>
      </w:r>
      <w:r w:rsidRPr="00936082">
        <w:rPr>
          <w:rFonts w:ascii="Times New Roman" w:hAnsi="Times New Roman"/>
          <w:sz w:val="20"/>
          <w:szCs w:val="20"/>
        </w:rPr>
        <w:t>c</w:t>
      </w:r>
      <w:r w:rsidR="0081435E" w:rsidRPr="00936082">
        <w:rPr>
          <w:rFonts w:ascii="Times New Roman" w:hAnsi="Times New Roman"/>
          <w:sz w:val="20"/>
          <w:szCs w:val="20"/>
        </w:rPr>
        <w:t>) empowering and mobilizing</w:t>
      </w:r>
      <w:r w:rsidR="001B798C" w:rsidRPr="00936082">
        <w:rPr>
          <w:rFonts w:ascii="Times New Roman" w:hAnsi="Times New Roman"/>
          <w:sz w:val="20"/>
          <w:szCs w:val="20"/>
        </w:rPr>
        <w:t xml:space="preserve"> communities and individuals</w:t>
      </w:r>
      <w:r w:rsidR="00936082" w:rsidRPr="00936082">
        <w:rPr>
          <w:rFonts w:ascii="Times New Roman" w:hAnsi="Times New Roman"/>
          <w:sz w:val="20"/>
          <w:szCs w:val="20"/>
        </w:rPr>
        <w:t>, leveraging the power of volunteerism</w:t>
      </w:r>
      <w:r w:rsidR="001B798C" w:rsidRPr="00936082">
        <w:rPr>
          <w:rFonts w:ascii="Times New Roman" w:hAnsi="Times New Roman"/>
          <w:sz w:val="20"/>
          <w:szCs w:val="20"/>
        </w:rPr>
        <w:t xml:space="preserve">. Innovation and </w:t>
      </w:r>
      <w:r w:rsidR="00D166F1" w:rsidRPr="00936082">
        <w:rPr>
          <w:rFonts w:ascii="Times New Roman" w:hAnsi="Times New Roman"/>
          <w:sz w:val="20"/>
          <w:szCs w:val="20"/>
        </w:rPr>
        <w:t>evidence-based programming</w:t>
      </w:r>
      <w:r w:rsidR="001B798C" w:rsidRPr="00936082">
        <w:rPr>
          <w:rFonts w:ascii="Times New Roman" w:hAnsi="Times New Roman"/>
          <w:sz w:val="20"/>
          <w:szCs w:val="20"/>
        </w:rPr>
        <w:t xml:space="preserve"> will underline programme design and implementation</w:t>
      </w:r>
      <w:r w:rsidR="00FE74A4" w:rsidRPr="00936082">
        <w:rPr>
          <w:rFonts w:ascii="Times New Roman" w:hAnsi="Times New Roman"/>
          <w:sz w:val="20"/>
          <w:szCs w:val="20"/>
        </w:rPr>
        <w:t>,</w:t>
      </w:r>
      <w:r w:rsidR="000B2DCA" w:rsidRPr="00936082">
        <w:rPr>
          <w:rFonts w:ascii="Times New Roman" w:hAnsi="Times New Roman"/>
          <w:sz w:val="20"/>
          <w:szCs w:val="20"/>
        </w:rPr>
        <w:t xml:space="preserve"> and will </w:t>
      </w:r>
      <w:r w:rsidR="00D166F1" w:rsidRPr="00936082">
        <w:rPr>
          <w:rFonts w:ascii="Times New Roman" w:hAnsi="Times New Roman"/>
          <w:sz w:val="20"/>
          <w:szCs w:val="20"/>
        </w:rPr>
        <w:t>be strengthened through</w:t>
      </w:r>
      <w:r w:rsidR="00FE74A4" w:rsidRPr="00936082">
        <w:rPr>
          <w:rFonts w:ascii="Times New Roman" w:hAnsi="Times New Roman"/>
          <w:sz w:val="20"/>
          <w:szCs w:val="20"/>
        </w:rPr>
        <w:t xml:space="preserve"> partnerships with</w:t>
      </w:r>
      <w:r w:rsidR="00274436" w:rsidRPr="00936082">
        <w:rPr>
          <w:rFonts w:ascii="Times New Roman" w:hAnsi="Times New Roman"/>
          <w:sz w:val="20"/>
          <w:szCs w:val="20"/>
        </w:rPr>
        <w:t xml:space="preserve"> local and global knowledge and research institutions (including universities, think tanks</w:t>
      </w:r>
      <w:r w:rsidRPr="00936082">
        <w:rPr>
          <w:rFonts w:ascii="Times New Roman" w:hAnsi="Times New Roman"/>
          <w:sz w:val="20"/>
          <w:szCs w:val="20"/>
        </w:rPr>
        <w:t xml:space="preserve"> and</w:t>
      </w:r>
      <w:r w:rsidR="00274436" w:rsidRPr="00936082">
        <w:rPr>
          <w:rFonts w:ascii="Times New Roman" w:hAnsi="Times New Roman"/>
          <w:sz w:val="20"/>
          <w:szCs w:val="20"/>
        </w:rPr>
        <w:t xml:space="preserve"> civil society organizations) and business communities. In line with the </w:t>
      </w:r>
      <w:r w:rsidR="00AC7FA1" w:rsidRPr="00936082">
        <w:rPr>
          <w:rFonts w:ascii="Times New Roman" w:hAnsi="Times New Roman"/>
          <w:sz w:val="20"/>
          <w:szCs w:val="20"/>
        </w:rPr>
        <w:t>United Nations Development Assistance Framework</w:t>
      </w:r>
      <w:r w:rsidR="00274436" w:rsidRPr="00936082">
        <w:rPr>
          <w:rFonts w:ascii="Times New Roman" w:hAnsi="Times New Roman"/>
          <w:sz w:val="20"/>
          <w:szCs w:val="20"/>
        </w:rPr>
        <w:t xml:space="preserve"> evaluation, UNDP will strengthen partnership</w:t>
      </w:r>
      <w:r w:rsidR="00FE74A4" w:rsidRPr="00936082">
        <w:rPr>
          <w:rFonts w:ascii="Times New Roman" w:hAnsi="Times New Roman"/>
          <w:sz w:val="20"/>
          <w:szCs w:val="20"/>
        </w:rPr>
        <w:t>s</w:t>
      </w:r>
      <w:r w:rsidR="00274436" w:rsidRPr="00936082">
        <w:rPr>
          <w:rFonts w:ascii="Times New Roman" w:hAnsi="Times New Roman"/>
          <w:sz w:val="20"/>
          <w:szCs w:val="20"/>
        </w:rPr>
        <w:t xml:space="preserve"> and coordination with other </w:t>
      </w:r>
      <w:r w:rsidR="00AC7FA1" w:rsidRPr="00936082">
        <w:rPr>
          <w:rFonts w:ascii="Times New Roman" w:hAnsi="Times New Roman"/>
          <w:sz w:val="20"/>
          <w:szCs w:val="20"/>
        </w:rPr>
        <w:t>United Nations bodies</w:t>
      </w:r>
      <w:r w:rsidR="00274436" w:rsidRPr="00936082">
        <w:rPr>
          <w:rFonts w:ascii="Times New Roman" w:hAnsi="Times New Roman"/>
          <w:sz w:val="20"/>
          <w:szCs w:val="20"/>
        </w:rPr>
        <w:t>, particular</w:t>
      </w:r>
      <w:r w:rsidR="00AC7FA1" w:rsidRPr="00936082">
        <w:rPr>
          <w:rFonts w:ascii="Times New Roman" w:hAnsi="Times New Roman"/>
          <w:sz w:val="20"/>
          <w:szCs w:val="20"/>
        </w:rPr>
        <w:t>ly</w:t>
      </w:r>
      <w:r w:rsidR="00274436" w:rsidRPr="00936082">
        <w:rPr>
          <w:rFonts w:ascii="Times New Roman" w:hAnsi="Times New Roman"/>
          <w:sz w:val="20"/>
          <w:szCs w:val="20"/>
        </w:rPr>
        <w:t xml:space="preserve"> in </w:t>
      </w:r>
      <w:r w:rsidR="001F51FA" w:rsidRPr="00936082">
        <w:rPr>
          <w:rFonts w:ascii="Times New Roman" w:hAnsi="Times New Roman"/>
          <w:sz w:val="20"/>
          <w:szCs w:val="20"/>
        </w:rPr>
        <w:t xml:space="preserve">integrated development support in </w:t>
      </w:r>
      <w:r w:rsidR="004265B4" w:rsidRPr="00936082">
        <w:rPr>
          <w:rFonts w:ascii="Times New Roman" w:hAnsi="Times New Roman"/>
          <w:sz w:val="20"/>
          <w:szCs w:val="20"/>
        </w:rPr>
        <w:t>the Chittagong Hill Tracts region</w:t>
      </w:r>
      <w:r w:rsidR="00274436" w:rsidRPr="00936082">
        <w:rPr>
          <w:rFonts w:ascii="Times New Roman" w:hAnsi="Times New Roman"/>
          <w:sz w:val="20"/>
          <w:szCs w:val="20"/>
        </w:rPr>
        <w:t xml:space="preserve">, disaster management and women’s economic empowerment. </w:t>
      </w:r>
    </w:p>
    <w:p w14:paraId="424FCE6E" w14:textId="75C8BC9A" w:rsidR="00593A11" w:rsidRPr="000B2DCA" w:rsidRDefault="00A53723" w:rsidP="000B2DCA">
      <w:pPr>
        <w:pStyle w:val="ADRText"/>
        <w:widowControl w:val="0"/>
        <w:numPr>
          <w:ilvl w:val="0"/>
          <w:numId w:val="3"/>
        </w:numPr>
        <w:tabs>
          <w:tab w:val="left" w:pos="220"/>
          <w:tab w:val="left" w:pos="720"/>
          <w:tab w:val="left" w:pos="1080"/>
          <w:tab w:val="left" w:pos="8640"/>
          <w:tab w:val="left" w:pos="9180"/>
        </w:tabs>
        <w:spacing w:after="120"/>
        <w:ind w:firstLine="0"/>
        <w:jc w:val="both"/>
        <w:rPr>
          <w:rFonts w:ascii="Times New Roman" w:hAnsi="Times New Roman"/>
          <w:sz w:val="20"/>
          <w:szCs w:val="20"/>
        </w:rPr>
      </w:pPr>
      <w:r w:rsidRPr="000B2DCA">
        <w:rPr>
          <w:rFonts w:ascii="Times New Roman" w:hAnsi="Times New Roman"/>
          <w:sz w:val="20"/>
          <w:szCs w:val="20"/>
        </w:rPr>
        <w:t xml:space="preserve">UNDP will </w:t>
      </w:r>
      <w:r w:rsidR="00862B9F" w:rsidRPr="000B2DCA">
        <w:rPr>
          <w:rFonts w:ascii="Times New Roman" w:hAnsi="Times New Roman"/>
          <w:sz w:val="20"/>
          <w:szCs w:val="20"/>
        </w:rPr>
        <w:t>support</w:t>
      </w:r>
      <w:r w:rsidR="00E04D65" w:rsidRPr="000B2DCA">
        <w:rPr>
          <w:rFonts w:ascii="Times New Roman" w:hAnsi="Times New Roman"/>
          <w:sz w:val="20"/>
          <w:szCs w:val="20"/>
        </w:rPr>
        <w:t xml:space="preserve"> the G</w:t>
      </w:r>
      <w:r w:rsidR="006F5D4E" w:rsidRPr="000B2DCA">
        <w:rPr>
          <w:rFonts w:ascii="Times New Roman" w:hAnsi="Times New Roman"/>
          <w:sz w:val="20"/>
          <w:szCs w:val="20"/>
        </w:rPr>
        <w:t xml:space="preserve">overnment in </w:t>
      </w:r>
      <w:r w:rsidR="004129BF" w:rsidRPr="000B2DCA">
        <w:rPr>
          <w:rFonts w:ascii="Times New Roman" w:hAnsi="Times New Roman"/>
          <w:sz w:val="20"/>
          <w:szCs w:val="20"/>
        </w:rPr>
        <w:t>establishing and implementing</w:t>
      </w:r>
      <w:r w:rsidR="006F5D4E" w:rsidRPr="000B2DCA">
        <w:rPr>
          <w:rFonts w:ascii="Times New Roman" w:hAnsi="Times New Roman"/>
          <w:sz w:val="20"/>
          <w:szCs w:val="20"/>
        </w:rPr>
        <w:t xml:space="preserve"> a</w:t>
      </w:r>
      <w:r w:rsidR="00624FAE" w:rsidRPr="000B2DCA">
        <w:rPr>
          <w:rFonts w:ascii="Times New Roman" w:hAnsi="Times New Roman"/>
          <w:sz w:val="20"/>
          <w:szCs w:val="20"/>
        </w:rPr>
        <w:t xml:space="preserve"> blended</w:t>
      </w:r>
      <w:r w:rsidR="003C7F1F" w:rsidRPr="000B2DCA">
        <w:rPr>
          <w:rFonts w:ascii="Times New Roman" w:hAnsi="Times New Roman"/>
          <w:sz w:val="20"/>
          <w:szCs w:val="20"/>
        </w:rPr>
        <w:t xml:space="preserve"> </w:t>
      </w:r>
      <w:r w:rsidR="00624FAE" w:rsidRPr="000B2DCA">
        <w:rPr>
          <w:rFonts w:ascii="Times New Roman" w:hAnsi="Times New Roman"/>
          <w:sz w:val="20"/>
          <w:szCs w:val="20"/>
        </w:rPr>
        <w:t>development</w:t>
      </w:r>
      <w:r w:rsidR="006F5D4E" w:rsidRPr="000B2DCA">
        <w:rPr>
          <w:rFonts w:ascii="Times New Roman" w:hAnsi="Times New Roman"/>
          <w:sz w:val="20"/>
          <w:szCs w:val="20"/>
        </w:rPr>
        <w:t xml:space="preserve"> finance mode</w:t>
      </w:r>
      <w:r w:rsidR="004129BF" w:rsidRPr="000B2DCA">
        <w:rPr>
          <w:rFonts w:ascii="Times New Roman" w:hAnsi="Times New Roman"/>
          <w:sz w:val="20"/>
          <w:szCs w:val="20"/>
        </w:rPr>
        <w:t xml:space="preserve">l </w:t>
      </w:r>
      <w:r w:rsidR="00AC7FA1">
        <w:rPr>
          <w:rFonts w:ascii="Times New Roman" w:hAnsi="Times New Roman"/>
          <w:sz w:val="20"/>
          <w:szCs w:val="20"/>
        </w:rPr>
        <w:t>that</w:t>
      </w:r>
      <w:r w:rsidR="00AC7FA1" w:rsidRPr="000B2DCA">
        <w:rPr>
          <w:rFonts w:ascii="Times New Roman" w:hAnsi="Times New Roman"/>
          <w:sz w:val="20"/>
          <w:szCs w:val="20"/>
        </w:rPr>
        <w:t xml:space="preserve"> </w:t>
      </w:r>
      <w:r w:rsidR="00AA2CE1" w:rsidRPr="000B2DCA">
        <w:rPr>
          <w:rFonts w:ascii="Times New Roman" w:hAnsi="Times New Roman"/>
          <w:sz w:val="20"/>
          <w:szCs w:val="20"/>
        </w:rPr>
        <w:t>includes</w:t>
      </w:r>
      <w:r w:rsidR="004129BF" w:rsidRPr="000B2DCA">
        <w:rPr>
          <w:rFonts w:ascii="Times New Roman" w:hAnsi="Times New Roman"/>
          <w:sz w:val="20"/>
          <w:szCs w:val="20"/>
        </w:rPr>
        <w:t xml:space="preserve"> </w:t>
      </w:r>
      <w:r w:rsidR="00B778AC" w:rsidRPr="000B2DCA">
        <w:rPr>
          <w:rFonts w:ascii="Times New Roman" w:hAnsi="Times New Roman"/>
          <w:sz w:val="20"/>
          <w:szCs w:val="20"/>
        </w:rPr>
        <w:t xml:space="preserve">private, public, domestic and external investments. </w:t>
      </w:r>
      <w:r w:rsidR="00367178">
        <w:rPr>
          <w:rFonts w:ascii="Times New Roman" w:hAnsi="Times New Roman"/>
          <w:sz w:val="20"/>
          <w:szCs w:val="20"/>
        </w:rPr>
        <w:t>D</w:t>
      </w:r>
      <w:r w:rsidR="00C46E3D" w:rsidRPr="000B2DCA">
        <w:rPr>
          <w:rFonts w:ascii="Times New Roman" w:hAnsi="Times New Roman"/>
          <w:sz w:val="20"/>
          <w:szCs w:val="20"/>
        </w:rPr>
        <w:t>evelopment finance will be prioritized, including through models of g</w:t>
      </w:r>
      <w:r w:rsidR="00B778AC" w:rsidRPr="000B2DCA">
        <w:rPr>
          <w:rFonts w:ascii="Times New Roman" w:hAnsi="Times New Roman"/>
          <w:sz w:val="20"/>
          <w:szCs w:val="20"/>
        </w:rPr>
        <w:t>overnment co-financing</w:t>
      </w:r>
      <w:r w:rsidR="00367178">
        <w:rPr>
          <w:rFonts w:ascii="Times New Roman" w:hAnsi="Times New Roman"/>
          <w:sz w:val="20"/>
          <w:szCs w:val="20"/>
        </w:rPr>
        <w:t>,</w:t>
      </w:r>
      <w:r w:rsidR="00C46E3D" w:rsidRPr="000B2DCA">
        <w:rPr>
          <w:rFonts w:ascii="Times New Roman" w:hAnsi="Times New Roman"/>
          <w:sz w:val="20"/>
          <w:szCs w:val="20"/>
        </w:rPr>
        <w:t xml:space="preserve"> to </w:t>
      </w:r>
      <w:r w:rsidR="00BD1A6F" w:rsidRPr="000B2DCA">
        <w:rPr>
          <w:rFonts w:ascii="Times New Roman" w:hAnsi="Times New Roman"/>
          <w:sz w:val="20"/>
          <w:szCs w:val="20"/>
        </w:rPr>
        <w:t>accelerate</w:t>
      </w:r>
      <w:r w:rsidR="00C46E3D" w:rsidRPr="000B2DCA">
        <w:rPr>
          <w:rFonts w:ascii="Times New Roman" w:hAnsi="Times New Roman"/>
          <w:sz w:val="20"/>
          <w:szCs w:val="20"/>
        </w:rPr>
        <w:t xml:space="preserve"> achievement of national development priorities</w:t>
      </w:r>
      <w:r w:rsidR="00AA2CE1" w:rsidRPr="000B2DCA">
        <w:rPr>
          <w:rFonts w:ascii="Times New Roman" w:hAnsi="Times New Roman"/>
          <w:sz w:val="20"/>
          <w:szCs w:val="20"/>
        </w:rPr>
        <w:t xml:space="preserve">. </w:t>
      </w:r>
      <w:r w:rsidR="006D39CC" w:rsidRPr="000B2DCA">
        <w:rPr>
          <w:rFonts w:ascii="Times New Roman" w:hAnsi="Times New Roman"/>
          <w:sz w:val="20"/>
          <w:szCs w:val="20"/>
        </w:rPr>
        <w:t>UNDP will help garner and mobilize resources</w:t>
      </w:r>
      <w:r w:rsidR="009A4832" w:rsidRPr="000B2DCA">
        <w:rPr>
          <w:rFonts w:ascii="Times New Roman" w:hAnsi="Times New Roman"/>
          <w:sz w:val="20"/>
          <w:szCs w:val="20"/>
        </w:rPr>
        <w:t xml:space="preserve">, including through: exploring and securing </w:t>
      </w:r>
      <w:r w:rsidR="006D39CC" w:rsidRPr="000B2DCA">
        <w:rPr>
          <w:rFonts w:ascii="Times New Roman" w:hAnsi="Times New Roman"/>
          <w:sz w:val="20"/>
          <w:szCs w:val="20"/>
        </w:rPr>
        <w:t>private sector partnership opportunities; pursuing non-traditional bilateral partnerships (</w:t>
      </w:r>
      <w:r w:rsidR="00052294">
        <w:rPr>
          <w:rFonts w:ascii="Times New Roman" w:hAnsi="Times New Roman"/>
          <w:sz w:val="20"/>
          <w:szCs w:val="20"/>
        </w:rPr>
        <w:t>such as with</w:t>
      </w:r>
      <w:r w:rsidR="006D39CC" w:rsidRPr="000B2DCA">
        <w:rPr>
          <w:rFonts w:ascii="Times New Roman" w:hAnsi="Times New Roman"/>
          <w:sz w:val="20"/>
          <w:szCs w:val="20"/>
        </w:rPr>
        <w:t xml:space="preserve"> China on disaster management and South Korea on gender-based violence); actively following</w:t>
      </w:r>
      <w:r w:rsidR="00274436" w:rsidRPr="000B2DCA">
        <w:rPr>
          <w:rFonts w:ascii="Times New Roman" w:hAnsi="Times New Roman"/>
          <w:sz w:val="20"/>
          <w:szCs w:val="20"/>
        </w:rPr>
        <w:t xml:space="preserve"> </w:t>
      </w:r>
      <w:r w:rsidR="00052294">
        <w:rPr>
          <w:rFonts w:ascii="Times New Roman" w:hAnsi="Times New Roman"/>
          <w:sz w:val="20"/>
          <w:szCs w:val="20"/>
        </w:rPr>
        <w:t>i</w:t>
      </w:r>
      <w:r w:rsidR="001B798C" w:rsidRPr="000B2DCA">
        <w:rPr>
          <w:rFonts w:ascii="Times New Roman" w:hAnsi="Times New Roman"/>
          <w:sz w:val="20"/>
          <w:szCs w:val="20"/>
        </w:rPr>
        <w:t xml:space="preserve">nternational </w:t>
      </w:r>
      <w:r w:rsidR="00052294">
        <w:rPr>
          <w:rFonts w:ascii="Times New Roman" w:hAnsi="Times New Roman"/>
          <w:sz w:val="20"/>
          <w:szCs w:val="20"/>
        </w:rPr>
        <w:t>f</w:t>
      </w:r>
      <w:r w:rsidR="001B798C" w:rsidRPr="000B2DCA">
        <w:rPr>
          <w:rFonts w:ascii="Times New Roman" w:hAnsi="Times New Roman"/>
          <w:sz w:val="20"/>
          <w:szCs w:val="20"/>
        </w:rPr>
        <w:t xml:space="preserve">inancial </w:t>
      </w:r>
      <w:r w:rsidR="00052294">
        <w:rPr>
          <w:rFonts w:ascii="Times New Roman" w:hAnsi="Times New Roman"/>
          <w:sz w:val="20"/>
          <w:szCs w:val="20"/>
        </w:rPr>
        <w:t>i</w:t>
      </w:r>
      <w:r w:rsidR="001B798C" w:rsidRPr="000B2DCA">
        <w:rPr>
          <w:rFonts w:ascii="Times New Roman" w:hAnsi="Times New Roman"/>
          <w:sz w:val="20"/>
          <w:szCs w:val="20"/>
        </w:rPr>
        <w:t>nstitutions</w:t>
      </w:r>
      <w:r w:rsidR="006D39CC" w:rsidRPr="000B2DCA">
        <w:rPr>
          <w:rFonts w:ascii="Times New Roman" w:hAnsi="Times New Roman"/>
          <w:sz w:val="20"/>
          <w:szCs w:val="20"/>
        </w:rPr>
        <w:t xml:space="preserve"> and vertical funds</w:t>
      </w:r>
      <w:r w:rsidR="009B2277" w:rsidRPr="000B2DCA">
        <w:rPr>
          <w:rFonts w:ascii="Times New Roman" w:hAnsi="Times New Roman"/>
          <w:sz w:val="20"/>
          <w:szCs w:val="20"/>
        </w:rPr>
        <w:t xml:space="preserve"> (</w:t>
      </w:r>
      <w:r w:rsidR="00052294">
        <w:rPr>
          <w:rFonts w:ascii="Times New Roman" w:hAnsi="Times New Roman"/>
          <w:sz w:val="20"/>
          <w:szCs w:val="20"/>
        </w:rPr>
        <w:t>including the Asian Development Bank</w:t>
      </w:r>
      <w:r w:rsidR="009B2277" w:rsidRPr="000B2DCA">
        <w:rPr>
          <w:rFonts w:ascii="Times New Roman" w:hAnsi="Times New Roman"/>
          <w:sz w:val="20"/>
          <w:szCs w:val="20"/>
        </w:rPr>
        <w:t xml:space="preserve"> </w:t>
      </w:r>
      <w:r w:rsidR="00BF2527" w:rsidRPr="000B2DCA">
        <w:rPr>
          <w:rFonts w:ascii="Times New Roman" w:hAnsi="Times New Roman"/>
          <w:sz w:val="20"/>
          <w:szCs w:val="20"/>
        </w:rPr>
        <w:t>in the area of sustainable energy,</w:t>
      </w:r>
      <w:r w:rsidR="009B2277" w:rsidRPr="000B2DCA">
        <w:rPr>
          <w:rFonts w:ascii="Times New Roman" w:hAnsi="Times New Roman"/>
          <w:sz w:val="20"/>
          <w:szCs w:val="20"/>
        </w:rPr>
        <w:t xml:space="preserve"> the World Bank</w:t>
      </w:r>
      <w:r w:rsidR="00BF2527" w:rsidRPr="000B2DCA">
        <w:rPr>
          <w:rFonts w:ascii="Times New Roman" w:hAnsi="Times New Roman"/>
          <w:sz w:val="20"/>
          <w:szCs w:val="20"/>
        </w:rPr>
        <w:t xml:space="preserve"> </w:t>
      </w:r>
      <w:r w:rsidR="00052294">
        <w:rPr>
          <w:rFonts w:ascii="Times New Roman" w:hAnsi="Times New Roman"/>
          <w:sz w:val="20"/>
          <w:szCs w:val="20"/>
        </w:rPr>
        <w:t>i</w:t>
      </w:r>
      <w:r w:rsidR="00BF2527" w:rsidRPr="000B2DCA">
        <w:rPr>
          <w:rFonts w:ascii="Times New Roman" w:hAnsi="Times New Roman"/>
          <w:sz w:val="20"/>
          <w:szCs w:val="20"/>
        </w:rPr>
        <w:t xml:space="preserve">n low-cost urban housing, and </w:t>
      </w:r>
      <w:r w:rsidR="00052294">
        <w:rPr>
          <w:rFonts w:ascii="Times New Roman" w:hAnsi="Times New Roman"/>
          <w:sz w:val="20"/>
          <w:szCs w:val="20"/>
        </w:rPr>
        <w:t xml:space="preserve">the </w:t>
      </w:r>
      <w:r w:rsidR="00BF2527" w:rsidRPr="000B2DCA">
        <w:rPr>
          <w:rFonts w:ascii="Times New Roman" w:hAnsi="Times New Roman"/>
          <w:sz w:val="20"/>
          <w:szCs w:val="20"/>
        </w:rPr>
        <w:t xml:space="preserve">Green Climate Fund </w:t>
      </w:r>
      <w:r w:rsidR="00052294">
        <w:rPr>
          <w:rFonts w:ascii="Times New Roman" w:hAnsi="Times New Roman"/>
          <w:sz w:val="20"/>
          <w:szCs w:val="20"/>
        </w:rPr>
        <w:t>i</w:t>
      </w:r>
      <w:r w:rsidR="00BF2527" w:rsidRPr="000B2DCA">
        <w:rPr>
          <w:rFonts w:ascii="Times New Roman" w:hAnsi="Times New Roman"/>
          <w:sz w:val="20"/>
          <w:szCs w:val="20"/>
        </w:rPr>
        <w:t>n climate change</w:t>
      </w:r>
      <w:r w:rsidR="00B40CBA" w:rsidRPr="000B2DCA">
        <w:rPr>
          <w:rFonts w:ascii="Times New Roman" w:hAnsi="Times New Roman"/>
          <w:sz w:val="20"/>
          <w:szCs w:val="20"/>
        </w:rPr>
        <w:t>)</w:t>
      </w:r>
      <w:r w:rsidR="00BF2527" w:rsidRPr="000B2DCA">
        <w:rPr>
          <w:rFonts w:ascii="Times New Roman" w:hAnsi="Times New Roman"/>
          <w:sz w:val="20"/>
          <w:szCs w:val="20"/>
        </w:rPr>
        <w:t>;</w:t>
      </w:r>
      <w:r w:rsidR="009B2277" w:rsidRPr="000B2DCA">
        <w:rPr>
          <w:rFonts w:ascii="Times New Roman" w:hAnsi="Times New Roman"/>
          <w:sz w:val="20"/>
          <w:szCs w:val="20"/>
        </w:rPr>
        <w:t xml:space="preserve"> </w:t>
      </w:r>
      <w:r w:rsidR="00E04D65" w:rsidRPr="000B2DCA">
        <w:rPr>
          <w:rFonts w:ascii="Times New Roman" w:hAnsi="Times New Roman"/>
          <w:sz w:val="20"/>
          <w:szCs w:val="20"/>
        </w:rPr>
        <w:t>and d</w:t>
      </w:r>
      <w:r w:rsidR="009A4832" w:rsidRPr="000B2DCA">
        <w:rPr>
          <w:rFonts w:ascii="Times New Roman" w:hAnsi="Times New Roman"/>
          <w:sz w:val="20"/>
          <w:szCs w:val="20"/>
        </w:rPr>
        <w:t>eepening and nurturing t</w:t>
      </w:r>
      <w:r w:rsidR="001B798C" w:rsidRPr="000B2DCA">
        <w:rPr>
          <w:rFonts w:ascii="Times New Roman" w:hAnsi="Times New Roman"/>
          <w:sz w:val="20"/>
          <w:szCs w:val="20"/>
        </w:rPr>
        <w:t xml:space="preserve">raditional </w:t>
      </w:r>
      <w:r w:rsidR="00052294">
        <w:rPr>
          <w:rFonts w:ascii="Times New Roman" w:hAnsi="Times New Roman"/>
          <w:sz w:val="20"/>
          <w:szCs w:val="20"/>
        </w:rPr>
        <w:t>official development assistance</w:t>
      </w:r>
      <w:r w:rsidR="00052294" w:rsidRPr="000B2DCA">
        <w:rPr>
          <w:rFonts w:ascii="Times New Roman" w:hAnsi="Times New Roman"/>
          <w:sz w:val="20"/>
          <w:szCs w:val="20"/>
        </w:rPr>
        <w:t xml:space="preserve"> </w:t>
      </w:r>
      <w:r w:rsidR="001B798C" w:rsidRPr="000B2DCA">
        <w:rPr>
          <w:rFonts w:ascii="Times New Roman" w:hAnsi="Times New Roman"/>
          <w:sz w:val="20"/>
          <w:szCs w:val="20"/>
        </w:rPr>
        <w:t>partnerships</w:t>
      </w:r>
      <w:r w:rsidR="003C7F1F" w:rsidRPr="000B2DCA">
        <w:rPr>
          <w:rFonts w:ascii="Times New Roman" w:hAnsi="Times New Roman"/>
          <w:sz w:val="20"/>
          <w:szCs w:val="20"/>
        </w:rPr>
        <w:t xml:space="preserve"> in areas such as </w:t>
      </w:r>
      <w:r w:rsidR="001B798C" w:rsidRPr="000B2DCA">
        <w:rPr>
          <w:rFonts w:ascii="Times New Roman" w:hAnsi="Times New Roman"/>
          <w:sz w:val="20"/>
          <w:szCs w:val="20"/>
        </w:rPr>
        <w:t>urban poverty reduction</w:t>
      </w:r>
      <w:r w:rsidR="00B53E1F" w:rsidRPr="000B2DCA">
        <w:rPr>
          <w:rFonts w:ascii="Times New Roman" w:hAnsi="Times New Roman"/>
          <w:sz w:val="20"/>
          <w:szCs w:val="20"/>
        </w:rPr>
        <w:t xml:space="preserve">, </w:t>
      </w:r>
      <w:r w:rsidR="001B798C" w:rsidRPr="000B2DCA">
        <w:rPr>
          <w:rFonts w:ascii="Times New Roman" w:hAnsi="Times New Roman"/>
          <w:sz w:val="20"/>
          <w:szCs w:val="20"/>
        </w:rPr>
        <w:t>justice</w:t>
      </w:r>
      <w:r w:rsidR="00052294">
        <w:rPr>
          <w:rFonts w:ascii="Times New Roman" w:hAnsi="Times New Roman"/>
          <w:sz w:val="20"/>
          <w:szCs w:val="20"/>
        </w:rPr>
        <w:t>,</w:t>
      </w:r>
      <w:r w:rsidR="00B53E1F" w:rsidRPr="000B2DCA">
        <w:rPr>
          <w:rFonts w:ascii="Times New Roman" w:hAnsi="Times New Roman"/>
          <w:sz w:val="20"/>
          <w:szCs w:val="20"/>
        </w:rPr>
        <w:t xml:space="preserve"> </w:t>
      </w:r>
      <w:r w:rsidR="001B798C" w:rsidRPr="000B2DCA">
        <w:rPr>
          <w:rFonts w:ascii="Times New Roman" w:hAnsi="Times New Roman"/>
          <w:sz w:val="20"/>
          <w:szCs w:val="20"/>
        </w:rPr>
        <w:t>and human rights</w:t>
      </w:r>
      <w:r w:rsidR="00B53E1F" w:rsidRPr="000B2DCA">
        <w:rPr>
          <w:rFonts w:ascii="Times New Roman" w:hAnsi="Times New Roman"/>
          <w:sz w:val="20"/>
          <w:szCs w:val="20"/>
        </w:rPr>
        <w:t>.</w:t>
      </w:r>
    </w:p>
    <w:p w14:paraId="43574F6E" w14:textId="1A957510" w:rsidR="00FA1093" w:rsidRPr="000B2DCA" w:rsidRDefault="00FA1093" w:rsidP="000B2DCA">
      <w:pPr>
        <w:widowControl w:val="0"/>
        <w:tabs>
          <w:tab w:val="left" w:pos="220"/>
          <w:tab w:val="left" w:pos="720"/>
          <w:tab w:val="left" w:pos="1080"/>
          <w:tab w:val="left" w:pos="8640"/>
          <w:tab w:val="left" w:pos="9180"/>
        </w:tabs>
        <w:autoSpaceDE w:val="0"/>
        <w:autoSpaceDN w:val="0"/>
        <w:adjustRightInd w:val="0"/>
        <w:spacing w:after="120"/>
        <w:ind w:left="720"/>
        <w:jc w:val="both"/>
        <w:rPr>
          <w:b/>
          <w:i/>
          <w:sz w:val="20"/>
          <w:szCs w:val="20"/>
        </w:rPr>
      </w:pPr>
      <w:r w:rsidRPr="000B2DCA">
        <w:rPr>
          <w:b/>
          <w:i/>
          <w:sz w:val="20"/>
          <w:szCs w:val="20"/>
        </w:rPr>
        <w:t>Ensuring economic growth is inclusive and supports economic opportunities, particularly for women</w:t>
      </w:r>
    </w:p>
    <w:p w14:paraId="2C31EF1C" w14:textId="53FF1D17" w:rsidR="000C7F4E" w:rsidRPr="000B2DCA" w:rsidRDefault="00576AB4" w:rsidP="000B2DCA">
      <w:pPr>
        <w:pStyle w:val="NormalWeb"/>
        <w:numPr>
          <w:ilvl w:val="0"/>
          <w:numId w:val="3"/>
        </w:numPr>
        <w:tabs>
          <w:tab w:val="left" w:pos="1080"/>
          <w:tab w:val="left" w:pos="8640"/>
          <w:tab w:val="left" w:pos="9180"/>
        </w:tabs>
        <w:spacing w:before="0" w:beforeAutospacing="0" w:after="120" w:afterAutospacing="0"/>
        <w:ind w:firstLine="0"/>
        <w:jc w:val="both"/>
        <w:rPr>
          <w:sz w:val="20"/>
          <w:szCs w:val="20"/>
          <w:lang w:val="en-GB"/>
        </w:rPr>
      </w:pPr>
      <w:r w:rsidRPr="000B2DCA">
        <w:rPr>
          <w:sz w:val="20"/>
          <w:szCs w:val="20"/>
          <w:lang w:val="en-GB"/>
        </w:rPr>
        <w:t xml:space="preserve">In line with </w:t>
      </w:r>
      <w:r w:rsidR="00CD26EA">
        <w:rPr>
          <w:sz w:val="20"/>
          <w:szCs w:val="20"/>
          <w:lang w:val="en-GB"/>
        </w:rPr>
        <w:t xml:space="preserve">UNDP </w:t>
      </w:r>
      <w:r w:rsidR="00052294">
        <w:rPr>
          <w:sz w:val="20"/>
          <w:szCs w:val="20"/>
          <w:lang w:val="en-GB"/>
        </w:rPr>
        <w:t>s</w:t>
      </w:r>
      <w:r w:rsidRPr="000B2DCA">
        <w:rPr>
          <w:sz w:val="20"/>
          <w:szCs w:val="20"/>
          <w:lang w:val="en-GB"/>
        </w:rPr>
        <w:t xml:space="preserve">trategic </w:t>
      </w:r>
      <w:r w:rsidR="00052294">
        <w:rPr>
          <w:sz w:val="20"/>
          <w:szCs w:val="20"/>
          <w:lang w:val="en-GB"/>
        </w:rPr>
        <w:t>p</w:t>
      </w:r>
      <w:r w:rsidRPr="000B2DCA">
        <w:rPr>
          <w:sz w:val="20"/>
          <w:szCs w:val="20"/>
          <w:lang w:val="en-GB"/>
        </w:rPr>
        <w:t>lan outcomes 1 and 4</w:t>
      </w:r>
      <w:r w:rsidR="00A308A4" w:rsidRPr="000B2DCA">
        <w:rPr>
          <w:sz w:val="20"/>
          <w:szCs w:val="20"/>
          <w:lang w:val="en-GB"/>
        </w:rPr>
        <w:t xml:space="preserve"> and </w:t>
      </w:r>
      <w:r w:rsidR="00CD26EA">
        <w:rPr>
          <w:sz w:val="20"/>
          <w:szCs w:val="20"/>
          <w:lang w:val="en-GB"/>
        </w:rPr>
        <w:t xml:space="preserve">the </w:t>
      </w:r>
      <w:r w:rsidR="00052294">
        <w:rPr>
          <w:sz w:val="20"/>
          <w:szCs w:val="20"/>
          <w:lang w:val="en-GB"/>
        </w:rPr>
        <w:t xml:space="preserve">seventh five-year plan </w:t>
      </w:r>
      <w:r w:rsidR="00CD26EA">
        <w:rPr>
          <w:sz w:val="20"/>
          <w:szCs w:val="20"/>
          <w:lang w:val="en-GB"/>
        </w:rPr>
        <w:t xml:space="preserve">of Bangladesh, </w:t>
      </w:r>
      <w:r w:rsidR="00A53723" w:rsidRPr="000B2DCA">
        <w:rPr>
          <w:sz w:val="20"/>
          <w:szCs w:val="20"/>
          <w:lang w:val="en-GB"/>
        </w:rPr>
        <w:t>o</w:t>
      </w:r>
      <w:r w:rsidR="00A308A4" w:rsidRPr="000B2DCA">
        <w:rPr>
          <w:sz w:val="20"/>
          <w:szCs w:val="20"/>
          <w:lang w:val="en-GB"/>
        </w:rPr>
        <w:t xml:space="preserve">utcomes 2, 10 and 13, </w:t>
      </w:r>
      <w:r w:rsidR="00FE7037" w:rsidRPr="000B2DCA">
        <w:rPr>
          <w:sz w:val="20"/>
          <w:szCs w:val="20"/>
          <w:lang w:val="en-GB"/>
        </w:rPr>
        <w:t xml:space="preserve">UNDP will assist the Government </w:t>
      </w:r>
      <w:r w:rsidR="00052294">
        <w:rPr>
          <w:sz w:val="20"/>
          <w:szCs w:val="20"/>
          <w:lang w:val="en-GB"/>
        </w:rPr>
        <w:t>in</w:t>
      </w:r>
      <w:r w:rsidR="00052294" w:rsidRPr="000B2DCA">
        <w:rPr>
          <w:sz w:val="20"/>
          <w:szCs w:val="20"/>
          <w:lang w:val="en-GB"/>
        </w:rPr>
        <w:t xml:space="preserve"> </w:t>
      </w:r>
      <w:r w:rsidR="00FE7037" w:rsidRPr="000B2DCA">
        <w:rPr>
          <w:sz w:val="20"/>
          <w:szCs w:val="20"/>
          <w:lang w:val="en-GB"/>
        </w:rPr>
        <w:t>target</w:t>
      </w:r>
      <w:r w:rsidR="00052294">
        <w:rPr>
          <w:sz w:val="20"/>
          <w:szCs w:val="20"/>
          <w:lang w:val="en-GB"/>
        </w:rPr>
        <w:t>ing</w:t>
      </w:r>
      <w:r w:rsidR="00FE7037" w:rsidRPr="000B2DCA">
        <w:rPr>
          <w:sz w:val="20"/>
          <w:szCs w:val="20"/>
          <w:lang w:val="en-GB"/>
        </w:rPr>
        <w:t xml:space="preserve"> remaining pockets of poverty</w:t>
      </w:r>
      <w:r w:rsidR="00132306" w:rsidRPr="000B2DCA">
        <w:rPr>
          <w:sz w:val="20"/>
          <w:szCs w:val="20"/>
          <w:lang w:val="en-GB"/>
        </w:rPr>
        <w:t>.</w:t>
      </w:r>
      <w:r w:rsidR="00FE7037" w:rsidRPr="000B2DCA">
        <w:rPr>
          <w:sz w:val="20"/>
          <w:szCs w:val="20"/>
          <w:lang w:val="en-GB"/>
        </w:rPr>
        <w:t xml:space="preserve"> </w:t>
      </w:r>
      <w:r w:rsidR="004030AF" w:rsidRPr="000B2DCA">
        <w:rPr>
          <w:sz w:val="20"/>
          <w:szCs w:val="20"/>
          <w:lang w:val="en-GB"/>
        </w:rPr>
        <w:t xml:space="preserve">The </w:t>
      </w:r>
      <w:r w:rsidR="00052294">
        <w:rPr>
          <w:sz w:val="20"/>
          <w:szCs w:val="20"/>
          <w:lang w:val="en-GB"/>
        </w:rPr>
        <w:t>country programme</w:t>
      </w:r>
      <w:r w:rsidR="00052294" w:rsidRPr="000B2DCA">
        <w:rPr>
          <w:sz w:val="20"/>
          <w:szCs w:val="20"/>
          <w:lang w:val="en-GB"/>
        </w:rPr>
        <w:t xml:space="preserve"> </w:t>
      </w:r>
      <w:r w:rsidR="004030AF" w:rsidRPr="000B2DCA">
        <w:rPr>
          <w:sz w:val="20"/>
          <w:szCs w:val="20"/>
          <w:lang w:val="en-GB"/>
        </w:rPr>
        <w:t xml:space="preserve">will </w:t>
      </w:r>
      <w:r w:rsidR="00366414" w:rsidRPr="000B2DCA">
        <w:rPr>
          <w:sz w:val="20"/>
          <w:szCs w:val="20"/>
          <w:lang w:val="en-GB"/>
        </w:rPr>
        <w:t>support the economic empowerment of women</w:t>
      </w:r>
      <w:r w:rsidR="002F5A97">
        <w:rPr>
          <w:sz w:val="20"/>
          <w:szCs w:val="20"/>
          <w:lang w:val="en-GB"/>
        </w:rPr>
        <w:t>,</w:t>
      </w:r>
      <w:r w:rsidR="00366414" w:rsidRPr="000B2DCA">
        <w:rPr>
          <w:sz w:val="20"/>
          <w:szCs w:val="20"/>
          <w:lang w:val="en-GB"/>
        </w:rPr>
        <w:t xml:space="preserve"> expand</w:t>
      </w:r>
      <w:r w:rsidR="002F5A97">
        <w:rPr>
          <w:sz w:val="20"/>
          <w:szCs w:val="20"/>
          <w:lang w:val="en-GB"/>
        </w:rPr>
        <w:t>ing</w:t>
      </w:r>
      <w:r w:rsidR="00151AFC" w:rsidRPr="000B2DCA">
        <w:rPr>
          <w:sz w:val="20"/>
          <w:szCs w:val="20"/>
          <w:lang w:val="en-GB"/>
        </w:rPr>
        <w:t xml:space="preserve"> opportunities for them </w:t>
      </w:r>
      <w:r w:rsidR="004030AF" w:rsidRPr="000B2DCA">
        <w:rPr>
          <w:sz w:val="20"/>
          <w:szCs w:val="20"/>
          <w:lang w:val="en-GB"/>
        </w:rPr>
        <w:t>to contribute to and bene</w:t>
      </w:r>
      <w:r w:rsidR="00F56188" w:rsidRPr="000B2DCA">
        <w:rPr>
          <w:sz w:val="20"/>
          <w:szCs w:val="20"/>
          <w:lang w:val="en-GB"/>
        </w:rPr>
        <w:t xml:space="preserve">fit from economic progress. </w:t>
      </w:r>
      <w:r w:rsidR="002F5A97">
        <w:rPr>
          <w:sz w:val="20"/>
          <w:szCs w:val="20"/>
          <w:lang w:val="en-GB"/>
        </w:rPr>
        <w:t>W</w:t>
      </w:r>
      <w:r w:rsidR="0064645E" w:rsidRPr="000B2DCA">
        <w:rPr>
          <w:sz w:val="20"/>
          <w:szCs w:val="20"/>
          <w:lang w:val="en-GB"/>
        </w:rPr>
        <w:t>ith UNCDF</w:t>
      </w:r>
      <w:r w:rsidR="00ED32FD" w:rsidRPr="000B2DCA">
        <w:rPr>
          <w:sz w:val="20"/>
          <w:szCs w:val="20"/>
          <w:lang w:val="en-GB"/>
        </w:rPr>
        <w:t xml:space="preserve"> and UN</w:t>
      </w:r>
      <w:r w:rsidR="002F5A97">
        <w:rPr>
          <w:sz w:val="20"/>
          <w:szCs w:val="20"/>
          <w:lang w:val="en-GB"/>
        </w:rPr>
        <w:t>-</w:t>
      </w:r>
      <w:r w:rsidR="00ED32FD" w:rsidRPr="000B2DCA">
        <w:rPr>
          <w:sz w:val="20"/>
          <w:szCs w:val="20"/>
          <w:lang w:val="en-GB"/>
        </w:rPr>
        <w:t>Women</w:t>
      </w:r>
      <w:r w:rsidR="00EA163F" w:rsidRPr="000B2DCA">
        <w:rPr>
          <w:sz w:val="20"/>
          <w:szCs w:val="20"/>
          <w:lang w:val="en-GB"/>
        </w:rPr>
        <w:t>,</w:t>
      </w:r>
      <w:r w:rsidR="0064645E" w:rsidRPr="000B2DCA">
        <w:rPr>
          <w:sz w:val="20"/>
          <w:szCs w:val="20"/>
          <w:lang w:val="en-GB"/>
        </w:rPr>
        <w:t xml:space="preserve"> UNDP will generate and apply</w:t>
      </w:r>
      <w:r w:rsidR="00396B48" w:rsidRPr="000B2DCA">
        <w:rPr>
          <w:sz w:val="20"/>
          <w:szCs w:val="20"/>
          <w:lang w:val="en-GB"/>
        </w:rPr>
        <w:t xml:space="preserve"> learning and analysis on</w:t>
      </w:r>
      <w:r w:rsidR="00EA163F" w:rsidRPr="000B2DCA">
        <w:rPr>
          <w:sz w:val="20"/>
          <w:szCs w:val="20"/>
          <w:lang w:val="en-GB"/>
        </w:rPr>
        <w:t xml:space="preserve"> formal and informal </w:t>
      </w:r>
      <w:r w:rsidR="00151AFC" w:rsidRPr="000B2DCA">
        <w:rPr>
          <w:sz w:val="20"/>
          <w:szCs w:val="20"/>
          <w:lang w:val="en-GB"/>
        </w:rPr>
        <w:t xml:space="preserve">economic </w:t>
      </w:r>
      <w:r w:rsidR="00EA163F" w:rsidRPr="000B2DCA">
        <w:rPr>
          <w:sz w:val="20"/>
          <w:szCs w:val="20"/>
          <w:lang w:val="en-GB"/>
        </w:rPr>
        <w:t xml:space="preserve">growth patterns, </w:t>
      </w:r>
      <w:r w:rsidR="00151AFC" w:rsidRPr="000B2DCA">
        <w:rPr>
          <w:sz w:val="20"/>
          <w:szCs w:val="20"/>
          <w:lang w:val="en-GB"/>
        </w:rPr>
        <w:t>barriers and opportunities in</w:t>
      </w:r>
      <w:r w:rsidR="003C7F1F" w:rsidRPr="000B2DCA">
        <w:rPr>
          <w:sz w:val="20"/>
          <w:szCs w:val="20"/>
          <w:lang w:val="en-GB"/>
        </w:rPr>
        <w:t xml:space="preserve"> access</w:t>
      </w:r>
      <w:r w:rsidR="00151AFC" w:rsidRPr="000B2DCA">
        <w:rPr>
          <w:sz w:val="20"/>
          <w:szCs w:val="20"/>
          <w:lang w:val="en-GB"/>
        </w:rPr>
        <w:t>ing</w:t>
      </w:r>
      <w:r w:rsidR="003C7F1F" w:rsidRPr="000B2DCA">
        <w:rPr>
          <w:sz w:val="20"/>
          <w:szCs w:val="20"/>
          <w:lang w:val="en-GB"/>
        </w:rPr>
        <w:t xml:space="preserve"> markets and financing</w:t>
      </w:r>
      <w:r w:rsidR="00151AFC" w:rsidRPr="000B2DCA">
        <w:rPr>
          <w:sz w:val="20"/>
          <w:szCs w:val="20"/>
          <w:lang w:val="en-GB"/>
        </w:rPr>
        <w:t>, and adaptive qualities</w:t>
      </w:r>
      <w:r w:rsidR="003C7F1F" w:rsidRPr="000B2DCA">
        <w:rPr>
          <w:sz w:val="20"/>
          <w:szCs w:val="20"/>
          <w:lang w:val="en-GB"/>
        </w:rPr>
        <w:t xml:space="preserve">. </w:t>
      </w:r>
      <w:r w:rsidR="00151AFC" w:rsidRPr="000B2DCA">
        <w:rPr>
          <w:sz w:val="20"/>
          <w:szCs w:val="20"/>
          <w:lang w:val="en-GB"/>
        </w:rPr>
        <w:t xml:space="preserve">This </w:t>
      </w:r>
      <w:r w:rsidR="004F6E4B" w:rsidRPr="000B2DCA">
        <w:rPr>
          <w:sz w:val="20"/>
          <w:szCs w:val="20"/>
          <w:lang w:val="en-GB"/>
        </w:rPr>
        <w:t xml:space="preserve">will inform </w:t>
      </w:r>
      <w:r w:rsidR="002F5A97">
        <w:rPr>
          <w:sz w:val="20"/>
          <w:szCs w:val="20"/>
          <w:lang w:val="en-GB"/>
        </w:rPr>
        <w:t xml:space="preserve">the </w:t>
      </w:r>
      <w:r w:rsidR="0064645E" w:rsidRPr="000B2DCA">
        <w:rPr>
          <w:sz w:val="20"/>
          <w:szCs w:val="20"/>
          <w:lang w:val="en-GB"/>
        </w:rPr>
        <w:t xml:space="preserve">finalization and </w:t>
      </w:r>
      <w:r w:rsidR="004030AF" w:rsidRPr="000B2DCA">
        <w:rPr>
          <w:sz w:val="20"/>
          <w:szCs w:val="20"/>
          <w:lang w:val="en-GB"/>
        </w:rPr>
        <w:t xml:space="preserve">implementation of the </w:t>
      </w:r>
      <w:r w:rsidR="002F5A97">
        <w:rPr>
          <w:sz w:val="20"/>
          <w:szCs w:val="20"/>
          <w:lang w:val="en-GB"/>
        </w:rPr>
        <w:t>n</w:t>
      </w:r>
      <w:r w:rsidR="0064645E" w:rsidRPr="000B2DCA">
        <w:rPr>
          <w:sz w:val="20"/>
          <w:szCs w:val="20"/>
          <w:lang w:val="en-GB"/>
        </w:rPr>
        <w:t xml:space="preserve">ational </w:t>
      </w:r>
      <w:r w:rsidR="002F5A97">
        <w:rPr>
          <w:sz w:val="20"/>
          <w:szCs w:val="20"/>
          <w:lang w:val="en-GB"/>
        </w:rPr>
        <w:t>f</w:t>
      </w:r>
      <w:r w:rsidR="004030AF" w:rsidRPr="000B2DCA">
        <w:rPr>
          <w:sz w:val="20"/>
          <w:szCs w:val="20"/>
          <w:lang w:val="en-GB"/>
        </w:rPr>
        <w:t xml:space="preserve">inancial </w:t>
      </w:r>
      <w:r w:rsidR="002F5A97">
        <w:rPr>
          <w:sz w:val="20"/>
          <w:szCs w:val="20"/>
          <w:lang w:val="en-GB"/>
        </w:rPr>
        <w:t>i</w:t>
      </w:r>
      <w:r w:rsidR="004030AF" w:rsidRPr="000B2DCA">
        <w:rPr>
          <w:sz w:val="20"/>
          <w:szCs w:val="20"/>
          <w:lang w:val="en-GB"/>
        </w:rPr>
        <w:t xml:space="preserve">nclusion </w:t>
      </w:r>
      <w:r w:rsidR="002F5A97">
        <w:rPr>
          <w:sz w:val="20"/>
          <w:szCs w:val="20"/>
          <w:lang w:val="en-GB"/>
        </w:rPr>
        <w:t>s</w:t>
      </w:r>
      <w:r w:rsidR="004030AF" w:rsidRPr="000B2DCA">
        <w:rPr>
          <w:sz w:val="20"/>
          <w:szCs w:val="20"/>
          <w:lang w:val="en-GB"/>
        </w:rPr>
        <w:t>trategy</w:t>
      </w:r>
      <w:r w:rsidR="0064645E" w:rsidRPr="000B2DCA">
        <w:rPr>
          <w:sz w:val="20"/>
          <w:szCs w:val="20"/>
          <w:lang w:val="en-GB"/>
        </w:rPr>
        <w:t xml:space="preserve">, </w:t>
      </w:r>
      <w:r w:rsidR="004F6E4B" w:rsidRPr="000B2DCA">
        <w:rPr>
          <w:sz w:val="20"/>
          <w:szCs w:val="20"/>
          <w:lang w:val="en-GB"/>
        </w:rPr>
        <w:t xml:space="preserve">developed </w:t>
      </w:r>
      <w:r w:rsidR="0064645E" w:rsidRPr="000B2DCA">
        <w:rPr>
          <w:sz w:val="20"/>
          <w:szCs w:val="20"/>
          <w:lang w:val="en-GB"/>
        </w:rPr>
        <w:t>in partnersh</w:t>
      </w:r>
      <w:r w:rsidR="00F56188" w:rsidRPr="000B2DCA">
        <w:rPr>
          <w:sz w:val="20"/>
          <w:szCs w:val="20"/>
          <w:lang w:val="en-GB"/>
        </w:rPr>
        <w:t xml:space="preserve">ip with </w:t>
      </w:r>
      <w:r w:rsidR="00396B48" w:rsidRPr="000B2DCA">
        <w:rPr>
          <w:sz w:val="20"/>
          <w:szCs w:val="20"/>
          <w:lang w:val="en-GB"/>
        </w:rPr>
        <w:t xml:space="preserve">the Prime Minister’s </w:t>
      </w:r>
      <w:r w:rsidR="002F5A97">
        <w:rPr>
          <w:sz w:val="20"/>
          <w:szCs w:val="20"/>
          <w:lang w:val="en-GB"/>
        </w:rPr>
        <w:t>o</w:t>
      </w:r>
      <w:r w:rsidR="00F56188" w:rsidRPr="000B2DCA">
        <w:rPr>
          <w:sz w:val="20"/>
          <w:szCs w:val="20"/>
          <w:lang w:val="en-GB"/>
        </w:rPr>
        <w:t>ffice and the</w:t>
      </w:r>
      <w:r w:rsidR="0064645E" w:rsidRPr="000B2DCA">
        <w:rPr>
          <w:sz w:val="20"/>
          <w:szCs w:val="20"/>
          <w:lang w:val="en-GB"/>
        </w:rPr>
        <w:t xml:space="preserve"> Bangladesh Bank</w:t>
      </w:r>
      <w:r w:rsidR="00396B48" w:rsidRPr="000B2DCA">
        <w:rPr>
          <w:sz w:val="20"/>
          <w:szCs w:val="20"/>
          <w:lang w:val="en-GB"/>
        </w:rPr>
        <w:t>.</w:t>
      </w:r>
      <w:r w:rsidR="00151AFC" w:rsidRPr="000B2DCA">
        <w:rPr>
          <w:sz w:val="20"/>
          <w:szCs w:val="20"/>
          <w:lang w:val="en-GB"/>
        </w:rPr>
        <w:t xml:space="preserve"> UNDP will also mobilize innovative financing mechanism</w:t>
      </w:r>
      <w:r w:rsidR="00A641AB" w:rsidRPr="000B2DCA">
        <w:rPr>
          <w:sz w:val="20"/>
          <w:szCs w:val="20"/>
          <w:lang w:val="en-GB"/>
        </w:rPr>
        <w:t>s such as revolving community housing funds.</w:t>
      </w:r>
    </w:p>
    <w:p w14:paraId="67953FBE" w14:textId="45103CD6" w:rsidR="00C53600" w:rsidRPr="000B2DCA" w:rsidRDefault="00681A5B" w:rsidP="000B2DCA">
      <w:pPr>
        <w:pStyle w:val="ListParagraph"/>
        <w:numPr>
          <w:ilvl w:val="0"/>
          <w:numId w:val="3"/>
        </w:numPr>
        <w:tabs>
          <w:tab w:val="left" w:pos="1080"/>
          <w:tab w:val="left" w:pos="8640"/>
          <w:tab w:val="left" w:pos="9180"/>
        </w:tabs>
        <w:spacing w:after="120"/>
        <w:ind w:firstLine="0"/>
        <w:jc w:val="both"/>
        <w:rPr>
          <w:sz w:val="20"/>
          <w:szCs w:val="20"/>
        </w:rPr>
      </w:pPr>
      <w:r w:rsidRPr="000B2DCA">
        <w:rPr>
          <w:sz w:val="20"/>
          <w:szCs w:val="20"/>
        </w:rPr>
        <w:t>UNDP will scale</w:t>
      </w:r>
      <w:r w:rsidR="00A308A4" w:rsidRPr="000B2DCA">
        <w:rPr>
          <w:sz w:val="20"/>
          <w:szCs w:val="20"/>
        </w:rPr>
        <w:t xml:space="preserve"> up</w:t>
      </w:r>
      <w:r w:rsidR="0018190C" w:rsidRPr="000B2DCA">
        <w:rPr>
          <w:sz w:val="20"/>
          <w:szCs w:val="20"/>
        </w:rPr>
        <w:t xml:space="preserve"> </w:t>
      </w:r>
      <w:r w:rsidR="00B40CBA" w:rsidRPr="000B2DCA">
        <w:rPr>
          <w:sz w:val="20"/>
          <w:szCs w:val="20"/>
        </w:rPr>
        <w:t xml:space="preserve">successful </w:t>
      </w:r>
      <w:r w:rsidR="00A641AB" w:rsidRPr="000B2DCA">
        <w:rPr>
          <w:sz w:val="20"/>
          <w:szCs w:val="20"/>
        </w:rPr>
        <w:t xml:space="preserve">urban </w:t>
      </w:r>
      <w:r w:rsidR="0018190C" w:rsidRPr="000B2DCA">
        <w:rPr>
          <w:sz w:val="20"/>
          <w:szCs w:val="20"/>
        </w:rPr>
        <w:t>poverty</w:t>
      </w:r>
      <w:r w:rsidR="00A308A4" w:rsidRPr="000B2DCA">
        <w:rPr>
          <w:sz w:val="20"/>
          <w:szCs w:val="20"/>
        </w:rPr>
        <w:t xml:space="preserve"> </w:t>
      </w:r>
      <w:r w:rsidRPr="000B2DCA">
        <w:rPr>
          <w:sz w:val="20"/>
          <w:szCs w:val="20"/>
        </w:rPr>
        <w:t xml:space="preserve">reduction </w:t>
      </w:r>
      <w:r w:rsidR="0018190C" w:rsidRPr="000B2DCA">
        <w:rPr>
          <w:sz w:val="20"/>
          <w:szCs w:val="20"/>
        </w:rPr>
        <w:t>inter</w:t>
      </w:r>
      <w:r w:rsidR="00593A11" w:rsidRPr="000B2DCA">
        <w:rPr>
          <w:sz w:val="20"/>
          <w:szCs w:val="20"/>
        </w:rPr>
        <w:t xml:space="preserve">ventions from three </w:t>
      </w:r>
      <w:r w:rsidR="002F5A97">
        <w:rPr>
          <w:sz w:val="20"/>
          <w:szCs w:val="20"/>
        </w:rPr>
        <w:t xml:space="preserve">million </w:t>
      </w:r>
      <w:r w:rsidR="00593A11" w:rsidRPr="000B2DCA">
        <w:rPr>
          <w:sz w:val="20"/>
          <w:szCs w:val="20"/>
        </w:rPr>
        <w:t>to nine</w:t>
      </w:r>
      <w:r w:rsidR="005860A4" w:rsidRPr="000B2DCA">
        <w:rPr>
          <w:sz w:val="20"/>
          <w:szCs w:val="20"/>
        </w:rPr>
        <w:t xml:space="preserve"> million </w:t>
      </w:r>
      <w:r w:rsidR="00C81332" w:rsidRPr="000B2DCA">
        <w:rPr>
          <w:sz w:val="20"/>
          <w:szCs w:val="20"/>
        </w:rPr>
        <w:t>people</w:t>
      </w:r>
      <w:r w:rsidR="00593A11" w:rsidRPr="000B2DCA">
        <w:rPr>
          <w:sz w:val="20"/>
          <w:szCs w:val="20"/>
        </w:rPr>
        <w:t xml:space="preserve"> </w:t>
      </w:r>
      <w:r w:rsidR="005860A4" w:rsidRPr="000B2DCA">
        <w:rPr>
          <w:sz w:val="20"/>
          <w:szCs w:val="20"/>
        </w:rPr>
        <w:t>in 35</w:t>
      </w:r>
      <w:r w:rsidR="0018190C" w:rsidRPr="000B2DCA">
        <w:rPr>
          <w:sz w:val="20"/>
          <w:szCs w:val="20"/>
        </w:rPr>
        <w:t xml:space="preserve"> towns and cities.</w:t>
      </w:r>
      <w:r w:rsidR="00A308A4" w:rsidRPr="000B2DCA">
        <w:rPr>
          <w:sz w:val="20"/>
          <w:szCs w:val="20"/>
        </w:rPr>
        <w:t xml:space="preserve"> </w:t>
      </w:r>
      <w:r w:rsidR="00ED32FD" w:rsidRPr="000B2DCA">
        <w:rPr>
          <w:sz w:val="20"/>
          <w:szCs w:val="20"/>
        </w:rPr>
        <w:t>In partnership with</w:t>
      </w:r>
      <w:r w:rsidR="00593A11" w:rsidRPr="000B2DCA">
        <w:rPr>
          <w:sz w:val="20"/>
          <w:szCs w:val="20"/>
        </w:rPr>
        <w:t xml:space="preserve"> the Local Government Division</w:t>
      </w:r>
      <w:r w:rsidR="00F56188" w:rsidRPr="000B2DCA">
        <w:rPr>
          <w:sz w:val="20"/>
          <w:szCs w:val="20"/>
        </w:rPr>
        <w:t xml:space="preserve">, </w:t>
      </w:r>
      <w:r w:rsidR="00593A11" w:rsidRPr="000B2DCA">
        <w:rPr>
          <w:sz w:val="20"/>
          <w:szCs w:val="20"/>
        </w:rPr>
        <w:t>UKaid</w:t>
      </w:r>
      <w:r w:rsidR="002F5A97">
        <w:rPr>
          <w:sz w:val="20"/>
          <w:szCs w:val="20"/>
        </w:rPr>
        <w:t>,</w:t>
      </w:r>
      <w:r w:rsidR="00F56188" w:rsidRPr="000B2DCA">
        <w:rPr>
          <w:sz w:val="20"/>
          <w:szCs w:val="20"/>
        </w:rPr>
        <w:t xml:space="preserve"> and </w:t>
      </w:r>
      <w:r w:rsidR="002F5A97" w:rsidRPr="002F5A97">
        <w:rPr>
          <w:sz w:val="20"/>
          <w:szCs w:val="20"/>
        </w:rPr>
        <w:t>town federations and community development committees</w:t>
      </w:r>
      <w:r w:rsidR="00593A11" w:rsidRPr="000B2DCA">
        <w:rPr>
          <w:sz w:val="20"/>
          <w:szCs w:val="20"/>
        </w:rPr>
        <w:t xml:space="preserve">, UNDP </w:t>
      </w:r>
      <w:r w:rsidR="00A308A4" w:rsidRPr="000B2DCA">
        <w:rPr>
          <w:sz w:val="20"/>
          <w:szCs w:val="20"/>
        </w:rPr>
        <w:t xml:space="preserve">will </w:t>
      </w:r>
      <w:r w:rsidR="00593A11" w:rsidRPr="000B2DCA">
        <w:rPr>
          <w:sz w:val="20"/>
          <w:szCs w:val="20"/>
        </w:rPr>
        <w:t>focus on improving</w:t>
      </w:r>
      <w:r w:rsidR="006D035D" w:rsidRPr="000B2DCA">
        <w:rPr>
          <w:sz w:val="20"/>
          <w:szCs w:val="20"/>
        </w:rPr>
        <w:t xml:space="preserve"> </w:t>
      </w:r>
      <w:r w:rsidR="002F5A97">
        <w:rPr>
          <w:sz w:val="20"/>
          <w:szCs w:val="20"/>
        </w:rPr>
        <w:t xml:space="preserve">the </w:t>
      </w:r>
      <w:r w:rsidR="00A308A4" w:rsidRPr="000B2DCA">
        <w:rPr>
          <w:sz w:val="20"/>
          <w:szCs w:val="20"/>
        </w:rPr>
        <w:t>livelihoods and livin</w:t>
      </w:r>
      <w:r w:rsidR="00593A11" w:rsidRPr="000B2DCA">
        <w:rPr>
          <w:sz w:val="20"/>
          <w:szCs w:val="20"/>
        </w:rPr>
        <w:t>g conditions of the urban poor</w:t>
      </w:r>
      <w:r w:rsidR="00F56188" w:rsidRPr="000B2DCA">
        <w:rPr>
          <w:sz w:val="20"/>
          <w:szCs w:val="20"/>
        </w:rPr>
        <w:t xml:space="preserve"> </w:t>
      </w:r>
      <w:r w:rsidR="006D035D" w:rsidRPr="000B2DCA">
        <w:rPr>
          <w:sz w:val="20"/>
          <w:szCs w:val="20"/>
        </w:rPr>
        <w:t xml:space="preserve">through </w:t>
      </w:r>
      <w:r w:rsidR="00593A11" w:rsidRPr="000B2DCA">
        <w:rPr>
          <w:sz w:val="20"/>
          <w:szCs w:val="20"/>
        </w:rPr>
        <w:t xml:space="preserve">community mobilization, </w:t>
      </w:r>
      <w:r w:rsidR="004F6E4B" w:rsidRPr="000B2DCA">
        <w:rPr>
          <w:sz w:val="20"/>
          <w:szCs w:val="20"/>
        </w:rPr>
        <w:t xml:space="preserve">job creation and </w:t>
      </w:r>
      <w:r w:rsidR="00B27DCA" w:rsidRPr="000B2DCA">
        <w:rPr>
          <w:sz w:val="20"/>
          <w:szCs w:val="20"/>
        </w:rPr>
        <w:t>skills</w:t>
      </w:r>
      <w:r w:rsidR="00593A11" w:rsidRPr="000B2DCA">
        <w:rPr>
          <w:sz w:val="20"/>
          <w:szCs w:val="20"/>
        </w:rPr>
        <w:t xml:space="preserve"> </w:t>
      </w:r>
      <w:r w:rsidR="004F6E4B" w:rsidRPr="000B2DCA">
        <w:rPr>
          <w:sz w:val="20"/>
          <w:szCs w:val="20"/>
        </w:rPr>
        <w:t xml:space="preserve">development in collaboration </w:t>
      </w:r>
      <w:r w:rsidR="00593A11" w:rsidRPr="000B2DCA">
        <w:rPr>
          <w:sz w:val="20"/>
          <w:szCs w:val="20"/>
        </w:rPr>
        <w:t>with the private sector</w:t>
      </w:r>
      <w:r w:rsidR="00A63330" w:rsidRPr="000B2DCA">
        <w:rPr>
          <w:sz w:val="20"/>
          <w:szCs w:val="20"/>
        </w:rPr>
        <w:t>, harnessing the Business Call to Action.</w:t>
      </w:r>
      <w:r w:rsidR="00593A11" w:rsidRPr="000B2DCA">
        <w:rPr>
          <w:sz w:val="20"/>
          <w:szCs w:val="20"/>
        </w:rPr>
        <w:t xml:space="preserve"> </w:t>
      </w:r>
      <w:r w:rsidR="00C157DD" w:rsidRPr="000B2DCA">
        <w:rPr>
          <w:sz w:val="20"/>
          <w:szCs w:val="20"/>
        </w:rPr>
        <w:t xml:space="preserve">UNDP will seek to </w:t>
      </w:r>
      <w:r w:rsidR="00957661" w:rsidRPr="000B2DCA">
        <w:rPr>
          <w:sz w:val="20"/>
          <w:szCs w:val="20"/>
        </w:rPr>
        <w:t xml:space="preserve">expand </w:t>
      </w:r>
      <w:r w:rsidR="002F5A97">
        <w:rPr>
          <w:sz w:val="20"/>
          <w:szCs w:val="20"/>
        </w:rPr>
        <w:t>information and communications technology</w:t>
      </w:r>
      <w:r w:rsidR="00957661" w:rsidRPr="000B2DCA">
        <w:rPr>
          <w:sz w:val="20"/>
          <w:szCs w:val="20"/>
        </w:rPr>
        <w:t>-enabled</w:t>
      </w:r>
      <w:r w:rsidR="00A641AB" w:rsidRPr="000B2DCA">
        <w:rPr>
          <w:sz w:val="20"/>
          <w:szCs w:val="20"/>
        </w:rPr>
        <w:t xml:space="preserve"> development and social inclusion, including </w:t>
      </w:r>
      <w:r w:rsidR="002F5A97">
        <w:rPr>
          <w:sz w:val="20"/>
          <w:szCs w:val="20"/>
        </w:rPr>
        <w:t>through</w:t>
      </w:r>
      <w:r w:rsidR="002F5A97" w:rsidRPr="000B2DCA">
        <w:rPr>
          <w:sz w:val="20"/>
          <w:szCs w:val="20"/>
        </w:rPr>
        <w:t xml:space="preserve"> </w:t>
      </w:r>
      <w:r w:rsidR="00A641AB" w:rsidRPr="000B2DCA">
        <w:rPr>
          <w:sz w:val="20"/>
          <w:szCs w:val="20"/>
        </w:rPr>
        <w:t xml:space="preserve">training and apprenticeships and </w:t>
      </w:r>
      <w:r w:rsidR="00957661" w:rsidRPr="000B2DCA">
        <w:rPr>
          <w:sz w:val="20"/>
          <w:szCs w:val="20"/>
        </w:rPr>
        <w:t>citizen-centric union digital cent</w:t>
      </w:r>
      <w:r w:rsidR="00A36696" w:rsidRPr="000B2DCA">
        <w:rPr>
          <w:sz w:val="20"/>
          <w:szCs w:val="20"/>
        </w:rPr>
        <w:t>re</w:t>
      </w:r>
      <w:r w:rsidR="00957661" w:rsidRPr="000B2DCA">
        <w:rPr>
          <w:sz w:val="20"/>
          <w:szCs w:val="20"/>
        </w:rPr>
        <w:t>s</w:t>
      </w:r>
      <w:r w:rsidR="002F5A97">
        <w:rPr>
          <w:sz w:val="20"/>
          <w:szCs w:val="20"/>
        </w:rPr>
        <w:t>,</w:t>
      </w:r>
      <w:r w:rsidR="00957661" w:rsidRPr="000B2DCA">
        <w:rPr>
          <w:sz w:val="20"/>
          <w:szCs w:val="20"/>
        </w:rPr>
        <w:t xml:space="preserve"> to drive rural development</w:t>
      </w:r>
      <w:r w:rsidR="00A641AB" w:rsidRPr="000B2DCA">
        <w:rPr>
          <w:sz w:val="20"/>
          <w:szCs w:val="20"/>
        </w:rPr>
        <w:t>.</w:t>
      </w:r>
      <w:r w:rsidR="00840006" w:rsidRPr="000B2DCA">
        <w:rPr>
          <w:sz w:val="20"/>
          <w:szCs w:val="20"/>
        </w:rPr>
        <w:t xml:space="preserve"> I</w:t>
      </w:r>
      <w:r w:rsidR="00C53600" w:rsidRPr="000B2DCA">
        <w:rPr>
          <w:sz w:val="20"/>
          <w:szCs w:val="20"/>
        </w:rPr>
        <w:t xml:space="preserve">nclusive </w:t>
      </w:r>
      <w:r w:rsidR="00840006" w:rsidRPr="000B2DCA">
        <w:rPr>
          <w:sz w:val="20"/>
          <w:szCs w:val="20"/>
        </w:rPr>
        <w:t>policy and governance frameworks will create an enabling environm</w:t>
      </w:r>
      <w:r w:rsidR="006B2C2E" w:rsidRPr="000B2DCA">
        <w:rPr>
          <w:sz w:val="20"/>
          <w:szCs w:val="20"/>
        </w:rPr>
        <w:t>ent for pro-</w:t>
      </w:r>
      <w:r w:rsidR="00840006" w:rsidRPr="000B2DCA">
        <w:rPr>
          <w:sz w:val="20"/>
          <w:szCs w:val="20"/>
        </w:rPr>
        <w:t>poor and green</w:t>
      </w:r>
      <w:r w:rsidR="00C53600" w:rsidRPr="000B2DCA">
        <w:rPr>
          <w:sz w:val="20"/>
          <w:szCs w:val="20"/>
        </w:rPr>
        <w:t xml:space="preserve"> economic initiatives and</w:t>
      </w:r>
      <w:r w:rsidR="00840006" w:rsidRPr="000B2DCA">
        <w:rPr>
          <w:sz w:val="20"/>
          <w:szCs w:val="20"/>
        </w:rPr>
        <w:t xml:space="preserve"> growth, and will address </w:t>
      </w:r>
      <w:r w:rsidR="002F5A97">
        <w:rPr>
          <w:sz w:val="20"/>
          <w:szCs w:val="20"/>
        </w:rPr>
        <w:t xml:space="preserve">the </w:t>
      </w:r>
      <w:r w:rsidR="00840006" w:rsidRPr="000B2DCA">
        <w:rPr>
          <w:sz w:val="20"/>
          <w:szCs w:val="20"/>
        </w:rPr>
        <w:t>cause</w:t>
      </w:r>
      <w:r w:rsidR="002F5A97">
        <w:rPr>
          <w:sz w:val="20"/>
          <w:szCs w:val="20"/>
        </w:rPr>
        <w:t>s</w:t>
      </w:r>
      <w:r w:rsidR="00840006" w:rsidRPr="000B2DCA">
        <w:rPr>
          <w:sz w:val="20"/>
          <w:szCs w:val="20"/>
        </w:rPr>
        <w:t xml:space="preserve"> and effect</w:t>
      </w:r>
      <w:r w:rsidR="002F5A97">
        <w:rPr>
          <w:sz w:val="20"/>
          <w:szCs w:val="20"/>
        </w:rPr>
        <w:t>s</w:t>
      </w:r>
      <w:r w:rsidR="00840006" w:rsidRPr="000B2DCA">
        <w:rPr>
          <w:sz w:val="20"/>
          <w:szCs w:val="20"/>
        </w:rPr>
        <w:t xml:space="preserve"> of rapid urbanization, including access to sustainable energy and chemical and waste management</w:t>
      </w:r>
      <w:r w:rsidR="00F46466" w:rsidRPr="000B2DCA">
        <w:rPr>
          <w:sz w:val="20"/>
          <w:szCs w:val="20"/>
        </w:rPr>
        <w:t xml:space="preserve">. </w:t>
      </w:r>
    </w:p>
    <w:p w14:paraId="66EEA477" w14:textId="25A736ED" w:rsidR="00FA1093" w:rsidRPr="000B2DCA" w:rsidRDefault="00FA1093" w:rsidP="000B2DCA">
      <w:pPr>
        <w:widowControl w:val="0"/>
        <w:tabs>
          <w:tab w:val="left" w:pos="220"/>
          <w:tab w:val="left" w:pos="720"/>
          <w:tab w:val="left" w:pos="1080"/>
          <w:tab w:val="left" w:pos="8640"/>
          <w:tab w:val="left" w:pos="9180"/>
        </w:tabs>
        <w:autoSpaceDE w:val="0"/>
        <w:autoSpaceDN w:val="0"/>
        <w:adjustRightInd w:val="0"/>
        <w:spacing w:after="120"/>
        <w:ind w:left="720"/>
        <w:jc w:val="both"/>
        <w:rPr>
          <w:b/>
          <w:i/>
          <w:sz w:val="20"/>
          <w:szCs w:val="20"/>
        </w:rPr>
      </w:pPr>
      <w:r w:rsidRPr="000B2DCA">
        <w:rPr>
          <w:b/>
          <w:i/>
          <w:sz w:val="20"/>
          <w:szCs w:val="20"/>
        </w:rPr>
        <w:t>Improving social policies and programmes with a focus on good governance and structural inequalities</w:t>
      </w:r>
    </w:p>
    <w:p w14:paraId="21A3FCD1" w14:textId="30F86398" w:rsidR="00A8512C" w:rsidRPr="000B2DCA" w:rsidRDefault="00CC14FC" w:rsidP="000B2DCA">
      <w:pPr>
        <w:pStyle w:val="NormalWeb"/>
        <w:numPr>
          <w:ilvl w:val="0"/>
          <w:numId w:val="3"/>
        </w:numPr>
        <w:tabs>
          <w:tab w:val="left" w:pos="1080"/>
          <w:tab w:val="left" w:pos="8640"/>
          <w:tab w:val="left" w:pos="9180"/>
        </w:tabs>
        <w:spacing w:before="0" w:beforeAutospacing="0" w:after="120" w:afterAutospacing="0"/>
        <w:ind w:firstLine="0"/>
        <w:jc w:val="both"/>
        <w:rPr>
          <w:b/>
          <w:i/>
          <w:sz w:val="20"/>
          <w:szCs w:val="20"/>
          <w:lang w:val="en-GB"/>
        </w:rPr>
      </w:pPr>
      <w:r w:rsidRPr="000B2DCA">
        <w:rPr>
          <w:rFonts w:eastAsia="Calibri"/>
          <w:sz w:val="20"/>
          <w:szCs w:val="20"/>
          <w:lang w:val="en-GB"/>
        </w:rPr>
        <w:t xml:space="preserve">In line with </w:t>
      </w:r>
      <w:r w:rsidR="00CD26EA">
        <w:rPr>
          <w:rFonts w:eastAsia="Calibri"/>
          <w:sz w:val="20"/>
          <w:szCs w:val="20"/>
          <w:lang w:val="en-GB"/>
        </w:rPr>
        <w:t>strategic plan</w:t>
      </w:r>
      <w:r w:rsidRPr="000B2DCA">
        <w:rPr>
          <w:rFonts w:eastAsia="Calibri"/>
          <w:sz w:val="20"/>
          <w:szCs w:val="20"/>
          <w:lang w:val="en-GB"/>
        </w:rPr>
        <w:t xml:space="preserve"> outcomes 2 and 3, and</w:t>
      </w:r>
      <w:r w:rsidR="005130D9">
        <w:rPr>
          <w:rFonts w:eastAsia="Calibri"/>
          <w:sz w:val="20"/>
          <w:szCs w:val="20"/>
          <w:lang w:val="en-GB"/>
        </w:rPr>
        <w:t xml:space="preserve"> </w:t>
      </w:r>
      <w:r w:rsidR="00CD26EA">
        <w:rPr>
          <w:rFonts w:eastAsia="Calibri"/>
          <w:sz w:val="20"/>
          <w:szCs w:val="20"/>
          <w:lang w:val="en-GB"/>
        </w:rPr>
        <w:t>seventh five-year plan o</w:t>
      </w:r>
      <w:r w:rsidRPr="000B2DCA">
        <w:rPr>
          <w:rFonts w:eastAsia="Calibri"/>
          <w:sz w:val="20"/>
          <w:szCs w:val="20"/>
          <w:lang w:val="en-GB"/>
        </w:rPr>
        <w:t xml:space="preserve">utcome 14, </w:t>
      </w:r>
      <w:r w:rsidR="00153202" w:rsidRPr="000B2DCA">
        <w:rPr>
          <w:rFonts w:eastAsia="Calibri"/>
          <w:sz w:val="20"/>
          <w:szCs w:val="20"/>
          <w:lang w:val="en-GB"/>
        </w:rPr>
        <w:t xml:space="preserve">UNDP will target groups </w:t>
      </w:r>
      <w:r w:rsidR="00FA3439" w:rsidRPr="000B2DCA">
        <w:rPr>
          <w:rFonts w:eastAsia="Calibri"/>
          <w:sz w:val="20"/>
          <w:szCs w:val="20"/>
          <w:lang w:val="en-GB"/>
        </w:rPr>
        <w:t xml:space="preserve">subject to </w:t>
      </w:r>
      <w:r w:rsidR="00D36002" w:rsidRPr="000B2DCA">
        <w:rPr>
          <w:rFonts w:eastAsia="Calibri"/>
          <w:sz w:val="20"/>
          <w:szCs w:val="20"/>
          <w:lang w:val="en-GB"/>
        </w:rPr>
        <w:t xml:space="preserve">high degrees of </w:t>
      </w:r>
      <w:r w:rsidR="00FA3439" w:rsidRPr="000B2DCA">
        <w:rPr>
          <w:rFonts w:eastAsia="Calibri"/>
          <w:sz w:val="20"/>
          <w:szCs w:val="20"/>
          <w:lang w:val="en-GB"/>
        </w:rPr>
        <w:t>inequalit</w:t>
      </w:r>
      <w:r w:rsidR="00685A3D" w:rsidRPr="000B2DCA">
        <w:rPr>
          <w:rFonts w:eastAsia="Calibri"/>
          <w:sz w:val="20"/>
          <w:szCs w:val="20"/>
          <w:lang w:val="en-GB"/>
        </w:rPr>
        <w:t>y</w:t>
      </w:r>
      <w:r w:rsidR="000876A1" w:rsidRPr="000B2DCA">
        <w:rPr>
          <w:rFonts w:eastAsia="Calibri"/>
          <w:sz w:val="20"/>
          <w:szCs w:val="20"/>
          <w:lang w:val="en-GB"/>
        </w:rPr>
        <w:t>, violence and injustice</w:t>
      </w:r>
      <w:r w:rsidR="000121A9" w:rsidRPr="000B2DCA">
        <w:rPr>
          <w:rFonts w:eastAsia="Calibri"/>
          <w:sz w:val="20"/>
          <w:szCs w:val="20"/>
          <w:lang w:val="en-GB"/>
        </w:rPr>
        <w:t>,</w:t>
      </w:r>
      <w:r w:rsidR="00153202" w:rsidRPr="000B2DCA">
        <w:rPr>
          <w:rFonts w:eastAsia="Calibri"/>
          <w:sz w:val="20"/>
          <w:szCs w:val="20"/>
          <w:lang w:val="en-GB"/>
        </w:rPr>
        <w:t xml:space="preserve"> and marginalized from services</w:t>
      </w:r>
      <w:r w:rsidR="000A744A" w:rsidRPr="000B2DCA">
        <w:rPr>
          <w:rFonts w:eastAsia="Calibri"/>
          <w:sz w:val="20"/>
          <w:szCs w:val="20"/>
          <w:lang w:val="en-GB"/>
        </w:rPr>
        <w:t>.</w:t>
      </w:r>
      <w:r w:rsidR="00D36002" w:rsidRPr="000B2DCA">
        <w:rPr>
          <w:rFonts w:eastAsia="Calibri"/>
          <w:sz w:val="20"/>
          <w:szCs w:val="20"/>
          <w:lang w:val="en-GB"/>
        </w:rPr>
        <w:t xml:space="preserve"> </w:t>
      </w:r>
      <w:r w:rsidR="000A744A" w:rsidRPr="000B2DCA">
        <w:rPr>
          <w:rFonts w:eastAsia="Calibri"/>
          <w:sz w:val="20"/>
          <w:szCs w:val="20"/>
          <w:lang w:val="en-GB"/>
        </w:rPr>
        <w:t>The country programme will</w:t>
      </w:r>
      <w:r w:rsidR="00D36002" w:rsidRPr="000B2DCA">
        <w:rPr>
          <w:rFonts w:eastAsia="Calibri"/>
          <w:sz w:val="20"/>
          <w:szCs w:val="20"/>
          <w:lang w:val="en-GB"/>
        </w:rPr>
        <w:t xml:space="preserve"> focus on </w:t>
      </w:r>
      <w:r w:rsidR="00FA3439" w:rsidRPr="000B2DCA">
        <w:rPr>
          <w:rFonts w:eastAsia="Calibri"/>
          <w:sz w:val="20"/>
          <w:szCs w:val="20"/>
          <w:lang w:val="en-GB"/>
        </w:rPr>
        <w:t>women, youth</w:t>
      </w:r>
      <w:r w:rsidR="000876A1" w:rsidRPr="000B2DCA">
        <w:rPr>
          <w:rFonts w:eastAsia="Calibri"/>
          <w:sz w:val="20"/>
          <w:szCs w:val="20"/>
          <w:lang w:val="en-GB"/>
        </w:rPr>
        <w:t xml:space="preserve"> and </w:t>
      </w:r>
      <w:r w:rsidR="00F56188" w:rsidRPr="000B2DCA">
        <w:rPr>
          <w:rFonts w:eastAsia="Calibri"/>
          <w:sz w:val="20"/>
          <w:szCs w:val="20"/>
          <w:lang w:val="en-GB"/>
        </w:rPr>
        <w:t>ethnic</w:t>
      </w:r>
      <w:r w:rsidR="00840559" w:rsidRPr="000B2DCA">
        <w:rPr>
          <w:rFonts w:eastAsia="Calibri"/>
          <w:sz w:val="20"/>
          <w:szCs w:val="20"/>
          <w:lang w:val="en-GB"/>
        </w:rPr>
        <w:t xml:space="preserve"> minorities</w:t>
      </w:r>
      <w:r w:rsidR="000A744A" w:rsidRPr="000B2DCA">
        <w:rPr>
          <w:sz w:val="20"/>
          <w:szCs w:val="20"/>
          <w:lang w:val="en-GB" w:eastAsia="ja-JP"/>
        </w:rPr>
        <w:t xml:space="preserve">, </w:t>
      </w:r>
      <w:r w:rsidR="00A90210" w:rsidRPr="000B2DCA">
        <w:rPr>
          <w:sz w:val="20"/>
          <w:szCs w:val="20"/>
          <w:lang w:val="en-GB" w:eastAsia="ja-JP"/>
        </w:rPr>
        <w:t>emphasiz</w:t>
      </w:r>
      <w:r w:rsidR="000A744A" w:rsidRPr="000B2DCA">
        <w:rPr>
          <w:sz w:val="20"/>
          <w:szCs w:val="20"/>
          <w:lang w:val="en-GB" w:eastAsia="ja-JP"/>
        </w:rPr>
        <w:t>ing</w:t>
      </w:r>
      <w:r w:rsidR="00A90210" w:rsidRPr="000B2DCA">
        <w:rPr>
          <w:sz w:val="20"/>
          <w:szCs w:val="20"/>
          <w:lang w:val="en-GB" w:eastAsia="ja-JP"/>
        </w:rPr>
        <w:t xml:space="preserve"> the</w:t>
      </w:r>
      <w:r w:rsidR="000A744A" w:rsidRPr="000B2DCA">
        <w:rPr>
          <w:sz w:val="20"/>
          <w:szCs w:val="20"/>
          <w:lang w:val="en-GB" w:eastAsia="ja-JP"/>
        </w:rPr>
        <w:t>ir</w:t>
      </w:r>
      <w:r w:rsidR="00A90210" w:rsidRPr="000B2DCA">
        <w:rPr>
          <w:sz w:val="20"/>
          <w:szCs w:val="20"/>
          <w:lang w:val="en-GB" w:eastAsia="ja-JP"/>
        </w:rPr>
        <w:t xml:space="preserve"> inclusion in public policy debates and decisions, </w:t>
      </w:r>
      <w:r w:rsidR="00561443">
        <w:rPr>
          <w:sz w:val="20"/>
          <w:szCs w:val="20"/>
          <w:lang w:val="en-GB" w:eastAsia="ja-JP"/>
        </w:rPr>
        <w:t>by</w:t>
      </w:r>
      <w:r w:rsidR="00561443" w:rsidRPr="000B2DCA">
        <w:rPr>
          <w:sz w:val="20"/>
          <w:szCs w:val="20"/>
          <w:lang w:val="en-GB" w:eastAsia="ja-JP"/>
        </w:rPr>
        <w:t xml:space="preserve"> </w:t>
      </w:r>
      <w:r w:rsidR="00A90210" w:rsidRPr="000B2DCA">
        <w:rPr>
          <w:sz w:val="20"/>
          <w:szCs w:val="20"/>
          <w:lang w:val="en-GB" w:eastAsia="ja-JP"/>
        </w:rPr>
        <w:t xml:space="preserve">creating </w:t>
      </w:r>
      <w:r w:rsidR="00561443">
        <w:rPr>
          <w:sz w:val="20"/>
          <w:szCs w:val="20"/>
          <w:lang w:val="en-GB" w:eastAsia="ja-JP"/>
        </w:rPr>
        <w:t xml:space="preserve">and strengthening </w:t>
      </w:r>
      <w:r w:rsidR="00A90210" w:rsidRPr="000B2DCA">
        <w:rPr>
          <w:sz w:val="20"/>
          <w:szCs w:val="20"/>
          <w:lang w:val="en-GB" w:eastAsia="ja-JP"/>
        </w:rPr>
        <w:t xml:space="preserve">civil society platforms </w:t>
      </w:r>
      <w:r w:rsidR="00561443">
        <w:rPr>
          <w:sz w:val="20"/>
          <w:szCs w:val="20"/>
          <w:lang w:val="en-GB" w:eastAsia="ja-JP"/>
        </w:rPr>
        <w:t xml:space="preserve">and volunteer networks </w:t>
      </w:r>
      <w:r w:rsidR="00A90210" w:rsidRPr="000B2DCA">
        <w:rPr>
          <w:sz w:val="20"/>
          <w:szCs w:val="20"/>
          <w:lang w:val="en-GB" w:eastAsia="ja-JP"/>
        </w:rPr>
        <w:t xml:space="preserve">to enhance </w:t>
      </w:r>
      <w:r w:rsidR="00D36002" w:rsidRPr="000B2DCA">
        <w:rPr>
          <w:sz w:val="20"/>
          <w:szCs w:val="20"/>
          <w:lang w:val="en-GB" w:eastAsia="ja-JP"/>
        </w:rPr>
        <w:t xml:space="preserve">responsiveness and </w:t>
      </w:r>
      <w:r w:rsidR="00A90210" w:rsidRPr="000B2DCA">
        <w:rPr>
          <w:sz w:val="20"/>
          <w:szCs w:val="20"/>
          <w:lang w:val="en-GB" w:eastAsia="ja-JP"/>
        </w:rPr>
        <w:t xml:space="preserve">accountability. </w:t>
      </w:r>
      <w:r w:rsidR="00A90210" w:rsidRPr="000B2DCA">
        <w:rPr>
          <w:rFonts w:eastAsia="Calibri"/>
          <w:sz w:val="20"/>
          <w:szCs w:val="20"/>
          <w:lang w:val="en-GB"/>
        </w:rPr>
        <w:t xml:space="preserve">Building on the mandate of the Prime Minister’s </w:t>
      </w:r>
      <w:r w:rsidR="00CD26EA">
        <w:rPr>
          <w:rFonts w:eastAsia="Calibri"/>
          <w:sz w:val="20"/>
          <w:szCs w:val="20"/>
          <w:lang w:val="en-GB"/>
        </w:rPr>
        <w:t>o</w:t>
      </w:r>
      <w:r w:rsidR="00A90210" w:rsidRPr="000B2DCA">
        <w:rPr>
          <w:rFonts w:eastAsia="Calibri"/>
          <w:sz w:val="20"/>
          <w:szCs w:val="20"/>
          <w:lang w:val="en-GB"/>
        </w:rPr>
        <w:t xml:space="preserve">ffice to oversee </w:t>
      </w:r>
      <w:r w:rsidR="00CD26EA">
        <w:rPr>
          <w:rFonts w:eastAsia="Calibri"/>
          <w:sz w:val="20"/>
          <w:szCs w:val="20"/>
          <w:lang w:val="en-GB"/>
        </w:rPr>
        <w:t xml:space="preserve">the </w:t>
      </w:r>
      <w:r w:rsidR="00A90210" w:rsidRPr="000B2DCA">
        <w:rPr>
          <w:rFonts w:eastAsia="Calibri"/>
          <w:sz w:val="20"/>
          <w:szCs w:val="20"/>
          <w:lang w:val="en-GB"/>
        </w:rPr>
        <w:t xml:space="preserve">performance of </w:t>
      </w:r>
      <w:r w:rsidR="00CD26EA">
        <w:rPr>
          <w:rFonts w:eastAsia="Calibri"/>
          <w:sz w:val="20"/>
          <w:szCs w:val="20"/>
          <w:lang w:val="en-GB"/>
        </w:rPr>
        <w:t>g</w:t>
      </w:r>
      <w:r w:rsidR="00A90210" w:rsidRPr="000B2DCA">
        <w:rPr>
          <w:rFonts w:eastAsia="Calibri"/>
          <w:sz w:val="20"/>
          <w:szCs w:val="20"/>
          <w:lang w:val="en-GB"/>
        </w:rPr>
        <w:t xml:space="preserve">overnment institutions, UNDP will mobilize a consortium of </w:t>
      </w:r>
      <w:r w:rsidR="00CD26EA">
        <w:rPr>
          <w:rFonts w:eastAsia="Calibri"/>
          <w:sz w:val="20"/>
          <w:szCs w:val="20"/>
          <w:lang w:val="en-GB"/>
        </w:rPr>
        <w:t>g</w:t>
      </w:r>
      <w:r w:rsidR="00A90210" w:rsidRPr="000B2DCA">
        <w:rPr>
          <w:rFonts w:eastAsia="Calibri"/>
          <w:sz w:val="20"/>
          <w:szCs w:val="20"/>
          <w:lang w:val="en-GB"/>
        </w:rPr>
        <w:t xml:space="preserve">overnment and </w:t>
      </w:r>
      <w:r w:rsidR="00A90210" w:rsidRPr="000B2DCA">
        <w:rPr>
          <w:rFonts w:eastAsia="Calibri"/>
          <w:sz w:val="20"/>
          <w:szCs w:val="20"/>
          <w:lang w:val="en-GB"/>
        </w:rPr>
        <w:lastRenderedPageBreak/>
        <w:t xml:space="preserve">academic institutions to establish a </w:t>
      </w:r>
      <w:r w:rsidR="00F56188" w:rsidRPr="000B2DCA">
        <w:rPr>
          <w:rFonts w:eastAsia="Calibri"/>
          <w:sz w:val="20"/>
          <w:szCs w:val="20"/>
          <w:lang w:val="en-GB"/>
        </w:rPr>
        <w:t>nationally owned</w:t>
      </w:r>
      <w:r w:rsidR="00A90210" w:rsidRPr="000B2DCA">
        <w:rPr>
          <w:rFonts w:eastAsia="Calibri"/>
          <w:sz w:val="20"/>
          <w:szCs w:val="20"/>
          <w:lang w:val="en-GB"/>
        </w:rPr>
        <w:t xml:space="preserve"> assessment and monitoring framework that will ensure evidence-based progress on </w:t>
      </w:r>
      <w:r w:rsidR="00CD26EA">
        <w:rPr>
          <w:rFonts w:eastAsia="Calibri"/>
          <w:sz w:val="20"/>
          <w:szCs w:val="20"/>
          <w:lang w:val="en-GB"/>
        </w:rPr>
        <w:t>sustainable development goal</w:t>
      </w:r>
      <w:r w:rsidR="00CD26EA" w:rsidRPr="000B2DCA">
        <w:rPr>
          <w:rFonts w:eastAsia="Calibri"/>
          <w:sz w:val="20"/>
          <w:szCs w:val="20"/>
          <w:lang w:val="en-GB"/>
        </w:rPr>
        <w:t xml:space="preserve"> </w:t>
      </w:r>
      <w:r w:rsidR="00A90210" w:rsidRPr="000B2DCA">
        <w:rPr>
          <w:rFonts w:eastAsia="Calibri"/>
          <w:sz w:val="20"/>
          <w:szCs w:val="20"/>
          <w:lang w:val="en-GB"/>
        </w:rPr>
        <w:t>16. This will be complemented by UNDP-facilitated action and metric</w:t>
      </w:r>
      <w:r w:rsidR="00367178">
        <w:rPr>
          <w:rFonts w:eastAsia="Calibri"/>
          <w:sz w:val="20"/>
          <w:szCs w:val="20"/>
          <w:lang w:val="en-GB"/>
        </w:rPr>
        <w:t>s</w:t>
      </w:r>
      <w:r w:rsidR="00A90210" w:rsidRPr="000B2DCA">
        <w:rPr>
          <w:rFonts w:eastAsia="Calibri"/>
          <w:sz w:val="20"/>
          <w:szCs w:val="20"/>
          <w:lang w:val="en-GB"/>
        </w:rPr>
        <w:t>-based research</w:t>
      </w:r>
      <w:r w:rsidR="000A744A" w:rsidRPr="000B2DCA">
        <w:rPr>
          <w:rFonts w:eastAsia="Calibri"/>
          <w:sz w:val="20"/>
          <w:szCs w:val="20"/>
          <w:lang w:val="en-GB"/>
        </w:rPr>
        <w:t xml:space="preserve"> </w:t>
      </w:r>
      <w:r w:rsidR="00172092" w:rsidRPr="000B2DCA">
        <w:rPr>
          <w:rFonts w:eastAsia="Calibri"/>
          <w:sz w:val="20"/>
          <w:szCs w:val="20"/>
          <w:lang w:val="en-GB"/>
        </w:rPr>
        <w:t>to</w:t>
      </w:r>
      <w:r w:rsidR="00A90210" w:rsidRPr="000B2DCA">
        <w:rPr>
          <w:rFonts w:eastAsia="Calibri"/>
          <w:sz w:val="20"/>
          <w:szCs w:val="20"/>
          <w:lang w:val="en-GB"/>
        </w:rPr>
        <w:t xml:space="preserve"> assess progress on access to justice, accountable and transparent delivery of services </w:t>
      </w:r>
      <w:r w:rsidR="00CD26EA">
        <w:rPr>
          <w:rFonts w:eastAsia="Calibri"/>
          <w:sz w:val="20"/>
          <w:szCs w:val="20"/>
          <w:lang w:val="en-GB"/>
        </w:rPr>
        <w:t>(</w:t>
      </w:r>
      <w:r w:rsidR="00FA1093" w:rsidRPr="000B2DCA">
        <w:rPr>
          <w:rFonts w:eastAsia="Calibri"/>
          <w:sz w:val="20"/>
          <w:szCs w:val="20"/>
          <w:lang w:val="en-GB"/>
        </w:rPr>
        <w:t>including through grievance mechanisms</w:t>
      </w:r>
      <w:r w:rsidR="00CD26EA">
        <w:rPr>
          <w:rFonts w:eastAsia="Calibri"/>
          <w:sz w:val="20"/>
          <w:szCs w:val="20"/>
          <w:lang w:val="en-GB"/>
        </w:rPr>
        <w:t>)</w:t>
      </w:r>
      <w:r w:rsidR="00FA1093" w:rsidRPr="000B2DCA">
        <w:rPr>
          <w:rFonts w:eastAsia="Calibri"/>
          <w:sz w:val="20"/>
          <w:szCs w:val="20"/>
          <w:lang w:val="en-GB"/>
        </w:rPr>
        <w:t xml:space="preserve">, </w:t>
      </w:r>
      <w:r w:rsidR="00A90210" w:rsidRPr="000B2DCA">
        <w:rPr>
          <w:rFonts w:eastAsia="Calibri"/>
          <w:sz w:val="20"/>
          <w:szCs w:val="20"/>
          <w:lang w:val="en-GB"/>
        </w:rPr>
        <w:t>access to information</w:t>
      </w:r>
      <w:r w:rsidR="00CD26EA">
        <w:rPr>
          <w:rFonts w:eastAsia="Calibri"/>
          <w:sz w:val="20"/>
          <w:szCs w:val="20"/>
          <w:lang w:val="en-GB"/>
        </w:rPr>
        <w:t>,</w:t>
      </w:r>
      <w:r w:rsidR="00A90210" w:rsidRPr="000B2DCA">
        <w:rPr>
          <w:rFonts w:eastAsia="Calibri"/>
          <w:sz w:val="20"/>
          <w:szCs w:val="20"/>
          <w:lang w:val="en-GB"/>
        </w:rPr>
        <w:t xml:space="preserve"> and legal empowerment. </w:t>
      </w:r>
    </w:p>
    <w:p w14:paraId="2B2696DF" w14:textId="393C455A" w:rsidR="00A8512C" w:rsidRPr="000B2DCA" w:rsidRDefault="00977267" w:rsidP="000B2DCA">
      <w:pPr>
        <w:pStyle w:val="NormalWeb"/>
        <w:numPr>
          <w:ilvl w:val="0"/>
          <w:numId w:val="3"/>
        </w:numPr>
        <w:tabs>
          <w:tab w:val="left" w:pos="1080"/>
          <w:tab w:val="left" w:pos="8640"/>
          <w:tab w:val="left" w:pos="9180"/>
        </w:tabs>
        <w:spacing w:before="0" w:beforeAutospacing="0" w:after="120" w:afterAutospacing="0"/>
        <w:ind w:firstLine="0"/>
        <w:jc w:val="both"/>
        <w:rPr>
          <w:b/>
          <w:i/>
          <w:sz w:val="20"/>
          <w:szCs w:val="20"/>
          <w:lang w:val="en-GB"/>
        </w:rPr>
      </w:pPr>
      <w:r w:rsidRPr="000B2DCA">
        <w:rPr>
          <w:sz w:val="20"/>
          <w:szCs w:val="20"/>
          <w:lang w:val="en-GB" w:eastAsia="ja-JP"/>
        </w:rPr>
        <w:t xml:space="preserve">UNDP </w:t>
      </w:r>
      <w:r w:rsidR="005A164A" w:rsidRPr="000B2DCA">
        <w:rPr>
          <w:sz w:val="20"/>
          <w:szCs w:val="20"/>
          <w:lang w:val="en-GB" w:eastAsia="ja-JP"/>
        </w:rPr>
        <w:t xml:space="preserve">will </w:t>
      </w:r>
      <w:r w:rsidR="005B74BB" w:rsidRPr="000B2DCA">
        <w:rPr>
          <w:sz w:val="20"/>
          <w:szCs w:val="20"/>
          <w:lang w:val="en-GB" w:eastAsia="ja-JP"/>
        </w:rPr>
        <w:t>work to ensure that women and men, especially those from marginalized groups, have more equal access to justice</w:t>
      </w:r>
      <w:r w:rsidR="00F56188" w:rsidRPr="000B2DCA">
        <w:rPr>
          <w:sz w:val="20"/>
          <w:szCs w:val="20"/>
          <w:lang w:val="en-GB" w:eastAsia="ja-JP"/>
        </w:rPr>
        <w:t xml:space="preserve">. In partnership with the </w:t>
      </w:r>
      <w:r w:rsidR="00C11E28" w:rsidRPr="000B2DCA">
        <w:rPr>
          <w:sz w:val="20"/>
          <w:szCs w:val="20"/>
          <w:lang w:val="en-GB" w:eastAsia="ja-JP"/>
        </w:rPr>
        <w:t xml:space="preserve">European Union, </w:t>
      </w:r>
      <w:r w:rsidR="00CD26EA">
        <w:rPr>
          <w:sz w:val="20"/>
          <w:szCs w:val="20"/>
          <w:lang w:val="en-GB" w:eastAsia="ja-JP"/>
        </w:rPr>
        <w:t xml:space="preserve">the </w:t>
      </w:r>
      <w:r w:rsidR="00F56188" w:rsidRPr="000B2DCA">
        <w:rPr>
          <w:sz w:val="20"/>
          <w:szCs w:val="20"/>
          <w:lang w:val="en-GB" w:eastAsia="ja-JP"/>
        </w:rPr>
        <w:t xml:space="preserve">Local Government Division and the justice sector in Bangladesh, </w:t>
      </w:r>
      <w:r w:rsidR="00C11E28" w:rsidRPr="000B2DCA">
        <w:rPr>
          <w:sz w:val="20"/>
          <w:szCs w:val="20"/>
          <w:lang w:val="en-GB" w:eastAsia="ja-JP"/>
        </w:rPr>
        <w:t>UNDP will</w:t>
      </w:r>
      <w:r w:rsidR="005B74BB" w:rsidRPr="000B2DCA">
        <w:rPr>
          <w:sz w:val="20"/>
          <w:szCs w:val="20"/>
          <w:lang w:val="en-GB" w:eastAsia="ja-JP"/>
        </w:rPr>
        <w:t xml:space="preserve"> support </w:t>
      </w:r>
      <w:r w:rsidR="005A164A" w:rsidRPr="000B2DCA">
        <w:rPr>
          <w:sz w:val="20"/>
          <w:szCs w:val="20"/>
          <w:lang w:val="en-GB" w:eastAsia="ja-JP"/>
        </w:rPr>
        <w:t>formal, qu</w:t>
      </w:r>
      <w:r w:rsidR="00D16880" w:rsidRPr="000B2DCA">
        <w:rPr>
          <w:sz w:val="20"/>
          <w:szCs w:val="20"/>
          <w:lang w:val="en-GB" w:eastAsia="ja-JP"/>
        </w:rPr>
        <w:t>asi-formal, demand-driven</w:t>
      </w:r>
      <w:r w:rsidR="005B74BB" w:rsidRPr="000B2DCA">
        <w:rPr>
          <w:sz w:val="20"/>
          <w:szCs w:val="20"/>
          <w:lang w:val="en-GB" w:eastAsia="ja-JP"/>
        </w:rPr>
        <w:t xml:space="preserve"> and ge</w:t>
      </w:r>
      <w:r w:rsidR="005A164A" w:rsidRPr="000B2DCA">
        <w:rPr>
          <w:sz w:val="20"/>
          <w:szCs w:val="20"/>
          <w:lang w:val="en-GB" w:eastAsia="ja-JP"/>
        </w:rPr>
        <w:t>nder-sensitive reforms of the justice sector</w:t>
      </w:r>
      <w:r w:rsidR="005B74BB" w:rsidRPr="000B2DCA">
        <w:rPr>
          <w:sz w:val="20"/>
          <w:szCs w:val="20"/>
          <w:lang w:val="en-GB" w:eastAsia="ja-JP"/>
        </w:rPr>
        <w:t xml:space="preserve">, </w:t>
      </w:r>
      <w:r w:rsidR="00A67BD1" w:rsidRPr="000B2DCA">
        <w:rPr>
          <w:sz w:val="20"/>
          <w:szCs w:val="20"/>
          <w:lang w:val="en-GB" w:eastAsia="ja-JP"/>
        </w:rPr>
        <w:t>including</w:t>
      </w:r>
      <w:r w:rsidR="005B74BB" w:rsidRPr="000B2DCA">
        <w:rPr>
          <w:sz w:val="20"/>
          <w:szCs w:val="20"/>
          <w:lang w:val="en-GB" w:eastAsia="ja-JP"/>
        </w:rPr>
        <w:t xml:space="preserve"> expansion of l</w:t>
      </w:r>
      <w:r w:rsidR="00A67BD1" w:rsidRPr="000B2DCA">
        <w:rPr>
          <w:sz w:val="20"/>
          <w:szCs w:val="20"/>
          <w:lang w:val="en-GB" w:eastAsia="ja-JP"/>
        </w:rPr>
        <w:t>egal aid services</w:t>
      </w:r>
      <w:r w:rsidR="005A164A" w:rsidRPr="000B2DCA">
        <w:rPr>
          <w:sz w:val="20"/>
          <w:szCs w:val="20"/>
          <w:lang w:val="en-GB" w:eastAsia="ja-JP"/>
        </w:rPr>
        <w:t xml:space="preserve">. </w:t>
      </w:r>
      <w:r w:rsidR="00CD26EA">
        <w:rPr>
          <w:rFonts w:eastAsia="Calibri"/>
          <w:sz w:val="20"/>
          <w:szCs w:val="20"/>
          <w:lang w:val="en-GB"/>
        </w:rPr>
        <w:t>W</w:t>
      </w:r>
      <w:r w:rsidR="00957661" w:rsidRPr="000B2DCA">
        <w:rPr>
          <w:rFonts w:eastAsia="Calibri"/>
          <w:sz w:val="20"/>
          <w:szCs w:val="20"/>
          <w:lang w:val="en-GB"/>
        </w:rPr>
        <w:t>ith</w:t>
      </w:r>
      <w:r w:rsidR="00E815DA" w:rsidRPr="000B2DCA">
        <w:rPr>
          <w:rFonts w:eastAsia="Calibri"/>
          <w:sz w:val="20"/>
          <w:szCs w:val="20"/>
          <w:lang w:val="en-GB"/>
        </w:rPr>
        <w:t xml:space="preserve"> Denmark</w:t>
      </w:r>
      <w:r w:rsidR="00957661" w:rsidRPr="000B2DCA">
        <w:rPr>
          <w:rFonts w:eastAsia="Calibri"/>
          <w:sz w:val="20"/>
          <w:szCs w:val="20"/>
          <w:lang w:val="en-GB"/>
        </w:rPr>
        <w:t xml:space="preserve">, </w:t>
      </w:r>
      <w:r w:rsidR="00CD26EA">
        <w:rPr>
          <w:rFonts w:eastAsia="Calibri"/>
          <w:sz w:val="20"/>
          <w:szCs w:val="20"/>
          <w:lang w:val="en-GB"/>
        </w:rPr>
        <w:t xml:space="preserve">Sweden and </w:t>
      </w:r>
      <w:r w:rsidR="00957661" w:rsidRPr="000B2DCA">
        <w:rPr>
          <w:rFonts w:eastAsia="Calibri"/>
          <w:sz w:val="20"/>
          <w:szCs w:val="20"/>
          <w:lang w:val="en-GB"/>
        </w:rPr>
        <w:t>Switzerland</w:t>
      </w:r>
      <w:r w:rsidR="00E815DA" w:rsidRPr="000B2DCA">
        <w:rPr>
          <w:rFonts w:eastAsia="Calibri"/>
          <w:sz w:val="20"/>
          <w:szCs w:val="20"/>
          <w:lang w:val="en-GB"/>
        </w:rPr>
        <w:t xml:space="preserve">, UNDP will </w:t>
      </w:r>
      <w:r w:rsidR="00A91411" w:rsidRPr="000B2DCA">
        <w:rPr>
          <w:rFonts w:eastAsia="Calibri"/>
          <w:sz w:val="20"/>
          <w:szCs w:val="20"/>
          <w:lang w:val="en-GB"/>
        </w:rPr>
        <w:t xml:space="preserve">support the National Human Rights Commission and other human rights organizations in preventing and responding to human rights violations and in promoting a rights-based approach </w:t>
      </w:r>
      <w:r w:rsidR="00CD26EA">
        <w:rPr>
          <w:rFonts w:eastAsia="Calibri"/>
          <w:sz w:val="20"/>
          <w:szCs w:val="20"/>
          <w:lang w:val="en-GB"/>
        </w:rPr>
        <w:t>across</w:t>
      </w:r>
      <w:r w:rsidR="00CD26EA" w:rsidRPr="000B2DCA">
        <w:rPr>
          <w:rFonts w:eastAsia="Calibri"/>
          <w:sz w:val="20"/>
          <w:szCs w:val="20"/>
          <w:lang w:val="en-GB"/>
        </w:rPr>
        <w:t xml:space="preserve"> </w:t>
      </w:r>
      <w:r w:rsidR="00A91411" w:rsidRPr="000B2DCA">
        <w:rPr>
          <w:rFonts w:eastAsia="Calibri"/>
          <w:sz w:val="20"/>
          <w:szCs w:val="20"/>
          <w:lang w:val="en-GB"/>
        </w:rPr>
        <w:t>all development policies and programmes</w:t>
      </w:r>
      <w:r w:rsidR="00F46466" w:rsidRPr="000B2DCA">
        <w:rPr>
          <w:rFonts w:eastAsia="Calibri"/>
          <w:sz w:val="20"/>
          <w:szCs w:val="20"/>
          <w:lang w:val="en-GB"/>
        </w:rPr>
        <w:t xml:space="preserve">. </w:t>
      </w:r>
    </w:p>
    <w:p w14:paraId="2162F3C4" w14:textId="44119D9A" w:rsidR="00EA163F" w:rsidRPr="000B2DCA" w:rsidRDefault="004030AF" w:rsidP="000B2DCA">
      <w:pPr>
        <w:pStyle w:val="NormalWeb"/>
        <w:numPr>
          <w:ilvl w:val="0"/>
          <w:numId w:val="3"/>
        </w:numPr>
        <w:tabs>
          <w:tab w:val="left" w:pos="1080"/>
          <w:tab w:val="left" w:pos="8640"/>
          <w:tab w:val="left" w:pos="9180"/>
        </w:tabs>
        <w:spacing w:before="0" w:beforeAutospacing="0" w:after="120" w:afterAutospacing="0"/>
        <w:ind w:firstLine="0"/>
        <w:jc w:val="both"/>
        <w:rPr>
          <w:b/>
          <w:i/>
          <w:sz w:val="20"/>
          <w:szCs w:val="20"/>
          <w:lang w:val="en-GB"/>
        </w:rPr>
      </w:pPr>
      <w:r w:rsidRPr="000B2DCA">
        <w:rPr>
          <w:rFonts w:eastAsia="Calibri"/>
          <w:bCs/>
          <w:sz w:val="20"/>
          <w:szCs w:val="20"/>
          <w:lang w:val="en-GB"/>
        </w:rPr>
        <w:t xml:space="preserve">UNDP will </w:t>
      </w:r>
      <w:r w:rsidR="00AE1C03" w:rsidRPr="000B2DCA">
        <w:rPr>
          <w:rFonts w:eastAsia="Calibri"/>
          <w:bCs/>
          <w:sz w:val="20"/>
          <w:szCs w:val="20"/>
          <w:lang w:val="en-GB"/>
        </w:rPr>
        <w:t xml:space="preserve">support </w:t>
      </w:r>
      <w:r w:rsidR="00CD26EA">
        <w:rPr>
          <w:rFonts w:eastAsia="Calibri"/>
          <w:bCs/>
          <w:sz w:val="20"/>
          <w:szCs w:val="20"/>
          <w:lang w:val="en-GB"/>
        </w:rPr>
        <w:t xml:space="preserve">the </w:t>
      </w:r>
      <w:r w:rsidRPr="000B2DCA">
        <w:rPr>
          <w:rFonts w:eastAsia="Calibri"/>
          <w:bCs/>
          <w:sz w:val="20"/>
          <w:szCs w:val="20"/>
          <w:lang w:val="en-GB"/>
        </w:rPr>
        <w:t>Government on the policy, sectoral and geographical interventions needed to improve the distributional aspects of development policy in districts</w:t>
      </w:r>
      <w:r w:rsidR="007564A2" w:rsidRPr="000B2DCA">
        <w:rPr>
          <w:rFonts w:eastAsia="Calibri"/>
          <w:bCs/>
          <w:sz w:val="20"/>
          <w:szCs w:val="20"/>
          <w:lang w:val="en-GB"/>
        </w:rPr>
        <w:t xml:space="preserve">, </w:t>
      </w:r>
      <w:r w:rsidR="00366414" w:rsidRPr="000B2DCA">
        <w:rPr>
          <w:rFonts w:eastAsia="Calibri"/>
          <w:bCs/>
          <w:sz w:val="20"/>
          <w:szCs w:val="20"/>
          <w:lang w:val="en-GB"/>
        </w:rPr>
        <w:t xml:space="preserve">particularly </w:t>
      </w:r>
      <w:r w:rsidRPr="000B2DCA">
        <w:rPr>
          <w:rFonts w:eastAsia="Calibri"/>
          <w:bCs/>
          <w:sz w:val="20"/>
          <w:szCs w:val="20"/>
          <w:lang w:val="en-GB"/>
        </w:rPr>
        <w:t>where inequality is evident</w:t>
      </w:r>
      <w:r w:rsidR="00CF08E6" w:rsidRPr="000B2DCA">
        <w:rPr>
          <w:rFonts w:eastAsia="Calibri"/>
          <w:bCs/>
          <w:sz w:val="20"/>
          <w:szCs w:val="20"/>
          <w:lang w:val="en-GB"/>
        </w:rPr>
        <w:t xml:space="preserve">, following UNDAF geographic targeting and </w:t>
      </w:r>
      <w:r w:rsidR="00CD26EA">
        <w:rPr>
          <w:rFonts w:eastAsia="Calibri"/>
          <w:bCs/>
          <w:sz w:val="20"/>
          <w:szCs w:val="20"/>
          <w:lang w:val="en-GB"/>
        </w:rPr>
        <w:t xml:space="preserve">Bangladesh Bureau of Statics </w:t>
      </w:r>
      <w:r w:rsidR="00CF08E6" w:rsidRPr="000B2DCA">
        <w:rPr>
          <w:rFonts w:eastAsia="Calibri"/>
          <w:bCs/>
          <w:sz w:val="20"/>
          <w:szCs w:val="20"/>
          <w:lang w:val="en-GB"/>
        </w:rPr>
        <w:t>poverty assessments</w:t>
      </w:r>
      <w:r w:rsidRPr="000B2DCA">
        <w:rPr>
          <w:rFonts w:eastAsia="Calibri"/>
          <w:bCs/>
          <w:sz w:val="20"/>
          <w:szCs w:val="20"/>
          <w:lang w:val="en-GB"/>
        </w:rPr>
        <w:t>.</w:t>
      </w:r>
      <w:r w:rsidRPr="000B2DCA">
        <w:rPr>
          <w:rFonts w:eastAsia="Calibri"/>
          <w:sz w:val="20"/>
          <w:szCs w:val="20"/>
          <w:lang w:val="en-GB"/>
        </w:rPr>
        <w:t xml:space="preserve"> </w:t>
      </w:r>
      <w:r w:rsidR="00F41CEB" w:rsidRPr="000B2DCA">
        <w:rPr>
          <w:rFonts w:eastAsia="Calibri"/>
          <w:sz w:val="20"/>
          <w:szCs w:val="20"/>
          <w:lang w:val="en-GB"/>
        </w:rPr>
        <w:t>UNDP</w:t>
      </w:r>
      <w:r w:rsidR="00AB13FF" w:rsidRPr="000B2DCA">
        <w:rPr>
          <w:rFonts w:eastAsia="Calibri"/>
          <w:sz w:val="20"/>
          <w:szCs w:val="20"/>
          <w:lang w:val="en-GB"/>
        </w:rPr>
        <w:t xml:space="preserve"> will build the capacity of local government to bec</w:t>
      </w:r>
      <w:r w:rsidR="007564A2" w:rsidRPr="000B2DCA">
        <w:rPr>
          <w:rFonts w:eastAsia="Calibri"/>
          <w:sz w:val="20"/>
          <w:szCs w:val="20"/>
          <w:lang w:val="en-GB"/>
        </w:rPr>
        <w:t xml:space="preserve">ome more inclusive, effective, transparent and </w:t>
      </w:r>
      <w:r w:rsidR="00AB13FF" w:rsidRPr="000B2DCA">
        <w:rPr>
          <w:rFonts w:eastAsia="Calibri"/>
          <w:sz w:val="20"/>
          <w:szCs w:val="20"/>
          <w:lang w:val="en-GB"/>
        </w:rPr>
        <w:t>accountable</w:t>
      </w:r>
      <w:r w:rsidR="007564A2" w:rsidRPr="000B2DCA">
        <w:rPr>
          <w:rFonts w:eastAsia="Calibri"/>
          <w:sz w:val="20"/>
          <w:szCs w:val="20"/>
          <w:lang w:val="en-GB"/>
        </w:rPr>
        <w:t xml:space="preserve"> </w:t>
      </w:r>
      <w:r w:rsidR="00AB13FF" w:rsidRPr="000B2DCA">
        <w:rPr>
          <w:rFonts w:eastAsia="Calibri"/>
          <w:sz w:val="20"/>
          <w:szCs w:val="20"/>
          <w:lang w:val="en-GB"/>
        </w:rPr>
        <w:t xml:space="preserve">in </w:t>
      </w:r>
      <w:r w:rsidR="00A95564" w:rsidRPr="000B2DCA">
        <w:rPr>
          <w:rFonts w:eastAsia="Calibri"/>
          <w:sz w:val="20"/>
          <w:szCs w:val="20"/>
          <w:lang w:val="en-GB"/>
        </w:rPr>
        <w:t xml:space="preserve">service </w:t>
      </w:r>
      <w:r w:rsidR="00AB13FF" w:rsidRPr="000B2DCA">
        <w:rPr>
          <w:rFonts w:eastAsia="Calibri"/>
          <w:sz w:val="20"/>
          <w:szCs w:val="20"/>
          <w:lang w:val="en-GB"/>
        </w:rPr>
        <w:t>delivery</w:t>
      </w:r>
      <w:r w:rsidR="00057462" w:rsidRPr="000B2DCA">
        <w:rPr>
          <w:rFonts w:eastAsia="Calibri"/>
          <w:sz w:val="20"/>
          <w:szCs w:val="20"/>
          <w:lang w:val="en-GB"/>
        </w:rPr>
        <w:t xml:space="preserve"> and will continue to scale up digitalization initiatives in support</w:t>
      </w:r>
      <w:r w:rsidR="00326803" w:rsidRPr="000B2DCA">
        <w:rPr>
          <w:rFonts w:eastAsia="Calibri"/>
          <w:sz w:val="20"/>
          <w:szCs w:val="20"/>
          <w:lang w:val="en-GB"/>
        </w:rPr>
        <w:t>ing the G</w:t>
      </w:r>
      <w:r w:rsidR="00057462" w:rsidRPr="000B2DCA">
        <w:rPr>
          <w:rFonts w:eastAsia="Calibri"/>
          <w:sz w:val="20"/>
          <w:szCs w:val="20"/>
          <w:lang w:val="en-GB"/>
        </w:rPr>
        <w:t>overnment to realize Vision 2021</w:t>
      </w:r>
      <w:r w:rsidR="007564A2" w:rsidRPr="000B2DCA">
        <w:rPr>
          <w:rFonts w:eastAsia="Calibri"/>
          <w:sz w:val="20"/>
          <w:szCs w:val="20"/>
          <w:lang w:val="en-GB"/>
        </w:rPr>
        <w:t>.</w:t>
      </w:r>
      <w:r w:rsidR="009B2277" w:rsidRPr="000B2DCA">
        <w:rPr>
          <w:rFonts w:eastAsia="Calibri"/>
          <w:sz w:val="20"/>
          <w:szCs w:val="20"/>
          <w:lang w:val="en-GB"/>
        </w:rPr>
        <w:t xml:space="preserve"> </w:t>
      </w:r>
      <w:r w:rsidR="00B40CBA" w:rsidRPr="000B2DCA">
        <w:rPr>
          <w:rFonts w:eastAsia="Calibri"/>
          <w:sz w:val="20"/>
          <w:szCs w:val="20"/>
          <w:lang w:val="en-GB"/>
        </w:rPr>
        <w:t>I</w:t>
      </w:r>
      <w:r w:rsidR="009B2277" w:rsidRPr="000B2DCA">
        <w:rPr>
          <w:rFonts w:eastAsia="Calibri"/>
          <w:sz w:val="20"/>
          <w:szCs w:val="20"/>
          <w:lang w:val="en-GB"/>
        </w:rPr>
        <w:t xml:space="preserve">n the </w:t>
      </w:r>
      <w:r w:rsidR="00CD26EA" w:rsidRPr="000B2DCA">
        <w:rPr>
          <w:rFonts w:eastAsia="Calibri"/>
          <w:sz w:val="20"/>
          <w:szCs w:val="20"/>
          <w:lang w:val="en-GB"/>
        </w:rPr>
        <w:t>Chittagong Hill Tracts</w:t>
      </w:r>
      <w:r w:rsidR="009B2277" w:rsidRPr="000B2DCA">
        <w:rPr>
          <w:rFonts w:eastAsia="Calibri"/>
          <w:sz w:val="20"/>
          <w:szCs w:val="20"/>
          <w:lang w:val="en-GB"/>
        </w:rPr>
        <w:t xml:space="preserve"> region, </w:t>
      </w:r>
      <w:r w:rsidR="00C46C49" w:rsidRPr="000B2DCA">
        <w:rPr>
          <w:rFonts w:eastAsia="Calibri"/>
          <w:sz w:val="20"/>
          <w:szCs w:val="20"/>
          <w:lang w:val="en-GB"/>
        </w:rPr>
        <w:t xml:space="preserve">following the new </w:t>
      </w:r>
      <w:r w:rsidR="004265B4">
        <w:rPr>
          <w:rFonts w:eastAsia="Calibri"/>
          <w:sz w:val="20"/>
          <w:szCs w:val="20"/>
          <w:lang w:val="en-GB"/>
        </w:rPr>
        <w:t>United Nations</w:t>
      </w:r>
      <w:r w:rsidR="004265B4" w:rsidRPr="000B2DCA">
        <w:rPr>
          <w:rFonts w:eastAsia="Calibri"/>
          <w:sz w:val="20"/>
          <w:szCs w:val="20"/>
          <w:lang w:val="en-GB"/>
        </w:rPr>
        <w:t xml:space="preserve"> </w:t>
      </w:r>
      <w:r w:rsidR="009B2277" w:rsidRPr="000B2DCA">
        <w:rPr>
          <w:rFonts w:eastAsia="Calibri"/>
          <w:sz w:val="20"/>
          <w:szCs w:val="20"/>
          <w:lang w:val="en-GB"/>
        </w:rPr>
        <w:t>programmatic framework, UNDP</w:t>
      </w:r>
      <w:r w:rsidR="00366414" w:rsidRPr="000B2DCA">
        <w:rPr>
          <w:rFonts w:eastAsia="Calibri"/>
          <w:sz w:val="20"/>
          <w:szCs w:val="20"/>
          <w:lang w:val="en-GB"/>
        </w:rPr>
        <w:t xml:space="preserve"> will</w:t>
      </w:r>
      <w:r w:rsidR="009B2277" w:rsidRPr="000B2DCA">
        <w:rPr>
          <w:rFonts w:eastAsia="Calibri"/>
          <w:sz w:val="20"/>
          <w:szCs w:val="20"/>
          <w:lang w:val="en-GB"/>
        </w:rPr>
        <w:t xml:space="preserve"> work closely with other </w:t>
      </w:r>
      <w:r w:rsidR="004265B4">
        <w:rPr>
          <w:rFonts w:eastAsia="Calibri"/>
          <w:sz w:val="20"/>
          <w:szCs w:val="20"/>
          <w:lang w:val="en-GB"/>
        </w:rPr>
        <w:t>United Nations organizations</w:t>
      </w:r>
      <w:r w:rsidR="009B2277" w:rsidRPr="000B2DCA">
        <w:rPr>
          <w:rFonts w:eastAsia="Calibri"/>
          <w:sz w:val="20"/>
          <w:szCs w:val="20"/>
          <w:lang w:val="en-GB"/>
        </w:rPr>
        <w:t xml:space="preserve"> </w:t>
      </w:r>
      <w:r w:rsidR="004265B4">
        <w:rPr>
          <w:rFonts w:eastAsia="Calibri"/>
          <w:sz w:val="20"/>
          <w:szCs w:val="20"/>
          <w:lang w:val="en-GB"/>
        </w:rPr>
        <w:t xml:space="preserve">– </w:t>
      </w:r>
      <w:r w:rsidR="009B2277" w:rsidRPr="000B2DCA">
        <w:rPr>
          <w:rFonts w:eastAsia="Calibri"/>
          <w:sz w:val="20"/>
          <w:szCs w:val="20"/>
          <w:lang w:val="en-GB"/>
        </w:rPr>
        <w:t xml:space="preserve">such as UNICEF, </w:t>
      </w:r>
      <w:r w:rsidR="00C46C49" w:rsidRPr="000B2DCA">
        <w:rPr>
          <w:rFonts w:eastAsia="Calibri"/>
          <w:sz w:val="20"/>
          <w:szCs w:val="20"/>
          <w:lang w:val="en-GB"/>
        </w:rPr>
        <w:t>UN</w:t>
      </w:r>
      <w:r w:rsidR="004265B4">
        <w:rPr>
          <w:rFonts w:eastAsia="Calibri"/>
          <w:sz w:val="20"/>
          <w:szCs w:val="20"/>
          <w:lang w:val="en-GB"/>
        </w:rPr>
        <w:t>-</w:t>
      </w:r>
      <w:r w:rsidR="00C46C49" w:rsidRPr="000B2DCA">
        <w:rPr>
          <w:rFonts w:eastAsia="Calibri"/>
          <w:sz w:val="20"/>
          <w:szCs w:val="20"/>
          <w:lang w:val="en-GB"/>
        </w:rPr>
        <w:t xml:space="preserve">Women, </w:t>
      </w:r>
      <w:r w:rsidR="009B2277" w:rsidRPr="000B2DCA">
        <w:rPr>
          <w:rFonts w:eastAsia="Calibri"/>
          <w:sz w:val="20"/>
          <w:szCs w:val="20"/>
          <w:lang w:val="en-GB"/>
        </w:rPr>
        <w:t>FAO</w:t>
      </w:r>
      <w:r w:rsidR="004265B4">
        <w:rPr>
          <w:rFonts w:eastAsia="Calibri"/>
          <w:sz w:val="20"/>
          <w:szCs w:val="20"/>
          <w:lang w:val="en-GB"/>
        </w:rPr>
        <w:t xml:space="preserve"> and</w:t>
      </w:r>
      <w:r w:rsidR="009B2277" w:rsidRPr="000B2DCA">
        <w:rPr>
          <w:rFonts w:eastAsia="Calibri"/>
          <w:sz w:val="20"/>
          <w:szCs w:val="20"/>
          <w:lang w:val="en-GB"/>
        </w:rPr>
        <w:t xml:space="preserve"> WFP – leadin</w:t>
      </w:r>
      <w:r w:rsidR="00C46C49" w:rsidRPr="000B2DCA">
        <w:rPr>
          <w:rFonts w:eastAsia="Calibri"/>
          <w:sz w:val="20"/>
          <w:szCs w:val="20"/>
          <w:lang w:val="en-GB"/>
        </w:rPr>
        <w:t>g in the areas of governance, peace</w:t>
      </w:r>
      <w:r w:rsidR="004265B4">
        <w:rPr>
          <w:rFonts w:eastAsia="Calibri"/>
          <w:sz w:val="20"/>
          <w:szCs w:val="20"/>
          <w:lang w:val="en-GB"/>
        </w:rPr>
        <w:t>,</w:t>
      </w:r>
      <w:r w:rsidR="00C46C49" w:rsidRPr="000B2DCA">
        <w:rPr>
          <w:rFonts w:eastAsia="Calibri"/>
          <w:sz w:val="20"/>
          <w:szCs w:val="20"/>
          <w:lang w:val="en-GB"/>
        </w:rPr>
        <w:t xml:space="preserve"> and development</w:t>
      </w:r>
      <w:r w:rsidR="00B40CBA" w:rsidRPr="000B2DCA">
        <w:rPr>
          <w:rFonts w:eastAsia="Calibri"/>
          <w:sz w:val="20"/>
          <w:szCs w:val="20"/>
          <w:lang w:val="en-GB"/>
        </w:rPr>
        <w:t xml:space="preserve">, and supporting </w:t>
      </w:r>
      <w:r w:rsidR="00957661" w:rsidRPr="000B2DCA">
        <w:rPr>
          <w:rFonts w:eastAsia="Calibri"/>
          <w:sz w:val="20"/>
          <w:szCs w:val="20"/>
          <w:lang w:val="en-GB"/>
        </w:rPr>
        <w:t xml:space="preserve">sustainable </w:t>
      </w:r>
      <w:r w:rsidR="00C157DD" w:rsidRPr="000B2DCA">
        <w:rPr>
          <w:rFonts w:eastAsia="Calibri"/>
          <w:sz w:val="20"/>
          <w:szCs w:val="20"/>
          <w:lang w:val="en-GB"/>
        </w:rPr>
        <w:t>livelihoods</w:t>
      </w:r>
      <w:r w:rsidR="00957661" w:rsidRPr="000B2DCA">
        <w:rPr>
          <w:rFonts w:eastAsia="Calibri"/>
          <w:sz w:val="20"/>
          <w:szCs w:val="20"/>
          <w:lang w:val="en-GB"/>
        </w:rPr>
        <w:t xml:space="preserve"> and community resilience</w:t>
      </w:r>
      <w:r w:rsidR="009B2277" w:rsidRPr="000B2DCA">
        <w:rPr>
          <w:rFonts w:eastAsia="Calibri"/>
          <w:sz w:val="20"/>
          <w:szCs w:val="20"/>
          <w:lang w:val="en-GB"/>
        </w:rPr>
        <w:t>.</w:t>
      </w:r>
      <w:r w:rsidR="00057462" w:rsidRPr="000B2DCA">
        <w:rPr>
          <w:rFonts w:eastAsia="Calibri"/>
          <w:sz w:val="20"/>
          <w:szCs w:val="20"/>
          <w:lang w:val="en-GB"/>
        </w:rPr>
        <w:t xml:space="preserve"> </w:t>
      </w:r>
      <w:r w:rsidR="00A95564" w:rsidRPr="000B2DCA">
        <w:rPr>
          <w:rFonts w:eastAsia="Calibri"/>
          <w:sz w:val="20"/>
          <w:szCs w:val="20"/>
          <w:lang w:val="en-GB"/>
        </w:rPr>
        <w:t>L</w:t>
      </w:r>
      <w:r w:rsidR="00E64DA5" w:rsidRPr="000B2DCA">
        <w:rPr>
          <w:rFonts w:eastAsia="Calibri"/>
          <w:sz w:val="20"/>
          <w:szCs w:val="20"/>
          <w:lang w:val="en-GB"/>
        </w:rPr>
        <w:t xml:space="preserve">everaging </w:t>
      </w:r>
      <w:r w:rsidR="00EA163F" w:rsidRPr="000B2DCA">
        <w:rPr>
          <w:rFonts w:eastAsia="Calibri"/>
          <w:sz w:val="20"/>
          <w:szCs w:val="20"/>
          <w:lang w:val="en-GB"/>
        </w:rPr>
        <w:t xml:space="preserve">previous </w:t>
      </w:r>
      <w:r w:rsidR="004265B4">
        <w:rPr>
          <w:rFonts w:eastAsia="Calibri"/>
          <w:sz w:val="20"/>
          <w:szCs w:val="20"/>
          <w:lang w:val="en-GB"/>
        </w:rPr>
        <w:t>UNDP</w:t>
      </w:r>
      <w:r w:rsidR="004265B4" w:rsidRPr="003C5D47">
        <w:rPr>
          <w:rFonts w:eastAsia="Calibri"/>
          <w:sz w:val="20"/>
          <w:szCs w:val="20"/>
          <w:lang w:val="en-GB"/>
        </w:rPr>
        <w:t xml:space="preserve"> </w:t>
      </w:r>
      <w:r w:rsidR="00EA163F" w:rsidRPr="000B2DCA">
        <w:rPr>
          <w:rFonts w:eastAsia="Calibri"/>
          <w:sz w:val="20"/>
          <w:szCs w:val="20"/>
          <w:lang w:val="en-GB"/>
        </w:rPr>
        <w:t xml:space="preserve">support </w:t>
      </w:r>
      <w:r w:rsidR="00E64DA5" w:rsidRPr="000B2DCA">
        <w:rPr>
          <w:rFonts w:eastAsia="Calibri"/>
          <w:sz w:val="20"/>
          <w:szCs w:val="20"/>
          <w:lang w:val="en-GB"/>
        </w:rPr>
        <w:t>to</w:t>
      </w:r>
      <w:r w:rsidR="00EA163F" w:rsidRPr="000B2DCA">
        <w:rPr>
          <w:rFonts w:eastAsia="Calibri"/>
          <w:sz w:val="20"/>
          <w:szCs w:val="20"/>
          <w:lang w:val="en-GB"/>
        </w:rPr>
        <w:t xml:space="preserve"> the </w:t>
      </w:r>
      <w:r w:rsidR="004265B4">
        <w:rPr>
          <w:sz w:val="20"/>
          <w:szCs w:val="20"/>
        </w:rPr>
        <w:t>n</w:t>
      </w:r>
      <w:r w:rsidR="004265B4" w:rsidRPr="003C5D47">
        <w:rPr>
          <w:sz w:val="20"/>
          <w:szCs w:val="20"/>
        </w:rPr>
        <w:t xml:space="preserve">ational </w:t>
      </w:r>
      <w:r w:rsidR="004265B4">
        <w:rPr>
          <w:sz w:val="20"/>
          <w:szCs w:val="20"/>
        </w:rPr>
        <w:t>s</w:t>
      </w:r>
      <w:r w:rsidR="004265B4" w:rsidRPr="003C5D47">
        <w:rPr>
          <w:sz w:val="20"/>
          <w:szCs w:val="20"/>
        </w:rPr>
        <w:t xml:space="preserve">ocial </w:t>
      </w:r>
      <w:r w:rsidR="004265B4">
        <w:rPr>
          <w:sz w:val="20"/>
          <w:szCs w:val="20"/>
        </w:rPr>
        <w:t>s</w:t>
      </w:r>
      <w:r w:rsidR="004265B4" w:rsidRPr="003C5D47">
        <w:rPr>
          <w:sz w:val="20"/>
          <w:szCs w:val="20"/>
        </w:rPr>
        <w:t xml:space="preserve">ecurity </w:t>
      </w:r>
      <w:r w:rsidR="004265B4">
        <w:rPr>
          <w:sz w:val="20"/>
          <w:szCs w:val="20"/>
        </w:rPr>
        <w:t>s</w:t>
      </w:r>
      <w:r w:rsidR="004265B4" w:rsidRPr="003C5D47">
        <w:rPr>
          <w:sz w:val="20"/>
          <w:szCs w:val="20"/>
        </w:rPr>
        <w:t>trategy</w:t>
      </w:r>
      <w:r w:rsidR="00EA163F" w:rsidRPr="000B2DCA">
        <w:rPr>
          <w:rFonts w:eastAsia="Calibri"/>
          <w:sz w:val="20"/>
          <w:szCs w:val="20"/>
          <w:lang w:val="en-GB"/>
        </w:rPr>
        <w:t xml:space="preserve">, UNDP will </w:t>
      </w:r>
      <w:r w:rsidR="00E64DA5" w:rsidRPr="000B2DCA">
        <w:rPr>
          <w:rFonts w:eastAsia="Calibri"/>
          <w:sz w:val="20"/>
          <w:szCs w:val="20"/>
          <w:lang w:val="en-GB"/>
        </w:rPr>
        <w:t>work with the Cabinet Division of</w:t>
      </w:r>
      <w:r w:rsidR="006E10C9" w:rsidRPr="000B2DCA">
        <w:rPr>
          <w:rFonts w:eastAsia="Calibri"/>
          <w:sz w:val="20"/>
          <w:szCs w:val="20"/>
          <w:lang w:val="en-GB"/>
        </w:rPr>
        <w:t xml:space="preserve"> the Government to </w:t>
      </w:r>
      <w:r w:rsidR="00EA163F" w:rsidRPr="000B2DCA">
        <w:rPr>
          <w:rFonts w:eastAsia="Calibri"/>
          <w:sz w:val="20"/>
          <w:szCs w:val="20"/>
          <w:lang w:val="en-GB"/>
        </w:rPr>
        <w:t xml:space="preserve">improve </w:t>
      </w:r>
      <w:r w:rsidR="00603C3C" w:rsidRPr="000B2DCA">
        <w:rPr>
          <w:rFonts w:eastAsia="Calibri"/>
          <w:sz w:val="20"/>
          <w:szCs w:val="20"/>
          <w:lang w:val="en-GB"/>
        </w:rPr>
        <w:t>social security</w:t>
      </w:r>
      <w:r w:rsidR="00EA163F" w:rsidRPr="000B2DCA">
        <w:rPr>
          <w:rFonts w:eastAsia="Calibri"/>
          <w:sz w:val="20"/>
          <w:szCs w:val="20"/>
          <w:lang w:val="en-GB"/>
        </w:rPr>
        <w:t xml:space="preserve"> programmes</w:t>
      </w:r>
      <w:r w:rsidR="00A95564" w:rsidRPr="000B2DCA">
        <w:rPr>
          <w:rFonts w:eastAsia="Calibri"/>
          <w:sz w:val="20"/>
          <w:szCs w:val="20"/>
          <w:lang w:val="en-GB"/>
        </w:rPr>
        <w:t xml:space="preserve"> by </w:t>
      </w:r>
      <w:r w:rsidR="005C11BD" w:rsidRPr="000B2DCA">
        <w:rPr>
          <w:rFonts w:eastAsia="Calibri"/>
          <w:sz w:val="20"/>
          <w:szCs w:val="20"/>
          <w:lang w:val="en-GB"/>
        </w:rPr>
        <w:t xml:space="preserve">enhancing </w:t>
      </w:r>
      <w:r w:rsidR="005C11BD" w:rsidRPr="000B2DCA">
        <w:rPr>
          <w:sz w:val="20"/>
          <w:szCs w:val="20"/>
          <w:lang w:val="en-GB"/>
        </w:rPr>
        <w:t>policy coherence and coordination</w:t>
      </w:r>
      <w:r w:rsidR="00832C52" w:rsidRPr="000B2DCA">
        <w:rPr>
          <w:sz w:val="20"/>
          <w:szCs w:val="20"/>
          <w:lang w:val="en-GB"/>
        </w:rPr>
        <w:t xml:space="preserve"> across 23 </w:t>
      </w:r>
      <w:r w:rsidR="004265B4">
        <w:rPr>
          <w:sz w:val="20"/>
          <w:szCs w:val="20"/>
          <w:lang w:val="en-GB"/>
        </w:rPr>
        <w:t>m</w:t>
      </w:r>
      <w:r w:rsidR="00832C52" w:rsidRPr="000B2DCA">
        <w:rPr>
          <w:sz w:val="20"/>
          <w:szCs w:val="20"/>
          <w:lang w:val="en-GB"/>
        </w:rPr>
        <w:t>inistries</w:t>
      </w:r>
      <w:r w:rsidR="0018720B" w:rsidRPr="000B2DCA">
        <w:rPr>
          <w:sz w:val="20"/>
          <w:szCs w:val="20"/>
          <w:lang w:val="en-GB"/>
        </w:rPr>
        <w:t xml:space="preserve"> </w:t>
      </w:r>
      <w:r w:rsidR="00603C3C" w:rsidRPr="000B2DCA">
        <w:rPr>
          <w:sz w:val="20"/>
          <w:szCs w:val="20"/>
          <w:lang w:val="en-GB"/>
        </w:rPr>
        <w:t>and</w:t>
      </w:r>
      <w:r w:rsidR="00A95564" w:rsidRPr="000B2DCA">
        <w:rPr>
          <w:sz w:val="20"/>
          <w:szCs w:val="20"/>
          <w:lang w:val="en-GB"/>
        </w:rPr>
        <w:t xml:space="preserve"> </w:t>
      </w:r>
      <w:r w:rsidR="0018720B" w:rsidRPr="000B2DCA">
        <w:rPr>
          <w:sz w:val="20"/>
          <w:szCs w:val="20"/>
          <w:lang w:val="en-GB"/>
        </w:rPr>
        <w:t>consolidati</w:t>
      </w:r>
      <w:r w:rsidR="00A95564" w:rsidRPr="000B2DCA">
        <w:rPr>
          <w:sz w:val="20"/>
          <w:szCs w:val="20"/>
          <w:lang w:val="en-GB"/>
        </w:rPr>
        <w:t>ng</w:t>
      </w:r>
      <w:r w:rsidR="0018720B" w:rsidRPr="000B2DCA">
        <w:rPr>
          <w:sz w:val="20"/>
          <w:szCs w:val="20"/>
          <w:lang w:val="en-GB"/>
        </w:rPr>
        <w:t xml:space="preserve"> 140 </w:t>
      </w:r>
      <w:r w:rsidR="00A95564" w:rsidRPr="000B2DCA">
        <w:rPr>
          <w:sz w:val="20"/>
          <w:szCs w:val="20"/>
          <w:lang w:val="en-GB"/>
        </w:rPr>
        <w:t xml:space="preserve">disparate </w:t>
      </w:r>
      <w:r w:rsidR="0018720B" w:rsidRPr="000B2DCA">
        <w:rPr>
          <w:sz w:val="20"/>
          <w:szCs w:val="20"/>
          <w:lang w:val="en-GB"/>
        </w:rPr>
        <w:t>social security schemes</w:t>
      </w:r>
      <w:r w:rsidR="00E64DA5" w:rsidRPr="000B2DCA">
        <w:rPr>
          <w:sz w:val="20"/>
          <w:szCs w:val="20"/>
          <w:lang w:val="en-GB"/>
        </w:rPr>
        <w:t xml:space="preserve">. UNDP will </w:t>
      </w:r>
      <w:r w:rsidR="004265B4">
        <w:rPr>
          <w:sz w:val="20"/>
          <w:szCs w:val="20"/>
          <w:lang w:val="en-GB"/>
        </w:rPr>
        <w:t>seek</w:t>
      </w:r>
      <w:r w:rsidR="004265B4" w:rsidRPr="000B2DCA">
        <w:rPr>
          <w:sz w:val="20"/>
          <w:szCs w:val="20"/>
          <w:lang w:val="en-GB"/>
        </w:rPr>
        <w:t xml:space="preserve"> </w:t>
      </w:r>
      <w:r w:rsidR="00E64DA5" w:rsidRPr="000B2DCA">
        <w:rPr>
          <w:sz w:val="20"/>
          <w:szCs w:val="20"/>
          <w:lang w:val="en-GB"/>
        </w:rPr>
        <w:t>to i</w:t>
      </w:r>
      <w:r w:rsidR="00832C52" w:rsidRPr="000B2DCA">
        <w:rPr>
          <w:sz w:val="20"/>
          <w:szCs w:val="20"/>
          <w:lang w:val="en-GB"/>
        </w:rPr>
        <w:t>mprov</w:t>
      </w:r>
      <w:r w:rsidR="00E64DA5" w:rsidRPr="000B2DCA">
        <w:rPr>
          <w:sz w:val="20"/>
          <w:szCs w:val="20"/>
          <w:lang w:val="en-GB"/>
        </w:rPr>
        <w:t>e</w:t>
      </w:r>
      <w:r w:rsidR="00832C52" w:rsidRPr="000B2DCA">
        <w:rPr>
          <w:sz w:val="20"/>
          <w:szCs w:val="20"/>
          <w:lang w:val="en-GB"/>
        </w:rPr>
        <w:t xml:space="preserve"> targeting </w:t>
      </w:r>
      <w:r w:rsidR="00E64DA5" w:rsidRPr="000B2DCA">
        <w:rPr>
          <w:sz w:val="20"/>
          <w:szCs w:val="20"/>
          <w:lang w:val="en-GB"/>
        </w:rPr>
        <w:t xml:space="preserve">and </w:t>
      </w:r>
      <w:r w:rsidR="00A95564" w:rsidRPr="000B2DCA">
        <w:rPr>
          <w:sz w:val="20"/>
          <w:szCs w:val="20"/>
          <w:lang w:val="en-GB"/>
        </w:rPr>
        <w:t xml:space="preserve">reduce leakage in the </w:t>
      </w:r>
      <w:r w:rsidR="00E64DA5" w:rsidRPr="000B2DCA">
        <w:rPr>
          <w:sz w:val="20"/>
          <w:szCs w:val="20"/>
          <w:lang w:val="en-GB"/>
        </w:rPr>
        <w:t xml:space="preserve">delivery </w:t>
      </w:r>
      <w:r w:rsidR="00832C52" w:rsidRPr="000B2DCA">
        <w:rPr>
          <w:sz w:val="20"/>
          <w:szCs w:val="20"/>
          <w:lang w:val="en-GB"/>
        </w:rPr>
        <w:t xml:space="preserve">of social </w:t>
      </w:r>
      <w:r w:rsidR="00A95564" w:rsidRPr="000B2DCA">
        <w:rPr>
          <w:sz w:val="20"/>
          <w:szCs w:val="20"/>
          <w:lang w:val="en-GB"/>
        </w:rPr>
        <w:t>security payments</w:t>
      </w:r>
      <w:r w:rsidR="00832C52" w:rsidRPr="000B2DCA">
        <w:rPr>
          <w:sz w:val="20"/>
          <w:szCs w:val="20"/>
          <w:lang w:val="en-GB"/>
        </w:rPr>
        <w:t xml:space="preserve"> to the extreme</w:t>
      </w:r>
      <w:r w:rsidR="004265B4">
        <w:rPr>
          <w:sz w:val="20"/>
          <w:szCs w:val="20"/>
          <w:lang w:val="en-GB"/>
        </w:rPr>
        <w:t>ly</w:t>
      </w:r>
      <w:r w:rsidR="00832C52" w:rsidRPr="000B2DCA">
        <w:rPr>
          <w:sz w:val="20"/>
          <w:szCs w:val="20"/>
          <w:lang w:val="en-GB"/>
        </w:rPr>
        <w:t xml:space="preserve"> poor and vulnerable</w:t>
      </w:r>
      <w:r w:rsidR="005C11BD" w:rsidRPr="000B2DCA">
        <w:rPr>
          <w:sz w:val="20"/>
          <w:szCs w:val="20"/>
          <w:lang w:val="en-GB"/>
        </w:rPr>
        <w:t xml:space="preserve"> </w:t>
      </w:r>
      <w:r w:rsidR="00B32F1A" w:rsidRPr="000B2DCA">
        <w:rPr>
          <w:sz w:val="20"/>
          <w:szCs w:val="20"/>
          <w:lang w:val="en-GB"/>
        </w:rPr>
        <w:t>through</w:t>
      </w:r>
      <w:r w:rsidR="00A95564" w:rsidRPr="000B2DCA">
        <w:rPr>
          <w:sz w:val="20"/>
          <w:szCs w:val="20"/>
          <w:lang w:val="en-GB"/>
        </w:rPr>
        <w:t xml:space="preserve"> </w:t>
      </w:r>
      <w:r w:rsidR="004265B4">
        <w:rPr>
          <w:sz w:val="20"/>
          <w:szCs w:val="20"/>
          <w:lang w:val="en-GB"/>
        </w:rPr>
        <w:t xml:space="preserve">the </w:t>
      </w:r>
      <w:r w:rsidR="00A95564" w:rsidRPr="000B2DCA">
        <w:rPr>
          <w:sz w:val="20"/>
          <w:szCs w:val="20"/>
          <w:lang w:val="en-GB"/>
        </w:rPr>
        <w:t xml:space="preserve">use of </w:t>
      </w:r>
      <w:r w:rsidR="00832C52" w:rsidRPr="000B2DCA">
        <w:rPr>
          <w:sz w:val="20"/>
          <w:szCs w:val="20"/>
          <w:lang w:val="en-GB"/>
        </w:rPr>
        <w:t>digital payment mechanisms</w:t>
      </w:r>
      <w:r w:rsidR="00F46466" w:rsidRPr="000B2DCA">
        <w:rPr>
          <w:sz w:val="20"/>
          <w:szCs w:val="20"/>
          <w:lang w:val="en-GB"/>
        </w:rPr>
        <w:t xml:space="preserve">. </w:t>
      </w:r>
    </w:p>
    <w:p w14:paraId="660E3639" w14:textId="7170BCE9" w:rsidR="00FA1093" w:rsidRPr="000B2DCA" w:rsidRDefault="00FA1093" w:rsidP="000B2DCA">
      <w:pPr>
        <w:widowControl w:val="0"/>
        <w:tabs>
          <w:tab w:val="left" w:pos="220"/>
          <w:tab w:val="left" w:pos="720"/>
          <w:tab w:val="left" w:pos="1080"/>
          <w:tab w:val="left" w:pos="8640"/>
          <w:tab w:val="left" w:pos="9180"/>
        </w:tabs>
        <w:autoSpaceDE w:val="0"/>
        <w:autoSpaceDN w:val="0"/>
        <w:adjustRightInd w:val="0"/>
        <w:spacing w:after="120"/>
        <w:ind w:left="720"/>
        <w:jc w:val="both"/>
        <w:rPr>
          <w:b/>
          <w:sz w:val="20"/>
          <w:szCs w:val="20"/>
        </w:rPr>
      </w:pPr>
      <w:r w:rsidRPr="000B2DCA">
        <w:rPr>
          <w:b/>
          <w:i/>
          <w:sz w:val="20"/>
          <w:szCs w:val="20"/>
        </w:rPr>
        <w:t>Building resilience and improving environmental sustainability</w:t>
      </w:r>
    </w:p>
    <w:p w14:paraId="4B8EF5BA" w14:textId="20815756" w:rsidR="004F4EE2" w:rsidRPr="000B2DCA" w:rsidRDefault="004F4EE2" w:rsidP="000B2DCA">
      <w:pPr>
        <w:pStyle w:val="ListParagraph"/>
        <w:numPr>
          <w:ilvl w:val="0"/>
          <w:numId w:val="3"/>
        </w:numPr>
        <w:tabs>
          <w:tab w:val="left" w:pos="1080"/>
          <w:tab w:val="left" w:pos="8640"/>
          <w:tab w:val="left" w:pos="9180"/>
        </w:tabs>
        <w:spacing w:after="120"/>
        <w:ind w:firstLine="0"/>
        <w:jc w:val="both"/>
        <w:rPr>
          <w:sz w:val="20"/>
          <w:szCs w:val="20"/>
        </w:rPr>
      </w:pPr>
      <w:r w:rsidRPr="000B2DCA">
        <w:rPr>
          <w:sz w:val="20"/>
          <w:szCs w:val="20"/>
        </w:rPr>
        <w:t xml:space="preserve">In line with </w:t>
      </w:r>
      <w:r w:rsidR="00385E7F" w:rsidRPr="000B2DCA">
        <w:rPr>
          <w:sz w:val="20"/>
          <w:szCs w:val="20"/>
        </w:rPr>
        <w:t xml:space="preserve">the </w:t>
      </w:r>
      <w:r w:rsidR="00ED637B">
        <w:rPr>
          <w:sz w:val="20"/>
          <w:szCs w:val="20"/>
        </w:rPr>
        <w:t>strategic plan</w:t>
      </w:r>
      <w:r w:rsidRPr="000B2DCA">
        <w:rPr>
          <w:sz w:val="20"/>
          <w:szCs w:val="20"/>
        </w:rPr>
        <w:t xml:space="preserve"> and </w:t>
      </w:r>
      <w:r w:rsidR="00ED637B">
        <w:rPr>
          <w:sz w:val="20"/>
          <w:szCs w:val="20"/>
        </w:rPr>
        <w:t>the seventh five-year plan</w:t>
      </w:r>
      <w:r w:rsidRPr="000B2DCA">
        <w:rPr>
          <w:sz w:val="20"/>
          <w:szCs w:val="20"/>
        </w:rPr>
        <w:t xml:space="preserve">, UNDP will </w:t>
      </w:r>
      <w:r w:rsidR="000C0277" w:rsidRPr="000B2DCA">
        <w:rPr>
          <w:sz w:val="20"/>
          <w:szCs w:val="20"/>
        </w:rPr>
        <w:t xml:space="preserve">promote </w:t>
      </w:r>
      <w:r w:rsidRPr="000B2DCA">
        <w:rPr>
          <w:sz w:val="20"/>
          <w:szCs w:val="20"/>
        </w:rPr>
        <w:t xml:space="preserve">resilience as an integral </w:t>
      </w:r>
      <w:r w:rsidR="000C0277" w:rsidRPr="000B2DCA">
        <w:rPr>
          <w:sz w:val="20"/>
          <w:szCs w:val="20"/>
        </w:rPr>
        <w:t xml:space="preserve">dimension </w:t>
      </w:r>
      <w:r w:rsidRPr="000B2DCA">
        <w:rPr>
          <w:sz w:val="20"/>
          <w:szCs w:val="20"/>
        </w:rPr>
        <w:t>of sustainable development</w:t>
      </w:r>
      <w:r w:rsidR="000C0277" w:rsidRPr="000B2DCA">
        <w:rPr>
          <w:sz w:val="20"/>
          <w:szCs w:val="20"/>
        </w:rPr>
        <w:t xml:space="preserve">. </w:t>
      </w:r>
      <w:r w:rsidRPr="000B2DCA">
        <w:rPr>
          <w:sz w:val="20"/>
          <w:szCs w:val="20"/>
        </w:rPr>
        <w:t>Guided by a new inter-</w:t>
      </w:r>
      <w:r w:rsidR="00ED637B">
        <w:rPr>
          <w:sz w:val="20"/>
          <w:szCs w:val="20"/>
        </w:rPr>
        <w:t>organization</w:t>
      </w:r>
      <w:r w:rsidR="00ED637B" w:rsidRPr="000B2DCA">
        <w:rPr>
          <w:sz w:val="20"/>
          <w:szCs w:val="20"/>
        </w:rPr>
        <w:t xml:space="preserve"> </w:t>
      </w:r>
      <w:r w:rsidRPr="000B2DCA">
        <w:rPr>
          <w:sz w:val="20"/>
          <w:szCs w:val="20"/>
        </w:rPr>
        <w:t xml:space="preserve">programming framework, UNDP will </w:t>
      </w:r>
      <w:r w:rsidR="000C0277" w:rsidRPr="000B2DCA">
        <w:rPr>
          <w:sz w:val="20"/>
          <w:szCs w:val="20"/>
        </w:rPr>
        <w:t xml:space="preserve">focus on the </w:t>
      </w:r>
      <w:r w:rsidR="0029213F" w:rsidRPr="000B2DCA">
        <w:rPr>
          <w:sz w:val="20"/>
          <w:szCs w:val="20"/>
        </w:rPr>
        <w:t>institution</w:t>
      </w:r>
      <w:r w:rsidR="00385E7F" w:rsidRPr="000B2DCA">
        <w:rPr>
          <w:sz w:val="20"/>
          <w:szCs w:val="20"/>
        </w:rPr>
        <w:t>-</w:t>
      </w:r>
      <w:r w:rsidR="0029213F" w:rsidRPr="000B2DCA">
        <w:rPr>
          <w:sz w:val="20"/>
          <w:szCs w:val="20"/>
        </w:rPr>
        <w:t>building</w:t>
      </w:r>
      <w:r w:rsidRPr="000B2DCA">
        <w:rPr>
          <w:sz w:val="20"/>
          <w:szCs w:val="20"/>
        </w:rPr>
        <w:t xml:space="preserve"> and reform</w:t>
      </w:r>
      <w:r w:rsidR="000C0277" w:rsidRPr="000B2DCA">
        <w:rPr>
          <w:sz w:val="20"/>
          <w:szCs w:val="20"/>
        </w:rPr>
        <w:t xml:space="preserve"> aspects of disaster preparedness and response</w:t>
      </w:r>
      <w:r w:rsidR="002718A9" w:rsidRPr="000B2DCA">
        <w:rPr>
          <w:sz w:val="20"/>
          <w:szCs w:val="20"/>
        </w:rPr>
        <w:t xml:space="preserve">, enhancing </w:t>
      </w:r>
      <w:r w:rsidR="00ED637B">
        <w:rPr>
          <w:sz w:val="20"/>
          <w:szCs w:val="20"/>
        </w:rPr>
        <w:t>the</w:t>
      </w:r>
      <w:r w:rsidR="002718A9" w:rsidRPr="000B2DCA">
        <w:rPr>
          <w:sz w:val="20"/>
          <w:szCs w:val="20"/>
        </w:rPr>
        <w:t xml:space="preserve"> capacity </w:t>
      </w:r>
      <w:r w:rsidR="00ED637B">
        <w:rPr>
          <w:sz w:val="20"/>
          <w:szCs w:val="20"/>
        </w:rPr>
        <w:t xml:space="preserve">of Bangladesh </w:t>
      </w:r>
      <w:r w:rsidR="002718A9" w:rsidRPr="000B2DCA">
        <w:rPr>
          <w:sz w:val="20"/>
          <w:szCs w:val="20"/>
        </w:rPr>
        <w:t>to implement the Sendai Framework by 2030.</w:t>
      </w:r>
      <w:r w:rsidRPr="000B2DCA">
        <w:rPr>
          <w:sz w:val="20"/>
          <w:szCs w:val="20"/>
        </w:rPr>
        <w:t xml:space="preserve"> Building on </w:t>
      </w:r>
      <w:r w:rsidR="00367178">
        <w:rPr>
          <w:sz w:val="20"/>
          <w:szCs w:val="20"/>
        </w:rPr>
        <w:t>its</w:t>
      </w:r>
      <w:r w:rsidRPr="000B2DCA">
        <w:rPr>
          <w:sz w:val="20"/>
          <w:szCs w:val="20"/>
        </w:rPr>
        <w:t xml:space="preserve"> experience </w:t>
      </w:r>
      <w:r w:rsidR="000C0277" w:rsidRPr="000B2DCA">
        <w:rPr>
          <w:sz w:val="20"/>
          <w:szCs w:val="20"/>
        </w:rPr>
        <w:t>i</w:t>
      </w:r>
      <w:r w:rsidRPr="000B2DCA">
        <w:rPr>
          <w:sz w:val="20"/>
          <w:szCs w:val="20"/>
        </w:rPr>
        <w:t xml:space="preserve">n disaster </w:t>
      </w:r>
      <w:r w:rsidR="00ED637B">
        <w:rPr>
          <w:sz w:val="20"/>
          <w:szCs w:val="20"/>
        </w:rPr>
        <w:t>and risk</w:t>
      </w:r>
      <w:r w:rsidRPr="000B2DCA">
        <w:rPr>
          <w:sz w:val="20"/>
          <w:szCs w:val="20"/>
        </w:rPr>
        <w:t xml:space="preserve"> management, </w:t>
      </w:r>
      <w:r w:rsidR="000C0277" w:rsidRPr="000B2DCA">
        <w:rPr>
          <w:sz w:val="20"/>
          <w:szCs w:val="20"/>
        </w:rPr>
        <w:t>and on</w:t>
      </w:r>
      <w:r w:rsidR="002718A9" w:rsidRPr="000B2DCA">
        <w:rPr>
          <w:sz w:val="20"/>
          <w:szCs w:val="20"/>
        </w:rPr>
        <w:t xml:space="preserve"> </w:t>
      </w:r>
      <w:r w:rsidR="00367178">
        <w:rPr>
          <w:sz w:val="20"/>
          <w:szCs w:val="20"/>
        </w:rPr>
        <w:t>its</w:t>
      </w:r>
      <w:r w:rsidR="000C0277" w:rsidRPr="000B2DCA">
        <w:rPr>
          <w:sz w:val="20"/>
          <w:szCs w:val="20"/>
        </w:rPr>
        <w:t xml:space="preserve"> working relationship</w:t>
      </w:r>
      <w:r w:rsidRPr="000B2DCA">
        <w:rPr>
          <w:sz w:val="20"/>
          <w:szCs w:val="20"/>
        </w:rPr>
        <w:t xml:space="preserve"> with the Ministry of Disaster Management and Relief, UNDP will </w:t>
      </w:r>
      <w:r w:rsidR="002718A9" w:rsidRPr="000B2DCA">
        <w:rPr>
          <w:sz w:val="20"/>
          <w:szCs w:val="20"/>
        </w:rPr>
        <w:t>harness</w:t>
      </w:r>
      <w:r w:rsidRPr="000B2DCA">
        <w:rPr>
          <w:sz w:val="20"/>
          <w:szCs w:val="20"/>
        </w:rPr>
        <w:t xml:space="preserve"> a whole</w:t>
      </w:r>
      <w:r w:rsidR="000C0277" w:rsidRPr="000B2DCA">
        <w:rPr>
          <w:sz w:val="20"/>
          <w:szCs w:val="20"/>
        </w:rPr>
        <w:t>-</w:t>
      </w:r>
      <w:r w:rsidRPr="000B2DCA">
        <w:rPr>
          <w:sz w:val="20"/>
          <w:szCs w:val="20"/>
        </w:rPr>
        <w:t>of</w:t>
      </w:r>
      <w:r w:rsidR="000C0277" w:rsidRPr="000B2DCA">
        <w:rPr>
          <w:sz w:val="20"/>
          <w:szCs w:val="20"/>
        </w:rPr>
        <w:t>-</w:t>
      </w:r>
      <w:r w:rsidRPr="000B2DCA">
        <w:rPr>
          <w:sz w:val="20"/>
          <w:szCs w:val="20"/>
        </w:rPr>
        <w:t xml:space="preserve">government approach </w:t>
      </w:r>
      <w:r w:rsidR="000C0277" w:rsidRPr="000B2DCA">
        <w:rPr>
          <w:sz w:val="20"/>
          <w:szCs w:val="20"/>
        </w:rPr>
        <w:t>to</w:t>
      </w:r>
      <w:r w:rsidRPr="000B2DCA">
        <w:rPr>
          <w:sz w:val="20"/>
          <w:szCs w:val="20"/>
        </w:rPr>
        <w:t xml:space="preserve"> resilience</w:t>
      </w:r>
      <w:r w:rsidR="00ED637B">
        <w:rPr>
          <w:sz w:val="20"/>
          <w:szCs w:val="20"/>
        </w:rPr>
        <w:t>-</w:t>
      </w:r>
      <w:r w:rsidRPr="000B2DCA">
        <w:rPr>
          <w:sz w:val="20"/>
          <w:szCs w:val="20"/>
        </w:rPr>
        <w:t xml:space="preserve">building and disaster management. The focus will be on </w:t>
      </w:r>
      <w:r w:rsidR="002718A9" w:rsidRPr="000B2DCA">
        <w:rPr>
          <w:sz w:val="20"/>
          <w:szCs w:val="20"/>
        </w:rPr>
        <w:t xml:space="preserve">developing and </w:t>
      </w:r>
      <w:r w:rsidRPr="000B2DCA">
        <w:rPr>
          <w:sz w:val="20"/>
          <w:szCs w:val="20"/>
        </w:rPr>
        <w:t>upgrading</w:t>
      </w:r>
      <w:r w:rsidR="00367178">
        <w:rPr>
          <w:sz w:val="20"/>
          <w:szCs w:val="20"/>
        </w:rPr>
        <w:t xml:space="preserve"> national, sectoral and town-</w:t>
      </w:r>
      <w:r w:rsidR="002718A9" w:rsidRPr="000B2DCA">
        <w:rPr>
          <w:sz w:val="20"/>
          <w:szCs w:val="20"/>
        </w:rPr>
        <w:t>level plans</w:t>
      </w:r>
      <w:r w:rsidRPr="000B2DCA">
        <w:rPr>
          <w:sz w:val="20"/>
          <w:szCs w:val="20"/>
        </w:rPr>
        <w:t xml:space="preserve"> to prepare, </w:t>
      </w:r>
      <w:r w:rsidR="00603C3C" w:rsidRPr="000B2DCA">
        <w:rPr>
          <w:sz w:val="20"/>
          <w:szCs w:val="20"/>
        </w:rPr>
        <w:t xml:space="preserve">respond, </w:t>
      </w:r>
      <w:r w:rsidRPr="000B2DCA">
        <w:rPr>
          <w:sz w:val="20"/>
          <w:szCs w:val="20"/>
        </w:rPr>
        <w:t>recover and build back better following disaster</w:t>
      </w:r>
      <w:r w:rsidR="0029213F" w:rsidRPr="000B2DCA">
        <w:rPr>
          <w:sz w:val="20"/>
          <w:szCs w:val="20"/>
        </w:rPr>
        <w:t>s</w:t>
      </w:r>
      <w:r w:rsidR="00F46466" w:rsidRPr="000B2DCA">
        <w:rPr>
          <w:sz w:val="20"/>
          <w:szCs w:val="20"/>
        </w:rPr>
        <w:t xml:space="preserve">. </w:t>
      </w:r>
    </w:p>
    <w:p w14:paraId="234A7A89" w14:textId="2BDA76F2" w:rsidR="00EC0800" w:rsidRPr="00477ECA" w:rsidRDefault="00FE7037" w:rsidP="00F55B96">
      <w:pPr>
        <w:pStyle w:val="ListParagraph"/>
        <w:numPr>
          <w:ilvl w:val="0"/>
          <w:numId w:val="3"/>
        </w:numPr>
        <w:tabs>
          <w:tab w:val="left" w:pos="1080"/>
          <w:tab w:val="left" w:pos="8640"/>
          <w:tab w:val="left" w:pos="9180"/>
        </w:tabs>
        <w:spacing w:after="240"/>
        <w:ind w:firstLine="0"/>
        <w:jc w:val="both"/>
        <w:rPr>
          <w:sz w:val="20"/>
          <w:szCs w:val="20"/>
        </w:rPr>
      </w:pPr>
      <w:r w:rsidRPr="000B2DCA">
        <w:rPr>
          <w:rFonts w:eastAsia="Calibri"/>
          <w:bCs/>
          <w:sz w:val="20"/>
          <w:szCs w:val="20"/>
        </w:rPr>
        <w:t xml:space="preserve">UNDP will support </w:t>
      </w:r>
      <w:r w:rsidR="003F5249" w:rsidRPr="000B2DCA">
        <w:rPr>
          <w:rFonts w:eastAsia="Calibri"/>
          <w:bCs/>
          <w:sz w:val="20"/>
          <w:szCs w:val="20"/>
        </w:rPr>
        <w:t xml:space="preserve">the </w:t>
      </w:r>
      <w:r w:rsidR="00ED637B">
        <w:rPr>
          <w:rFonts w:eastAsia="Calibri"/>
          <w:bCs/>
          <w:sz w:val="20"/>
          <w:szCs w:val="20"/>
        </w:rPr>
        <w:t>m</w:t>
      </w:r>
      <w:r w:rsidR="003F5249" w:rsidRPr="000B2DCA">
        <w:rPr>
          <w:rFonts w:eastAsia="Calibri"/>
          <w:bCs/>
          <w:sz w:val="20"/>
          <w:szCs w:val="20"/>
        </w:rPr>
        <w:t>inistries</w:t>
      </w:r>
      <w:r w:rsidR="009E5848" w:rsidRPr="000B2DCA">
        <w:rPr>
          <w:rFonts w:eastAsia="Calibri"/>
          <w:bCs/>
          <w:sz w:val="20"/>
          <w:szCs w:val="20"/>
        </w:rPr>
        <w:t xml:space="preserve"> of </w:t>
      </w:r>
      <w:r w:rsidR="00367178" w:rsidRPr="000B2DCA">
        <w:rPr>
          <w:rFonts w:eastAsia="Calibri"/>
          <w:bCs/>
          <w:sz w:val="20"/>
          <w:szCs w:val="20"/>
        </w:rPr>
        <w:t>disaster management and relief, environment, women and children’s affairs</w:t>
      </w:r>
      <w:r w:rsidR="00367178">
        <w:rPr>
          <w:rFonts w:eastAsia="Calibri"/>
          <w:bCs/>
          <w:sz w:val="20"/>
          <w:szCs w:val="20"/>
        </w:rPr>
        <w:t>,</w:t>
      </w:r>
      <w:r w:rsidR="00367178" w:rsidRPr="000B2DCA">
        <w:rPr>
          <w:rFonts w:eastAsia="Calibri"/>
          <w:bCs/>
          <w:sz w:val="20"/>
          <w:szCs w:val="20"/>
        </w:rPr>
        <w:t xml:space="preserve"> and other line </w:t>
      </w:r>
      <w:r w:rsidR="00367178">
        <w:rPr>
          <w:rFonts w:eastAsia="Calibri"/>
          <w:bCs/>
          <w:sz w:val="20"/>
          <w:szCs w:val="20"/>
        </w:rPr>
        <w:t>m</w:t>
      </w:r>
      <w:r w:rsidR="00367178" w:rsidRPr="000B2DCA">
        <w:rPr>
          <w:rFonts w:eastAsia="Calibri"/>
          <w:bCs/>
          <w:sz w:val="20"/>
          <w:szCs w:val="20"/>
        </w:rPr>
        <w:t xml:space="preserve">inistries </w:t>
      </w:r>
      <w:r w:rsidR="00367178">
        <w:rPr>
          <w:rFonts w:eastAsia="Calibri"/>
          <w:bCs/>
          <w:sz w:val="20"/>
          <w:szCs w:val="20"/>
        </w:rPr>
        <w:t>in</w:t>
      </w:r>
      <w:r w:rsidR="00367178" w:rsidRPr="000B2DCA">
        <w:rPr>
          <w:rFonts w:eastAsia="Calibri"/>
          <w:bCs/>
          <w:sz w:val="20"/>
          <w:szCs w:val="20"/>
        </w:rPr>
        <w:t xml:space="preserve"> design</w:t>
      </w:r>
      <w:r w:rsidR="00367178">
        <w:rPr>
          <w:rFonts w:eastAsia="Calibri"/>
          <w:bCs/>
          <w:sz w:val="20"/>
          <w:szCs w:val="20"/>
        </w:rPr>
        <w:t>ing</w:t>
      </w:r>
      <w:r w:rsidR="00367178" w:rsidRPr="000B2DCA">
        <w:rPr>
          <w:rFonts w:eastAsia="Calibri"/>
          <w:bCs/>
          <w:sz w:val="20"/>
          <w:szCs w:val="20"/>
        </w:rPr>
        <w:t xml:space="preserve"> community-led climate adaptation and development projects that addre</w:t>
      </w:r>
      <w:r w:rsidR="00957661" w:rsidRPr="000B2DCA">
        <w:rPr>
          <w:rFonts w:eastAsia="Calibri"/>
          <w:bCs/>
          <w:sz w:val="20"/>
          <w:szCs w:val="20"/>
        </w:rPr>
        <w:t>ss vulnerabilit</w:t>
      </w:r>
      <w:r w:rsidR="00AF6F37" w:rsidRPr="000B2DCA">
        <w:rPr>
          <w:rFonts w:eastAsia="Calibri"/>
          <w:bCs/>
          <w:sz w:val="20"/>
          <w:szCs w:val="20"/>
        </w:rPr>
        <w:t>ies</w:t>
      </w:r>
      <w:r w:rsidR="00957661" w:rsidRPr="000B2DCA">
        <w:rPr>
          <w:rFonts w:eastAsia="Calibri"/>
          <w:bCs/>
          <w:sz w:val="20"/>
          <w:szCs w:val="20"/>
        </w:rPr>
        <w:t xml:space="preserve"> of women and girls</w:t>
      </w:r>
      <w:r w:rsidR="00153202" w:rsidRPr="000B2DCA">
        <w:rPr>
          <w:rFonts w:eastAsia="Calibri"/>
          <w:bCs/>
          <w:sz w:val="20"/>
          <w:szCs w:val="20"/>
        </w:rPr>
        <w:t xml:space="preserve">. </w:t>
      </w:r>
      <w:r w:rsidR="00040A1D" w:rsidRPr="000B2DCA">
        <w:rPr>
          <w:rFonts w:eastAsia="Calibri"/>
          <w:bCs/>
          <w:sz w:val="20"/>
          <w:szCs w:val="20"/>
        </w:rPr>
        <w:t>R</w:t>
      </w:r>
      <w:r w:rsidR="00153202" w:rsidRPr="000B2DCA">
        <w:rPr>
          <w:rFonts w:eastAsia="Calibri"/>
          <w:bCs/>
          <w:sz w:val="20"/>
          <w:szCs w:val="20"/>
        </w:rPr>
        <w:t>isk-</w:t>
      </w:r>
      <w:r w:rsidRPr="000B2DCA">
        <w:rPr>
          <w:rFonts w:eastAsia="Calibri"/>
          <w:bCs/>
          <w:sz w:val="20"/>
          <w:szCs w:val="20"/>
        </w:rPr>
        <w:t xml:space="preserve">context mapping for climate-induced and </w:t>
      </w:r>
      <w:r w:rsidR="00603C3C" w:rsidRPr="000B2DCA">
        <w:rPr>
          <w:rFonts w:eastAsia="Calibri"/>
          <w:bCs/>
          <w:sz w:val="20"/>
          <w:szCs w:val="20"/>
        </w:rPr>
        <w:t xml:space="preserve">other </w:t>
      </w:r>
      <w:r w:rsidRPr="000B2DCA">
        <w:rPr>
          <w:rFonts w:eastAsia="Calibri"/>
          <w:bCs/>
          <w:sz w:val="20"/>
          <w:szCs w:val="20"/>
        </w:rPr>
        <w:t>natural hazards</w:t>
      </w:r>
      <w:r w:rsidR="00AF6F37" w:rsidRPr="000B2DCA">
        <w:rPr>
          <w:rFonts w:eastAsia="Calibri"/>
          <w:bCs/>
          <w:sz w:val="20"/>
          <w:szCs w:val="20"/>
        </w:rPr>
        <w:t xml:space="preserve">, </w:t>
      </w:r>
      <w:r w:rsidR="00ED637B" w:rsidRPr="000B2DCA">
        <w:rPr>
          <w:rFonts w:eastAsia="Calibri"/>
          <w:bCs/>
          <w:sz w:val="20"/>
          <w:szCs w:val="20"/>
        </w:rPr>
        <w:t>a</w:t>
      </w:r>
      <w:r w:rsidR="00ED637B">
        <w:rPr>
          <w:rFonts w:eastAsia="Calibri"/>
          <w:bCs/>
          <w:sz w:val="20"/>
          <w:szCs w:val="20"/>
        </w:rPr>
        <w:t>s well as</w:t>
      </w:r>
      <w:r w:rsidR="00ED637B" w:rsidRPr="000B2DCA">
        <w:rPr>
          <w:rFonts w:eastAsia="Calibri"/>
          <w:bCs/>
          <w:sz w:val="20"/>
          <w:szCs w:val="20"/>
        </w:rPr>
        <w:t xml:space="preserve"> </w:t>
      </w:r>
      <w:r w:rsidR="00587151" w:rsidRPr="000B2DCA">
        <w:rPr>
          <w:rFonts w:eastAsia="Calibri"/>
          <w:bCs/>
          <w:sz w:val="20"/>
          <w:szCs w:val="20"/>
        </w:rPr>
        <w:t>retrospective resilience analysis tool</w:t>
      </w:r>
      <w:r w:rsidR="00AF6F37" w:rsidRPr="000B2DCA">
        <w:rPr>
          <w:rFonts w:eastAsia="Calibri"/>
          <w:bCs/>
          <w:sz w:val="20"/>
          <w:szCs w:val="20"/>
        </w:rPr>
        <w:t>s</w:t>
      </w:r>
      <w:r w:rsidR="00587151" w:rsidRPr="000B2DCA">
        <w:rPr>
          <w:rFonts w:eastAsia="Calibri"/>
          <w:bCs/>
          <w:sz w:val="20"/>
          <w:szCs w:val="20"/>
        </w:rPr>
        <w:t xml:space="preserve"> and methodologies</w:t>
      </w:r>
      <w:r w:rsidR="00ED637B">
        <w:rPr>
          <w:rFonts w:eastAsia="Calibri"/>
          <w:bCs/>
          <w:sz w:val="20"/>
          <w:szCs w:val="20"/>
        </w:rPr>
        <w:t>,</w:t>
      </w:r>
      <w:r w:rsidR="00040A1D" w:rsidRPr="000B2DCA">
        <w:rPr>
          <w:rFonts w:eastAsia="Calibri"/>
          <w:bCs/>
          <w:sz w:val="20"/>
          <w:szCs w:val="20"/>
        </w:rPr>
        <w:t xml:space="preserve"> will </w:t>
      </w:r>
      <w:r w:rsidR="00AF6F37" w:rsidRPr="000B2DCA">
        <w:rPr>
          <w:rFonts w:eastAsia="Calibri"/>
          <w:bCs/>
          <w:sz w:val="20"/>
          <w:szCs w:val="20"/>
        </w:rPr>
        <w:t>in</w:t>
      </w:r>
      <w:r w:rsidR="00040A1D" w:rsidRPr="000B2DCA">
        <w:rPr>
          <w:rFonts w:eastAsia="Calibri"/>
          <w:bCs/>
          <w:sz w:val="20"/>
          <w:szCs w:val="20"/>
        </w:rPr>
        <w:t>form</w:t>
      </w:r>
      <w:r w:rsidR="00F16689" w:rsidRPr="000B2DCA">
        <w:rPr>
          <w:rFonts w:eastAsia="Calibri"/>
          <w:bCs/>
          <w:sz w:val="20"/>
          <w:szCs w:val="20"/>
        </w:rPr>
        <w:t xml:space="preserve"> </w:t>
      </w:r>
      <w:r w:rsidR="00ED637B">
        <w:rPr>
          <w:rFonts w:eastAsia="Calibri"/>
          <w:bCs/>
          <w:sz w:val="20"/>
          <w:szCs w:val="20"/>
        </w:rPr>
        <w:t>g</w:t>
      </w:r>
      <w:r w:rsidR="00F16689" w:rsidRPr="000B2DCA">
        <w:rPr>
          <w:rFonts w:eastAsia="Calibri"/>
          <w:bCs/>
          <w:sz w:val="20"/>
          <w:szCs w:val="20"/>
        </w:rPr>
        <w:t>overnment programming</w:t>
      </w:r>
      <w:r w:rsidR="00587151" w:rsidRPr="000B2DCA">
        <w:rPr>
          <w:rFonts w:eastAsia="Calibri"/>
          <w:bCs/>
          <w:sz w:val="20"/>
          <w:szCs w:val="20"/>
        </w:rPr>
        <w:t xml:space="preserve">. </w:t>
      </w:r>
      <w:r w:rsidR="00A63330" w:rsidRPr="000B2DCA">
        <w:rPr>
          <w:rFonts w:eastAsia="Calibri"/>
          <w:bCs/>
          <w:sz w:val="20"/>
          <w:szCs w:val="20"/>
        </w:rPr>
        <w:t xml:space="preserve">Systems to access, deliver, monitor and report on climate finance will be developed, and UNDP will assist the Government </w:t>
      </w:r>
      <w:r w:rsidR="00ED637B">
        <w:rPr>
          <w:rFonts w:eastAsia="Calibri"/>
          <w:bCs/>
          <w:sz w:val="20"/>
          <w:szCs w:val="20"/>
        </w:rPr>
        <w:t>in</w:t>
      </w:r>
      <w:r w:rsidR="00A63330" w:rsidRPr="000B2DCA">
        <w:rPr>
          <w:rFonts w:eastAsia="Calibri"/>
          <w:bCs/>
          <w:sz w:val="20"/>
          <w:szCs w:val="20"/>
        </w:rPr>
        <w:t xml:space="preserve"> access</w:t>
      </w:r>
      <w:r w:rsidR="00ED637B">
        <w:rPr>
          <w:rFonts w:eastAsia="Calibri"/>
          <w:bCs/>
          <w:sz w:val="20"/>
          <w:szCs w:val="20"/>
        </w:rPr>
        <w:t>ing</w:t>
      </w:r>
      <w:r w:rsidR="00A63330" w:rsidRPr="000B2DCA">
        <w:rPr>
          <w:rFonts w:eastAsia="Calibri"/>
          <w:bCs/>
          <w:sz w:val="20"/>
          <w:szCs w:val="20"/>
        </w:rPr>
        <w:t xml:space="preserve"> the Green Climate Fund, the Global Environment Facility and other vertical funds to mobilize resources </w:t>
      </w:r>
      <w:r w:rsidR="00367178">
        <w:rPr>
          <w:rFonts w:eastAsia="Calibri"/>
          <w:sz w:val="20"/>
          <w:szCs w:val="20"/>
        </w:rPr>
        <w:t>for climate-</w:t>
      </w:r>
      <w:r w:rsidR="00A63330" w:rsidRPr="000B2DCA">
        <w:rPr>
          <w:rFonts w:eastAsia="Calibri"/>
          <w:sz w:val="20"/>
          <w:szCs w:val="20"/>
        </w:rPr>
        <w:t>resilient and green growth</w:t>
      </w:r>
      <w:r w:rsidR="00A63330" w:rsidRPr="000B2DCA">
        <w:rPr>
          <w:rFonts w:eastAsia="Calibri"/>
          <w:bCs/>
          <w:sz w:val="20"/>
          <w:szCs w:val="20"/>
        </w:rPr>
        <w:t>.</w:t>
      </w:r>
      <w:r w:rsidR="00D721D4" w:rsidRPr="000B2DCA">
        <w:rPr>
          <w:sz w:val="20"/>
          <w:szCs w:val="20"/>
        </w:rPr>
        <w:t xml:space="preserve"> </w:t>
      </w:r>
      <w:r w:rsidR="00BC16DC" w:rsidRPr="000B2DCA">
        <w:rPr>
          <w:rFonts w:eastAsia="Calibri"/>
          <w:sz w:val="20"/>
          <w:szCs w:val="20"/>
        </w:rPr>
        <w:t xml:space="preserve">In partnership with </w:t>
      </w:r>
      <w:r w:rsidR="00ED637B">
        <w:rPr>
          <w:rFonts w:eastAsia="Calibri"/>
          <w:sz w:val="20"/>
          <w:szCs w:val="20"/>
        </w:rPr>
        <w:t>the United Nations Environment Fund (</w:t>
      </w:r>
      <w:r w:rsidR="00BC16DC" w:rsidRPr="000B2DCA">
        <w:rPr>
          <w:rFonts w:eastAsia="Calibri"/>
          <w:sz w:val="20"/>
          <w:szCs w:val="20"/>
        </w:rPr>
        <w:t>UNEP</w:t>
      </w:r>
      <w:r w:rsidR="00ED637B">
        <w:rPr>
          <w:rFonts w:eastAsia="Calibri"/>
          <w:sz w:val="20"/>
          <w:szCs w:val="20"/>
        </w:rPr>
        <w:t>)</w:t>
      </w:r>
      <w:r w:rsidR="00BC16DC" w:rsidRPr="000B2DCA">
        <w:rPr>
          <w:rFonts w:eastAsia="Calibri"/>
          <w:sz w:val="20"/>
          <w:szCs w:val="20"/>
        </w:rPr>
        <w:t xml:space="preserve"> and FAO, </w:t>
      </w:r>
      <w:r w:rsidR="00127210" w:rsidRPr="000B2DCA">
        <w:rPr>
          <w:rFonts w:eastAsia="Calibri"/>
          <w:sz w:val="20"/>
          <w:szCs w:val="20"/>
        </w:rPr>
        <w:t>UNDP will</w:t>
      </w:r>
      <w:r w:rsidR="00A8512C" w:rsidRPr="000B2DCA">
        <w:rPr>
          <w:rFonts w:eastAsia="Calibri"/>
          <w:sz w:val="20"/>
          <w:szCs w:val="20"/>
        </w:rPr>
        <w:t xml:space="preserve"> </w:t>
      </w:r>
      <w:r w:rsidR="00127210" w:rsidRPr="000B2DCA">
        <w:rPr>
          <w:rFonts w:eastAsia="Calibri"/>
          <w:sz w:val="20"/>
          <w:szCs w:val="20"/>
        </w:rPr>
        <w:t xml:space="preserve">support the </w:t>
      </w:r>
      <w:r w:rsidR="00AF6F37" w:rsidRPr="000B2DCA">
        <w:rPr>
          <w:rFonts w:eastAsia="Calibri"/>
          <w:sz w:val="20"/>
          <w:szCs w:val="20"/>
        </w:rPr>
        <w:t>G</w:t>
      </w:r>
      <w:r w:rsidR="00127210" w:rsidRPr="000B2DCA">
        <w:rPr>
          <w:rFonts w:eastAsia="Calibri"/>
          <w:sz w:val="20"/>
          <w:szCs w:val="20"/>
        </w:rPr>
        <w:t xml:space="preserve">overnment </w:t>
      </w:r>
      <w:r w:rsidR="00ED637B">
        <w:rPr>
          <w:rFonts w:eastAsia="Calibri"/>
          <w:sz w:val="20"/>
          <w:szCs w:val="20"/>
        </w:rPr>
        <w:t>in</w:t>
      </w:r>
      <w:r w:rsidR="00ED637B" w:rsidRPr="000B2DCA">
        <w:rPr>
          <w:rFonts w:eastAsia="Calibri"/>
          <w:sz w:val="20"/>
          <w:szCs w:val="20"/>
        </w:rPr>
        <w:t xml:space="preserve"> </w:t>
      </w:r>
      <w:r w:rsidR="00127210" w:rsidRPr="000B2DCA">
        <w:rPr>
          <w:rFonts w:eastAsia="Calibri"/>
          <w:sz w:val="20"/>
          <w:szCs w:val="20"/>
        </w:rPr>
        <w:t>improv</w:t>
      </w:r>
      <w:r w:rsidR="00ED637B">
        <w:rPr>
          <w:rFonts w:eastAsia="Calibri"/>
          <w:sz w:val="20"/>
          <w:szCs w:val="20"/>
        </w:rPr>
        <w:t>ing</w:t>
      </w:r>
      <w:r w:rsidR="00BC16DC" w:rsidRPr="000B2DCA">
        <w:rPr>
          <w:rFonts w:eastAsia="Calibri"/>
          <w:sz w:val="20"/>
          <w:szCs w:val="20"/>
        </w:rPr>
        <w:t xml:space="preserve"> environmental health and </w:t>
      </w:r>
      <w:r w:rsidR="00ED637B" w:rsidRPr="003C5D47">
        <w:rPr>
          <w:rFonts w:eastAsia="Calibri"/>
          <w:sz w:val="20"/>
          <w:szCs w:val="20"/>
        </w:rPr>
        <w:t>biodiversity</w:t>
      </w:r>
      <w:r w:rsidR="00ED637B" w:rsidRPr="00ED637B">
        <w:rPr>
          <w:rFonts w:eastAsia="Calibri"/>
          <w:sz w:val="20"/>
          <w:szCs w:val="20"/>
        </w:rPr>
        <w:t xml:space="preserve"> </w:t>
      </w:r>
      <w:r w:rsidR="00BC16DC" w:rsidRPr="000B2DCA">
        <w:rPr>
          <w:rFonts w:eastAsia="Calibri"/>
          <w:sz w:val="20"/>
          <w:szCs w:val="20"/>
        </w:rPr>
        <w:t xml:space="preserve">conservation, </w:t>
      </w:r>
      <w:r w:rsidR="00AF6F37" w:rsidRPr="000B2DCA">
        <w:rPr>
          <w:rFonts w:eastAsia="Calibri"/>
          <w:sz w:val="20"/>
          <w:szCs w:val="20"/>
        </w:rPr>
        <w:t>focus</w:t>
      </w:r>
      <w:r w:rsidR="00ED637B">
        <w:rPr>
          <w:rFonts w:eastAsia="Calibri"/>
          <w:sz w:val="20"/>
          <w:szCs w:val="20"/>
        </w:rPr>
        <w:t>ing</w:t>
      </w:r>
      <w:r w:rsidR="00AF6F37" w:rsidRPr="000B2DCA">
        <w:rPr>
          <w:rFonts w:eastAsia="Calibri"/>
          <w:sz w:val="20"/>
          <w:szCs w:val="20"/>
        </w:rPr>
        <w:t xml:space="preserve"> on forests and other </w:t>
      </w:r>
      <w:r w:rsidR="00BC16DC" w:rsidRPr="000B2DCA">
        <w:rPr>
          <w:rFonts w:eastAsia="Calibri"/>
          <w:sz w:val="20"/>
          <w:szCs w:val="20"/>
        </w:rPr>
        <w:t>ecologically critical areas.</w:t>
      </w:r>
      <w:r w:rsidR="000C0277" w:rsidRPr="000B2DCA">
        <w:rPr>
          <w:rFonts w:eastAsia="Calibri"/>
          <w:sz w:val="20"/>
          <w:szCs w:val="20"/>
        </w:rPr>
        <w:t xml:space="preserve"> </w:t>
      </w:r>
      <w:r w:rsidR="000C0277" w:rsidRPr="000B2DCA">
        <w:rPr>
          <w:rFonts w:eastAsia="Calibri"/>
          <w:bCs/>
          <w:sz w:val="20"/>
          <w:szCs w:val="20"/>
        </w:rPr>
        <w:t>Partnership</w:t>
      </w:r>
      <w:r w:rsidR="00ED637B">
        <w:rPr>
          <w:rFonts w:eastAsia="Calibri"/>
          <w:bCs/>
          <w:sz w:val="20"/>
          <w:szCs w:val="20"/>
        </w:rPr>
        <w:t>s</w:t>
      </w:r>
      <w:r w:rsidR="000C0277" w:rsidRPr="000B2DCA">
        <w:rPr>
          <w:rFonts w:eastAsia="Calibri"/>
          <w:bCs/>
          <w:sz w:val="20"/>
          <w:szCs w:val="20"/>
        </w:rPr>
        <w:t xml:space="preserve"> with the private sector will be explored</w:t>
      </w:r>
      <w:r w:rsidR="001341CC" w:rsidRPr="000B2DCA">
        <w:rPr>
          <w:rFonts w:eastAsia="Calibri"/>
          <w:bCs/>
          <w:sz w:val="20"/>
          <w:szCs w:val="20"/>
        </w:rPr>
        <w:t xml:space="preserve"> </w:t>
      </w:r>
      <w:r w:rsidR="00EC0800" w:rsidRPr="000B2DCA">
        <w:rPr>
          <w:rFonts w:eastAsia="Calibri"/>
          <w:bCs/>
          <w:sz w:val="20"/>
          <w:szCs w:val="20"/>
        </w:rPr>
        <w:t xml:space="preserve">through </w:t>
      </w:r>
      <w:r w:rsidR="001038DC">
        <w:rPr>
          <w:rFonts w:eastAsia="Calibri"/>
          <w:bCs/>
          <w:sz w:val="20"/>
          <w:szCs w:val="20"/>
        </w:rPr>
        <w:t>‘</w:t>
      </w:r>
      <w:r w:rsidR="00EC0800" w:rsidRPr="000B2DCA">
        <w:rPr>
          <w:rFonts w:eastAsia="Calibri"/>
          <w:bCs/>
          <w:sz w:val="20"/>
          <w:szCs w:val="20"/>
        </w:rPr>
        <w:t>Business Initiative Leading Development</w:t>
      </w:r>
      <w:r w:rsidR="001038DC">
        <w:rPr>
          <w:rFonts w:eastAsia="Calibri"/>
          <w:bCs/>
          <w:sz w:val="20"/>
          <w:szCs w:val="20"/>
        </w:rPr>
        <w:t>’</w:t>
      </w:r>
      <w:r w:rsidR="00316850">
        <w:rPr>
          <w:rFonts w:eastAsia="Calibri"/>
          <w:bCs/>
          <w:sz w:val="20"/>
          <w:szCs w:val="20"/>
        </w:rPr>
        <w:t>, the Federation of Bangladesh Chambers of Commerce and Industry,</w:t>
      </w:r>
      <w:r w:rsidR="00EC0800" w:rsidRPr="000B2DCA">
        <w:rPr>
          <w:rFonts w:eastAsia="Calibri"/>
          <w:bCs/>
          <w:sz w:val="20"/>
          <w:szCs w:val="20"/>
        </w:rPr>
        <w:t xml:space="preserve"> </w:t>
      </w:r>
      <w:r w:rsidR="00957661" w:rsidRPr="000B2DCA">
        <w:rPr>
          <w:rFonts w:eastAsia="Calibri"/>
          <w:bCs/>
          <w:sz w:val="20"/>
          <w:szCs w:val="20"/>
        </w:rPr>
        <w:t>and</w:t>
      </w:r>
      <w:r w:rsidR="00A63330" w:rsidRPr="000B2DCA">
        <w:rPr>
          <w:rFonts w:eastAsia="Calibri"/>
          <w:bCs/>
          <w:sz w:val="20"/>
          <w:szCs w:val="20"/>
        </w:rPr>
        <w:t xml:space="preserve"> the</w:t>
      </w:r>
      <w:r w:rsidR="00BD1A6F" w:rsidRPr="000B2DCA">
        <w:rPr>
          <w:rFonts w:eastAsia="Calibri"/>
          <w:bCs/>
          <w:sz w:val="20"/>
          <w:szCs w:val="20"/>
        </w:rPr>
        <w:t xml:space="preserve"> </w:t>
      </w:r>
      <w:r w:rsidR="00957661" w:rsidRPr="000B2DCA">
        <w:rPr>
          <w:rFonts w:eastAsia="Calibri"/>
          <w:bCs/>
          <w:sz w:val="20"/>
          <w:szCs w:val="20"/>
        </w:rPr>
        <w:t>Business Call to Action.</w:t>
      </w:r>
    </w:p>
    <w:p w14:paraId="4D6F9C18" w14:textId="620A225A" w:rsidR="00FE7037" w:rsidRPr="000B2DCA" w:rsidRDefault="00FE7037" w:rsidP="00F55B96">
      <w:pPr>
        <w:pStyle w:val="Heading1"/>
        <w:numPr>
          <w:ilvl w:val="0"/>
          <w:numId w:val="4"/>
        </w:numPr>
        <w:tabs>
          <w:tab w:val="left" w:pos="1080"/>
          <w:tab w:val="left" w:pos="1800"/>
          <w:tab w:val="left" w:pos="8640"/>
          <w:tab w:val="left" w:pos="9180"/>
        </w:tabs>
        <w:spacing w:after="120"/>
        <w:ind w:left="720" w:right="1267" w:hanging="540"/>
        <w:jc w:val="both"/>
        <w:rPr>
          <w:rFonts w:ascii="Times New Roman" w:hAnsi="Times New Roman"/>
          <w:color w:val="000000"/>
          <w:szCs w:val="28"/>
          <w:lang w:val="en-GB"/>
        </w:rPr>
      </w:pPr>
      <w:r w:rsidRPr="000B2DCA">
        <w:rPr>
          <w:rFonts w:ascii="Times New Roman" w:hAnsi="Times New Roman"/>
          <w:color w:val="000000"/>
          <w:szCs w:val="28"/>
          <w:lang w:val="en-GB"/>
        </w:rPr>
        <w:t xml:space="preserve">Programme and </w:t>
      </w:r>
      <w:r w:rsidR="00ED637B">
        <w:rPr>
          <w:rFonts w:ascii="Times New Roman" w:hAnsi="Times New Roman"/>
          <w:color w:val="000000"/>
          <w:szCs w:val="28"/>
          <w:lang w:val="en-GB"/>
        </w:rPr>
        <w:t>r</w:t>
      </w:r>
      <w:r w:rsidRPr="000B2DCA">
        <w:rPr>
          <w:rFonts w:ascii="Times New Roman" w:hAnsi="Times New Roman"/>
          <w:color w:val="000000"/>
          <w:szCs w:val="28"/>
          <w:lang w:val="en-GB"/>
        </w:rPr>
        <w:t xml:space="preserve">isk </w:t>
      </w:r>
      <w:r w:rsidR="00ED637B">
        <w:rPr>
          <w:rFonts w:ascii="Times New Roman" w:hAnsi="Times New Roman"/>
          <w:color w:val="000000"/>
          <w:szCs w:val="28"/>
          <w:lang w:val="en-GB"/>
        </w:rPr>
        <w:t>m</w:t>
      </w:r>
      <w:r w:rsidRPr="000B2DCA">
        <w:rPr>
          <w:rFonts w:ascii="Times New Roman" w:hAnsi="Times New Roman"/>
          <w:color w:val="000000"/>
          <w:szCs w:val="28"/>
          <w:lang w:val="en-GB"/>
        </w:rPr>
        <w:t>anagement</w:t>
      </w:r>
    </w:p>
    <w:p w14:paraId="1D1B4C27" w14:textId="75EEC717" w:rsidR="0066144D" w:rsidRPr="000B2DCA" w:rsidRDefault="00FE7037" w:rsidP="000B2DCA">
      <w:pPr>
        <w:pStyle w:val="Default"/>
        <w:numPr>
          <w:ilvl w:val="0"/>
          <w:numId w:val="3"/>
        </w:numPr>
        <w:tabs>
          <w:tab w:val="left" w:pos="1080"/>
          <w:tab w:val="left" w:pos="8640"/>
          <w:tab w:val="left" w:pos="9180"/>
        </w:tabs>
        <w:spacing w:after="120"/>
        <w:ind w:firstLine="0"/>
        <w:jc w:val="both"/>
        <w:rPr>
          <w:iCs/>
          <w:sz w:val="20"/>
          <w:szCs w:val="20"/>
        </w:rPr>
      </w:pPr>
      <w:r w:rsidRPr="000B2DCA">
        <w:rPr>
          <w:sz w:val="20"/>
          <w:szCs w:val="20"/>
          <w:lang w:val="en-GB"/>
        </w:rPr>
        <w:t xml:space="preserve">This </w:t>
      </w:r>
      <w:r w:rsidR="00ED637B">
        <w:rPr>
          <w:sz w:val="20"/>
          <w:szCs w:val="20"/>
          <w:lang w:val="en-GB"/>
        </w:rPr>
        <w:t>country programme document</w:t>
      </w:r>
      <w:r w:rsidR="00ED637B" w:rsidRPr="000B2DCA">
        <w:rPr>
          <w:sz w:val="20"/>
          <w:szCs w:val="20"/>
          <w:lang w:val="en-GB"/>
        </w:rPr>
        <w:t xml:space="preserve"> </w:t>
      </w:r>
      <w:r w:rsidRPr="000B2DCA">
        <w:rPr>
          <w:sz w:val="20"/>
          <w:szCs w:val="20"/>
          <w:lang w:val="en-GB"/>
        </w:rPr>
        <w:t xml:space="preserve">outlines UNDP contributions to national development priorities and to </w:t>
      </w:r>
      <w:r w:rsidR="00ED637B">
        <w:rPr>
          <w:sz w:val="20"/>
          <w:szCs w:val="20"/>
          <w:lang w:val="en-GB"/>
        </w:rPr>
        <w:t>United Nations Development Assistance Framework</w:t>
      </w:r>
      <w:r w:rsidR="00ED637B" w:rsidRPr="000B2DCA">
        <w:rPr>
          <w:sz w:val="20"/>
          <w:szCs w:val="20"/>
          <w:lang w:val="en-GB"/>
        </w:rPr>
        <w:t xml:space="preserve"> </w:t>
      </w:r>
      <w:r w:rsidRPr="000B2DCA">
        <w:rPr>
          <w:sz w:val="20"/>
          <w:szCs w:val="20"/>
          <w:lang w:val="en-GB"/>
        </w:rPr>
        <w:t xml:space="preserve">outcomes. It serves as the primary unit of accountability to the Executive Board for results alignment and resources assigned to the </w:t>
      </w:r>
      <w:r w:rsidR="00DB64A0" w:rsidRPr="000B2DCA">
        <w:rPr>
          <w:sz w:val="20"/>
          <w:szCs w:val="20"/>
          <w:lang w:val="en-GB"/>
        </w:rPr>
        <w:t xml:space="preserve">country </w:t>
      </w:r>
      <w:r w:rsidRPr="000B2DCA">
        <w:rPr>
          <w:sz w:val="20"/>
          <w:szCs w:val="20"/>
          <w:lang w:val="en-GB"/>
        </w:rPr>
        <w:t>programme</w:t>
      </w:r>
      <w:r w:rsidR="00DB64A0" w:rsidRPr="000B2DCA">
        <w:rPr>
          <w:sz w:val="20"/>
          <w:szCs w:val="20"/>
          <w:lang w:val="en-GB"/>
        </w:rPr>
        <w:t>.</w:t>
      </w:r>
      <w:r w:rsidRPr="000B2DCA">
        <w:rPr>
          <w:sz w:val="20"/>
          <w:szCs w:val="20"/>
          <w:lang w:val="en-GB"/>
        </w:rPr>
        <w:t xml:space="preserve"> Accountabilit</w:t>
      </w:r>
      <w:r w:rsidR="001B5943" w:rsidRPr="000B2DCA">
        <w:rPr>
          <w:sz w:val="20"/>
          <w:szCs w:val="20"/>
          <w:lang w:val="en-GB"/>
        </w:rPr>
        <w:t>y</w:t>
      </w:r>
      <w:r w:rsidRPr="000B2DCA">
        <w:rPr>
          <w:sz w:val="20"/>
          <w:szCs w:val="20"/>
          <w:lang w:val="en-GB"/>
        </w:rPr>
        <w:t xml:space="preserve"> </w:t>
      </w:r>
      <w:r w:rsidR="00DB64A0" w:rsidRPr="000B2DCA">
        <w:rPr>
          <w:sz w:val="20"/>
          <w:szCs w:val="20"/>
          <w:lang w:val="en-GB"/>
        </w:rPr>
        <w:t>lines</w:t>
      </w:r>
      <w:r w:rsidRPr="000B2DCA">
        <w:rPr>
          <w:sz w:val="20"/>
          <w:szCs w:val="20"/>
          <w:lang w:val="en-GB"/>
        </w:rPr>
        <w:t xml:space="preserve"> </w:t>
      </w:r>
      <w:r w:rsidR="00DB64A0" w:rsidRPr="000B2DCA">
        <w:rPr>
          <w:sz w:val="20"/>
          <w:szCs w:val="20"/>
          <w:lang w:val="en-GB"/>
        </w:rPr>
        <w:t>are</w:t>
      </w:r>
      <w:r w:rsidRPr="000B2DCA">
        <w:rPr>
          <w:sz w:val="20"/>
          <w:szCs w:val="20"/>
          <w:lang w:val="en-GB"/>
        </w:rPr>
        <w:t xml:space="preserve"> prescribed in the</w:t>
      </w:r>
      <w:r w:rsidR="00ED637B">
        <w:rPr>
          <w:sz w:val="20"/>
          <w:szCs w:val="20"/>
          <w:lang w:val="en-GB"/>
        </w:rPr>
        <w:t xml:space="preserve"> UNDP</w:t>
      </w:r>
      <w:r w:rsidRPr="000B2DCA">
        <w:rPr>
          <w:sz w:val="20"/>
          <w:szCs w:val="20"/>
          <w:lang w:val="en-GB"/>
        </w:rPr>
        <w:t xml:space="preserve"> </w:t>
      </w:r>
      <w:hyperlink r:id="rId21" w:history="1">
        <w:r w:rsidRPr="000B2DCA">
          <w:rPr>
            <w:sz w:val="20"/>
            <w:szCs w:val="20"/>
          </w:rPr>
          <w:t>programme and operations policies and procedures</w:t>
        </w:r>
      </w:hyperlink>
      <w:r w:rsidRPr="000B2DCA">
        <w:rPr>
          <w:sz w:val="20"/>
          <w:szCs w:val="20"/>
          <w:lang w:val="en-GB"/>
        </w:rPr>
        <w:t xml:space="preserve"> and the </w:t>
      </w:r>
      <w:hyperlink r:id="rId22" w:history="1">
        <w:r w:rsidRPr="000B2DCA">
          <w:rPr>
            <w:sz w:val="20"/>
            <w:szCs w:val="20"/>
          </w:rPr>
          <w:t>internal control framework</w:t>
        </w:r>
      </w:hyperlink>
      <w:r w:rsidR="009106C9" w:rsidRPr="000B2DCA">
        <w:rPr>
          <w:sz w:val="20"/>
          <w:szCs w:val="20"/>
          <w:lang w:val="en-GB"/>
        </w:rPr>
        <w:t xml:space="preserve">. </w:t>
      </w:r>
      <w:r w:rsidRPr="000B2DCA">
        <w:rPr>
          <w:sz w:val="20"/>
          <w:szCs w:val="20"/>
          <w:lang w:val="en-GB"/>
        </w:rPr>
        <w:t xml:space="preserve">The </w:t>
      </w:r>
      <w:r w:rsidR="001B5943" w:rsidRPr="000B2DCA">
        <w:rPr>
          <w:sz w:val="20"/>
          <w:szCs w:val="20"/>
          <w:lang w:val="en-GB"/>
        </w:rPr>
        <w:t xml:space="preserve">country </w:t>
      </w:r>
      <w:r w:rsidRPr="000B2DCA">
        <w:rPr>
          <w:sz w:val="20"/>
          <w:szCs w:val="20"/>
          <w:lang w:val="en-GB"/>
        </w:rPr>
        <w:t>programme will</w:t>
      </w:r>
      <w:r w:rsidR="00126F48" w:rsidRPr="000B2DCA">
        <w:rPr>
          <w:sz w:val="20"/>
          <w:szCs w:val="20"/>
          <w:lang w:val="en-GB"/>
        </w:rPr>
        <w:t xml:space="preserve"> </w:t>
      </w:r>
      <w:r w:rsidRPr="000B2DCA">
        <w:rPr>
          <w:sz w:val="20"/>
          <w:szCs w:val="20"/>
          <w:lang w:val="en-GB"/>
        </w:rPr>
        <w:t xml:space="preserve">be executed in coordination with Economic </w:t>
      </w:r>
      <w:r w:rsidRPr="000B2DCA">
        <w:rPr>
          <w:sz w:val="20"/>
          <w:szCs w:val="20"/>
          <w:lang w:val="en-GB"/>
        </w:rPr>
        <w:lastRenderedPageBreak/>
        <w:t xml:space="preserve">Relations Division of the Ministry of Finance. </w:t>
      </w:r>
      <w:r w:rsidR="00CF08E6" w:rsidRPr="000B2DCA">
        <w:rPr>
          <w:sz w:val="20"/>
          <w:szCs w:val="20"/>
          <w:lang w:val="en-GB"/>
        </w:rPr>
        <w:t>UNDP will engag</w:t>
      </w:r>
      <w:r w:rsidR="007F0B36" w:rsidRPr="000B2DCA">
        <w:rPr>
          <w:sz w:val="20"/>
          <w:szCs w:val="20"/>
          <w:lang w:val="en-GB"/>
        </w:rPr>
        <w:t>e with the G</w:t>
      </w:r>
      <w:r w:rsidR="005D4815" w:rsidRPr="000B2DCA">
        <w:rPr>
          <w:sz w:val="20"/>
          <w:szCs w:val="20"/>
          <w:lang w:val="en-GB"/>
        </w:rPr>
        <w:t>overnment to explore</w:t>
      </w:r>
      <w:r w:rsidR="001B5943" w:rsidRPr="000B2DCA">
        <w:rPr>
          <w:sz w:val="20"/>
          <w:szCs w:val="20"/>
          <w:lang w:val="en-GB"/>
        </w:rPr>
        <w:t xml:space="preserve"> structured</w:t>
      </w:r>
      <w:r w:rsidR="00CF08E6" w:rsidRPr="000B2DCA">
        <w:rPr>
          <w:sz w:val="20"/>
          <w:szCs w:val="20"/>
          <w:lang w:val="en-GB"/>
        </w:rPr>
        <w:t xml:space="preserve"> </w:t>
      </w:r>
      <w:r w:rsidR="009246CF" w:rsidRPr="000B2DCA">
        <w:rPr>
          <w:sz w:val="20"/>
          <w:szCs w:val="20"/>
          <w:lang w:val="en-GB"/>
        </w:rPr>
        <w:t>government</w:t>
      </w:r>
      <w:r w:rsidR="001B5943" w:rsidRPr="000B2DCA">
        <w:rPr>
          <w:sz w:val="20"/>
          <w:szCs w:val="20"/>
          <w:lang w:val="en-GB"/>
        </w:rPr>
        <w:t xml:space="preserve"> financing</w:t>
      </w:r>
      <w:r w:rsidR="00CF08E6" w:rsidRPr="000B2DCA">
        <w:rPr>
          <w:sz w:val="20"/>
          <w:szCs w:val="20"/>
          <w:lang w:val="en-GB"/>
        </w:rPr>
        <w:t xml:space="preserve"> arrangements for programmes in line with national priorities</w:t>
      </w:r>
      <w:r w:rsidR="001B5943" w:rsidRPr="000B2DCA">
        <w:rPr>
          <w:sz w:val="20"/>
          <w:szCs w:val="20"/>
          <w:lang w:val="en-GB"/>
        </w:rPr>
        <w:t>, considering</w:t>
      </w:r>
      <w:r w:rsidR="00CF08E6" w:rsidRPr="000B2DCA">
        <w:rPr>
          <w:sz w:val="20"/>
          <w:szCs w:val="20"/>
          <w:lang w:val="en-GB"/>
        </w:rPr>
        <w:t xml:space="preserve"> practices </w:t>
      </w:r>
      <w:r w:rsidR="00120B11" w:rsidRPr="000B2DCA">
        <w:rPr>
          <w:sz w:val="20"/>
          <w:szCs w:val="20"/>
          <w:lang w:val="en-GB"/>
        </w:rPr>
        <w:t>in</w:t>
      </w:r>
      <w:r w:rsidR="00CF08E6" w:rsidRPr="000B2DCA">
        <w:rPr>
          <w:sz w:val="20"/>
          <w:szCs w:val="20"/>
          <w:lang w:val="en-GB"/>
        </w:rPr>
        <w:t xml:space="preserve"> other countries </w:t>
      </w:r>
      <w:r w:rsidR="00120B11" w:rsidRPr="000B2DCA">
        <w:rPr>
          <w:sz w:val="20"/>
          <w:szCs w:val="20"/>
          <w:lang w:val="en-GB"/>
        </w:rPr>
        <w:t xml:space="preserve">with </w:t>
      </w:r>
      <w:r w:rsidR="00CF08E6" w:rsidRPr="000B2DCA">
        <w:rPr>
          <w:sz w:val="20"/>
          <w:szCs w:val="20"/>
          <w:lang w:val="en-GB"/>
        </w:rPr>
        <w:t xml:space="preserve">similar socio-economic </w:t>
      </w:r>
      <w:r w:rsidR="00120B11" w:rsidRPr="000B2DCA">
        <w:rPr>
          <w:sz w:val="20"/>
          <w:szCs w:val="20"/>
          <w:lang w:val="en-GB"/>
        </w:rPr>
        <w:t xml:space="preserve">conditions to </w:t>
      </w:r>
      <w:r w:rsidR="005900BC">
        <w:rPr>
          <w:sz w:val="20"/>
          <w:szCs w:val="20"/>
          <w:lang w:val="en-GB"/>
        </w:rPr>
        <w:t xml:space="preserve">those of </w:t>
      </w:r>
      <w:r w:rsidR="00CF08E6" w:rsidRPr="000B2DCA">
        <w:rPr>
          <w:sz w:val="20"/>
          <w:szCs w:val="20"/>
          <w:lang w:val="en-GB"/>
        </w:rPr>
        <w:t xml:space="preserve">Bangladesh. </w:t>
      </w:r>
      <w:r w:rsidR="0066144D" w:rsidRPr="000B2DCA">
        <w:rPr>
          <w:iCs/>
          <w:sz w:val="20"/>
          <w:szCs w:val="20"/>
          <w:lang w:val="en-GB"/>
        </w:rPr>
        <w:t xml:space="preserve">In line with the </w:t>
      </w:r>
      <w:r w:rsidR="005900BC" w:rsidRPr="005900BC">
        <w:rPr>
          <w:iCs/>
          <w:sz w:val="20"/>
          <w:szCs w:val="20"/>
          <w:lang w:val="en-GB"/>
        </w:rPr>
        <w:t>policy on cost recovery from other resources</w:t>
      </w:r>
      <w:r w:rsidR="0066144D" w:rsidRPr="000B2DCA">
        <w:rPr>
          <w:iCs/>
          <w:sz w:val="20"/>
          <w:szCs w:val="20"/>
          <w:lang w:val="en-GB"/>
        </w:rPr>
        <w:t xml:space="preserve"> approved by the Executive Board, to reflect the true cost of achieving development results, </w:t>
      </w:r>
      <w:r w:rsidR="0066144D" w:rsidRPr="000B2DCA">
        <w:rPr>
          <w:iCs/>
          <w:sz w:val="20"/>
          <w:szCs w:val="20"/>
        </w:rPr>
        <w:t xml:space="preserve">organizational costs incurred in the implementation of a </w:t>
      </w:r>
      <w:r w:rsidR="0066144D" w:rsidRPr="000B2DCA">
        <w:rPr>
          <w:iCs/>
          <w:sz w:val="20"/>
          <w:szCs w:val="20"/>
          <w:lang w:val="en-GB"/>
        </w:rPr>
        <w:t xml:space="preserve">development activity or service that can be directly traced and attributed to a specific project will be included in the project budget and charged </w:t>
      </w:r>
      <w:r w:rsidR="005900BC" w:rsidRPr="003C5D47">
        <w:rPr>
          <w:iCs/>
          <w:sz w:val="20"/>
          <w:szCs w:val="20"/>
          <w:lang w:val="en-GB"/>
        </w:rPr>
        <w:t xml:space="preserve">directly </w:t>
      </w:r>
      <w:r w:rsidR="0066144D" w:rsidRPr="000B2DCA">
        <w:rPr>
          <w:iCs/>
          <w:sz w:val="20"/>
          <w:szCs w:val="20"/>
          <w:lang w:val="en-GB"/>
        </w:rPr>
        <w:t>against it.</w:t>
      </w:r>
    </w:p>
    <w:p w14:paraId="0866FB1F" w14:textId="0A426220" w:rsidR="001863C0" w:rsidRPr="000B2DCA" w:rsidRDefault="00FE7037" w:rsidP="000B2DCA">
      <w:pPr>
        <w:pStyle w:val="Default"/>
        <w:numPr>
          <w:ilvl w:val="0"/>
          <w:numId w:val="3"/>
        </w:numPr>
        <w:tabs>
          <w:tab w:val="left" w:pos="1080"/>
          <w:tab w:val="left" w:pos="8640"/>
          <w:tab w:val="left" w:pos="9180"/>
        </w:tabs>
        <w:spacing w:after="120"/>
        <w:ind w:firstLine="0"/>
        <w:jc w:val="both"/>
        <w:rPr>
          <w:sz w:val="20"/>
          <w:szCs w:val="20"/>
          <w:lang w:val="en-GB"/>
        </w:rPr>
      </w:pPr>
      <w:r w:rsidRPr="000B2DCA">
        <w:rPr>
          <w:sz w:val="20"/>
          <w:szCs w:val="20"/>
          <w:lang w:val="en-GB"/>
        </w:rPr>
        <w:t>The programme will be anchored in principles of results-ba</w:t>
      </w:r>
      <w:r w:rsidR="00175F8B" w:rsidRPr="000B2DCA">
        <w:rPr>
          <w:sz w:val="20"/>
          <w:szCs w:val="20"/>
          <w:lang w:val="en-GB"/>
        </w:rPr>
        <w:t>sed management</w:t>
      </w:r>
      <w:r w:rsidR="001B5943" w:rsidRPr="000B2DCA">
        <w:rPr>
          <w:sz w:val="20"/>
          <w:szCs w:val="20"/>
          <w:lang w:val="en-GB"/>
        </w:rPr>
        <w:t xml:space="preserve"> and</w:t>
      </w:r>
      <w:r w:rsidR="00175F8B" w:rsidRPr="000B2DCA">
        <w:rPr>
          <w:sz w:val="20"/>
          <w:szCs w:val="20"/>
          <w:lang w:val="en-GB"/>
        </w:rPr>
        <w:t xml:space="preserve"> guided by </w:t>
      </w:r>
      <w:r w:rsidR="001B5943" w:rsidRPr="000B2DCA">
        <w:rPr>
          <w:sz w:val="20"/>
          <w:szCs w:val="20"/>
          <w:lang w:val="en-GB"/>
        </w:rPr>
        <w:t>verifiable data and statistics.</w:t>
      </w:r>
      <w:r w:rsidR="00175F8B" w:rsidRPr="000B2DCA">
        <w:rPr>
          <w:sz w:val="20"/>
          <w:szCs w:val="20"/>
          <w:lang w:val="en-GB"/>
        </w:rPr>
        <w:t xml:space="preserve"> Quality control</w:t>
      </w:r>
      <w:r w:rsidRPr="000B2DCA">
        <w:rPr>
          <w:sz w:val="20"/>
          <w:szCs w:val="20"/>
          <w:lang w:val="en-GB"/>
        </w:rPr>
        <w:t xml:space="preserve"> by external audits and outcome evaluations, </w:t>
      </w:r>
      <w:r w:rsidR="00DB64A0" w:rsidRPr="000B2DCA">
        <w:rPr>
          <w:sz w:val="20"/>
          <w:szCs w:val="20"/>
          <w:lang w:val="en-GB"/>
        </w:rPr>
        <w:t xml:space="preserve">assessments, </w:t>
      </w:r>
      <w:r w:rsidR="005900BC">
        <w:rPr>
          <w:sz w:val="20"/>
          <w:szCs w:val="20"/>
          <w:lang w:val="en-GB"/>
        </w:rPr>
        <w:t xml:space="preserve">and </w:t>
      </w:r>
      <w:r w:rsidRPr="000B2DCA">
        <w:rPr>
          <w:sz w:val="20"/>
          <w:szCs w:val="20"/>
          <w:lang w:val="en-GB"/>
        </w:rPr>
        <w:t xml:space="preserve">social and environment impact </w:t>
      </w:r>
      <w:r w:rsidR="00314F54" w:rsidRPr="000B2DCA">
        <w:rPr>
          <w:sz w:val="20"/>
          <w:szCs w:val="20"/>
          <w:lang w:val="en-GB"/>
        </w:rPr>
        <w:t xml:space="preserve">safeguards </w:t>
      </w:r>
      <w:r w:rsidR="00175F8B" w:rsidRPr="000B2DCA">
        <w:rPr>
          <w:sz w:val="20"/>
          <w:szCs w:val="20"/>
          <w:lang w:val="en-GB"/>
        </w:rPr>
        <w:t>will be enhanced</w:t>
      </w:r>
      <w:r w:rsidR="00DB7920" w:rsidRPr="000B2DCA">
        <w:rPr>
          <w:sz w:val="20"/>
          <w:szCs w:val="20"/>
          <w:lang w:val="en-GB"/>
        </w:rPr>
        <w:t>.</w:t>
      </w:r>
      <w:r w:rsidRPr="000B2DCA">
        <w:rPr>
          <w:sz w:val="20"/>
          <w:szCs w:val="20"/>
          <w:lang w:val="en-GB"/>
        </w:rPr>
        <w:t xml:space="preserve"> </w:t>
      </w:r>
      <w:r w:rsidR="00314F54" w:rsidRPr="000B2DCA">
        <w:rPr>
          <w:sz w:val="20"/>
          <w:szCs w:val="20"/>
          <w:lang w:val="en-GB"/>
        </w:rPr>
        <w:t>Programme implementation will adopt a networked approach</w:t>
      </w:r>
      <w:r w:rsidR="005900BC">
        <w:rPr>
          <w:sz w:val="20"/>
          <w:szCs w:val="20"/>
          <w:lang w:val="en-GB"/>
        </w:rPr>
        <w:t>,</w:t>
      </w:r>
      <w:r w:rsidR="00314F54" w:rsidRPr="000B2DCA">
        <w:rPr>
          <w:sz w:val="20"/>
          <w:szCs w:val="20"/>
          <w:lang w:val="en-GB"/>
        </w:rPr>
        <w:t xml:space="preserve"> </w:t>
      </w:r>
      <w:r w:rsidR="00505CBC" w:rsidRPr="000B2DCA">
        <w:rPr>
          <w:sz w:val="20"/>
          <w:szCs w:val="20"/>
          <w:lang w:val="en-GB"/>
        </w:rPr>
        <w:t>facilitat</w:t>
      </w:r>
      <w:r w:rsidR="005900BC">
        <w:rPr>
          <w:sz w:val="20"/>
          <w:szCs w:val="20"/>
          <w:lang w:val="en-GB"/>
        </w:rPr>
        <w:t>ing</w:t>
      </w:r>
      <w:r w:rsidR="00505CBC" w:rsidRPr="000B2DCA">
        <w:rPr>
          <w:sz w:val="20"/>
          <w:szCs w:val="20"/>
          <w:lang w:val="en-GB"/>
        </w:rPr>
        <w:t xml:space="preserve"> partnerships</w:t>
      </w:r>
      <w:r w:rsidR="009106C9" w:rsidRPr="000B2DCA">
        <w:rPr>
          <w:sz w:val="20"/>
          <w:szCs w:val="20"/>
          <w:lang w:val="en-GB"/>
        </w:rPr>
        <w:t xml:space="preserve"> and lesson</w:t>
      </w:r>
      <w:r w:rsidR="005900BC">
        <w:rPr>
          <w:sz w:val="20"/>
          <w:szCs w:val="20"/>
          <w:lang w:val="en-GB"/>
        </w:rPr>
        <w:t>-</w:t>
      </w:r>
      <w:r w:rsidR="009106C9" w:rsidRPr="000B2DCA">
        <w:rPr>
          <w:sz w:val="20"/>
          <w:szCs w:val="20"/>
          <w:lang w:val="en-GB"/>
        </w:rPr>
        <w:t xml:space="preserve">learning across the </w:t>
      </w:r>
      <w:r w:rsidR="00DB64A0" w:rsidRPr="000B2DCA">
        <w:rPr>
          <w:sz w:val="20"/>
          <w:szCs w:val="20"/>
          <w:lang w:val="en-GB"/>
        </w:rPr>
        <w:t>programme</w:t>
      </w:r>
      <w:r w:rsidR="006E10C9" w:rsidRPr="000B2DCA">
        <w:rPr>
          <w:sz w:val="20"/>
          <w:szCs w:val="20"/>
          <w:lang w:val="en-GB"/>
        </w:rPr>
        <w:t>.</w:t>
      </w:r>
    </w:p>
    <w:p w14:paraId="0FCD8BE6" w14:textId="24C1E9E6" w:rsidR="005F5EAE" w:rsidRPr="000B2DCA" w:rsidRDefault="001863C0" w:rsidP="003026BC">
      <w:pPr>
        <w:pStyle w:val="Default"/>
        <w:numPr>
          <w:ilvl w:val="0"/>
          <w:numId w:val="3"/>
        </w:numPr>
        <w:tabs>
          <w:tab w:val="left" w:pos="1080"/>
          <w:tab w:val="left" w:pos="8640"/>
          <w:tab w:val="left" w:pos="9180"/>
        </w:tabs>
        <w:spacing w:after="240"/>
        <w:ind w:firstLine="0"/>
        <w:jc w:val="both"/>
        <w:rPr>
          <w:sz w:val="20"/>
          <w:szCs w:val="20"/>
          <w:lang w:val="en-GB"/>
        </w:rPr>
      </w:pPr>
      <w:r w:rsidRPr="001038DC">
        <w:rPr>
          <w:b/>
          <w:i/>
          <w:sz w:val="20"/>
          <w:szCs w:val="20"/>
          <w:lang w:val="en-GB"/>
        </w:rPr>
        <w:t>Risks</w:t>
      </w:r>
      <w:r w:rsidR="001038DC">
        <w:rPr>
          <w:b/>
          <w:i/>
          <w:sz w:val="20"/>
          <w:szCs w:val="20"/>
          <w:lang w:val="en-GB"/>
        </w:rPr>
        <w:t>:</w:t>
      </w:r>
      <w:r w:rsidRPr="000B2DCA">
        <w:rPr>
          <w:sz w:val="20"/>
          <w:szCs w:val="20"/>
          <w:lang w:val="en-GB"/>
        </w:rPr>
        <w:t xml:space="preserve"> </w:t>
      </w:r>
      <w:r w:rsidR="005900BC">
        <w:rPr>
          <w:sz w:val="20"/>
          <w:szCs w:val="20"/>
          <w:lang w:val="en-GB"/>
        </w:rPr>
        <w:t>(</w:t>
      </w:r>
      <w:r w:rsidR="00F41CEB" w:rsidRPr="000B2DCA">
        <w:rPr>
          <w:sz w:val="20"/>
          <w:szCs w:val="20"/>
          <w:lang w:val="en-GB"/>
        </w:rPr>
        <w:t xml:space="preserve">a) </w:t>
      </w:r>
      <w:r w:rsidR="00FE7037" w:rsidRPr="000B2DCA">
        <w:rPr>
          <w:sz w:val="20"/>
          <w:szCs w:val="20"/>
          <w:lang w:val="en-GB"/>
        </w:rPr>
        <w:t xml:space="preserve">Political unrest is potentially disruptive to programme activities and partner relationships. </w:t>
      </w:r>
      <w:r w:rsidR="000C4456" w:rsidRPr="000B2DCA">
        <w:rPr>
          <w:sz w:val="20"/>
          <w:szCs w:val="20"/>
          <w:lang w:val="en-GB"/>
        </w:rPr>
        <w:t>UNDP</w:t>
      </w:r>
      <w:r w:rsidR="00FE7037" w:rsidRPr="000B2DCA">
        <w:rPr>
          <w:sz w:val="20"/>
          <w:szCs w:val="20"/>
          <w:lang w:val="en-GB"/>
        </w:rPr>
        <w:t xml:space="preserve"> will monitor </w:t>
      </w:r>
      <w:r w:rsidR="001038DC">
        <w:rPr>
          <w:sz w:val="20"/>
          <w:szCs w:val="20"/>
          <w:lang w:val="en-GB"/>
        </w:rPr>
        <w:t>and implement early-</w:t>
      </w:r>
      <w:r w:rsidR="00843B5D" w:rsidRPr="000B2DCA">
        <w:rPr>
          <w:sz w:val="20"/>
          <w:szCs w:val="20"/>
          <w:lang w:val="en-GB"/>
        </w:rPr>
        <w:t xml:space="preserve">warning measures for </w:t>
      </w:r>
      <w:r w:rsidR="00FE7037" w:rsidRPr="000B2DCA">
        <w:rPr>
          <w:sz w:val="20"/>
          <w:szCs w:val="20"/>
          <w:lang w:val="en-GB"/>
        </w:rPr>
        <w:t>political risks</w:t>
      </w:r>
      <w:r w:rsidR="00843B5D" w:rsidRPr="000B2DCA">
        <w:rPr>
          <w:sz w:val="20"/>
          <w:szCs w:val="20"/>
          <w:lang w:val="en-GB"/>
        </w:rPr>
        <w:t xml:space="preserve">, including ensuring </w:t>
      </w:r>
      <w:r w:rsidR="00FE7037" w:rsidRPr="000B2DCA">
        <w:rPr>
          <w:sz w:val="20"/>
          <w:szCs w:val="20"/>
          <w:lang w:val="en-GB"/>
        </w:rPr>
        <w:t xml:space="preserve">close communication with </w:t>
      </w:r>
      <w:r w:rsidR="00554B32">
        <w:rPr>
          <w:sz w:val="20"/>
          <w:szCs w:val="20"/>
          <w:lang w:val="en-GB"/>
        </w:rPr>
        <w:t>g</w:t>
      </w:r>
      <w:r w:rsidR="00FE7037" w:rsidRPr="000B2DCA">
        <w:rPr>
          <w:sz w:val="20"/>
          <w:szCs w:val="20"/>
          <w:lang w:val="en-GB"/>
        </w:rPr>
        <w:t xml:space="preserve">overnment and </w:t>
      </w:r>
      <w:r w:rsidR="006D544E" w:rsidRPr="000B2DCA">
        <w:rPr>
          <w:sz w:val="20"/>
          <w:szCs w:val="20"/>
          <w:lang w:val="en-GB"/>
        </w:rPr>
        <w:t xml:space="preserve">civil society </w:t>
      </w:r>
      <w:r w:rsidR="00FE7037" w:rsidRPr="000B2DCA">
        <w:rPr>
          <w:sz w:val="20"/>
          <w:szCs w:val="20"/>
          <w:lang w:val="en-GB"/>
        </w:rPr>
        <w:t>partners</w:t>
      </w:r>
      <w:r w:rsidR="006D544E" w:rsidRPr="000B2DCA">
        <w:rPr>
          <w:sz w:val="20"/>
          <w:szCs w:val="20"/>
          <w:lang w:val="en-GB"/>
        </w:rPr>
        <w:t xml:space="preserve"> through programming. </w:t>
      </w:r>
      <w:r w:rsidR="000C4456" w:rsidRPr="000B2DCA">
        <w:rPr>
          <w:sz w:val="20"/>
          <w:szCs w:val="20"/>
          <w:lang w:val="en-GB"/>
        </w:rPr>
        <w:t>UNDP</w:t>
      </w:r>
      <w:r w:rsidR="006D544E" w:rsidRPr="000B2DCA">
        <w:rPr>
          <w:sz w:val="20"/>
          <w:szCs w:val="20"/>
          <w:lang w:val="en-GB"/>
        </w:rPr>
        <w:t xml:space="preserve"> will</w:t>
      </w:r>
      <w:r w:rsidR="00FD10F6" w:rsidRPr="000B2DCA">
        <w:rPr>
          <w:sz w:val="20"/>
          <w:szCs w:val="20"/>
          <w:lang w:val="en-GB"/>
        </w:rPr>
        <w:t xml:space="preserve"> build preparedness for political shocks through adaptable</w:t>
      </w:r>
      <w:r w:rsidR="00554B32">
        <w:rPr>
          <w:sz w:val="20"/>
          <w:szCs w:val="20"/>
          <w:lang w:val="en-GB"/>
        </w:rPr>
        <w:t>,</w:t>
      </w:r>
      <w:r w:rsidR="006D544E" w:rsidRPr="000B2DCA">
        <w:rPr>
          <w:sz w:val="20"/>
          <w:szCs w:val="20"/>
          <w:lang w:val="en-GB"/>
        </w:rPr>
        <w:t xml:space="preserve"> scalable</w:t>
      </w:r>
      <w:r w:rsidR="00FD10F6" w:rsidRPr="000B2DCA">
        <w:rPr>
          <w:sz w:val="20"/>
          <w:szCs w:val="20"/>
          <w:lang w:val="en-GB"/>
        </w:rPr>
        <w:t xml:space="preserve"> programme management</w:t>
      </w:r>
      <w:r w:rsidR="006D544E" w:rsidRPr="000B2DCA">
        <w:rPr>
          <w:sz w:val="20"/>
          <w:szCs w:val="20"/>
          <w:lang w:val="en-GB"/>
        </w:rPr>
        <w:t xml:space="preserve"> and operational business continuity planning</w:t>
      </w:r>
      <w:r w:rsidR="00FD10F6" w:rsidRPr="000B2DCA">
        <w:rPr>
          <w:sz w:val="20"/>
          <w:szCs w:val="20"/>
          <w:lang w:val="en-GB"/>
        </w:rPr>
        <w:t xml:space="preserve">. UNDP will be guided by </w:t>
      </w:r>
      <w:r w:rsidR="000C4456" w:rsidRPr="000B2DCA">
        <w:rPr>
          <w:sz w:val="20"/>
          <w:szCs w:val="20"/>
          <w:lang w:val="en-GB"/>
        </w:rPr>
        <w:t>the</w:t>
      </w:r>
      <w:r w:rsidR="00FD10F6" w:rsidRPr="000B2DCA">
        <w:rPr>
          <w:sz w:val="20"/>
          <w:szCs w:val="20"/>
          <w:lang w:val="en-GB"/>
        </w:rPr>
        <w:t xml:space="preserve"> </w:t>
      </w:r>
      <w:r w:rsidR="001038DC">
        <w:rPr>
          <w:sz w:val="20"/>
          <w:szCs w:val="20"/>
          <w:lang w:val="en-GB"/>
        </w:rPr>
        <w:t>‘</w:t>
      </w:r>
      <w:r w:rsidR="00554B32">
        <w:rPr>
          <w:sz w:val="20"/>
          <w:szCs w:val="20"/>
          <w:lang w:val="en-GB"/>
        </w:rPr>
        <w:t>Human</w:t>
      </w:r>
      <w:r w:rsidR="00554B32" w:rsidRPr="000B2DCA">
        <w:rPr>
          <w:sz w:val="20"/>
          <w:szCs w:val="20"/>
          <w:lang w:val="en-GB"/>
        </w:rPr>
        <w:t xml:space="preserve"> </w:t>
      </w:r>
      <w:r w:rsidR="00FD10F6" w:rsidRPr="000B2DCA">
        <w:rPr>
          <w:sz w:val="20"/>
          <w:szCs w:val="20"/>
          <w:lang w:val="en-GB"/>
        </w:rPr>
        <w:t>Rights Up Front</w:t>
      </w:r>
      <w:r w:rsidR="001038DC">
        <w:rPr>
          <w:sz w:val="20"/>
          <w:szCs w:val="20"/>
          <w:lang w:val="en-GB"/>
        </w:rPr>
        <w:t>’</w:t>
      </w:r>
      <w:r w:rsidR="00FD10F6" w:rsidRPr="000B2DCA">
        <w:rPr>
          <w:sz w:val="20"/>
          <w:szCs w:val="20"/>
          <w:lang w:val="en-GB"/>
        </w:rPr>
        <w:t xml:space="preserve"> </w:t>
      </w:r>
      <w:r w:rsidR="00843B5D" w:rsidRPr="000B2DCA">
        <w:rPr>
          <w:sz w:val="20"/>
          <w:szCs w:val="20"/>
          <w:lang w:val="en-GB"/>
        </w:rPr>
        <w:t xml:space="preserve">and </w:t>
      </w:r>
      <w:r w:rsidR="00554B32" w:rsidRPr="00554B32">
        <w:rPr>
          <w:sz w:val="20"/>
          <w:szCs w:val="20"/>
          <w:lang w:val="en-GB"/>
        </w:rPr>
        <w:t>human rights due diligence policies</w:t>
      </w:r>
      <w:r w:rsidR="00120B11" w:rsidRPr="000B2DCA">
        <w:rPr>
          <w:sz w:val="20"/>
          <w:szCs w:val="20"/>
          <w:lang w:val="en-GB"/>
        </w:rPr>
        <w:t>;</w:t>
      </w:r>
      <w:r w:rsidRPr="000B2DCA">
        <w:rPr>
          <w:sz w:val="20"/>
          <w:szCs w:val="20"/>
          <w:lang w:val="en-GB"/>
        </w:rPr>
        <w:t xml:space="preserve"> </w:t>
      </w:r>
      <w:r w:rsidR="00554B32">
        <w:rPr>
          <w:sz w:val="20"/>
          <w:szCs w:val="20"/>
          <w:lang w:val="en-GB"/>
        </w:rPr>
        <w:t>(</w:t>
      </w:r>
      <w:r w:rsidR="00843B5D" w:rsidRPr="000B2DCA">
        <w:rPr>
          <w:sz w:val="20"/>
          <w:szCs w:val="20"/>
          <w:lang w:val="en-GB"/>
        </w:rPr>
        <w:t xml:space="preserve">b) </w:t>
      </w:r>
      <w:r w:rsidR="005F5EAE" w:rsidRPr="000B2DCA">
        <w:rPr>
          <w:sz w:val="20"/>
          <w:szCs w:val="20"/>
          <w:lang w:val="en-GB"/>
        </w:rPr>
        <w:t>Environmental risk</w:t>
      </w:r>
      <w:r w:rsidR="00505CBC" w:rsidRPr="000B2DCA">
        <w:rPr>
          <w:sz w:val="20"/>
          <w:szCs w:val="20"/>
          <w:lang w:val="id-ID"/>
        </w:rPr>
        <w:t xml:space="preserve">, including </w:t>
      </w:r>
      <w:r w:rsidR="006D544E" w:rsidRPr="000B2DCA">
        <w:rPr>
          <w:sz w:val="20"/>
          <w:szCs w:val="20"/>
        </w:rPr>
        <w:t>extreme disaster</w:t>
      </w:r>
      <w:r w:rsidR="002C5B51" w:rsidRPr="000B2DCA">
        <w:rPr>
          <w:sz w:val="20"/>
          <w:szCs w:val="20"/>
        </w:rPr>
        <w:t>,</w:t>
      </w:r>
      <w:r w:rsidR="006D544E" w:rsidRPr="000B2DCA">
        <w:rPr>
          <w:sz w:val="20"/>
          <w:szCs w:val="20"/>
        </w:rPr>
        <w:t xml:space="preserve"> threatens</w:t>
      </w:r>
      <w:r w:rsidR="00505CBC" w:rsidRPr="000B2DCA">
        <w:rPr>
          <w:sz w:val="20"/>
          <w:szCs w:val="20"/>
          <w:lang w:val="id-ID"/>
        </w:rPr>
        <w:t xml:space="preserve"> operations</w:t>
      </w:r>
      <w:r w:rsidR="006D544E" w:rsidRPr="000B2DCA">
        <w:rPr>
          <w:sz w:val="20"/>
          <w:szCs w:val="20"/>
        </w:rPr>
        <w:t>.</w:t>
      </w:r>
      <w:r w:rsidR="00505CBC" w:rsidRPr="000B2DCA">
        <w:rPr>
          <w:sz w:val="20"/>
          <w:szCs w:val="20"/>
          <w:lang w:val="id-ID"/>
        </w:rPr>
        <w:t xml:space="preserve"> </w:t>
      </w:r>
      <w:r w:rsidR="002C5B51" w:rsidRPr="000B2DCA">
        <w:rPr>
          <w:sz w:val="20"/>
          <w:szCs w:val="20"/>
        </w:rPr>
        <w:t>UNDP</w:t>
      </w:r>
      <w:r w:rsidR="006D544E" w:rsidRPr="000B2DCA">
        <w:rPr>
          <w:sz w:val="20"/>
          <w:szCs w:val="20"/>
        </w:rPr>
        <w:t xml:space="preserve"> will</w:t>
      </w:r>
      <w:r w:rsidR="00505CBC" w:rsidRPr="000B2DCA">
        <w:rPr>
          <w:sz w:val="20"/>
          <w:szCs w:val="20"/>
          <w:lang w:val="en-GB"/>
        </w:rPr>
        <w:t xml:space="preserve"> </w:t>
      </w:r>
      <w:r w:rsidR="00FE7037" w:rsidRPr="000B2DCA">
        <w:rPr>
          <w:sz w:val="20"/>
          <w:szCs w:val="20"/>
          <w:lang w:val="en-GB"/>
        </w:rPr>
        <w:t>invest in pl</w:t>
      </w:r>
      <w:r w:rsidR="00505CBC" w:rsidRPr="000B2DCA">
        <w:rPr>
          <w:sz w:val="20"/>
          <w:szCs w:val="20"/>
          <w:lang w:val="en-GB"/>
        </w:rPr>
        <w:t xml:space="preserve">anning for business continuity </w:t>
      </w:r>
      <w:r w:rsidR="00FD10F6" w:rsidRPr="000B2DCA">
        <w:rPr>
          <w:sz w:val="20"/>
          <w:szCs w:val="20"/>
          <w:lang w:val="en-GB"/>
        </w:rPr>
        <w:t>and emergency preparedness</w:t>
      </w:r>
      <w:r w:rsidR="00FE7037" w:rsidRPr="000B2DCA">
        <w:rPr>
          <w:sz w:val="20"/>
          <w:szCs w:val="20"/>
          <w:lang w:val="en-GB"/>
        </w:rPr>
        <w:t xml:space="preserve">, </w:t>
      </w:r>
      <w:r w:rsidR="00505CBC" w:rsidRPr="000B2DCA">
        <w:rPr>
          <w:sz w:val="20"/>
          <w:szCs w:val="20"/>
          <w:lang w:val="id-ID"/>
        </w:rPr>
        <w:t>contingency fu</w:t>
      </w:r>
      <w:r w:rsidR="00FD10F6" w:rsidRPr="000B2DCA">
        <w:rPr>
          <w:sz w:val="20"/>
          <w:szCs w:val="20"/>
        </w:rPr>
        <w:t>nds</w:t>
      </w:r>
      <w:r w:rsidR="00505CBC" w:rsidRPr="000B2DCA">
        <w:rPr>
          <w:sz w:val="20"/>
          <w:szCs w:val="20"/>
          <w:lang w:val="id-ID"/>
        </w:rPr>
        <w:t>,</w:t>
      </w:r>
      <w:r w:rsidR="00FE7037" w:rsidRPr="000B2DCA">
        <w:rPr>
          <w:sz w:val="20"/>
          <w:szCs w:val="20"/>
          <w:lang w:val="en-GB"/>
        </w:rPr>
        <w:t xml:space="preserve"> and information management. </w:t>
      </w:r>
      <w:r w:rsidR="002C5B51" w:rsidRPr="000B2DCA">
        <w:rPr>
          <w:sz w:val="20"/>
          <w:szCs w:val="20"/>
          <w:lang w:val="en-GB"/>
        </w:rPr>
        <w:t>UNDP</w:t>
      </w:r>
      <w:r w:rsidR="00FE7037" w:rsidRPr="000B2DCA">
        <w:rPr>
          <w:sz w:val="20"/>
          <w:szCs w:val="20"/>
          <w:lang w:val="en-GB"/>
        </w:rPr>
        <w:t xml:space="preserve"> will </w:t>
      </w:r>
      <w:r w:rsidR="006D544E" w:rsidRPr="000B2DCA">
        <w:rPr>
          <w:sz w:val="20"/>
          <w:szCs w:val="20"/>
          <w:lang w:val="en-GB"/>
        </w:rPr>
        <w:t>adopt information from climate risk mapping and analysis as part of the country programme</w:t>
      </w:r>
      <w:r w:rsidR="00554B32">
        <w:rPr>
          <w:sz w:val="20"/>
          <w:szCs w:val="20"/>
          <w:lang w:val="en-GB"/>
        </w:rPr>
        <w:t>,</w:t>
      </w:r>
      <w:r w:rsidR="006D544E" w:rsidRPr="000B2DCA">
        <w:rPr>
          <w:sz w:val="20"/>
          <w:szCs w:val="20"/>
          <w:lang w:val="en-GB"/>
        </w:rPr>
        <w:t xml:space="preserve"> and </w:t>
      </w:r>
      <w:r w:rsidR="00554B32">
        <w:rPr>
          <w:sz w:val="20"/>
          <w:szCs w:val="20"/>
          <w:lang w:val="en-GB"/>
        </w:rPr>
        <w:t xml:space="preserve">will </w:t>
      </w:r>
      <w:r w:rsidR="002C5B51" w:rsidRPr="000B2DCA">
        <w:rPr>
          <w:sz w:val="20"/>
          <w:szCs w:val="20"/>
          <w:lang w:val="en-GB"/>
        </w:rPr>
        <w:t>m</w:t>
      </w:r>
      <w:r w:rsidR="00FE7037" w:rsidRPr="000B2DCA">
        <w:rPr>
          <w:sz w:val="20"/>
          <w:szCs w:val="20"/>
          <w:lang w:val="en-GB"/>
        </w:rPr>
        <w:t>onitor</w:t>
      </w:r>
      <w:r w:rsidR="00843B5D" w:rsidRPr="000B2DCA">
        <w:rPr>
          <w:sz w:val="20"/>
          <w:szCs w:val="20"/>
          <w:lang w:val="en-GB"/>
        </w:rPr>
        <w:t xml:space="preserve"> </w:t>
      </w:r>
      <w:r w:rsidR="00FE256F" w:rsidRPr="000B2DCA">
        <w:rPr>
          <w:sz w:val="20"/>
          <w:szCs w:val="20"/>
          <w:lang w:val="en-GB"/>
        </w:rPr>
        <w:t xml:space="preserve">media </w:t>
      </w:r>
      <w:r w:rsidR="00FD10F6" w:rsidRPr="000B2DCA">
        <w:rPr>
          <w:sz w:val="20"/>
          <w:szCs w:val="20"/>
          <w:lang w:val="en-GB"/>
        </w:rPr>
        <w:t xml:space="preserve">and </w:t>
      </w:r>
      <w:r w:rsidR="00FE7037" w:rsidRPr="000B2DCA">
        <w:rPr>
          <w:sz w:val="20"/>
          <w:szCs w:val="20"/>
          <w:lang w:val="en-GB"/>
        </w:rPr>
        <w:t>early</w:t>
      </w:r>
      <w:r w:rsidR="00554B32">
        <w:rPr>
          <w:sz w:val="20"/>
          <w:szCs w:val="20"/>
          <w:lang w:val="en-GB"/>
        </w:rPr>
        <w:t>-</w:t>
      </w:r>
      <w:r w:rsidR="00FE7037" w:rsidRPr="000B2DCA">
        <w:rPr>
          <w:sz w:val="20"/>
          <w:szCs w:val="20"/>
          <w:lang w:val="en-GB"/>
        </w:rPr>
        <w:t>warning mechanisms</w:t>
      </w:r>
      <w:r w:rsidR="006D544E" w:rsidRPr="000B2DCA">
        <w:rPr>
          <w:sz w:val="20"/>
          <w:szCs w:val="20"/>
          <w:lang w:val="en-GB"/>
        </w:rPr>
        <w:t xml:space="preserve">. </w:t>
      </w:r>
      <w:r w:rsidR="002C5B51" w:rsidRPr="000B2DCA">
        <w:rPr>
          <w:sz w:val="20"/>
          <w:szCs w:val="20"/>
          <w:lang w:val="en-GB"/>
        </w:rPr>
        <w:t>UNDP</w:t>
      </w:r>
      <w:r w:rsidR="006D544E" w:rsidRPr="000B2DCA">
        <w:rPr>
          <w:sz w:val="20"/>
          <w:szCs w:val="20"/>
          <w:lang w:val="en-GB"/>
        </w:rPr>
        <w:t xml:space="preserve"> will</w:t>
      </w:r>
      <w:r w:rsidR="00FE7037" w:rsidRPr="000B2DCA">
        <w:rPr>
          <w:sz w:val="20"/>
          <w:szCs w:val="20"/>
          <w:lang w:val="en-GB"/>
        </w:rPr>
        <w:t xml:space="preserve"> strengthen existing crisis management</w:t>
      </w:r>
      <w:r w:rsidR="00843B5D" w:rsidRPr="000B2DCA">
        <w:rPr>
          <w:sz w:val="20"/>
          <w:szCs w:val="20"/>
          <w:lang w:val="en-GB"/>
        </w:rPr>
        <w:t xml:space="preserve"> </w:t>
      </w:r>
      <w:r w:rsidR="001341CC" w:rsidRPr="000B2DCA">
        <w:rPr>
          <w:sz w:val="20"/>
          <w:szCs w:val="20"/>
          <w:lang w:val="en-GB"/>
        </w:rPr>
        <w:t>mechanisms</w:t>
      </w:r>
      <w:r w:rsidR="006D544E" w:rsidRPr="000B2DCA">
        <w:rPr>
          <w:sz w:val="20"/>
          <w:szCs w:val="20"/>
          <w:lang w:val="en-GB"/>
        </w:rPr>
        <w:t>, including through periodic training of staff</w:t>
      </w:r>
      <w:r w:rsidR="00843B5D" w:rsidRPr="000B2DCA">
        <w:rPr>
          <w:sz w:val="20"/>
          <w:szCs w:val="20"/>
          <w:lang w:val="en-GB"/>
        </w:rPr>
        <w:t>;</w:t>
      </w:r>
      <w:r w:rsidRPr="000B2DCA">
        <w:rPr>
          <w:sz w:val="20"/>
          <w:szCs w:val="20"/>
          <w:lang w:val="en-GB"/>
        </w:rPr>
        <w:t xml:space="preserve"> </w:t>
      </w:r>
      <w:r w:rsidR="00554B32">
        <w:rPr>
          <w:sz w:val="20"/>
          <w:szCs w:val="20"/>
          <w:lang w:val="en-GB"/>
        </w:rPr>
        <w:t>(</w:t>
      </w:r>
      <w:r w:rsidR="00843B5D" w:rsidRPr="000B2DCA">
        <w:rPr>
          <w:sz w:val="20"/>
          <w:szCs w:val="20"/>
          <w:lang w:val="en-GB"/>
        </w:rPr>
        <w:t xml:space="preserve">c) </w:t>
      </w:r>
      <w:r w:rsidR="00FD10F6" w:rsidRPr="000B2DCA">
        <w:rPr>
          <w:sz w:val="20"/>
          <w:szCs w:val="20"/>
          <w:lang w:val="en-GB"/>
        </w:rPr>
        <w:t>Preventing corruption and reducing f</w:t>
      </w:r>
      <w:r w:rsidR="00843B5D" w:rsidRPr="000B2DCA">
        <w:rPr>
          <w:sz w:val="20"/>
          <w:szCs w:val="20"/>
          <w:lang w:val="en-GB"/>
        </w:rPr>
        <w:t>iduciary risk</w:t>
      </w:r>
      <w:r w:rsidR="00FD10F6" w:rsidRPr="000B2DCA">
        <w:rPr>
          <w:sz w:val="20"/>
          <w:szCs w:val="20"/>
          <w:lang w:val="en-GB"/>
        </w:rPr>
        <w:t>s require</w:t>
      </w:r>
      <w:r w:rsidR="00843B5D" w:rsidRPr="000B2DCA">
        <w:rPr>
          <w:sz w:val="20"/>
          <w:szCs w:val="20"/>
          <w:lang w:val="en-GB"/>
        </w:rPr>
        <w:t xml:space="preserve"> strengthening quality control mechanisms for cash transfers, undertaking assessments of </w:t>
      </w:r>
      <w:r w:rsidR="00554B32">
        <w:rPr>
          <w:sz w:val="20"/>
          <w:szCs w:val="20"/>
          <w:lang w:val="en-GB"/>
        </w:rPr>
        <w:t xml:space="preserve">the </w:t>
      </w:r>
      <w:r w:rsidR="00843B5D" w:rsidRPr="000B2DCA">
        <w:rPr>
          <w:sz w:val="20"/>
          <w:szCs w:val="20"/>
          <w:lang w:val="en-GB"/>
        </w:rPr>
        <w:t>financial management capacities</w:t>
      </w:r>
      <w:r w:rsidR="007A23F7" w:rsidRPr="000B2DCA">
        <w:rPr>
          <w:sz w:val="20"/>
          <w:szCs w:val="20"/>
          <w:lang w:val="en-GB"/>
        </w:rPr>
        <w:t xml:space="preserve"> of implementing partners</w:t>
      </w:r>
      <w:r w:rsidR="00843B5D" w:rsidRPr="000B2DCA">
        <w:rPr>
          <w:sz w:val="20"/>
          <w:szCs w:val="20"/>
          <w:lang w:val="en-GB"/>
        </w:rPr>
        <w:t xml:space="preserve">, </w:t>
      </w:r>
      <w:r w:rsidR="002C5B51" w:rsidRPr="000B2DCA">
        <w:rPr>
          <w:sz w:val="20"/>
          <w:szCs w:val="20"/>
          <w:lang w:val="en-GB"/>
        </w:rPr>
        <w:t xml:space="preserve">and </w:t>
      </w:r>
      <w:r w:rsidR="00843B5D" w:rsidRPr="000B2DCA">
        <w:rPr>
          <w:sz w:val="20"/>
          <w:szCs w:val="20"/>
          <w:lang w:val="en-GB"/>
        </w:rPr>
        <w:t xml:space="preserve">implementing spot checks and </w:t>
      </w:r>
      <w:r w:rsidR="00831E2B" w:rsidRPr="000B2DCA">
        <w:rPr>
          <w:sz w:val="20"/>
          <w:szCs w:val="20"/>
          <w:lang w:val="en-GB"/>
        </w:rPr>
        <w:t>closer monitoring</w:t>
      </w:r>
      <w:r w:rsidR="00843B5D" w:rsidRPr="000B2DCA">
        <w:rPr>
          <w:sz w:val="20"/>
          <w:szCs w:val="20"/>
          <w:lang w:val="en-GB"/>
        </w:rPr>
        <w:t xml:space="preserve">, including audits and evaluations. </w:t>
      </w:r>
      <w:r w:rsidR="00120B11" w:rsidRPr="000B2DCA">
        <w:rPr>
          <w:sz w:val="20"/>
          <w:szCs w:val="20"/>
          <w:lang w:val="en-GB"/>
        </w:rPr>
        <w:t xml:space="preserve">Building on lessons from </w:t>
      </w:r>
      <w:r w:rsidR="00843B5D" w:rsidRPr="000B2DCA">
        <w:rPr>
          <w:sz w:val="20"/>
          <w:szCs w:val="20"/>
          <w:lang w:val="en-GB"/>
        </w:rPr>
        <w:t xml:space="preserve">the previous cycle, </w:t>
      </w:r>
      <w:r w:rsidR="00831E2B" w:rsidRPr="000B2DCA">
        <w:rPr>
          <w:sz w:val="20"/>
          <w:szCs w:val="20"/>
          <w:lang w:val="en-GB"/>
        </w:rPr>
        <w:t>third</w:t>
      </w:r>
      <w:r w:rsidR="00554B32">
        <w:rPr>
          <w:sz w:val="20"/>
          <w:szCs w:val="20"/>
          <w:lang w:val="en-GB"/>
        </w:rPr>
        <w:t>-</w:t>
      </w:r>
      <w:r w:rsidR="00831E2B" w:rsidRPr="000B2DCA">
        <w:rPr>
          <w:sz w:val="20"/>
          <w:szCs w:val="20"/>
          <w:lang w:val="en-GB"/>
        </w:rPr>
        <w:t xml:space="preserve">party oversight and community engagement </w:t>
      </w:r>
      <w:r w:rsidR="00843B5D" w:rsidRPr="000B2DCA">
        <w:rPr>
          <w:sz w:val="20"/>
          <w:szCs w:val="20"/>
          <w:lang w:val="en-GB"/>
        </w:rPr>
        <w:t>will play a key role in monitoring and managing fiduciary risks;</w:t>
      </w:r>
      <w:r w:rsidRPr="000B2DCA">
        <w:rPr>
          <w:sz w:val="20"/>
          <w:szCs w:val="20"/>
          <w:lang w:val="en-GB"/>
        </w:rPr>
        <w:t xml:space="preserve"> </w:t>
      </w:r>
      <w:r w:rsidR="00B73739" w:rsidRPr="000B2DCA">
        <w:rPr>
          <w:sz w:val="20"/>
          <w:szCs w:val="20"/>
          <w:lang w:val="en-GB"/>
        </w:rPr>
        <w:t xml:space="preserve">(d) </w:t>
      </w:r>
      <w:r w:rsidR="00505CBC" w:rsidRPr="000B2DCA">
        <w:rPr>
          <w:sz w:val="20"/>
          <w:szCs w:val="20"/>
          <w:lang w:val="en-GB"/>
        </w:rPr>
        <w:t>Resource mobilization is an emerging challenge as Bangladesh</w:t>
      </w:r>
      <w:r w:rsidR="00AE73C9" w:rsidRPr="000B2DCA">
        <w:rPr>
          <w:sz w:val="20"/>
          <w:szCs w:val="20"/>
          <w:lang w:val="en-GB"/>
        </w:rPr>
        <w:t xml:space="preserve"> </w:t>
      </w:r>
      <w:r w:rsidR="007F5ACD" w:rsidRPr="000B2DCA">
        <w:rPr>
          <w:sz w:val="20"/>
          <w:szCs w:val="20"/>
          <w:lang w:val="en-GB"/>
        </w:rPr>
        <w:t xml:space="preserve">graduates from </w:t>
      </w:r>
      <w:r w:rsidR="00554B32">
        <w:rPr>
          <w:sz w:val="20"/>
          <w:szCs w:val="20"/>
          <w:lang w:val="en-GB"/>
        </w:rPr>
        <w:t>least developed country</w:t>
      </w:r>
      <w:r w:rsidR="00554B32" w:rsidRPr="000B2DCA">
        <w:rPr>
          <w:sz w:val="20"/>
          <w:szCs w:val="20"/>
          <w:lang w:val="en-GB"/>
        </w:rPr>
        <w:t xml:space="preserve"> </w:t>
      </w:r>
      <w:r w:rsidR="007F5ACD" w:rsidRPr="000B2DCA">
        <w:rPr>
          <w:sz w:val="20"/>
          <w:szCs w:val="20"/>
          <w:lang w:val="en-GB"/>
        </w:rPr>
        <w:t>status</w:t>
      </w:r>
      <w:r w:rsidR="009106C9" w:rsidRPr="000B2DCA">
        <w:rPr>
          <w:sz w:val="20"/>
          <w:szCs w:val="20"/>
          <w:lang w:val="en-GB"/>
        </w:rPr>
        <w:t>.</w:t>
      </w:r>
      <w:r w:rsidR="00505CBC" w:rsidRPr="000B2DCA">
        <w:rPr>
          <w:sz w:val="20"/>
          <w:szCs w:val="20"/>
          <w:lang w:val="en-GB"/>
        </w:rPr>
        <w:t xml:space="preserve"> </w:t>
      </w:r>
      <w:r w:rsidR="005F5EAE" w:rsidRPr="000B2DCA">
        <w:rPr>
          <w:sz w:val="20"/>
          <w:szCs w:val="20"/>
          <w:lang w:val="en-GB"/>
        </w:rPr>
        <w:t>UNDP will wi</w:t>
      </w:r>
      <w:r w:rsidR="00505CBC" w:rsidRPr="000B2DCA">
        <w:rPr>
          <w:sz w:val="20"/>
          <w:szCs w:val="20"/>
          <w:lang w:val="en-GB"/>
        </w:rPr>
        <w:t>den its resource base, prioritizing</w:t>
      </w:r>
      <w:r w:rsidR="005F5EAE" w:rsidRPr="000B2DCA">
        <w:rPr>
          <w:sz w:val="20"/>
          <w:szCs w:val="20"/>
          <w:lang w:val="en-GB"/>
        </w:rPr>
        <w:t xml:space="preserve"> </w:t>
      </w:r>
      <w:r w:rsidR="00554B32">
        <w:rPr>
          <w:sz w:val="20"/>
          <w:szCs w:val="20"/>
          <w:lang w:val="en-GB"/>
        </w:rPr>
        <w:t>g</w:t>
      </w:r>
      <w:r w:rsidR="005F5EAE" w:rsidRPr="000B2DCA">
        <w:rPr>
          <w:sz w:val="20"/>
          <w:szCs w:val="20"/>
          <w:lang w:val="en-GB"/>
        </w:rPr>
        <w:t>overnment support a</w:t>
      </w:r>
      <w:r w:rsidR="002D016B" w:rsidRPr="000B2DCA">
        <w:rPr>
          <w:sz w:val="20"/>
          <w:szCs w:val="20"/>
          <w:lang w:val="en-GB"/>
        </w:rPr>
        <w:t>rrangements</w:t>
      </w:r>
      <w:r w:rsidR="005F5EAE" w:rsidRPr="000B2DCA">
        <w:rPr>
          <w:sz w:val="20"/>
          <w:szCs w:val="20"/>
          <w:lang w:val="en-GB"/>
        </w:rPr>
        <w:t xml:space="preserve"> and new partnerships with</w:t>
      </w:r>
      <w:r w:rsidR="00505CBC" w:rsidRPr="000B2DCA">
        <w:rPr>
          <w:sz w:val="20"/>
          <w:szCs w:val="20"/>
          <w:lang w:val="en-GB"/>
        </w:rPr>
        <w:t xml:space="preserve"> </w:t>
      </w:r>
      <w:r w:rsidR="005F5EAE" w:rsidRPr="000B2DCA">
        <w:rPr>
          <w:sz w:val="20"/>
          <w:szCs w:val="20"/>
          <w:lang w:val="en-GB"/>
        </w:rPr>
        <w:t xml:space="preserve">the </w:t>
      </w:r>
      <w:r w:rsidR="00505CBC" w:rsidRPr="000B2DCA">
        <w:rPr>
          <w:sz w:val="20"/>
          <w:szCs w:val="20"/>
          <w:lang w:val="en-GB"/>
        </w:rPr>
        <w:t xml:space="preserve">private sector and </w:t>
      </w:r>
      <w:r w:rsidR="00554B32">
        <w:rPr>
          <w:sz w:val="20"/>
          <w:szCs w:val="20"/>
          <w:lang w:val="en-GB"/>
        </w:rPr>
        <w:t>international financial institutions</w:t>
      </w:r>
      <w:r w:rsidR="00120B11" w:rsidRPr="000B2DCA">
        <w:rPr>
          <w:sz w:val="20"/>
          <w:szCs w:val="20"/>
          <w:lang w:val="en-GB"/>
        </w:rPr>
        <w:t>.</w:t>
      </w:r>
    </w:p>
    <w:p w14:paraId="5726B700" w14:textId="340F57C2" w:rsidR="00FE7037" w:rsidRPr="000B2DCA" w:rsidRDefault="00FE7037" w:rsidP="003026BC">
      <w:pPr>
        <w:pStyle w:val="Heading1"/>
        <w:tabs>
          <w:tab w:val="left" w:pos="720"/>
          <w:tab w:val="left" w:pos="1080"/>
          <w:tab w:val="left" w:pos="1800"/>
          <w:tab w:val="left" w:pos="8640"/>
          <w:tab w:val="left" w:pos="9180"/>
        </w:tabs>
        <w:spacing w:after="120"/>
        <w:ind w:left="720" w:right="1267" w:hanging="540"/>
        <w:jc w:val="both"/>
        <w:rPr>
          <w:rFonts w:ascii="Times New Roman" w:hAnsi="Times New Roman"/>
          <w:color w:val="000000"/>
          <w:szCs w:val="28"/>
          <w:lang w:val="en-GB"/>
        </w:rPr>
      </w:pPr>
      <w:r w:rsidRPr="000B2DCA">
        <w:rPr>
          <w:rFonts w:ascii="Times New Roman" w:hAnsi="Times New Roman"/>
          <w:color w:val="000000"/>
          <w:szCs w:val="28"/>
          <w:lang w:val="en-GB"/>
        </w:rPr>
        <w:t>IV.</w:t>
      </w:r>
      <w:r w:rsidR="00554B32">
        <w:rPr>
          <w:rFonts w:ascii="Times New Roman" w:hAnsi="Times New Roman"/>
          <w:color w:val="000000"/>
          <w:szCs w:val="28"/>
          <w:lang w:val="en-GB"/>
        </w:rPr>
        <w:tab/>
      </w:r>
      <w:r w:rsidRPr="000B2DCA">
        <w:rPr>
          <w:rFonts w:ascii="Times New Roman" w:hAnsi="Times New Roman"/>
          <w:color w:val="000000"/>
          <w:szCs w:val="28"/>
          <w:lang w:val="en-GB"/>
        </w:rPr>
        <w:t xml:space="preserve">Monitoring and </w:t>
      </w:r>
      <w:r w:rsidR="00554B32">
        <w:rPr>
          <w:rFonts w:ascii="Times New Roman" w:hAnsi="Times New Roman"/>
          <w:color w:val="000000"/>
          <w:szCs w:val="28"/>
          <w:lang w:val="en-GB"/>
        </w:rPr>
        <w:t>e</w:t>
      </w:r>
      <w:r w:rsidRPr="000B2DCA">
        <w:rPr>
          <w:rFonts w:ascii="Times New Roman" w:hAnsi="Times New Roman"/>
          <w:color w:val="000000"/>
          <w:szCs w:val="28"/>
          <w:lang w:val="en-GB"/>
        </w:rPr>
        <w:t>valuation</w:t>
      </w:r>
    </w:p>
    <w:p w14:paraId="28A782C5" w14:textId="584ABAB4" w:rsidR="00554B32" w:rsidRDefault="00FE7037" w:rsidP="000B2DCA">
      <w:pPr>
        <w:pStyle w:val="ListParagraph"/>
        <w:numPr>
          <w:ilvl w:val="0"/>
          <w:numId w:val="3"/>
        </w:numPr>
        <w:tabs>
          <w:tab w:val="left" w:pos="1080"/>
          <w:tab w:val="left" w:pos="8640"/>
          <w:tab w:val="left" w:pos="9180"/>
        </w:tabs>
        <w:spacing w:after="120"/>
        <w:ind w:firstLine="0"/>
        <w:jc w:val="both"/>
        <w:rPr>
          <w:sz w:val="20"/>
          <w:szCs w:val="20"/>
        </w:rPr>
      </w:pPr>
      <w:r w:rsidRPr="000B2DCA">
        <w:rPr>
          <w:color w:val="000000"/>
          <w:sz w:val="20"/>
          <w:szCs w:val="20"/>
        </w:rPr>
        <w:t xml:space="preserve">UNDP will use an adaptive approach to programming that allows it to </w:t>
      </w:r>
      <w:r w:rsidR="00554B32" w:rsidRPr="003C5D47">
        <w:rPr>
          <w:color w:val="000000"/>
          <w:sz w:val="20"/>
          <w:szCs w:val="20"/>
        </w:rPr>
        <w:t xml:space="preserve">respond </w:t>
      </w:r>
      <w:r w:rsidRPr="000B2DCA">
        <w:rPr>
          <w:color w:val="000000"/>
          <w:sz w:val="20"/>
          <w:szCs w:val="20"/>
        </w:rPr>
        <w:t>rapidly and flexibly to changing contexts in Ban</w:t>
      </w:r>
      <w:r w:rsidR="00345DE3" w:rsidRPr="000B2DCA">
        <w:rPr>
          <w:color w:val="000000"/>
          <w:sz w:val="20"/>
          <w:szCs w:val="20"/>
        </w:rPr>
        <w:t xml:space="preserve">gladesh. </w:t>
      </w:r>
      <w:r w:rsidR="00120B11" w:rsidRPr="000B2DCA">
        <w:rPr>
          <w:color w:val="000000"/>
          <w:sz w:val="20"/>
          <w:szCs w:val="20"/>
        </w:rPr>
        <w:t xml:space="preserve">To </w:t>
      </w:r>
      <w:r w:rsidR="006C4C00" w:rsidRPr="000B2DCA">
        <w:rPr>
          <w:color w:val="000000"/>
          <w:sz w:val="20"/>
          <w:szCs w:val="20"/>
        </w:rPr>
        <w:t xml:space="preserve">address the </w:t>
      </w:r>
      <w:r w:rsidR="00876330" w:rsidRPr="000B2DCA">
        <w:rPr>
          <w:color w:val="000000"/>
          <w:sz w:val="20"/>
          <w:szCs w:val="20"/>
        </w:rPr>
        <w:t>manifest weaknesses in the pro</w:t>
      </w:r>
      <w:r w:rsidR="002B5FD0" w:rsidRPr="000B2DCA">
        <w:rPr>
          <w:color w:val="000000"/>
          <w:sz w:val="20"/>
          <w:szCs w:val="20"/>
        </w:rPr>
        <w:t>duction of development-</w:t>
      </w:r>
      <w:r w:rsidR="00876330" w:rsidRPr="000B2DCA">
        <w:rPr>
          <w:color w:val="000000"/>
          <w:sz w:val="20"/>
          <w:szCs w:val="20"/>
        </w:rPr>
        <w:t xml:space="preserve">related data and </w:t>
      </w:r>
      <w:r w:rsidR="006C4C00" w:rsidRPr="000B2DCA">
        <w:rPr>
          <w:color w:val="000000"/>
          <w:sz w:val="20"/>
          <w:szCs w:val="20"/>
        </w:rPr>
        <w:t>statistics, UNDP will w</w:t>
      </w:r>
      <w:r w:rsidR="00876330" w:rsidRPr="000B2DCA">
        <w:rPr>
          <w:color w:val="000000"/>
          <w:sz w:val="20"/>
          <w:szCs w:val="20"/>
        </w:rPr>
        <w:t xml:space="preserve">ork </w:t>
      </w:r>
      <w:r w:rsidR="006C4C00" w:rsidRPr="000B2DCA">
        <w:rPr>
          <w:color w:val="000000"/>
          <w:sz w:val="20"/>
          <w:szCs w:val="20"/>
        </w:rPr>
        <w:t>closely with</w:t>
      </w:r>
      <w:r w:rsidR="00AF6F37" w:rsidRPr="000B2DCA">
        <w:rPr>
          <w:color w:val="000000"/>
          <w:sz w:val="20"/>
          <w:szCs w:val="20"/>
        </w:rPr>
        <w:t xml:space="preserve"> </w:t>
      </w:r>
      <w:r w:rsidR="00554B32">
        <w:rPr>
          <w:color w:val="000000"/>
          <w:sz w:val="20"/>
          <w:szCs w:val="20"/>
        </w:rPr>
        <w:t xml:space="preserve">the </w:t>
      </w:r>
      <w:r w:rsidR="00554B32" w:rsidRPr="003C5D47">
        <w:rPr>
          <w:sz w:val="20"/>
          <w:szCs w:val="20"/>
        </w:rPr>
        <w:t>Bangladesh Bureau of Statistics</w:t>
      </w:r>
      <w:r w:rsidR="00554B32" w:rsidRPr="000B2DCA">
        <w:rPr>
          <w:color w:val="000000"/>
          <w:sz w:val="20"/>
          <w:szCs w:val="20"/>
        </w:rPr>
        <w:t xml:space="preserve"> </w:t>
      </w:r>
      <w:r w:rsidR="00120B11" w:rsidRPr="000B2DCA">
        <w:rPr>
          <w:color w:val="000000"/>
          <w:sz w:val="20"/>
          <w:szCs w:val="20"/>
        </w:rPr>
        <w:t>to</w:t>
      </w:r>
      <w:r w:rsidR="006C4C00" w:rsidRPr="000B2DCA">
        <w:rPr>
          <w:color w:val="000000"/>
          <w:sz w:val="20"/>
          <w:szCs w:val="20"/>
        </w:rPr>
        <w:t xml:space="preserve"> improv</w:t>
      </w:r>
      <w:r w:rsidR="00120B11" w:rsidRPr="000B2DCA">
        <w:rPr>
          <w:color w:val="000000"/>
          <w:sz w:val="20"/>
          <w:szCs w:val="20"/>
        </w:rPr>
        <w:t>e</w:t>
      </w:r>
      <w:r w:rsidR="00B530C7" w:rsidRPr="000B2DCA">
        <w:rPr>
          <w:color w:val="000000"/>
          <w:sz w:val="20"/>
          <w:szCs w:val="20"/>
        </w:rPr>
        <w:t xml:space="preserve"> </w:t>
      </w:r>
      <w:r w:rsidR="00876330" w:rsidRPr="000B2DCA">
        <w:rPr>
          <w:color w:val="000000"/>
          <w:sz w:val="20"/>
          <w:szCs w:val="20"/>
        </w:rPr>
        <w:t>mechanisms for generating and accessing data and information</w:t>
      </w:r>
      <w:r w:rsidR="00B530C7" w:rsidRPr="000B2DCA">
        <w:rPr>
          <w:color w:val="000000"/>
          <w:sz w:val="20"/>
          <w:szCs w:val="20"/>
        </w:rPr>
        <w:t>,</w:t>
      </w:r>
      <w:r w:rsidR="001E71AC" w:rsidRPr="000B2DCA">
        <w:rPr>
          <w:color w:val="000000"/>
          <w:sz w:val="20"/>
          <w:szCs w:val="20"/>
        </w:rPr>
        <w:t xml:space="preserve"> </w:t>
      </w:r>
      <w:r w:rsidR="00120B11" w:rsidRPr="000B2DCA">
        <w:rPr>
          <w:color w:val="000000"/>
          <w:sz w:val="20"/>
          <w:szCs w:val="20"/>
        </w:rPr>
        <w:t xml:space="preserve">and to </w:t>
      </w:r>
      <w:r w:rsidR="00EA5841" w:rsidRPr="000B2DCA">
        <w:rPr>
          <w:color w:val="000000"/>
          <w:sz w:val="20"/>
          <w:szCs w:val="20"/>
        </w:rPr>
        <w:t>address gaps in available sex</w:t>
      </w:r>
      <w:r w:rsidR="00554B32">
        <w:rPr>
          <w:color w:val="000000"/>
          <w:sz w:val="20"/>
          <w:szCs w:val="20"/>
        </w:rPr>
        <w:t>-</w:t>
      </w:r>
      <w:r w:rsidR="00EA5841" w:rsidRPr="000B2DCA">
        <w:rPr>
          <w:color w:val="000000"/>
          <w:sz w:val="20"/>
          <w:szCs w:val="20"/>
        </w:rPr>
        <w:t xml:space="preserve"> and age</w:t>
      </w:r>
      <w:r w:rsidR="00554B32">
        <w:rPr>
          <w:color w:val="000000"/>
          <w:sz w:val="20"/>
          <w:szCs w:val="20"/>
        </w:rPr>
        <w:t>-</w:t>
      </w:r>
      <w:r w:rsidR="006C4C00" w:rsidRPr="000B2DCA">
        <w:rPr>
          <w:color w:val="000000"/>
          <w:sz w:val="20"/>
          <w:szCs w:val="20"/>
        </w:rPr>
        <w:t>disaggregated data for poverty and</w:t>
      </w:r>
      <w:r w:rsidR="00EA5841" w:rsidRPr="000B2DCA">
        <w:rPr>
          <w:color w:val="000000"/>
          <w:sz w:val="20"/>
          <w:szCs w:val="20"/>
        </w:rPr>
        <w:t xml:space="preserve"> inequality</w:t>
      </w:r>
      <w:r w:rsidR="006C4C00" w:rsidRPr="000B2DCA">
        <w:rPr>
          <w:color w:val="000000"/>
          <w:sz w:val="20"/>
          <w:szCs w:val="20"/>
        </w:rPr>
        <w:t xml:space="preserve">. UNDP will support </w:t>
      </w:r>
      <w:r w:rsidR="00112EEE" w:rsidRPr="000B2DCA">
        <w:rPr>
          <w:color w:val="000000"/>
          <w:sz w:val="20"/>
          <w:szCs w:val="20"/>
        </w:rPr>
        <w:t xml:space="preserve">targeted </w:t>
      </w:r>
      <w:r w:rsidR="00554B32">
        <w:rPr>
          <w:color w:val="000000"/>
          <w:sz w:val="20"/>
          <w:szCs w:val="20"/>
        </w:rPr>
        <w:t>g</w:t>
      </w:r>
      <w:r w:rsidR="00120B11" w:rsidRPr="000B2DCA">
        <w:rPr>
          <w:color w:val="000000"/>
          <w:sz w:val="20"/>
          <w:szCs w:val="20"/>
        </w:rPr>
        <w:t xml:space="preserve">overnment agencies </w:t>
      </w:r>
      <w:r w:rsidR="00554B32">
        <w:rPr>
          <w:color w:val="000000"/>
          <w:sz w:val="20"/>
          <w:szCs w:val="20"/>
        </w:rPr>
        <w:t xml:space="preserve">in </w:t>
      </w:r>
      <w:r w:rsidR="00120B11" w:rsidRPr="000B2DCA">
        <w:rPr>
          <w:color w:val="000000"/>
          <w:sz w:val="20"/>
          <w:szCs w:val="20"/>
        </w:rPr>
        <w:t>strengthen</w:t>
      </w:r>
      <w:r w:rsidR="00554B32">
        <w:rPr>
          <w:color w:val="000000"/>
          <w:sz w:val="20"/>
          <w:szCs w:val="20"/>
        </w:rPr>
        <w:t>ing</w:t>
      </w:r>
      <w:r w:rsidR="00120B11" w:rsidRPr="000B2DCA">
        <w:rPr>
          <w:color w:val="000000"/>
          <w:sz w:val="20"/>
          <w:szCs w:val="20"/>
        </w:rPr>
        <w:t xml:space="preserve"> </w:t>
      </w:r>
      <w:r w:rsidR="006C4C00" w:rsidRPr="000B2DCA">
        <w:rPr>
          <w:rFonts w:eastAsia="Calibri"/>
          <w:sz w:val="20"/>
          <w:szCs w:val="20"/>
        </w:rPr>
        <w:t xml:space="preserve">data collection and analysis and monitoring progress against the </w:t>
      </w:r>
      <w:r w:rsidR="00554B32">
        <w:rPr>
          <w:rFonts w:eastAsia="Calibri"/>
          <w:sz w:val="20"/>
          <w:szCs w:val="20"/>
        </w:rPr>
        <w:t>seventh five-year plan</w:t>
      </w:r>
      <w:r w:rsidR="006C4C00" w:rsidRPr="000B2DCA">
        <w:rPr>
          <w:rFonts w:eastAsia="Calibri"/>
          <w:sz w:val="20"/>
          <w:szCs w:val="20"/>
        </w:rPr>
        <w:t xml:space="preserve"> development results framework and </w:t>
      </w:r>
      <w:r w:rsidR="00554B32">
        <w:rPr>
          <w:rFonts w:eastAsia="Calibri"/>
          <w:sz w:val="20"/>
          <w:szCs w:val="20"/>
        </w:rPr>
        <w:t>the sustainable development goals</w:t>
      </w:r>
      <w:r w:rsidR="006C4C00" w:rsidRPr="000B2DCA">
        <w:rPr>
          <w:rFonts w:eastAsia="Calibri"/>
          <w:sz w:val="20"/>
          <w:szCs w:val="20"/>
        </w:rPr>
        <w:t xml:space="preserve">. </w:t>
      </w:r>
      <w:r w:rsidR="00876330" w:rsidRPr="000B2DCA">
        <w:rPr>
          <w:color w:val="000000"/>
          <w:sz w:val="20"/>
          <w:szCs w:val="20"/>
        </w:rPr>
        <w:t xml:space="preserve">UNDP </w:t>
      </w:r>
      <w:r w:rsidR="009B2277" w:rsidRPr="000B2DCA">
        <w:rPr>
          <w:color w:val="000000"/>
          <w:sz w:val="20"/>
          <w:szCs w:val="20"/>
        </w:rPr>
        <w:t>will</w:t>
      </w:r>
      <w:r w:rsidR="00EA5841" w:rsidRPr="000B2DCA">
        <w:rPr>
          <w:color w:val="000000"/>
          <w:sz w:val="20"/>
          <w:szCs w:val="20"/>
        </w:rPr>
        <w:t xml:space="preserve"> </w:t>
      </w:r>
      <w:r w:rsidR="00876330" w:rsidRPr="000B2DCA">
        <w:rPr>
          <w:color w:val="000000"/>
          <w:sz w:val="20"/>
          <w:szCs w:val="20"/>
        </w:rPr>
        <w:t xml:space="preserve">pursue partnerships </w:t>
      </w:r>
      <w:r w:rsidR="00554B32">
        <w:rPr>
          <w:color w:val="000000"/>
          <w:sz w:val="20"/>
          <w:szCs w:val="20"/>
        </w:rPr>
        <w:t>in</w:t>
      </w:r>
      <w:r w:rsidR="007B0C97">
        <w:rPr>
          <w:color w:val="000000"/>
          <w:sz w:val="20"/>
          <w:szCs w:val="20"/>
        </w:rPr>
        <w:t xml:space="preserve"> </w:t>
      </w:r>
      <w:r w:rsidR="00554B32">
        <w:rPr>
          <w:color w:val="000000"/>
          <w:sz w:val="20"/>
          <w:szCs w:val="20"/>
        </w:rPr>
        <w:t>monitoring and evaluation</w:t>
      </w:r>
      <w:r w:rsidR="00876330" w:rsidRPr="000B2DCA">
        <w:rPr>
          <w:color w:val="000000"/>
          <w:sz w:val="20"/>
          <w:szCs w:val="20"/>
        </w:rPr>
        <w:t xml:space="preserve"> with </w:t>
      </w:r>
      <w:r w:rsidR="007F5ACD" w:rsidRPr="000B2DCA">
        <w:rPr>
          <w:color w:val="000000"/>
          <w:sz w:val="20"/>
          <w:szCs w:val="20"/>
        </w:rPr>
        <w:t xml:space="preserve">reputable </w:t>
      </w:r>
      <w:r w:rsidR="00EA5841" w:rsidRPr="000B2DCA">
        <w:rPr>
          <w:color w:val="000000"/>
          <w:sz w:val="20"/>
          <w:szCs w:val="20"/>
        </w:rPr>
        <w:t xml:space="preserve">and innovative </w:t>
      </w:r>
      <w:r w:rsidR="00876330" w:rsidRPr="000B2DCA">
        <w:rPr>
          <w:color w:val="000000"/>
          <w:sz w:val="20"/>
          <w:szCs w:val="20"/>
        </w:rPr>
        <w:t>local research and policy institutes</w:t>
      </w:r>
      <w:r w:rsidR="00B95157" w:rsidRPr="000B2DCA">
        <w:rPr>
          <w:color w:val="000000"/>
          <w:sz w:val="20"/>
          <w:szCs w:val="20"/>
        </w:rPr>
        <w:t xml:space="preserve"> (</w:t>
      </w:r>
      <w:r w:rsidR="00554B32">
        <w:rPr>
          <w:color w:val="000000"/>
          <w:sz w:val="20"/>
          <w:szCs w:val="20"/>
        </w:rPr>
        <w:t xml:space="preserve">such as </w:t>
      </w:r>
      <w:r w:rsidR="00603C3C" w:rsidRPr="000B2DCA">
        <w:rPr>
          <w:color w:val="000000"/>
          <w:sz w:val="20"/>
          <w:szCs w:val="20"/>
        </w:rPr>
        <w:t>Innovation for Poverty Action</w:t>
      </w:r>
      <w:r w:rsidR="00554B32">
        <w:rPr>
          <w:color w:val="000000"/>
          <w:sz w:val="20"/>
          <w:szCs w:val="20"/>
        </w:rPr>
        <w:t xml:space="preserve"> and the</w:t>
      </w:r>
      <w:r w:rsidR="00603C3C" w:rsidRPr="000B2DCA">
        <w:rPr>
          <w:color w:val="000000"/>
          <w:sz w:val="20"/>
          <w:szCs w:val="20"/>
        </w:rPr>
        <w:t xml:space="preserve"> Bangladesh In</w:t>
      </w:r>
      <w:r w:rsidR="00B53E1F" w:rsidRPr="000B2DCA">
        <w:rPr>
          <w:color w:val="000000"/>
          <w:sz w:val="20"/>
          <w:szCs w:val="20"/>
        </w:rPr>
        <w:t>stitute of Development Studies</w:t>
      </w:r>
      <w:r w:rsidR="00603C3C" w:rsidRPr="000B2DCA">
        <w:rPr>
          <w:color w:val="000000"/>
          <w:sz w:val="20"/>
          <w:szCs w:val="20"/>
        </w:rPr>
        <w:t>)</w:t>
      </w:r>
      <w:r w:rsidR="00120B11" w:rsidRPr="000B2DCA">
        <w:rPr>
          <w:color w:val="000000"/>
          <w:sz w:val="20"/>
          <w:szCs w:val="20"/>
        </w:rPr>
        <w:t>.</w:t>
      </w:r>
      <w:r w:rsidR="00876330" w:rsidRPr="000B2DCA">
        <w:rPr>
          <w:color w:val="000000"/>
          <w:sz w:val="20"/>
          <w:szCs w:val="20"/>
        </w:rPr>
        <w:t xml:space="preserve"> </w:t>
      </w:r>
      <w:r w:rsidR="00AA5B9A" w:rsidRPr="000B2DCA">
        <w:rPr>
          <w:sz w:val="20"/>
          <w:szCs w:val="20"/>
        </w:rPr>
        <w:t xml:space="preserve">Collaboration with Government and research institutions in the experimental use of </w:t>
      </w:r>
      <w:r w:rsidR="00554B32">
        <w:rPr>
          <w:sz w:val="20"/>
          <w:szCs w:val="20"/>
        </w:rPr>
        <w:t>r</w:t>
      </w:r>
      <w:r w:rsidR="00AA5B9A" w:rsidRPr="000B2DCA">
        <w:rPr>
          <w:sz w:val="20"/>
          <w:szCs w:val="20"/>
        </w:rPr>
        <w:t xml:space="preserve">andomized </w:t>
      </w:r>
      <w:r w:rsidR="00554B32">
        <w:rPr>
          <w:sz w:val="20"/>
          <w:szCs w:val="20"/>
        </w:rPr>
        <w:t>c</w:t>
      </w:r>
      <w:r w:rsidR="00AA5B9A" w:rsidRPr="000B2DCA">
        <w:rPr>
          <w:sz w:val="20"/>
          <w:szCs w:val="20"/>
        </w:rPr>
        <w:t xml:space="preserve">ontrol </w:t>
      </w:r>
      <w:r w:rsidR="00554B32">
        <w:rPr>
          <w:sz w:val="20"/>
          <w:szCs w:val="20"/>
        </w:rPr>
        <w:t>t</w:t>
      </w:r>
      <w:r w:rsidR="00AA5B9A" w:rsidRPr="000B2DCA">
        <w:rPr>
          <w:sz w:val="20"/>
          <w:szCs w:val="20"/>
        </w:rPr>
        <w:t>rials will be pursued, including i</w:t>
      </w:r>
      <w:r w:rsidR="00AE73C9" w:rsidRPr="000B2DCA">
        <w:rPr>
          <w:sz w:val="20"/>
          <w:szCs w:val="20"/>
        </w:rPr>
        <w:t xml:space="preserve">n </w:t>
      </w:r>
      <w:r w:rsidR="00AA5B9A" w:rsidRPr="000B2DCA">
        <w:rPr>
          <w:sz w:val="20"/>
          <w:szCs w:val="20"/>
        </w:rPr>
        <w:t>poverty reduction</w:t>
      </w:r>
      <w:r w:rsidR="00AE73C9" w:rsidRPr="000B2DCA">
        <w:rPr>
          <w:sz w:val="20"/>
          <w:szCs w:val="20"/>
        </w:rPr>
        <w:t xml:space="preserve"> and social protection programmes</w:t>
      </w:r>
      <w:r w:rsidR="002D016B" w:rsidRPr="000B2DCA">
        <w:rPr>
          <w:sz w:val="20"/>
          <w:szCs w:val="20"/>
        </w:rPr>
        <w:t>.</w:t>
      </w:r>
    </w:p>
    <w:p w14:paraId="715C4402" w14:textId="76EC6C00" w:rsidR="000B2DCA" w:rsidRPr="00443D38" w:rsidRDefault="00FE256F" w:rsidP="00443D38">
      <w:pPr>
        <w:pStyle w:val="ListParagraph"/>
        <w:numPr>
          <w:ilvl w:val="0"/>
          <w:numId w:val="3"/>
        </w:numPr>
        <w:tabs>
          <w:tab w:val="left" w:pos="1080"/>
          <w:tab w:val="left" w:pos="8640"/>
          <w:tab w:val="left" w:pos="9180"/>
        </w:tabs>
        <w:spacing w:after="120"/>
        <w:ind w:firstLine="0"/>
        <w:jc w:val="both"/>
        <w:rPr>
          <w:color w:val="000000"/>
          <w:sz w:val="20"/>
          <w:szCs w:val="20"/>
        </w:rPr>
        <w:sectPr w:rsidR="000B2DCA" w:rsidRPr="00443D38" w:rsidSect="00AB64CB">
          <w:headerReference w:type="even" r:id="rId23"/>
          <w:type w:val="continuous"/>
          <w:pgSz w:w="12240" w:h="15840"/>
          <w:pgMar w:top="900" w:right="1440" w:bottom="990" w:left="1440" w:header="720" w:footer="720" w:gutter="0"/>
          <w:cols w:space="720"/>
        </w:sectPr>
      </w:pPr>
      <w:r w:rsidRPr="000B2DCA">
        <w:rPr>
          <w:color w:val="000000"/>
          <w:sz w:val="20"/>
          <w:szCs w:val="20"/>
        </w:rPr>
        <w:t xml:space="preserve">All </w:t>
      </w:r>
      <w:r w:rsidR="00EA5841" w:rsidRPr="000B2DCA">
        <w:rPr>
          <w:color w:val="000000"/>
          <w:sz w:val="20"/>
          <w:szCs w:val="20"/>
        </w:rPr>
        <w:t>programme</w:t>
      </w:r>
      <w:r w:rsidRPr="000B2DCA">
        <w:rPr>
          <w:color w:val="000000"/>
          <w:sz w:val="20"/>
          <w:szCs w:val="20"/>
        </w:rPr>
        <w:t>s</w:t>
      </w:r>
      <w:r w:rsidR="00EA5841" w:rsidRPr="000B2DCA">
        <w:rPr>
          <w:color w:val="000000"/>
          <w:sz w:val="20"/>
          <w:szCs w:val="20"/>
        </w:rPr>
        <w:t xml:space="preserve"> </w:t>
      </w:r>
      <w:r w:rsidR="004253EE" w:rsidRPr="000B2DCA">
        <w:rPr>
          <w:color w:val="000000"/>
          <w:sz w:val="20"/>
          <w:szCs w:val="20"/>
        </w:rPr>
        <w:t xml:space="preserve">will be grounded in </w:t>
      </w:r>
      <w:r w:rsidR="007A0DD4" w:rsidRPr="000B2DCA">
        <w:rPr>
          <w:color w:val="000000"/>
          <w:sz w:val="20"/>
          <w:szCs w:val="20"/>
        </w:rPr>
        <w:t>strong evidence</w:t>
      </w:r>
      <w:r w:rsidR="004253EE" w:rsidRPr="000B2DCA">
        <w:rPr>
          <w:color w:val="000000"/>
          <w:sz w:val="20"/>
          <w:szCs w:val="20"/>
        </w:rPr>
        <w:t xml:space="preserve"> </w:t>
      </w:r>
      <w:r w:rsidR="001863C0" w:rsidRPr="000B2DCA">
        <w:rPr>
          <w:color w:val="000000"/>
          <w:sz w:val="20"/>
          <w:szCs w:val="20"/>
        </w:rPr>
        <w:t xml:space="preserve">through mechanisms including </w:t>
      </w:r>
      <w:r w:rsidR="004253EE" w:rsidRPr="000B2DCA">
        <w:rPr>
          <w:color w:val="000000"/>
          <w:sz w:val="20"/>
          <w:szCs w:val="20"/>
        </w:rPr>
        <w:t>c</w:t>
      </w:r>
      <w:r w:rsidR="0076050F" w:rsidRPr="000B2DCA">
        <w:rPr>
          <w:sz w:val="20"/>
          <w:szCs w:val="20"/>
        </w:rPr>
        <w:t>ommunity</w:t>
      </w:r>
      <w:r w:rsidR="00876330" w:rsidRPr="000B2DCA">
        <w:rPr>
          <w:sz w:val="20"/>
          <w:szCs w:val="20"/>
        </w:rPr>
        <w:t>-le</w:t>
      </w:r>
      <w:r w:rsidR="007A0DD4" w:rsidRPr="000B2DCA">
        <w:rPr>
          <w:sz w:val="20"/>
          <w:szCs w:val="20"/>
        </w:rPr>
        <w:t>d</w:t>
      </w:r>
      <w:r w:rsidRPr="000B2DCA">
        <w:rPr>
          <w:sz w:val="20"/>
          <w:szCs w:val="20"/>
        </w:rPr>
        <w:t xml:space="preserve"> monitoring</w:t>
      </w:r>
      <w:r w:rsidR="004253EE" w:rsidRPr="000B2DCA">
        <w:rPr>
          <w:sz w:val="20"/>
          <w:szCs w:val="20"/>
        </w:rPr>
        <w:t xml:space="preserve">, </w:t>
      </w:r>
      <w:r w:rsidR="00A53FAE" w:rsidRPr="000B2DCA">
        <w:rPr>
          <w:sz w:val="20"/>
          <w:szCs w:val="20"/>
        </w:rPr>
        <w:t>feedback loops</w:t>
      </w:r>
      <w:r w:rsidR="00AA5B9A" w:rsidRPr="000B2DCA">
        <w:rPr>
          <w:sz w:val="20"/>
          <w:szCs w:val="20"/>
        </w:rPr>
        <w:t>,</w:t>
      </w:r>
      <w:r w:rsidR="00A53FAE" w:rsidRPr="000B2DCA">
        <w:rPr>
          <w:sz w:val="20"/>
          <w:szCs w:val="20"/>
        </w:rPr>
        <w:t xml:space="preserve"> </w:t>
      </w:r>
      <w:r w:rsidR="00AA5B9A" w:rsidRPr="000B2DCA">
        <w:rPr>
          <w:sz w:val="20"/>
          <w:szCs w:val="20"/>
        </w:rPr>
        <w:t>participatory statistics</w:t>
      </w:r>
      <w:r w:rsidR="00CD58A0">
        <w:rPr>
          <w:sz w:val="20"/>
          <w:szCs w:val="20"/>
        </w:rPr>
        <w:t>,</w:t>
      </w:r>
      <w:r w:rsidR="004253EE" w:rsidRPr="000B2DCA">
        <w:rPr>
          <w:sz w:val="20"/>
          <w:szCs w:val="20"/>
        </w:rPr>
        <w:t xml:space="preserve"> and innovative tools </w:t>
      </w:r>
      <w:r w:rsidR="00BF5532" w:rsidRPr="000B2DCA">
        <w:rPr>
          <w:sz w:val="20"/>
          <w:szCs w:val="20"/>
        </w:rPr>
        <w:t>such as m</w:t>
      </w:r>
      <w:r w:rsidR="00AA5B9A" w:rsidRPr="000B2DCA">
        <w:rPr>
          <w:sz w:val="20"/>
          <w:szCs w:val="20"/>
        </w:rPr>
        <w:t xml:space="preserve">obile </w:t>
      </w:r>
      <w:r w:rsidR="00BF5532" w:rsidRPr="000B2DCA">
        <w:rPr>
          <w:sz w:val="20"/>
          <w:szCs w:val="20"/>
        </w:rPr>
        <w:t>phone data, satellite imagery and infrastructure sensors</w:t>
      </w:r>
      <w:r w:rsidR="004253EE" w:rsidRPr="000B2DCA">
        <w:rPr>
          <w:sz w:val="20"/>
          <w:szCs w:val="20"/>
        </w:rPr>
        <w:t xml:space="preserve">. </w:t>
      </w:r>
    </w:p>
    <w:p w14:paraId="4768BCB4" w14:textId="66F83382" w:rsidR="000B2DCA" w:rsidRPr="00443D38" w:rsidRDefault="000B2DCA" w:rsidP="00443D38">
      <w:pPr>
        <w:tabs>
          <w:tab w:val="left" w:pos="1440"/>
        </w:tabs>
        <w:rPr>
          <w:sz w:val="20"/>
          <w:szCs w:val="20"/>
        </w:rPr>
        <w:sectPr w:rsidR="000B2DCA" w:rsidRPr="00443D38" w:rsidSect="00443D38">
          <w:headerReference w:type="even" r:id="rId24"/>
          <w:headerReference w:type="default" r:id="rId25"/>
          <w:type w:val="continuous"/>
          <w:pgSz w:w="15840" w:h="12240" w:orient="landscape"/>
          <w:pgMar w:top="990" w:right="1152" w:bottom="1440" w:left="1152" w:header="720" w:footer="720" w:gutter="0"/>
          <w:cols w:space="720"/>
        </w:sectPr>
      </w:pPr>
    </w:p>
    <w:p w14:paraId="4E24AF78" w14:textId="4FD7C658" w:rsidR="00F55B96" w:rsidRPr="00F55B96" w:rsidRDefault="00F55B96" w:rsidP="00F55B96">
      <w:pPr>
        <w:jc w:val="both"/>
        <w:rPr>
          <w:b/>
          <w:bCs/>
          <w:color w:val="000000"/>
          <w:lang w:val="en-US"/>
        </w:rPr>
      </w:pPr>
      <w:r w:rsidRPr="00F55B96">
        <w:rPr>
          <w:b/>
          <w:bCs/>
          <w:color w:val="000000"/>
          <w:lang w:val="en-US"/>
        </w:rPr>
        <w:t xml:space="preserve">Annex. Results and resources framework for </w:t>
      </w:r>
      <w:r>
        <w:rPr>
          <w:b/>
          <w:bCs/>
          <w:color w:val="000000"/>
          <w:lang w:val="en-US"/>
        </w:rPr>
        <w:t>Bangladesh</w:t>
      </w:r>
      <w:r w:rsidRPr="00F55B96">
        <w:rPr>
          <w:b/>
          <w:bCs/>
          <w:color w:val="000000"/>
          <w:lang w:val="en-US"/>
        </w:rPr>
        <w:t xml:space="preserve"> (2017-2020)</w:t>
      </w:r>
    </w:p>
    <w:p w14:paraId="2004D6A2" w14:textId="77777777" w:rsidR="00D16880" w:rsidRPr="00F55B96" w:rsidRDefault="00D16880" w:rsidP="00F46466">
      <w:pPr>
        <w:tabs>
          <w:tab w:val="left" w:pos="900"/>
          <w:tab w:val="left" w:pos="990"/>
          <w:tab w:val="left" w:pos="8640"/>
          <w:tab w:val="left" w:pos="9180"/>
        </w:tabs>
        <w:ind w:left="450"/>
        <w:rPr>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360"/>
        <w:gridCol w:w="1804"/>
        <w:gridCol w:w="6100"/>
        <w:gridCol w:w="1664"/>
        <w:gridCol w:w="1528"/>
        <w:gridCol w:w="70"/>
      </w:tblGrid>
      <w:tr w:rsidR="00BC54AE" w:rsidRPr="00CD58A0" w14:paraId="593C88D6" w14:textId="77777777" w:rsidTr="00443D38">
        <w:trPr>
          <w:gridAfter w:val="1"/>
          <w:wAfter w:w="26" w:type="pct"/>
        </w:trPr>
        <w:tc>
          <w:tcPr>
            <w:tcW w:w="4974" w:type="pct"/>
            <w:gridSpan w:val="5"/>
            <w:shd w:val="clear" w:color="auto" w:fill="auto"/>
            <w:tcMar>
              <w:top w:w="72" w:type="dxa"/>
              <w:left w:w="144" w:type="dxa"/>
              <w:bottom w:w="72" w:type="dxa"/>
              <w:right w:w="144" w:type="dxa"/>
            </w:tcMar>
          </w:tcPr>
          <w:p w14:paraId="74AAD865" w14:textId="21BE0FBA" w:rsidR="00BC54AE" w:rsidRPr="000B2DCA" w:rsidRDefault="00C264DD" w:rsidP="00443D38">
            <w:pPr>
              <w:tabs>
                <w:tab w:val="left" w:pos="8640"/>
                <w:tab w:val="left" w:pos="9180"/>
              </w:tabs>
              <w:spacing w:line="259" w:lineRule="auto"/>
              <w:ind w:left="450" w:hanging="419"/>
              <w:rPr>
                <w:rFonts w:eastAsia="Calibri"/>
                <w:color w:val="000000"/>
                <w:sz w:val="18"/>
                <w:szCs w:val="18"/>
              </w:rPr>
            </w:pPr>
            <w:r w:rsidRPr="000B2DCA">
              <w:rPr>
                <w:rFonts w:eastAsia="Calibri"/>
                <w:b/>
                <w:bCs/>
                <w:color w:val="000000"/>
                <w:sz w:val="18"/>
                <w:szCs w:val="18"/>
              </w:rPr>
              <w:t xml:space="preserve">National priority or goal: </w:t>
            </w:r>
            <w:r w:rsidRPr="000B2DCA">
              <w:rPr>
                <w:rFonts w:eastAsia="Calibri"/>
                <w:iCs/>
                <w:sz w:val="18"/>
                <w:szCs w:val="18"/>
              </w:rPr>
              <w:t>Sustainable development goals</w:t>
            </w:r>
            <w:r w:rsidR="001038DC">
              <w:rPr>
                <w:rFonts w:eastAsia="Calibri"/>
                <w:iCs/>
                <w:sz w:val="18"/>
                <w:szCs w:val="18"/>
              </w:rPr>
              <w:t xml:space="preserve"> (SDGs)</w:t>
            </w:r>
            <w:r w:rsidRPr="000B2DCA">
              <w:rPr>
                <w:rFonts w:eastAsia="Calibri"/>
                <w:iCs/>
                <w:sz w:val="18"/>
                <w:szCs w:val="18"/>
              </w:rPr>
              <w:t xml:space="preserve"> 1, 5, 6, 8, 10</w:t>
            </w:r>
            <w:r w:rsidR="00CD58A0" w:rsidRPr="000B2DCA">
              <w:rPr>
                <w:rFonts w:eastAsia="Calibri"/>
                <w:iCs/>
                <w:sz w:val="18"/>
                <w:szCs w:val="18"/>
              </w:rPr>
              <w:t xml:space="preserve"> and</w:t>
            </w:r>
            <w:r w:rsidRPr="000B2DCA">
              <w:rPr>
                <w:rFonts w:eastAsia="Calibri"/>
                <w:iCs/>
                <w:sz w:val="18"/>
                <w:szCs w:val="18"/>
              </w:rPr>
              <w:t xml:space="preserve"> 11;</w:t>
            </w:r>
            <w:r w:rsidR="00BC54AE" w:rsidRPr="000B2DCA">
              <w:rPr>
                <w:rFonts w:eastAsia="Calibri"/>
                <w:b/>
                <w:bCs/>
                <w:color w:val="000000"/>
                <w:sz w:val="18"/>
                <w:szCs w:val="18"/>
              </w:rPr>
              <w:t xml:space="preserve"> </w:t>
            </w:r>
            <w:r w:rsidRPr="000B2DCA">
              <w:rPr>
                <w:rFonts w:eastAsia="Calibri"/>
                <w:iCs/>
                <w:sz w:val="18"/>
                <w:szCs w:val="18"/>
              </w:rPr>
              <w:t>7FYP</w:t>
            </w:r>
            <w:r w:rsidR="00CD58A0" w:rsidRPr="001038DC">
              <w:rPr>
                <w:rStyle w:val="FootnoteReference"/>
                <w:rFonts w:eastAsia="Calibri"/>
                <w:iCs/>
                <w:sz w:val="18"/>
                <w:szCs w:val="18"/>
              </w:rPr>
              <w:footnoteReference w:id="27"/>
            </w:r>
            <w:r w:rsidRPr="001038DC">
              <w:rPr>
                <w:rFonts w:eastAsia="Calibri"/>
                <w:iCs/>
                <w:sz w:val="18"/>
                <w:szCs w:val="18"/>
              </w:rPr>
              <w:t xml:space="preserve"> OS2, OS13</w:t>
            </w:r>
            <w:r w:rsidR="00CD58A0" w:rsidRPr="001038DC">
              <w:rPr>
                <w:rFonts w:eastAsia="Calibri"/>
                <w:iCs/>
                <w:sz w:val="18"/>
                <w:szCs w:val="18"/>
              </w:rPr>
              <w:t xml:space="preserve"> and</w:t>
            </w:r>
            <w:r w:rsidRPr="001038DC">
              <w:rPr>
                <w:rFonts w:eastAsia="Calibri"/>
                <w:iCs/>
                <w:sz w:val="18"/>
                <w:szCs w:val="18"/>
              </w:rPr>
              <w:t xml:space="preserve"> OS10</w:t>
            </w:r>
          </w:p>
        </w:tc>
      </w:tr>
      <w:tr w:rsidR="00BC54AE" w:rsidRPr="00CD58A0" w14:paraId="5E5C4BC4" w14:textId="77777777" w:rsidTr="00443D38">
        <w:trPr>
          <w:gridAfter w:val="1"/>
          <w:wAfter w:w="26" w:type="pct"/>
        </w:trPr>
        <w:tc>
          <w:tcPr>
            <w:tcW w:w="4974" w:type="pct"/>
            <w:gridSpan w:val="5"/>
            <w:shd w:val="clear" w:color="auto" w:fill="auto"/>
            <w:tcMar>
              <w:top w:w="72" w:type="dxa"/>
              <w:left w:w="144" w:type="dxa"/>
              <w:bottom w:w="72" w:type="dxa"/>
              <w:right w:w="144" w:type="dxa"/>
            </w:tcMar>
          </w:tcPr>
          <w:p w14:paraId="025A542F" w14:textId="34E592A5" w:rsidR="00BC54AE" w:rsidRPr="000B2DCA" w:rsidRDefault="00BC54AE" w:rsidP="000C1B77">
            <w:pPr>
              <w:tabs>
                <w:tab w:val="left" w:pos="8640"/>
                <w:tab w:val="left" w:pos="9180"/>
              </w:tabs>
              <w:ind w:left="31"/>
              <w:rPr>
                <w:rFonts w:eastAsia="Calibri"/>
                <w:color w:val="000000"/>
                <w:sz w:val="18"/>
                <w:szCs w:val="18"/>
              </w:rPr>
            </w:pPr>
            <w:r w:rsidRPr="000B2DCA">
              <w:rPr>
                <w:rFonts w:eastAsia="Calibri"/>
                <w:b/>
                <w:bCs/>
                <w:color w:val="000000"/>
                <w:sz w:val="18"/>
                <w:szCs w:val="18"/>
              </w:rPr>
              <w:t>UNDAF (</w:t>
            </w:r>
            <w:r w:rsidR="00C264DD" w:rsidRPr="000B2DCA">
              <w:rPr>
                <w:rFonts w:eastAsia="Calibri"/>
                <w:b/>
                <w:bCs/>
                <w:color w:val="000000"/>
                <w:sz w:val="18"/>
                <w:szCs w:val="18"/>
              </w:rPr>
              <w:t xml:space="preserve">or equivalent) outcome involving </w:t>
            </w:r>
            <w:r w:rsidRPr="000B2DCA">
              <w:rPr>
                <w:rFonts w:eastAsia="Calibri"/>
                <w:b/>
                <w:bCs/>
                <w:color w:val="000000"/>
                <w:sz w:val="18"/>
                <w:szCs w:val="18"/>
              </w:rPr>
              <w:t>UNDP</w:t>
            </w:r>
            <w:r w:rsidR="00CD58A0" w:rsidRPr="000B2DCA">
              <w:rPr>
                <w:rFonts w:eastAsia="Calibri"/>
                <w:b/>
                <w:bCs/>
                <w:color w:val="000000"/>
                <w:sz w:val="18"/>
                <w:szCs w:val="18"/>
              </w:rPr>
              <w:t>:</w:t>
            </w:r>
            <w:r w:rsidRPr="000B2DCA">
              <w:rPr>
                <w:rFonts w:eastAsia="Calibri"/>
                <w:b/>
                <w:bCs/>
                <w:color w:val="000000"/>
                <w:sz w:val="18"/>
                <w:szCs w:val="18"/>
              </w:rPr>
              <w:t xml:space="preserve"> </w:t>
            </w:r>
            <w:r w:rsidR="00C264DD" w:rsidRPr="000B2DCA">
              <w:rPr>
                <w:rFonts w:eastAsia="Calibri"/>
                <w:b/>
                <w:bCs/>
                <w:color w:val="000000"/>
                <w:sz w:val="18"/>
                <w:szCs w:val="18"/>
              </w:rPr>
              <w:t xml:space="preserve">No. </w:t>
            </w:r>
            <w:r w:rsidRPr="000B2DCA">
              <w:rPr>
                <w:rFonts w:eastAsia="Calibri"/>
                <w:b/>
                <w:bCs/>
                <w:color w:val="000000"/>
                <w:sz w:val="18"/>
                <w:szCs w:val="18"/>
              </w:rPr>
              <w:t>1</w:t>
            </w:r>
            <w:r w:rsidR="00B85F4D" w:rsidRPr="000B2DCA">
              <w:rPr>
                <w:rFonts w:eastAsia="Calibri"/>
                <w:b/>
                <w:bCs/>
                <w:color w:val="000000"/>
                <w:sz w:val="18"/>
                <w:szCs w:val="18"/>
              </w:rPr>
              <w:t>.</w:t>
            </w:r>
            <w:r w:rsidRPr="000B2DCA">
              <w:rPr>
                <w:rFonts w:eastAsia="Calibri"/>
                <w:color w:val="000000"/>
                <w:sz w:val="18"/>
                <w:szCs w:val="18"/>
              </w:rPr>
              <w:t xml:space="preserve"> </w:t>
            </w:r>
            <w:r w:rsidRPr="000B2DCA">
              <w:rPr>
                <w:rFonts w:eastAsia="Calibri"/>
                <w:iCs/>
                <w:sz w:val="18"/>
                <w:szCs w:val="18"/>
              </w:rPr>
              <w:t>Increase opportunities, especially for women and disadvantaged groups to contribute to and benefit from economic progress</w:t>
            </w:r>
          </w:p>
        </w:tc>
      </w:tr>
      <w:tr w:rsidR="00BC54AE" w:rsidRPr="00CD58A0" w14:paraId="6D6EDE22" w14:textId="77777777" w:rsidTr="00443D38">
        <w:trPr>
          <w:gridAfter w:val="1"/>
          <w:wAfter w:w="26" w:type="pct"/>
        </w:trPr>
        <w:tc>
          <w:tcPr>
            <w:tcW w:w="4974" w:type="pct"/>
            <w:gridSpan w:val="5"/>
            <w:shd w:val="clear" w:color="auto" w:fill="auto"/>
            <w:tcMar>
              <w:top w:w="72" w:type="dxa"/>
              <w:left w:w="144" w:type="dxa"/>
              <w:bottom w:w="72" w:type="dxa"/>
              <w:right w:w="144" w:type="dxa"/>
            </w:tcMar>
          </w:tcPr>
          <w:p w14:paraId="15D37CFE" w14:textId="5F4CEBEB" w:rsidR="00BC54AE" w:rsidRPr="000B2DCA" w:rsidRDefault="00C264DD" w:rsidP="000C1B77">
            <w:pPr>
              <w:tabs>
                <w:tab w:val="left" w:pos="8640"/>
                <w:tab w:val="left" w:pos="9180"/>
              </w:tabs>
              <w:ind w:left="450" w:hanging="419"/>
              <w:rPr>
                <w:rFonts w:eastAsia="Calibri"/>
                <w:b/>
                <w:bCs/>
                <w:color w:val="000000"/>
                <w:sz w:val="18"/>
                <w:szCs w:val="18"/>
              </w:rPr>
            </w:pPr>
            <w:r w:rsidRPr="000B2DCA">
              <w:rPr>
                <w:rFonts w:eastAsia="Calibri"/>
                <w:b/>
                <w:bCs/>
                <w:color w:val="000000"/>
                <w:sz w:val="18"/>
                <w:szCs w:val="18"/>
              </w:rPr>
              <w:t>Related strategic plan outcome</w:t>
            </w:r>
            <w:r w:rsidR="00BC54AE" w:rsidRPr="000B2DCA">
              <w:rPr>
                <w:rFonts w:eastAsia="Calibri"/>
                <w:b/>
                <w:bCs/>
                <w:color w:val="000000"/>
                <w:sz w:val="18"/>
                <w:szCs w:val="18"/>
              </w:rPr>
              <w:t xml:space="preserve">: </w:t>
            </w:r>
            <w:r w:rsidRPr="000B2DCA">
              <w:rPr>
                <w:rFonts w:eastAsia="Calibri"/>
                <w:b/>
                <w:bCs/>
                <w:color w:val="000000"/>
                <w:sz w:val="18"/>
                <w:szCs w:val="18"/>
              </w:rPr>
              <w:t>O</w:t>
            </w:r>
            <w:r w:rsidR="00BC54AE" w:rsidRPr="000B2DCA">
              <w:rPr>
                <w:rFonts w:eastAsia="Calibri"/>
                <w:b/>
                <w:bCs/>
                <w:color w:val="000000"/>
                <w:sz w:val="18"/>
                <w:szCs w:val="18"/>
              </w:rPr>
              <w:t>utcome 1</w:t>
            </w:r>
            <w:r w:rsidRPr="000B2DCA">
              <w:rPr>
                <w:rFonts w:eastAsia="Calibri"/>
                <w:b/>
                <w:bCs/>
                <w:color w:val="000000"/>
                <w:sz w:val="18"/>
                <w:szCs w:val="18"/>
              </w:rPr>
              <w:t>,</w:t>
            </w:r>
            <w:r w:rsidR="00BC54AE" w:rsidRPr="000B2DCA">
              <w:rPr>
                <w:rFonts w:eastAsia="Calibri"/>
                <w:b/>
                <w:bCs/>
                <w:color w:val="000000"/>
                <w:sz w:val="18"/>
                <w:szCs w:val="18"/>
              </w:rPr>
              <w:t xml:space="preserve"> </w:t>
            </w:r>
            <w:r w:rsidRPr="000B2DCA">
              <w:rPr>
                <w:rFonts w:eastAsia="Calibri"/>
                <w:b/>
                <w:bCs/>
                <w:color w:val="000000"/>
                <w:sz w:val="18"/>
                <w:szCs w:val="18"/>
              </w:rPr>
              <w:t>i</w:t>
            </w:r>
            <w:r w:rsidR="00BC54AE" w:rsidRPr="000B2DCA">
              <w:rPr>
                <w:rFonts w:eastAsia="Calibri"/>
                <w:b/>
                <w:bCs/>
                <w:color w:val="000000"/>
                <w:sz w:val="18"/>
                <w:szCs w:val="18"/>
              </w:rPr>
              <w:t>nclusive and sustainable growth and development (also outcome 4</w:t>
            </w:r>
            <w:r w:rsidRPr="000B2DCA">
              <w:rPr>
                <w:rFonts w:eastAsia="Calibri"/>
                <w:b/>
                <w:bCs/>
                <w:color w:val="000000"/>
                <w:sz w:val="18"/>
                <w:szCs w:val="18"/>
              </w:rPr>
              <w:t>,</w:t>
            </w:r>
            <w:r w:rsidR="00BC54AE" w:rsidRPr="000B2DCA">
              <w:rPr>
                <w:rFonts w:eastAsia="Calibri"/>
                <w:b/>
                <w:bCs/>
                <w:color w:val="000000"/>
                <w:sz w:val="18"/>
                <w:szCs w:val="18"/>
              </w:rPr>
              <w:t xml:space="preserve"> </w:t>
            </w:r>
            <w:r w:rsidRPr="000B2DCA">
              <w:rPr>
                <w:rFonts w:eastAsia="Calibri"/>
                <w:b/>
                <w:bCs/>
                <w:color w:val="000000"/>
                <w:sz w:val="18"/>
                <w:szCs w:val="18"/>
              </w:rPr>
              <w:t>g</w:t>
            </w:r>
            <w:r w:rsidR="00BC54AE" w:rsidRPr="000B2DCA">
              <w:rPr>
                <w:rFonts w:eastAsia="Calibri"/>
                <w:b/>
                <w:bCs/>
                <w:color w:val="000000"/>
                <w:sz w:val="18"/>
                <w:szCs w:val="18"/>
              </w:rPr>
              <w:t xml:space="preserve">ender </w:t>
            </w:r>
            <w:r w:rsidRPr="000B2DCA">
              <w:rPr>
                <w:rFonts w:eastAsia="Calibri"/>
                <w:b/>
                <w:bCs/>
                <w:color w:val="000000"/>
                <w:sz w:val="18"/>
                <w:szCs w:val="18"/>
              </w:rPr>
              <w:t>e</w:t>
            </w:r>
            <w:r w:rsidR="00BC54AE" w:rsidRPr="000B2DCA">
              <w:rPr>
                <w:rFonts w:eastAsia="Calibri"/>
                <w:b/>
                <w:bCs/>
                <w:color w:val="000000"/>
                <w:sz w:val="18"/>
                <w:szCs w:val="18"/>
              </w:rPr>
              <w:t xml:space="preserve">quality and </w:t>
            </w:r>
            <w:r w:rsidRPr="000B2DCA">
              <w:rPr>
                <w:rFonts w:eastAsia="Calibri"/>
                <w:b/>
                <w:bCs/>
                <w:color w:val="000000"/>
                <w:sz w:val="18"/>
                <w:szCs w:val="18"/>
              </w:rPr>
              <w:t>w</w:t>
            </w:r>
            <w:r w:rsidR="00BC54AE" w:rsidRPr="000B2DCA">
              <w:rPr>
                <w:rFonts w:eastAsia="Calibri"/>
                <w:b/>
                <w:bCs/>
                <w:color w:val="000000"/>
                <w:sz w:val="18"/>
                <w:szCs w:val="18"/>
              </w:rPr>
              <w:t>omen</w:t>
            </w:r>
            <w:r w:rsidRPr="000B2DCA">
              <w:rPr>
                <w:rFonts w:eastAsia="Calibri"/>
                <w:b/>
                <w:bCs/>
                <w:color w:val="000000"/>
                <w:sz w:val="18"/>
                <w:szCs w:val="18"/>
              </w:rPr>
              <w:t>’s</w:t>
            </w:r>
            <w:r w:rsidR="00BC54AE" w:rsidRPr="000B2DCA">
              <w:rPr>
                <w:rFonts w:eastAsia="Calibri"/>
                <w:b/>
                <w:bCs/>
                <w:color w:val="000000"/>
                <w:sz w:val="18"/>
                <w:szCs w:val="18"/>
              </w:rPr>
              <w:t xml:space="preserve"> </w:t>
            </w:r>
            <w:r w:rsidRPr="000B2DCA">
              <w:rPr>
                <w:rFonts w:eastAsia="Calibri"/>
                <w:b/>
                <w:bCs/>
                <w:color w:val="000000"/>
                <w:sz w:val="18"/>
                <w:szCs w:val="18"/>
              </w:rPr>
              <w:t>e</w:t>
            </w:r>
            <w:r w:rsidR="00BC54AE" w:rsidRPr="000B2DCA">
              <w:rPr>
                <w:rFonts w:eastAsia="Calibri"/>
                <w:b/>
                <w:bCs/>
                <w:color w:val="000000"/>
                <w:sz w:val="18"/>
                <w:szCs w:val="18"/>
              </w:rPr>
              <w:t>mpowerment)</w:t>
            </w:r>
          </w:p>
        </w:tc>
      </w:tr>
      <w:tr w:rsidR="00BC54AE" w:rsidRPr="00CD58A0" w14:paraId="02B1AF35" w14:textId="77777777" w:rsidTr="00443D38">
        <w:trPr>
          <w:gridAfter w:val="1"/>
          <w:wAfter w:w="26" w:type="pct"/>
        </w:trPr>
        <w:tc>
          <w:tcPr>
            <w:tcW w:w="872" w:type="pct"/>
            <w:shd w:val="clear" w:color="auto" w:fill="auto"/>
            <w:tcMar>
              <w:top w:w="72" w:type="dxa"/>
              <w:left w:w="144" w:type="dxa"/>
              <w:bottom w:w="72" w:type="dxa"/>
              <w:right w:w="144" w:type="dxa"/>
            </w:tcMar>
            <w:vAlign w:val="center"/>
          </w:tcPr>
          <w:p w14:paraId="514CB197" w14:textId="25038EC8" w:rsidR="00BC54AE" w:rsidRPr="000B2DCA" w:rsidRDefault="00BC54AE" w:rsidP="000C1B77">
            <w:pPr>
              <w:tabs>
                <w:tab w:val="left" w:pos="8640"/>
                <w:tab w:val="left" w:pos="9180"/>
              </w:tabs>
              <w:rPr>
                <w:rFonts w:eastAsia="Calibri"/>
                <w:color w:val="000000"/>
                <w:sz w:val="18"/>
                <w:szCs w:val="18"/>
              </w:rPr>
            </w:pPr>
            <w:r w:rsidRPr="000B2DCA">
              <w:rPr>
                <w:rFonts w:eastAsia="Calibri"/>
                <w:b/>
                <w:bCs/>
                <w:color w:val="000000"/>
                <w:sz w:val="18"/>
                <w:szCs w:val="18"/>
              </w:rPr>
              <w:t xml:space="preserve">UNDAF </w:t>
            </w:r>
            <w:r w:rsidR="00C264DD" w:rsidRPr="000B2DCA">
              <w:rPr>
                <w:rFonts w:eastAsia="Calibri"/>
                <w:b/>
                <w:bCs/>
                <w:color w:val="000000"/>
                <w:sz w:val="18"/>
                <w:szCs w:val="18"/>
              </w:rPr>
              <w:t>outcome indicator(s), baselines and target(s)</w:t>
            </w:r>
          </w:p>
        </w:tc>
        <w:tc>
          <w:tcPr>
            <w:tcW w:w="667" w:type="pct"/>
            <w:shd w:val="clear" w:color="auto" w:fill="auto"/>
            <w:vAlign w:val="center"/>
          </w:tcPr>
          <w:p w14:paraId="0645D5C9" w14:textId="10E4ACF5" w:rsidR="00BC54AE" w:rsidRPr="000B2DCA" w:rsidRDefault="00C264DD" w:rsidP="000C1B77">
            <w:pPr>
              <w:tabs>
                <w:tab w:val="left" w:pos="900"/>
                <w:tab w:val="left" w:pos="990"/>
                <w:tab w:val="left" w:pos="8640"/>
                <w:tab w:val="left" w:pos="9180"/>
              </w:tabs>
              <w:ind w:left="36"/>
              <w:rPr>
                <w:rFonts w:eastAsia="Calibri"/>
                <w:b/>
                <w:color w:val="000000"/>
                <w:sz w:val="18"/>
                <w:szCs w:val="18"/>
              </w:rPr>
            </w:pPr>
            <w:r w:rsidRPr="000B2DCA">
              <w:rPr>
                <w:rFonts w:eastAsia="Calibri"/>
                <w:b/>
                <w:color w:val="000000"/>
                <w:sz w:val="18"/>
                <w:szCs w:val="18"/>
              </w:rPr>
              <w:t>Data source and frequency of data collection, and responsibilities</w:t>
            </w:r>
          </w:p>
        </w:tc>
        <w:tc>
          <w:tcPr>
            <w:tcW w:w="2255" w:type="pct"/>
            <w:shd w:val="clear" w:color="auto" w:fill="auto"/>
            <w:tcMar>
              <w:top w:w="72" w:type="dxa"/>
              <w:left w:w="144" w:type="dxa"/>
              <w:bottom w:w="72" w:type="dxa"/>
              <w:right w:w="144" w:type="dxa"/>
            </w:tcMar>
            <w:vAlign w:val="center"/>
          </w:tcPr>
          <w:p w14:paraId="36972E51" w14:textId="77777777" w:rsidR="00C264DD" w:rsidRPr="000B2DCA" w:rsidRDefault="00C264DD" w:rsidP="000C1B77">
            <w:pPr>
              <w:tabs>
                <w:tab w:val="left" w:pos="900"/>
                <w:tab w:val="left" w:pos="990"/>
                <w:tab w:val="left" w:pos="8640"/>
                <w:tab w:val="left" w:pos="9180"/>
              </w:tabs>
              <w:ind w:left="450" w:hanging="419"/>
              <w:jc w:val="center"/>
              <w:rPr>
                <w:rFonts w:eastAsia="Calibri"/>
                <w:b/>
                <w:bCs/>
                <w:color w:val="000000"/>
                <w:sz w:val="18"/>
                <w:szCs w:val="18"/>
              </w:rPr>
            </w:pPr>
            <w:r w:rsidRPr="000B2DCA">
              <w:rPr>
                <w:rFonts w:eastAsia="Calibri"/>
                <w:b/>
                <w:bCs/>
                <w:color w:val="000000"/>
                <w:sz w:val="18"/>
                <w:szCs w:val="18"/>
              </w:rPr>
              <w:t xml:space="preserve">Indicative country programme outputs </w:t>
            </w:r>
          </w:p>
          <w:p w14:paraId="40273106" w14:textId="7490074E" w:rsidR="00BC54AE" w:rsidRPr="000B2DCA" w:rsidRDefault="00BC54AE" w:rsidP="000C1B77">
            <w:pPr>
              <w:tabs>
                <w:tab w:val="left" w:pos="900"/>
                <w:tab w:val="left" w:pos="990"/>
                <w:tab w:val="left" w:pos="8640"/>
                <w:tab w:val="left" w:pos="9180"/>
              </w:tabs>
              <w:ind w:left="450" w:hanging="419"/>
              <w:jc w:val="center"/>
              <w:rPr>
                <w:rFonts w:eastAsia="Calibri"/>
                <w:color w:val="000000"/>
                <w:sz w:val="18"/>
                <w:szCs w:val="18"/>
              </w:rPr>
            </w:pPr>
            <w:r w:rsidRPr="000B2DCA">
              <w:rPr>
                <w:rFonts w:eastAsia="Calibri"/>
                <w:b/>
                <w:bCs/>
                <w:color w:val="000000"/>
                <w:sz w:val="18"/>
                <w:szCs w:val="18"/>
              </w:rPr>
              <w:t xml:space="preserve">(including indicators, baselines </w:t>
            </w:r>
            <w:r w:rsidR="00C264DD" w:rsidRPr="000B2DCA">
              <w:rPr>
                <w:rFonts w:eastAsia="Calibri"/>
                <w:b/>
                <w:bCs/>
                <w:color w:val="000000"/>
                <w:sz w:val="18"/>
                <w:szCs w:val="18"/>
              </w:rPr>
              <w:t xml:space="preserve">and </w:t>
            </w:r>
            <w:r w:rsidRPr="000B2DCA">
              <w:rPr>
                <w:rFonts w:eastAsia="Calibri"/>
                <w:b/>
                <w:bCs/>
                <w:color w:val="000000"/>
                <w:sz w:val="18"/>
                <w:szCs w:val="18"/>
              </w:rPr>
              <w:t>targets)</w:t>
            </w:r>
          </w:p>
        </w:tc>
        <w:tc>
          <w:tcPr>
            <w:tcW w:w="615" w:type="pct"/>
            <w:shd w:val="clear" w:color="auto" w:fill="auto"/>
            <w:vAlign w:val="center"/>
          </w:tcPr>
          <w:p w14:paraId="3A908514" w14:textId="14896487" w:rsidR="00BC54AE" w:rsidRPr="000B2DCA" w:rsidRDefault="00C264DD" w:rsidP="000C1B77">
            <w:pPr>
              <w:tabs>
                <w:tab w:val="left" w:pos="900"/>
                <w:tab w:val="left" w:pos="990"/>
                <w:tab w:val="left" w:pos="8640"/>
                <w:tab w:val="left" w:pos="9180"/>
              </w:tabs>
              <w:ind w:left="52"/>
              <w:rPr>
                <w:rFonts w:eastAsia="Calibri"/>
                <w:b/>
                <w:bCs/>
                <w:color w:val="000000"/>
                <w:sz w:val="18"/>
                <w:szCs w:val="18"/>
              </w:rPr>
            </w:pPr>
            <w:r w:rsidRPr="000B2DCA">
              <w:rPr>
                <w:rFonts w:eastAsia="Calibri"/>
                <w:b/>
                <w:bCs/>
                <w:color w:val="000000"/>
                <w:sz w:val="18"/>
                <w:szCs w:val="18"/>
              </w:rPr>
              <w:t>Major partners, partnerships and</w:t>
            </w:r>
          </w:p>
          <w:p w14:paraId="554E1832" w14:textId="75E248A9" w:rsidR="00BC54AE" w:rsidRPr="000B2DCA" w:rsidRDefault="00C264DD" w:rsidP="000C1B77">
            <w:pPr>
              <w:tabs>
                <w:tab w:val="left" w:pos="900"/>
                <w:tab w:val="left" w:pos="990"/>
                <w:tab w:val="left" w:pos="8640"/>
                <w:tab w:val="left" w:pos="9180"/>
              </w:tabs>
              <w:ind w:left="52"/>
              <w:rPr>
                <w:rFonts w:eastAsia="Calibri"/>
                <w:b/>
                <w:bCs/>
                <w:color w:val="000000"/>
                <w:sz w:val="18"/>
                <w:szCs w:val="18"/>
              </w:rPr>
            </w:pPr>
            <w:r w:rsidRPr="000B2DCA">
              <w:rPr>
                <w:rFonts w:eastAsia="Calibri"/>
                <w:b/>
                <w:bCs/>
                <w:color w:val="000000"/>
                <w:sz w:val="18"/>
                <w:szCs w:val="18"/>
              </w:rPr>
              <w:t>frameworks</w:t>
            </w:r>
          </w:p>
        </w:tc>
        <w:tc>
          <w:tcPr>
            <w:tcW w:w="565" w:type="pct"/>
            <w:shd w:val="clear" w:color="auto" w:fill="auto"/>
            <w:tcMar>
              <w:top w:w="15" w:type="dxa"/>
              <w:left w:w="108" w:type="dxa"/>
              <w:bottom w:w="0" w:type="dxa"/>
              <w:right w:w="108" w:type="dxa"/>
            </w:tcMar>
            <w:vAlign w:val="center"/>
          </w:tcPr>
          <w:p w14:paraId="56A7FB09" w14:textId="77777777" w:rsidR="00F82BC8" w:rsidRPr="000B2DCA" w:rsidRDefault="00C264DD" w:rsidP="0009295E">
            <w:pPr>
              <w:tabs>
                <w:tab w:val="left" w:pos="900"/>
                <w:tab w:val="left" w:pos="990"/>
                <w:tab w:val="left" w:pos="8640"/>
                <w:tab w:val="left" w:pos="9180"/>
              </w:tabs>
              <w:ind w:left="19"/>
              <w:rPr>
                <w:rFonts w:eastAsia="Calibri"/>
                <w:b/>
                <w:bCs/>
                <w:color w:val="000000"/>
                <w:sz w:val="18"/>
                <w:szCs w:val="18"/>
              </w:rPr>
            </w:pPr>
            <w:r w:rsidRPr="000B2DCA">
              <w:rPr>
                <w:rFonts w:eastAsia="Calibri"/>
                <w:b/>
                <w:bCs/>
                <w:color w:val="000000"/>
                <w:sz w:val="18"/>
                <w:szCs w:val="18"/>
              </w:rPr>
              <w:t xml:space="preserve">Indicative resources by outcome </w:t>
            </w:r>
          </w:p>
          <w:p w14:paraId="30031E64" w14:textId="050A6F63" w:rsidR="00BC54AE" w:rsidRPr="000B2DCA" w:rsidRDefault="00C264DD" w:rsidP="0009295E">
            <w:pPr>
              <w:tabs>
                <w:tab w:val="left" w:pos="900"/>
                <w:tab w:val="left" w:pos="990"/>
                <w:tab w:val="left" w:pos="8640"/>
                <w:tab w:val="left" w:pos="9180"/>
              </w:tabs>
              <w:ind w:left="19"/>
              <w:rPr>
                <w:rFonts w:eastAsia="Calibri"/>
                <w:b/>
                <w:bCs/>
                <w:color w:val="000000"/>
                <w:sz w:val="18"/>
                <w:szCs w:val="18"/>
              </w:rPr>
            </w:pPr>
            <w:r w:rsidRPr="000B2DCA">
              <w:rPr>
                <w:rFonts w:eastAsia="Calibri"/>
                <w:b/>
                <w:bCs/>
                <w:color w:val="000000"/>
                <w:sz w:val="18"/>
                <w:szCs w:val="18"/>
              </w:rPr>
              <w:t>(in dollars</w:t>
            </w:r>
            <w:r w:rsidR="00F82BC8" w:rsidRPr="000B2DCA">
              <w:rPr>
                <w:rFonts w:eastAsia="Calibri"/>
                <w:b/>
                <w:bCs/>
                <w:color w:val="000000"/>
                <w:sz w:val="18"/>
                <w:szCs w:val="18"/>
              </w:rPr>
              <w:t>)</w:t>
            </w:r>
          </w:p>
        </w:tc>
      </w:tr>
      <w:tr w:rsidR="00BC54AE" w:rsidRPr="00CD58A0" w14:paraId="6C6E3E26" w14:textId="77777777" w:rsidTr="00443D38">
        <w:trPr>
          <w:gridAfter w:val="1"/>
          <w:wAfter w:w="26" w:type="pct"/>
        </w:trPr>
        <w:tc>
          <w:tcPr>
            <w:tcW w:w="872" w:type="pct"/>
            <w:tcMar>
              <w:top w:w="72" w:type="dxa"/>
              <w:left w:w="144" w:type="dxa"/>
              <w:bottom w:w="72" w:type="dxa"/>
              <w:right w:w="144" w:type="dxa"/>
            </w:tcMar>
          </w:tcPr>
          <w:p w14:paraId="759B45AA" w14:textId="54DA6434" w:rsidR="00BC54AE" w:rsidRPr="000B2DCA" w:rsidRDefault="00B85F4D" w:rsidP="000B2DCA">
            <w:pPr>
              <w:tabs>
                <w:tab w:val="left" w:pos="900"/>
                <w:tab w:val="left" w:pos="990"/>
                <w:tab w:val="left" w:pos="8640"/>
                <w:tab w:val="left" w:pos="9180"/>
              </w:tabs>
              <w:ind w:left="31"/>
              <w:rPr>
                <w:rFonts w:eastAsia="Calibri"/>
                <w:sz w:val="18"/>
                <w:szCs w:val="18"/>
              </w:rPr>
            </w:pPr>
            <w:r w:rsidRPr="000B2DCA">
              <w:rPr>
                <w:rFonts w:eastAsia="Calibri"/>
                <w:b/>
                <w:iCs/>
                <w:sz w:val="18"/>
                <w:szCs w:val="18"/>
              </w:rPr>
              <w:t>Percentage</w:t>
            </w:r>
            <w:r w:rsidR="00BC54AE" w:rsidRPr="000B2DCA">
              <w:rPr>
                <w:rFonts w:eastAsia="Calibri"/>
                <w:b/>
                <w:iCs/>
                <w:sz w:val="18"/>
                <w:szCs w:val="18"/>
              </w:rPr>
              <w:t xml:space="preserve"> of population in severe multi</w:t>
            </w:r>
            <w:r w:rsidR="006E468A">
              <w:rPr>
                <w:rFonts w:eastAsia="Calibri"/>
                <w:b/>
                <w:iCs/>
                <w:sz w:val="18"/>
                <w:szCs w:val="18"/>
              </w:rPr>
              <w:t>-</w:t>
            </w:r>
            <w:r w:rsidR="00BC54AE" w:rsidRPr="000B2DCA">
              <w:rPr>
                <w:rFonts w:eastAsia="Calibri"/>
                <w:b/>
                <w:iCs/>
                <w:sz w:val="18"/>
                <w:szCs w:val="18"/>
              </w:rPr>
              <w:t>dimensional poverty</w:t>
            </w:r>
            <w:r w:rsidR="00BC54AE" w:rsidRPr="000B2DCA">
              <w:rPr>
                <w:rFonts w:eastAsia="Calibri"/>
                <w:iCs/>
                <w:sz w:val="18"/>
                <w:szCs w:val="18"/>
                <w:vertAlign w:val="superscript"/>
              </w:rPr>
              <w:footnoteReference w:id="28"/>
            </w:r>
            <w:r w:rsidR="00BC54AE" w:rsidRPr="000B2DCA">
              <w:rPr>
                <w:rFonts w:eastAsia="Calibri"/>
                <w:iCs/>
                <w:sz w:val="18"/>
                <w:szCs w:val="18"/>
              </w:rPr>
              <w:t xml:space="preserve">; </w:t>
            </w:r>
            <w:r w:rsidR="006E468A">
              <w:rPr>
                <w:rFonts w:eastAsia="Calibri"/>
                <w:iCs/>
                <w:sz w:val="18"/>
                <w:szCs w:val="18"/>
              </w:rPr>
              <w:t>B</w:t>
            </w:r>
            <w:r w:rsidRPr="000B2DCA">
              <w:rPr>
                <w:rFonts w:eastAsia="Calibri"/>
                <w:iCs/>
                <w:sz w:val="18"/>
                <w:szCs w:val="18"/>
              </w:rPr>
              <w:t xml:space="preserve">aseline (2012-13): 17,4%, rural: 19.5%, urban: 9.3% </w:t>
            </w:r>
            <w:r w:rsidR="006E468A">
              <w:rPr>
                <w:rFonts w:eastAsia="Calibri"/>
                <w:iCs/>
                <w:sz w:val="18"/>
                <w:szCs w:val="18"/>
              </w:rPr>
              <w:t>T</w:t>
            </w:r>
            <w:r w:rsidRPr="000B2DCA">
              <w:rPr>
                <w:rFonts w:eastAsia="Calibri"/>
                <w:iCs/>
                <w:sz w:val="18"/>
                <w:szCs w:val="18"/>
              </w:rPr>
              <w:t xml:space="preserve">arget (2020): 11%, rural: 13.5%, urban: 6%; </w:t>
            </w:r>
            <w:r w:rsidR="00BC54AE" w:rsidRPr="000B2DCA">
              <w:rPr>
                <w:rFonts w:eastAsia="Calibri"/>
                <w:sz w:val="18"/>
                <w:szCs w:val="18"/>
              </w:rPr>
              <w:t>(SDG</w:t>
            </w:r>
            <w:r w:rsidR="006E468A">
              <w:rPr>
                <w:rStyle w:val="FootnoteReference"/>
                <w:rFonts w:eastAsia="Calibri"/>
                <w:sz w:val="18"/>
                <w:szCs w:val="18"/>
              </w:rPr>
              <w:footnoteReference w:id="29"/>
            </w:r>
            <w:r w:rsidR="00BC54AE" w:rsidRPr="000B2DCA">
              <w:rPr>
                <w:rFonts w:eastAsia="Calibri"/>
                <w:sz w:val="18"/>
                <w:szCs w:val="18"/>
              </w:rPr>
              <w:t xml:space="preserve"> 1.2.1)</w:t>
            </w:r>
          </w:p>
          <w:p w14:paraId="60CC7A8D" w14:textId="7924B16A" w:rsidR="00BC54AE" w:rsidRPr="000B2DCA" w:rsidRDefault="00BC54AE" w:rsidP="000B2DCA">
            <w:pPr>
              <w:tabs>
                <w:tab w:val="left" w:pos="900"/>
                <w:tab w:val="left" w:pos="990"/>
                <w:tab w:val="left" w:pos="8640"/>
                <w:tab w:val="left" w:pos="9180"/>
              </w:tabs>
              <w:ind w:left="31"/>
              <w:rPr>
                <w:rFonts w:eastAsia="Calibri"/>
                <w:iCs/>
                <w:sz w:val="18"/>
                <w:szCs w:val="18"/>
              </w:rPr>
            </w:pPr>
            <w:r w:rsidRPr="000B2DCA">
              <w:rPr>
                <w:rFonts w:eastAsia="Calibri"/>
                <w:b/>
                <w:iCs/>
                <w:sz w:val="18"/>
                <w:szCs w:val="18"/>
              </w:rPr>
              <w:t>Number of people above 15 years of age who report that they have been in gainful employment for at least one hour in the previous week</w:t>
            </w:r>
            <w:r w:rsidRPr="000B2DCA">
              <w:rPr>
                <w:rFonts w:eastAsia="Calibri"/>
                <w:iCs/>
                <w:sz w:val="18"/>
                <w:szCs w:val="18"/>
              </w:rPr>
              <w:t>; Baseline (2014): 72,6</w:t>
            </w:r>
            <w:r w:rsidR="00FD3EC1" w:rsidRPr="000B2DCA">
              <w:rPr>
                <w:rFonts w:eastAsia="Calibri"/>
                <w:iCs/>
                <w:sz w:val="18"/>
                <w:szCs w:val="18"/>
              </w:rPr>
              <w:t xml:space="preserve"> </w:t>
            </w:r>
            <w:r w:rsidRPr="000B2DCA">
              <w:rPr>
                <w:rFonts w:eastAsia="Calibri"/>
                <w:iCs/>
                <w:sz w:val="18"/>
                <w:szCs w:val="18"/>
              </w:rPr>
              <w:t>m</w:t>
            </w:r>
            <w:r w:rsidR="00FD3EC1" w:rsidRPr="000B2DCA">
              <w:rPr>
                <w:rFonts w:eastAsia="Calibri"/>
                <w:iCs/>
                <w:sz w:val="18"/>
                <w:szCs w:val="18"/>
              </w:rPr>
              <w:t>illion</w:t>
            </w:r>
            <w:r w:rsidRPr="000B2DCA">
              <w:rPr>
                <w:rFonts w:eastAsia="Calibri"/>
                <w:iCs/>
                <w:sz w:val="18"/>
                <w:szCs w:val="18"/>
              </w:rPr>
              <w:t xml:space="preserve"> (women:</w:t>
            </w:r>
            <w:r w:rsidR="0061291A" w:rsidRPr="000B2DCA">
              <w:rPr>
                <w:rFonts w:eastAsia="Calibri"/>
                <w:iCs/>
                <w:sz w:val="18"/>
                <w:szCs w:val="18"/>
              </w:rPr>
              <w:t xml:space="preserve"> </w:t>
            </w:r>
            <w:r w:rsidRPr="000B2DCA">
              <w:rPr>
                <w:rFonts w:eastAsia="Calibri"/>
                <w:iCs/>
                <w:sz w:val="18"/>
                <w:szCs w:val="18"/>
              </w:rPr>
              <w:t>29</w:t>
            </w:r>
            <w:r w:rsidR="00FD3EC1" w:rsidRPr="000B2DCA">
              <w:rPr>
                <w:rFonts w:eastAsia="Calibri"/>
                <w:iCs/>
                <w:sz w:val="18"/>
                <w:szCs w:val="18"/>
              </w:rPr>
              <w:t xml:space="preserve"> </w:t>
            </w:r>
            <w:r w:rsidRPr="000B2DCA">
              <w:rPr>
                <w:rFonts w:eastAsia="Calibri"/>
                <w:iCs/>
                <w:sz w:val="18"/>
                <w:szCs w:val="18"/>
              </w:rPr>
              <w:t>m</w:t>
            </w:r>
            <w:r w:rsidR="00FD3EC1" w:rsidRPr="000B2DCA">
              <w:rPr>
                <w:rFonts w:eastAsia="Calibri"/>
                <w:iCs/>
                <w:sz w:val="18"/>
                <w:szCs w:val="18"/>
              </w:rPr>
              <w:t>illion</w:t>
            </w:r>
            <w:r w:rsidRPr="000B2DCA">
              <w:rPr>
                <w:rFonts w:eastAsia="Calibri"/>
                <w:iCs/>
                <w:sz w:val="18"/>
                <w:szCs w:val="18"/>
              </w:rPr>
              <w:t>, men:</w:t>
            </w:r>
            <w:r w:rsidR="0061291A" w:rsidRPr="000B2DCA">
              <w:rPr>
                <w:rFonts w:eastAsia="Calibri"/>
                <w:iCs/>
                <w:sz w:val="18"/>
                <w:szCs w:val="18"/>
              </w:rPr>
              <w:t xml:space="preserve"> </w:t>
            </w:r>
            <w:r w:rsidRPr="000B2DCA">
              <w:rPr>
                <w:rFonts w:eastAsia="Calibri"/>
                <w:iCs/>
                <w:sz w:val="18"/>
                <w:szCs w:val="18"/>
              </w:rPr>
              <w:t>42</w:t>
            </w:r>
            <w:r w:rsidR="00FD3EC1" w:rsidRPr="000B2DCA">
              <w:rPr>
                <w:rFonts w:eastAsia="Calibri"/>
                <w:iCs/>
                <w:sz w:val="18"/>
                <w:szCs w:val="18"/>
              </w:rPr>
              <w:t xml:space="preserve"> </w:t>
            </w:r>
            <w:r w:rsidRPr="000B2DCA">
              <w:rPr>
                <w:rFonts w:eastAsia="Calibri"/>
                <w:iCs/>
                <w:sz w:val="18"/>
                <w:szCs w:val="18"/>
              </w:rPr>
              <w:t>m</w:t>
            </w:r>
            <w:r w:rsidR="00FD3EC1" w:rsidRPr="000B2DCA">
              <w:rPr>
                <w:rFonts w:eastAsia="Calibri"/>
                <w:iCs/>
                <w:sz w:val="18"/>
                <w:szCs w:val="18"/>
              </w:rPr>
              <w:t>illion</w:t>
            </w:r>
            <w:r w:rsidR="0061291A" w:rsidRPr="000B2DCA">
              <w:rPr>
                <w:rFonts w:eastAsia="Calibri"/>
                <w:iCs/>
                <w:sz w:val="18"/>
                <w:szCs w:val="18"/>
              </w:rPr>
              <w:t xml:space="preserve">); </w:t>
            </w:r>
            <w:r w:rsidR="00FD3EC1" w:rsidRPr="000B2DCA">
              <w:rPr>
                <w:rFonts w:eastAsia="Calibri"/>
                <w:iCs/>
                <w:sz w:val="18"/>
                <w:szCs w:val="18"/>
              </w:rPr>
              <w:t>t</w:t>
            </w:r>
            <w:r w:rsidRPr="000B2DCA">
              <w:rPr>
                <w:rFonts w:eastAsia="Calibri"/>
                <w:iCs/>
                <w:sz w:val="18"/>
                <w:szCs w:val="18"/>
              </w:rPr>
              <w:t>arget 2020: 75</w:t>
            </w:r>
            <w:r w:rsidR="00FD3EC1" w:rsidRPr="000B2DCA">
              <w:rPr>
                <w:rFonts w:eastAsia="Calibri"/>
                <w:iCs/>
                <w:sz w:val="18"/>
                <w:szCs w:val="18"/>
              </w:rPr>
              <w:t xml:space="preserve"> </w:t>
            </w:r>
            <w:r w:rsidRPr="000B2DCA">
              <w:rPr>
                <w:rFonts w:eastAsia="Calibri"/>
                <w:iCs/>
                <w:sz w:val="18"/>
                <w:szCs w:val="18"/>
              </w:rPr>
              <w:t>m</w:t>
            </w:r>
            <w:r w:rsidR="00FD3EC1" w:rsidRPr="000B2DCA">
              <w:rPr>
                <w:rFonts w:eastAsia="Calibri"/>
                <w:iCs/>
                <w:sz w:val="18"/>
                <w:szCs w:val="18"/>
              </w:rPr>
              <w:t>illion</w:t>
            </w:r>
            <w:r w:rsidRPr="000B2DCA">
              <w:rPr>
                <w:rFonts w:eastAsia="Calibri"/>
                <w:iCs/>
                <w:sz w:val="18"/>
                <w:szCs w:val="18"/>
              </w:rPr>
              <w:t xml:space="preserve"> (women 30</w:t>
            </w:r>
            <w:r w:rsidR="00FD3EC1" w:rsidRPr="000B2DCA">
              <w:rPr>
                <w:rFonts w:eastAsia="Calibri"/>
                <w:iCs/>
                <w:sz w:val="18"/>
                <w:szCs w:val="18"/>
              </w:rPr>
              <w:t xml:space="preserve"> </w:t>
            </w:r>
            <w:r w:rsidRPr="000B2DCA">
              <w:rPr>
                <w:rFonts w:eastAsia="Calibri"/>
                <w:iCs/>
                <w:sz w:val="18"/>
                <w:szCs w:val="18"/>
              </w:rPr>
              <w:t>m</w:t>
            </w:r>
            <w:r w:rsidR="00FD3EC1" w:rsidRPr="000B2DCA">
              <w:rPr>
                <w:rFonts w:eastAsia="Calibri"/>
                <w:iCs/>
                <w:sz w:val="18"/>
                <w:szCs w:val="18"/>
              </w:rPr>
              <w:t>illion</w:t>
            </w:r>
            <w:r w:rsidRPr="000B2DCA">
              <w:rPr>
                <w:rFonts w:eastAsia="Calibri"/>
                <w:iCs/>
                <w:sz w:val="18"/>
                <w:szCs w:val="18"/>
              </w:rPr>
              <w:t>, men:45</w:t>
            </w:r>
            <w:r w:rsidR="00FD3EC1" w:rsidRPr="000B2DCA">
              <w:rPr>
                <w:rFonts w:eastAsia="Calibri"/>
                <w:iCs/>
                <w:sz w:val="18"/>
                <w:szCs w:val="18"/>
              </w:rPr>
              <w:t xml:space="preserve"> </w:t>
            </w:r>
            <w:r w:rsidRPr="000B2DCA">
              <w:rPr>
                <w:rFonts w:eastAsia="Calibri"/>
                <w:iCs/>
                <w:sz w:val="18"/>
                <w:szCs w:val="18"/>
              </w:rPr>
              <w:t>m</w:t>
            </w:r>
            <w:r w:rsidR="00FD3EC1" w:rsidRPr="000B2DCA">
              <w:rPr>
                <w:rFonts w:eastAsia="Calibri"/>
                <w:iCs/>
                <w:sz w:val="18"/>
                <w:szCs w:val="18"/>
              </w:rPr>
              <w:t>illion</w:t>
            </w:r>
            <w:r w:rsidRPr="000B2DCA">
              <w:rPr>
                <w:rFonts w:eastAsia="Calibri"/>
                <w:iCs/>
                <w:sz w:val="18"/>
                <w:szCs w:val="18"/>
              </w:rPr>
              <w:t>)</w:t>
            </w:r>
            <w:r w:rsidR="00A85CAE" w:rsidRPr="000B2DCA">
              <w:rPr>
                <w:rFonts w:eastAsia="Calibri"/>
                <w:iCs/>
                <w:sz w:val="18"/>
                <w:szCs w:val="18"/>
              </w:rPr>
              <w:t xml:space="preserve"> </w:t>
            </w:r>
            <w:r w:rsidRPr="000B2DCA">
              <w:rPr>
                <w:rFonts w:eastAsia="Calibri"/>
                <w:iCs/>
                <w:sz w:val="18"/>
                <w:szCs w:val="18"/>
              </w:rPr>
              <w:t>(S</w:t>
            </w:r>
            <w:r w:rsidR="00FD3EC1" w:rsidRPr="000B2DCA">
              <w:rPr>
                <w:rFonts w:eastAsia="Calibri"/>
                <w:iCs/>
                <w:sz w:val="18"/>
                <w:szCs w:val="18"/>
              </w:rPr>
              <w:t>trategic plan</w:t>
            </w:r>
            <w:r w:rsidRPr="000B2DCA">
              <w:rPr>
                <w:rFonts w:eastAsia="Calibri"/>
                <w:iCs/>
                <w:sz w:val="18"/>
                <w:szCs w:val="18"/>
              </w:rPr>
              <w:t xml:space="preserve"> IRRF 1.1.A.3.1)</w:t>
            </w:r>
          </w:p>
          <w:p w14:paraId="1F866471" w14:textId="52CBD04A" w:rsidR="00BC54AE" w:rsidRPr="000B2DCA" w:rsidRDefault="008F38C9" w:rsidP="000B2DCA">
            <w:pPr>
              <w:tabs>
                <w:tab w:val="left" w:pos="900"/>
                <w:tab w:val="left" w:pos="990"/>
                <w:tab w:val="left" w:pos="8640"/>
                <w:tab w:val="left" w:pos="9180"/>
              </w:tabs>
              <w:rPr>
                <w:rFonts w:eastAsia="Calibri"/>
                <w:iCs/>
                <w:sz w:val="18"/>
                <w:szCs w:val="18"/>
              </w:rPr>
            </w:pPr>
            <w:hyperlink r:id="rId26" w:history="1">
              <w:r w:rsidR="00BC54AE" w:rsidRPr="000B2DCA">
                <w:rPr>
                  <w:rFonts w:eastAsia="Calibri"/>
                  <w:b/>
                  <w:iCs/>
                  <w:sz w:val="18"/>
                  <w:szCs w:val="18"/>
                </w:rPr>
                <w:t>Ge</w:t>
              </w:r>
              <w:r w:rsidR="00BC54AE" w:rsidRPr="000B2DCA">
                <w:rPr>
                  <w:rFonts w:eastAsia="Calibri"/>
                  <w:b/>
                  <w:iCs/>
                  <w:color w:val="000000"/>
                  <w:sz w:val="18"/>
                  <w:szCs w:val="18"/>
                </w:rPr>
                <w:t>nder Inequality Index</w:t>
              </w:r>
            </w:hyperlink>
            <w:r w:rsidR="0061291A" w:rsidRPr="000B2DCA">
              <w:rPr>
                <w:rFonts w:eastAsia="Calibri"/>
                <w:iCs/>
                <w:sz w:val="18"/>
                <w:szCs w:val="18"/>
              </w:rPr>
              <w:t xml:space="preserve"> </w:t>
            </w:r>
            <w:r w:rsidR="00123FAE" w:rsidRPr="00123FAE">
              <w:rPr>
                <w:rFonts w:eastAsia="Calibri"/>
                <w:iCs/>
                <w:sz w:val="18"/>
                <w:szCs w:val="18"/>
              </w:rPr>
              <w:t>B</w:t>
            </w:r>
            <w:r w:rsidR="00BC54AE" w:rsidRPr="000B2DCA">
              <w:rPr>
                <w:rFonts w:eastAsia="Calibri"/>
                <w:iCs/>
                <w:sz w:val="18"/>
                <w:szCs w:val="18"/>
              </w:rPr>
              <w:t>aseline (2014)</w:t>
            </w:r>
            <w:r w:rsidR="00BC54AE" w:rsidRPr="000B2DCA">
              <w:rPr>
                <w:rFonts w:eastAsia="Calibri"/>
                <w:sz w:val="18"/>
                <w:szCs w:val="18"/>
              </w:rPr>
              <w:t xml:space="preserve">: </w:t>
            </w:r>
            <w:r w:rsidR="00BC54AE" w:rsidRPr="000B2DCA">
              <w:rPr>
                <w:rFonts w:eastAsia="Calibri"/>
                <w:iCs/>
                <w:sz w:val="18"/>
                <w:szCs w:val="18"/>
              </w:rPr>
              <w:t>0.503</w:t>
            </w:r>
            <w:r w:rsidR="0061291A" w:rsidRPr="000B2DCA">
              <w:rPr>
                <w:rFonts w:eastAsia="Calibri"/>
                <w:iCs/>
                <w:sz w:val="18"/>
                <w:szCs w:val="18"/>
              </w:rPr>
              <w:t xml:space="preserve">; </w:t>
            </w:r>
            <w:r w:rsidR="00FD3EC1" w:rsidRPr="000B2DCA">
              <w:rPr>
                <w:rFonts w:eastAsia="Calibri"/>
                <w:iCs/>
                <w:sz w:val="18"/>
                <w:szCs w:val="18"/>
              </w:rPr>
              <w:t>t</w:t>
            </w:r>
            <w:r w:rsidR="00BC54AE" w:rsidRPr="000B2DCA">
              <w:rPr>
                <w:rFonts w:eastAsia="Calibri"/>
                <w:iCs/>
                <w:sz w:val="18"/>
                <w:szCs w:val="18"/>
              </w:rPr>
              <w:t>arget (2020):</w:t>
            </w:r>
            <w:r w:rsidR="0061291A" w:rsidRPr="000B2DCA">
              <w:rPr>
                <w:rFonts w:eastAsia="Calibri"/>
                <w:iCs/>
                <w:sz w:val="18"/>
                <w:szCs w:val="18"/>
              </w:rPr>
              <w:t xml:space="preserve"> </w:t>
            </w:r>
            <w:r w:rsidR="00BC54AE" w:rsidRPr="000B2DCA">
              <w:rPr>
                <w:rFonts w:eastAsia="Calibri"/>
                <w:iCs/>
                <w:sz w:val="18"/>
                <w:szCs w:val="18"/>
              </w:rPr>
              <w:t xml:space="preserve">0.430 </w:t>
            </w:r>
          </w:p>
          <w:p w14:paraId="01C80824" w14:textId="77777777" w:rsidR="00BC54AE" w:rsidRPr="000B2DCA" w:rsidRDefault="00BC54AE" w:rsidP="000B2DCA">
            <w:pPr>
              <w:tabs>
                <w:tab w:val="left" w:pos="900"/>
                <w:tab w:val="left" w:pos="990"/>
                <w:tab w:val="left" w:pos="8640"/>
                <w:tab w:val="left" w:pos="9180"/>
              </w:tabs>
              <w:ind w:left="31"/>
              <w:rPr>
                <w:rFonts w:eastAsia="Calibri"/>
                <w:iCs/>
                <w:sz w:val="18"/>
                <w:szCs w:val="18"/>
              </w:rPr>
            </w:pPr>
          </w:p>
          <w:p w14:paraId="71ECEC52" w14:textId="2AF44C2C" w:rsidR="00BC54AE" w:rsidRPr="000B2DCA" w:rsidRDefault="00FD3EC1" w:rsidP="000B2DCA">
            <w:pPr>
              <w:tabs>
                <w:tab w:val="left" w:pos="900"/>
                <w:tab w:val="left" w:pos="990"/>
                <w:tab w:val="left" w:pos="8640"/>
                <w:tab w:val="left" w:pos="9180"/>
              </w:tabs>
              <w:ind w:left="31"/>
              <w:rPr>
                <w:rFonts w:eastAsia="Calibri"/>
                <w:iCs/>
                <w:sz w:val="18"/>
                <w:szCs w:val="18"/>
              </w:rPr>
            </w:pPr>
            <w:r w:rsidRPr="000B2DCA">
              <w:rPr>
                <w:rFonts w:eastAsia="Calibri"/>
                <w:b/>
                <w:iCs/>
                <w:sz w:val="18"/>
                <w:szCs w:val="18"/>
              </w:rPr>
              <w:t xml:space="preserve">Percentage </w:t>
            </w:r>
            <w:r w:rsidR="00BC54AE" w:rsidRPr="000B2DCA">
              <w:rPr>
                <w:rFonts w:eastAsia="Calibri"/>
                <w:b/>
                <w:iCs/>
                <w:sz w:val="18"/>
                <w:szCs w:val="18"/>
              </w:rPr>
              <w:t>of people with an account at a formal financial institution</w:t>
            </w:r>
            <w:r w:rsidR="00BC54AE" w:rsidRPr="000B2DCA">
              <w:rPr>
                <w:rFonts w:eastAsia="Calibri"/>
                <w:iCs/>
                <w:sz w:val="18"/>
                <w:szCs w:val="18"/>
              </w:rPr>
              <w:t xml:space="preserve"> Baseline (2015): 29.1% </w:t>
            </w:r>
            <w:r w:rsidR="0061291A" w:rsidRPr="000B2DCA">
              <w:rPr>
                <w:rFonts w:eastAsia="Calibri"/>
                <w:iCs/>
                <w:sz w:val="18"/>
                <w:szCs w:val="18"/>
              </w:rPr>
              <w:t>(</w:t>
            </w:r>
            <w:r w:rsidR="00BC54AE" w:rsidRPr="000B2DCA">
              <w:rPr>
                <w:rFonts w:eastAsia="Calibri"/>
                <w:iCs/>
                <w:sz w:val="18"/>
                <w:szCs w:val="18"/>
              </w:rPr>
              <w:t>women: 25.2%, men: 32.9%)</w:t>
            </w:r>
            <w:r w:rsidR="0061291A" w:rsidRPr="000B2DCA">
              <w:rPr>
                <w:rFonts w:eastAsia="Calibri"/>
                <w:iCs/>
                <w:sz w:val="18"/>
                <w:szCs w:val="18"/>
              </w:rPr>
              <w:t xml:space="preserve">; </w:t>
            </w:r>
            <w:r w:rsidR="00BC54AE" w:rsidRPr="000B2DCA">
              <w:rPr>
                <w:rFonts w:eastAsia="Calibri"/>
                <w:iCs/>
                <w:sz w:val="18"/>
                <w:szCs w:val="18"/>
              </w:rPr>
              <w:t>Target (2020): 35%</w:t>
            </w:r>
            <w:r w:rsidR="00BC54AE" w:rsidRPr="000B2DCA" w:rsidDel="00C654EA">
              <w:rPr>
                <w:rFonts w:eastAsia="Calibri"/>
                <w:iCs/>
                <w:sz w:val="18"/>
                <w:szCs w:val="18"/>
              </w:rPr>
              <w:t xml:space="preserve"> </w:t>
            </w:r>
            <w:r w:rsidR="00BC54AE" w:rsidRPr="000B2DCA">
              <w:rPr>
                <w:rFonts w:eastAsia="Calibri"/>
                <w:iCs/>
                <w:sz w:val="18"/>
                <w:szCs w:val="18"/>
              </w:rPr>
              <w:t xml:space="preserve">(women: 30.5 %, men: 38%) </w:t>
            </w:r>
          </w:p>
          <w:p w14:paraId="2932FC2E" w14:textId="77777777" w:rsidR="00BC54AE" w:rsidRPr="000B2DCA" w:rsidRDefault="00BC54AE" w:rsidP="000B2DCA">
            <w:pPr>
              <w:tabs>
                <w:tab w:val="left" w:pos="900"/>
                <w:tab w:val="left" w:pos="990"/>
                <w:tab w:val="left" w:pos="8640"/>
                <w:tab w:val="left" w:pos="9180"/>
              </w:tabs>
              <w:ind w:left="450"/>
              <w:rPr>
                <w:rFonts w:eastAsia="Calibri"/>
                <w:iCs/>
                <w:color w:val="000000"/>
                <w:sz w:val="18"/>
                <w:szCs w:val="18"/>
              </w:rPr>
            </w:pPr>
          </w:p>
        </w:tc>
        <w:tc>
          <w:tcPr>
            <w:tcW w:w="667" w:type="pct"/>
          </w:tcPr>
          <w:p w14:paraId="16547B97" w14:textId="6559B2C1" w:rsidR="006E468A" w:rsidRDefault="00BC54AE" w:rsidP="000B2DCA">
            <w:pPr>
              <w:tabs>
                <w:tab w:val="left" w:pos="900"/>
                <w:tab w:val="left" w:pos="990"/>
                <w:tab w:val="left" w:pos="8640"/>
                <w:tab w:val="left" w:pos="9180"/>
              </w:tabs>
              <w:spacing w:after="60"/>
              <w:ind w:left="126"/>
              <w:rPr>
                <w:rFonts w:eastAsia="Calibri"/>
                <w:iCs/>
                <w:sz w:val="18"/>
                <w:szCs w:val="18"/>
              </w:rPr>
            </w:pPr>
            <w:r w:rsidRPr="000B2DCA">
              <w:rPr>
                <w:rFonts w:eastAsia="Calibri"/>
                <w:b/>
                <w:iCs/>
                <w:sz w:val="18"/>
                <w:szCs w:val="18"/>
              </w:rPr>
              <w:lastRenderedPageBreak/>
              <w:t xml:space="preserve">Source: </w:t>
            </w:r>
            <w:r w:rsidRPr="000B2DCA">
              <w:rPr>
                <w:rFonts w:eastAsia="Calibri"/>
                <w:iCs/>
                <w:sz w:val="18"/>
                <w:szCs w:val="18"/>
              </w:rPr>
              <w:t>Multi</w:t>
            </w:r>
            <w:r w:rsidR="00636EBA">
              <w:rPr>
                <w:rFonts w:eastAsia="Calibri"/>
                <w:iCs/>
                <w:sz w:val="18"/>
                <w:szCs w:val="18"/>
              </w:rPr>
              <w:t>-</w:t>
            </w:r>
            <w:r w:rsidRPr="000B2DCA">
              <w:rPr>
                <w:rFonts w:eastAsia="Calibri"/>
                <w:iCs/>
                <w:sz w:val="18"/>
                <w:szCs w:val="18"/>
              </w:rPr>
              <w:t xml:space="preserve">dimensional </w:t>
            </w:r>
            <w:r w:rsidR="006E468A">
              <w:rPr>
                <w:rFonts w:eastAsia="Calibri"/>
                <w:iCs/>
                <w:sz w:val="18"/>
                <w:szCs w:val="18"/>
              </w:rPr>
              <w:t>p</w:t>
            </w:r>
            <w:r w:rsidRPr="000B2DCA">
              <w:rPr>
                <w:rFonts w:eastAsia="Calibri"/>
                <w:iCs/>
                <w:sz w:val="18"/>
                <w:szCs w:val="18"/>
              </w:rPr>
              <w:t xml:space="preserve">overty </w:t>
            </w:r>
            <w:r w:rsidR="006E468A">
              <w:rPr>
                <w:rFonts w:eastAsia="Calibri"/>
                <w:iCs/>
                <w:sz w:val="18"/>
                <w:szCs w:val="18"/>
              </w:rPr>
              <w:t>i</w:t>
            </w:r>
            <w:r w:rsidRPr="000B2DCA">
              <w:rPr>
                <w:rFonts w:eastAsia="Calibri"/>
                <w:iCs/>
                <w:sz w:val="18"/>
                <w:szCs w:val="18"/>
              </w:rPr>
              <w:t>ndex</w:t>
            </w:r>
            <w:r w:rsidR="00636EBA">
              <w:rPr>
                <w:rFonts w:eastAsia="Calibri"/>
                <w:iCs/>
                <w:sz w:val="18"/>
                <w:szCs w:val="18"/>
              </w:rPr>
              <w:t xml:space="preserve"> (MPI)</w:t>
            </w:r>
            <w:r w:rsidRPr="000B2DCA">
              <w:rPr>
                <w:rFonts w:eastAsia="Calibri"/>
                <w:iCs/>
                <w:sz w:val="18"/>
                <w:szCs w:val="18"/>
              </w:rPr>
              <w:t xml:space="preserve">, </w:t>
            </w:r>
            <w:r w:rsidR="006E468A">
              <w:rPr>
                <w:rFonts w:eastAsia="Calibri"/>
                <w:iCs/>
                <w:sz w:val="18"/>
                <w:szCs w:val="18"/>
              </w:rPr>
              <w:t>g</w:t>
            </w:r>
            <w:r w:rsidRPr="000B2DCA">
              <w:rPr>
                <w:rFonts w:eastAsia="Calibri"/>
                <w:iCs/>
                <w:sz w:val="18"/>
                <w:szCs w:val="18"/>
              </w:rPr>
              <w:t xml:space="preserve">lobal MPI </w:t>
            </w:r>
            <w:r w:rsidR="006E468A">
              <w:rPr>
                <w:rFonts w:eastAsia="Calibri"/>
                <w:iCs/>
                <w:sz w:val="18"/>
                <w:szCs w:val="18"/>
              </w:rPr>
              <w:t>c</w:t>
            </w:r>
            <w:r w:rsidRPr="000B2DCA">
              <w:rPr>
                <w:rFonts w:eastAsia="Calibri"/>
                <w:iCs/>
                <w:sz w:val="18"/>
                <w:szCs w:val="18"/>
              </w:rPr>
              <w:t xml:space="preserve">ountry </w:t>
            </w:r>
            <w:r w:rsidR="006E468A">
              <w:rPr>
                <w:rFonts w:eastAsia="Calibri"/>
                <w:iCs/>
                <w:sz w:val="18"/>
                <w:szCs w:val="18"/>
              </w:rPr>
              <w:t>b</w:t>
            </w:r>
            <w:r w:rsidRPr="000B2DCA">
              <w:rPr>
                <w:rFonts w:eastAsia="Calibri"/>
                <w:iCs/>
                <w:sz w:val="18"/>
                <w:szCs w:val="18"/>
              </w:rPr>
              <w:t>riefings</w:t>
            </w:r>
          </w:p>
          <w:p w14:paraId="24013AF8" w14:textId="3D2B8588" w:rsidR="00BC54AE" w:rsidRPr="000B2DCA" w:rsidRDefault="00BC54AE" w:rsidP="000B2DCA">
            <w:pPr>
              <w:tabs>
                <w:tab w:val="left" w:pos="900"/>
                <w:tab w:val="left" w:pos="990"/>
                <w:tab w:val="left" w:pos="8640"/>
                <w:tab w:val="left" w:pos="9180"/>
              </w:tabs>
              <w:spacing w:after="60"/>
              <w:ind w:left="130"/>
              <w:rPr>
                <w:rFonts w:eastAsia="Calibri"/>
                <w:iCs/>
                <w:sz w:val="18"/>
                <w:szCs w:val="18"/>
              </w:rPr>
            </w:pPr>
            <w:r w:rsidRPr="000B2DCA">
              <w:rPr>
                <w:rFonts w:eastAsia="Calibri"/>
                <w:b/>
                <w:iCs/>
                <w:sz w:val="18"/>
                <w:szCs w:val="18"/>
              </w:rPr>
              <w:t>Frequency</w:t>
            </w:r>
            <w:r w:rsidRPr="000B2DCA">
              <w:rPr>
                <w:rFonts w:eastAsia="Calibri"/>
                <w:iCs/>
                <w:sz w:val="18"/>
                <w:szCs w:val="18"/>
              </w:rPr>
              <w:t>: annual</w:t>
            </w:r>
            <w:r w:rsidR="0061291A" w:rsidRPr="000B2DCA">
              <w:rPr>
                <w:rFonts w:eastAsia="Calibri"/>
                <w:iCs/>
                <w:sz w:val="18"/>
                <w:szCs w:val="18"/>
              </w:rPr>
              <w:br/>
            </w:r>
            <w:r w:rsidRPr="000B2DCA">
              <w:rPr>
                <w:rFonts w:eastAsia="Calibri"/>
                <w:b/>
                <w:iCs/>
                <w:sz w:val="18"/>
                <w:szCs w:val="18"/>
              </w:rPr>
              <w:t>Responsibility</w:t>
            </w:r>
            <w:r w:rsidRPr="000B2DCA">
              <w:rPr>
                <w:rFonts w:eastAsia="Calibri"/>
                <w:iCs/>
                <w:sz w:val="18"/>
                <w:szCs w:val="18"/>
              </w:rPr>
              <w:t xml:space="preserve">: </w:t>
            </w:r>
            <w:r w:rsidR="00636EBA">
              <w:rPr>
                <w:rFonts w:eastAsia="Calibri"/>
                <w:iCs/>
                <w:sz w:val="18"/>
                <w:szCs w:val="18"/>
              </w:rPr>
              <w:t>Oxford Poverty and Human Development Initiative (</w:t>
            </w:r>
            <w:r w:rsidRPr="000B2DCA">
              <w:rPr>
                <w:rFonts w:eastAsia="Calibri"/>
                <w:iCs/>
                <w:sz w:val="18"/>
                <w:szCs w:val="18"/>
              </w:rPr>
              <w:t>OPHI</w:t>
            </w:r>
            <w:r w:rsidR="00636EBA">
              <w:rPr>
                <w:rFonts w:eastAsia="Calibri"/>
                <w:iCs/>
                <w:sz w:val="18"/>
                <w:szCs w:val="18"/>
              </w:rPr>
              <w:t>)</w:t>
            </w:r>
            <w:r w:rsidRPr="000B2DCA">
              <w:rPr>
                <w:rFonts w:eastAsia="Calibri"/>
                <w:iCs/>
                <w:sz w:val="18"/>
                <w:szCs w:val="18"/>
              </w:rPr>
              <w:t>, University of Oxford</w:t>
            </w:r>
          </w:p>
          <w:p w14:paraId="5E3FEFCB" w14:textId="49AE9011" w:rsidR="0061291A" w:rsidRPr="000B2DCA" w:rsidRDefault="00BC54AE" w:rsidP="000B2DCA">
            <w:pPr>
              <w:tabs>
                <w:tab w:val="left" w:pos="900"/>
                <w:tab w:val="left" w:pos="990"/>
                <w:tab w:val="left" w:pos="8640"/>
                <w:tab w:val="left" w:pos="9180"/>
              </w:tabs>
              <w:spacing w:after="60"/>
              <w:ind w:left="126"/>
              <w:rPr>
                <w:rFonts w:eastAsia="Calibri"/>
                <w:b/>
                <w:iCs/>
                <w:sz w:val="18"/>
                <w:szCs w:val="18"/>
              </w:rPr>
            </w:pPr>
            <w:r w:rsidRPr="000B2DCA">
              <w:rPr>
                <w:rFonts w:eastAsia="Calibri"/>
                <w:b/>
                <w:iCs/>
                <w:sz w:val="18"/>
                <w:szCs w:val="18"/>
              </w:rPr>
              <w:t xml:space="preserve">Source: </w:t>
            </w:r>
            <w:r w:rsidR="00EF0501">
              <w:rPr>
                <w:rFonts w:eastAsia="Calibri"/>
                <w:iCs/>
                <w:sz w:val="18"/>
                <w:szCs w:val="18"/>
              </w:rPr>
              <w:t>International Labour Organization (</w:t>
            </w:r>
            <w:r w:rsidRPr="000B2DCA">
              <w:rPr>
                <w:rFonts w:eastAsia="Calibri"/>
                <w:iCs/>
                <w:sz w:val="18"/>
                <w:szCs w:val="18"/>
              </w:rPr>
              <w:t>ILO</w:t>
            </w:r>
            <w:r w:rsidR="00EF0501">
              <w:rPr>
                <w:rFonts w:eastAsia="Calibri"/>
                <w:iCs/>
                <w:sz w:val="18"/>
                <w:szCs w:val="18"/>
              </w:rPr>
              <w:t>)</w:t>
            </w:r>
            <w:r w:rsidR="0061291A" w:rsidRPr="000B2DCA">
              <w:rPr>
                <w:rFonts w:eastAsia="Calibri"/>
                <w:iCs/>
                <w:sz w:val="18"/>
                <w:szCs w:val="18"/>
              </w:rPr>
              <w:br/>
            </w:r>
            <w:r w:rsidRPr="000B2DCA">
              <w:rPr>
                <w:rFonts w:eastAsia="Calibri"/>
                <w:b/>
                <w:iCs/>
                <w:sz w:val="18"/>
                <w:szCs w:val="18"/>
              </w:rPr>
              <w:t>Frequency:</w:t>
            </w:r>
            <w:r w:rsidRPr="000B2DCA">
              <w:rPr>
                <w:rFonts w:eastAsia="Calibri"/>
                <w:iCs/>
                <w:sz w:val="18"/>
                <w:szCs w:val="18"/>
              </w:rPr>
              <w:t xml:space="preserve"> annually</w:t>
            </w:r>
            <w:r w:rsidR="0061291A" w:rsidRPr="000B2DCA">
              <w:rPr>
                <w:rFonts w:eastAsia="Calibri"/>
                <w:iCs/>
                <w:sz w:val="18"/>
                <w:szCs w:val="18"/>
              </w:rPr>
              <w:br/>
            </w:r>
            <w:r w:rsidRPr="000B2DCA">
              <w:rPr>
                <w:rFonts w:eastAsia="Calibri"/>
                <w:b/>
                <w:iCs/>
                <w:sz w:val="18"/>
                <w:szCs w:val="18"/>
              </w:rPr>
              <w:t>Responsibility:</w:t>
            </w:r>
            <w:r w:rsidRPr="000B2DCA">
              <w:rPr>
                <w:rFonts w:eastAsia="Calibri"/>
                <w:iCs/>
                <w:sz w:val="18"/>
                <w:szCs w:val="18"/>
              </w:rPr>
              <w:t xml:space="preserve"> UNDP </w:t>
            </w:r>
            <w:r w:rsidR="00EF0501">
              <w:rPr>
                <w:rFonts w:eastAsia="Calibri"/>
                <w:iCs/>
                <w:sz w:val="18"/>
                <w:szCs w:val="18"/>
              </w:rPr>
              <w:t>headquarters</w:t>
            </w:r>
            <w:r w:rsidR="0061291A" w:rsidRPr="000B2DCA">
              <w:rPr>
                <w:rFonts w:eastAsia="Calibri"/>
                <w:b/>
                <w:iCs/>
                <w:sz w:val="18"/>
                <w:szCs w:val="18"/>
              </w:rPr>
              <w:br/>
            </w:r>
            <w:r w:rsidR="0061291A" w:rsidRPr="000B2DCA">
              <w:rPr>
                <w:rFonts w:eastAsia="Calibri"/>
                <w:b/>
                <w:iCs/>
                <w:sz w:val="18"/>
                <w:szCs w:val="18"/>
              </w:rPr>
              <w:br/>
            </w:r>
            <w:r w:rsidR="0061291A" w:rsidRPr="000B2DCA">
              <w:rPr>
                <w:rFonts w:eastAsia="Calibri"/>
                <w:b/>
                <w:iCs/>
                <w:sz w:val="18"/>
                <w:szCs w:val="18"/>
              </w:rPr>
              <w:br/>
            </w:r>
            <w:r w:rsidR="0061291A" w:rsidRPr="000B2DCA">
              <w:rPr>
                <w:rFonts w:eastAsia="Calibri"/>
                <w:b/>
                <w:iCs/>
                <w:sz w:val="18"/>
                <w:szCs w:val="18"/>
              </w:rPr>
              <w:br/>
            </w:r>
            <w:r w:rsidR="0061291A" w:rsidRPr="000B2DCA">
              <w:rPr>
                <w:rFonts w:eastAsia="Calibri"/>
                <w:b/>
                <w:iCs/>
                <w:sz w:val="18"/>
                <w:szCs w:val="18"/>
              </w:rPr>
              <w:br/>
            </w:r>
            <w:r w:rsidR="0061291A" w:rsidRPr="000B2DCA">
              <w:rPr>
                <w:rFonts w:eastAsia="Calibri"/>
                <w:b/>
                <w:iCs/>
                <w:sz w:val="18"/>
                <w:szCs w:val="18"/>
              </w:rPr>
              <w:lastRenderedPageBreak/>
              <w:br/>
            </w:r>
            <w:r w:rsidR="0061291A" w:rsidRPr="000B2DCA">
              <w:rPr>
                <w:rFonts w:eastAsia="Calibri"/>
                <w:b/>
                <w:iCs/>
                <w:sz w:val="18"/>
                <w:szCs w:val="18"/>
              </w:rPr>
              <w:br/>
            </w:r>
          </w:p>
          <w:p w14:paraId="55DF2552" w14:textId="58482B2C" w:rsidR="00BC54AE" w:rsidRPr="000B2DCA" w:rsidRDefault="00BC54AE" w:rsidP="000B2DCA">
            <w:pPr>
              <w:tabs>
                <w:tab w:val="left" w:pos="900"/>
                <w:tab w:val="left" w:pos="990"/>
                <w:tab w:val="left" w:pos="8640"/>
                <w:tab w:val="left" w:pos="9180"/>
              </w:tabs>
              <w:rPr>
                <w:rFonts w:eastAsia="Calibri"/>
                <w:color w:val="000000"/>
                <w:sz w:val="18"/>
                <w:szCs w:val="18"/>
              </w:rPr>
            </w:pPr>
            <w:r w:rsidRPr="000B2DCA">
              <w:rPr>
                <w:rFonts w:eastAsia="Calibri"/>
                <w:b/>
                <w:iCs/>
                <w:sz w:val="18"/>
                <w:szCs w:val="18"/>
              </w:rPr>
              <w:t>Source:</w:t>
            </w:r>
            <w:r w:rsidRPr="000B2DCA">
              <w:rPr>
                <w:rFonts w:eastAsia="Calibri"/>
                <w:color w:val="000000"/>
                <w:sz w:val="18"/>
                <w:szCs w:val="18"/>
              </w:rPr>
              <w:t xml:space="preserve"> </w:t>
            </w:r>
            <w:r w:rsidRPr="000B2DCA">
              <w:rPr>
                <w:rFonts w:eastAsia="Calibri"/>
                <w:iCs/>
                <w:sz w:val="18"/>
                <w:szCs w:val="18"/>
              </w:rPr>
              <w:t xml:space="preserve">Human </w:t>
            </w:r>
            <w:r w:rsidR="00123FAE">
              <w:rPr>
                <w:rFonts w:eastAsia="Calibri"/>
                <w:iCs/>
                <w:sz w:val="18"/>
                <w:szCs w:val="18"/>
              </w:rPr>
              <w:t>d</w:t>
            </w:r>
            <w:r w:rsidRPr="000B2DCA">
              <w:rPr>
                <w:rFonts w:eastAsia="Calibri"/>
                <w:iCs/>
                <w:sz w:val="18"/>
                <w:szCs w:val="18"/>
              </w:rPr>
              <w:t xml:space="preserve">evelopment </w:t>
            </w:r>
            <w:r w:rsidR="00123FAE">
              <w:rPr>
                <w:rFonts w:eastAsia="Calibri"/>
                <w:iCs/>
                <w:sz w:val="18"/>
                <w:szCs w:val="18"/>
              </w:rPr>
              <w:t>r</w:t>
            </w:r>
            <w:r w:rsidRPr="000B2DCA">
              <w:rPr>
                <w:rFonts w:eastAsia="Calibri"/>
                <w:iCs/>
                <w:sz w:val="18"/>
                <w:szCs w:val="18"/>
              </w:rPr>
              <w:t>eports</w:t>
            </w:r>
            <w:r w:rsidR="0061291A" w:rsidRPr="000B2DCA">
              <w:rPr>
                <w:rFonts w:eastAsia="Calibri"/>
                <w:iCs/>
                <w:sz w:val="18"/>
                <w:szCs w:val="18"/>
              </w:rPr>
              <w:br/>
            </w:r>
            <w:r w:rsidRPr="000B2DCA">
              <w:rPr>
                <w:rFonts w:eastAsia="Calibri"/>
                <w:b/>
                <w:iCs/>
                <w:sz w:val="18"/>
                <w:szCs w:val="18"/>
              </w:rPr>
              <w:t>Frequency:</w:t>
            </w:r>
            <w:r w:rsidRPr="000B2DCA">
              <w:rPr>
                <w:rFonts w:eastAsia="Calibri"/>
                <w:color w:val="000000"/>
                <w:sz w:val="18"/>
                <w:szCs w:val="18"/>
              </w:rPr>
              <w:t xml:space="preserve"> </w:t>
            </w:r>
            <w:r w:rsidRPr="000B2DCA">
              <w:rPr>
                <w:rFonts w:eastAsia="Calibri"/>
                <w:iCs/>
                <w:sz w:val="18"/>
                <w:szCs w:val="18"/>
              </w:rPr>
              <w:t>5 years</w:t>
            </w:r>
            <w:r w:rsidR="0061291A" w:rsidRPr="000B2DCA">
              <w:rPr>
                <w:rFonts w:eastAsia="Calibri"/>
                <w:iCs/>
                <w:sz w:val="18"/>
                <w:szCs w:val="18"/>
              </w:rPr>
              <w:br/>
            </w:r>
            <w:r w:rsidRPr="000B2DCA">
              <w:rPr>
                <w:rFonts w:eastAsia="Calibri"/>
                <w:b/>
                <w:iCs/>
                <w:sz w:val="18"/>
                <w:szCs w:val="18"/>
              </w:rPr>
              <w:t>Responsibility</w:t>
            </w:r>
            <w:r w:rsidRPr="000B2DCA">
              <w:rPr>
                <w:rFonts w:eastAsia="Calibri"/>
                <w:color w:val="000000"/>
                <w:sz w:val="18"/>
                <w:szCs w:val="18"/>
              </w:rPr>
              <w:t xml:space="preserve">: </w:t>
            </w:r>
            <w:r w:rsidR="00123FAE" w:rsidRPr="000B2DCA">
              <w:rPr>
                <w:rFonts w:eastAsia="Calibri"/>
                <w:iCs/>
                <w:sz w:val="18"/>
                <w:szCs w:val="18"/>
              </w:rPr>
              <w:t>H</w:t>
            </w:r>
            <w:r w:rsidR="00123FAE">
              <w:rPr>
                <w:rFonts w:eastAsia="Calibri"/>
                <w:iCs/>
                <w:sz w:val="18"/>
                <w:szCs w:val="18"/>
              </w:rPr>
              <w:t>uman Development Report Office</w:t>
            </w:r>
          </w:p>
          <w:p w14:paraId="6CA7AE2D" w14:textId="77777777" w:rsidR="00A85CAE" w:rsidRPr="000B2DCA" w:rsidRDefault="00A85CAE" w:rsidP="000B2DCA">
            <w:pPr>
              <w:tabs>
                <w:tab w:val="left" w:pos="900"/>
                <w:tab w:val="left" w:pos="990"/>
                <w:tab w:val="left" w:pos="8640"/>
                <w:tab w:val="left" w:pos="9180"/>
              </w:tabs>
              <w:rPr>
                <w:rFonts w:eastAsia="Calibri"/>
                <w:iCs/>
                <w:sz w:val="18"/>
                <w:szCs w:val="18"/>
              </w:rPr>
            </w:pPr>
          </w:p>
          <w:p w14:paraId="77D1EA0F" w14:textId="2EC4EC07" w:rsidR="00BC54AE" w:rsidRPr="000B2DCA" w:rsidRDefault="00BC54AE" w:rsidP="000B2DCA">
            <w:pPr>
              <w:tabs>
                <w:tab w:val="left" w:pos="900"/>
                <w:tab w:val="left" w:pos="990"/>
                <w:tab w:val="left" w:pos="8640"/>
                <w:tab w:val="left" w:pos="9180"/>
              </w:tabs>
              <w:spacing w:after="60"/>
              <w:rPr>
                <w:rFonts w:eastAsia="Calibri"/>
                <w:b/>
                <w:iCs/>
                <w:sz w:val="18"/>
                <w:szCs w:val="18"/>
              </w:rPr>
            </w:pPr>
            <w:r w:rsidRPr="000B2DCA">
              <w:rPr>
                <w:rFonts w:eastAsia="Calibri"/>
                <w:b/>
                <w:iCs/>
                <w:sz w:val="18"/>
                <w:szCs w:val="18"/>
              </w:rPr>
              <w:t>Source:</w:t>
            </w:r>
            <w:r w:rsidRPr="000B2DCA">
              <w:rPr>
                <w:rFonts w:eastAsia="Calibri"/>
                <w:iCs/>
                <w:sz w:val="18"/>
                <w:szCs w:val="18"/>
              </w:rPr>
              <w:t xml:space="preserve"> Global Financial Inclusion Database </w:t>
            </w:r>
            <w:r w:rsidR="00123FAE">
              <w:rPr>
                <w:rFonts w:eastAsia="Calibri"/>
                <w:iCs/>
                <w:sz w:val="18"/>
                <w:szCs w:val="18"/>
              </w:rPr>
              <w:t>(</w:t>
            </w:r>
            <w:r w:rsidRPr="000B2DCA">
              <w:rPr>
                <w:rFonts w:eastAsia="Calibri"/>
                <w:iCs/>
                <w:sz w:val="18"/>
                <w:szCs w:val="18"/>
              </w:rPr>
              <w:t>FINDEX</w:t>
            </w:r>
            <w:r w:rsidR="00123FAE">
              <w:rPr>
                <w:rFonts w:eastAsia="Calibri"/>
                <w:iCs/>
                <w:sz w:val="18"/>
                <w:szCs w:val="18"/>
              </w:rPr>
              <w:t>)</w:t>
            </w:r>
            <w:r w:rsidR="0061291A" w:rsidRPr="000B2DCA">
              <w:rPr>
                <w:rFonts w:eastAsia="Calibri"/>
                <w:iCs/>
                <w:sz w:val="18"/>
                <w:szCs w:val="18"/>
              </w:rPr>
              <w:br/>
            </w:r>
            <w:r w:rsidRPr="000B2DCA">
              <w:rPr>
                <w:rFonts w:eastAsia="Calibri"/>
                <w:b/>
                <w:iCs/>
                <w:sz w:val="18"/>
                <w:szCs w:val="18"/>
              </w:rPr>
              <w:t>Frequency</w:t>
            </w:r>
            <w:r w:rsidRPr="000B2DCA">
              <w:rPr>
                <w:rFonts w:eastAsia="Calibri"/>
                <w:iCs/>
                <w:sz w:val="18"/>
                <w:szCs w:val="18"/>
              </w:rPr>
              <w:t>: annually</w:t>
            </w:r>
            <w:r w:rsidR="0061291A" w:rsidRPr="000B2DCA">
              <w:rPr>
                <w:rFonts w:eastAsia="Calibri"/>
                <w:iCs/>
                <w:sz w:val="18"/>
                <w:szCs w:val="18"/>
              </w:rPr>
              <w:br/>
            </w:r>
            <w:r w:rsidRPr="000B2DCA">
              <w:rPr>
                <w:rFonts w:eastAsia="Calibri"/>
                <w:b/>
                <w:iCs/>
                <w:sz w:val="18"/>
                <w:szCs w:val="18"/>
              </w:rPr>
              <w:t>Responsibility</w:t>
            </w:r>
            <w:r w:rsidRPr="000B2DCA">
              <w:rPr>
                <w:rFonts w:eastAsia="Calibri"/>
                <w:iCs/>
                <w:sz w:val="18"/>
                <w:szCs w:val="18"/>
              </w:rPr>
              <w:t>: World Bank</w:t>
            </w:r>
          </w:p>
        </w:tc>
        <w:tc>
          <w:tcPr>
            <w:tcW w:w="2255" w:type="pct"/>
            <w:tcMar>
              <w:top w:w="72" w:type="dxa"/>
              <w:left w:w="144" w:type="dxa"/>
              <w:bottom w:w="72" w:type="dxa"/>
              <w:right w:w="144" w:type="dxa"/>
            </w:tcMar>
          </w:tcPr>
          <w:p w14:paraId="4B0D2913" w14:textId="63AD0EF3" w:rsidR="00BC54AE" w:rsidRPr="000B2DCA" w:rsidRDefault="00EF0501" w:rsidP="000B2DCA">
            <w:pPr>
              <w:tabs>
                <w:tab w:val="left" w:pos="900"/>
                <w:tab w:val="left" w:pos="990"/>
                <w:tab w:val="left" w:pos="8640"/>
                <w:tab w:val="left" w:pos="9180"/>
              </w:tabs>
              <w:spacing w:after="60"/>
              <w:rPr>
                <w:rFonts w:eastAsia="Calibri"/>
                <w:b/>
                <w:iCs/>
                <w:color w:val="000000"/>
                <w:sz w:val="18"/>
                <w:szCs w:val="18"/>
              </w:rPr>
            </w:pPr>
            <w:r w:rsidRPr="00EF0501">
              <w:rPr>
                <w:rFonts w:eastAsia="Calibri"/>
                <w:b/>
                <w:iCs/>
                <w:color w:val="000000"/>
                <w:sz w:val="18"/>
                <w:szCs w:val="18"/>
              </w:rPr>
              <w:lastRenderedPageBreak/>
              <w:t xml:space="preserve">Output </w:t>
            </w:r>
            <w:r w:rsidR="00BC54AE" w:rsidRPr="000B2DCA">
              <w:rPr>
                <w:rFonts w:eastAsia="Calibri"/>
                <w:b/>
                <w:iCs/>
                <w:color w:val="000000"/>
                <w:sz w:val="18"/>
                <w:szCs w:val="18"/>
              </w:rPr>
              <w:t xml:space="preserve">1.1. The Government has knowledge and skills to better </w:t>
            </w:r>
            <w:r w:rsidR="00BC54AE" w:rsidRPr="000B2DCA">
              <w:rPr>
                <w:rFonts w:eastAsia="Calibri"/>
                <w:b/>
                <w:i/>
                <w:iCs/>
                <w:color w:val="000000"/>
                <w:sz w:val="18"/>
                <w:szCs w:val="18"/>
              </w:rPr>
              <w:t>target remaining pockets of poverty and expand opportunities for women</w:t>
            </w:r>
            <w:r w:rsidR="00BC54AE" w:rsidRPr="000B2DCA">
              <w:rPr>
                <w:rFonts w:eastAsia="Calibri"/>
                <w:b/>
                <w:iCs/>
                <w:color w:val="000000"/>
                <w:sz w:val="18"/>
                <w:szCs w:val="18"/>
              </w:rPr>
              <w:t xml:space="preserve"> to contribute to and benefit from economic progress </w:t>
            </w:r>
          </w:p>
          <w:p w14:paraId="52ED9FD5" w14:textId="6D2892A7" w:rsidR="00BC54AE" w:rsidRPr="000B2DCA" w:rsidRDefault="00BC54AE" w:rsidP="000B2DCA">
            <w:pPr>
              <w:tabs>
                <w:tab w:val="left" w:pos="900"/>
                <w:tab w:val="left" w:pos="990"/>
                <w:tab w:val="left" w:pos="8640"/>
                <w:tab w:val="left" w:pos="9180"/>
              </w:tabs>
              <w:spacing w:after="60"/>
              <w:rPr>
                <w:rFonts w:eastAsia="Calibri"/>
                <w:iCs/>
                <w:sz w:val="18"/>
                <w:szCs w:val="18"/>
              </w:rPr>
            </w:pPr>
            <w:r w:rsidRPr="000B2DCA">
              <w:rPr>
                <w:rFonts w:eastAsia="Calibri"/>
                <w:b/>
                <w:iCs/>
                <w:sz w:val="18"/>
                <w:szCs w:val="18"/>
              </w:rPr>
              <w:t>Indicator 1.1.1.</w:t>
            </w:r>
            <w:r w:rsidRPr="000B2DCA">
              <w:rPr>
                <w:rFonts w:eastAsia="Calibri"/>
                <w:iCs/>
                <w:sz w:val="18"/>
                <w:szCs w:val="18"/>
              </w:rPr>
              <w:t xml:space="preserve"> Extent to which policies to promote women’s economic empowerment show improved implementation</w:t>
            </w:r>
            <w:r w:rsidRPr="000B2DCA">
              <w:rPr>
                <w:rFonts w:eastAsia="Calibri"/>
                <w:iCs/>
                <w:sz w:val="18"/>
                <w:szCs w:val="18"/>
                <w:vertAlign w:val="superscript"/>
              </w:rPr>
              <w:footnoteReference w:id="30"/>
            </w:r>
            <w:r w:rsidR="00EF0501">
              <w:rPr>
                <w:rFonts w:eastAsia="Calibri"/>
                <w:iCs/>
                <w:sz w:val="18"/>
                <w:szCs w:val="18"/>
              </w:rPr>
              <w:t>. B</w:t>
            </w:r>
            <w:r w:rsidRPr="000B2DCA">
              <w:rPr>
                <w:rFonts w:eastAsia="Calibri"/>
                <w:iCs/>
                <w:sz w:val="18"/>
                <w:szCs w:val="18"/>
              </w:rPr>
              <w:t xml:space="preserve">aseline (2015): 1 </w:t>
            </w:r>
            <w:r w:rsidR="00E46D7F" w:rsidRPr="000B2DCA">
              <w:rPr>
                <w:rFonts w:eastAsia="Calibri"/>
                <w:iCs/>
                <w:sz w:val="18"/>
                <w:szCs w:val="18"/>
              </w:rPr>
              <w:t>(not adequately), target (2020): 2 (very partially</w:t>
            </w:r>
            <w:r w:rsidRPr="000B2DCA">
              <w:rPr>
                <w:rFonts w:eastAsia="Calibri"/>
                <w:iCs/>
                <w:sz w:val="18"/>
                <w:szCs w:val="18"/>
              </w:rPr>
              <w:t>)</w:t>
            </w:r>
            <w:r w:rsidRPr="000B2DCA">
              <w:rPr>
                <w:rFonts w:eastAsia="Calibri"/>
                <w:iCs/>
                <w:sz w:val="18"/>
                <w:szCs w:val="18"/>
                <w:vertAlign w:val="superscript"/>
              </w:rPr>
              <w:footnoteReference w:id="31"/>
            </w:r>
            <w:r w:rsidRPr="000B2DCA">
              <w:rPr>
                <w:rFonts w:eastAsia="Calibri"/>
                <w:iCs/>
                <w:sz w:val="18"/>
                <w:szCs w:val="18"/>
              </w:rPr>
              <w:t>, Source: UNDP annual independent expert panel (</w:t>
            </w:r>
            <w:r w:rsidR="00E46D7F" w:rsidRPr="000B2DCA">
              <w:rPr>
                <w:rFonts w:eastAsia="Calibri"/>
                <w:iCs/>
                <w:sz w:val="18"/>
                <w:szCs w:val="18"/>
              </w:rPr>
              <w:t>IRRF</w:t>
            </w:r>
            <w:r w:rsidR="00B85F4D" w:rsidRPr="000B2DCA">
              <w:rPr>
                <w:rStyle w:val="FootnoteReference"/>
                <w:rFonts w:eastAsia="Calibri"/>
                <w:iCs/>
                <w:sz w:val="18"/>
                <w:szCs w:val="18"/>
              </w:rPr>
              <w:footnoteReference w:id="32"/>
            </w:r>
            <w:r w:rsidRPr="000B2DCA">
              <w:rPr>
                <w:rFonts w:eastAsia="Calibri"/>
                <w:iCs/>
                <w:sz w:val="18"/>
                <w:szCs w:val="18"/>
              </w:rPr>
              <w:t xml:space="preserve"> 4.1.1.)</w:t>
            </w:r>
          </w:p>
          <w:p w14:paraId="011997BB" w14:textId="2F14BFF9" w:rsidR="00BC54AE" w:rsidRPr="000B2DCA" w:rsidRDefault="00BC54AE" w:rsidP="000B2DCA">
            <w:pPr>
              <w:tabs>
                <w:tab w:val="left" w:pos="900"/>
                <w:tab w:val="left" w:pos="990"/>
                <w:tab w:val="left" w:pos="8640"/>
                <w:tab w:val="left" w:pos="9180"/>
              </w:tabs>
              <w:spacing w:after="60"/>
              <w:rPr>
                <w:rFonts w:eastAsia="Calibri"/>
                <w:iCs/>
                <w:sz w:val="18"/>
                <w:szCs w:val="18"/>
              </w:rPr>
            </w:pPr>
            <w:r w:rsidRPr="000B2DCA">
              <w:rPr>
                <w:rFonts w:eastAsia="Calibri"/>
                <w:b/>
                <w:iCs/>
                <w:sz w:val="18"/>
                <w:szCs w:val="18"/>
              </w:rPr>
              <w:t>Indicator 1.1.2</w:t>
            </w:r>
            <w:r w:rsidR="00EF0501">
              <w:rPr>
                <w:rFonts w:eastAsia="Calibri"/>
                <w:iCs/>
                <w:sz w:val="18"/>
                <w:szCs w:val="18"/>
              </w:rPr>
              <w:t>.</w:t>
            </w:r>
            <w:r w:rsidRPr="000B2DCA">
              <w:rPr>
                <w:rFonts w:eastAsia="Calibri"/>
                <w:iCs/>
                <w:sz w:val="18"/>
                <w:szCs w:val="18"/>
              </w:rPr>
              <w:t xml:space="preserve"> Proportion of citizens using rural decentralized banking system</w:t>
            </w:r>
            <w:r w:rsidR="007A23F7" w:rsidRPr="000B2DCA">
              <w:rPr>
                <w:rFonts w:eastAsia="Calibri"/>
                <w:iCs/>
                <w:sz w:val="18"/>
                <w:szCs w:val="18"/>
              </w:rPr>
              <w:t xml:space="preserve">, </w:t>
            </w:r>
            <w:r w:rsidR="00E46D7F" w:rsidRPr="000B2DCA">
              <w:rPr>
                <w:rFonts w:eastAsia="Calibri"/>
                <w:iCs/>
                <w:sz w:val="18"/>
                <w:szCs w:val="18"/>
              </w:rPr>
              <w:t>disaggregated by sex</w:t>
            </w:r>
            <w:r w:rsidR="00EF0501">
              <w:rPr>
                <w:rFonts w:eastAsia="Calibri"/>
                <w:iCs/>
                <w:sz w:val="18"/>
                <w:szCs w:val="18"/>
              </w:rPr>
              <w:t>.</w:t>
            </w:r>
            <w:r w:rsidR="00E46D7F" w:rsidRPr="000B2DCA">
              <w:rPr>
                <w:rFonts w:eastAsia="Calibri"/>
                <w:iCs/>
                <w:sz w:val="18"/>
                <w:szCs w:val="18"/>
              </w:rPr>
              <w:t xml:space="preserve"> </w:t>
            </w:r>
            <w:r w:rsidR="00EF0501">
              <w:rPr>
                <w:rFonts w:eastAsia="Calibri"/>
                <w:iCs/>
                <w:sz w:val="18"/>
                <w:szCs w:val="18"/>
              </w:rPr>
              <w:t>B</w:t>
            </w:r>
            <w:r w:rsidR="00E46D7F" w:rsidRPr="000B2DCA">
              <w:rPr>
                <w:rFonts w:eastAsia="Calibri"/>
                <w:iCs/>
                <w:sz w:val="18"/>
                <w:szCs w:val="18"/>
              </w:rPr>
              <w:t xml:space="preserve">aseline (2016): 10% (women: 10%, men: 10%); target (2020): 25% (women: 25%, men: 25%) </w:t>
            </w:r>
          </w:p>
          <w:p w14:paraId="4DDEA33F" w14:textId="4F5EBB28" w:rsidR="00BC54AE" w:rsidRPr="000B2DCA" w:rsidRDefault="00EF0501" w:rsidP="000B2DCA">
            <w:pPr>
              <w:tabs>
                <w:tab w:val="left" w:pos="900"/>
                <w:tab w:val="left" w:pos="990"/>
                <w:tab w:val="left" w:pos="8640"/>
                <w:tab w:val="left" w:pos="9180"/>
              </w:tabs>
              <w:spacing w:after="60"/>
              <w:rPr>
                <w:rFonts w:eastAsia="Calibri"/>
                <w:b/>
                <w:iCs/>
                <w:color w:val="000000"/>
                <w:sz w:val="18"/>
                <w:szCs w:val="18"/>
              </w:rPr>
            </w:pPr>
            <w:r w:rsidRPr="00EF0501">
              <w:rPr>
                <w:rFonts w:eastAsia="Calibri"/>
                <w:b/>
                <w:iCs/>
                <w:color w:val="000000"/>
                <w:sz w:val="18"/>
                <w:szCs w:val="18"/>
              </w:rPr>
              <w:t>Output</w:t>
            </w:r>
            <w:r w:rsidR="00BC54AE" w:rsidRPr="000B2DCA">
              <w:rPr>
                <w:rFonts w:eastAsia="Calibri"/>
                <w:b/>
                <w:iCs/>
                <w:color w:val="000000"/>
                <w:sz w:val="18"/>
                <w:szCs w:val="18"/>
              </w:rPr>
              <w:t xml:space="preserve"> 1.2: National and local government have the capacity to implement </w:t>
            </w:r>
            <w:r w:rsidR="00BC54AE" w:rsidRPr="000B2DCA">
              <w:rPr>
                <w:rFonts w:eastAsia="Calibri"/>
                <w:b/>
                <w:i/>
                <w:iCs/>
                <w:color w:val="000000"/>
                <w:sz w:val="18"/>
                <w:szCs w:val="18"/>
              </w:rPr>
              <w:t>urban and rural poverty</w:t>
            </w:r>
            <w:r w:rsidR="00BC54AE" w:rsidRPr="000B2DCA">
              <w:rPr>
                <w:rFonts w:eastAsia="Calibri"/>
                <w:b/>
                <w:iCs/>
                <w:color w:val="000000"/>
                <w:sz w:val="18"/>
                <w:szCs w:val="18"/>
              </w:rPr>
              <w:t xml:space="preserve"> policies and programmes </w:t>
            </w:r>
          </w:p>
          <w:p w14:paraId="71297835" w14:textId="1BD72E62" w:rsidR="00BC54AE" w:rsidRPr="000B2DCA" w:rsidRDefault="00BC54AE" w:rsidP="000B2DCA">
            <w:pPr>
              <w:tabs>
                <w:tab w:val="left" w:pos="900"/>
                <w:tab w:val="left" w:pos="990"/>
                <w:tab w:val="left" w:pos="8640"/>
                <w:tab w:val="left" w:pos="9180"/>
              </w:tabs>
              <w:spacing w:after="60"/>
              <w:rPr>
                <w:rFonts w:eastAsia="Calibri"/>
                <w:iCs/>
                <w:color w:val="000000"/>
                <w:sz w:val="18"/>
                <w:szCs w:val="18"/>
              </w:rPr>
            </w:pPr>
            <w:r w:rsidRPr="000B2DCA">
              <w:rPr>
                <w:rFonts w:eastAsia="Calibri"/>
                <w:b/>
                <w:iCs/>
                <w:color w:val="000000"/>
                <w:sz w:val="18"/>
                <w:szCs w:val="18"/>
              </w:rPr>
              <w:t xml:space="preserve">Indicator 1.2.1. </w:t>
            </w:r>
            <w:r w:rsidRPr="000B2DCA">
              <w:rPr>
                <w:rFonts w:eastAsia="Calibri"/>
                <w:iCs/>
                <w:color w:val="000000"/>
                <w:sz w:val="18"/>
                <w:szCs w:val="18"/>
              </w:rPr>
              <w:t>N</w:t>
            </w:r>
            <w:r w:rsidRPr="000B2DCA">
              <w:rPr>
                <w:rFonts w:eastAsia="Calibri"/>
                <w:iCs/>
                <w:sz w:val="18"/>
                <w:szCs w:val="18"/>
              </w:rPr>
              <w:t xml:space="preserve">umber of new full-time equivalent jobs created and livelihoods strengthened for women and </w:t>
            </w:r>
            <w:r w:rsidR="00EF0501">
              <w:rPr>
                <w:rFonts w:eastAsia="Calibri"/>
                <w:iCs/>
                <w:sz w:val="18"/>
                <w:szCs w:val="18"/>
              </w:rPr>
              <w:t xml:space="preserve">youth </w:t>
            </w:r>
            <w:r w:rsidRPr="000B2DCA">
              <w:rPr>
                <w:rFonts w:eastAsia="Calibri"/>
                <w:iCs/>
                <w:sz w:val="18"/>
                <w:szCs w:val="18"/>
              </w:rPr>
              <w:t>15+ years old as a direct result of UNDP interventions, disaggregated by sex</w:t>
            </w:r>
            <w:r w:rsidR="00EF0501">
              <w:rPr>
                <w:rFonts w:eastAsia="Calibri"/>
                <w:iCs/>
                <w:sz w:val="18"/>
                <w:szCs w:val="18"/>
              </w:rPr>
              <w:t>.</w:t>
            </w:r>
            <w:r w:rsidRPr="000B2DCA">
              <w:rPr>
                <w:rFonts w:eastAsia="Calibri"/>
                <w:iCs/>
                <w:sz w:val="18"/>
                <w:szCs w:val="18"/>
              </w:rPr>
              <w:t xml:space="preserve"> Baseline</w:t>
            </w:r>
            <w:r w:rsidR="001B3418" w:rsidRPr="000B2DCA">
              <w:rPr>
                <w:rFonts w:eastAsia="Calibri"/>
                <w:iCs/>
                <w:sz w:val="18"/>
                <w:szCs w:val="18"/>
              </w:rPr>
              <w:t xml:space="preserve"> (</w:t>
            </w:r>
            <w:r w:rsidRPr="000B2DCA">
              <w:rPr>
                <w:rFonts w:eastAsia="Calibri"/>
                <w:iCs/>
                <w:sz w:val="18"/>
                <w:szCs w:val="18"/>
              </w:rPr>
              <w:t>2016</w:t>
            </w:r>
            <w:r w:rsidR="001B3418" w:rsidRPr="000B2DCA">
              <w:rPr>
                <w:rFonts w:eastAsia="Calibri"/>
                <w:iCs/>
                <w:sz w:val="18"/>
                <w:szCs w:val="18"/>
              </w:rPr>
              <w:t>)</w:t>
            </w:r>
            <w:r w:rsidRPr="000B2DCA">
              <w:rPr>
                <w:rFonts w:eastAsia="Calibri"/>
                <w:iCs/>
                <w:sz w:val="18"/>
                <w:szCs w:val="18"/>
              </w:rPr>
              <w:t>: women: 1.4</w:t>
            </w:r>
            <w:r w:rsidR="00EF0501">
              <w:rPr>
                <w:rFonts w:eastAsia="Calibri"/>
                <w:iCs/>
                <w:sz w:val="18"/>
                <w:szCs w:val="18"/>
              </w:rPr>
              <w:t> </w:t>
            </w:r>
            <w:r w:rsidRPr="000B2DCA">
              <w:rPr>
                <w:rFonts w:eastAsia="Calibri"/>
                <w:iCs/>
                <w:sz w:val="18"/>
                <w:szCs w:val="18"/>
              </w:rPr>
              <w:t>m</w:t>
            </w:r>
            <w:r w:rsidR="00EF0501">
              <w:rPr>
                <w:rFonts w:eastAsia="Calibri"/>
                <w:iCs/>
                <w:sz w:val="18"/>
                <w:szCs w:val="18"/>
              </w:rPr>
              <w:t>illion;</w:t>
            </w:r>
            <w:r w:rsidRPr="000B2DCA">
              <w:rPr>
                <w:rFonts w:eastAsia="Calibri"/>
                <w:iCs/>
                <w:sz w:val="18"/>
                <w:szCs w:val="18"/>
              </w:rPr>
              <w:t xml:space="preserve"> men: 2.1</w:t>
            </w:r>
            <w:r w:rsidR="00EF0501">
              <w:rPr>
                <w:rFonts w:eastAsia="Calibri"/>
                <w:iCs/>
                <w:sz w:val="18"/>
                <w:szCs w:val="18"/>
              </w:rPr>
              <w:t xml:space="preserve"> </w:t>
            </w:r>
            <w:r w:rsidRPr="000B2DCA">
              <w:rPr>
                <w:rFonts w:eastAsia="Calibri"/>
                <w:iCs/>
                <w:sz w:val="18"/>
                <w:szCs w:val="18"/>
              </w:rPr>
              <w:t>m</w:t>
            </w:r>
            <w:r w:rsidR="00EF0501">
              <w:rPr>
                <w:rFonts w:eastAsia="Calibri"/>
                <w:iCs/>
                <w:sz w:val="18"/>
                <w:szCs w:val="18"/>
              </w:rPr>
              <w:t>illion;</w:t>
            </w:r>
            <w:r w:rsidRPr="000B2DCA">
              <w:rPr>
                <w:rFonts w:eastAsia="Calibri"/>
                <w:iCs/>
                <w:sz w:val="18"/>
                <w:szCs w:val="18"/>
              </w:rPr>
              <w:t xml:space="preserve"> total: 3</w:t>
            </w:r>
            <w:r w:rsidR="00EF0501">
              <w:rPr>
                <w:rFonts w:eastAsia="Calibri"/>
                <w:iCs/>
                <w:sz w:val="18"/>
                <w:szCs w:val="18"/>
              </w:rPr>
              <w:t>.</w:t>
            </w:r>
            <w:r w:rsidRPr="000B2DCA">
              <w:rPr>
                <w:rFonts w:eastAsia="Calibri"/>
                <w:iCs/>
                <w:sz w:val="18"/>
                <w:szCs w:val="18"/>
              </w:rPr>
              <w:t>5m</w:t>
            </w:r>
            <w:r w:rsidR="00EF0501">
              <w:rPr>
                <w:rFonts w:eastAsia="Calibri"/>
                <w:iCs/>
                <w:sz w:val="18"/>
                <w:szCs w:val="18"/>
              </w:rPr>
              <w:t>illion</w:t>
            </w:r>
            <w:r w:rsidRPr="000B2DCA">
              <w:rPr>
                <w:rFonts w:eastAsia="Calibri"/>
                <w:iCs/>
                <w:sz w:val="18"/>
                <w:szCs w:val="18"/>
              </w:rPr>
              <w:t xml:space="preserve">; </w:t>
            </w:r>
            <w:r w:rsidR="00EF0501">
              <w:rPr>
                <w:rFonts w:eastAsia="Calibri"/>
                <w:iCs/>
                <w:sz w:val="18"/>
                <w:szCs w:val="18"/>
              </w:rPr>
              <w:t>t</w:t>
            </w:r>
            <w:r w:rsidRPr="000B2DCA">
              <w:rPr>
                <w:rFonts w:eastAsia="Calibri"/>
                <w:iCs/>
                <w:sz w:val="18"/>
                <w:szCs w:val="18"/>
              </w:rPr>
              <w:t xml:space="preserve">arget </w:t>
            </w:r>
            <w:r w:rsidR="001B3418" w:rsidRPr="000B2DCA">
              <w:rPr>
                <w:rFonts w:eastAsia="Calibri"/>
                <w:iCs/>
                <w:sz w:val="18"/>
                <w:szCs w:val="18"/>
              </w:rPr>
              <w:t>(</w:t>
            </w:r>
            <w:r w:rsidRPr="000B2DCA">
              <w:rPr>
                <w:rFonts w:eastAsia="Calibri"/>
                <w:iCs/>
                <w:sz w:val="18"/>
                <w:szCs w:val="18"/>
              </w:rPr>
              <w:t>2020</w:t>
            </w:r>
            <w:r w:rsidR="001B3418" w:rsidRPr="000B2DCA">
              <w:rPr>
                <w:rFonts w:eastAsia="Calibri"/>
                <w:iCs/>
                <w:sz w:val="18"/>
                <w:szCs w:val="18"/>
              </w:rPr>
              <w:t>)</w:t>
            </w:r>
            <w:r w:rsidRPr="000B2DCA">
              <w:rPr>
                <w:rFonts w:eastAsia="Calibri"/>
                <w:iCs/>
                <w:sz w:val="18"/>
                <w:szCs w:val="18"/>
              </w:rPr>
              <w:t>: 5</w:t>
            </w:r>
            <w:r w:rsidR="00EF0501">
              <w:rPr>
                <w:rFonts w:eastAsia="Calibri"/>
                <w:iCs/>
                <w:sz w:val="18"/>
                <w:szCs w:val="18"/>
              </w:rPr>
              <w:t xml:space="preserve"> million</w:t>
            </w:r>
            <w:r w:rsidRPr="000B2DCA">
              <w:rPr>
                <w:rFonts w:eastAsia="Calibri"/>
                <w:iCs/>
                <w:sz w:val="18"/>
                <w:szCs w:val="18"/>
              </w:rPr>
              <w:t xml:space="preserve">; </w:t>
            </w:r>
            <w:r w:rsidR="00123FAE">
              <w:rPr>
                <w:rFonts w:eastAsia="Calibri"/>
                <w:iCs/>
                <w:sz w:val="18"/>
                <w:szCs w:val="18"/>
              </w:rPr>
              <w:t>d</w:t>
            </w:r>
            <w:r w:rsidRPr="000B2DCA">
              <w:rPr>
                <w:rFonts w:eastAsia="Calibri"/>
                <w:iCs/>
                <w:sz w:val="18"/>
                <w:szCs w:val="18"/>
              </w:rPr>
              <w:t>isaggregation: by sex; Source: UNDP Management Information System (</w:t>
            </w:r>
            <w:r w:rsidRPr="000B2DCA">
              <w:rPr>
                <w:rFonts w:eastAsia="Calibri"/>
                <w:iCs/>
                <w:color w:val="000000"/>
                <w:sz w:val="18"/>
                <w:szCs w:val="18"/>
              </w:rPr>
              <w:t>IRRF</w:t>
            </w:r>
            <w:r w:rsidR="00EF0501">
              <w:rPr>
                <w:rFonts w:eastAsia="Calibri"/>
                <w:iCs/>
                <w:color w:val="000000"/>
                <w:sz w:val="18"/>
                <w:szCs w:val="18"/>
              </w:rPr>
              <w:t> </w:t>
            </w:r>
            <w:r w:rsidRPr="000B2DCA">
              <w:rPr>
                <w:rFonts w:eastAsia="Calibri"/>
                <w:iCs/>
                <w:color w:val="000000"/>
                <w:sz w:val="18"/>
                <w:szCs w:val="18"/>
              </w:rPr>
              <w:t>1.1.1.A.1.1.)</w:t>
            </w:r>
          </w:p>
          <w:p w14:paraId="5EF58A21" w14:textId="0D3D1FB6" w:rsidR="00BC54AE" w:rsidRPr="000B2DCA" w:rsidRDefault="00BC54AE" w:rsidP="000B2DCA">
            <w:pPr>
              <w:tabs>
                <w:tab w:val="left" w:pos="900"/>
                <w:tab w:val="left" w:pos="990"/>
                <w:tab w:val="left" w:pos="8640"/>
                <w:tab w:val="left" w:pos="9180"/>
              </w:tabs>
              <w:spacing w:after="60"/>
              <w:ind w:right="855"/>
              <w:rPr>
                <w:rFonts w:eastAsia="Calibri"/>
                <w:iCs/>
                <w:sz w:val="18"/>
                <w:szCs w:val="18"/>
              </w:rPr>
            </w:pPr>
            <w:r w:rsidRPr="000B2DCA">
              <w:rPr>
                <w:rFonts w:eastAsia="Calibri"/>
                <w:b/>
                <w:iCs/>
                <w:sz w:val="18"/>
                <w:szCs w:val="18"/>
              </w:rPr>
              <w:lastRenderedPageBreak/>
              <w:t>Indicator 1.2.2.</w:t>
            </w:r>
            <w:r w:rsidRPr="000B2DCA">
              <w:rPr>
                <w:rFonts w:eastAsia="Calibri"/>
                <w:iCs/>
                <w:sz w:val="18"/>
                <w:szCs w:val="18"/>
              </w:rPr>
              <w:t xml:space="preserve"> Number of urban women and men </w:t>
            </w:r>
            <w:r w:rsidR="00A9332D">
              <w:rPr>
                <w:rFonts w:eastAsia="Calibri"/>
                <w:iCs/>
                <w:sz w:val="18"/>
                <w:szCs w:val="18"/>
              </w:rPr>
              <w:t xml:space="preserve">who </w:t>
            </w:r>
            <w:r w:rsidRPr="000B2DCA">
              <w:rPr>
                <w:rFonts w:eastAsia="Calibri"/>
                <w:iCs/>
                <w:sz w:val="18"/>
                <w:szCs w:val="18"/>
              </w:rPr>
              <w:t>are working 6 months after training or apprenticeship has ended</w:t>
            </w:r>
            <w:r w:rsidR="00123FAE">
              <w:rPr>
                <w:rFonts w:eastAsia="Calibri"/>
                <w:iCs/>
                <w:sz w:val="18"/>
                <w:szCs w:val="18"/>
              </w:rPr>
              <w:t>.</w:t>
            </w:r>
            <w:r w:rsidR="001B3418" w:rsidRPr="000B2DCA">
              <w:rPr>
                <w:rFonts w:eastAsia="Calibri"/>
                <w:iCs/>
                <w:sz w:val="18"/>
                <w:szCs w:val="18"/>
              </w:rPr>
              <w:t xml:space="preserve"> </w:t>
            </w:r>
            <w:r w:rsidRPr="000B2DCA">
              <w:rPr>
                <w:rFonts w:eastAsia="Calibri"/>
                <w:iCs/>
                <w:sz w:val="18"/>
                <w:szCs w:val="18"/>
              </w:rPr>
              <w:t>Baseline</w:t>
            </w:r>
            <w:r w:rsidR="001B3418" w:rsidRPr="000B2DCA">
              <w:rPr>
                <w:rFonts w:eastAsia="Calibri"/>
                <w:iCs/>
                <w:sz w:val="18"/>
                <w:szCs w:val="18"/>
              </w:rPr>
              <w:t xml:space="preserve"> (</w:t>
            </w:r>
            <w:r w:rsidRPr="000B2DCA">
              <w:rPr>
                <w:rFonts w:eastAsia="Calibri"/>
                <w:iCs/>
                <w:sz w:val="18"/>
                <w:szCs w:val="18"/>
              </w:rPr>
              <w:t>2016</w:t>
            </w:r>
            <w:r w:rsidR="001B3418" w:rsidRPr="000B2DCA">
              <w:rPr>
                <w:rFonts w:eastAsia="Calibri"/>
                <w:iCs/>
                <w:sz w:val="18"/>
                <w:szCs w:val="18"/>
              </w:rPr>
              <w:t>)</w:t>
            </w:r>
            <w:r w:rsidRPr="000B2DCA">
              <w:rPr>
                <w:rFonts w:eastAsia="Calibri"/>
                <w:iCs/>
                <w:sz w:val="18"/>
                <w:szCs w:val="18"/>
              </w:rPr>
              <w:t>: women: 163</w:t>
            </w:r>
            <w:r w:rsidR="00123FAE">
              <w:rPr>
                <w:rFonts w:eastAsia="Calibri"/>
                <w:iCs/>
                <w:sz w:val="18"/>
                <w:szCs w:val="18"/>
              </w:rPr>
              <w:t>,</w:t>
            </w:r>
            <w:r w:rsidRPr="000B2DCA">
              <w:rPr>
                <w:rFonts w:eastAsia="Calibri"/>
                <w:iCs/>
                <w:sz w:val="18"/>
                <w:szCs w:val="18"/>
              </w:rPr>
              <w:t>267, men: 43</w:t>
            </w:r>
            <w:r w:rsidR="00123FAE">
              <w:rPr>
                <w:rFonts w:eastAsia="Calibri"/>
                <w:iCs/>
                <w:sz w:val="18"/>
                <w:szCs w:val="18"/>
              </w:rPr>
              <w:t>,</w:t>
            </w:r>
            <w:r w:rsidRPr="000B2DCA">
              <w:rPr>
                <w:rFonts w:eastAsia="Calibri"/>
                <w:iCs/>
                <w:sz w:val="18"/>
                <w:szCs w:val="18"/>
              </w:rPr>
              <w:t>984, total: 207</w:t>
            </w:r>
            <w:r w:rsidR="00123FAE">
              <w:rPr>
                <w:rFonts w:eastAsia="Calibri"/>
                <w:iCs/>
                <w:sz w:val="18"/>
                <w:szCs w:val="18"/>
              </w:rPr>
              <w:t>,</w:t>
            </w:r>
            <w:r w:rsidRPr="000B2DCA">
              <w:rPr>
                <w:rFonts w:eastAsia="Calibri"/>
                <w:iCs/>
                <w:sz w:val="18"/>
                <w:szCs w:val="18"/>
              </w:rPr>
              <w:t>251</w:t>
            </w:r>
            <w:r w:rsidR="00B17EDC">
              <w:rPr>
                <w:rFonts w:eastAsia="Calibri"/>
                <w:iCs/>
                <w:sz w:val="18"/>
                <w:szCs w:val="18"/>
              </w:rPr>
              <w:t>.</w:t>
            </w:r>
            <w:r w:rsidRPr="000B2DCA">
              <w:rPr>
                <w:rFonts w:eastAsia="Calibri"/>
                <w:iCs/>
                <w:sz w:val="18"/>
                <w:szCs w:val="18"/>
              </w:rPr>
              <w:t xml:space="preserve"> Target </w:t>
            </w:r>
            <w:r w:rsidR="00123FAE">
              <w:rPr>
                <w:rFonts w:eastAsia="Calibri"/>
                <w:iCs/>
                <w:sz w:val="18"/>
                <w:szCs w:val="18"/>
              </w:rPr>
              <w:t>(</w:t>
            </w:r>
            <w:r w:rsidRPr="000B2DCA">
              <w:rPr>
                <w:rFonts w:eastAsia="Calibri"/>
                <w:iCs/>
                <w:sz w:val="18"/>
                <w:szCs w:val="18"/>
              </w:rPr>
              <w:t>2020</w:t>
            </w:r>
            <w:r w:rsidR="00123FAE">
              <w:rPr>
                <w:rFonts w:eastAsia="Calibri"/>
                <w:iCs/>
                <w:sz w:val="18"/>
                <w:szCs w:val="18"/>
              </w:rPr>
              <w:t>)</w:t>
            </w:r>
            <w:r w:rsidRPr="000B2DCA">
              <w:rPr>
                <w:rFonts w:eastAsia="Calibri"/>
                <w:iCs/>
                <w:sz w:val="18"/>
                <w:szCs w:val="18"/>
              </w:rPr>
              <w:t>: women: 332 267</w:t>
            </w:r>
            <w:r w:rsidR="00123FAE">
              <w:rPr>
                <w:rFonts w:eastAsia="Calibri"/>
                <w:iCs/>
                <w:sz w:val="18"/>
                <w:szCs w:val="18"/>
              </w:rPr>
              <w:t>,</w:t>
            </w:r>
            <w:r w:rsidRPr="000B2DCA">
              <w:rPr>
                <w:rFonts w:eastAsia="Calibri"/>
                <w:iCs/>
                <w:sz w:val="18"/>
                <w:szCs w:val="18"/>
              </w:rPr>
              <w:t xml:space="preserve"> men</w:t>
            </w:r>
            <w:r w:rsidR="001B3418" w:rsidRPr="000B2DCA">
              <w:rPr>
                <w:rFonts w:eastAsia="Calibri"/>
                <w:iCs/>
                <w:sz w:val="18"/>
                <w:szCs w:val="18"/>
              </w:rPr>
              <w:t xml:space="preserve"> </w:t>
            </w:r>
            <w:r w:rsidRPr="000B2DCA">
              <w:rPr>
                <w:rFonts w:eastAsia="Calibri"/>
                <w:iCs/>
                <w:sz w:val="18"/>
                <w:szCs w:val="18"/>
              </w:rPr>
              <w:t>:96</w:t>
            </w:r>
            <w:r w:rsidR="00123FAE">
              <w:rPr>
                <w:rFonts w:eastAsia="Calibri"/>
                <w:iCs/>
                <w:sz w:val="18"/>
                <w:szCs w:val="18"/>
              </w:rPr>
              <w:t>,</w:t>
            </w:r>
            <w:r w:rsidRPr="000B2DCA">
              <w:rPr>
                <w:rFonts w:eastAsia="Calibri"/>
                <w:iCs/>
                <w:sz w:val="18"/>
                <w:szCs w:val="18"/>
              </w:rPr>
              <w:t>984</w:t>
            </w:r>
            <w:r w:rsidR="00123FAE">
              <w:rPr>
                <w:rFonts w:eastAsia="Calibri"/>
                <w:iCs/>
                <w:sz w:val="18"/>
                <w:szCs w:val="18"/>
              </w:rPr>
              <w:t>,</w:t>
            </w:r>
            <w:r w:rsidRPr="000B2DCA">
              <w:rPr>
                <w:rFonts w:eastAsia="Calibri"/>
                <w:iCs/>
                <w:sz w:val="18"/>
                <w:szCs w:val="18"/>
              </w:rPr>
              <w:t xml:space="preserve"> total 432 251; </w:t>
            </w:r>
            <w:r w:rsidR="00123FAE">
              <w:rPr>
                <w:rFonts w:eastAsia="Calibri"/>
                <w:iCs/>
                <w:sz w:val="18"/>
                <w:szCs w:val="18"/>
              </w:rPr>
              <w:t>d</w:t>
            </w:r>
            <w:r w:rsidRPr="000B2DCA">
              <w:rPr>
                <w:rFonts w:eastAsia="Calibri"/>
                <w:iCs/>
                <w:sz w:val="18"/>
                <w:szCs w:val="18"/>
              </w:rPr>
              <w:t xml:space="preserve">isaggregation: by sex; </w:t>
            </w:r>
            <w:r w:rsidR="00123FAE">
              <w:rPr>
                <w:rFonts w:eastAsia="Calibri"/>
                <w:iCs/>
                <w:sz w:val="18"/>
                <w:szCs w:val="18"/>
              </w:rPr>
              <w:t>s</w:t>
            </w:r>
            <w:r w:rsidRPr="000B2DCA">
              <w:rPr>
                <w:rFonts w:eastAsia="Calibri"/>
                <w:iCs/>
                <w:sz w:val="18"/>
                <w:szCs w:val="18"/>
              </w:rPr>
              <w:t>ource: Follow-up sample surveys</w:t>
            </w:r>
          </w:p>
          <w:p w14:paraId="0CC0FE04" w14:textId="517203CE" w:rsidR="00BC54AE" w:rsidRPr="000B2DCA" w:rsidRDefault="00BC54AE" w:rsidP="000B2DCA">
            <w:pPr>
              <w:tabs>
                <w:tab w:val="left" w:pos="900"/>
                <w:tab w:val="left" w:pos="990"/>
                <w:tab w:val="left" w:pos="8640"/>
                <w:tab w:val="left" w:pos="9180"/>
              </w:tabs>
              <w:spacing w:after="60"/>
              <w:ind w:right="855"/>
              <w:rPr>
                <w:rFonts w:eastAsia="Calibri"/>
                <w:iCs/>
                <w:color w:val="000000"/>
                <w:sz w:val="18"/>
                <w:szCs w:val="18"/>
              </w:rPr>
            </w:pPr>
            <w:r w:rsidRPr="000B2DCA">
              <w:rPr>
                <w:rFonts w:eastAsia="Calibri"/>
                <w:b/>
                <w:iCs/>
                <w:color w:val="000000"/>
                <w:sz w:val="18"/>
                <w:szCs w:val="18"/>
              </w:rPr>
              <w:t xml:space="preserve">Indicator 1.2.3. </w:t>
            </w:r>
            <w:r w:rsidRPr="000B2DCA">
              <w:rPr>
                <w:rFonts w:eastAsia="Calibri"/>
                <w:iCs/>
                <w:sz w:val="18"/>
                <w:szCs w:val="18"/>
              </w:rPr>
              <w:t>Number of people benefiting from livelihoods strengthened through solutions for management of natural resources, ecosystem services, chemicals and waste</w:t>
            </w:r>
            <w:r w:rsidR="00B17EDC">
              <w:rPr>
                <w:rFonts w:eastAsia="Calibri"/>
                <w:iCs/>
                <w:sz w:val="18"/>
                <w:szCs w:val="18"/>
              </w:rPr>
              <w:t>.</w:t>
            </w:r>
            <w:r w:rsidRPr="000B2DCA">
              <w:rPr>
                <w:rFonts w:eastAsia="Calibri"/>
                <w:iCs/>
                <w:sz w:val="18"/>
                <w:szCs w:val="18"/>
              </w:rPr>
              <w:t xml:space="preserve"> </w:t>
            </w:r>
            <w:r w:rsidRPr="000B2DCA">
              <w:rPr>
                <w:rFonts w:eastAsia="Calibri"/>
                <w:iCs/>
                <w:color w:val="000000"/>
                <w:sz w:val="18"/>
                <w:szCs w:val="18"/>
              </w:rPr>
              <w:t xml:space="preserve">Baseline </w:t>
            </w:r>
            <w:r w:rsidR="00B17EDC">
              <w:rPr>
                <w:rFonts w:eastAsia="Calibri"/>
                <w:iCs/>
                <w:color w:val="000000"/>
                <w:sz w:val="18"/>
                <w:szCs w:val="18"/>
              </w:rPr>
              <w:t>(</w:t>
            </w:r>
            <w:r w:rsidRPr="000B2DCA">
              <w:rPr>
                <w:rFonts w:eastAsia="Calibri"/>
                <w:iCs/>
                <w:color w:val="000000"/>
                <w:sz w:val="18"/>
                <w:szCs w:val="18"/>
              </w:rPr>
              <w:t>2016</w:t>
            </w:r>
            <w:r w:rsidR="00B17EDC">
              <w:rPr>
                <w:rFonts w:eastAsia="Calibri"/>
                <w:iCs/>
                <w:color w:val="000000"/>
                <w:sz w:val="18"/>
                <w:szCs w:val="18"/>
              </w:rPr>
              <w:t xml:space="preserve">): </w:t>
            </w:r>
            <w:r w:rsidRPr="000B2DCA">
              <w:rPr>
                <w:rFonts w:eastAsia="Calibri"/>
                <w:iCs/>
                <w:sz w:val="18"/>
                <w:szCs w:val="18"/>
              </w:rPr>
              <w:t>women:</w:t>
            </w:r>
            <w:r w:rsidR="001B3418" w:rsidRPr="000B2DCA">
              <w:rPr>
                <w:rFonts w:eastAsia="Calibri"/>
                <w:iCs/>
                <w:sz w:val="18"/>
                <w:szCs w:val="18"/>
              </w:rPr>
              <w:t xml:space="preserve"> </w:t>
            </w:r>
            <w:r w:rsidRPr="000B2DCA">
              <w:rPr>
                <w:rFonts w:eastAsia="Calibri"/>
                <w:iCs/>
                <w:sz w:val="18"/>
                <w:szCs w:val="18"/>
              </w:rPr>
              <w:t>11</w:t>
            </w:r>
            <w:r w:rsidR="00B17EDC">
              <w:rPr>
                <w:rFonts w:eastAsia="Calibri"/>
                <w:iCs/>
                <w:sz w:val="18"/>
                <w:szCs w:val="18"/>
              </w:rPr>
              <w:t>,</w:t>
            </w:r>
            <w:r w:rsidRPr="000B2DCA">
              <w:rPr>
                <w:rFonts w:eastAsia="Calibri"/>
                <w:iCs/>
                <w:sz w:val="18"/>
                <w:szCs w:val="18"/>
              </w:rPr>
              <w:t>799</w:t>
            </w:r>
            <w:r w:rsidR="00B17EDC">
              <w:rPr>
                <w:rFonts w:eastAsia="Calibri"/>
                <w:iCs/>
                <w:sz w:val="18"/>
                <w:szCs w:val="18"/>
              </w:rPr>
              <w:t xml:space="preserve">, </w:t>
            </w:r>
            <w:r w:rsidRPr="000B2DCA">
              <w:rPr>
                <w:rFonts w:eastAsia="Calibri"/>
                <w:iCs/>
                <w:sz w:val="18"/>
                <w:szCs w:val="18"/>
              </w:rPr>
              <w:t>men: 18</w:t>
            </w:r>
            <w:r w:rsidR="00B17EDC">
              <w:rPr>
                <w:rFonts w:eastAsia="Calibri"/>
                <w:iCs/>
                <w:sz w:val="18"/>
                <w:szCs w:val="18"/>
              </w:rPr>
              <w:t>,</w:t>
            </w:r>
            <w:r w:rsidRPr="000B2DCA">
              <w:rPr>
                <w:rFonts w:eastAsia="Calibri"/>
                <w:iCs/>
                <w:sz w:val="18"/>
                <w:szCs w:val="18"/>
              </w:rPr>
              <w:t>469</w:t>
            </w:r>
            <w:r w:rsidR="0061291A" w:rsidRPr="000B2DCA">
              <w:rPr>
                <w:rFonts w:eastAsia="Calibri"/>
                <w:iCs/>
                <w:sz w:val="18"/>
                <w:szCs w:val="18"/>
              </w:rPr>
              <w:t xml:space="preserve">, </w:t>
            </w:r>
            <w:r w:rsidRPr="000B2DCA">
              <w:rPr>
                <w:rFonts w:eastAsia="Calibri"/>
                <w:iCs/>
                <w:sz w:val="18"/>
                <w:szCs w:val="18"/>
              </w:rPr>
              <w:t>total</w:t>
            </w:r>
            <w:r w:rsidRPr="000B2DCA">
              <w:rPr>
                <w:rFonts w:eastAsia="Calibri"/>
                <w:iCs/>
                <w:color w:val="000000"/>
                <w:sz w:val="18"/>
                <w:szCs w:val="18"/>
              </w:rPr>
              <w:t>: 30</w:t>
            </w:r>
            <w:r w:rsidR="00B17EDC">
              <w:rPr>
                <w:rFonts w:eastAsia="Calibri"/>
                <w:iCs/>
                <w:color w:val="000000"/>
                <w:sz w:val="18"/>
                <w:szCs w:val="18"/>
              </w:rPr>
              <w:t>,</w:t>
            </w:r>
            <w:r w:rsidRPr="000B2DCA">
              <w:rPr>
                <w:rFonts w:eastAsia="Calibri"/>
                <w:iCs/>
                <w:color w:val="000000"/>
                <w:sz w:val="18"/>
                <w:szCs w:val="18"/>
              </w:rPr>
              <w:t>268</w:t>
            </w:r>
            <w:r w:rsidR="00B17EDC">
              <w:rPr>
                <w:rFonts w:eastAsia="Calibri"/>
                <w:iCs/>
                <w:color w:val="000000"/>
                <w:sz w:val="18"/>
                <w:szCs w:val="18"/>
              </w:rPr>
              <w:t>.</w:t>
            </w:r>
            <w:r w:rsidRPr="000B2DCA">
              <w:rPr>
                <w:rFonts w:eastAsia="Calibri"/>
                <w:iCs/>
                <w:color w:val="000000"/>
                <w:sz w:val="18"/>
                <w:szCs w:val="18"/>
              </w:rPr>
              <w:t xml:space="preserve"> Target </w:t>
            </w:r>
            <w:r w:rsidR="00B17EDC">
              <w:rPr>
                <w:rFonts w:eastAsia="Calibri"/>
                <w:iCs/>
                <w:color w:val="000000"/>
                <w:sz w:val="18"/>
                <w:szCs w:val="18"/>
              </w:rPr>
              <w:t>(</w:t>
            </w:r>
            <w:r w:rsidRPr="000B2DCA">
              <w:rPr>
                <w:rFonts w:eastAsia="Calibri"/>
                <w:iCs/>
                <w:color w:val="000000"/>
                <w:sz w:val="18"/>
                <w:szCs w:val="18"/>
              </w:rPr>
              <w:t>2020</w:t>
            </w:r>
            <w:r w:rsidR="00B17EDC">
              <w:rPr>
                <w:rFonts w:eastAsia="Calibri"/>
                <w:iCs/>
                <w:color w:val="000000"/>
                <w:sz w:val="18"/>
                <w:szCs w:val="18"/>
              </w:rPr>
              <w:t>)</w:t>
            </w:r>
            <w:r w:rsidRPr="000B2DCA">
              <w:rPr>
                <w:rFonts w:eastAsia="Calibri"/>
                <w:iCs/>
                <w:color w:val="000000"/>
                <w:sz w:val="18"/>
                <w:szCs w:val="18"/>
              </w:rPr>
              <w:t xml:space="preserve">: </w:t>
            </w:r>
            <w:r w:rsidRPr="000B2DCA">
              <w:rPr>
                <w:rFonts w:eastAsia="Calibri"/>
                <w:iCs/>
                <w:sz w:val="18"/>
                <w:szCs w:val="18"/>
              </w:rPr>
              <w:t>women: 44</w:t>
            </w:r>
            <w:r w:rsidR="00B17EDC">
              <w:rPr>
                <w:rFonts w:eastAsia="Calibri"/>
                <w:iCs/>
                <w:sz w:val="18"/>
                <w:szCs w:val="18"/>
              </w:rPr>
              <w:t>,</w:t>
            </w:r>
            <w:r w:rsidRPr="000B2DCA">
              <w:rPr>
                <w:rFonts w:eastAsia="Calibri"/>
                <w:iCs/>
                <w:sz w:val="18"/>
                <w:szCs w:val="18"/>
              </w:rPr>
              <w:t>000</w:t>
            </w:r>
            <w:r w:rsidR="001B3418" w:rsidRPr="000B2DCA">
              <w:rPr>
                <w:rFonts w:eastAsia="Calibri"/>
                <w:iCs/>
                <w:sz w:val="18"/>
                <w:szCs w:val="18"/>
              </w:rPr>
              <w:t xml:space="preserve">, </w:t>
            </w:r>
            <w:r w:rsidRPr="000B2DCA">
              <w:rPr>
                <w:rFonts w:eastAsia="Calibri"/>
                <w:iCs/>
                <w:sz w:val="18"/>
                <w:szCs w:val="18"/>
              </w:rPr>
              <w:t>men: 66</w:t>
            </w:r>
            <w:r w:rsidR="00B17EDC">
              <w:rPr>
                <w:rFonts w:eastAsia="Calibri"/>
                <w:iCs/>
                <w:sz w:val="18"/>
                <w:szCs w:val="18"/>
              </w:rPr>
              <w:t>,</w:t>
            </w:r>
            <w:r w:rsidRPr="000B2DCA">
              <w:rPr>
                <w:rFonts w:eastAsia="Calibri"/>
                <w:iCs/>
                <w:sz w:val="18"/>
                <w:szCs w:val="18"/>
              </w:rPr>
              <w:t>000</w:t>
            </w:r>
            <w:r w:rsidR="00B17EDC">
              <w:rPr>
                <w:rFonts w:eastAsia="Calibri"/>
                <w:iCs/>
                <w:sz w:val="18"/>
                <w:szCs w:val="18"/>
              </w:rPr>
              <w:t>,</w:t>
            </w:r>
            <w:r w:rsidRPr="000B2DCA">
              <w:rPr>
                <w:rFonts w:eastAsia="Calibri"/>
                <w:iCs/>
                <w:sz w:val="18"/>
                <w:szCs w:val="18"/>
              </w:rPr>
              <w:t xml:space="preserve"> total </w:t>
            </w:r>
            <w:r w:rsidRPr="000B2DCA">
              <w:rPr>
                <w:rFonts w:eastAsia="Calibri"/>
                <w:iCs/>
                <w:color w:val="000000"/>
                <w:sz w:val="18"/>
                <w:szCs w:val="18"/>
              </w:rPr>
              <w:t>110</w:t>
            </w:r>
            <w:r w:rsidR="00B17EDC">
              <w:rPr>
                <w:rFonts w:eastAsia="Calibri"/>
                <w:iCs/>
                <w:color w:val="000000"/>
                <w:sz w:val="18"/>
                <w:szCs w:val="18"/>
              </w:rPr>
              <w:t>,</w:t>
            </w:r>
            <w:r w:rsidRPr="000B2DCA">
              <w:rPr>
                <w:rFonts w:eastAsia="Calibri"/>
                <w:iCs/>
                <w:color w:val="000000"/>
                <w:sz w:val="18"/>
                <w:szCs w:val="18"/>
              </w:rPr>
              <w:t xml:space="preserve">000; </w:t>
            </w:r>
            <w:r w:rsidR="00B17EDC">
              <w:rPr>
                <w:rFonts w:eastAsia="Calibri"/>
                <w:iCs/>
                <w:sz w:val="18"/>
                <w:szCs w:val="18"/>
              </w:rPr>
              <w:t>d</w:t>
            </w:r>
            <w:r w:rsidRPr="000B2DCA">
              <w:rPr>
                <w:rFonts w:eastAsia="Calibri"/>
                <w:iCs/>
                <w:sz w:val="18"/>
                <w:szCs w:val="18"/>
              </w:rPr>
              <w:t>isaggregation: by sex</w:t>
            </w:r>
            <w:r w:rsidR="00B17EDC">
              <w:rPr>
                <w:rFonts w:eastAsia="Calibri"/>
                <w:iCs/>
                <w:sz w:val="18"/>
                <w:szCs w:val="18"/>
              </w:rPr>
              <w:t>;</w:t>
            </w:r>
            <w:r w:rsidRPr="000B2DCA">
              <w:rPr>
                <w:rFonts w:eastAsia="Calibri"/>
                <w:iCs/>
                <w:color w:val="000000"/>
                <w:sz w:val="18"/>
                <w:szCs w:val="18"/>
              </w:rPr>
              <w:t xml:space="preserve"> </w:t>
            </w:r>
            <w:r w:rsidR="00B17EDC">
              <w:rPr>
                <w:rFonts w:eastAsia="Calibri"/>
                <w:iCs/>
                <w:color w:val="000000"/>
                <w:sz w:val="18"/>
                <w:szCs w:val="18"/>
              </w:rPr>
              <w:t>s</w:t>
            </w:r>
            <w:r w:rsidRPr="000B2DCA">
              <w:rPr>
                <w:rFonts w:eastAsia="Calibri"/>
                <w:iCs/>
                <w:color w:val="000000"/>
                <w:sz w:val="18"/>
                <w:szCs w:val="18"/>
              </w:rPr>
              <w:t>ource: UNDP MIS (IRRF 1.3.2.A)</w:t>
            </w:r>
          </w:p>
          <w:p w14:paraId="62DD93C0" w14:textId="77777777" w:rsidR="00BC54AE" w:rsidRPr="000B2DCA" w:rsidRDefault="00BC54AE" w:rsidP="000B2DCA">
            <w:pPr>
              <w:tabs>
                <w:tab w:val="left" w:pos="900"/>
                <w:tab w:val="left" w:pos="990"/>
                <w:tab w:val="left" w:pos="8640"/>
                <w:tab w:val="left" w:pos="9180"/>
              </w:tabs>
              <w:spacing w:after="60"/>
              <w:ind w:right="855"/>
              <w:rPr>
                <w:rFonts w:eastAsia="Calibri"/>
                <w:b/>
                <w:iCs/>
                <w:color w:val="000000"/>
                <w:sz w:val="18"/>
                <w:szCs w:val="18"/>
              </w:rPr>
            </w:pPr>
            <w:r w:rsidRPr="000B2DCA">
              <w:rPr>
                <w:rFonts w:eastAsia="Calibri"/>
                <w:b/>
                <w:iCs/>
                <w:color w:val="000000"/>
                <w:sz w:val="18"/>
                <w:szCs w:val="18"/>
              </w:rPr>
              <w:t xml:space="preserve">OUTPUT 1.3: Government has the capacity to create an enabling environment for </w:t>
            </w:r>
            <w:r w:rsidRPr="000B2DCA">
              <w:rPr>
                <w:rFonts w:eastAsia="Calibri"/>
                <w:b/>
                <w:i/>
                <w:iCs/>
                <w:color w:val="000000"/>
                <w:sz w:val="18"/>
                <w:szCs w:val="18"/>
              </w:rPr>
              <w:t>pro-poor and green growth</w:t>
            </w:r>
            <w:r w:rsidRPr="000B2DCA">
              <w:rPr>
                <w:rFonts w:eastAsia="Calibri"/>
                <w:b/>
                <w:iCs/>
                <w:color w:val="000000"/>
                <w:sz w:val="18"/>
                <w:szCs w:val="18"/>
              </w:rPr>
              <w:t xml:space="preserve"> </w:t>
            </w:r>
          </w:p>
          <w:p w14:paraId="697A24B5" w14:textId="77777777" w:rsidR="00BC54AE" w:rsidRPr="000B2DCA" w:rsidRDefault="00BC54AE" w:rsidP="000B2DCA">
            <w:pPr>
              <w:tabs>
                <w:tab w:val="left" w:pos="900"/>
                <w:tab w:val="left" w:pos="990"/>
                <w:tab w:val="left" w:pos="8640"/>
                <w:tab w:val="left" w:pos="9180"/>
              </w:tabs>
              <w:spacing w:after="60"/>
              <w:ind w:right="855"/>
              <w:rPr>
                <w:rFonts w:eastAsia="Calibri"/>
                <w:iCs/>
                <w:sz w:val="18"/>
                <w:szCs w:val="18"/>
              </w:rPr>
            </w:pPr>
            <w:r w:rsidRPr="000B2DCA">
              <w:rPr>
                <w:rFonts w:eastAsia="Calibri"/>
                <w:b/>
                <w:iCs/>
                <w:color w:val="000000"/>
                <w:sz w:val="18"/>
                <w:szCs w:val="18"/>
              </w:rPr>
              <w:t>Indicator 1.3.1:</w:t>
            </w:r>
            <w:r w:rsidRPr="000B2DCA">
              <w:rPr>
                <w:rFonts w:eastAsia="Calibri"/>
                <w:sz w:val="18"/>
                <w:szCs w:val="18"/>
              </w:rPr>
              <w:t xml:space="preserve"> </w:t>
            </w:r>
            <w:r w:rsidRPr="000B2DCA">
              <w:rPr>
                <w:rFonts w:eastAsia="Calibri"/>
                <w:iCs/>
                <w:sz w:val="18"/>
                <w:szCs w:val="18"/>
              </w:rPr>
              <w:t>Number of new development partnerships with funding for improved energy efficiency and/or sustainable energy solutions targeting underserved communities/groups and women, Baseline 2015: 1; Target 2020: 5; Source: UNDP annual desk review (</w:t>
            </w:r>
            <w:r w:rsidRPr="000B2DCA">
              <w:rPr>
                <w:rFonts w:eastAsia="Calibri"/>
                <w:iCs/>
                <w:color w:val="000000"/>
                <w:sz w:val="18"/>
                <w:szCs w:val="18"/>
              </w:rPr>
              <w:t>IRRF 1.5.1</w:t>
            </w:r>
            <w:r w:rsidRPr="000B2DCA">
              <w:rPr>
                <w:rFonts w:eastAsia="Calibri"/>
                <w:iCs/>
                <w:sz w:val="18"/>
                <w:szCs w:val="18"/>
              </w:rPr>
              <w:t>)</w:t>
            </w:r>
          </w:p>
          <w:p w14:paraId="0DDF2C8B" w14:textId="77777777" w:rsidR="00BC54AE" w:rsidRPr="000B2DCA" w:rsidRDefault="00BC54AE" w:rsidP="000B2DCA">
            <w:pPr>
              <w:tabs>
                <w:tab w:val="left" w:pos="900"/>
                <w:tab w:val="left" w:pos="990"/>
                <w:tab w:val="left" w:pos="8640"/>
                <w:tab w:val="left" w:pos="9180"/>
              </w:tabs>
              <w:spacing w:after="60"/>
              <w:ind w:right="855"/>
              <w:rPr>
                <w:rFonts w:eastAsia="Calibri"/>
                <w:iCs/>
                <w:sz w:val="18"/>
                <w:szCs w:val="18"/>
              </w:rPr>
            </w:pPr>
            <w:r w:rsidRPr="000B2DCA">
              <w:rPr>
                <w:rFonts w:eastAsia="Calibri"/>
                <w:b/>
                <w:iCs/>
                <w:color w:val="000000"/>
                <w:sz w:val="18"/>
                <w:szCs w:val="18"/>
              </w:rPr>
              <w:t>Indicator1.3.2:</w:t>
            </w:r>
            <w:r w:rsidRPr="000B2DCA">
              <w:rPr>
                <w:rFonts w:eastAsia="Calibri"/>
                <w:sz w:val="18"/>
                <w:szCs w:val="18"/>
              </w:rPr>
              <w:t xml:space="preserve"> </w:t>
            </w:r>
            <w:r w:rsidRPr="000B2DCA">
              <w:rPr>
                <w:rFonts w:eastAsia="Calibri"/>
                <w:iCs/>
                <w:color w:val="000000"/>
                <w:sz w:val="18"/>
                <w:szCs w:val="18"/>
              </w:rPr>
              <w:t>Number</w:t>
            </w:r>
            <w:r w:rsidRPr="000B2DCA">
              <w:rPr>
                <w:rFonts w:eastAsia="Calibri"/>
                <w:iCs/>
                <w:sz w:val="18"/>
                <w:szCs w:val="18"/>
              </w:rPr>
              <w:t xml:space="preserve"> of people with improved access to renewable energy, disaggregated by sex; Baseline 2016: 30.568; Target 2020: 600 000; Source: SREpGen MIS (</w:t>
            </w:r>
            <w:r w:rsidRPr="000B2DCA">
              <w:rPr>
                <w:rFonts w:eastAsia="Calibri"/>
                <w:iCs/>
                <w:color w:val="000000"/>
                <w:sz w:val="18"/>
                <w:szCs w:val="18"/>
              </w:rPr>
              <w:t>IRRF 1.5.2.A</w:t>
            </w:r>
            <w:r w:rsidRPr="000B2DCA">
              <w:rPr>
                <w:rFonts w:eastAsia="Calibri"/>
                <w:iCs/>
                <w:sz w:val="18"/>
                <w:szCs w:val="18"/>
              </w:rPr>
              <w:t>)</w:t>
            </w:r>
          </w:p>
          <w:p w14:paraId="45BC7C7B" w14:textId="1E08DA3E" w:rsidR="00BC54AE" w:rsidRPr="000B2DCA" w:rsidRDefault="00BC54AE" w:rsidP="000B2DCA">
            <w:pPr>
              <w:tabs>
                <w:tab w:val="left" w:pos="900"/>
                <w:tab w:val="left" w:pos="990"/>
                <w:tab w:val="left" w:pos="8640"/>
                <w:tab w:val="left" w:pos="9180"/>
              </w:tabs>
              <w:spacing w:after="60"/>
              <w:ind w:right="855"/>
              <w:rPr>
                <w:rFonts w:eastAsia="Calibri"/>
                <w:iCs/>
                <w:sz w:val="18"/>
                <w:szCs w:val="18"/>
              </w:rPr>
            </w:pPr>
            <w:r w:rsidRPr="000B2DCA">
              <w:rPr>
                <w:rFonts w:eastAsia="Calibri"/>
                <w:b/>
                <w:iCs/>
                <w:color w:val="000000"/>
                <w:sz w:val="18"/>
                <w:szCs w:val="18"/>
              </w:rPr>
              <w:t xml:space="preserve">Indicator 1.3.3.: </w:t>
            </w:r>
            <w:r w:rsidRPr="000B2DCA">
              <w:rPr>
                <w:rFonts w:eastAsia="Calibri"/>
                <w:iCs/>
                <w:sz w:val="18"/>
                <w:szCs w:val="18"/>
              </w:rPr>
              <w:t>Number of new partnership mechanisms with funding for sustainable management solutions of natural resources, ecosystem services, chemicals and waste at national and/or sub-national level, Baseline 2016: 5; Target 2020: 15; Source: UNDP MIS (</w:t>
            </w:r>
            <w:r w:rsidRPr="000B2DCA">
              <w:rPr>
                <w:rFonts w:eastAsia="Calibri"/>
                <w:iCs/>
                <w:color w:val="000000"/>
                <w:sz w:val="18"/>
                <w:szCs w:val="18"/>
              </w:rPr>
              <w:t>IRRF 1.3.1.A.1.1)</w:t>
            </w:r>
          </w:p>
        </w:tc>
        <w:tc>
          <w:tcPr>
            <w:tcW w:w="615" w:type="pct"/>
          </w:tcPr>
          <w:p w14:paraId="6B00460F" w14:textId="7BEDA749" w:rsidR="00BC54AE" w:rsidRPr="000B2DCA" w:rsidRDefault="00BC54AE" w:rsidP="000B2DCA">
            <w:pPr>
              <w:tabs>
                <w:tab w:val="left" w:pos="900"/>
                <w:tab w:val="left" w:pos="990"/>
                <w:tab w:val="left" w:pos="8640"/>
                <w:tab w:val="left" w:pos="9180"/>
              </w:tabs>
              <w:rPr>
                <w:iCs/>
                <w:color w:val="000000"/>
                <w:sz w:val="18"/>
                <w:szCs w:val="18"/>
              </w:rPr>
            </w:pPr>
            <w:r w:rsidRPr="000B2DCA">
              <w:rPr>
                <w:iCs/>
                <w:color w:val="000000"/>
                <w:sz w:val="18"/>
                <w:szCs w:val="18"/>
              </w:rPr>
              <w:lastRenderedPageBreak/>
              <w:t xml:space="preserve">General </w:t>
            </w:r>
            <w:r w:rsidR="007B0C97">
              <w:rPr>
                <w:iCs/>
                <w:color w:val="000000"/>
                <w:sz w:val="18"/>
                <w:szCs w:val="18"/>
              </w:rPr>
              <w:t>E</w:t>
            </w:r>
            <w:r w:rsidRPr="000B2DCA">
              <w:rPr>
                <w:iCs/>
                <w:color w:val="000000"/>
                <w:sz w:val="18"/>
                <w:szCs w:val="18"/>
              </w:rPr>
              <w:t xml:space="preserve">conomic </w:t>
            </w:r>
            <w:r w:rsidR="007B0C97">
              <w:rPr>
                <w:iCs/>
                <w:color w:val="000000"/>
                <w:sz w:val="18"/>
                <w:szCs w:val="18"/>
              </w:rPr>
              <w:t>D</w:t>
            </w:r>
            <w:r w:rsidRPr="000B2DCA">
              <w:rPr>
                <w:iCs/>
                <w:color w:val="000000"/>
                <w:sz w:val="18"/>
                <w:szCs w:val="18"/>
              </w:rPr>
              <w:t>ivision</w:t>
            </w:r>
            <w:r w:rsidR="00DB64A0" w:rsidRPr="000B2DCA">
              <w:rPr>
                <w:iCs/>
                <w:color w:val="000000"/>
                <w:sz w:val="18"/>
                <w:szCs w:val="18"/>
              </w:rPr>
              <w:t xml:space="preserve"> </w:t>
            </w:r>
          </w:p>
          <w:p w14:paraId="048CA351" w14:textId="18F2FDD9" w:rsidR="00BC54AE" w:rsidRPr="000B2DCA" w:rsidRDefault="00BC54AE" w:rsidP="000B2DCA">
            <w:pPr>
              <w:tabs>
                <w:tab w:val="left" w:pos="900"/>
                <w:tab w:val="left" w:pos="990"/>
                <w:tab w:val="left" w:pos="8640"/>
                <w:tab w:val="left" w:pos="9180"/>
              </w:tabs>
              <w:rPr>
                <w:iCs/>
                <w:color w:val="000000"/>
                <w:sz w:val="18"/>
                <w:szCs w:val="18"/>
              </w:rPr>
            </w:pPr>
            <w:r w:rsidRPr="000B2DCA">
              <w:rPr>
                <w:iCs/>
                <w:color w:val="000000"/>
                <w:sz w:val="18"/>
                <w:szCs w:val="18"/>
              </w:rPr>
              <w:t>Local</w:t>
            </w:r>
            <w:r w:rsidR="00F82BC8" w:rsidRPr="000B2DCA">
              <w:rPr>
                <w:iCs/>
                <w:color w:val="000000"/>
                <w:sz w:val="18"/>
                <w:szCs w:val="18"/>
              </w:rPr>
              <w:t xml:space="preserve"> </w:t>
            </w:r>
            <w:r w:rsidR="007B0C97">
              <w:rPr>
                <w:iCs/>
                <w:color w:val="000000"/>
                <w:sz w:val="18"/>
                <w:szCs w:val="18"/>
              </w:rPr>
              <w:t>G</w:t>
            </w:r>
            <w:r w:rsidRPr="000B2DCA">
              <w:rPr>
                <w:iCs/>
                <w:color w:val="000000"/>
                <w:sz w:val="18"/>
                <w:szCs w:val="18"/>
              </w:rPr>
              <w:t xml:space="preserve">overnment </w:t>
            </w:r>
            <w:r w:rsidR="007B0C97">
              <w:rPr>
                <w:iCs/>
                <w:color w:val="000000"/>
                <w:sz w:val="18"/>
                <w:szCs w:val="18"/>
              </w:rPr>
              <w:t>D</w:t>
            </w:r>
            <w:r w:rsidRPr="000B2DCA">
              <w:rPr>
                <w:iCs/>
                <w:color w:val="000000"/>
                <w:sz w:val="18"/>
                <w:szCs w:val="18"/>
              </w:rPr>
              <w:t>ivision</w:t>
            </w:r>
          </w:p>
          <w:p w14:paraId="22620344" w14:textId="58BFC116" w:rsidR="00BC54AE" w:rsidRPr="000B2DCA" w:rsidRDefault="00BC54AE" w:rsidP="000B2DCA">
            <w:pPr>
              <w:tabs>
                <w:tab w:val="left" w:pos="900"/>
                <w:tab w:val="left" w:pos="990"/>
                <w:tab w:val="left" w:pos="8640"/>
                <w:tab w:val="left" w:pos="9180"/>
              </w:tabs>
              <w:rPr>
                <w:iCs/>
                <w:color w:val="000000"/>
                <w:sz w:val="18"/>
                <w:szCs w:val="18"/>
              </w:rPr>
            </w:pPr>
            <w:r w:rsidRPr="000B2DCA">
              <w:rPr>
                <w:iCs/>
                <w:color w:val="000000"/>
                <w:sz w:val="18"/>
                <w:szCs w:val="18"/>
              </w:rPr>
              <w:t>Statistics and</w:t>
            </w:r>
            <w:r w:rsidR="00F82BC8" w:rsidRPr="000B2DCA">
              <w:rPr>
                <w:iCs/>
                <w:color w:val="000000"/>
                <w:sz w:val="18"/>
                <w:szCs w:val="18"/>
              </w:rPr>
              <w:t xml:space="preserve"> </w:t>
            </w:r>
            <w:r w:rsidR="007B0C97">
              <w:rPr>
                <w:iCs/>
                <w:color w:val="000000"/>
                <w:sz w:val="18"/>
                <w:szCs w:val="18"/>
              </w:rPr>
              <w:t>I</w:t>
            </w:r>
            <w:r w:rsidRPr="000B2DCA">
              <w:rPr>
                <w:iCs/>
                <w:color w:val="000000"/>
                <w:sz w:val="18"/>
                <w:szCs w:val="18"/>
              </w:rPr>
              <w:t xml:space="preserve">nformatics </w:t>
            </w:r>
            <w:r w:rsidR="007B0C97">
              <w:rPr>
                <w:iCs/>
                <w:color w:val="000000"/>
                <w:sz w:val="18"/>
                <w:szCs w:val="18"/>
              </w:rPr>
              <w:t>D</w:t>
            </w:r>
            <w:r w:rsidRPr="000B2DCA">
              <w:rPr>
                <w:iCs/>
                <w:color w:val="000000"/>
                <w:sz w:val="18"/>
                <w:szCs w:val="18"/>
              </w:rPr>
              <w:t xml:space="preserve">ivision </w:t>
            </w:r>
          </w:p>
          <w:p w14:paraId="2523FAF5" w14:textId="177955B0" w:rsidR="00BC54AE" w:rsidRPr="000B2DCA" w:rsidRDefault="00BC54AE" w:rsidP="000B2DCA">
            <w:pPr>
              <w:tabs>
                <w:tab w:val="left" w:pos="900"/>
                <w:tab w:val="left" w:pos="990"/>
                <w:tab w:val="left" w:pos="8640"/>
                <w:tab w:val="left" w:pos="9180"/>
              </w:tabs>
              <w:rPr>
                <w:iCs/>
                <w:color w:val="000000"/>
                <w:sz w:val="18"/>
                <w:szCs w:val="18"/>
              </w:rPr>
            </w:pPr>
            <w:r w:rsidRPr="000B2DCA">
              <w:rPr>
                <w:iCs/>
                <w:color w:val="000000"/>
                <w:sz w:val="18"/>
                <w:szCs w:val="18"/>
              </w:rPr>
              <w:t xml:space="preserve">Economics </w:t>
            </w:r>
            <w:r w:rsidR="00F82BC8" w:rsidRPr="000B2DCA">
              <w:rPr>
                <w:iCs/>
                <w:color w:val="000000"/>
                <w:sz w:val="18"/>
                <w:szCs w:val="18"/>
              </w:rPr>
              <w:t>r</w:t>
            </w:r>
            <w:r w:rsidRPr="000B2DCA">
              <w:rPr>
                <w:iCs/>
                <w:color w:val="000000"/>
                <w:sz w:val="18"/>
                <w:szCs w:val="18"/>
              </w:rPr>
              <w:t xml:space="preserve">elations </w:t>
            </w:r>
            <w:r w:rsidR="007B0C97">
              <w:rPr>
                <w:iCs/>
                <w:color w:val="000000"/>
                <w:sz w:val="18"/>
                <w:szCs w:val="18"/>
              </w:rPr>
              <w:t>D</w:t>
            </w:r>
            <w:r w:rsidRPr="000B2DCA">
              <w:rPr>
                <w:iCs/>
                <w:color w:val="000000"/>
                <w:sz w:val="18"/>
                <w:szCs w:val="18"/>
              </w:rPr>
              <w:t>ivision</w:t>
            </w:r>
          </w:p>
          <w:p w14:paraId="25A71AE4" w14:textId="6F286AD4" w:rsidR="00BE2121" w:rsidRPr="000B2DCA" w:rsidRDefault="002D016B" w:rsidP="000B2DCA">
            <w:pPr>
              <w:tabs>
                <w:tab w:val="left" w:pos="900"/>
                <w:tab w:val="left" w:pos="990"/>
                <w:tab w:val="left" w:pos="8640"/>
                <w:tab w:val="left" w:pos="9180"/>
              </w:tabs>
              <w:rPr>
                <w:iCs/>
                <w:color w:val="000000"/>
                <w:sz w:val="18"/>
                <w:szCs w:val="18"/>
              </w:rPr>
            </w:pPr>
            <w:r w:rsidRPr="000B2DCA">
              <w:rPr>
                <w:iCs/>
                <w:color w:val="000000"/>
                <w:sz w:val="18"/>
                <w:szCs w:val="18"/>
              </w:rPr>
              <w:t>Ministries</w:t>
            </w:r>
            <w:r w:rsidR="00BC54AE" w:rsidRPr="000B2DCA">
              <w:rPr>
                <w:iCs/>
                <w:color w:val="000000"/>
                <w:sz w:val="18"/>
                <w:szCs w:val="18"/>
              </w:rPr>
              <w:t xml:space="preserve"> of </w:t>
            </w:r>
            <w:r w:rsidR="00F82BC8" w:rsidRPr="000B2DCA">
              <w:rPr>
                <w:iCs/>
                <w:color w:val="000000"/>
                <w:sz w:val="18"/>
                <w:szCs w:val="18"/>
              </w:rPr>
              <w:t>w</w:t>
            </w:r>
            <w:r w:rsidR="00BC54AE" w:rsidRPr="000B2DCA">
              <w:rPr>
                <w:iCs/>
                <w:color w:val="000000"/>
                <w:sz w:val="18"/>
                <w:szCs w:val="18"/>
              </w:rPr>
              <w:t>omen</w:t>
            </w:r>
            <w:r w:rsidR="00F82BC8" w:rsidRPr="000B2DCA">
              <w:rPr>
                <w:iCs/>
                <w:color w:val="000000"/>
                <w:sz w:val="18"/>
                <w:szCs w:val="18"/>
              </w:rPr>
              <w:t>’s</w:t>
            </w:r>
            <w:r w:rsidR="00BC54AE" w:rsidRPr="000B2DCA">
              <w:rPr>
                <w:iCs/>
                <w:color w:val="000000"/>
                <w:sz w:val="18"/>
                <w:szCs w:val="18"/>
              </w:rPr>
              <w:t xml:space="preserve"> and </w:t>
            </w:r>
            <w:r w:rsidR="00F82BC8" w:rsidRPr="000B2DCA">
              <w:rPr>
                <w:iCs/>
                <w:color w:val="000000"/>
                <w:sz w:val="18"/>
                <w:szCs w:val="18"/>
              </w:rPr>
              <w:t>c</w:t>
            </w:r>
            <w:r w:rsidR="00BC54AE" w:rsidRPr="000B2DCA">
              <w:rPr>
                <w:iCs/>
                <w:color w:val="000000"/>
                <w:sz w:val="18"/>
                <w:szCs w:val="18"/>
              </w:rPr>
              <w:t>hildren</w:t>
            </w:r>
            <w:r w:rsidR="00F82BC8" w:rsidRPr="000B2DCA">
              <w:rPr>
                <w:iCs/>
                <w:color w:val="000000"/>
                <w:sz w:val="18"/>
                <w:szCs w:val="18"/>
              </w:rPr>
              <w:t>’s</w:t>
            </w:r>
            <w:r w:rsidR="00BC54AE" w:rsidRPr="000B2DCA">
              <w:rPr>
                <w:iCs/>
                <w:color w:val="000000"/>
                <w:sz w:val="18"/>
                <w:szCs w:val="18"/>
              </w:rPr>
              <w:t xml:space="preserve"> </w:t>
            </w:r>
            <w:r w:rsidR="00F82BC8" w:rsidRPr="000B2DCA">
              <w:rPr>
                <w:iCs/>
                <w:color w:val="000000"/>
                <w:sz w:val="18"/>
                <w:szCs w:val="18"/>
              </w:rPr>
              <w:t>af</w:t>
            </w:r>
            <w:r w:rsidR="00BC54AE" w:rsidRPr="000B2DCA">
              <w:rPr>
                <w:iCs/>
                <w:color w:val="000000"/>
                <w:sz w:val="18"/>
                <w:szCs w:val="18"/>
              </w:rPr>
              <w:t>fairs</w:t>
            </w:r>
            <w:r w:rsidRPr="000B2DCA">
              <w:rPr>
                <w:iCs/>
                <w:color w:val="000000"/>
                <w:sz w:val="18"/>
                <w:szCs w:val="18"/>
              </w:rPr>
              <w:t xml:space="preserve">, </w:t>
            </w:r>
            <w:r w:rsidR="00F82BC8" w:rsidRPr="000B2DCA">
              <w:rPr>
                <w:iCs/>
                <w:color w:val="000000"/>
                <w:sz w:val="18"/>
                <w:szCs w:val="18"/>
              </w:rPr>
              <w:t>p</w:t>
            </w:r>
            <w:r w:rsidRPr="000B2DCA">
              <w:rPr>
                <w:iCs/>
                <w:color w:val="000000"/>
                <w:sz w:val="18"/>
                <w:szCs w:val="18"/>
              </w:rPr>
              <w:t xml:space="preserve">lanning, </w:t>
            </w:r>
            <w:r w:rsidR="00F82BC8" w:rsidRPr="000B2DCA">
              <w:rPr>
                <w:iCs/>
                <w:color w:val="000000"/>
                <w:sz w:val="18"/>
                <w:szCs w:val="18"/>
              </w:rPr>
              <w:t>f</w:t>
            </w:r>
            <w:r w:rsidRPr="000B2DCA">
              <w:rPr>
                <w:iCs/>
                <w:color w:val="000000"/>
                <w:sz w:val="18"/>
                <w:szCs w:val="18"/>
              </w:rPr>
              <w:t>inance</w:t>
            </w:r>
            <w:r w:rsidR="00B53278">
              <w:rPr>
                <w:iCs/>
                <w:color w:val="000000"/>
                <w:sz w:val="18"/>
                <w:szCs w:val="18"/>
              </w:rPr>
              <w:t xml:space="preserve"> </w:t>
            </w:r>
            <w:r w:rsidR="00BE2121" w:rsidRPr="000B2DCA">
              <w:rPr>
                <w:iCs/>
                <w:color w:val="000000"/>
                <w:sz w:val="18"/>
                <w:szCs w:val="18"/>
              </w:rPr>
              <w:t xml:space="preserve">Chittagong Hill Tract </w:t>
            </w:r>
            <w:r w:rsidR="00F82BC8" w:rsidRPr="000B2DCA">
              <w:rPr>
                <w:iCs/>
                <w:color w:val="000000"/>
                <w:sz w:val="18"/>
                <w:szCs w:val="18"/>
              </w:rPr>
              <w:t>a</w:t>
            </w:r>
            <w:r w:rsidR="00BE2121" w:rsidRPr="000B2DCA">
              <w:rPr>
                <w:iCs/>
                <w:color w:val="000000"/>
                <w:sz w:val="18"/>
                <w:szCs w:val="18"/>
              </w:rPr>
              <w:t>ffairs</w:t>
            </w:r>
            <w:r w:rsidRPr="000B2DCA">
              <w:rPr>
                <w:iCs/>
                <w:color w:val="000000"/>
                <w:sz w:val="18"/>
                <w:szCs w:val="18"/>
              </w:rPr>
              <w:t xml:space="preserve">, </w:t>
            </w:r>
            <w:r w:rsidR="00F82BC8" w:rsidRPr="000B2DCA">
              <w:rPr>
                <w:iCs/>
                <w:color w:val="000000"/>
                <w:sz w:val="18"/>
                <w:szCs w:val="18"/>
              </w:rPr>
              <w:t>l</w:t>
            </w:r>
            <w:r w:rsidRPr="000B2DCA">
              <w:rPr>
                <w:iCs/>
                <w:color w:val="000000"/>
                <w:sz w:val="18"/>
                <w:szCs w:val="18"/>
              </w:rPr>
              <w:t xml:space="preserve">ocal </w:t>
            </w:r>
            <w:r w:rsidR="00F82BC8" w:rsidRPr="000B2DCA">
              <w:rPr>
                <w:iCs/>
                <w:color w:val="000000"/>
                <w:sz w:val="18"/>
                <w:szCs w:val="18"/>
              </w:rPr>
              <w:t>g</w:t>
            </w:r>
            <w:r w:rsidRPr="000B2DCA">
              <w:rPr>
                <w:iCs/>
                <w:color w:val="000000"/>
                <w:sz w:val="18"/>
                <w:szCs w:val="18"/>
              </w:rPr>
              <w:t xml:space="preserve">overnment, </w:t>
            </w:r>
            <w:r w:rsidR="00F82BC8" w:rsidRPr="000B2DCA">
              <w:rPr>
                <w:iCs/>
                <w:color w:val="000000"/>
                <w:sz w:val="18"/>
                <w:szCs w:val="18"/>
              </w:rPr>
              <w:t>r</w:t>
            </w:r>
            <w:r w:rsidRPr="000B2DCA">
              <w:rPr>
                <w:iCs/>
                <w:color w:val="000000"/>
                <w:sz w:val="18"/>
                <w:szCs w:val="18"/>
              </w:rPr>
              <w:t xml:space="preserve">ural </w:t>
            </w:r>
            <w:r w:rsidR="00F82BC8" w:rsidRPr="000B2DCA">
              <w:rPr>
                <w:iCs/>
                <w:color w:val="000000"/>
                <w:sz w:val="18"/>
                <w:szCs w:val="18"/>
              </w:rPr>
              <w:t>d</w:t>
            </w:r>
            <w:r w:rsidRPr="000B2DCA">
              <w:rPr>
                <w:iCs/>
                <w:color w:val="000000"/>
                <w:sz w:val="18"/>
                <w:szCs w:val="18"/>
              </w:rPr>
              <w:t xml:space="preserve">evelopment and </w:t>
            </w:r>
            <w:r w:rsidR="00F82BC8" w:rsidRPr="000B2DCA">
              <w:rPr>
                <w:iCs/>
                <w:color w:val="000000"/>
                <w:sz w:val="18"/>
                <w:szCs w:val="18"/>
              </w:rPr>
              <w:t>c</w:t>
            </w:r>
            <w:r w:rsidRPr="000B2DCA">
              <w:rPr>
                <w:iCs/>
                <w:color w:val="000000"/>
                <w:sz w:val="18"/>
                <w:szCs w:val="18"/>
              </w:rPr>
              <w:t>ooperatives</w:t>
            </w:r>
            <w:r w:rsidR="00A9332D" w:rsidRPr="00CE320A">
              <w:rPr>
                <w:iCs/>
                <w:color w:val="000000"/>
                <w:sz w:val="18"/>
                <w:szCs w:val="18"/>
              </w:rPr>
              <w:t>,</w:t>
            </w:r>
            <w:r w:rsidR="00CE320A">
              <w:rPr>
                <w:iCs/>
                <w:color w:val="000000"/>
                <w:sz w:val="18"/>
                <w:szCs w:val="18"/>
              </w:rPr>
              <w:t xml:space="preserve"> </w:t>
            </w:r>
            <w:r w:rsidR="00BE2121" w:rsidRPr="000B2DCA">
              <w:rPr>
                <w:iCs/>
                <w:color w:val="000000"/>
                <w:sz w:val="18"/>
                <w:szCs w:val="18"/>
              </w:rPr>
              <w:t>B</w:t>
            </w:r>
            <w:r w:rsidR="00DB64A0" w:rsidRPr="000B2DCA">
              <w:rPr>
                <w:iCs/>
                <w:color w:val="000000"/>
                <w:sz w:val="18"/>
                <w:szCs w:val="18"/>
              </w:rPr>
              <w:t>BS</w:t>
            </w:r>
            <w:r w:rsidR="00CE320A">
              <w:rPr>
                <w:iCs/>
                <w:color w:val="000000"/>
                <w:sz w:val="18"/>
                <w:szCs w:val="18"/>
              </w:rPr>
              <w:t>,</w:t>
            </w:r>
          </w:p>
          <w:p w14:paraId="16BF51A8" w14:textId="7C97280B" w:rsidR="00BE2121" w:rsidRPr="000B2DCA" w:rsidRDefault="00DB64A0" w:rsidP="000B2DCA">
            <w:pPr>
              <w:tabs>
                <w:tab w:val="left" w:pos="900"/>
                <w:tab w:val="left" w:pos="990"/>
                <w:tab w:val="left" w:pos="8640"/>
                <w:tab w:val="left" w:pos="9180"/>
              </w:tabs>
              <w:rPr>
                <w:iCs/>
                <w:color w:val="000000"/>
                <w:sz w:val="18"/>
                <w:szCs w:val="18"/>
              </w:rPr>
            </w:pPr>
            <w:r w:rsidRPr="000B2DCA">
              <w:rPr>
                <w:iCs/>
                <w:color w:val="000000"/>
                <w:sz w:val="18"/>
                <w:szCs w:val="18"/>
              </w:rPr>
              <w:t>I</w:t>
            </w:r>
            <w:r w:rsidR="00A9332D">
              <w:rPr>
                <w:iCs/>
                <w:color w:val="000000"/>
                <w:sz w:val="18"/>
                <w:szCs w:val="18"/>
              </w:rPr>
              <w:t>mplement</w:t>
            </w:r>
            <w:r w:rsidR="007B0C97">
              <w:rPr>
                <w:iCs/>
                <w:color w:val="000000"/>
                <w:sz w:val="18"/>
                <w:szCs w:val="18"/>
              </w:rPr>
              <w:t>ation, Monitoring and Evaluation D</w:t>
            </w:r>
            <w:r w:rsidR="00CE320A">
              <w:rPr>
                <w:iCs/>
                <w:color w:val="000000"/>
                <w:sz w:val="18"/>
                <w:szCs w:val="18"/>
              </w:rPr>
              <w:t>ivision</w:t>
            </w:r>
          </w:p>
          <w:p w14:paraId="44AC4FAE" w14:textId="77777777" w:rsidR="00BC54AE" w:rsidRPr="000B2DCA" w:rsidRDefault="00BC54AE" w:rsidP="000B2DCA">
            <w:pPr>
              <w:tabs>
                <w:tab w:val="left" w:pos="900"/>
                <w:tab w:val="left" w:pos="990"/>
                <w:tab w:val="left" w:pos="8640"/>
                <w:tab w:val="left" w:pos="9180"/>
              </w:tabs>
              <w:rPr>
                <w:iCs/>
                <w:color w:val="000000"/>
                <w:sz w:val="18"/>
                <w:szCs w:val="18"/>
              </w:rPr>
            </w:pPr>
            <w:r w:rsidRPr="000B2DCA">
              <w:rPr>
                <w:iCs/>
                <w:color w:val="000000"/>
                <w:sz w:val="18"/>
                <w:szCs w:val="18"/>
              </w:rPr>
              <w:t>Denmark</w:t>
            </w:r>
          </w:p>
          <w:p w14:paraId="2179A226" w14:textId="77777777" w:rsidR="00BC54AE" w:rsidRPr="000B2DCA" w:rsidRDefault="00BC54AE" w:rsidP="000B2DCA">
            <w:pPr>
              <w:tabs>
                <w:tab w:val="left" w:pos="900"/>
                <w:tab w:val="left" w:pos="990"/>
                <w:tab w:val="left" w:pos="8640"/>
                <w:tab w:val="left" w:pos="9180"/>
              </w:tabs>
              <w:rPr>
                <w:iCs/>
                <w:color w:val="000000"/>
                <w:sz w:val="18"/>
                <w:szCs w:val="18"/>
              </w:rPr>
            </w:pPr>
            <w:r w:rsidRPr="000B2DCA">
              <w:rPr>
                <w:iCs/>
                <w:color w:val="000000"/>
                <w:sz w:val="18"/>
                <w:szCs w:val="18"/>
              </w:rPr>
              <w:lastRenderedPageBreak/>
              <w:t>European Union</w:t>
            </w:r>
          </w:p>
          <w:p w14:paraId="524E60C6" w14:textId="4DE836E4" w:rsidR="00BC54AE" w:rsidRPr="000B2DCA" w:rsidRDefault="002D016B" w:rsidP="000B2DCA">
            <w:pPr>
              <w:tabs>
                <w:tab w:val="left" w:pos="900"/>
                <w:tab w:val="left" w:pos="990"/>
                <w:tab w:val="left" w:pos="8640"/>
                <w:tab w:val="left" w:pos="9180"/>
              </w:tabs>
              <w:rPr>
                <w:iCs/>
                <w:color w:val="000000"/>
                <w:sz w:val="18"/>
                <w:szCs w:val="18"/>
              </w:rPr>
            </w:pPr>
            <w:r w:rsidRPr="000B2DCA">
              <w:rPr>
                <w:iCs/>
                <w:color w:val="000000"/>
                <w:sz w:val="18"/>
                <w:szCs w:val="18"/>
              </w:rPr>
              <w:t>UK</w:t>
            </w:r>
            <w:r w:rsidR="00B53278">
              <w:rPr>
                <w:iCs/>
                <w:color w:val="000000"/>
                <w:sz w:val="18"/>
                <w:szCs w:val="18"/>
              </w:rPr>
              <w:t>a</w:t>
            </w:r>
            <w:r w:rsidRPr="000B2DCA">
              <w:rPr>
                <w:iCs/>
                <w:color w:val="000000"/>
                <w:sz w:val="18"/>
                <w:szCs w:val="18"/>
              </w:rPr>
              <w:t>id</w:t>
            </w:r>
          </w:p>
          <w:p w14:paraId="23E36505" w14:textId="77777777" w:rsidR="00BC54AE" w:rsidRPr="000B2DCA" w:rsidRDefault="00BC54AE" w:rsidP="000B2DCA">
            <w:pPr>
              <w:tabs>
                <w:tab w:val="left" w:pos="900"/>
                <w:tab w:val="left" w:pos="990"/>
                <w:tab w:val="left" w:pos="8640"/>
                <w:tab w:val="left" w:pos="9180"/>
              </w:tabs>
              <w:rPr>
                <w:iCs/>
                <w:color w:val="000000"/>
                <w:sz w:val="18"/>
                <w:szCs w:val="18"/>
              </w:rPr>
            </w:pPr>
            <w:r w:rsidRPr="000B2DCA">
              <w:rPr>
                <w:iCs/>
                <w:color w:val="000000"/>
                <w:sz w:val="18"/>
                <w:szCs w:val="18"/>
              </w:rPr>
              <w:t>Sweden</w:t>
            </w:r>
          </w:p>
          <w:p w14:paraId="39E36DED" w14:textId="1624B18D" w:rsidR="004356A5" w:rsidRPr="000B2DCA" w:rsidRDefault="004356A5" w:rsidP="000B2DCA">
            <w:pPr>
              <w:tabs>
                <w:tab w:val="left" w:pos="900"/>
                <w:tab w:val="left" w:pos="990"/>
                <w:tab w:val="left" w:pos="8640"/>
                <w:tab w:val="left" w:pos="9180"/>
              </w:tabs>
              <w:rPr>
                <w:iCs/>
                <w:color w:val="000000"/>
                <w:sz w:val="18"/>
                <w:szCs w:val="18"/>
              </w:rPr>
            </w:pPr>
            <w:r w:rsidRPr="000B2DCA">
              <w:rPr>
                <w:iCs/>
                <w:color w:val="000000"/>
                <w:sz w:val="18"/>
                <w:szCs w:val="18"/>
              </w:rPr>
              <w:t>Asia</w:t>
            </w:r>
            <w:r w:rsidR="00E46D7F" w:rsidRPr="000B2DCA">
              <w:rPr>
                <w:iCs/>
                <w:color w:val="000000"/>
                <w:sz w:val="18"/>
                <w:szCs w:val="18"/>
              </w:rPr>
              <w:t>n</w:t>
            </w:r>
            <w:r w:rsidRPr="000B2DCA">
              <w:rPr>
                <w:iCs/>
                <w:color w:val="000000"/>
                <w:sz w:val="18"/>
                <w:szCs w:val="18"/>
              </w:rPr>
              <w:t xml:space="preserve"> Development Bank</w:t>
            </w:r>
          </w:p>
          <w:p w14:paraId="72BA6B52" w14:textId="74B41EF3" w:rsidR="00857CA1" w:rsidRPr="000B2DCA" w:rsidRDefault="00857CA1" w:rsidP="000B2DCA">
            <w:pPr>
              <w:tabs>
                <w:tab w:val="left" w:pos="900"/>
                <w:tab w:val="left" w:pos="990"/>
                <w:tab w:val="left" w:pos="8640"/>
                <w:tab w:val="left" w:pos="9180"/>
              </w:tabs>
              <w:rPr>
                <w:iCs/>
                <w:color w:val="000000"/>
                <w:sz w:val="18"/>
                <w:szCs w:val="18"/>
              </w:rPr>
            </w:pPr>
            <w:r w:rsidRPr="000B2DCA">
              <w:rPr>
                <w:iCs/>
                <w:color w:val="000000"/>
                <w:sz w:val="18"/>
                <w:szCs w:val="18"/>
              </w:rPr>
              <w:t>World Bank</w:t>
            </w:r>
          </w:p>
          <w:p w14:paraId="0E90C30F" w14:textId="6297C055" w:rsidR="00857CA1" w:rsidRPr="000B2DCA" w:rsidRDefault="00857CA1" w:rsidP="000B2DCA">
            <w:pPr>
              <w:tabs>
                <w:tab w:val="left" w:pos="900"/>
                <w:tab w:val="left" w:pos="990"/>
                <w:tab w:val="left" w:pos="8640"/>
                <w:tab w:val="left" w:pos="9180"/>
              </w:tabs>
              <w:rPr>
                <w:iCs/>
                <w:color w:val="000000"/>
                <w:sz w:val="18"/>
                <w:szCs w:val="18"/>
              </w:rPr>
            </w:pPr>
            <w:r w:rsidRPr="000B2DCA">
              <w:rPr>
                <w:iCs/>
                <w:color w:val="000000"/>
                <w:sz w:val="18"/>
                <w:szCs w:val="18"/>
              </w:rPr>
              <w:t>Islamic Development Bank</w:t>
            </w:r>
          </w:p>
          <w:p w14:paraId="3BC43DD7" w14:textId="77777777" w:rsidR="00BC54AE" w:rsidRPr="000B2DCA" w:rsidRDefault="00BC54AE" w:rsidP="000B2DCA">
            <w:pPr>
              <w:tabs>
                <w:tab w:val="left" w:pos="900"/>
                <w:tab w:val="left" w:pos="990"/>
                <w:tab w:val="left" w:pos="8640"/>
                <w:tab w:val="left" w:pos="9180"/>
              </w:tabs>
              <w:rPr>
                <w:iCs/>
                <w:color w:val="000000"/>
                <w:sz w:val="18"/>
                <w:szCs w:val="18"/>
              </w:rPr>
            </w:pPr>
            <w:r w:rsidRPr="000B2DCA">
              <w:rPr>
                <w:iCs/>
                <w:color w:val="000000"/>
                <w:sz w:val="18"/>
                <w:szCs w:val="18"/>
              </w:rPr>
              <w:t>ILO</w:t>
            </w:r>
          </w:p>
          <w:p w14:paraId="72853B51" w14:textId="608E9D45" w:rsidR="00BC54AE" w:rsidRPr="000B2DCA" w:rsidRDefault="00BC54AE" w:rsidP="000B2DCA">
            <w:pPr>
              <w:tabs>
                <w:tab w:val="left" w:pos="900"/>
                <w:tab w:val="left" w:pos="990"/>
                <w:tab w:val="left" w:pos="8640"/>
                <w:tab w:val="left" w:pos="9180"/>
              </w:tabs>
              <w:rPr>
                <w:iCs/>
                <w:color w:val="000000"/>
                <w:sz w:val="18"/>
                <w:szCs w:val="18"/>
              </w:rPr>
            </w:pPr>
            <w:r w:rsidRPr="000B2DCA">
              <w:rPr>
                <w:iCs/>
                <w:color w:val="000000"/>
                <w:sz w:val="18"/>
                <w:szCs w:val="18"/>
              </w:rPr>
              <w:t>UN</w:t>
            </w:r>
            <w:r w:rsidR="00E46D7F" w:rsidRPr="000B2DCA">
              <w:rPr>
                <w:iCs/>
                <w:color w:val="000000"/>
                <w:sz w:val="18"/>
                <w:szCs w:val="18"/>
              </w:rPr>
              <w:t>-</w:t>
            </w:r>
            <w:r w:rsidRPr="000B2DCA">
              <w:rPr>
                <w:iCs/>
                <w:color w:val="000000"/>
                <w:sz w:val="18"/>
                <w:szCs w:val="18"/>
              </w:rPr>
              <w:t>Women</w:t>
            </w:r>
          </w:p>
          <w:p w14:paraId="7C4186F0" w14:textId="77777777" w:rsidR="00BC54AE" w:rsidRPr="000B2DCA" w:rsidRDefault="00BC54AE" w:rsidP="000B2DCA">
            <w:pPr>
              <w:tabs>
                <w:tab w:val="left" w:pos="900"/>
                <w:tab w:val="left" w:pos="990"/>
                <w:tab w:val="left" w:pos="8640"/>
                <w:tab w:val="left" w:pos="9180"/>
              </w:tabs>
              <w:rPr>
                <w:iCs/>
                <w:color w:val="000000"/>
                <w:sz w:val="18"/>
                <w:szCs w:val="18"/>
              </w:rPr>
            </w:pPr>
            <w:r w:rsidRPr="000B2DCA">
              <w:rPr>
                <w:iCs/>
                <w:color w:val="000000"/>
                <w:sz w:val="18"/>
                <w:szCs w:val="18"/>
              </w:rPr>
              <w:t>UNICEF</w:t>
            </w:r>
          </w:p>
          <w:p w14:paraId="78E29068" w14:textId="77777777" w:rsidR="00BC54AE" w:rsidRPr="000B2DCA" w:rsidRDefault="00BC54AE" w:rsidP="000B2DCA">
            <w:pPr>
              <w:tabs>
                <w:tab w:val="left" w:pos="900"/>
                <w:tab w:val="left" w:pos="990"/>
                <w:tab w:val="left" w:pos="8640"/>
                <w:tab w:val="left" w:pos="9180"/>
              </w:tabs>
              <w:rPr>
                <w:iCs/>
                <w:color w:val="000000"/>
                <w:sz w:val="18"/>
                <w:szCs w:val="18"/>
              </w:rPr>
            </w:pPr>
            <w:r w:rsidRPr="000B2DCA">
              <w:rPr>
                <w:iCs/>
                <w:color w:val="000000"/>
                <w:sz w:val="18"/>
                <w:szCs w:val="18"/>
              </w:rPr>
              <w:t>UNCDF</w:t>
            </w:r>
          </w:p>
          <w:p w14:paraId="730617AA" w14:textId="5A34551A" w:rsidR="00AE73C9" w:rsidRPr="000B2DCA" w:rsidRDefault="00123FAE" w:rsidP="000B2DCA">
            <w:pPr>
              <w:tabs>
                <w:tab w:val="left" w:pos="900"/>
                <w:tab w:val="left" w:pos="990"/>
                <w:tab w:val="left" w:pos="8640"/>
                <w:tab w:val="left" w:pos="9180"/>
              </w:tabs>
              <w:rPr>
                <w:iCs/>
                <w:color w:val="000000"/>
                <w:sz w:val="18"/>
                <w:szCs w:val="18"/>
              </w:rPr>
            </w:pPr>
            <w:r>
              <w:rPr>
                <w:iCs/>
                <w:color w:val="000000"/>
                <w:sz w:val="18"/>
                <w:szCs w:val="18"/>
              </w:rPr>
              <w:t>Bangladesh Institute of Development Studies</w:t>
            </w:r>
          </w:p>
          <w:p w14:paraId="36EC019B" w14:textId="24B1BC03" w:rsidR="007B3EEC" w:rsidRPr="000B2DCA" w:rsidRDefault="00DB64A0" w:rsidP="000B2DCA">
            <w:pPr>
              <w:tabs>
                <w:tab w:val="left" w:pos="900"/>
                <w:tab w:val="left" w:pos="990"/>
                <w:tab w:val="left" w:pos="8640"/>
                <w:tab w:val="left" w:pos="9180"/>
              </w:tabs>
              <w:rPr>
                <w:iCs/>
                <w:color w:val="000000"/>
                <w:sz w:val="18"/>
                <w:szCs w:val="18"/>
              </w:rPr>
            </w:pPr>
            <w:r w:rsidRPr="000B2DCA">
              <w:rPr>
                <w:iCs/>
                <w:color w:val="000000"/>
                <w:sz w:val="18"/>
                <w:szCs w:val="18"/>
              </w:rPr>
              <w:t>C</w:t>
            </w:r>
            <w:r w:rsidR="00123FAE">
              <w:rPr>
                <w:iCs/>
                <w:color w:val="000000"/>
                <w:sz w:val="18"/>
                <w:szCs w:val="18"/>
              </w:rPr>
              <w:t>entre for Policy Dialogue</w:t>
            </w:r>
          </w:p>
          <w:p w14:paraId="04921396" w14:textId="77777777" w:rsidR="00AE73C9" w:rsidRPr="000B2DCA" w:rsidRDefault="00AE73C9" w:rsidP="000B2DCA">
            <w:pPr>
              <w:tabs>
                <w:tab w:val="left" w:pos="900"/>
                <w:tab w:val="left" w:pos="990"/>
                <w:tab w:val="left" w:pos="8640"/>
                <w:tab w:val="left" w:pos="9180"/>
              </w:tabs>
              <w:rPr>
                <w:iCs/>
                <w:color w:val="000000"/>
                <w:sz w:val="18"/>
                <w:szCs w:val="18"/>
              </w:rPr>
            </w:pPr>
          </w:p>
          <w:p w14:paraId="4418C032" w14:textId="77777777" w:rsidR="00AE73C9" w:rsidRPr="000B2DCA" w:rsidRDefault="00AE73C9" w:rsidP="000B2DCA">
            <w:pPr>
              <w:tabs>
                <w:tab w:val="left" w:pos="900"/>
                <w:tab w:val="left" w:pos="990"/>
                <w:tab w:val="left" w:pos="8640"/>
                <w:tab w:val="left" w:pos="9180"/>
              </w:tabs>
              <w:rPr>
                <w:iCs/>
                <w:color w:val="000000"/>
                <w:sz w:val="18"/>
                <w:szCs w:val="18"/>
              </w:rPr>
            </w:pPr>
          </w:p>
          <w:p w14:paraId="26CAE34A" w14:textId="77777777" w:rsidR="00BC54AE" w:rsidRPr="000B2DCA" w:rsidRDefault="00BC54AE" w:rsidP="000B2DCA">
            <w:pPr>
              <w:tabs>
                <w:tab w:val="left" w:pos="900"/>
                <w:tab w:val="left" w:pos="990"/>
                <w:tab w:val="left" w:pos="8640"/>
                <w:tab w:val="left" w:pos="9180"/>
              </w:tabs>
              <w:ind w:left="450"/>
              <w:rPr>
                <w:iCs/>
                <w:color w:val="000000"/>
                <w:sz w:val="18"/>
                <w:szCs w:val="18"/>
              </w:rPr>
            </w:pPr>
          </w:p>
          <w:p w14:paraId="507E4AF3" w14:textId="77777777" w:rsidR="00BC54AE" w:rsidRPr="000B2DCA" w:rsidRDefault="00BC54AE" w:rsidP="000B2DCA">
            <w:pPr>
              <w:tabs>
                <w:tab w:val="left" w:pos="900"/>
                <w:tab w:val="left" w:pos="990"/>
                <w:tab w:val="left" w:pos="8640"/>
                <w:tab w:val="left" w:pos="9180"/>
              </w:tabs>
              <w:ind w:left="450"/>
              <w:rPr>
                <w:iCs/>
                <w:color w:val="000000"/>
                <w:sz w:val="18"/>
                <w:szCs w:val="18"/>
              </w:rPr>
            </w:pPr>
          </w:p>
        </w:tc>
        <w:tc>
          <w:tcPr>
            <w:tcW w:w="565" w:type="pct"/>
            <w:tcMar>
              <w:top w:w="15" w:type="dxa"/>
              <w:left w:w="108" w:type="dxa"/>
              <w:bottom w:w="0" w:type="dxa"/>
              <w:right w:w="108" w:type="dxa"/>
            </w:tcMar>
          </w:tcPr>
          <w:p w14:paraId="180E278B" w14:textId="51867257" w:rsidR="00BC54AE" w:rsidRPr="000B2DCA" w:rsidRDefault="00BC54AE" w:rsidP="000B2DCA">
            <w:pPr>
              <w:tabs>
                <w:tab w:val="left" w:pos="900"/>
                <w:tab w:val="left" w:pos="990"/>
                <w:tab w:val="left" w:pos="8640"/>
                <w:tab w:val="left" w:pos="9180"/>
              </w:tabs>
              <w:rPr>
                <w:rFonts w:eastAsia="Calibri"/>
                <w:b/>
                <w:color w:val="000000"/>
                <w:sz w:val="18"/>
                <w:szCs w:val="18"/>
              </w:rPr>
            </w:pPr>
            <w:r w:rsidRPr="000B2DCA">
              <w:rPr>
                <w:rFonts w:eastAsia="Calibri"/>
                <w:b/>
                <w:color w:val="000000"/>
                <w:sz w:val="18"/>
                <w:szCs w:val="18"/>
              </w:rPr>
              <w:lastRenderedPageBreak/>
              <w:t xml:space="preserve">Regular </w:t>
            </w:r>
            <w:r w:rsidR="00F82BC8" w:rsidRPr="000B2DCA">
              <w:rPr>
                <w:rFonts w:eastAsia="Calibri"/>
                <w:b/>
                <w:color w:val="000000"/>
                <w:sz w:val="18"/>
                <w:szCs w:val="18"/>
              </w:rPr>
              <w:t>r</w:t>
            </w:r>
            <w:r w:rsidRPr="000B2DCA">
              <w:rPr>
                <w:rFonts w:eastAsia="Calibri"/>
                <w:b/>
                <w:color w:val="000000"/>
                <w:sz w:val="18"/>
                <w:szCs w:val="18"/>
              </w:rPr>
              <w:t>esources</w:t>
            </w:r>
          </w:p>
          <w:p w14:paraId="720FBC1C" w14:textId="58A4372B" w:rsidR="00BC54AE" w:rsidRPr="000B2DCA" w:rsidRDefault="007A23F7" w:rsidP="000B2DCA">
            <w:pPr>
              <w:tabs>
                <w:tab w:val="left" w:pos="900"/>
                <w:tab w:val="left" w:pos="990"/>
                <w:tab w:val="left" w:pos="8640"/>
                <w:tab w:val="left" w:pos="9180"/>
              </w:tabs>
              <w:rPr>
                <w:rFonts w:eastAsia="Calibri"/>
                <w:color w:val="000000"/>
                <w:sz w:val="18"/>
                <w:szCs w:val="18"/>
              </w:rPr>
            </w:pPr>
            <w:r w:rsidRPr="000B2DCA">
              <w:rPr>
                <w:rFonts w:eastAsia="Calibri"/>
                <w:color w:val="000000"/>
                <w:sz w:val="18"/>
                <w:szCs w:val="18"/>
              </w:rPr>
              <w:t>6</w:t>
            </w:r>
            <w:r w:rsidR="00BC54AE" w:rsidRPr="000B2DCA">
              <w:rPr>
                <w:rFonts w:eastAsia="Calibri"/>
                <w:color w:val="000000"/>
                <w:sz w:val="18"/>
                <w:szCs w:val="18"/>
              </w:rPr>
              <w:t>.0 million</w:t>
            </w:r>
          </w:p>
          <w:p w14:paraId="5BBE4B92" w14:textId="77777777" w:rsidR="00F82BC8" w:rsidRPr="000B2DCA" w:rsidRDefault="00F82BC8" w:rsidP="000B2DCA">
            <w:pPr>
              <w:tabs>
                <w:tab w:val="left" w:pos="900"/>
                <w:tab w:val="left" w:pos="990"/>
                <w:tab w:val="left" w:pos="8640"/>
                <w:tab w:val="left" w:pos="9180"/>
              </w:tabs>
              <w:rPr>
                <w:rFonts w:eastAsia="Calibri"/>
                <w:color w:val="000000"/>
                <w:sz w:val="18"/>
                <w:szCs w:val="18"/>
              </w:rPr>
            </w:pPr>
          </w:p>
          <w:p w14:paraId="60B07C59" w14:textId="2DDD56BD" w:rsidR="00BC54AE" w:rsidRPr="000B2DCA" w:rsidRDefault="00BC54AE" w:rsidP="000B2DCA">
            <w:pPr>
              <w:tabs>
                <w:tab w:val="left" w:pos="900"/>
                <w:tab w:val="left" w:pos="990"/>
                <w:tab w:val="left" w:pos="8640"/>
                <w:tab w:val="left" w:pos="9180"/>
              </w:tabs>
              <w:rPr>
                <w:rFonts w:eastAsia="Calibri"/>
                <w:b/>
                <w:color w:val="000000"/>
                <w:sz w:val="18"/>
                <w:szCs w:val="18"/>
              </w:rPr>
            </w:pPr>
            <w:r w:rsidRPr="000B2DCA">
              <w:rPr>
                <w:rFonts w:eastAsia="Calibri"/>
                <w:b/>
                <w:color w:val="000000"/>
                <w:sz w:val="18"/>
                <w:szCs w:val="18"/>
              </w:rPr>
              <w:t xml:space="preserve">Other </w:t>
            </w:r>
            <w:r w:rsidR="00F82BC8" w:rsidRPr="000B2DCA">
              <w:rPr>
                <w:rFonts w:eastAsia="Calibri"/>
                <w:b/>
                <w:color w:val="000000"/>
                <w:sz w:val="18"/>
                <w:szCs w:val="18"/>
              </w:rPr>
              <w:t>r</w:t>
            </w:r>
            <w:r w:rsidRPr="000B2DCA">
              <w:rPr>
                <w:rFonts w:eastAsia="Calibri"/>
                <w:b/>
                <w:color w:val="000000"/>
                <w:sz w:val="18"/>
                <w:szCs w:val="18"/>
              </w:rPr>
              <w:t>esources</w:t>
            </w:r>
          </w:p>
          <w:p w14:paraId="15E77B34" w14:textId="4BFE978D" w:rsidR="00BC54AE" w:rsidRPr="000B2DCA" w:rsidRDefault="007A23F7" w:rsidP="0009295E">
            <w:pPr>
              <w:tabs>
                <w:tab w:val="left" w:pos="900"/>
                <w:tab w:val="left" w:pos="990"/>
                <w:tab w:val="left" w:pos="8640"/>
                <w:tab w:val="left" w:pos="9180"/>
              </w:tabs>
              <w:rPr>
                <w:rFonts w:eastAsia="Calibri"/>
                <w:b/>
                <w:color w:val="000000"/>
                <w:sz w:val="18"/>
                <w:szCs w:val="18"/>
              </w:rPr>
            </w:pPr>
            <w:r w:rsidRPr="000B2DCA">
              <w:rPr>
                <w:rFonts w:eastAsia="Calibri"/>
                <w:color w:val="000000"/>
                <w:sz w:val="18"/>
                <w:szCs w:val="18"/>
              </w:rPr>
              <w:t>79</w:t>
            </w:r>
            <w:r w:rsidR="00BC54AE" w:rsidRPr="000B2DCA">
              <w:rPr>
                <w:rFonts w:eastAsia="Calibri"/>
                <w:color w:val="000000"/>
                <w:sz w:val="18"/>
                <w:szCs w:val="18"/>
              </w:rPr>
              <w:t>.3 million</w:t>
            </w:r>
          </w:p>
        </w:tc>
      </w:tr>
      <w:tr w:rsidR="00BC54AE" w:rsidRPr="00CD58A0" w14:paraId="3CA9E838" w14:textId="77777777" w:rsidTr="00443D38">
        <w:tc>
          <w:tcPr>
            <w:tcW w:w="5000" w:type="pct"/>
            <w:gridSpan w:val="6"/>
            <w:shd w:val="clear" w:color="auto" w:fill="auto"/>
            <w:tcMar>
              <w:top w:w="72" w:type="dxa"/>
              <w:left w:w="144" w:type="dxa"/>
              <w:bottom w:w="72" w:type="dxa"/>
              <w:right w:w="144" w:type="dxa"/>
            </w:tcMar>
          </w:tcPr>
          <w:p w14:paraId="4E917107" w14:textId="6951B885" w:rsidR="00BC54AE" w:rsidRPr="000B2DCA" w:rsidRDefault="00882844" w:rsidP="0009295E">
            <w:pPr>
              <w:tabs>
                <w:tab w:val="left" w:pos="900"/>
                <w:tab w:val="left" w:pos="990"/>
                <w:tab w:val="left" w:pos="8640"/>
                <w:tab w:val="left" w:pos="9180"/>
              </w:tabs>
              <w:ind w:left="31"/>
              <w:rPr>
                <w:rFonts w:eastAsia="Calibri"/>
                <w:color w:val="000000"/>
                <w:sz w:val="18"/>
                <w:szCs w:val="18"/>
              </w:rPr>
            </w:pPr>
            <w:r w:rsidRPr="000B2DCA">
              <w:rPr>
                <w:rFonts w:eastAsia="Calibri"/>
                <w:b/>
                <w:bCs/>
                <w:color w:val="000000"/>
                <w:sz w:val="18"/>
                <w:szCs w:val="18"/>
              </w:rPr>
              <w:t xml:space="preserve">National priority or goal: </w:t>
            </w:r>
            <w:r w:rsidR="00B17EDC">
              <w:rPr>
                <w:rFonts w:eastAsia="Calibri"/>
                <w:iCs/>
                <w:sz w:val="18"/>
                <w:szCs w:val="18"/>
              </w:rPr>
              <w:t>SDG</w:t>
            </w:r>
            <w:r w:rsidR="00B17EDC" w:rsidRPr="000B2DCA">
              <w:rPr>
                <w:rFonts w:eastAsia="Calibri"/>
                <w:iCs/>
                <w:sz w:val="18"/>
                <w:szCs w:val="18"/>
              </w:rPr>
              <w:t xml:space="preserve"> </w:t>
            </w:r>
            <w:r w:rsidRPr="000B2DCA">
              <w:rPr>
                <w:rFonts w:eastAsia="Calibri"/>
                <w:iCs/>
                <w:sz w:val="18"/>
                <w:szCs w:val="18"/>
              </w:rPr>
              <w:t>2, 3, 4, 5, 6, 8, 10, 16</w:t>
            </w:r>
            <w:r w:rsidR="00F46466" w:rsidRPr="000B2DCA">
              <w:rPr>
                <w:rFonts w:eastAsia="Calibri"/>
                <w:iCs/>
                <w:sz w:val="18"/>
                <w:szCs w:val="18"/>
              </w:rPr>
              <w:t xml:space="preserve">. </w:t>
            </w:r>
            <w:r w:rsidR="00B17EDC" w:rsidRPr="000B2DCA">
              <w:rPr>
                <w:rFonts w:eastAsia="Calibri"/>
                <w:iCs/>
                <w:sz w:val="18"/>
                <w:szCs w:val="18"/>
              </w:rPr>
              <w:t>7</w:t>
            </w:r>
            <w:r w:rsidR="00B17EDC">
              <w:rPr>
                <w:rFonts w:eastAsia="Calibri"/>
                <w:iCs/>
                <w:sz w:val="18"/>
                <w:szCs w:val="18"/>
              </w:rPr>
              <w:t>FYP</w:t>
            </w:r>
            <w:r w:rsidRPr="000B2DCA">
              <w:rPr>
                <w:rFonts w:eastAsia="Calibri"/>
                <w:iCs/>
                <w:sz w:val="18"/>
                <w:szCs w:val="18"/>
              </w:rPr>
              <w:t xml:space="preserve">: </w:t>
            </w:r>
            <w:r w:rsidR="00B17EDC">
              <w:rPr>
                <w:rFonts w:eastAsia="Calibri"/>
                <w:iCs/>
                <w:sz w:val="18"/>
                <w:szCs w:val="18"/>
              </w:rPr>
              <w:t>OS</w:t>
            </w:r>
            <w:r w:rsidRPr="000B2DCA">
              <w:rPr>
                <w:rFonts w:eastAsia="Calibri"/>
                <w:iCs/>
                <w:sz w:val="18"/>
                <w:szCs w:val="18"/>
              </w:rPr>
              <w:t>14</w:t>
            </w:r>
          </w:p>
        </w:tc>
      </w:tr>
      <w:tr w:rsidR="00BC54AE" w:rsidRPr="00CD58A0" w14:paraId="41165D1C" w14:textId="77777777" w:rsidTr="00443D38">
        <w:tc>
          <w:tcPr>
            <w:tcW w:w="5000" w:type="pct"/>
            <w:gridSpan w:val="6"/>
            <w:shd w:val="clear" w:color="auto" w:fill="auto"/>
            <w:tcMar>
              <w:top w:w="72" w:type="dxa"/>
              <w:left w:w="144" w:type="dxa"/>
              <w:bottom w:w="72" w:type="dxa"/>
              <w:right w:w="144" w:type="dxa"/>
            </w:tcMar>
          </w:tcPr>
          <w:p w14:paraId="5D3E7B8B" w14:textId="27A34B88" w:rsidR="00BC54AE" w:rsidRPr="000B2DCA" w:rsidRDefault="00BC54AE" w:rsidP="0009295E">
            <w:pPr>
              <w:tabs>
                <w:tab w:val="left" w:pos="900"/>
                <w:tab w:val="left" w:pos="990"/>
                <w:tab w:val="left" w:pos="8640"/>
                <w:tab w:val="left" w:pos="9180"/>
              </w:tabs>
              <w:ind w:left="31"/>
              <w:rPr>
                <w:rFonts w:eastAsia="Calibri"/>
                <w:color w:val="000000"/>
                <w:sz w:val="18"/>
                <w:szCs w:val="18"/>
              </w:rPr>
            </w:pPr>
            <w:r w:rsidRPr="000B2DCA">
              <w:rPr>
                <w:rFonts w:eastAsia="Calibri"/>
                <w:b/>
                <w:bCs/>
                <w:color w:val="000000"/>
                <w:sz w:val="18"/>
                <w:szCs w:val="18"/>
              </w:rPr>
              <w:t xml:space="preserve">UNDAF </w:t>
            </w:r>
            <w:r w:rsidR="00882844" w:rsidRPr="000B2DCA">
              <w:rPr>
                <w:rFonts w:eastAsia="Calibri"/>
                <w:b/>
                <w:bCs/>
                <w:color w:val="000000"/>
                <w:sz w:val="18"/>
                <w:szCs w:val="18"/>
              </w:rPr>
              <w:t xml:space="preserve">(or equivalent) outcome involving </w:t>
            </w:r>
            <w:r w:rsidRPr="000B2DCA">
              <w:rPr>
                <w:rFonts w:eastAsia="Calibri"/>
                <w:b/>
                <w:bCs/>
                <w:color w:val="000000"/>
                <w:sz w:val="18"/>
                <w:szCs w:val="18"/>
              </w:rPr>
              <w:t>UNDP</w:t>
            </w:r>
            <w:r w:rsidR="00CD58A0" w:rsidRPr="000B2DCA">
              <w:rPr>
                <w:rFonts w:eastAsia="Calibri"/>
                <w:b/>
                <w:bCs/>
                <w:color w:val="000000"/>
                <w:sz w:val="18"/>
                <w:szCs w:val="18"/>
              </w:rPr>
              <w:t xml:space="preserve">: </w:t>
            </w:r>
            <w:r w:rsidR="00CD58A0" w:rsidRPr="000B2DCA">
              <w:rPr>
                <w:rFonts w:eastAsia="Calibri"/>
                <w:bCs/>
                <w:color w:val="000000"/>
                <w:sz w:val="18"/>
                <w:szCs w:val="18"/>
              </w:rPr>
              <w:t xml:space="preserve">No </w:t>
            </w:r>
            <w:r w:rsidRPr="000B2DCA">
              <w:rPr>
                <w:rFonts w:eastAsia="Calibri"/>
                <w:bCs/>
                <w:color w:val="000000"/>
                <w:sz w:val="18"/>
                <w:szCs w:val="18"/>
              </w:rPr>
              <w:t>2</w:t>
            </w:r>
            <w:r w:rsidR="00CD58A0" w:rsidRPr="000B2DCA">
              <w:rPr>
                <w:rFonts w:eastAsia="Calibri"/>
                <w:bCs/>
                <w:color w:val="000000"/>
                <w:sz w:val="18"/>
                <w:szCs w:val="18"/>
              </w:rPr>
              <w:t>.</w:t>
            </w:r>
            <w:r w:rsidRPr="000B2DCA">
              <w:rPr>
                <w:rFonts w:eastAsia="Calibri"/>
                <w:color w:val="000000"/>
                <w:sz w:val="18"/>
                <w:szCs w:val="18"/>
              </w:rPr>
              <w:t xml:space="preserve"> </w:t>
            </w:r>
            <w:r w:rsidRPr="000B2DCA">
              <w:rPr>
                <w:rFonts w:eastAsia="Calibri"/>
                <w:iCs/>
                <w:sz w:val="18"/>
                <w:szCs w:val="18"/>
              </w:rPr>
              <w:t>Develop and implement improved social policies and programmes that focus on good governance, reduction of structural inequalities and advancement of vulnerable individuals and groups</w:t>
            </w:r>
          </w:p>
        </w:tc>
      </w:tr>
      <w:tr w:rsidR="00BC54AE" w:rsidRPr="00CD58A0" w14:paraId="79A315B9" w14:textId="77777777" w:rsidTr="00443D38">
        <w:tc>
          <w:tcPr>
            <w:tcW w:w="5000" w:type="pct"/>
            <w:gridSpan w:val="6"/>
            <w:shd w:val="clear" w:color="auto" w:fill="auto"/>
            <w:tcMar>
              <w:top w:w="72" w:type="dxa"/>
              <w:left w:w="144" w:type="dxa"/>
              <w:bottom w:w="72" w:type="dxa"/>
              <w:right w:w="144" w:type="dxa"/>
            </w:tcMar>
          </w:tcPr>
          <w:p w14:paraId="11FEDE4E" w14:textId="725EA461" w:rsidR="00BC54AE" w:rsidRPr="000B2DCA" w:rsidRDefault="00882844" w:rsidP="0009295E">
            <w:pPr>
              <w:tabs>
                <w:tab w:val="left" w:pos="900"/>
                <w:tab w:val="left" w:pos="990"/>
                <w:tab w:val="left" w:pos="8640"/>
                <w:tab w:val="left" w:pos="9180"/>
              </w:tabs>
              <w:ind w:left="31"/>
              <w:rPr>
                <w:rFonts w:eastAsia="Calibri"/>
                <w:b/>
                <w:bCs/>
                <w:color w:val="000000"/>
                <w:sz w:val="18"/>
                <w:szCs w:val="18"/>
              </w:rPr>
            </w:pPr>
            <w:r w:rsidRPr="000B2DCA">
              <w:rPr>
                <w:rFonts w:eastAsia="Calibri"/>
                <w:b/>
                <w:bCs/>
                <w:color w:val="000000"/>
                <w:sz w:val="18"/>
                <w:szCs w:val="18"/>
              </w:rPr>
              <w:t>Related strategic plan outcome</w:t>
            </w:r>
            <w:r w:rsidR="00BC54AE" w:rsidRPr="000B2DCA">
              <w:rPr>
                <w:rFonts w:eastAsia="Calibri"/>
                <w:b/>
                <w:bCs/>
                <w:color w:val="000000"/>
                <w:sz w:val="18"/>
                <w:szCs w:val="18"/>
              </w:rPr>
              <w:t xml:space="preserve">: (from </w:t>
            </w:r>
            <w:r w:rsidRPr="000B2DCA">
              <w:rPr>
                <w:rFonts w:eastAsia="Calibri"/>
                <w:b/>
                <w:bCs/>
                <w:color w:val="000000"/>
                <w:sz w:val="18"/>
                <w:szCs w:val="18"/>
              </w:rPr>
              <w:t xml:space="preserve">the </w:t>
            </w:r>
            <w:r w:rsidR="00BC54AE" w:rsidRPr="000B2DCA">
              <w:rPr>
                <w:rFonts w:eastAsia="Calibri"/>
                <w:b/>
                <w:bCs/>
                <w:color w:val="000000"/>
                <w:sz w:val="18"/>
                <w:szCs w:val="18"/>
              </w:rPr>
              <w:t>strategic plan</w:t>
            </w:r>
            <w:r w:rsidRPr="000B2DCA">
              <w:rPr>
                <w:rFonts w:eastAsia="Calibri"/>
                <w:b/>
                <w:bCs/>
                <w:color w:val="000000"/>
                <w:sz w:val="18"/>
                <w:szCs w:val="18"/>
              </w:rPr>
              <w:t>,</w:t>
            </w:r>
            <w:r w:rsidR="00BC54AE" w:rsidRPr="000B2DCA">
              <w:rPr>
                <w:rFonts w:eastAsia="Calibri"/>
                <w:b/>
                <w:bCs/>
                <w:color w:val="000000"/>
                <w:sz w:val="18"/>
                <w:szCs w:val="18"/>
              </w:rPr>
              <w:t xml:space="preserve"> 2014-2017) Primary: </w:t>
            </w:r>
            <w:r w:rsidRPr="000B2DCA">
              <w:rPr>
                <w:rFonts w:eastAsia="Calibri"/>
                <w:b/>
                <w:bCs/>
                <w:color w:val="000000"/>
                <w:sz w:val="18"/>
                <w:szCs w:val="18"/>
              </w:rPr>
              <w:t>strategic plan outcome</w:t>
            </w:r>
            <w:r w:rsidRPr="000B2DCA" w:rsidDel="00882844">
              <w:rPr>
                <w:rFonts w:eastAsia="Calibri"/>
                <w:b/>
                <w:bCs/>
                <w:color w:val="000000"/>
                <w:sz w:val="18"/>
                <w:szCs w:val="18"/>
              </w:rPr>
              <w:t xml:space="preserve"> </w:t>
            </w:r>
            <w:r w:rsidR="00BC54AE" w:rsidRPr="000B2DCA">
              <w:rPr>
                <w:rFonts w:eastAsia="Calibri"/>
                <w:b/>
                <w:bCs/>
                <w:color w:val="000000"/>
                <w:sz w:val="18"/>
                <w:szCs w:val="18"/>
              </w:rPr>
              <w:t>2</w:t>
            </w:r>
            <w:r w:rsidRPr="000B2DCA">
              <w:rPr>
                <w:rFonts w:eastAsia="Calibri"/>
                <w:b/>
                <w:bCs/>
                <w:color w:val="000000"/>
                <w:sz w:val="18"/>
                <w:szCs w:val="18"/>
              </w:rPr>
              <w:t>,</w:t>
            </w:r>
            <w:r w:rsidR="00BC54AE" w:rsidRPr="000B2DCA">
              <w:rPr>
                <w:rFonts w:eastAsia="Calibri"/>
                <w:b/>
                <w:bCs/>
                <w:color w:val="000000"/>
                <w:sz w:val="18"/>
                <w:szCs w:val="18"/>
              </w:rPr>
              <w:t xml:space="preserve"> </w:t>
            </w:r>
            <w:r w:rsidRPr="000B2DCA">
              <w:rPr>
                <w:rFonts w:eastAsia="Calibri"/>
                <w:b/>
                <w:bCs/>
                <w:color w:val="000000"/>
                <w:sz w:val="18"/>
                <w:szCs w:val="18"/>
              </w:rPr>
              <w:t>stronger democratic governance to meet citizen expectations (secondar</w:t>
            </w:r>
            <w:r w:rsidR="00BC54AE" w:rsidRPr="000B2DCA">
              <w:rPr>
                <w:rFonts w:eastAsia="Calibri"/>
                <w:b/>
                <w:bCs/>
                <w:color w:val="000000"/>
                <w:sz w:val="18"/>
                <w:szCs w:val="18"/>
              </w:rPr>
              <w:t xml:space="preserve">y </w:t>
            </w:r>
            <w:r w:rsidRPr="000B2DCA">
              <w:rPr>
                <w:rFonts w:eastAsia="Calibri"/>
                <w:b/>
                <w:bCs/>
                <w:color w:val="000000"/>
                <w:sz w:val="18"/>
                <w:szCs w:val="18"/>
              </w:rPr>
              <w:t>strategic plan</w:t>
            </w:r>
            <w:r w:rsidR="00BC54AE" w:rsidRPr="000B2DCA">
              <w:rPr>
                <w:rFonts w:eastAsia="Calibri"/>
                <w:b/>
                <w:bCs/>
                <w:color w:val="000000"/>
                <w:sz w:val="18"/>
                <w:szCs w:val="18"/>
              </w:rPr>
              <w:t xml:space="preserve"> </w:t>
            </w:r>
            <w:r w:rsidRPr="000B2DCA">
              <w:rPr>
                <w:rFonts w:eastAsia="Calibri"/>
                <w:b/>
                <w:bCs/>
                <w:color w:val="000000"/>
                <w:sz w:val="18"/>
                <w:szCs w:val="18"/>
              </w:rPr>
              <w:t>o</w:t>
            </w:r>
            <w:r w:rsidR="00BC54AE" w:rsidRPr="000B2DCA">
              <w:rPr>
                <w:rFonts w:eastAsia="Calibri"/>
                <w:b/>
                <w:bCs/>
                <w:color w:val="000000"/>
                <w:sz w:val="18"/>
                <w:szCs w:val="18"/>
              </w:rPr>
              <w:t>ut</w:t>
            </w:r>
            <w:r w:rsidR="00B17EDC">
              <w:rPr>
                <w:rFonts w:eastAsia="Calibri"/>
                <w:b/>
                <w:bCs/>
                <w:color w:val="000000"/>
                <w:sz w:val="18"/>
                <w:szCs w:val="18"/>
              </w:rPr>
              <w:t>c</w:t>
            </w:r>
            <w:r w:rsidRPr="000B2DCA">
              <w:rPr>
                <w:rFonts w:eastAsia="Calibri"/>
                <w:b/>
                <w:bCs/>
                <w:color w:val="000000"/>
                <w:sz w:val="18"/>
                <w:szCs w:val="18"/>
              </w:rPr>
              <w:t>ome</w:t>
            </w:r>
            <w:r w:rsidR="00BC54AE" w:rsidRPr="000B2DCA">
              <w:rPr>
                <w:rFonts w:eastAsia="Calibri"/>
                <w:b/>
                <w:bCs/>
                <w:color w:val="000000"/>
                <w:sz w:val="18"/>
                <w:szCs w:val="18"/>
              </w:rPr>
              <w:t xml:space="preserve"> 3</w:t>
            </w:r>
            <w:r w:rsidR="00B17EDC">
              <w:rPr>
                <w:rFonts w:eastAsia="Calibri"/>
                <w:b/>
                <w:bCs/>
                <w:color w:val="000000"/>
                <w:sz w:val="18"/>
                <w:szCs w:val="18"/>
              </w:rPr>
              <w:t>,</w:t>
            </w:r>
            <w:r w:rsidR="00BC54AE" w:rsidRPr="000B2DCA">
              <w:rPr>
                <w:rFonts w:eastAsia="Calibri"/>
                <w:b/>
                <w:bCs/>
                <w:color w:val="000000"/>
                <w:sz w:val="18"/>
                <w:szCs w:val="18"/>
              </w:rPr>
              <w:t xml:space="preserve"> </w:t>
            </w:r>
            <w:r w:rsidR="00B17EDC">
              <w:rPr>
                <w:rFonts w:eastAsia="Calibri"/>
                <w:b/>
                <w:bCs/>
                <w:color w:val="000000"/>
                <w:sz w:val="18"/>
                <w:szCs w:val="18"/>
              </w:rPr>
              <w:t>i</w:t>
            </w:r>
            <w:r w:rsidR="00BC54AE" w:rsidRPr="000B2DCA">
              <w:rPr>
                <w:rFonts w:eastAsia="Calibri"/>
                <w:b/>
                <w:bCs/>
                <w:color w:val="000000"/>
                <w:sz w:val="18"/>
                <w:szCs w:val="18"/>
              </w:rPr>
              <w:t>nstitutions enabled to deliver universal access to basic services)</w:t>
            </w:r>
          </w:p>
        </w:tc>
      </w:tr>
      <w:tr w:rsidR="00BC54AE" w:rsidRPr="00CD58A0" w14:paraId="2228C5EC" w14:textId="77777777" w:rsidTr="00443D38">
        <w:trPr>
          <w:trHeight w:val="207"/>
        </w:trPr>
        <w:tc>
          <w:tcPr>
            <w:tcW w:w="872" w:type="pct"/>
            <w:vMerge w:val="restart"/>
            <w:tcMar>
              <w:top w:w="72" w:type="dxa"/>
              <w:left w:w="144" w:type="dxa"/>
              <w:bottom w:w="72" w:type="dxa"/>
              <w:right w:w="144" w:type="dxa"/>
            </w:tcMar>
          </w:tcPr>
          <w:p w14:paraId="7C568CD0" w14:textId="2E4F2BE3" w:rsidR="00BC54AE" w:rsidRPr="000B2DCA" w:rsidRDefault="00BC54AE" w:rsidP="0009295E">
            <w:pPr>
              <w:tabs>
                <w:tab w:val="left" w:pos="900"/>
                <w:tab w:val="left" w:pos="990"/>
                <w:tab w:val="left" w:pos="8640"/>
                <w:tab w:val="left" w:pos="9180"/>
              </w:tabs>
              <w:ind w:left="31"/>
              <w:rPr>
                <w:rFonts w:eastAsia="Calibri"/>
                <w:iCs/>
                <w:sz w:val="18"/>
                <w:szCs w:val="18"/>
              </w:rPr>
            </w:pPr>
            <w:r w:rsidRPr="000B2DCA">
              <w:rPr>
                <w:rFonts w:eastAsia="Calibri"/>
                <w:b/>
                <w:iCs/>
                <w:sz w:val="18"/>
                <w:szCs w:val="18"/>
              </w:rPr>
              <w:t>Proportion of people below the poverty line benefiting from social protection</w:t>
            </w:r>
            <w:r w:rsidR="00B17EDC">
              <w:rPr>
                <w:rFonts w:eastAsia="Calibri"/>
                <w:b/>
                <w:iCs/>
                <w:sz w:val="18"/>
                <w:szCs w:val="18"/>
              </w:rPr>
              <w:t>.</w:t>
            </w:r>
            <w:r w:rsidRPr="000B2DCA">
              <w:rPr>
                <w:rFonts w:eastAsia="Calibri"/>
                <w:b/>
                <w:iCs/>
                <w:sz w:val="18"/>
                <w:szCs w:val="18"/>
              </w:rPr>
              <w:t xml:space="preserve"> </w:t>
            </w:r>
            <w:r w:rsidRPr="000B2DCA">
              <w:rPr>
                <w:rFonts w:eastAsia="Calibri"/>
                <w:iCs/>
                <w:sz w:val="18"/>
                <w:szCs w:val="18"/>
              </w:rPr>
              <w:t xml:space="preserve">Baseline </w:t>
            </w:r>
            <w:r w:rsidR="00664F25">
              <w:rPr>
                <w:rFonts w:eastAsia="Calibri"/>
                <w:iCs/>
                <w:sz w:val="18"/>
                <w:szCs w:val="18"/>
              </w:rPr>
              <w:t>(</w:t>
            </w:r>
            <w:r w:rsidRPr="000B2DCA">
              <w:rPr>
                <w:rFonts w:eastAsia="Calibri"/>
                <w:iCs/>
                <w:sz w:val="18"/>
                <w:szCs w:val="18"/>
              </w:rPr>
              <w:t>2016</w:t>
            </w:r>
            <w:r w:rsidR="00664F25">
              <w:rPr>
                <w:rFonts w:eastAsia="Calibri"/>
                <w:iCs/>
                <w:sz w:val="18"/>
                <w:szCs w:val="18"/>
              </w:rPr>
              <w:t>)</w:t>
            </w:r>
            <w:r w:rsidRPr="000B2DCA">
              <w:rPr>
                <w:rFonts w:eastAsia="Calibri"/>
                <w:iCs/>
                <w:sz w:val="18"/>
                <w:szCs w:val="18"/>
              </w:rPr>
              <w:t>: 3</w:t>
            </w:r>
            <w:r w:rsidR="00DB7920" w:rsidRPr="000B2DCA">
              <w:rPr>
                <w:rFonts w:eastAsia="Calibri"/>
                <w:iCs/>
                <w:sz w:val="18"/>
                <w:szCs w:val="18"/>
              </w:rPr>
              <w:t>6</w:t>
            </w:r>
            <w:r w:rsidRPr="000B2DCA">
              <w:rPr>
                <w:rFonts w:eastAsia="Calibri"/>
                <w:iCs/>
                <w:sz w:val="18"/>
                <w:szCs w:val="18"/>
              </w:rPr>
              <w:t xml:space="preserve">%; </w:t>
            </w:r>
            <w:r w:rsidR="00664F25">
              <w:rPr>
                <w:rFonts w:eastAsia="Calibri"/>
                <w:iCs/>
                <w:sz w:val="18"/>
                <w:szCs w:val="18"/>
              </w:rPr>
              <w:t>t</w:t>
            </w:r>
            <w:r w:rsidRPr="000B2DCA">
              <w:rPr>
                <w:rFonts w:eastAsia="Calibri"/>
                <w:iCs/>
                <w:sz w:val="18"/>
                <w:szCs w:val="18"/>
              </w:rPr>
              <w:t xml:space="preserve">arget </w:t>
            </w:r>
            <w:r w:rsidR="00664F25">
              <w:rPr>
                <w:rFonts w:eastAsia="Calibri"/>
                <w:iCs/>
                <w:sz w:val="18"/>
                <w:szCs w:val="18"/>
              </w:rPr>
              <w:t>(</w:t>
            </w:r>
            <w:r w:rsidRPr="000B2DCA">
              <w:rPr>
                <w:rFonts w:eastAsia="Calibri"/>
                <w:iCs/>
                <w:sz w:val="18"/>
                <w:szCs w:val="18"/>
              </w:rPr>
              <w:t>2020</w:t>
            </w:r>
            <w:r w:rsidR="00664F25">
              <w:rPr>
                <w:rFonts w:eastAsia="Calibri"/>
                <w:iCs/>
                <w:sz w:val="18"/>
                <w:szCs w:val="18"/>
              </w:rPr>
              <w:t>)</w:t>
            </w:r>
            <w:r w:rsidRPr="000B2DCA">
              <w:rPr>
                <w:rFonts w:eastAsia="Calibri"/>
                <w:iCs/>
                <w:sz w:val="18"/>
                <w:szCs w:val="18"/>
              </w:rPr>
              <w:t>: 60%</w:t>
            </w:r>
            <w:r w:rsidR="0061291A" w:rsidRPr="000B2DCA">
              <w:rPr>
                <w:rFonts w:eastAsia="Calibri"/>
                <w:iCs/>
                <w:sz w:val="18"/>
                <w:szCs w:val="18"/>
              </w:rPr>
              <w:t xml:space="preserve">; </w:t>
            </w:r>
            <w:r w:rsidR="00664F25">
              <w:rPr>
                <w:rFonts w:eastAsia="Calibri"/>
                <w:iCs/>
                <w:sz w:val="18"/>
                <w:szCs w:val="18"/>
              </w:rPr>
              <w:t>d</w:t>
            </w:r>
            <w:r w:rsidRPr="000B2DCA">
              <w:rPr>
                <w:rFonts w:eastAsia="Calibri"/>
                <w:iCs/>
                <w:sz w:val="18"/>
                <w:szCs w:val="18"/>
              </w:rPr>
              <w:t xml:space="preserve">isaggregation: no </w:t>
            </w:r>
            <w:r w:rsidRPr="000B2DCA">
              <w:rPr>
                <w:rFonts w:eastAsia="Calibri"/>
                <w:iCs/>
                <w:sz w:val="18"/>
                <w:szCs w:val="18"/>
              </w:rPr>
              <w:lastRenderedPageBreak/>
              <w:t xml:space="preserve">data available </w:t>
            </w:r>
            <w:r w:rsidR="0061291A" w:rsidRPr="000B2DCA">
              <w:rPr>
                <w:rFonts w:eastAsia="Calibri"/>
                <w:iCs/>
                <w:sz w:val="18"/>
                <w:szCs w:val="18"/>
              </w:rPr>
              <w:br/>
            </w:r>
            <w:r w:rsidR="0061291A" w:rsidRPr="000B2DCA">
              <w:rPr>
                <w:rFonts w:eastAsia="Calibri"/>
                <w:iCs/>
                <w:sz w:val="18"/>
                <w:szCs w:val="18"/>
              </w:rPr>
              <w:br/>
            </w:r>
            <w:r w:rsidR="0061291A" w:rsidRPr="000B2DCA">
              <w:rPr>
                <w:rFonts w:eastAsia="Calibri"/>
                <w:iCs/>
                <w:sz w:val="18"/>
                <w:szCs w:val="18"/>
              </w:rPr>
              <w:br/>
            </w:r>
            <w:r w:rsidR="00664F25">
              <w:rPr>
                <w:rFonts w:eastAsia="Calibri"/>
                <w:b/>
                <w:iCs/>
                <w:sz w:val="18"/>
                <w:szCs w:val="18"/>
              </w:rPr>
              <w:t>Percentage</w:t>
            </w:r>
            <w:r w:rsidRPr="000B2DCA">
              <w:rPr>
                <w:rFonts w:eastAsia="Calibri"/>
                <w:b/>
                <w:iCs/>
                <w:sz w:val="18"/>
                <w:szCs w:val="18"/>
              </w:rPr>
              <w:t xml:space="preserve"> of citizens satisfied with the services of </w:t>
            </w:r>
            <w:r w:rsidR="00664F25" w:rsidRPr="00664F25">
              <w:rPr>
                <w:rFonts w:eastAsia="Calibri"/>
                <w:b/>
                <w:iCs/>
                <w:sz w:val="18"/>
                <w:szCs w:val="18"/>
              </w:rPr>
              <w:t>local government institution</w:t>
            </w:r>
            <w:r w:rsidRPr="000B2DCA">
              <w:rPr>
                <w:rFonts w:eastAsia="Calibri"/>
                <w:b/>
                <w:iCs/>
                <w:sz w:val="18"/>
                <w:szCs w:val="18"/>
              </w:rPr>
              <w:t>s</w:t>
            </w:r>
            <w:r w:rsidR="00664F25">
              <w:rPr>
                <w:rFonts w:eastAsia="Calibri"/>
                <w:b/>
                <w:iCs/>
                <w:sz w:val="18"/>
                <w:szCs w:val="18"/>
              </w:rPr>
              <w:t>.</w:t>
            </w:r>
            <w:r w:rsidRPr="000B2DCA">
              <w:rPr>
                <w:rFonts w:eastAsia="Calibri"/>
                <w:b/>
                <w:iCs/>
                <w:sz w:val="18"/>
                <w:szCs w:val="18"/>
              </w:rPr>
              <w:t xml:space="preserve"> </w:t>
            </w:r>
            <w:r w:rsidRPr="000B2DCA">
              <w:rPr>
                <w:rFonts w:eastAsia="Calibri"/>
                <w:iCs/>
                <w:sz w:val="18"/>
                <w:szCs w:val="18"/>
              </w:rPr>
              <w:t xml:space="preserve">Baseline </w:t>
            </w:r>
            <w:r w:rsidR="00664F25">
              <w:rPr>
                <w:rFonts w:eastAsia="Calibri"/>
                <w:iCs/>
                <w:sz w:val="18"/>
                <w:szCs w:val="18"/>
              </w:rPr>
              <w:t>(</w:t>
            </w:r>
            <w:r w:rsidRPr="000B2DCA">
              <w:rPr>
                <w:rFonts w:eastAsia="Calibri"/>
                <w:iCs/>
                <w:sz w:val="18"/>
                <w:szCs w:val="18"/>
              </w:rPr>
              <w:t>2016</w:t>
            </w:r>
            <w:r w:rsidR="00664F25">
              <w:rPr>
                <w:rFonts w:eastAsia="Calibri"/>
                <w:iCs/>
                <w:sz w:val="18"/>
                <w:szCs w:val="18"/>
              </w:rPr>
              <w:t>)</w:t>
            </w:r>
            <w:r w:rsidRPr="000B2DCA">
              <w:rPr>
                <w:rFonts w:eastAsia="Calibri"/>
                <w:iCs/>
                <w:sz w:val="18"/>
                <w:szCs w:val="18"/>
              </w:rPr>
              <w:t xml:space="preserve">: </w:t>
            </w:r>
            <w:r w:rsidR="00664F25">
              <w:rPr>
                <w:rFonts w:eastAsia="Calibri"/>
                <w:iCs/>
                <w:sz w:val="18"/>
                <w:szCs w:val="18"/>
              </w:rPr>
              <w:t>Union Parishad</w:t>
            </w:r>
            <w:r w:rsidR="00454D0F">
              <w:rPr>
                <w:rFonts w:eastAsia="Calibri"/>
                <w:iCs/>
                <w:sz w:val="18"/>
                <w:szCs w:val="18"/>
              </w:rPr>
              <w:t>,</w:t>
            </w:r>
            <w:r w:rsidR="00664F25">
              <w:rPr>
                <w:rFonts w:eastAsia="Calibri"/>
                <w:iCs/>
                <w:sz w:val="18"/>
                <w:szCs w:val="18"/>
              </w:rPr>
              <w:t xml:space="preserve"> </w:t>
            </w:r>
            <w:r w:rsidRPr="000B2DCA">
              <w:rPr>
                <w:rFonts w:eastAsia="Calibri"/>
                <w:iCs/>
                <w:sz w:val="18"/>
                <w:szCs w:val="18"/>
              </w:rPr>
              <w:t xml:space="preserve">37.1%, </w:t>
            </w:r>
            <w:r w:rsidR="00454D0F" w:rsidRPr="000B2DCA">
              <w:rPr>
                <w:rFonts w:eastAsia="Calibri"/>
                <w:iCs/>
                <w:sz w:val="18"/>
                <w:szCs w:val="18"/>
              </w:rPr>
              <w:t>U</w:t>
            </w:r>
            <w:r w:rsidR="00454D0F">
              <w:rPr>
                <w:rFonts w:eastAsia="Calibri"/>
                <w:iCs/>
                <w:sz w:val="18"/>
                <w:szCs w:val="18"/>
              </w:rPr>
              <w:t>pazila Parishad,</w:t>
            </w:r>
            <w:r w:rsidR="00454D0F" w:rsidRPr="000B2DCA">
              <w:rPr>
                <w:rFonts w:eastAsia="Calibri"/>
                <w:iCs/>
                <w:sz w:val="18"/>
                <w:szCs w:val="18"/>
              </w:rPr>
              <w:t xml:space="preserve"> </w:t>
            </w:r>
            <w:r w:rsidRPr="000B2DCA">
              <w:rPr>
                <w:rFonts w:eastAsia="Calibri"/>
                <w:iCs/>
                <w:sz w:val="18"/>
                <w:szCs w:val="18"/>
              </w:rPr>
              <w:t>26%</w:t>
            </w:r>
            <w:r w:rsidR="00454D0F">
              <w:rPr>
                <w:rFonts w:eastAsia="Calibri"/>
                <w:iCs/>
                <w:sz w:val="18"/>
                <w:szCs w:val="18"/>
              </w:rPr>
              <w:t>;</w:t>
            </w:r>
            <w:r w:rsidRPr="000B2DCA">
              <w:rPr>
                <w:rFonts w:eastAsia="Calibri"/>
                <w:iCs/>
                <w:sz w:val="18"/>
                <w:szCs w:val="18"/>
              </w:rPr>
              <w:t xml:space="preserve"> </w:t>
            </w:r>
            <w:r w:rsidR="00454D0F">
              <w:rPr>
                <w:rFonts w:eastAsia="Calibri"/>
                <w:iCs/>
                <w:sz w:val="18"/>
                <w:szCs w:val="18"/>
              </w:rPr>
              <w:t>t</w:t>
            </w:r>
            <w:r w:rsidRPr="000B2DCA">
              <w:rPr>
                <w:rFonts w:eastAsia="Calibri"/>
                <w:iCs/>
                <w:sz w:val="18"/>
                <w:szCs w:val="18"/>
              </w:rPr>
              <w:t xml:space="preserve">arget </w:t>
            </w:r>
            <w:r w:rsidR="00454D0F">
              <w:rPr>
                <w:rFonts w:eastAsia="Calibri"/>
                <w:iCs/>
                <w:sz w:val="18"/>
                <w:szCs w:val="18"/>
              </w:rPr>
              <w:t>(</w:t>
            </w:r>
            <w:r w:rsidRPr="000B2DCA">
              <w:rPr>
                <w:rFonts w:eastAsia="Calibri"/>
                <w:iCs/>
                <w:sz w:val="18"/>
                <w:szCs w:val="18"/>
              </w:rPr>
              <w:t>2020</w:t>
            </w:r>
            <w:r w:rsidR="00454D0F">
              <w:rPr>
                <w:rFonts w:eastAsia="Calibri"/>
                <w:iCs/>
                <w:sz w:val="18"/>
                <w:szCs w:val="18"/>
              </w:rPr>
              <w:t>)</w:t>
            </w:r>
            <w:r w:rsidRPr="000B2DCA">
              <w:rPr>
                <w:rFonts w:eastAsia="Calibri"/>
                <w:iCs/>
                <w:sz w:val="18"/>
                <w:szCs w:val="18"/>
              </w:rPr>
              <w:t xml:space="preserve">: </w:t>
            </w:r>
            <w:r w:rsidR="00454D0F">
              <w:rPr>
                <w:rFonts w:eastAsia="Calibri"/>
                <w:iCs/>
                <w:sz w:val="18"/>
                <w:szCs w:val="18"/>
              </w:rPr>
              <w:t xml:space="preserve">Union Parishad, </w:t>
            </w:r>
            <w:r w:rsidRPr="000B2DCA">
              <w:rPr>
                <w:rFonts w:eastAsia="Calibri"/>
                <w:iCs/>
                <w:sz w:val="18"/>
                <w:szCs w:val="18"/>
              </w:rPr>
              <w:t xml:space="preserve"> 50%, </w:t>
            </w:r>
            <w:r w:rsidR="00454D0F" w:rsidRPr="003C5D47">
              <w:rPr>
                <w:rFonts w:eastAsia="Calibri"/>
                <w:iCs/>
                <w:sz w:val="18"/>
                <w:szCs w:val="18"/>
              </w:rPr>
              <w:t>U</w:t>
            </w:r>
            <w:r w:rsidR="00454D0F">
              <w:rPr>
                <w:rFonts w:eastAsia="Calibri"/>
                <w:iCs/>
                <w:sz w:val="18"/>
                <w:szCs w:val="18"/>
              </w:rPr>
              <w:t>pazila Parishad,</w:t>
            </w:r>
            <w:r w:rsidR="00454D0F" w:rsidRPr="003C5D47">
              <w:rPr>
                <w:rFonts w:eastAsia="Calibri"/>
                <w:iCs/>
                <w:sz w:val="18"/>
                <w:szCs w:val="18"/>
              </w:rPr>
              <w:t xml:space="preserve"> </w:t>
            </w:r>
            <w:r w:rsidRPr="000B2DCA">
              <w:rPr>
                <w:rFonts w:eastAsia="Calibri"/>
                <w:iCs/>
                <w:sz w:val="18"/>
                <w:szCs w:val="18"/>
              </w:rPr>
              <w:t>40%</w:t>
            </w:r>
            <w:r w:rsidR="00664F25">
              <w:rPr>
                <w:rFonts w:eastAsia="Calibri"/>
                <w:iCs/>
                <w:sz w:val="18"/>
                <w:szCs w:val="18"/>
              </w:rPr>
              <w:t>;</w:t>
            </w:r>
            <w:r w:rsidRPr="000B2DCA">
              <w:rPr>
                <w:rFonts w:eastAsia="Calibri"/>
                <w:iCs/>
                <w:sz w:val="18"/>
                <w:szCs w:val="18"/>
              </w:rPr>
              <w:t xml:space="preserve"> disaggregation</w:t>
            </w:r>
            <w:r w:rsidR="00664F25">
              <w:rPr>
                <w:rFonts w:eastAsia="Calibri"/>
                <w:iCs/>
                <w:sz w:val="18"/>
                <w:szCs w:val="18"/>
              </w:rPr>
              <w:t>:</w:t>
            </w:r>
            <w:r w:rsidRPr="000B2DCA">
              <w:rPr>
                <w:rFonts w:eastAsia="Calibri"/>
                <w:iCs/>
                <w:sz w:val="18"/>
                <w:szCs w:val="18"/>
              </w:rPr>
              <w:t xml:space="preserve"> by sex </w:t>
            </w:r>
          </w:p>
          <w:p w14:paraId="1F64F4E3" w14:textId="77777777" w:rsidR="0061291A" w:rsidRPr="000B2DCA" w:rsidRDefault="0061291A" w:rsidP="0009295E">
            <w:pPr>
              <w:tabs>
                <w:tab w:val="left" w:pos="900"/>
                <w:tab w:val="left" w:pos="990"/>
                <w:tab w:val="left" w:pos="8640"/>
                <w:tab w:val="left" w:pos="9180"/>
              </w:tabs>
              <w:ind w:left="31"/>
              <w:rPr>
                <w:rFonts w:eastAsia="Calibri"/>
                <w:iCs/>
                <w:sz w:val="18"/>
                <w:szCs w:val="18"/>
              </w:rPr>
            </w:pPr>
          </w:p>
          <w:p w14:paraId="7F135C89" w14:textId="548D8469" w:rsidR="00BC54AE" w:rsidRPr="000B2DCA" w:rsidRDefault="00BC54AE" w:rsidP="0009295E">
            <w:pPr>
              <w:tabs>
                <w:tab w:val="left" w:pos="900"/>
                <w:tab w:val="left" w:pos="990"/>
                <w:tab w:val="left" w:pos="8640"/>
                <w:tab w:val="left" w:pos="9180"/>
              </w:tabs>
              <w:ind w:left="31"/>
              <w:rPr>
                <w:rFonts w:eastAsia="Calibri"/>
                <w:iCs/>
                <w:sz w:val="18"/>
                <w:szCs w:val="18"/>
              </w:rPr>
            </w:pPr>
            <w:r w:rsidRPr="000B2DCA">
              <w:rPr>
                <w:rFonts w:eastAsia="Calibri"/>
                <w:b/>
                <w:iCs/>
                <w:sz w:val="18"/>
                <w:szCs w:val="18"/>
              </w:rPr>
              <w:t>Access to justice services global composite index</w:t>
            </w:r>
            <w:r w:rsidRPr="000B2DCA">
              <w:rPr>
                <w:rFonts w:eastAsia="Calibri"/>
                <w:iCs/>
                <w:sz w:val="18"/>
                <w:szCs w:val="18"/>
                <w:vertAlign w:val="superscript"/>
              </w:rPr>
              <w:footnoteReference w:id="33"/>
            </w:r>
            <w:r w:rsidRPr="000B2DCA">
              <w:rPr>
                <w:rFonts w:eastAsia="Calibri"/>
                <w:iCs/>
                <w:sz w:val="18"/>
                <w:szCs w:val="18"/>
              </w:rPr>
              <w:t xml:space="preserve">; Baseline </w:t>
            </w:r>
            <w:r w:rsidR="00454D0F">
              <w:rPr>
                <w:rFonts w:eastAsia="Calibri"/>
                <w:iCs/>
                <w:sz w:val="18"/>
                <w:szCs w:val="18"/>
              </w:rPr>
              <w:t>(</w:t>
            </w:r>
            <w:r w:rsidRPr="000B2DCA">
              <w:rPr>
                <w:rFonts w:eastAsia="Calibri"/>
                <w:iCs/>
                <w:sz w:val="18"/>
                <w:szCs w:val="18"/>
              </w:rPr>
              <w:t>2015</w:t>
            </w:r>
            <w:r w:rsidR="00454D0F">
              <w:rPr>
                <w:rFonts w:eastAsia="Calibri"/>
                <w:iCs/>
                <w:sz w:val="18"/>
                <w:szCs w:val="18"/>
              </w:rPr>
              <w:t>)</w:t>
            </w:r>
            <w:r w:rsidRPr="000B2DCA">
              <w:rPr>
                <w:rFonts w:eastAsia="Calibri"/>
                <w:iCs/>
                <w:sz w:val="18"/>
                <w:szCs w:val="18"/>
              </w:rPr>
              <w:t xml:space="preserve">: 0.42, </w:t>
            </w:r>
            <w:r w:rsidR="004E7CAF">
              <w:rPr>
                <w:rFonts w:eastAsia="Calibri"/>
                <w:iCs/>
                <w:sz w:val="18"/>
                <w:szCs w:val="18"/>
              </w:rPr>
              <w:t>t</w:t>
            </w:r>
            <w:r w:rsidRPr="000B2DCA">
              <w:rPr>
                <w:rFonts w:eastAsia="Calibri"/>
                <w:iCs/>
                <w:sz w:val="18"/>
                <w:szCs w:val="18"/>
              </w:rPr>
              <w:t xml:space="preserve">arget </w:t>
            </w:r>
            <w:r w:rsidR="004E7CAF">
              <w:rPr>
                <w:rFonts w:eastAsia="Calibri"/>
                <w:iCs/>
                <w:sz w:val="18"/>
                <w:szCs w:val="18"/>
              </w:rPr>
              <w:t>(</w:t>
            </w:r>
            <w:r w:rsidRPr="000B2DCA">
              <w:rPr>
                <w:rFonts w:eastAsia="Calibri"/>
                <w:iCs/>
                <w:sz w:val="18"/>
                <w:szCs w:val="18"/>
              </w:rPr>
              <w:t>2020</w:t>
            </w:r>
            <w:r w:rsidR="004E7CAF">
              <w:rPr>
                <w:rFonts w:eastAsia="Calibri"/>
                <w:iCs/>
                <w:sz w:val="18"/>
                <w:szCs w:val="18"/>
              </w:rPr>
              <w:t>)</w:t>
            </w:r>
            <w:r w:rsidRPr="000B2DCA">
              <w:rPr>
                <w:rFonts w:eastAsia="Calibri"/>
                <w:iCs/>
                <w:sz w:val="18"/>
                <w:szCs w:val="18"/>
              </w:rPr>
              <w:t xml:space="preserve">:0.50; </w:t>
            </w:r>
            <w:r w:rsidR="004E7CAF">
              <w:rPr>
                <w:rFonts w:eastAsia="Calibri"/>
                <w:iCs/>
                <w:sz w:val="18"/>
                <w:szCs w:val="18"/>
              </w:rPr>
              <w:t>d</w:t>
            </w:r>
            <w:r w:rsidRPr="000B2DCA">
              <w:rPr>
                <w:rFonts w:eastAsia="Calibri"/>
                <w:iCs/>
                <w:sz w:val="18"/>
                <w:szCs w:val="18"/>
              </w:rPr>
              <w:t>isaggregation: type of service</w:t>
            </w:r>
            <w:r w:rsidRPr="000B2DCA">
              <w:rPr>
                <w:rFonts w:eastAsia="Calibri"/>
                <w:b/>
                <w:iCs/>
                <w:color w:val="FF0000"/>
                <w:sz w:val="18"/>
                <w:szCs w:val="18"/>
              </w:rPr>
              <w:t xml:space="preserve"> </w:t>
            </w:r>
            <w:r w:rsidRPr="000B2DCA">
              <w:rPr>
                <w:rFonts w:eastAsia="Calibri"/>
                <w:b/>
                <w:iCs/>
                <w:sz w:val="18"/>
                <w:szCs w:val="18"/>
              </w:rPr>
              <w:t>(</w:t>
            </w:r>
            <w:r w:rsidRPr="000B2DCA">
              <w:rPr>
                <w:rFonts w:eastAsia="Calibri"/>
                <w:iCs/>
                <w:sz w:val="18"/>
                <w:szCs w:val="18"/>
              </w:rPr>
              <w:t>IRRF 3.3)</w:t>
            </w:r>
          </w:p>
          <w:p w14:paraId="24D1FD31" w14:textId="77777777" w:rsidR="0061291A" w:rsidRPr="000B2DCA" w:rsidRDefault="0061291A" w:rsidP="0009295E">
            <w:pPr>
              <w:tabs>
                <w:tab w:val="left" w:pos="900"/>
                <w:tab w:val="left" w:pos="990"/>
                <w:tab w:val="left" w:pos="8640"/>
                <w:tab w:val="left" w:pos="9180"/>
              </w:tabs>
              <w:ind w:left="31"/>
              <w:rPr>
                <w:rFonts w:eastAsia="Calibri"/>
                <w:b/>
                <w:iCs/>
                <w:sz w:val="18"/>
                <w:szCs w:val="18"/>
              </w:rPr>
            </w:pPr>
          </w:p>
          <w:p w14:paraId="26EAF960" w14:textId="7CB2E531" w:rsidR="00BC54AE" w:rsidRPr="000B2DCA" w:rsidRDefault="004E7CAF" w:rsidP="0009295E">
            <w:pPr>
              <w:tabs>
                <w:tab w:val="left" w:pos="900"/>
                <w:tab w:val="left" w:pos="990"/>
                <w:tab w:val="left" w:pos="8640"/>
                <w:tab w:val="left" w:pos="9180"/>
              </w:tabs>
              <w:ind w:left="31"/>
              <w:rPr>
                <w:rFonts w:eastAsia="Calibri"/>
                <w:sz w:val="18"/>
                <w:szCs w:val="18"/>
              </w:rPr>
            </w:pPr>
            <w:r>
              <w:rPr>
                <w:rFonts w:eastAsia="Calibri"/>
                <w:b/>
                <w:sz w:val="18"/>
                <w:szCs w:val="18"/>
              </w:rPr>
              <w:t>Percentage</w:t>
            </w:r>
            <w:r w:rsidRPr="000B2DCA">
              <w:rPr>
                <w:rFonts w:eastAsia="Calibri"/>
                <w:b/>
                <w:sz w:val="18"/>
                <w:szCs w:val="18"/>
              </w:rPr>
              <w:t xml:space="preserve"> </w:t>
            </w:r>
            <w:r w:rsidR="00BC54AE" w:rsidRPr="000B2DCA">
              <w:rPr>
                <w:rFonts w:eastAsia="Calibri"/>
                <w:b/>
                <w:sz w:val="18"/>
                <w:szCs w:val="18"/>
              </w:rPr>
              <w:t>of women aged 20-24 who were married or in a union before age 18</w:t>
            </w:r>
            <w:r>
              <w:rPr>
                <w:rFonts w:eastAsia="Calibri"/>
                <w:sz w:val="18"/>
                <w:szCs w:val="18"/>
              </w:rPr>
              <w:t>.</w:t>
            </w:r>
            <w:r w:rsidR="00BC54AE" w:rsidRPr="000B2DCA">
              <w:rPr>
                <w:rFonts w:eastAsia="Calibri"/>
                <w:sz w:val="18"/>
                <w:szCs w:val="18"/>
              </w:rPr>
              <w:t xml:space="preserve"> </w:t>
            </w:r>
            <w:r w:rsidR="00BC54AE" w:rsidRPr="000B2DCA">
              <w:rPr>
                <w:rFonts w:eastAsia="Calibri"/>
                <w:iCs/>
                <w:sz w:val="18"/>
                <w:szCs w:val="18"/>
              </w:rPr>
              <w:t xml:space="preserve">Baseline </w:t>
            </w:r>
            <w:r>
              <w:rPr>
                <w:rFonts w:eastAsia="Calibri"/>
                <w:iCs/>
                <w:sz w:val="18"/>
                <w:szCs w:val="18"/>
              </w:rPr>
              <w:t>(</w:t>
            </w:r>
            <w:r w:rsidR="00BC54AE" w:rsidRPr="000B2DCA">
              <w:rPr>
                <w:rFonts w:eastAsia="Calibri"/>
                <w:iCs/>
                <w:sz w:val="18"/>
                <w:szCs w:val="18"/>
              </w:rPr>
              <w:t>2011</w:t>
            </w:r>
            <w:r>
              <w:rPr>
                <w:rFonts w:eastAsia="Calibri"/>
                <w:iCs/>
                <w:sz w:val="18"/>
                <w:szCs w:val="18"/>
              </w:rPr>
              <w:t>)</w:t>
            </w:r>
            <w:r w:rsidR="00BC54AE" w:rsidRPr="000B2DCA">
              <w:rPr>
                <w:rFonts w:eastAsia="Calibri"/>
                <w:iCs/>
                <w:sz w:val="18"/>
                <w:szCs w:val="18"/>
              </w:rPr>
              <w:t xml:space="preserve">: 65%, </w:t>
            </w:r>
            <w:r>
              <w:rPr>
                <w:rFonts w:eastAsia="Calibri"/>
                <w:iCs/>
                <w:sz w:val="18"/>
                <w:szCs w:val="18"/>
              </w:rPr>
              <w:t>t</w:t>
            </w:r>
            <w:r w:rsidR="00BC54AE" w:rsidRPr="000B2DCA">
              <w:rPr>
                <w:rFonts w:eastAsia="Calibri"/>
                <w:iCs/>
                <w:sz w:val="18"/>
                <w:szCs w:val="18"/>
              </w:rPr>
              <w:t xml:space="preserve">arget </w:t>
            </w:r>
            <w:r>
              <w:rPr>
                <w:rFonts w:eastAsia="Calibri"/>
                <w:iCs/>
                <w:sz w:val="18"/>
                <w:szCs w:val="18"/>
              </w:rPr>
              <w:t>(</w:t>
            </w:r>
            <w:r w:rsidR="00BC54AE" w:rsidRPr="000B2DCA">
              <w:rPr>
                <w:rFonts w:eastAsia="Calibri"/>
                <w:iCs/>
                <w:sz w:val="18"/>
                <w:szCs w:val="18"/>
              </w:rPr>
              <w:t>2020</w:t>
            </w:r>
            <w:r>
              <w:rPr>
                <w:rFonts w:eastAsia="Calibri"/>
                <w:iCs/>
                <w:sz w:val="18"/>
                <w:szCs w:val="18"/>
              </w:rPr>
              <w:t>)</w:t>
            </w:r>
            <w:r w:rsidR="00BC54AE" w:rsidRPr="000B2DCA">
              <w:rPr>
                <w:rFonts w:eastAsia="Calibri"/>
                <w:iCs/>
                <w:sz w:val="18"/>
                <w:szCs w:val="18"/>
              </w:rPr>
              <w:t>: 30%, Disaggregation: none</w:t>
            </w:r>
            <w:r w:rsidR="00BC54AE" w:rsidRPr="000B2DCA">
              <w:rPr>
                <w:rFonts w:eastAsia="Calibri"/>
                <w:sz w:val="18"/>
                <w:szCs w:val="18"/>
              </w:rPr>
              <w:t xml:space="preserve"> (7FYP/DRF59, SDG 5.3.1)</w:t>
            </w:r>
          </w:p>
          <w:p w14:paraId="1F6D90AC" w14:textId="77777777" w:rsidR="00BC54AE" w:rsidRPr="000B2DCA" w:rsidRDefault="00BC54AE" w:rsidP="0009295E">
            <w:pPr>
              <w:tabs>
                <w:tab w:val="left" w:pos="900"/>
                <w:tab w:val="left" w:pos="990"/>
                <w:tab w:val="left" w:pos="8640"/>
                <w:tab w:val="left" w:pos="9180"/>
              </w:tabs>
              <w:ind w:left="31"/>
              <w:rPr>
                <w:rFonts w:eastAsia="Calibri"/>
                <w:b/>
                <w:iCs/>
                <w:sz w:val="18"/>
                <w:szCs w:val="18"/>
              </w:rPr>
            </w:pPr>
          </w:p>
        </w:tc>
        <w:tc>
          <w:tcPr>
            <w:tcW w:w="667" w:type="pct"/>
            <w:vMerge w:val="restart"/>
          </w:tcPr>
          <w:p w14:paraId="4953E42F" w14:textId="760F9271" w:rsidR="0061291A" w:rsidRPr="000B2DCA" w:rsidRDefault="00BC54AE" w:rsidP="0009295E">
            <w:pPr>
              <w:tabs>
                <w:tab w:val="left" w:pos="900"/>
                <w:tab w:val="left" w:pos="990"/>
                <w:tab w:val="left" w:pos="8640"/>
                <w:tab w:val="left" w:pos="9180"/>
              </w:tabs>
              <w:ind w:left="31"/>
              <w:rPr>
                <w:rFonts w:eastAsia="Calibri"/>
                <w:iCs/>
                <w:sz w:val="18"/>
                <w:szCs w:val="18"/>
              </w:rPr>
            </w:pPr>
            <w:r w:rsidRPr="000B2DCA">
              <w:rPr>
                <w:rFonts w:eastAsia="Calibri"/>
                <w:b/>
                <w:iCs/>
                <w:sz w:val="18"/>
                <w:szCs w:val="18"/>
              </w:rPr>
              <w:lastRenderedPageBreak/>
              <w:t>Source</w:t>
            </w:r>
            <w:r w:rsidRPr="000B2DCA">
              <w:rPr>
                <w:rFonts w:eastAsia="Calibri"/>
                <w:iCs/>
                <w:sz w:val="18"/>
                <w:szCs w:val="18"/>
              </w:rPr>
              <w:t>: Household and Income Expenditure Survey</w:t>
            </w:r>
            <w:r w:rsidR="00664F25">
              <w:rPr>
                <w:rFonts w:eastAsia="Calibri"/>
                <w:iCs/>
                <w:sz w:val="18"/>
                <w:szCs w:val="18"/>
              </w:rPr>
              <w:t>,</w:t>
            </w:r>
            <w:r w:rsidRPr="000B2DCA">
              <w:rPr>
                <w:rFonts w:eastAsia="Calibri"/>
                <w:iCs/>
                <w:sz w:val="18"/>
                <w:szCs w:val="18"/>
              </w:rPr>
              <w:t xml:space="preserve"> 2016 and 2020</w:t>
            </w:r>
            <w:r w:rsidR="0061291A" w:rsidRPr="000B2DCA">
              <w:rPr>
                <w:rFonts w:eastAsia="Calibri"/>
                <w:iCs/>
                <w:sz w:val="18"/>
                <w:szCs w:val="18"/>
              </w:rPr>
              <w:br/>
            </w:r>
            <w:r w:rsidRPr="000B2DCA">
              <w:rPr>
                <w:rFonts w:eastAsia="Calibri"/>
                <w:b/>
                <w:iCs/>
                <w:sz w:val="18"/>
                <w:szCs w:val="18"/>
              </w:rPr>
              <w:t>Frequency</w:t>
            </w:r>
            <w:r w:rsidRPr="000B2DCA">
              <w:rPr>
                <w:rFonts w:eastAsia="Calibri"/>
                <w:iCs/>
                <w:sz w:val="18"/>
                <w:szCs w:val="18"/>
              </w:rPr>
              <w:t>: 5</w:t>
            </w:r>
            <w:r w:rsidR="00664F25">
              <w:rPr>
                <w:rFonts w:eastAsia="Calibri"/>
                <w:iCs/>
                <w:sz w:val="18"/>
                <w:szCs w:val="18"/>
              </w:rPr>
              <w:t> </w:t>
            </w:r>
            <w:r w:rsidRPr="000B2DCA">
              <w:rPr>
                <w:rFonts w:eastAsia="Calibri"/>
                <w:iCs/>
                <w:sz w:val="18"/>
                <w:szCs w:val="18"/>
              </w:rPr>
              <w:t>years</w:t>
            </w:r>
            <w:r w:rsidR="0061291A" w:rsidRPr="000B2DCA">
              <w:rPr>
                <w:rFonts w:eastAsia="Calibri"/>
                <w:iCs/>
                <w:sz w:val="18"/>
                <w:szCs w:val="18"/>
              </w:rPr>
              <w:br/>
            </w:r>
            <w:r w:rsidRPr="000B2DCA">
              <w:rPr>
                <w:rFonts w:eastAsia="Calibri"/>
                <w:b/>
                <w:iCs/>
                <w:sz w:val="18"/>
                <w:szCs w:val="18"/>
              </w:rPr>
              <w:t xml:space="preserve">Responsibility: </w:t>
            </w:r>
            <w:r w:rsidR="00DB64A0" w:rsidRPr="000B2DCA">
              <w:rPr>
                <w:rFonts w:eastAsia="Calibri"/>
                <w:iCs/>
                <w:sz w:val="18"/>
                <w:szCs w:val="18"/>
              </w:rPr>
              <w:t>BBS</w:t>
            </w:r>
          </w:p>
          <w:p w14:paraId="3265C6C7" w14:textId="77777777" w:rsidR="0061291A" w:rsidRPr="000B2DCA" w:rsidRDefault="0061291A" w:rsidP="0009295E">
            <w:pPr>
              <w:tabs>
                <w:tab w:val="left" w:pos="900"/>
                <w:tab w:val="left" w:pos="990"/>
                <w:tab w:val="left" w:pos="8640"/>
                <w:tab w:val="left" w:pos="9180"/>
              </w:tabs>
              <w:ind w:left="31"/>
              <w:rPr>
                <w:rFonts w:eastAsia="Calibri"/>
                <w:iCs/>
                <w:sz w:val="18"/>
                <w:szCs w:val="18"/>
              </w:rPr>
            </w:pPr>
          </w:p>
          <w:p w14:paraId="058782C2" w14:textId="4E71ECD0" w:rsidR="00BC54AE" w:rsidRPr="000B2DCA" w:rsidRDefault="00BC54AE" w:rsidP="0009295E">
            <w:pPr>
              <w:tabs>
                <w:tab w:val="left" w:pos="900"/>
                <w:tab w:val="left" w:pos="990"/>
                <w:tab w:val="left" w:pos="8640"/>
                <w:tab w:val="left" w:pos="9180"/>
              </w:tabs>
              <w:ind w:left="31"/>
              <w:rPr>
                <w:rFonts w:eastAsia="Calibri"/>
                <w:b/>
                <w:iCs/>
                <w:sz w:val="18"/>
                <w:szCs w:val="18"/>
              </w:rPr>
            </w:pPr>
            <w:r w:rsidRPr="000B2DCA">
              <w:rPr>
                <w:rFonts w:eastAsia="Calibri"/>
                <w:b/>
                <w:iCs/>
                <w:sz w:val="18"/>
                <w:szCs w:val="18"/>
              </w:rPr>
              <w:lastRenderedPageBreak/>
              <w:t>Source</w:t>
            </w:r>
            <w:r w:rsidRPr="000B2DCA">
              <w:rPr>
                <w:rFonts w:eastAsia="Calibri"/>
                <w:iCs/>
                <w:sz w:val="18"/>
                <w:szCs w:val="18"/>
              </w:rPr>
              <w:t xml:space="preserve">: Bangladesh Institute of Development Studies </w:t>
            </w:r>
            <w:r w:rsidR="009B4798" w:rsidRPr="009B4798">
              <w:rPr>
                <w:rFonts w:eastAsia="Calibri"/>
                <w:iCs/>
                <w:sz w:val="18"/>
                <w:szCs w:val="18"/>
              </w:rPr>
              <w:t>(BIDS)</w:t>
            </w:r>
            <w:r w:rsidR="009B4798">
              <w:rPr>
                <w:rFonts w:eastAsia="Calibri"/>
                <w:iCs/>
                <w:sz w:val="18"/>
                <w:szCs w:val="18"/>
              </w:rPr>
              <w:t xml:space="preserve">, </w:t>
            </w:r>
            <w:r w:rsidRPr="000B2DCA">
              <w:rPr>
                <w:rFonts w:eastAsia="Calibri"/>
                <w:iCs/>
                <w:sz w:val="18"/>
                <w:szCs w:val="18"/>
              </w:rPr>
              <w:t>2016</w:t>
            </w:r>
            <w:r w:rsidR="0061291A" w:rsidRPr="000B2DCA">
              <w:rPr>
                <w:rFonts w:eastAsia="Calibri"/>
                <w:iCs/>
                <w:sz w:val="18"/>
                <w:szCs w:val="18"/>
              </w:rPr>
              <w:br/>
            </w:r>
            <w:r w:rsidRPr="000B2DCA">
              <w:rPr>
                <w:rFonts w:eastAsia="Calibri"/>
                <w:b/>
                <w:iCs/>
                <w:sz w:val="18"/>
                <w:szCs w:val="18"/>
              </w:rPr>
              <w:t>Frequency</w:t>
            </w:r>
            <w:r w:rsidRPr="000B2DCA">
              <w:rPr>
                <w:rFonts w:eastAsia="Calibri"/>
                <w:iCs/>
                <w:sz w:val="18"/>
                <w:szCs w:val="18"/>
              </w:rPr>
              <w:t>: 5</w:t>
            </w:r>
            <w:r w:rsidR="00664F25">
              <w:rPr>
                <w:rFonts w:eastAsia="Calibri"/>
                <w:iCs/>
                <w:sz w:val="18"/>
                <w:szCs w:val="18"/>
              </w:rPr>
              <w:t> </w:t>
            </w:r>
            <w:r w:rsidRPr="000B2DCA">
              <w:rPr>
                <w:rFonts w:eastAsia="Calibri"/>
                <w:iCs/>
                <w:sz w:val="18"/>
                <w:szCs w:val="18"/>
              </w:rPr>
              <w:t>years</w:t>
            </w:r>
            <w:r w:rsidR="0061291A" w:rsidRPr="000B2DCA">
              <w:rPr>
                <w:rFonts w:eastAsia="Calibri"/>
                <w:iCs/>
                <w:sz w:val="18"/>
                <w:szCs w:val="18"/>
              </w:rPr>
              <w:br/>
            </w:r>
            <w:r w:rsidRPr="000B2DCA">
              <w:rPr>
                <w:rFonts w:eastAsia="Calibri"/>
                <w:b/>
                <w:iCs/>
                <w:sz w:val="18"/>
                <w:szCs w:val="18"/>
              </w:rPr>
              <w:t>Responsibility:</w:t>
            </w:r>
            <w:r w:rsidRPr="000B2DCA">
              <w:rPr>
                <w:rFonts w:eastAsia="Calibri"/>
                <w:iCs/>
                <w:sz w:val="18"/>
                <w:szCs w:val="18"/>
              </w:rPr>
              <w:t xml:space="preserve"> BIDS</w:t>
            </w:r>
          </w:p>
          <w:p w14:paraId="0685BC45" w14:textId="0396D9D5" w:rsidR="00454D0F" w:rsidRDefault="0061291A" w:rsidP="0009295E">
            <w:pPr>
              <w:tabs>
                <w:tab w:val="left" w:pos="234"/>
                <w:tab w:val="left" w:pos="900"/>
                <w:tab w:val="left" w:pos="990"/>
                <w:tab w:val="left" w:pos="8640"/>
                <w:tab w:val="left" w:pos="9180"/>
              </w:tabs>
              <w:ind w:left="31"/>
              <w:rPr>
                <w:rFonts w:eastAsia="Calibri"/>
                <w:b/>
                <w:iCs/>
                <w:sz w:val="18"/>
                <w:szCs w:val="18"/>
              </w:rPr>
            </w:pPr>
            <w:r w:rsidRPr="000B2DCA">
              <w:rPr>
                <w:rFonts w:eastAsia="Calibri"/>
                <w:b/>
                <w:iCs/>
                <w:sz w:val="18"/>
                <w:szCs w:val="18"/>
              </w:rPr>
              <w:br/>
            </w:r>
          </w:p>
          <w:p w14:paraId="48A16E1C" w14:textId="77777777" w:rsidR="00454D0F" w:rsidRDefault="00454D0F" w:rsidP="0009295E">
            <w:pPr>
              <w:tabs>
                <w:tab w:val="left" w:pos="234"/>
                <w:tab w:val="left" w:pos="900"/>
                <w:tab w:val="left" w:pos="990"/>
                <w:tab w:val="left" w:pos="8640"/>
                <w:tab w:val="left" w:pos="9180"/>
              </w:tabs>
              <w:ind w:left="31"/>
              <w:rPr>
                <w:rFonts w:eastAsia="Calibri"/>
                <w:b/>
                <w:iCs/>
                <w:sz w:val="18"/>
                <w:szCs w:val="18"/>
              </w:rPr>
            </w:pPr>
          </w:p>
          <w:p w14:paraId="3AB00460" w14:textId="4D2F73EE" w:rsidR="00BC54AE" w:rsidRPr="000B2DCA" w:rsidRDefault="00BC54AE" w:rsidP="0009295E">
            <w:pPr>
              <w:tabs>
                <w:tab w:val="left" w:pos="234"/>
                <w:tab w:val="left" w:pos="900"/>
                <w:tab w:val="left" w:pos="990"/>
                <w:tab w:val="left" w:pos="8640"/>
                <w:tab w:val="left" w:pos="9180"/>
              </w:tabs>
              <w:ind w:left="31"/>
              <w:rPr>
                <w:rFonts w:eastAsia="Calibri"/>
                <w:iCs/>
                <w:sz w:val="18"/>
                <w:szCs w:val="18"/>
              </w:rPr>
            </w:pPr>
            <w:r w:rsidRPr="000B2DCA">
              <w:rPr>
                <w:rFonts w:eastAsia="Calibri"/>
                <w:b/>
                <w:iCs/>
                <w:sz w:val="18"/>
                <w:szCs w:val="18"/>
              </w:rPr>
              <w:t>Source</w:t>
            </w:r>
            <w:r w:rsidRPr="000B2DCA">
              <w:rPr>
                <w:rFonts w:eastAsia="Calibri"/>
                <w:iCs/>
                <w:sz w:val="18"/>
                <w:szCs w:val="18"/>
              </w:rPr>
              <w:t xml:space="preserve">: Rule of Law </w:t>
            </w:r>
            <w:r w:rsidR="00454D0F">
              <w:rPr>
                <w:rFonts w:eastAsia="Calibri"/>
                <w:iCs/>
                <w:sz w:val="18"/>
                <w:szCs w:val="18"/>
              </w:rPr>
              <w:t>I</w:t>
            </w:r>
            <w:r w:rsidRPr="000B2DCA">
              <w:rPr>
                <w:rFonts w:eastAsia="Calibri"/>
                <w:iCs/>
                <w:sz w:val="18"/>
                <w:szCs w:val="18"/>
              </w:rPr>
              <w:t xml:space="preserve">ndex by the World Justice Project (WJP) </w:t>
            </w:r>
          </w:p>
          <w:p w14:paraId="0DA49DB0" w14:textId="77777777" w:rsidR="00BC54AE" w:rsidRPr="000B2DCA" w:rsidRDefault="00BC54AE" w:rsidP="0009295E">
            <w:pPr>
              <w:tabs>
                <w:tab w:val="left" w:pos="234"/>
                <w:tab w:val="left" w:pos="900"/>
                <w:tab w:val="left" w:pos="990"/>
                <w:tab w:val="left" w:pos="8640"/>
                <w:tab w:val="left" w:pos="9180"/>
              </w:tabs>
              <w:ind w:left="31"/>
              <w:rPr>
                <w:rFonts w:eastAsia="Calibri"/>
                <w:iCs/>
                <w:sz w:val="18"/>
                <w:szCs w:val="18"/>
              </w:rPr>
            </w:pPr>
            <w:r w:rsidRPr="000B2DCA">
              <w:rPr>
                <w:rFonts w:eastAsia="Calibri"/>
                <w:b/>
                <w:iCs/>
                <w:sz w:val="18"/>
                <w:szCs w:val="18"/>
              </w:rPr>
              <w:t>Frequency:</w:t>
            </w:r>
            <w:r w:rsidRPr="000B2DCA">
              <w:rPr>
                <w:rFonts w:eastAsia="Calibri"/>
                <w:iCs/>
                <w:sz w:val="18"/>
                <w:szCs w:val="18"/>
              </w:rPr>
              <w:t xml:space="preserve"> annual</w:t>
            </w:r>
          </w:p>
          <w:p w14:paraId="7F420EFF" w14:textId="77777777" w:rsidR="00BC54AE" w:rsidRPr="000B2DCA" w:rsidRDefault="00BC54AE" w:rsidP="0009295E">
            <w:pPr>
              <w:tabs>
                <w:tab w:val="left" w:pos="900"/>
                <w:tab w:val="left" w:pos="990"/>
                <w:tab w:val="left" w:pos="8640"/>
                <w:tab w:val="left" w:pos="9180"/>
              </w:tabs>
              <w:ind w:left="31"/>
              <w:rPr>
                <w:rFonts w:eastAsia="Calibri"/>
                <w:iCs/>
                <w:sz w:val="18"/>
                <w:szCs w:val="18"/>
              </w:rPr>
            </w:pPr>
            <w:r w:rsidRPr="000B2DCA">
              <w:rPr>
                <w:rFonts w:eastAsia="Calibri"/>
                <w:b/>
                <w:iCs/>
                <w:sz w:val="18"/>
                <w:szCs w:val="18"/>
              </w:rPr>
              <w:t xml:space="preserve">Responsibility: </w:t>
            </w:r>
            <w:r w:rsidRPr="000B2DCA">
              <w:rPr>
                <w:rFonts w:eastAsia="Calibri"/>
                <w:iCs/>
                <w:sz w:val="18"/>
                <w:szCs w:val="18"/>
              </w:rPr>
              <w:t>WJP</w:t>
            </w:r>
          </w:p>
          <w:p w14:paraId="24465755" w14:textId="77777777" w:rsidR="00BC54AE" w:rsidRPr="000B2DCA" w:rsidRDefault="00BC54AE" w:rsidP="0009295E">
            <w:pPr>
              <w:tabs>
                <w:tab w:val="left" w:pos="234"/>
                <w:tab w:val="left" w:pos="900"/>
                <w:tab w:val="left" w:pos="990"/>
                <w:tab w:val="left" w:pos="8640"/>
                <w:tab w:val="left" w:pos="9180"/>
              </w:tabs>
              <w:ind w:left="31"/>
              <w:rPr>
                <w:rFonts w:eastAsia="Calibri"/>
                <w:b/>
                <w:iCs/>
                <w:sz w:val="18"/>
                <w:szCs w:val="18"/>
              </w:rPr>
            </w:pPr>
          </w:p>
          <w:p w14:paraId="399113BF" w14:textId="2F6AE715" w:rsidR="00BC54AE" w:rsidRPr="000B2DCA" w:rsidRDefault="00BC54AE" w:rsidP="0009295E">
            <w:pPr>
              <w:keepNext/>
              <w:keepLines/>
              <w:shd w:val="clear" w:color="auto" w:fill="FFFFFF"/>
              <w:tabs>
                <w:tab w:val="left" w:pos="900"/>
                <w:tab w:val="left" w:pos="990"/>
                <w:tab w:val="left" w:pos="8640"/>
                <w:tab w:val="left" w:pos="9180"/>
              </w:tabs>
              <w:ind w:left="31"/>
              <w:outlineLvl w:val="2"/>
              <w:rPr>
                <w:color w:val="222222"/>
                <w:sz w:val="18"/>
                <w:szCs w:val="18"/>
                <w:lang w:eastAsia="en-GB"/>
              </w:rPr>
            </w:pPr>
            <w:r w:rsidRPr="000B2DCA">
              <w:rPr>
                <w:b/>
                <w:iCs/>
                <w:sz w:val="18"/>
                <w:szCs w:val="18"/>
              </w:rPr>
              <w:t xml:space="preserve">Source: </w:t>
            </w:r>
            <w:hyperlink r:id="rId27" w:history="1">
              <w:r w:rsidRPr="000B2DCA">
                <w:rPr>
                  <w:iCs/>
                  <w:sz w:val="18"/>
                  <w:szCs w:val="18"/>
                </w:rPr>
                <w:t xml:space="preserve">Bangladesh </w:t>
              </w:r>
              <w:r w:rsidR="004E7CAF">
                <w:rPr>
                  <w:iCs/>
                  <w:sz w:val="18"/>
                  <w:szCs w:val="18"/>
                </w:rPr>
                <w:t>d</w:t>
              </w:r>
              <w:r w:rsidRPr="000B2DCA">
                <w:rPr>
                  <w:iCs/>
                  <w:sz w:val="18"/>
                  <w:szCs w:val="18"/>
                </w:rPr>
                <w:t xml:space="preserve">emographic and </w:t>
              </w:r>
              <w:r w:rsidR="004E7CAF">
                <w:rPr>
                  <w:iCs/>
                  <w:sz w:val="18"/>
                  <w:szCs w:val="18"/>
                </w:rPr>
                <w:t>h</w:t>
              </w:r>
              <w:r w:rsidRPr="000B2DCA">
                <w:rPr>
                  <w:iCs/>
                  <w:sz w:val="18"/>
                  <w:szCs w:val="18"/>
                </w:rPr>
                <w:t xml:space="preserve">ealth </w:t>
              </w:r>
              <w:r w:rsidR="004E7CAF">
                <w:rPr>
                  <w:iCs/>
                  <w:sz w:val="18"/>
                  <w:szCs w:val="18"/>
                </w:rPr>
                <w:t>s</w:t>
              </w:r>
              <w:r w:rsidRPr="000B2DCA">
                <w:rPr>
                  <w:iCs/>
                  <w:sz w:val="18"/>
                  <w:szCs w:val="18"/>
                </w:rPr>
                <w:t>urvey</w:t>
              </w:r>
            </w:hyperlink>
            <w:r w:rsidRPr="000B2DCA">
              <w:rPr>
                <w:iCs/>
                <w:sz w:val="18"/>
                <w:szCs w:val="18"/>
              </w:rPr>
              <w:t>s</w:t>
            </w:r>
          </w:p>
          <w:p w14:paraId="0DAF6540" w14:textId="332FD8DC" w:rsidR="00BC54AE" w:rsidRPr="000B2DCA" w:rsidRDefault="00BC54AE" w:rsidP="0009295E">
            <w:pPr>
              <w:tabs>
                <w:tab w:val="left" w:pos="234"/>
                <w:tab w:val="left" w:pos="900"/>
                <w:tab w:val="left" w:pos="990"/>
                <w:tab w:val="left" w:pos="8640"/>
                <w:tab w:val="left" w:pos="9180"/>
              </w:tabs>
              <w:ind w:left="31"/>
              <w:rPr>
                <w:rFonts w:eastAsia="Calibri"/>
                <w:iCs/>
                <w:sz w:val="18"/>
                <w:szCs w:val="18"/>
              </w:rPr>
            </w:pPr>
            <w:r w:rsidRPr="000B2DCA">
              <w:rPr>
                <w:rFonts w:eastAsia="Calibri"/>
                <w:b/>
                <w:iCs/>
                <w:sz w:val="18"/>
                <w:szCs w:val="18"/>
              </w:rPr>
              <w:t xml:space="preserve">Frequency: </w:t>
            </w:r>
            <w:r w:rsidRPr="000B2DCA">
              <w:rPr>
                <w:rFonts w:eastAsia="Calibri"/>
                <w:iCs/>
                <w:sz w:val="18"/>
                <w:szCs w:val="18"/>
              </w:rPr>
              <w:t>5</w:t>
            </w:r>
            <w:r w:rsidR="004E7CAF">
              <w:rPr>
                <w:rFonts w:eastAsia="Calibri"/>
                <w:iCs/>
                <w:sz w:val="18"/>
                <w:szCs w:val="18"/>
              </w:rPr>
              <w:t> </w:t>
            </w:r>
            <w:r w:rsidRPr="000B2DCA">
              <w:rPr>
                <w:rFonts w:eastAsia="Calibri"/>
                <w:iCs/>
                <w:sz w:val="18"/>
                <w:szCs w:val="18"/>
              </w:rPr>
              <w:t>years</w:t>
            </w:r>
          </w:p>
          <w:p w14:paraId="1CCBFA14" w14:textId="77777777" w:rsidR="00BC54AE" w:rsidRPr="000B2DCA" w:rsidRDefault="00BC54AE" w:rsidP="0009295E">
            <w:pPr>
              <w:tabs>
                <w:tab w:val="left" w:pos="900"/>
                <w:tab w:val="left" w:pos="990"/>
                <w:tab w:val="left" w:pos="8640"/>
                <w:tab w:val="left" w:pos="9180"/>
              </w:tabs>
              <w:ind w:left="31"/>
              <w:rPr>
                <w:rFonts w:eastAsia="Calibri"/>
                <w:iCs/>
                <w:sz w:val="18"/>
                <w:szCs w:val="18"/>
              </w:rPr>
            </w:pPr>
            <w:r w:rsidRPr="000B2DCA">
              <w:rPr>
                <w:rFonts w:eastAsia="Calibri"/>
                <w:b/>
                <w:iCs/>
                <w:sz w:val="18"/>
                <w:szCs w:val="18"/>
              </w:rPr>
              <w:t xml:space="preserve">Responsibility: </w:t>
            </w:r>
            <w:r w:rsidRPr="000B2DCA">
              <w:rPr>
                <w:rFonts w:eastAsia="Calibri"/>
                <w:iCs/>
                <w:sz w:val="18"/>
                <w:szCs w:val="18"/>
              </w:rPr>
              <w:t>BBS</w:t>
            </w:r>
          </w:p>
          <w:p w14:paraId="5845A316" w14:textId="77777777" w:rsidR="00BC54AE" w:rsidRPr="000B2DCA" w:rsidRDefault="00BC54AE" w:rsidP="0009295E">
            <w:pPr>
              <w:tabs>
                <w:tab w:val="left" w:pos="900"/>
                <w:tab w:val="left" w:pos="990"/>
                <w:tab w:val="left" w:pos="8640"/>
                <w:tab w:val="left" w:pos="9180"/>
              </w:tabs>
              <w:ind w:left="31"/>
              <w:rPr>
                <w:rFonts w:eastAsia="Calibri"/>
                <w:iCs/>
                <w:sz w:val="18"/>
                <w:szCs w:val="18"/>
              </w:rPr>
            </w:pPr>
          </w:p>
          <w:p w14:paraId="028E6A53" w14:textId="77777777" w:rsidR="00BC54AE" w:rsidRPr="000B2DCA" w:rsidRDefault="00BC54AE" w:rsidP="0009295E">
            <w:pPr>
              <w:tabs>
                <w:tab w:val="left" w:pos="900"/>
                <w:tab w:val="left" w:pos="990"/>
                <w:tab w:val="left" w:pos="8640"/>
                <w:tab w:val="left" w:pos="9180"/>
              </w:tabs>
              <w:ind w:left="31"/>
              <w:rPr>
                <w:rFonts w:eastAsia="Calibri"/>
                <w:iCs/>
                <w:sz w:val="18"/>
                <w:szCs w:val="18"/>
              </w:rPr>
            </w:pPr>
          </w:p>
          <w:p w14:paraId="2C9191C6" w14:textId="77777777" w:rsidR="00BC54AE" w:rsidRPr="000B2DCA" w:rsidRDefault="00BC54AE" w:rsidP="0009295E">
            <w:pPr>
              <w:tabs>
                <w:tab w:val="left" w:pos="900"/>
                <w:tab w:val="left" w:pos="990"/>
                <w:tab w:val="left" w:pos="8640"/>
                <w:tab w:val="left" w:pos="9180"/>
              </w:tabs>
              <w:ind w:left="31"/>
              <w:rPr>
                <w:rFonts w:eastAsia="Calibri"/>
                <w:iCs/>
                <w:sz w:val="18"/>
                <w:szCs w:val="18"/>
              </w:rPr>
            </w:pPr>
          </w:p>
        </w:tc>
        <w:tc>
          <w:tcPr>
            <w:tcW w:w="2255" w:type="pct"/>
            <w:vMerge w:val="restart"/>
            <w:tcMar>
              <w:top w:w="72" w:type="dxa"/>
              <w:left w:w="144" w:type="dxa"/>
              <w:bottom w:w="72" w:type="dxa"/>
              <w:right w:w="144" w:type="dxa"/>
            </w:tcMar>
          </w:tcPr>
          <w:p w14:paraId="6792256F" w14:textId="77777777" w:rsidR="00BC54AE" w:rsidRPr="000B2DCA" w:rsidRDefault="00BC54AE" w:rsidP="0009295E">
            <w:pPr>
              <w:tabs>
                <w:tab w:val="left" w:pos="900"/>
                <w:tab w:val="left" w:pos="990"/>
                <w:tab w:val="left" w:pos="8640"/>
                <w:tab w:val="left" w:pos="9180"/>
              </w:tabs>
              <w:ind w:left="31"/>
              <w:rPr>
                <w:rFonts w:eastAsia="Calibri"/>
                <w:b/>
                <w:iCs/>
                <w:sz w:val="18"/>
                <w:szCs w:val="18"/>
              </w:rPr>
            </w:pPr>
            <w:r w:rsidRPr="000B2DCA">
              <w:rPr>
                <w:rFonts w:eastAsia="Calibri"/>
                <w:b/>
                <w:iCs/>
                <w:sz w:val="18"/>
                <w:szCs w:val="18"/>
              </w:rPr>
              <w:lastRenderedPageBreak/>
              <w:t xml:space="preserve">OUTPUT 2.1: Civil society, interest groups, relevant government agencies and political parties haves tools and knowledge to set agendas and to develop platforms for </w:t>
            </w:r>
            <w:r w:rsidRPr="000B2DCA">
              <w:rPr>
                <w:rFonts w:eastAsia="Calibri"/>
                <w:b/>
                <w:i/>
                <w:iCs/>
                <w:sz w:val="18"/>
                <w:szCs w:val="18"/>
              </w:rPr>
              <w:t>building consensus on national issues</w:t>
            </w:r>
          </w:p>
          <w:p w14:paraId="6CB2EF42" w14:textId="73508EBD" w:rsidR="00BC54AE" w:rsidRPr="000B2DCA" w:rsidRDefault="00BC54AE" w:rsidP="0009295E">
            <w:pPr>
              <w:tabs>
                <w:tab w:val="left" w:pos="900"/>
                <w:tab w:val="left" w:pos="990"/>
                <w:tab w:val="left" w:pos="8640"/>
                <w:tab w:val="left" w:pos="9180"/>
              </w:tabs>
              <w:spacing w:after="60"/>
              <w:ind w:left="31"/>
              <w:rPr>
                <w:rFonts w:eastAsia="Calibri"/>
                <w:iCs/>
                <w:sz w:val="18"/>
                <w:szCs w:val="18"/>
              </w:rPr>
            </w:pPr>
            <w:r w:rsidRPr="000B2DCA">
              <w:rPr>
                <w:rFonts w:eastAsia="Calibri"/>
                <w:b/>
                <w:iCs/>
                <w:sz w:val="18"/>
                <w:szCs w:val="18"/>
              </w:rPr>
              <w:t>Indicator 2.1.1.</w:t>
            </w:r>
            <w:r w:rsidRPr="000B2DCA">
              <w:rPr>
                <w:rFonts w:eastAsia="Calibri"/>
                <w:iCs/>
                <w:sz w:val="18"/>
                <w:szCs w:val="18"/>
              </w:rPr>
              <w:t xml:space="preserve">: Extent to which there is a strengthened environment for civic engagement, including legal/regulatory framework for civil society organizations to function in the public sphere and contribute to development, </w:t>
            </w:r>
            <w:r w:rsidRPr="000B2DCA">
              <w:rPr>
                <w:rFonts w:eastAsia="Calibri"/>
                <w:iCs/>
                <w:sz w:val="18"/>
                <w:szCs w:val="18"/>
              </w:rPr>
              <w:lastRenderedPageBreak/>
              <w:t>and effective mechanisms/platforms to engage civil society (with a focus on women, youth or excluded groups)</w:t>
            </w:r>
            <w:r w:rsidRPr="000B2DCA">
              <w:rPr>
                <w:rFonts w:eastAsia="Calibri"/>
                <w:iCs/>
                <w:sz w:val="18"/>
                <w:szCs w:val="18"/>
                <w:vertAlign w:val="superscript"/>
              </w:rPr>
              <w:footnoteReference w:id="34"/>
            </w:r>
            <w:r w:rsidR="00454D0F">
              <w:rPr>
                <w:rFonts w:eastAsia="Calibri"/>
                <w:iCs/>
                <w:sz w:val="18"/>
                <w:szCs w:val="18"/>
              </w:rPr>
              <w:t>.</w:t>
            </w:r>
            <w:r w:rsidRPr="000B2DCA">
              <w:rPr>
                <w:rFonts w:eastAsia="Calibri"/>
                <w:iCs/>
                <w:sz w:val="18"/>
                <w:szCs w:val="18"/>
              </w:rPr>
              <w:t xml:space="preserve"> Baseline </w:t>
            </w:r>
            <w:r w:rsidR="00454D0F">
              <w:rPr>
                <w:rFonts w:eastAsia="Calibri"/>
                <w:iCs/>
                <w:sz w:val="18"/>
                <w:szCs w:val="18"/>
              </w:rPr>
              <w:t>(</w:t>
            </w:r>
            <w:r w:rsidRPr="000B2DCA">
              <w:rPr>
                <w:rFonts w:eastAsia="Calibri"/>
                <w:iCs/>
                <w:sz w:val="18"/>
                <w:szCs w:val="18"/>
              </w:rPr>
              <w:t>2016</w:t>
            </w:r>
            <w:r w:rsidR="00454D0F">
              <w:rPr>
                <w:rFonts w:eastAsia="Calibri"/>
                <w:iCs/>
                <w:sz w:val="18"/>
                <w:szCs w:val="18"/>
              </w:rPr>
              <w:t>)</w:t>
            </w:r>
            <w:r w:rsidRPr="000B2DCA">
              <w:rPr>
                <w:rFonts w:eastAsia="Calibri"/>
                <w:iCs/>
                <w:sz w:val="18"/>
                <w:szCs w:val="18"/>
              </w:rPr>
              <w:t>: low (on 3 groups)</w:t>
            </w:r>
            <w:r w:rsidRPr="000B2DCA">
              <w:rPr>
                <w:rFonts w:eastAsia="Calibri"/>
                <w:iCs/>
                <w:color w:val="000000"/>
                <w:sz w:val="18"/>
                <w:szCs w:val="18"/>
              </w:rPr>
              <w:t xml:space="preserve">, </w:t>
            </w:r>
            <w:r w:rsidR="00454D0F">
              <w:rPr>
                <w:rFonts w:eastAsia="Calibri"/>
                <w:iCs/>
                <w:color w:val="000000"/>
                <w:sz w:val="18"/>
                <w:szCs w:val="18"/>
              </w:rPr>
              <w:t>t</w:t>
            </w:r>
            <w:r w:rsidRPr="000B2DCA">
              <w:rPr>
                <w:rFonts w:eastAsia="Calibri"/>
                <w:iCs/>
                <w:color w:val="000000"/>
                <w:sz w:val="18"/>
                <w:szCs w:val="18"/>
              </w:rPr>
              <w:t xml:space="preserve">arget </w:t>
            </w:r>
            <w:r w:rsidR="00454D0F">
              <w:rPr>
                <w:rFonts w:eastAsia="Calibri"/>
                <w:iCs/>
                <w:color w:val="000000"/>
                <w:sz w:val="18"/>
                <w:szCs w:val="18"/>
              </w:rPr>
              <w:t>(</w:t>
            </w:r>
            <w:r w:rsidRPr="000B2DCA">
              <w:rPr>
                <w:rFonts w:eastAsia="Calibri"/>
                <w:iCs/>
                <w:color w:val="000000"/>
                <w:sz w:val="18"/>
                <w:szCs w:val="18"/>
              </w:rPr>
              <w:t>2020</w:t>
            </w:r>
            <w:r w:rsidR="00454D0F">
              <w:rPr>
                <w:rFonts w:eastAsia="Calibri"/>
                <w:iCs/>
                <w:color w:val="000000"/>
                <w:sz w:val="18"/>
                <w:szCs w:val="18"/>
              </w:rPr>
              <w:t>)</w:t>
            </w:r>
            <w:r w:rsidRPr="000B2DCA">
              <w:rPr>
                <w:rFonts w:eastAsia="Calibri"/>
                <w:iCs/>
                <w:color w:val="000000"/>
                <w:sz w:val="18"/>
                <w:szCs w:val="18"/>
              </w:rPr>
              <w:t xml:space="preserve">: </w:t>
            </w:r>
            <w:r w:rsidR="00454D0F">
              <w:rPr>
                <w:rFonts w:eastAsia="Calibri"/>
                <w:iCs/>
                <w:color w:val="000000"/>
                <w:sz w:val="18"/>
                <w:szCs w:val="18"/>
              </w:rPr>
              <w:t>m</w:t>
            </w:r>
            <w:r w:rsidRPr="000B2DCA">
              <w:rPr>
                <w:rFonts w:eastAsia="Calibri"/>
                <w:iCs/>
                <w:color w:val="000000"/>
                <w:sz w:val="18"/>
                <w:szCs w:val="18"/>
              </w:rPr>
              <w:t xml:space="preserve">edium (on 3 groups); </w:t>
            </w:r>
            <w:r w:rsidRPr="000B2DCA">
              <w:rPr>
                <w:rFonts w:eastAsia="Calibri"/>
                <w:iCs/>
                <w:sz w:val="18"/>
                <w:szCs w:val="18"/>
              </w:rPr>
              <w:t>Source: UNDP annual independent expert panel (IRRF 2.4.2)</w:t>
            </w:r>
          </w:p>
          <w:p w14:paraId="2791B24F" w14:textId="67234F07" w:rsidR="00BC54AE" w:rsidRPr="000B2DCA" w:rsidRDefault="009B4798" w:rsidP="0009295E">
            <w:pPr>
              <w:tabs>
                <w:tab w:val="left" w:pos="900"/>
                <w:tab w:val="left" w:pos="990"/>
                <w:tab w:val="left" w:pos="8640"/>
                <w:tab w:val="left" w:pos="9180"/>
              </w:tabs>
              <w:ind w:left="31"/>
              <w:rPr>
                <w:rFonts w:eastAsia="Calibri"/>
                <w:b/>
                <w:iCs/>
                <w:sz w:val="18"/>
                <w:szCs w:val="18"/>
              </w:rPr>
            </w:pPr>
            <w:r w:rsidRPr="000B2DCA">
              <w:rPr>
                <w:rFonts w:eastAsia="Calibri"/>
                <w:b/>
                <w:iCs/>
                <w:sz w:val="18"/>
                <w:szCs w:val="18"/>
              </w:rPr>
              <w:t>O</w:t>
            </w:r>
            <w:r>
              <w:rPr>
                <w:rFonts w:eastAsia="Calibri"/>
                <w:b/>
                <w:iCs/>
                <w:sz w:val="18"/>
                <w:szCs w:val="18"/>
              </w:rPr>
              <w:t>utput</w:t>
            </w:r>
            <w:r w:rsidRPr="000B2DCA">
              <w:rPr>
                <w:rFonts w:eastAsia="Calibri"/>
                <w:b/>
                <w:iCs/>
                <w:sz w:val="18"/>
                <w:szCs w:val="18"/>
              </w:rPr>
              <w:t xml:space="preserve"> </w:t>
            </w:r>
            <w:r w:rsidR="00BC54AE" w:rsidRPr="000B2DCA">
              <w:rPr>
                <w:rFonts w:eastAsia="Calibri"/>
                <w:b/>
                <w:iCs/>
                <w:sz w:val="18"/>
                <w:szCs w:val="18"/>
              </w:rPr>
              <w:t xml:space="preserve">2.2.: The Government has the capacity to carry out formal or quasi-formal, demand-driven and gender-sensitive </w:t>
            </w:r>
            <w:r w:rsidR="00BC54AE" w:rsidRPr="000B2DCA">
              <w:rPr>
                <w:rFonts w:eastAsia="Calibri"/>
                <w:b/>
                <w:i/>
                <w:iCs/>
                <w:sz w:val="18"/>
                <w:szCs w:val="18"/>
              </w:rPr>
              <w:t xml:space="preserve">reforms of the justice sector </w:t>
            </w:r>
            <w:r w:rsidR="00BC54AE" w:rsidRPr="000B2DCA">
              <w:rPr>
                <w:rFonts w:eastAsia="Calibri"/>
                <w:b/>
                <w:iCs/>
                <w:sz w:val="18"/>
                <w:szCs w:val="18"/>
              </w:rPr>
              <w:t>to provide more equal access to justice to women and men, especially those from marginalized groups</w:t>
            </w:r>
          </w:p>
          <w:p w14:paraId="1B7259F1" w14:textId="31993D8D" w:rsidR="00BC54AE" w:rsidRPr="000B2DCA" w:rsidRDefault="00BC54AE" w:rsidP="0009295E">
            <w:pPr>
              <w:tabs>
                <w:tab w:val="left" w:pos="900"/>
                <w:tab w:val="left" w:pos="990"/>
                <w:tab w:val="left" w:pos="8640"/>
                <w:tab w:val="left" w:pos="9180"/>
              </w:tabs>
              <w:ind w:left="31"/>
              <w:rPr>
                <w:rFonts w:eastAsia="Calibri"/>
                <w:iCs/>
                <w:sz w:val="18"/>
                <w:szCs w:val="18"/>
                <w:lang w:val="en-US"/>
              </w:rPr>
            </w:pPr>
            <w:r w:rsidRPr="000B2DCA">
              <w:rPr>
                <w:rFonts w:eastAsia="Calibri"/>
                <w:b/>
                <w:iCs/>
                <w:sz w:val="18"/>
                <w:szCs w:val="18"/>
              </w:rPr>
              <w:t>Indicator 2.2.1.</w:t>
            </w:r>
            <w:r w:rsidRPr="000B2DCA">
              <w:rPr>
                <w:rFonts w:eastAsia="Calibri"/>
                <w:iCs/>
                <w:sz w:val="18"/>
                <w:szCs w:val="18"/>
              </w:rPr>
              <w:t xml:space="preserve"> </w:t>
            </w:r>
            <w:r w:rsidR="00454D0F">
              <w:rPr>
                <w:rFonts w:eastAsia="Calibri"/>
                <w:iCs/>
                <w:sz w:val="18"/>
                <w:szCs w:val="18"/>
              </w:rPr>
              <w:t>Percentage</w:t>
            </w:r>
            <w:r w:rsidR="00454D0F" w:rsidRPr="000B2DCA">
              <w:rPr>
                <w:rFonts w:eastAsia="Calibri"/>
                <w:iCs/>
                <w:sz w:val="18"/>
                <w:szCs w:val="18"/>
              </w:rPr>
              <w:t xml:space="preserve"> </w:t>
            </w:r>
            <w:r w:rsidRPr="000B2DCA">
              <w:rPr>
                <w:rFonts w:eastAsia="Calibri"/>
                <w:iCs/>
                <w:sz w:val="18"/>
                <w:szCs w:val="18"/>
              </w:rPr>
              <w:t>of village clusters (Union Parishads) with access to a local village court</w:t>
            </w:r>
            <w:r w:rsidR="00454D0F">
              <w:rPr>
                <w:rFonts w:eastAsia="Calibri"/>
                <w:iCs/>
                <w:sz w:val="18"/>
                <w:szCs w:val="18"/>
              </w:rPr>
              <w:t>.</w:t>
            </w:r>
            <w:r w:rsidRPr="000B2DCA">
              <w:rPr>
                <w:rFonts w:eastAsia="Calibri"/>
                <w:iCs/>
                <w:sz w:val="18"/>
                <w:szCs w:val="18"/>
              </w:rPr>
              <w:t xml:space="preserve"> </w:t>
            </w:r>
            <w:r w:rsidRPr="000B2DCA">
              <w:rPr>
                <w:rFonts w:eastAsia="Calibri"/>
                <w:iCs/>
                <w:sz w:val="18"/>
                <w:szCs w:val="18"/>
                <w:lang w:val="en-US"/>
              </w:rPr>
              <w:t xml:space="preserve">Baseline </w:t>
            </w:r>
            <w:r w:rsidR="00454D0F" w:rsidRPr="000B2DCA">
              <w:rPr>
                <w:rFonts w:eastAsia="Calibri"/>
                <w:iCs/>
                <w:sz w:val="18"/>
                <w:szCs w:val="18"/>
                <w:lang w:val="en-US"/>
              </w:rPr>
              <w:t>(</w:t>
            </w:r>
            <w:r w:rsidRPr="000B2DCA">
              <w:rPr>
                <w:rFonts w:eastAsia="Calibri"/>
                <w:iCs/>
                <w:sz w:val="18"/>
                <w:szCs w:val="18"/>
                <w:lang w:val="en-US"/>
              </w:rPr>
              <w:t>2015</w:t>
            </w:r>
            <w:r w:rsidR="00454D0F" w:rsidRPr="000B2DCA">
              <w:rPr>
                <w:rFonts w:eastAsia="Calibri"/>
                <w:iCs/>
                <w:sz w:val="18"/>
                <w:szCs w:val="18"/>
                <w:lang w:val="en-US"/>
              </w:rPr>
              <w:t>)</w:t>
            </w:r>
            <w:r w:rsidRPr="000B2DCA">
              <w:rPr>
                <w:rFonts w:eastAsia="Calibri"/>
                <w:iCs/>
                <w:sz w:val="18"/>
                <w:szCs w:val="18"/>
                <w:lang w:val="en-US"/>
              </w:rPr>
              <w:t xml:space="preserve">: 7.8%; </w:t>
            </w:r>
            <w:r w:rsidR="00454D0F" w:rsidRPr="000B2DCA">
              <w:rPr>
                <w:rFonts w:eastAsia="Calibri"/>
                <w:iCs/>
                <w:sz w:val="18"/>
                <w:szCs w:val="18"/>
                <w:lang w:val="en-US"/>
              </w:rPr>
              <w:t>t</w:t>
            </w:r>
            <w:r w:rsidRPr="000B2DCA">
              <w:rPr>
                <w:rFonts w:eastAsia="Calibri"/>
                <w:iCs/>
                <w:sz w:val="18"/>
                <w:szCs w:val="18"/>
                <w:lang w:val="en-US"/>
              </w:rPr>
              <w:t xml:space="preserve">arget </w:t>
            </w:r>
            <w:r w:rsidR="00454D0F" w:rsidRPr="000B2DCA">
              <w:rPr>
                <w:rFonts w:eastAsia="Calibri"/>
                <w:iCs/>
                <w:sz w:val="18"/>
                <w:szCs w:val="18"/>
                <w:lang w:val="en-US"/>
              </w:rPr>
              <w:t>(</w:t>
            </w:r>
            <w:r w:rsidRPr="000B2DCA">
              <w:rPr>
                <w:rFonts w:eastAsia="Calibri"/>
                <w:iCs/>
                <w:sz w:val="18"/>
                <w:szCs w:val="18"/>
                <w:lang w:val="en-US"/>
              </w:rPr>
              <w:t>2020</w:t>
            </w:r>
            <w:r w:rsidR="00454D0F" w:rsidRPr="000B2DCA">
              <w:rPr>
                <w:rFonts w:eastAsia="Calibri"/>
                <w:iCs/>
                <w:sz w:val="18"/>
                <w:szCs w:val="18"/>
                <w:lang w:val="en-US"/>
              </w:rPr>
              <w:t>)</w:t>
            </w:r>
            <w:r w:rsidRPr="000B2DCA">
              <w:rPr>
                <w:rFonts w:eastAsia="Calibri"/>
                <w:iCs/>
                <w:sz w:val="18"/>
                <w:szCs w:val="18"/>
                <w:lang w:val="en-US"/>
              </w:rPr>
              <w:t xml:space="preserve">: 30%, Source: UNDP Activating Village Courts </w:t>
            </w:r>
            <w:r w:rsidR="00454D0F" w:rsidRPr="000B2DCA">
              <w:rPr>
                <w:rFonts w:eastAsia="Calibri"/>
                <w:iCs/>
                <w:sz w:val="18"/>
                <w:szCs w:val="18"/>
                <w:lang w:val="en-US"/>
              </w:rPr>
              <w:t xml:space="preserve">project, phase </w:t>
            </w:r>
            <w:r w:rsidRPr="000B2DCA">
              <w:rPr>
                <w:rFonts w:eastAsia="Calibri"/>
                <w:iCs/>
                <w:sz w:val="18"/>
                <w:szCs w:val="18"/>
                <w:lang w:val="en-US"/>
              </w:rPr>
              <w:t xml:space="preserve">II </w:t>
            </w:r>
          </w:p>
          <w:p w14:paraId="0CF132D8" w14:textId="4711AFD2" w:rsidR="00BC54AE" w:rsidRPr="000B2DCA" w:rsidRDefault="00BC54AE" w:rsidP="0009295E">
            <w:pPr>
              <w:tabs>
                <w:tab w:val="left" w:pos="900"/>
                <w:tab w:val="left" w:pos="990"/>
                <w:tab w:val="left" w:pos="8640"/>
                <w:tab w:val="left" w:pos="9180"/>
              </w:tabs>
              <w:ind w:left="31"/>
              <w:rPr>
                <w:rFonts w:eastAsia="Calibri"/>
                <w:iCs/>
                <w:sz w:val="18"/>
                <w:szCs w:val="18"/>
              </w:rPr>
            </w:pPr>
            <w:r w:rsidRPr="000B2DCA">
              <w:rPr>
                <w:rFonts w:eastAsia="Calibri"/>
                <w:b/>
                <w:iCs/>
                <w:sz w:val="18"/>
                <w:szCs w:val="18"/>
              </w:rPr>
              <w:t>Indicator 2.2.2.</w:t>
            </w:r>
            <w:r w:rsidRPr="000B2DCA">
              <w:rPr>
                <w:rFonts w:eastAsia="Calibri"/>
                <w:iCs/>
                <w:sz w:val="18"/>
                <w:szCs w:val="18"/>
              </w:rPr>
              <w:t>: Extent to which operational institutions have the capacity to support fulfilment of nationally and internationally ratified human rights obligations</w:t>
            </w:r>
            <w:r w:rsidR="00454D0F">
              <w:rPr>
                <w:rFonts w:eastAsia="Calibri"/>
                <w:iCs/>
                <w:sz w:val="18"/>
                <w:szCs w:val="18"/>
              </w:rPr>
              <w:t>.</w:t>
            </w:r>
            <w:r w:rsidRPr="000B2DCA">
              <w:rPr>
                <w:rFonts w:eastAsia="Calibri"/>
                <w:iCs/>
                <w:sz w:val="18"/>
                <w:szCs w:val="18"/>
              </w:rPr>
              <w:t xml:space="preserve"> Baseline </w:t>
            </w:r>
            <w:r w:rsidR="00454D0F">
              <w:rPr>
                <w:rFonts w:eastAsia="Calibri"/>
                <w:iCs/>
                <w:sz w:val="18"/>
                <w:szCs w:val="18"/>
              </w:rPr>
              <w:t>(</w:t>
            </w:r>
            <w:r w:rsidRPr="000B2DCA">
              <w:rPr>
                <w:rFonts w:eastAsia="Calibri"/>
                <w:iCs/>
                <w:sz w:val="18"/>
                <w:szCs w:val="18"/>
              </w:rPr>
              <w:t>2016</w:t>
            </w:r>
            <w:r w:rsidR="00454D0F">
              <w:rPr>
                <w:rFonts w:eastAsia="Calibri"/>
                <w:iCs/>
                <w:sz w:val="18"/>
                <w:szCs w:val="18"/>
              </w:rPr>
              <w:t>)</w:t>
            </w:r>
            <w:r w:rsidRPr="000B2DCA">
              <w:rPr>
                <w:rFonts w:eastAsia="Calibri"/>
                <w:iCs/>
                <w:sz w:val="18"/>
                <w:szCs w:val="18"/>
              </w:rPr>
              <w:t xml:space="preserve">: 2 (very partially); </w:t>
            </w:r>
            <w:r w:rsidR="00454D0F">
              <w:rPr>
                <w:rFonts w:eastAsia="Calibri"/>
                <w:iCs/>
                <w:sz w:val="18"/>
                <w:szCs w:val="18"/>
              </w:rPr>
              <w:t>t</w:t>
            </w:r>
            <w:r w:rsidRPr="000B2DCA">
              <w:rPr>
                <w:rFonts w:eastAsia="Calibri"/>
                <w:iCs/>
                <w:sz w:val="18"/>
                <w:szCs w:val="18"/>
              </w:rPr>
              <w:t xml:space="preserve">arget </w:t>
            </w:r>
            <w:r w:rsidR="00454D0F">
              <w:rPr>
                <w:rFonts w:eastAsia="Calibri"/>
                <w:iCs/>
                <w:sz w:val="18"/>
                <w:szCs w:val="18"/>
              </w:rPr>
              <w:t>(</w:t>
            </w:r>
            <w:r w:rsidRPr="000B2DCA">
              <w:rPr>
                <w:rFonts w:eastAsia="Calibri"/>
                <w:iCs/>
                <w:sz w:val="18"/>
                <w:szCs w:val="18"/>
              </w:rPr>
              <w:t>2020</w:t>
            </w:r>
            <w:r w:rsidR="00454D0F">
              <w:rPr>
                <w:rFonts w:eastAsia="Calibri"/>
                <w:iCs/>
                <w:sz w:val="18"/>
                <w:szCs w:val="18"/>
              </w:rPr>
              <w:t>)</w:t>
            </w:r>
            <w:r w:rsidRPr="000B2DCA">
              <w:rPr>
                <w:rFonts w:eastAsia="Calibri"/>
                <w:iCs/>
                <w:sz w:val="18"/>
                <w:szCs w:val="18"/>
              </w:rPr>
              <w:t xml:space="preserve">: 3 (partially); </w:t>
            </w:r>
            <w:r w:rsidR="00454D0F">
              <w:rPr>
                <w:rFonts w:eastAsia="Calibri"/>
                <w:iCs/>
                <w:sz w:val="18"/>
                <w:szCs w:val="18"/>
              </w:rPr>
              <w:t>s</w:t>
            </w:r>
            <w:r w:rsidRPr="000B2DCA">
              <w:rPr>
                <w:rFonts w:eastAsia="Calibri"/>
                <w:iCs/>
                <w:sz w:val="18"/>
                <w:szCs w:val="18"/>
              </w:rPr>
              <w:t>ource: UNDP annual independent expert panel (IRRF 2.3.1., SDG 16.a.2)</w:t>
            </w:r>
          </w:p>
          <w:p w14:paraId="1C38361A" w14:textId="2B9E9061" w:rsidR="00BC54AE" w:rsidRPr="000B2DCA" w:rsidRDefault="00BC54AE" w:rsidP="0009295E">
            <w:pPr>
              <w:tabs>
                <w:tab w:val="left" w:pos="900"/>
                <w:tab w:val="left" w:pos="990"/>
                <w:tab w:val="left" w:pos="8640"/>
                <w:tab w:val="left" w:pos="9180"/>
              </w:tabs>
              <w:ind w:left="31"/>
              <w:rPr>
                <w:rFonts w:eastAsia="Calibri"/>
                <w:iCs/>
                <w:sz w:val="18"/>
                <w:szCs w:val="18"/>
              </w:rPr>
            </w:pPr>
            <w:r w:rsidRPr="000B2DCA">
              <w:rPr>
                <w:rFonts w:eastAsia="Calibri"/>
                <w:b/>
                <w:iCs/>
                <w:sz w:val="18"/>
                <w:szCs w:val="18"/>
              </w:rPr>
              <w:t>Indicator 2.2</w:t>
            </w:r>
            <w:r w:rsidRPr="000B2DCA">
              <w:rPr>
                <w:rFonts w:eastAsia="Calibri"/>
                <w:iCs/>
                <w:sz w:val="18"/>
                <w:szCs w:val="18"/>
              </w:rPr>
              <w:t>.3 Number of cases resolved through legal aid services to the poor and disadvantaged groups</w:t>
            </w:r>
            <w:r w:rsidR="00454D0F">
              <w:rPr>
                <w:rFonts w:eastAsia="Calibri"/>
                <w:iCs/>
                <w:sz w:val="18"/>
                <w:szCs w:val="18"/>
              </w:rPr>
              <w:t>.</w:t>
            </w:r>
            <w:r w:rsidRPr="000B2DCA">
              <w:rPr>
                <w:rFonts w:eastAsia="Calibri"/>
                <w:iCs/>
                <w:sz w:val="18"/>
                <w:szCs w:val="18"/>
              </w:rPr>
              <w:t xml:space="preserve"> Baseline </w:t>
            </w:r>
            <w:r w:rsidR="00454D0F">
              <w:rPr>
                <w:rFonts w:eastAsia="Calibri"/>
                <w:iCs/>
                <w:sz w:val="18"/>
                <w:szCs w:val="18"/>
              </w:rPr>
              <w:t>(</w:t>
            </w:r>
            <w:r w:rsidRPr="000B2DCA">
              <w:rPr>
                <w:rFonts w:eastAsia="Calibri"/>
                <w:iCs/>
                <w:sz w:val="18"/>
                <w:szCs w:val="18"/>
              </w:rPr>
              <w:t>2015</w:t>
            </w:r>
            <w:r w:rsidR="00454D0F">
              <w:rPr>
                <w:rFonts w:eastAsia="Calibri"/>
                <w:iCs/>
                <w:sz w:val="18"/>
                <w:szCs w:val="18"/>
              </w:rPr>
              <w:t>)</w:t>
            </w:r>
            <w:r w:rsidRPr="000B2DCA">
              <w:rPr>
                <w:rFonts w:eastAsia="Calibri"/>
                <w:iCs/>
                <w:sz w:val="18"/>
                <w:szCs w:val="18"/>
              </w:rPr>
              <w:t>: 12</w:t>
            </w:r>
            <w:r w:rsidR="00454D0F">
              <w:rPr>
                <w:rFonts w:eastAsia="Calibri"/>
                <w:iCs/>
                <w:sz w:val="18"/>
                <w:szCs w:val="18"/>
              </w:rPr>
              <w:t>,</w:t>
            </w:r>
            <w:r w:rsidRPr="000B2DCA">
              <w:rPr>
                <w:rFonts w:eastAsia="Calibri"/>
                <w:iCs/>
                <w:sz w:val="18"/>
                <w:szCs w:val="18"/>
              </w:rPr>
              <w:t xml:space="preserve">417, </w:t>
            </w:r>
            <w:r w:rsidR="00454D0F">
              <w:rPr>
                <w:rFonts w:eastAsia="Calibri"/>
                <w:iCs/>
                <w:sz w:val="18"/>
                <w:szCs w:val="18"/>
              </w:rPr>
              <w:t>t</w:t>
            </w:r>
            <w:r w:rsidRPr="000B2DCA">
              <w:rPr>
                <w:rFonts w:eastAsia="Calibri"/>
                <w:iCs/>
                <w:sz w:val="18"/>
                <w:szCs w:val="18"/>
              </w:rPr>
              <w:t xml:space="preserve">arget </w:t>
            </w:r>
            <w:r w:rsidR="00454D0F">
              <w:rPr>
                <w:rFonts w:eastAsia="Calibri"/>
                <w:iCs/>
                <w:sz w:val="18"/>
                <w:szCs w:val="18"/>
              </w:rPr>
              <w:t>(</w:t>
            </w:r>
            <w:r w:rsidRPr="000B2DCA">
              <w:rPr>
                <w:rFonts w:eastAsia="Calibri"/>
                <w:iCs/>
                <w:sz w:val="18"/>
                <w:szCs w:val="18"/>
              </w:rPr>
              <w:t>2020</w:t>
            </w:r>
            <w:r w:rsidR="00454D0F">
              <w:rPr>
                <w:rFonts w:eastAsia="Calibri"/>
                <w:iCs/>
                <w:sz w:val="18"/>
                <w:szCs w:val="18"/>
              </w:rPr>
              <w:t>)</w:t>
            </w:r>
            <w:r w:rsidRPr="000B2DCA">
              <w:rPr>
                <w:rFonts w:eastAsia="Calibri"/>
                <w:iCs/>
                <w:sz w:val="18"/>
                <w:szCs w:val="18"/>
              </w:rPr>
              <w:t>: 72</w:t>
            </w:r>
            <w:r w:rsidR="00454D0F">
              <w:rPr>
                <w:rFonts w:eastAsia="Calibri"/>
                <w:iCs/>
                <w:sz w:val="18"/>
                <w:szCs w:val="18"/>
              </w:rPr>
              <w:t>,</w:t>
            </w:r>
            <w:r w:rsidRPr="000B2DCA">
              <w:rPr>
                <w:rFonts w:eastAsia="Calibri"/>
                <w:iCs/>
                <w:sz w:val="18"/>
                <w:szCs w:val="18"/>
              </w:rPr>
              <w:t>046</w:t>
            </w:r>
            <w:r w:rsidR="00454D0F">
              <w:rPr>
                <w:rFonts w:eastAsia="Calibri"/>
                <w:iCs/>
                <w:sz w:val="18"/>
                <w:szCs w:val="18"/>
              </w:rPr>
              <w:t>;</w:t>
            </w:r>
            <w:r w:rsidRPr="000B2DCA">
              <w:rPr>
                <w:rFonts w:eastAsia="Calibri"/>
                <w:iCs/>
                <w:sz w:val="18"/>
                <w:szCs w:val="18"/>
              </w:rPr>
              <w:t xml:space="preserve"> </w:t>
            </w:r>
            <w:r w:rsidR="00454D0F">
              <w:rPr>
                <w:rFonts w:eastAsia="Calibri"/>
                <w:iCs/>
                <w:sz w:val="18"/>
                <w:szCs w:val="18"/>
              </w:rPr>
              <w:t>d</w:t>
            </w:r>
            <w:r w:rsidRPr="000B2DCA">
              <w:rPr>
                <w:rFonts w:eastAsia="Calibri"/>
                <w:iCs/>
                <w:sz w:val="18"/>
                <w:szCs w:val="18"/>
              </w:rPr>
              <w:t xml:space="preserve">isaggregation: by sex; </w:t>
            </w:r>
            <w:r w:rsidR="00454D0F">
              <w:rPr>
                <w:rFonts w:eastAsia="Calibri"/>
                <w:iCs/>
                <w:sz w:val="18"/>
                <w:szCs w:val="18"/>
              </w:rPr>
              <w:t>s</w:t>
            </w:r>
            <w:r w:rsidRPr="000B2DCA">
              <w:rPr>
                <w:rFonts w:eastAsia="Calibri"/>
                <w:iCs/>
                <w:sz w:val="18"/>
                <w:szCs w:val="18"/>
              </w:rPr>
              <w:t xml:space="preserve">ource: National Legal Aid Services Organization </w:t>
            </w:r>
          </w:p>
          <w:p w14:paraId="33804EAD" w14:textId="63548AEF" w:rsidR="00BC54AE" w:rsidRPr="000B2DCA" w:rsidRDefault="00BC54AE" w:rsidP="0009295E">
            <w:pPr>
              <w:tabs>
                <w:tab w:val="left" w:pos="900"/>
                <w:tab w:val="left" w:pos="990"/>
                <w:tab w:val="left" w:pos="8640"/>
                <w:tab w:val="left" w:pos="9180"/>
              </w:tabs>
              <w:ind w:left="31"/>
              <w:rPr>
                <w:rFonts w:eastAsia="Calibri"/>
                <w:iCs/>
                <w:sz w:val="18"/>
                <w:szCs w:val="18"/>
              </w:rPr>
            </w:pPr>
            <w:r w:rsidRPr="000B2DCA">
              <w:rPr>
                <w:rFonts w:eastAsia="Calibri"/>
                <w:b/>
                <w:iCs/>
                <w:sz w:val="18"/>
                <w:szCs w:val="18"/>
              </w:rPr>
              <w:t>Indicator 2.2.4.</w:t>
            </w:r>
            <w:r w:rsidRPr="000B2DCA">
              <w:rPr>
                <w:rFonts w:eastAsia="Calibri"/>
                <w:iCs/>
                <w:sz w:val="18"/>
                <w:szCs w:val="18"/>
              </w:rPr>
              <w:t xml:space="preserve"> Number of victim cases of sexual and gender-based violence redressed through institutional responses; Baseline 2016: 750; Target 2020: 10,890, Source: UNDP </w:t>
            </w:r>
            <w:r w:rsidR="004313A0">
              <w:rPr>
                <w:rFonts w:eastAsia="Calibri"/>
                <w:iCs/>
                <w:sz w:val="18"/>
                <w:szCs w:val="18"/>
              </w:rPr>
              <w:t>d</w:t>
            </w:r>
            <w:r w:rsidR="004313A0" w:rsidRPr="009E22C0">
              <w:rPr>
                <w:rFonts w:eastAsia="Calibri"/>
                <w:iCs/>
                <w:sz w:val="18"/>
                <w:szCs w:val="18"/>
              </w:rPr>
              <w:t>atabase</w:t>
            </w:r>
            <w:r w:rsidR="004313A0" w:rsidRPr="004313A0">
              <w:rPr>
                <w:rFonts w:eastAsia="Calibri"/>
                <w:iCs/>
                <w:sz w:val="18"/>
                <w:szCs w:val="18"/>
              </w:rPr>
              <w:t xml:space="preserve"> </w:t>
            </w:r>
            <w:r w:rsidR="004313A0">
              <w:rPr>
                <w:rFonts w:eastAsia="Calibri"/>
                <w:iCs/>
                <w:sz w:val="18"/>
                <w:szCs w:val="18"/>
              </w:rPr>
              <w:t>‘</w:t>
            </w:r>
            <w:r w:rsidRPr="000B2DCA">
              <w:rPr>
                <w:rFonts w:eastAsia="Calibri"/>
                <w:iCs/>
                <w:sz w:val="18"/>
                <w:szCs w:val="18"/>
              </w:rPr>
              <w:t xml:space="preserve">Strengthening response to </w:t>
            </w:r>
            <w:r w:rsidR="004E7CAF">
              <w:rPr>
                <w:rFonts w:eastAsia="Calibri"/>
                <w:iCs/>
                <w:sz w:val="18"/>
                <w:szCs w:val="18"/>
              </w:rPr>
              <w:t>g</w:t>
            </w:r>
            <w:r w:rsidRPr="000B2DCA">
              <w:rPr>
                <w:rFonts w:eastAsia="Calibri"/>
                <w:iCs/>
                <w:sz w:val="18"/>
                <w:szCs w:val="18"/>
              </w:rPr>
              <w:t>ender</w:t>
            </w:r>
            <w:r w:rsidR="004E7CAF">
              <w:rPr>
                <w:rFonts w:eastAsia="Calibri"/>
                <w:iCs/>
                <w:sz w:val="18"/>
                <w:szCs w:val="18"/>
              </w:rPr>
              <w:t>-b</w:t>
            </w:r>
            <w:r w:rsidRPr="000B2DCA">
              <w:rPr>
                <w:rFonts w:eastAsia="Calibri"/>
                <w:iCs/>
                <w:sz w:val="18"/>
                <w:szCs w:val="18"/>
              </w:rPr>
              <w:t xml:space="preserve">ased </w:t>
            </w:r>
            <w:r w:rsidR="004E7CAF">
              <w:rPr>
                <w:rFonts w:eastAsia="Calibri"/>
                <w:iCs/>
                <w:sz w:val="18"/>
                <w:szCs w:val="18"/>
              </w:rPr>
              <w:t>v</w:t>
            </w:r>
            <w:r w:rsidRPr="000B2DCA">
              <w:rPr>
                <w:rFonts w:eastAsia="Calibri"/>
                <w:iCs/>
                <w:sz w:val="18"/>
                <w:szCs w:val="18"/>
              </w:rPr>
              <w:t>iolence</w:t>
            </w:r>
            <w:r w:rsidR="004313A0">
              <w:rPr>
                <w:rFonts w:eastAsia="Calibri"/>
                <w:iCs/>
                <w:sz w:val="18"/>
                <w:szCs w:val="18"/>
              </w:rPr>
              <w:t>’</w:t>
            </w:r>
          </w:p>
          <w:p w14:paraId="5C570469" w14:textId="3D62DC66" w:rsidR="00BC54AE" w:rsidRPr="000B2DCA" w:rsidRDefault="004313A0" w:rsidP="0009295E">
            <w:pPr>
              <w:tabs>
                <w:tab w:val="left" w:pos="900"/>
                <w:tab w:val="left" w:pos="990"/>
                <w:tab w:val="left" w:pos="8640"/>
                <w:tab w:val="left" w:pos="9180"/>
              </w:tabs>
              <w:ind w:left="31"/>
              <w:rPr>
                <w:rFonts w:eastAsia="Calibri"/>
                <w:b/>
                <w:iCs/>
                <w:sz w:val="18"/>
                <w:szCs w:val="18"/>
              </w:rPr>
            </w:pPr>
            <w:r w:rsidRPr="004313A0">
              <w:rPr>
                <w:rFonts w:eastAsia="Calibri"/>
                <w:b/>
                <w:iCs/>
                <w:sz w:val="18"/>
                <w:szCs w:val="18"/>
              </w:rPr>
              <w:t xml:space="preserve">Output </w:t>
            </w:r>
            <w:r w:rsidR="00BC54AE" w:rsidRPr="000B2DCA">
              <w:rPr>
                <w:rFonts w:eastAsia="Calibri"/>
                <w:b/>
                <w:iCs/>
                <w:sz w:val="18"/>
                <w:szCs w:val="18"/>
              </w:rPr>
              <w:t xml:space="preserve">2.3. The Government has </w:t>
            </w:r>
            <w:r w:rsidR="008908AD" w:rsidRPr="000B2DCA">
              <w:rPr>
                <w:rFonts w:eastAsia="Calibri"/>
                <w:b/>
                <w:iCs/>
                <w:sz w:val="18"/>
                <w:szCs w:val="18"/>
              </w:rPr>
              <w:t xml:space="preserve">the capacity to develop </w:t>
            </w:r>
            <w:r w:rsidR="00BC54AE" w:rsidRPr="000B2DCA">
              <w:rPr>
                <w:rFonts w:eastAsia="Calibri"/>
                <w:b/>
                <w:i/>
                <w:iCs/>
                <w:sz w:val="18"/>
                <w:szCs w:val="18"/>
              </w:rPr>
              <w:t>policies</w:t>
            </w:r>
            <w:r w:rsidR="00BC54AE" w:rsidRPr="000B2DCA">
              <w:rPr>
                <w:rFonts w:eastAsia="Calibri"/>
                <w:b/>
                <w:iCs/>
                <w:sz w:val="18"/>
                <w:szCs w:val="18"/>
              </w:rPr>
              <w:t xml:space="preserve"> and carry out </w:t>
            </w:r>
            <w:r w:rsidR="00BC54AE" w:rsidRPr="000B2DCA">
              <w:rPr>
                <w:rFonts w:eastAsia="Calibri"/>
                <w:b/>
                <w:i/>
                <w:iCs/>
                <w:sz w:val="18"/>
                <w:szCs w:val="18"/>
              </w:rPr>
              <w:t>sectoral and geographical interventions</w:t>
            </w:r>
            <w:r w:rsidR="00BC54AE" w:rsidRPr="000B2DCA">
              <w:rPr>
                <w:rFonts w:eastAsia="Calibri"/>
                <w:b/>
                <w:iCs/>
                <w:sz w:val="18"/>
                <w:szCs w:val="18"/>
              </w:rPr>
              <w:t xml:space="preserve"> in districts where </w:t>
            </w:r>
            <w:r w:rsidR="00BC54AE" w:rsidRPr="000B2DCA">
              <w:rPr>
                <w:rFonts w:eastAsia="Calibri"/>
                <w:b/>
                <w:i/>
                <w:iCs/>
                <w:sz w:val="18"/>
                <w:szCs w:val="18"/>
              </w:rPr>
              <w:t>inequality</w:t>
            </w:r>
            <w:r w:rsidR="00BC54AE" w:rsidRPr="000B2DCA">
              <w:rPr>
                <w:rFonts w:eastAsia="Calibri"/>
                <w:b/>
                <w:iCs/>
                <w:sz w:val="18"/>
                <w:szCs w:val="18"/>
              </w:rPr>
              <w:t xml:space="preserve"> of progress is evident</w:t>
            </w:r>
          </w:p>
          <w:p w14:paraId="11510784" w14:textId="19B00DB1" w:rsidR="00BC54AE" w:rsidRPr="000B2DCA" w:rsidRDefault="00BC54AE" w:rsidP="0009295E">
            <w:pPr>
              <w:tabs>
                <w:tab w:val="left" w:pos="900"/>
                <w:tab w:val="left" w:pos="990"/>
                <w:tab w:val="left" w:pos="8640"/>
                <w:tab w:val="left" w:pos="9180"/>
              </w:tabs>
              <w:ind w:left="31"/>
              <w:rPr>
                <w:rFonts w:eastAsia="Calibri"/>
                <w:iCs/>
                <w:sz w:val="18"/>
                <w:szCs w:val="18"/>
              </w:rPr>
            </w:pPr>
            <w:r w:rsidRPr="000B2DCA">
              <w:rPr>
                <w:rFonts w:eastAsia="Calibri"/>
                <w:b/>
                <w:iCs/>
                <w:sz w:val="18"/>
                <w:szCs w:val="18"/>
              </w:rPr>
              <w:t>Indicator 2.3.1</w:t>
            </w:r>
            <w:r w:rsidR="004313A0">
              <w:rPr>
                <w:rFonts w:eastAsia="Calibri"/>
                <w:b/>
                <w:iCs/>
                <w:sz w:val="18"/>
                <w:szCs w:val="18"/>
              </w:rPr>
              <w:t>.</w:t>
            </w:r>
            <w:r w:rsidRPr="000B2DCA">
              <w:rPr>
                <w:rFonts w:eastAsia="Calibri"/>
                <w:iCs/>
                <w:sz w:val="18"/>
                <w:szCs w:val="18"/>
              </w:rPr>
              <w:t xml:space="preserve"> Level of capacity of subnational governments/</w:t>
            </w:r>
            <w:r w:rsidR="004313A0">
              <w:rPr>
                <w:rFonts w:eastAsia="Calibri"/>
                <w:iCs/>
                <w:sz w:val="18"/>
                <w:szCs w:val="18"/>
              </w:rPr>
              <w:t xml:space="preserve"> </w:t>
            </w:r>
            <w:r w:rsidRPr="000B2DCA">
              <w:rPr>
                <w:rFonts w:eastAsia="Calibri"/>
                <w:iCs/>
                <w:sz w:val="18"/>
                <w:szCs w:val="18"/>
              </w:rPr>
              <w:t>administrations for planning, budgeting and monitoring basic services delivery</w:t>
            </w:r>
            <w:r w:rsidR="004313A0">
              <w:rPr>
                <w:rFonts w:eastAsia="Calibri"/>
                <w:iCs/>
                <w:sz w:val="18"/>
                <w:szCs w:val="18"/>
              </w:rPr>
              <w:t>.</w:t>
            </w:r>
            <w:r w:rsidRPr="000B2DCA">
              <w:rPr>
                <w:rFonts w:eastAsia="Calibri"/>
                <w:iCs/>
                <w:sz w:val="18"/>
                <w:szCs w:val="18"/>
              </w:rPr>
              <w:t xml:space="preserve"> Baseline</w:t>
            </w:r>
            <w:r w:rsidR="00E14D19">
              <w:rPr>
                <w:rFonts w:eastAsia="Calibri"/>
                <w:iCs/>
                <w:sz w:val="18"/>
                <w:szCs w:val="18"/>
              </w:rPr>
              <w:t xml:space="preserve"> </w:t>
            </w:r>
            <w:r w:rsidR="004313A0">
              <w:rPr>
                <w:rFonts w:eastAsia="Calibri"/>
                <w:iCs/>
                <w:sz w:val="18"/>
                <w:szCs w:val="18"/>
              </w:rPr>
              <w:t>(</w:t>
            </w:r>
            <w:r w:rsidRPr="000B2DCA">
              <w:rPr>
                <w:rFonts w:eastAsia="Calibri"/>
                <w:iCs/>
                <w:sz w:val="18"/>
                <w:szCs w:val="18"/>
              </w:rPr>
              <w:t>2016</w:t>
            </w:r>
            <w:r w:rsidR="004313A0">
              <w:rPr>
                <w:rFonts w:eastAsia="Calibri"/>
                <w:iCs/>
                <w:sz w:val="18"/>
                <w:szCs w:val="18"/>
              </w:rPr>
              <w:t>)</w:t>
            </w:r>
            <w:r w:rsidRPr="000B2DCA">
              <w:rPr>
                <w:rFonts w:eastAsia="Calibri"/>
                <w:iCs/>
                <w:sz w:val="18"/>
                <w:szCs w:val="18"/>
              </w:rPr>
              <w:t xml:space="preserve">:3 (Partial capacity in place), Target </w:t>
            </w:r>
            <w:r w:rsidR="004313A0">
              <w:rPr>
                <w:rFonts w:eastAsia="Calibri"/>
                <w:iCs/>
                <w:sz w:val="18"/>
                <w:szCs w:val="18"/>
              </w:rPr>
              <w:t>(</w:t>
            </w:r>
            <w:r w:rsidRPr="000B2DCA">
              <w:rPr>
                <w:rFonts w:eastAsia="Calibri"/>
                <w:iCs/>
                <w:sz w:val="18"/>
                <w:szCs w:val="18"/>
              </w:rPr>
              <w:t>2020</w:t>
            </w:r>
            <w:r w:rsidR="004313A0">
              <w:rPr>
                <w:rFonts w:eastAsia="Calibri"/>
                <w:iCs/>
                <w:sz w:val="18"/>
                <w:szCs w:val="18"/>
              </w:rPr>
              <w:t>)</w:t>
            </w:r>
            <w:r w:rsidRPr="000B2DCA">
              <w:rPr>
                <w:rFonts w:eastAsia="Calibri"/>
                <w:iCs/>
                <w:sz w:val="18"/>
                <w:szCs w:val="18"/>
              </w:rPr>
              <w:t>: 4 (Capacity largely in place)</w:t>
            </w:r>
            <w:r w:rsidRPr="000B2DCA">
              <w:rPr>
                <w:rFonts w:eastAsia="Calibri"/>
                <w:iCs/>
                <w:sz w:val="18"/>
                <w:szCs w:val="18"/>
                <w:vertAlign w:val="superscript"/>
              </w:rPr>
              <w:footnoteReference w:id="35"/>
            </w:r>
            <w:r w:rsidR="004313A0">
              <w:rPr>
                <w:rFonts w:eastAsia="Calibri"/>
                <w:iCs/>
                <w:sz w:val="18"/>
                <w:szCs w:val="18"/>
              </w:rPr>
              <w:t>.</w:t>
            </w:r>
            <w:r w:rsidRPr="000B2DCA">
              <w:rPr>
                <w:rFonts w:eastAsia="Calibri"/>
                <w:iCs/>
                <w:sz w:val="18"/>
                <w:szCs w:val="18"/>
              </w:rPr>
              <w:t xml:space="preserve"> Source: UNDP </w:t>
            </w:r>
            <w:r w:rsidR="004313A0">
              <w:rPr>
                <w:rFonts w:eastAsia="Calibri"/>
                <w:iCs/>
                <w:sz w:val="18"/>
                <w:szCs w:val="18"/>
              </w:rPr>
              <w:t>m</w:t>
            </w:r>
            <w:r w:rsidRPr="000B2DCA">
              <w:rPr>
                <w:rFonts w:eastAsia="Calibri"/>
                <w:iCs/>
                <w:sz w:val="18"/>
                <w:szCs w:val="18"/>
              </w:rPr>
              <w:t xml:space="preserve">idterm </w:t>
            </w:r>
            <w:r w:rsidR="004313A0">
              <w:rPr>
                <w:rFonts w:eastAsia="Calibri"/>
                <w:iCs/>
                <w:sz w:val="18"/>
                <w:szCs w:val="18"/>
              </w:rPr>
              <w:t>e</w:t>
            </w:r>
            <w:r w:rsidRPr="000B2DCA">
              <w:rPr>
                <w:rFonts w:eastAsia="Calibri"/>
                <w:iCs/>
                <w:sz w:val="18"/>
                <w:szCs w:val="18"/>
              </w:rPr>
              <w:t>valuation of Union Parishad Governan</w:t>
            </w:r>
            <w:r w:rsidR="002D016B" w:rsidRPr="000B2DCA">
              <w:rPr>
                <w:rFonts w:eastAsia="Calibri"/>
                <w:iCs/>
                <w:sz w:val="18"/>
                <w:szCs w:val="18"/>
              </w:rPr>
              <w:t xml:space="preserve">ce Project </w:t>
            </w:r>
            <w:r w:rsidR="000C3CF9" w:rsidRPr="000B2DCA">
              <w:rPr>
                <w:rFonts w:eastAsia="Calibri"/>
                <w:iCs/>
                <w:sz w:val="18"/>
                <w:szCs w:val="18"/>
              </w:rPr>
              <w:t>and</w:t>
            </w:r>
            <w:r w:rsidRPr="000B2DCA">
              <w:rPr>
                <w:rFonts w:eastAsia="Calibri"/>
                <w:iCs/>
                <w:sz w:val="18"/>
                <w:szCs w:val="18"/>
              </w:rPr>
              <w:t xml:space="preserve"> Upazila Governance Project</w:t>
            </w:r>
            <w:r w:rsidR="004313A0">
              <w:rPr>
                <w:rFonts w:eastAsia="Calibri"/>
                <w:iCs/>
                <w:sz w:val="18"/>
                <w:szCs w:val="18"/>
              </w:rPr>
              <w:t xml:space="preserve">, </w:t>
            </w:r>
            <w:r w:rsidRPr="000B2DCA">
              <w:rPr>
                <w:rFonts w:eastAsia="Calibri"/>
                <w:iCs/>
                <w:sz w:val="18"/>
                <w:szCs w:val="18"/>
              </w:rPr>
              <w:t>2014</w:t>
            </w:r>
            <w:r w:rsidR="004313A0">
              <w:rPr>
                <w:rFonts w:eastAsia="Calibri"/>
                <w:iCs/>
                <w:sz w:val="18"/>
                <w:szCs w:val="18"/>
              </w:rPr>
              <w:t>;</w:t>
            </w:r>
            <w:r w:rsidRPr="000B2DCA">
              <w:rPr>
                <w:rFonts w:eastAsia="Calibri"/>
                <w:iCs/>
                <w:sz w:val="18"/>
                <w:szCs w:val="18"/>
              </w:rPr>
              <w:t xml:space="preserve"> </w:t>
            </w:r>
            <w:r w:rsidR="004313A0">
              <w:rPr>
                <w:rFonts w:eastAsia="Calibri"/>
                <w:iCs/>
                <w:sz w:val="18"/>
                <w:szCs w:val="18"/>
              </w:rPr>
              <w:t>a</w:t>
            </w:r>
            <w:r w:rsidRPr="000B2DCA">
              <w:rPr>
                <w:rFonts w:eastAsia="Calibri"/>
                <w:iCs/>
                <w:sz w:val="18"/>
                <w:szCs w:val="18"/>
              </w:rPr>
              <w:t>nnual independent expert panel for 2016-</w:t>
            </w:r>
            <w:r w:rsidR="004313A0">
              <w:rPr>
                <w:rFonts w:eastAsia="Calibri"/>
                <w:iCs/>
                <w:sz w:val="18"/>
                <w:szCs w:val="18"/>
              </w:rPr>
              <w:t>20</w:t>
            </w:r>
            <w:r w:rsidRPr="000B2DCA">
              <w:rPr>
                <w:rFonts w:eastAsia="Calibri"/>
                <w:iCs/>
                <w:sz w:val="18"/>
                <w:szCs w:val="18"/>
              </w:rPr>
              <w:t>20 (IRRF 3.2.2)</w:t>
            </w:r>
          </w:p>
          <w:p w14:paraId="6C99FE7C" w14:textId="0CE4C7BF" w:rsidR="00BC54AE" w:rsidRPr="000B2DCA" w:rsidRDefault="00BC54AE" w:rsidP="0009295E">
            <w:pPr>
              <w:tabs>
                <w:tab w:val="left" w:pos="900"/>
                <w:tab w:val="left" w:pos="990"/>
                <w:tab w:val="left" w:pos="8640"/>
                <w:tab w:val="left" w:pos="9180"/>
              </w:tabs>
              <w:ind w:left="31"/>
              <w:rPr>
                <w:rFonts w:eastAsia="Calibri"/>
                <w:iCs/>
                <w:sz w:val="18"/>
                <w:szCs w:val="18"/>
              </w:rPr>
            </w:pPr>
            <w:r w:rsidRPr="000B2DCA">
              <w:rPr>
                <w:rFonts w:eastAsia="Calibri"/>
                <w:b/>
                <w:iCs/>
                <w:sz w:val="18"/>
                <w:szCs w:val="18"/>
              </w:rPr>
              <w:t>Indicator 2.3.2.</w:t>
            </w:r>
            <w:r w:rsidRPr="000B2DCA">
              <w:rPr>
                <w:rFonts w:eastAsia="Calibri"/>
                <w:iCs/>
                <w:sz w:val="18"/>
                <w:szCs w:val="18"/>
              </w:rPr>
              <w:t xml:space="preserve"> Extent to which policy and institutional reforms increase access to social protection schemes targeting the poor and other at-risk groups</w:t>
            </w:r>
            <w:r w:rsidR="009F1343">
              <w:rPr>
                <w:rFonts w:eastAsia="Calibri"/>
                <w:iCs/>
                <w:sz w:val="18"/>
                <w:szCs w:val="18"/>
              </w:rPr>
              <w:t>.</w:t>
            </w:r>
            <w:r w:rsidRPr="000B2DCA">
              <w:rPr>
                <w:rFonts w:eastAsia="Calibri"/>
                <w:iCs/>
                <w:sz w:val="18"/>
                <w:szCs w:val="18"/>
              </w:rPr>
              <w:t xml:space="preserve"> Baseline </w:t>
            </w:r>
            <w:r w:rsidR="009F1343">
              <w:rPr>
                <w:rFonts w:eastAsia="Calibri"/>
                <w:iCs/>
                <w:sz w:val="18"/>
                <w:szCs w:val="18"/>
              </w:rPr>
              <w:t>(</w:t>
            </w:r>
            <w:r w:rsidRPr="000B2DCA">
              <w:rPr>
                <w:rFonts w:eastAsia="Calibri"/>
                <w:iCs/>
                <w:sz w:val="18"/>
                <w:szCs w:val="18"/>
              </w:rPr>
              <w:t>2014</w:t>
            </w:r>
            <w:r w:rsidR="009F1343">
              <w:rPr>
                <w:rFonts w:eastAsia="Calibri"/>
                <w:iCs/>
                <w:sz w:val="18"/>
                <w:szCs w:val="18"/>
              </w:rPr>
              <w:t>)</w:t>
            </w:r>
            <w:r w:rsidRPr="000B2DCA">
              <w:rPr>
                <w:rFonts w:eastAsia="Calibri"/>
                <w:iCs/>
                <w:sz w:val="18"/>
                <w:szCs w:val="18"/>
              </w:rPr>
              <w:t xml:space="preserve">: 3, </w:t>
            </w:r>
            <w:r w:rsidR="009F1343">
              <w:rPr>
                <w:rFonts w:eastAsia="Calibri"/>
                <w:iCs/>
                <w:sz w:val="18"/>
                <w:szCs w:val="18"/>
              </w:rPr>
              <w:t>t</w:t>
            </w:r>
            <w:r w:rsidRPr="000B2DCA">
              <w:rPr>
                <w:rFonts w:eastAsia="Calibri"/>
                <w:iCs/>
                <w:sz w:val="18"/>
                <w:szCs w:val="18"/>
              </w:rPr>
              <w:t xml:space="preserve">arget </w:t>
            </w:r>
            <w:r w:rsidR="009F1343">
              <w:rPr>
                <w:rFonts w:eastAsia="Calibri"/>
                <w:iCs/>
                <w:sz w:val="18"/>
                <w:szCs w:val="18"/>
              </w:rPr>
              <w:t>(</w:t>
            </w:r>
            <w:r w:rsidRPr="000B2DCA">
              <w:rPr>
                <w:rFonts w:eastAsia="Calibri"/>
                <w:iCs/>
                <w:sz w:val="18"/>
                <w:szCs w:val="18"/>
              </w:rPr>
              <w:t>2020</w:t>
            </w:r>
            <w:r w:rsidR="009F1343">
              <w:rPr>
                <w:rFonts w:eastAsia="Calibri"/>
                <w:iCs/>
                <w:sz w:val="18"/>
                <w:szCs w:val="18"/>
              </w:rPr>
              <w:t>)</w:t>
            </w:r>
            <w:r w:rsidRPr="000B2DCA">
              <w:rPr>
                <w:rFonts w:eastAsia="Calibri"/>
                <w:iCs/>
                <w:sz w:val="18"/>
                <w:szCs w:val="18"/>
              </w:rPr>
              <w:t>: 5; Source: UNDP annual independent expert panel (IRRF 1.2.1.A)</w:t>
            </w:r>
          </w:p>
          <w:p w14:paraId="6AC4C957" w14:textId="71184093" w:rsidR="00BC54AE" w:rsidRPr="000B2DCA" w:rsidRDefault="00BC54AE" w:rsidP="0009295E">
            <w:pPr>
              <w:tabs>
                <w:tab w:val="left" w:pos="900"/>
                <w:tab w:val="left" w:pos="990"/>
                <w:tab w:val="left" w:pos="8640"/>
                <w:tab w:val="left" w:pos="9180"/>
              </w:tabs>
              <w:ind w:left="31"/>
              <w:rPr>
                <w:rFonts w:eastAsia="Calibri"/>
                <w:iCs/>
                <w:sz w:val="18"/>
                <w:szCs w:val="18"/>
              </w:rPr>
            </w:pPr>
            <w:r w:rsidRPr="000B2DCA">
              <w:rPr>
                <w:rFonts w:eastAsia="Calibri"/>
                <w:b/>
                <w:iCs/>
                <w:sz w:val="18"/>
                <w:szCs w:val="18"/>
              </w:rPr>
              <w:t xml:space="preserve">Indicator 2.3.3. </w:t>
            </w:r>
            <w:r w:rsidRPr="000B2DCA">
              <w:rPr>
                <w:rFonts w:eastAsia="Calibri"/>
                <w:iCs/>
                <w:sz w:val="18"/>
                <w:szCs w:val="18"/>
              </w:rPr>
              <w:t>Proportion of underserved citizens who received electronic payment for social safety</w:t>
            </w:r>
            <w:r w:rsidR="009F1343">
              <w:rPr>
                <w:rFonts w:eastAsia="Calibri"/>
                <w:iCs/>
                <w:sz w:val="18"/>
                <w:szCs w:val="18"/>
              </w:rPr>
              <w:t>-</w:t>
            </w:r>
            <w:r w:rsidRPr="000B2DCA">
              <w:rPr>
                <w:rFonts w:eastAsia="Calibri"/>
                <w:iCs/>
                <w:sz w:val="18"/>
                <w:szCs w:val="18"/>
              </w:rPr>
              <w:t xml:space="preserve">net services. Baseline </w:t>
            </w:r>
            <w:r w:rsidR="009F1343">
              <w:rPr>
                <w:rFonts w:eastAsia="Calibri"/>
                <w:iCs/>
                <w:sz w:val="18"/>
                <w:szCs w:val="18"/>
              </w:rPr>
              <w:t>(</w:t>
            </w:r>
            <w:r w:rsidRPr="000B2DCA">
              <w:rPr>
                <w:rFonts w:eastAsia="Calibri"/>
                <w:iCs/>
                <w:sz w:val="18"/>
                <w:szCs w:val="18"/>
              </w:rPr>
              <w:t>2016</w:t>
            </w:r>
            <w:r w:rsidR="009F1343">
              <w:rPr>
                <w:rFonts w:eastAsia="Calibri"/>
                <w:iCs/>
                <w:sz w:val="18"/>
                <w:szCs w:val="18"/>
              </w:rPr>
              <w:t>)</w:t>
            </w:r>
            <w:r w:rsidRPr="000B2DCA">
              <w:rPr>
                <w:rFonts w:eastAsia="Calibri"/>
                <w:iCs/>
                <w:sz w:val="18"/>
                <w:szCs w:val="18"/>
              </w:rPr>
              <w:t>: women:</w:t>
            </w:r>
            <w:r w:rsidR="009F1343">
              <w:rPr>
                <w:rFonts w:eastAsia="Calibri"/>
                <w:iCs/>
                <w:sz w:val="18"/>
                <w:szCs w:val="18"/>
              </w:rPr>
              <w:t xml:space="preserve"> </w:t>
            </w:r>
            <w:r w:rsidRPr="000B2DCA">
              <w:rPr>
                <w:rFonts w:eastAsia="Calibri"/>
                <w:iCs/>
                <w:sz w:val="18"/>
                <w:szCs w:val="18"/>
              </w:rPr>
              <w:t>0%</w:t>
            </w:r>
            <w:r w:rsidR="008D1BBA" w:rsidRPr="000B2DCA">
              <w:rPr>
                <w:rFonts w:eastAsia="Calibri"/>
                <w:iCs/>
                <w:sz w:val="18"/>
                <w:szCs w:val="18"/>
              </w:rPr>
              <w:t xml:space="preserve">, </w:t>
            </w:r>
            <w:r w:rsidRPr="000B2DCA">
              <w:rPr>
                <w:rFonts w:eastAsia="Calibri"/>
                <w:iCs/>
                <w:sz w:val="18"/>
                <w:szCs w:val="18"/>
              </w:rPr>
              <w:t xml:space="preserve">men:0%, </w:t>
            </w:r>
            <w:r w:rsidRPr="000B2DCA">
              <w:rPr>
                <w:rFonts w:eastAsia="Calibri"/>
                <w:iCs/>
                <w:sz w:val="18"/>
                <w:szCs w:val="18"/>
              </w:rPr>
              <w:lastRenderedPageBreak/>
              <w:t>total:</w:t>
            </w:r>
            <w:r w:rsidR="009F1343">
              <w:rPr>
                <w:rFonts w:eastAsia="Calibri"/>
                <w:iCs/>
                <w:sz w:val="18"/>
                <w:szCs w:val="18"/>
              </w:rPr>
              <w:t xml:space="preserve"> </w:t>
            </w:r>
            <w:r w:rsidRPr="000B2DCA">
              <w:rPr>
                <w:rFonts w:eastAsia="Calibri"/>
                <w:iCs/>
                <w:sz w:val="18"/>
                <w:szCs w:val="18"/>
              </w:rPr>
              <w:t xml:space="preserve">0%; </w:t>
            </w:r>
            <w:r w:rsidR="009F1343">
              <w:rPr>
                <w:rFonts w:eastAsia="Calibri"/>
                <w:iCs/>
                <w:sz w:val="18"/>
                <w:szCs w:val="18"/>
              </w:rPr>
              <w:t>t</w:t>
            </w:r>
            <w:r w:rsidRPr="000B2DCA">
              <w:rPr>
                <w:rFonts w:eastAsia="Calibri"/>
                <w:iCs/>
                <w:sz w:val="18"/>
                <w:szCs w:val="18"/>
              </w:rPr>
              <w:t>arget</w:t>
            </w:r>
            <w:r w:rsidR="009F1343">
              <w:rPr>
                <w:rFonts w:eastAsia="Calibri"/>
                <w:iCs/>
                <w:sz w:val="18"/>
                <w:szCs w:val="18"/>
              </w:rPr>
              <w:t xml:space="preserve"> (</w:t>
            </w:r>
            <w:r w:rsidRPr="000B2DCA">
              <w:rPr>
                <w:rFonts w:eastAsia="Calibri"/>
                <w:iCs/>
                <w:sz w:val="18"/>
                <w:szCs w:val="18"/>
              </w:rPr>
              <w:t>2020</w:t>
            </w:r>
            <w:r w:rsidR="009F1343">
              <w:rPr>
                <w:rFonts w:eastAsia="Calibri"/>
                <w:iCs/>
                <w:sz w:val="18"/>
                <w:szCs w:val="18"/>
              </w:rPr>
              <w:t>)</w:t>
            </w:r>
            <w:r w:rsidRPr="000B2DCA">
              <w:rPr>
                <w:rFonts w:eastAsia="Calibri"/>
                <w:iCs/>
                <w:sz w:val="18"/>
                <w:szCs w:val="18"/>
              </w:rPr>
              <w:t>: women:</w:t>
            </w:r>
            <w:r w:rsidR="009F1343">
              <w:rPr>
                <w:rFonts w:eastAsia="Calibri"/>
                <w:iCs/>
                <w:sz w:val="18"/>
                <w:szCs w:val="18"/>
              </w:rPr>
              <w:t xml:space="preserve"> </w:t>
            </w:r>
            <w:r w:rsidRPr="000B2DCA">
              <w:rPr>
                <w:rFonts w:eastAsia="Calibri"/>
                <w:iCs/>
                <w:sz w:val="18"/>
                <w:szCs w:val="18"/>
              </w:rPr>
              <w:t>20%</w:t>
            </w:r>
            <w:r w:rsidR="009F1343">
              <w:rPr>
                <w:rFonts w:eastAsia="Calibri"/>
                <w:iCs/>
                <w:sz w:val="18"/>
                <w:szCs w:val="18"/>
              </w:rPr>
              <w:t>,</w:t>
            </w:r>
            <w:r w:rsidRPr="000B2DCA">
              <w:rPr>
                <w:rFonts w:eastAsia="Calibri"/>
                <w:iCs/>
                <w:sz w:val="18"/>
                <w:szCs w:val="18"/>
              </w:rPr>
              <w:t xml:space="preserve"> men: 20%</w:t>
            </w:r>
            <w:r w:rsidR="009F1343">
              <w:rPr>
                <w:rFonts w:eastAsia="Calibri"/>
                <w:iCs/>
                <w:sz w:val="18"/>
                <w:szCs w:val="18"/>
              </w:rPr>
              <w:t>,</w:t>
            </w:r>
            <w:r w:rsidRPr="000B2DCA">
              <w:rPr>
                <w:rFonts w:eastAsia="Calibri"/>
                <w:iCs/>
                <w:sz w:val="18"/>
                <w:szCs w:val="18"/>
              </w:rPr>
              <w:t xml:space="preserve"> total: 20%; </w:t>
            </w:r>
            <w:r w:rsidR="009F1343">
              <w:rPr>
                <w:rFonts w:eastAsia="Calibri"/>
                <w:iCs/>
                <w:sz w:val="18"/>
                <w:szCs w:val="18"/>
              </w:rPr>
              <w:t>d</w:t>
            </w:r>
            <w:r w:rsidRPr="000B2DCA">
              <w:rPr>
                <w:rFonts w:eastAsia="Calibri"/>
                <w:iCs/>
                <w:sz w:val="18"/>
                <w:szCs w:val="18"/>
              </w:rPr>
              <w:t xml:space="preserve">isaggregation: by sex </w:t>
            </w:r>
          </w:p>
          <w:p w14:paraId="1A6CF6D5" w14:textId="383EEFE0" w:rsidR="00BC54AE" w:rsidRPr="000B2DCA" w:rsidRDefault="00BC54AE" w:rsidP="0009295E">
            <w:pPr>
              <w:tabs>
                <w:tab w:val="left" w:pos="900"/>
                <w:tab w:val="left" w:pos="990"/>
                <w:tab w:val="left" w:pos="8640"/>
                <w:tab w:val="left" w:pos="9180"/>
              </w:tabs>
              <w:ind w:left="31"/>
              <w:rPr>
                <w:rFonts w:eastAsia="Calibri"/>
                <w:iCs/>
                <w:sz w:val="18"/>
                <w:szCs w:val="18"/>
              </w:rPr>
            </w:pPr>
            <w:r w:rsidRPr="000B2DCA">
              <w:rPr>
                <w:rFonts w:eastAsia="Calibri"/>
                <w:b/>
                <w:iCs/>
                <w:sz w:val="18"/>
                <w:szCs w:val="18"/>
              </w:rPr>
              <w:t>Indicator 2.3.4</w:t>
            </w:r>
            <w:r w:rsidR="009F1343">
              <w:rPr>
                <w:rFonts w:eastAsia="Calibri"/>
                <w:b/>
                <w:iCs/>
                <w:sz w:val="18"/>
                <w:szCs w:val="18"/>
              </w:rPr>
              <w:t>.</w:t>
            </w:r>
            <w:r w:rsidRPr="000B2DCA">
              <w:rPr>
                <w:rFonts w:eastAsia="Calibri"/>
                <w:iCs/>
                <w:sz w:val="18"/>
                <w:szCs w:val="18"/>
              </w:rPr>
              <w:t xml:space="preserve"> Number of times electronic public administrative services are accessed by members of underserved communities</w:t>
            </w:r>
            <w:r w:rsidR="009F1343">
              <w:rPr>
                <w:rFonts w:eastAsia="Calibri"/>
                <w:iCs/>
                <w:sz w:val="18"/>
                <w:szCs w:val="18"/>
              </w:rPr>
              <w:t>.</w:t>
            </w:r>
            <w:r w:rsidRPr="000B2DCA">
              <w:rPr>
                <w:rFonts w:eastAsia="Calibri"/>
                <w:iCs/>
                <w:sz w:val="18"/>
                <w:szCs w:val="18"/>
              </w:rPr>
              <w:t xml:space="preserve"> Baseline</w:t>
            </w:r>
            <w:r w:rsidR="009F1343">
              <w:rPr>
                <w:rFonts w:eastAsia="Calibri"/>
                <w:iCs/>
                <w:sz w:val="18"/>
                <w:szCs w:val="18"/>
              </w:rPr>
              <w:t> (</w:t>
            </w:r>
            <w:r w:rsidRPr="000B2DCA">
              <w:rPr>
                <w:rFonts w:eastAsia="Calibri"/>
                <w:iCs/>
                <w:sz w:val="18"/>
                <w:szCs w:val="18"/>
              </w:rPr>
              <w:t>2016</w:t>
            </w:r>
            <w:r w:rsidR="009F1343">
              <w:rPr>
                <w:rFonts w:eastAsia="Calibri"/>
                <w:iCs/>
                <w:sz w:val="18"/>
                <w:szCs w:val="18"/>
              </w:rPr>
              <w:t>)</w:t>
            </w:r>
            <w:r w:rsidRPr="000B2DCA">
              <w:rPr>
                <w:rFonts w:eastAsia="Calibri"/>
                <w:iCs/>
                <w:sz w:val="18"/>
                <w:szCs w:val="18"/>
              </w:rPr>
              <w:t xml:space="preserve">: 0.5 million, </w:t>
            </w:r>
            <w:r w:rsidR="009F1343">
              <w:rPr>
                <w:rFonts w:eastAsia="Calibri"/>
                <w:iCs/>
                <w:sz w:val="18"/>
                <w:szCs w:val="18"/>
              </w:rPr>
              <w:t>t</w:t>
            </w:r>
            <w:r w:rsidRPr="000B2DCA">
              <w:rPr>
                <w:rFonts w:eastAsia="Calibri"/>
                <w:iCs/>
                <w:sz w:val="18"/>
                <w:szCs w:val="18"/>
              </w:rPr>
              <w:t xml:space="preserve">arget </w:t>
            </w:r>
            <w:r w:rsidR="009F1343">
              <w:rPr>
                <w:rFonts w:eastAsia="Calibri"/>
                <w:iCs/>
                <w:sz w:val="18"/>
                <w:szCs w:val="18"/>
              </w:rPr>
              <w:t>(</w:t>
            </w:r>
            <w:r w:rsidRPr="000B2DCA">
              <w:rPr>
                <w:rFonts w:eastAsia="Calibri"/>
                <w:iCs/>
                <w:sz w:val="18"/>
                <w:szCs w:val="18"/>
              </w:rPr>
              <w:t>2020</w:t>
            </w:r>
            <w:r w:rsidR="009F1343">
              <w:rPr>
                <w:rFonts w:eastAsia="Calibri"/>
                <w:iCs/>
                <w:sz w:val="18"/>
                <w:szCs w:val="18"/>
              </w:rPr>
              <w:t>)</w:t>
            </w:r>
            <w:r w:rsidRPr="000B2DCA">
              <w:rPr>
                <w:rFonts w:eastAsia="Calibri"/>
                <w:iCs/>
                <w:sz w:val="18"/>
                <w:szCs w:val="18"/>
              </w:rPr>
              <w:t xml:space="preserve">: 24 million </w:t>
            </w:r>
          </w:p>
        </w:tc>
        <w:tc>
          <w:tcPr>
            <w:tcW w:w="615" w:type="pct"/>
            <w:vMerge w:val="restart"/>
          </w:tcPr>
          <w:p w14:paraId="61461654" w14:textId="61854960" w:rsidR="00BC54AE" w:rsidRPr="000B2DCA" w:rsidRDefault="00BC54AE" w:rsidP="0009295E">
            <w:pPr>
              <w:tabs>
                <w:tab w:val="left" w:pos="900"/>
                <w:tab w:val="left" w:pos="990"/>
                <w:tab w:val="left" w:pos="8640"/>
                <w:tab w:val="left" w:pos="9180"/>
              </w:tabs>
              <w:ind w:left="31"/>
              <w:rPr>
                <w:iCs/>
                <w:color w:val="000000"/>
                <w:sz w:val="18"/>
                <w:szCs w:val="18"/>
              </w:rPr>
            </w:pPr>
            <w:r w:rsidRPr="000B2DCA">
              <w:rPr>
                <w:iCs/>
                <w:color w:val="000000"/>
                <w:sz w:val="18"/>
                <w:szCs w:val="18"/>
              </w:rPr>
              <w:lastRenderedPageBreak/>
              <w:t xml:space="preserve">Cabinet </w:t>
            </w:r>
            <w:r w:rsidR="00882844" w:rsidRPr="000B2DCA">
              <w:rPr>
                <w:iCs/>
                <w:color w:val="000000"/>
                <w:sz w:val="18"/>
                <w:szCs w:val="18"/>
              </w:rPr>
              <w:t>d</w:t>
            </w:r>
            <w:r w:rsidRPr="000B2DCA">
              <w:rPr>
                <w:iCs/>
                <w:color w:val="000000"/>
                <w:sz w:val="18"/>
                <w:szCs w:val="18"/>
              </w:rPr>
              <w:t>ivision</w:t>
            </w:r>
          </w:p>
          <w:p w14:paraId="58D38342" w14:textId="4015BA33" w:rsidR="00BC54AE" w:rsidRPr="000B2DCA" w:rsidRDefault="00DB64A0" w:rsidP="0009295E">
            <w:pPr>
              <w:tabs>
                <w:tab w:val="left" w:pos="900"/>
                <w:tab w:val="left" w:pos="990"/>
                <w:tab w:val="left" w:pos="8640"/>
                <w:tab w:val="left" w:pos="9180"/>
              </w:tabs>
              <w:ind w:left="31"/>
              <w:rPr>
                <w:iCs/>
                <w:color w:val="000000"/>
                <w:sz w:val="18"/>
                <w:szCs w:val="18"/>
              </w:rPr>
            </w:pPr>
            <w:r w:rsidRPr="000B2DCA">
              <w:rPr>
                <w:iCs/>
                <w:color w:val="000000"/>
                <w:sz w:val="18"/>
                <w:szCs w:val="18"/>
              </w:rPr>
              <w:t>GED</w:t>
            </w:r>
            <w:r w:rsidR="00BC54AE" w:rsidRPr="000B2DCA">
              <w:rPr>
                <w:iCs/>
                <w:color w:val="000000"/>
                <w:sz w:val="18"/>
                <w:szCs w:val="18"/>
              </w:rPr>
              <w:t xml:space="preserve"> and 30 key Social Protection line ministries </w:t>
            </w:r>
          </w:p>
          <w:p w14:paraId="455F66A6" w14:textId="461C498F" w:rsidR="00BC54AE" w:rsidRPr="000B2DCA" w:rsidRDefault="00BC54AE" w:rsidP="0009295E">
            <w:pPr>
              <w:tabs>
                <w:tab w:val="left" w:pos="900"/>
                <w:tab w:val="left" w:pos="990"/>
                <w:tab w:val="left" w:pos="8640"/>
                <w:tab w:val="left" w:pos="9180"/>
              </w:tabs>
              <w:ind w:left="31"/>
              <w:rPr>
                <w:iCs/>
                <w:color w:val="000000"/>
                <w:sz w:val="18"/>
                <w:szCs w:val="18"/>
              </w:rPr>
            </w:pPr>
            <w:r w:rsidRPr="000B2DCA">
              <w:rPr>
                <w:iCs/>
                <w:color w:val="000000"/>
                <w:sz w:val="18"/>
                <w:szCs w:val="18"/>
              </w:rPr>
              <w:t>Economic Relations Division</w:t>
            </w:r>
          </w:p>
          <w:p w14:paraId="77F1C8D1" w14:textId="77777777" w:rsidR="00BC54AE" w:rsidRPr="000B2DCA" w:rsidRDefault="00BC54AE" w:rsidP="0009295E">
            <w:pPr>
              <w:tabs>
                <w:tab w:val="left" w:pos="900"/>
                <w:tab w:val="left" w:pos="990"/>
                <w:tab w:val="left" w:pos="8640"/>
                <w:tab w:val="left" w:pos="9180"/>
              </w:tabs>
              <w:ind w:left="31"/>
              <w:rPr>
                <w:iCs/>
                <w:color w:val="000000"/>
                <w:sz w:val="18"/>
                <w:szCs w:val="18"/>
              </w:rPr>
            </w:pPr>
            <w:r w:rsidRPr="000B2DCA">
              <w:rPr>
                <w:iCs/>
                <w:color w:val="000000"/>
                <w:sz w:val="18"/>
                <w:szCs w:val="18"/>
              </w:rPr>
              <w:lastRenderedPageBreak/>
              <w:t>Prime Minister’s Office</w:t>
            </w:r>
          </w:p>
          <w:p w14:paraId="743DD55C" w14:textId="1246F21B" w:rsidR="00BC54AE" w:rsidRPr="000B2DCA" w:rsidRDefault="002D016B" w:rsidP="0009295E">
            <w:pPr>
              <w:tabs>
                <w:tab w:val="left" w:pos="900"/>
                <w:tab w:val="left" w:pos="990"/>
                <w:tab w:val="left" w:pos="8640"/>
                <w:tab w:val="left" w:pos="9180"/>
              </w:tabs>
              <w:ind w:left="31"/>
              <w:rPr>
                <w:iCs/>
                <w:color w:val="000000"/>
                <w:sz w:val="18"/>
                <w:szCs w:val="18"/>
              </w:rPr>
            </w:pPr>
            <w:r w:rsidRPr="000B2DCA">
              <w:rPr>
                <w:iCs/>
                <w:color w:val="000000"/>
                <w:sz w:val="18"/>
                <w:szCs w:val="18"/>
              </w:rPr>
              <w:t xml:space="preserve">Ministries </w:t>
            </w:r>
            <w:r w:rsidR="00BC54AE" w:rsidRPr="000B2DCA">
              <w:rPr>
                <w:iCs/>
                <w:color w:val="000000"/>
                <w:sz w:val="18"/>
                <w:szCs w:val="18"/>
              </w:rPr>
              <w:t>of Law Justice and parliamentary Affairs</w:t>
            </w:r>
            <w:r w:rsidRPr="000B2DCA">
              <w:rPr>
                <w:iCs/>
                <w:color w:val="000000"/>
                <w:sz w:val="18"/>
                <w:szCs w:val="18"/>
              </w:rPr>
              <w:t xml:space="preserve">, </w:t>
            </w:r>
            <w:r w:rsidR="00BC54AE" w:rsidRPr="000B2DCA">
              <w:rPr>
                <w:iCs/>
                <w:color w:val="000000"/>
                <w:sz w:val="18"/>
                <w:szCs w:val="18"/>
              </w:rPr>
              <w:t>Local Government, Rural Development and Cooperatives</w:t>
            </w:r>
            <w:r w:rsidRPr="000B2DCA">
              <w:rPr>
                <w:iCs/>
                <w:color w:val="000000"/>
                <w:sz w:val="18"/>
                <w:szCs w:val="18"/>
              </w:rPr>
              <w:t xml:space="preserve">, </w:t>
            </w:r>
            <w:r w:rsidR="00BC54AE" w:rsidRPr="000B2DCA">
              <w:rPr>
                <w:iCs/>
                <w:color w:val="000000"/>
                <w:sz w:val="18"/>
                <w:szCs w:val="18"/>
              </w:rPr>
              <w:t>Chittagong Hill Tracts Affairs</w:t>
            </w:r>
          </w:p>
          <w:p w14:paraId="35BF9D5D" w14:textId="515CE262" w:rsidR="002D016B" w:rsidRPr="000B2DCA" w:rsidRDefault="00A77BFD" w:rsidP="0009295E">
            <w:pPr>
              <w:tabs>
                <w:tab w:val="left" w:pos="900"/>
                <w:tab w:val="left" w:pos="990"/>
                <w:tab w:val="left" w:pos="8640"/>
                <w:tab w:val="left" w:pos="9180"/>
              </w:tabs>
              <w:ind w:left="31"/>
              <w:rPr>
                <w:iCs/>
                <w:color w:val="000000"/>
                <w:sz w:val="18"/>
                <w:szCs w:val="18"/>
              </w:rPr>
            </w:pPr>
            <w:r>
              <w:rPr>
                <w:iCs/>
                <w:color w:val="000000"/>
                <w:sz w:val="18"/>
                <w:szCs w:val="18"/>
              </w:rPr>
              <w:t>National Human Rights Commission</w:t>
            </w:r>
          </w:p>
          <w:p w14:paraId="032F1067" w14:textId="3704FDEB" w:rsidR="00BE2121" w:rsidRPr="000B2DCA" w:rsidRDefault="00DB64A0" w:rsidP="0009295E">
            <w:pPr>
              <w:tabs>
                <w:tab w:val="left" w:pos="900"/>
                <w:tab w:val="left" w:pos="990"/>
                <w:tab w:val="left" w:pos="8640"/>
                <w:tab w:val="left" w:pos="9180"/>
              </w:tabs>
              <w:ind w:left="31"/>
              <w:rPr>
                <w:iCs/>
                <w:color w:val="000000"/>
                <w:sz w:val="18"/>
                <w:szCs w:val="18"/>
              </w:rPr>
            </w:pPr>
            <w:r w:rsidRPr="000B2DCA">
              <w:rPr>
                <w:iCs/>
                <w:color w:val="000000"/>
                <w:sz w:val="18"/>
                <w:szCs w:val="18"/>
              </w:rPr>
              <w:t>BBS</w:t>
            </w:r>
          </w:p>
          <w:p w14:paraId="3F94FB23" w14:textId="77777777" w:rsidR="00BE2121" w:rsidRPr="000B2DCA" w:rsidRDefault="00BE2121" w:rsidP="0009295E">
            <w:pPr>
              <w:tabs>
                <w:tab w:val="left" w:pos="900"/>
                <w:tab w:val="left" w:pos="990"/>
                <w:tab w:val="left" w:pos="8640"/>
                <w:tab w:val="left" w:pos="9180"/>
              </w:tabs>
              <w:ind w:left="31"/>
              <w:rPr>
                <w:iCs/>
                <w:color w:val="000000"/>
                <w:sz w:val="18"/>
                <w:szCs w:val="18"/>
              </w:rPr>
            </w:pPr>
            <w:r w:rsidRPr="000B2DCA">
              <w:rPr>
                <w:iCs/>
                <w:color w:val="000000"/>
                <w:sz w:val="18"/>
                <w:szCs w:val="18"/>
              </w:rPr>
              <w:t>Implementation Monitoring and Evaluation Division</w:t>
            </w:r>
          </w:p>
          <w:p w14:paraId="51733EA4" w14:textId="77777777" w:rsidR="00BC54AE" w:rsidRPr="000B2DCA" w:rsidRDefault="00BC54AE" w:rsidP="0009295E">
            <w:pPr>
              <w:tabs>
                <w:tab w:val="left" w:pos="900"/>
                <w:tab w:val="left" w:pos="990"/>
                <w:tab w:val="left" w:pos="8640"/>
                <w:tab w:val="left" w:pos="9180"/>
              </w:tabs>
              <w:ind w:left="31"/>
              <w:rPr>
                <w:iCs/>
                <w:color w:val="000000"/>
                <w:sz w:val="18"/>
                <w:szCs w:val="18"/>
              </w:rPr>
            </w:pPr>
            <w:r w:rsidRPr="000B2DCA">
              <w:rPr>
                <w:iCs/>
                <w:color w:val="000000"/>
                <w:sz w:val="18"/>
                <w:szCs w:val="18"/>
              </w:rPr>
              <w:t>European Union</w:t>
            </w:r>
          </w:p>
          <w:p w14:paraId="4D36EAA6" w14:textId="77777777" w:rsidR="00BC54AE" w:rsidRPr="000B2DCA" w:rsidRDefault="00BC54AE" w:rsidP="0009295E">
            <w:pPr>
              <w:tabs>
                <w:tab w:val="left" w:pos="900"/>
                <w:tab w:val="left" w:pos="990"/>
                <w:tab w:val="left" w:pos="8640"/>
                <w:tab w:val="left" w:pos="9180"/>
              </w:tabs>
              <w:ind w:left="31"/>
              <w:rPr>
                <w:iCs/>
                <w:color w:val="000000"/>
                <w:sz w:val="18"/>
                <w:szCs w:val="18"/>
              </w:rPr>
            </w:pPr>
            <w:r w:rsidRPr="000B2DCA">
              <w:rPr>
                <w:iCs/>
                <w:color w:val="000000"/>
                <w:sz w:val="18"/>
                <w:szCs w:val="18"/>
              </w:rPr>
              <w:t>Denmark</w:t>
            </w:r>
          </w:p>
          <w:p w14:paraId="4ED4D0AC" w14:textId="7365A2C3" w:rsidR="00BC54AE" w:rsidRPr="000B2DCA" w:rsidRDefault="00A77BFD" w:rsidP="0009295E">
            <w:pPr>
              <w:tabs>
                <w:tab w:val="left" w:pos="900"/>
                <w:tab w:val="left" w:pos="990"/>
                <w:tab w:val="left" w:pos="8640"/>
                <w:tab w:val="left" w:pos="9180"/>
              </w:tabs>
              <w:ind w:left="31"/>
              <w:rPr>
                <w:iCs/>
                <w:color w:val="000000"/>
                <w:sz w:val="18"/>
                <w:szCs w:val="18"/>
              </w:rPr>
            </w:pPr>
            <w:r>
              <w:rPr>
                <w:iCs/>
                <w:color w:val="000000"/>
                <w:sz w:val="18"/>
                <w:szCs w:val="18"/>
              </w:rPr>
              <w:t>Switzerland</w:t>
            </w:r>
          </w:p>
          <w:p w14:paraId="555645AD" w14:textId="1B7899E8" w:rsidR="00BC54AE" w:rsidRPr="000B2DCA" w:rsidRDefault="002D016B" w:rsidP="0009295E">
            <w:pPr>
              <w:tabs>
                <w:tab w:val="left" w:pos="900"/>
                <w:tab w:val="left" w:pos="990"/>
                <w:tab w:val="left" w:pos="8640"/>
                <w:tab w:val="left" w:pos="9180"/>
              </w:tabs>
              <w:ind w:left="31"/>
              <w:rPr>
                <w:iCs/>
                <w:color w:val="000000"/>
                <w:sz w:val="18"/>
                <w:szCs w:val="18"/>
              </w:rPr>
            </w:pPr>
            <w:r w:rsidRPr="000B2DCA">
              <w:rPr>
                <w:iCs/>
                <w:color w:val="000000"/>
                <w:sz w:val="18"/>
                <w:szCs w:val="18"/>
              </w:rPr>
              <w:t>UKaid</w:t>
            </w:r>
          </w:p>
          <w:p w14:paraId="69BBECF7" w14:textId="77777777" w:rsidR="00BC54AE" w:rsidRPr="000B2DCA" w:rsidRDefault="00BC54AE" w:rsidP="0009295E">
            <w:pPr>
              <w:tabs>
                <w:tab w:val="left" w:pos="900"/>
                <w:tab w:val="left" w:pos="990"/>
                <w:tab w:val="left" w:pos="8640"/>
                <w:tab w:val="left" w:pos="9180"/>
              </w:tabs>
              <w:ind w:left="31"/>
              <w:rPr>
                <w:iCs/>
                <w:color w:val="000000"/>
                <w:sz w:val="18"/>
                <w:szCs w:val="18"/>
              </w:rPr>
            </w:pPr>
            <w:r w:rsidRPr="000B2DCA">
              <w:rPr>
                <w:iCs/>
                <w:color w:val="000000"/>
                <w:sz w:val="18"/>
                <w:szCs w:val="18"/>
              </w:rPr>
              <w:t>USAID</w:t>
            </w:r>
          </w:p>
          <w:p w14:paraId="697EA7E1" w14:textId="77777777" w:rsidR="00BC54AE" w:rsidRPr="000B2DCA" w:rsidRDefault="00BC54AE" w:rsidP="0009295E">
            <w:pPr>
              <w:tabs>
                <w:tab w:val="left" w:pos="900"/>
                <w:tab w:val="left" w:pos="990"/>
                <w:tab w:val="left" w:pos="8640"/>
                <w:tab w:val="left" w:pos="9180"/>
              </w:tabs>
              <w:ind w:left="31"/>
              <w:rPr>
                <w:iCs/>
                <w:color w:val="000000"/>
                <w:sz w:val="18"/>
                <w:szCs w:val="18"/>
              </w:rPr>
            </w:pPr>
            <w:r w:rsidRPr="000B2DCA">
              <w:rPr>
                <w:iCs/>
                <w:color w:val="000000"/>
                <w:sz w:val="18"/>
                <w:szCs w:val="18"/>
              </w:rPr>
              <w:t>Korea</w:t>
            </w:r>
          </w:p>
          <w:p w14:paraId="3AFB4F03" w14:textId="77777777" w:rsidR="00BC54AE" w:rsidRPr="000B2DCA" w:rsidRDefault="00BC54AE" w:rsidP="0009295E">
            <w:pPr>
              <w:tabs>
                <w:tab w:val="left" w:pos="900"/>
                <w:tab w:val="left" w:pos="990"/>
                <w:tab w:val="left" w:pos="8640"/>
                <w:tab w:val="left" w:pos="9180"/>
              </w:tabs>
              <w:ind w:left="31"/>
              <w:rPr>
                <w:iCs/>
                <w:color w:val="000000"/>
                <w:sz w:val="18"/>
                <w:szCs w:val="18"/>
              </w:rPr>
            </w:pPr>
            <w:r w:rsidRPr="000B2DCA">
              <w:rPr>
                <w:iCs/>
                <w:color w:val="000000"/>
                <w:sz w:val="18"/>
                <w:szCs w:val="18"/>
              </w:rPr>
              <w:t>Spain</w:t>
            </w:r>
          </w:p>
          <w:p w14:paraId="549AA963" w14:textId="4C612E81" w:rsidR="004356A5" w:rsidRPr="000B2DCA" w:rsidRDefault="004356A5" w:rsidP="0009295E">
            <w:pPr>
              <w:tabs>
                <w:tab w:val="left" w:pos="900"/>
                <w:tab w:val="left" w:pos="990"/>
                <w:tab w:val="left" w:pos="8640"/>
                <w:tab w:val="left" w:pos="9180"/>
              </w:tabs>
              <w:ind w:left="31"/>
              <w:rPr>
                <w:iCs/>
                <w:color w:val="000000"/>
                <w:sz w:val="18"/>
                <w:szCs w:val="18"/>
              </w:rPr>
            </w:pPr>
            <w:r w:rsidRPr="000B2DCA">
              <w:rPr>
                <w:iCs/>
                <w:color w:val="000000"/>
                <w:sz w:val="18"/>
                <w:szCs w:val="18"/>
              </w:rPr>
              <w:t>World Bank</w:t>
            </w:r>
          </w:p>
          <w:p w14:paraId="5612EB9F" w14:textId="1D2218E4" w:rsidR="00BC54AE" w:rsidRPr="000B2DCA" w:rsidRDefault="00BC54AE" w:rsidP="0009295E">
            <w:pPr>
              <w:tabs>
                <w:tab w:val="left" w:pos="900"/>
                <w:tab w:val="left" w:pos="990"/>
                <w:tab w:val="left" w:pos="8640"/>
                <w:tab w:val="left" w:pos="9180"/>
              </w:tabs>
              <w:ind w:left="31"/>
              <w:rPr>
                <w:iCs/>
                <w:color w:val="000000"/>
                <w:sz w:val="18"/>
                <w:szCs w:val="18"/>
              </w:rPr>
            </w:pPr>
            <w:r w:rsidRPr="000B2DCA">
              <w:rPr>
                <w:iCs/>
                <w:color w:val="000000"/>
                <w:sz w:val="18"/>
                <w:szCs w:val="18"/>
              </w:rPr>
              <w:t>UN</w:t>
            </w:r>
            <w:r w:rsidR="009F1343">
              <w:rPr>
                <w:iCs/>
                <w:color w:val="000000"/>
                <w:sz w:val="18"/>
                <w:szCs w:val="18"/>
              </w:rPr>
              <w:t>-</w:t>
            </w:r>
            <w:r w:rsidRPr="000B2DCA">
              <w:rPr>
                <w:iCs/>
                <w:color w:val="000000"/>
                <w:sz w:val="18"/>
                <w:szCs w:val="18"/>
              </w:rPr>
              <w:t>Women</w:t>
            </w:r>
          </w:p>
          <w:p w14:paraId="2EE6222E" w14:textId="77777777" w:rsidR="00BC54AE" w:rsidRPr="000B2DCA" w:rsidRDefault="00BC54AE" w:rsidP="0009295E">
            <w:pPr>
              <w:tabs>
                <w:tab w:val="left" w:pos="900"/>
                <w:tab w:val="left" w:pos="990"/>
                <w:tab w:val="left" w:pos="8640"/>
                <w:tab w:val="left" w:pos="9180"/>
              </w:tabs>
              <w:ind w:left="31"/>
              <w:rPr>
                <w:iCs/>
                <w:color w:val="000000"/>
                <w:sz w:val="18"/>
                <w:szCs w:val="18"/>
              </w:rPr>
            </w:pPr>
            <w:r w:rsidRPr="000B2DCA">
              <w:rPr>
                <w:iCs/>
                <w:color w:val="000000"/>
                <w:sz w:val="18"/>
                <w:szCs w:val="18"/>
              </w:rPr>
              <w:t>ILO</w:t>
            </w:r>
          </w:p>
          <w:p w14:paraId="4DBA1C5F" w14:textId="77777777" w:rsidR="00BC54AE" w:rsidRPr="000B2DCA" w:rsidRDefault="00BC54AE" w:rsidP="0009295E">
            <w:pPr>
              <w:tabs>
                <w:tab w:val="left" w:pos="900"/>
                <w:tab w:val="left" w:pos="990"/>
                <w:tab w:val="left" w:pos="8640"/>
                <w:tab w:val="left" w:pos="9180"/>
              </w:tabs>
              <w:ind w:left="31"/>
              <w:rPr>
                <w:iCs/>
                <w:color w:val="000000"/>
                <w:sz w:val="18"/>
                <w:szCs w:val="18"/>
              </w:rPr>
            </w:pPr>
            <w:r w:rsidRPr="000B2DCA">
              <w:rPr>
                <w:iCs/>
                <w:color w:val="000000"/>
                <w:sz w:val="18"/>
                <w:szCs w:val="18"/>
              </w:rPr>
              <w:t>UNFPA</w:t>
            </w:r>
          </w:p>
          <w:p w14:paraId="77DF444C" w14:textId="77777777" w:rsidR="00BC54AE" w:rsidRPr="000B2DCA" w:rsidRDefault="00BC54AE" w:rsidP="0009295E">
            <w:pPr>
              <w:tabs>
                <w:tab w:val="left" w:pos="900"/>
                <w:tab w:val="left" w:pos="990"/>
                <w:tab w:val="left" w:pos="8640"/>
                <w:tab w:val="left" w:pos="9180"/>
              </w:tabs>
              <w:ind w:left="31"/>
              <w:rPr>
                <w:iCs/>
                <w:color w:val="000000"/>
                <w:sz w:val="18"/>
                <w:szCs w:val="18"/>
              </w:rPr>
            </w:pPr>
            <w:r w:rsidRPr="000B2DCA">
              <w:rPr>
                <w:iCs/>
                <w:color w:val="000000"/>
                <w:sz w:val="18"/>
                <w:szCs w:val="18"/>
              </w:rPr>
              <w:t>UNICEF</w:t>
            </w:r>
          </w:p>
          <w:p w14:paraId="31F5B8A8" w14:textId="250FA347" w:rsidR="00C261AC" w:rsidRPr="000B2DCA" w:rsidRDefault="009F1343" w:rsidP="0009295E">
            <w:pPr>
              <w:tabs>
                <w:tab w:val="left" w:pos="900"/>
                <w:tab w:val="left" w:pos="990"/>
                <w:tab w:val="left" w:pos="8640"/>
                <w:tab w:val="left" w:pos="9180"/>
              </w:tabs>
              <w:ind w:left="31"/>
              <w:rPr>
                <w:iCs/>
                <w:color w:val="000000"/>
                <w:sz w:val="18"/>
                <w:szCs w:val="18"/>
              </w:rPr>
            </w:pPr>
            <w:r w:rsidRPr="000B2DCA">
              <w:rPr>
                <w:rStyle w:val="Emphasis"/>
                <w:bCs/>
                <w:i w:val="0"/>
                <w:iCs w:val="0"/>
                <w:color w:val="6A6A6A"/>
                <w:sz w:val="18"/>
                <w:szCs w:val="18"/>
                <w:shd w:val="clear" w:color="auto" w:fill="FFFFFF"/>
              </w:rPr>
              <w:t>Bangladesh Rural Advancement Committee</w:t>
            </w:r>
            <w:r w:rsidRPr="009F1343" w:rsidDel="009F1343">
              <w:rPr>
                <w:iCs/>
                <w:color w:val="000000"/>
                <w:sz w:val="18"/>
                <w:szCs w:val="18"/>
              </w:rPr>
              <w:t xml:space="preserve"> </w:t>
            </w:r>
            <w:r w:rsidRPr="009F1343">
              <w:rPr>
                <w:iCs/>
                <w:color w:val="000000"/>
                <w:sz w:val="18"/>
                <w:szCs w:val="18"/>
              </w:rPr>
              <w:t>Innov</w:t>
            </w:r>
            <w:r w:rsidR="00C261AC" w:rsidRPr="000B2DCA">
              <w:rPr>
                <w:iCs/>
                <w:color w:val="000000"/>
                <w:sz w:val="18"/>
                <w:szCs w:val="18"/>
              </w:rPr>
              <w:t>ation centr</w:t>
            </w:r>
            <w:r w:rsidR="009B4798" w:rsidRPr="009F1343">
              <w:rPr>
                <w:iCs/>
                <w:color w:val="000000"/>
                <w:sz w:val="18"/>
                <w:szCs w:val="18"/>
              </w:rPr>
              <w:t>e</w:t>
            </w:r>
            <w:r w:rsidR="00C261AC" w:rsidRPr="000B2DCA">
              <w:rPr>
                <w:iCs/>
                <w:color w:val="000000"/>
                <w:sz w:val="18"/>
                <w:szCs w:val="18"/>
              </w:rPr>
              <w:t>s N</w:t>
            </w:r>
            <w:r w:rsidRPr="009F1343">
              <w:rPr>
                <w:iCs/>
                <w:color w:val="000000"/>
                <w:sz w:val="18"/>
                <w:szCs w:val="18"/>
              </w:rPr>
              <w:t>esta</w:t>
            </w:r>
            <w:r w:rsidR="00C261AC" w:rsidRPr="000B2DCA">
              <w:rPr>
                <w:iCs/>
                <w:color w:val="000000"/>
                <w:sz w:val="18"/>
                <w:szCs w:val="18"/>
              </w:rPr>
              <w:t xml:space="preserve">, </w:t>
            </w:r>
            <w:r w:rsidR="007B3EEC" w:rsidRPr="000B2DCA">
              <w:rPr>
                <w:iCs/>
                <w:color w:val="000000"/>
                <w:sz w:val="18"/>
                <w:szCs w:val="18"/>
              </w:rPr>
              <w:t>Innovation for Poverty Action,</w:t>
            </w:r>
          </w:p>
          <w:p w14:paraId="4B4C0501" w14:textId="39BF40E1" w:rsidR="00BC54AE" w:rsidRPr="000B2DCA" w:rsidRDefault="00C261AC" w:rsidP="0009295E">
            <w:pPr>
              <w:tabs>
                <w:tab w:val="left" w:pos="900"/>
                <w:tab w:val="left" w:pos="990"/>
                <w:tab w:val="left" w:pos="8640"/>
                <w:tab w:val="left" w:pos="9180"/>
              </w:tabs>
              <w:ind w:left="31"/>
              <w:rPr>
                <w:iCs/>
                <w:color w:val="000000"/>
                <w:sz w:val="18"/>
                <w:szCs w:val="18"/>
              </w:rPr>
            </w:pPr>
            <w:r w:rsidRPr="000B2DCA">
              <w:rPr>
                <w:iCs/>
                <w:color w:val="000000"/>
                <w:sz w:val="18"/>
                <w:szCs w:val="18"/>
              </w:rPr>
              <w:t>MindLab, Singapore Global Cent</w:t>
            </w:r>
            <w:r w:rsidR="009B4798">
              <w:rPr>
                <w:iCs/>
                <w:color w:val="000000"/>
                <w:sz w:val="18"/>
                <w:szCs w:val="18"/>
              </w:rPr>
              <w:t>r</w:t>
            </w:r>
            <w:r w:rsidRPr="000B2DCA">
              <w:rPr>
                <w:iCs/>
                <w:color w:val="000000"/>
                <w:sz w:val="18"/>
                <w:szCs w:val="18"/>
              </w:rPr>
              <w:t xml:space="preserve">e for </w:t>
            </w:r>
            <w:r w:rsidRPr="000B2DCA">
              <w:rPr>
                <w:iCs/>
                <w:color w:val="000000"/>
                <w:sz w:val="18"/>
                <w:szCs w:val="18"/>
              </w:rPr>
              <w:lastRenderedPageBreak/>
              <w:t>Public Service Excellence)</w:t>
            </w:r>
            <w:r w:rsidR="00F46466" w:rsidRPr="000B2DCA">
              <w:rPr>
                <w:iCs/>
                <w:color w:val="000000"/>
                <w:sz w:val="18"/>
                <w:szCs w:val="18"/>
              </w:rPr>
              <w:t xml:space="preserve">. </w:t>
            </w:r>
          </w:p>
          <w:p w14:paraId="3E68D8B2" w14:textId="77777777" w:rsidR="00BC54AE" w:rsidRPr="000B2DCA" w:rsidRDefault="00BC54AE" w:rsidP="0009295E">
            <w:pPr>
              <w:tabs>
                <w:tab w:val="left" w:pos="900"/>
                <w:tab w:val="left" w:pos="990"/>
                <w:tab w:val="left" w:pos="8640"/>
                <w:tab w:val="left" w:pos="9180"/>
              </w:tabs>
              <w:ind w:left="31"/>
              <w:rPr>
                <w:rFonts w:eastAsia="Calibri"/>
                <w:iCs/>
                <w:color w:val="000000"/>
                <w:sz w:val="18"/>
                <w:szCs w:val="18"/>
              </w:rPr>
            </w:pPr>
          </w:p>
        </w:tc>
        <w:tc>
          <w:tcPr>
            <w:tcW w:w="591" w:type="pct"/>
            <w:gridSpan w:val="2"/>
            <w:vMerge w:val="restart"/>
            <w:tcMar>
              <w:top w:w="15" w:type="dxa"/>
              <w:left w:w="108" w:type="dxa"/>
              <w:bottom w:w="0" w:type="dxa"/>
              <w:right w:w="108" w:type="dxa"/>
            </w:tcMar>
          </w:tcPr>
          <w:p w14:paraId="574DFCA1" w14:textId="351E5BEE" w:rsidR="00BC54AE" w:rsidRPr="000B2DCA" w:rsidRDefault="00BC54AE" w:rsidP="0009295E">
            <w:pPr>
              <w:tabs>
                <w:tab w:val="left" w:pos="900"/>
                <w:tab w:val="left" w:pos="990"/>
                <w:tab w:val="left" w:pos="8640"/>
                <w:tab w:val="left" w:pos="9180"/>
              </w:tabs>
              <w:ind w:left="31"/>
              <w:rPr>
                <w:rFonts w:eastAsia="Calibri"/>
                <w:b/>
                <w:color w:val="000000"/>
                <w:sz w:val="18"/>
                <w:szCs w:val="18"/>
              </w:rPr>
            </w:pPr>
            <w:r w:rsidRPr="000B2DCA">
              <w:rPr>
                <w:rFonts w:eastAsia="Calibri"/>
                <w:b/>
                <w:color w:val="000000"/>
                <w:sz w:val="18"/>
                <w:szCs w:val="18"/>
              </w:rPr>
              <w:lastRenderedPageBreak/>
              <w:t xml:space="preserve">Regular </w:t>
            </w:r>
            <w:r w:rsidR="00AD5E25" w:rsidRPr="000B2DCA">
              <w:rPr>
                <w:rFonts w:eastAsia="Calibri"/>
                <w:b/>
                <w:color w:val="000000"/>
                <w:sz w:val="18"/>
                <w:szCs w:val="18"/>
              </w:rPr>
              <w:t>r</w:t>
            </w:r>
            <w:r w:rsidRPr="000B2DCA">
              <w:rPr>
                <w:rFonts w:eastAsia="Calibri"/>
                <w:b/>
                <w:color w:val="000000"/>
                <w:sz w:val="18"/>
                <w:szCs w:val="18"/>
              </w:rPr>
              <w:t>esources</w:t>
            </w:r>
          </w:p>
          <w:p w14:paraId="65E18FC4" w14:textId="2A2D5A36" w:rsidR="00BC54AE" w:rsidRPr="000B2DCA" w:rsidRDefault="009A14F7" w:rsidP="0009295E">
            <w:pPr>
              <w:tabs>
                <w:tab w:val="left" w:pos="900"/>
                <w:tab w:val="left" w:pos="990"/>
                <w:tab w:val="left" w:pos="8640"/>
                <w:tab w:val="left" w:pos="9180"/>
              </w:tabs>
              <w:ind w:left="31"/>
              <w:rPr>
                <w:rFonts w:eastAsia="Calibri"/>
                <w:color w:val="000000"/>
                <w:sz w:val="18"/>
                <w:szCs w:val="18"/>
              </w:rPr>
            </w:pPr>
            <w:r w:rsidRPr="000B2DCA">
              <w:rPr>
                <w:rFonts w:eastAsia="Calibri"/>
                <w:color w:val="000000"/>
                <w:sz w:val="18"/>
                <w:szCs w:val="18"/>
              </w:rPr>
              <w:t>6</w:t>
            </w:r>
            <w:r w:rsidR="00912404" w:rsidRPr="000B2DCA">
              <w:rPr>
                <w:rFonts w:eastAsia="Calibri"/>
                <w:color w:val="000000"/>
                <w:sz w:val="18"/>
                <w:szCs w:val="18"/>
              </w:rPr>
              <w:t>.3</w:t>
            </w:r>
            <w:r w:rsidR="00BC54AE" w:rsidRPr="000B2DCA">
              <w:rPr>
                <w:rFonts w:eastAsia="Calibri"/>
                <w:color w:val="000000"/>
                <w:sz w:val="18"/>
                <w:szCs w:val="18"/>
              </w:rPr>
              <w:t xml:space="preserve"> million</w:t>
            </w:r>
          </w:p>
          <w:p w14:paraId="6CB6FE71" w14:textId="77777777" w:rsidR="0009295E" w:rsidRDefault="0009295E" w:rsidP="0009295E">
            <w:pPr>
              <w:tabs>
                <w:tab w:val="left" w:pos="900"/>
                <w:tab w:val="left" w:pos="990"/>
                <w:tab w:val="left" w:pos="8640"/>
                <w:tab w:val="left" w:pos="9180"/>
              </w:tabs>
              <w:ind w:left="31"/>
              <w:rPr>
                <w:rFonts w:eastAsia="Calibri"/>
                <w:b/>
                <w:color w:val="000000"/>
                <w:sz w:val="18"/>
                <w:szCs w:val="18"/>
              </w:rPr>
            </w:pPr>
          </w:p>
          <w:p w14:paraId="195545E5" w14:textId="68B9764D" w:rsidR="00BC54AE" w:rsidRPr="000B2DCA" w:rsidRDefault="00BC54AE" w:rsidP="0009295E">
            <w:pPr>
              <w:tabs>
                <w:tab w:val="left" w:pos="900"/>
                <w:tab w:val="left" w:pos="990"/>
                <w:tab w:val="left" w:pos="8640"/>
                <w:tab w:val="left" w:pos="9180"/>
              </w:tabs>
              <w:ind w:left="31"/>
              <w:rPr>
                <w:rFonts w:eastAsia="Calibri"/>
                <w:b/>
                <w:color w:val="000000"/>
                <w:sz w:val="18"/>
                <w:szCs w:val="18"/>
              </w:rPr>
            </w:pPr>
            <w:r w:rsidRPr="000B2DCA">
              <w:rPr>
                <w:rFonts w:eastAsia="Calibri"/>
                <w:b/>
                <w:color w:val="000000"/>
                <w:sz w:val="18"/>
                <w:szCs w:val="18"/>
              </w:rPr>
              <w:t xml:space="preserve">Other </w:t>
            </w:r>
            <w:r w:rsidR="00AD5E25" w:rsidRPr="000B2DCA">
              <w:rPr>
                <w:rFonts w:eastAsia="Calibri"/>
                <w:b/>
                <w:color w:val="000000"/>
                <w:sz w:val="18"/>
                <w:szCs w:val="18"/>
              </w:rPr>
              <w:t>r</w:t>
            </w:r>
            <w:r w:rsidRPr="000B2DCA">
              <w:rPr>
                <w:rFonts w:eastAsia="Calibri"/>
                <w:b/>
                <w:color w:val="000000"/>
                <w:sz w:val="18"/>
                <w:szCs w:val="18"/>
              </w:rPr>
              <w:t>esources</w:t>
            </w:r>
          </w:p>
          <w:p w14:paraId="7767270C" w14:textId="033D4BA6" w:rsidR="00BC54AE" w:rsidRPr="000B2DCA" w:rsidRDefault="002A2CEF" w:rsidP="0009295E">
            <w:pPr>
              <w:tabs>
                <w:tab w:val="left" w:pos="900"/>
                <w:tab w:val="left" w:pos="990"/>
                <w:tab w:val="left" w:pos="8640"/>
                <w:tab w:val="left" w:pos="9180"/>
              </w:tabs>
              <w:ind w:left="31"/>
              <w:rPr>
                <w:rFonts w:eastAsia="Calibri"/>
                <w:color w:val="000000"/>
                <w:sz w:val="18"/>
                <w:szCs w:val="18"/>
              </w:rPr>
            </w:pPr>
            <w:r w:rsidRPr="000B2DCA">
              <w:rPr>
                <w:rFonts w:eastAsia="Calibri"/>
                <w:color w:val="000000"/>
                <w:sz w:val="18"/>
                <w:szCs w:val="18"/>
              </w:rPr>
              <w:t>58.46</w:t>
            </w:r>
            <w:r w:rsidR="00BC54AE" w:rsidRPr="000B2DCA">
              <w:rPr>
                <w:rFonts w:eastAsia="Calibri"/>
                <w:color w:val="000000"/>
                <w:sz w:val="18"/>
                <w:szCs w:val="18"/>
              </w:rPr>
              <w:t xml:space="preserve"> million</w:t>
            </w:r>
          </w:p>
          <w:p w14:paraId="4B51F4CA" w14:textId="77777777" w:rsidR="00BC54AE" w:rsidRPr="000B2DCA" w:rsidRDefault="00BC54AE" w:rsidP="0009295E">
            <w:pPr>
              <w:tabs>
                <w:tab w:val="left" w:pos="900"/>
                <w:tab w:val="left" w:pos="990"/>
                <w:tab w:val="left" w:pos="8640"/>
                <w:tab w:val="left" w:pos="9180"/>
              </w:tabs>
              <w:ind w:left="31"/>
              <w:rPr>
                <w:rFonts w:eastAsia="Calibri"/>
                <w:b/>
                <w:color w:val="000000"/>
                <w:sz w:val="18"/>
                <w:szCs w:val="18"/>
              </w:rPr>
            </w:pPr>
          </w:p>
        </w:tc>
      </w:tr>
      <w:tr w:rsidR="00BC54AE" w:rsidRPr="00CD58A0" w14:paraId="47F46E5F" w14:textId="77777777" w:rsidTr="00443D38">
        <w:trPr>
          <w:trHeight w:val="207"/>
        </w:trPr>
        <w:tc>
          <w:tcPr>
            <w:tcW w:w="872" w:type="pct"/>
            <w:vMerge/>
            <w:tcBorders>
              <w:bottom w:val="single" w:sz="4" w:space="0" w:color="auto"/>
            </w:tcBorders>
            <w:tcMar>
              <w:top w:w="72" w:type="dxa"/>
              <w:left w:w="144" w:type="dxa"/>
              <w:bottom w:w="72" w:type="dxa"/>
              <w:right w:w="144" w:type="dxa"/>
            </w:tcMar>
          </w:tcPr>
          <w:p w14:paraId="113DAEBA" w14:textId="77777777" w:rsidR="00BC54AE" w:rsidRPr="000B2DCA" w:rsidRDefault="00BC54AE" w:rsidP="000B2DCA">
            <w:pPr>
              <w:tabs>
                <w:tab w:val="left" w:pos="900"/>
                <w:tab w:val="left" w:pos="990"/>
                <w:tab w:val="left" w:pos="8640"/>
                <w:tab w:val="left" w:pos="9180"/>
              </w:tabs>
              <w:ind w:left="450"/>
              <w:rPr>
                <w:rFonts w:eastAsia="Calibri"/>
                <w:iCs/>
                <w:color w:val="000000"/>
                <w:sz w:val="18"/>
                <w:szCs w:val="18"/>
              </w:rPr>
            </w:pPr>
          </w:p>
        </w:tc>
        <w:tc>
          <w:tcPr>
            <w:tcW w:w="667" w:type="pct"/>
            <w:vMerge/>
            <w:tcBorders>
              <w:bottom w:val="single" w:sz="4" w:space="0" w:color="auto"/>
            </w:tcBorders>
          </w:tcPr>
          <w:p w14:paraId="0664CDB2" w14:textId="77777777" w:rsidR="00BC54AE" w:rsidRPr="000B2DCA" w:rsidRDefault="00BC54AE" w:rsidP="000B2DCA">
            <w:pPr>
              <w:tabs>
                <w:tab w:val="left" w:pos="900"/>
                <w:tab w:val="left" w:pos="990"/>
                <w:tab w:val="left" w:pos="8640"/>
                <w:tab w:val="left" w:pos="9180"/>
              </w:tabs>
              <w:ind w:left="450"/>
              <w:rPr>
                <w:rFonts w:eastAsia="Calibri"/>
                <w:iCs/>
                <w:color w:val="000000"/>
                <w:sz w:val="18"/>
                <w:szCs w:val="18"/>
              </w:rPr>
            </w:pPr>
          </w:p>
        </w:tc>
        <w:tc>
          <w:tcPr>
            <w:tcW w:w="2255" w:type="pct"/>
            <w:vMerge/>
            <w:tcBorders>
              <w:bottom w:val="single" w:sz="4" w:space="0" w:color="auto"/>
            </w:tcBorders>
            <w:tcMar>
              <w:top w:w="72" w:type="dxa"/>
              <w:left w:w="144" w:type="dxa"/>
              <w:bottom w:w="72" w:type="dxa"/>
              <w:right w:w="144" w:type="dxa"/>
            </w:tcMar>
          </w:tcPr>
          <w:p w14:paraId="6433DB03" w14:textId="77777777" w:rsidR="00BC54AE" w:rsidRPr="000B2DCA" w:rsidRDefault="00BC54AE" w:rsidP="000B2DCA">
            <w:pPr>
              <w:tabs>
                <w:tab w:val="left" w:pos="900"/>
                <w:tab w:val="left" w:pos="990"/>
                <w:tab w:val="left" w:pos="8640"/>
                <w:tab w:val="left" w:pos="9180"/>
              </w:tabs>
              <w:ind w:left="450"/>
              <w:rPr>
                <w:rFonts w:eastAsia="Calibri"/>
                <w:iCs/>
                <w:color w:val="000000"/>
                <w:sz w:val="18"/>
                <w:szCs w:val="18"/>
              </w:rPr>
            </w:pPr>
          </w:p>
        </w:tc>
        <w:tc>
          <w:tcPr>
            <w:tcW w:w="615" w:type="pct"/>
            <w:vMerge/>
            <w:tcBorders>
              <w:bottom w:val="single" w:sz="4" w:space="0" w:color="auto"/>
            </w:tcBorders>
          </w:tcPr>
          <w:p w14:paraId="3465E885" w14:textId="77777777" w:rsidR="00BC54AE" w:rsidRPr="000B2DCA" w:rsidRDefault="00BC54AE" w:rsidP="000B2DCA">
            <w:pPr>
              <w:tabs>
                <w:tab w:val="left" w:pos="900"/>
                <w:tab w:val="left" w:pos="990"/>
                <w:tab w:val="left" w:pos="8640"/>
                <w:tab w:val="left" w:pos="9180"/>
              </w:tabs>
              <w:ind w:left="450"/>
              <w:rPr>
                <w:rFonts w:eastAsia="Calibri"/>
                <w:iCs/>
                <w:color w:val="000000"/>
                <w:sz w:val="18"/>
                <w:szCs w:val="18"/>
              </w:rPr>
            </w:pPr>
          </w:p>
        </w:tc>
        <w:tc>
          <w:tcPr>
            <w:tcW w:w="591" w:type="pct"/>
            <w:gridSpan w:val="2"/>
            <w:vMerge/>
            <w:tcBorders>
              <w:bottom w:val="single" w:sz="4" w:space="0" w:color="auto"/>
            </w:tcBorders>
            <w:tcMar>
              <w:top w:w="15" w:type="dxa"/>
              <w:left w:w="108" w:type="dxa"/>
              <w:bottom w:w="0" w:type="dxa"/>
              <w:right w:w="108" w:type="dxa"/>
            </w:tcMar>
          </w:tcPr>
          <w:p w14:paraId="4495F568" w14:textId="77777777" w:rsidR="00BC54AE" w:rsidRPr="000B2DCA" w:rsidRDefault="00BC54AE" w:rsidP="000B2DCA">
            <w:pPr>
              <w:tabs>
                <w:tab w:val="left" w:pos="900"/>
                <w:tab w:val="left" w:pos="990"/>
                <w:tab w:val="left" w:pos="8640"/>
                <w:tab w:val="left" w:pos="9180"/>
              </w:tabs>
              <w:ind w:left="450"/>
              <w:rPr>
                <w:rFonts w:eastAsia="Calibri"/>
                <w:b/>
                <w:color w:val="000000"/>
                <w:sz w:val="18"/>
                <w:szCs w:val="18"/>
              </w:rPr>
            </w:pPr>
          </w:p>
        </w:tc>
      </w:tr>
      <w:tr w:rsidR="00BC54AE" w:rsidRPr="00CD58A0" w14:paraId="24CC8C29" w14:textId="77777777" w:rsidTr="00443D38">
        <w:tc>
          <w:tcPr>
            <w:tcW w:w="5000" w:type="pct"/>
            <w:gridSpan w:val="6"/>
            <w:shd w:val="clear" w:color="auto" w:fill="auto"/>
            <w:tcMar>
              <w:top w:w="72" w:type="dxa"/>
              <w:left w:w="144" w:type="dxa"/>
              <w:bottom w:w="72" w:type="dxa"/>
              <w:right w:w="144" w:type="dxa"/>
            </w:tcMar>
          </w:tcPr>
          <w:p w14:paraId="123C0D07" w14:textId="4449F9A5" w:rsidR="00BC54AE" w:rsidRPr="000B2DCA" w:rsidRDefault="009E4A19" w:rsidP="0009295E">
            <w:pPr>
              <w:tabs>
                <w:tab w:val="left" w:pos="900"/>
                <w:tab w:val="left" w:pos="990"/>
                <w:tab w:val="left" w:pos="8640"/>
                <w:tab w:val="left" w:pos="9180"/>
              </w:tabs>
              <w:ind w:left="31"/>
              <w:jc w:val="both"/>
              <w:rPr>
                <w:rFonts w:eastAsia="Calibri"/>
                <w:sz w:val="18"/>
                <w:szCs w:val="18"/>
              </w:rPr>
            </w:pPr>
            <w:r w:rsidRPr="000B2DCA">
              <w:rPr>
                <w:rFonts w:eastAsia="Calibri"/>
                <w:b/>
                <w:bCs/>
                <w:color w:val="000000"/>
                <w:sz w:val="18"/>
                <w:szCs w:val="18"/>
              </w:rPr>
              <w:lastRenderedPageBreak/>
              <w:t>National priority or goal</w:t>
            </w:r>
            <w:r w:rsidR="00BC54AE" w:rsidRPr="000B2DCA">
              <w:rPr>
                <w:rFonts w:eastAsia="Calibri"/>
                <w:b/>
                <w:bCs/>
                <w:color w:val="000000"/>
                <w:sz w:val="18"/>
                <w:szCs w:val="18"/>
              </w:rPr>
              <w:t xml:space="preserve">: </w:t>
            </w:r>
            <w:r w:rsidR="00BC54AE" w:rsidRPr="000B2DCA">
              <w:rPr>
                <w:rFonts w:eastAsia="Calibri"/>
                <w:iCs/>
                <w:color w:val="000000"/>
                <w:sz w:val="18"/>
                <w:szCs w:val="18"/>
              </w:rPr>
              <w:t>SDG 1, 2, 7, 11, 12, 13, 14</w:t>
            </w:r>
            <w:r w:rsidR="00B7439C">
              <w:rPr>
                <w:rFonts w:eastAsia="Calibri"/>
                <w:iCs/>
                <w:color w:val="000000"/>
                <w:sz w:val="18"/>
                <w:szCs w:val="18"/>
              </w:rPr>
              <w:t xml:space="preserve"> and </w:t>
            </w:r>
            <w:r w:rsidR="00BC54AE" w:rsidRPr="000B2DCA">
              <w:rPr>
                <w:rFonts w:eastAsia="Calibri"/>
                <w:iCs/>
                <w:color w:val="000000"/>
                <w:sz w:val="18"/>
                <w:szCs w:val="18"/>
              </w:rPr>
              <w:t>15</w:t>
            </w:r>
            <w:r w:rsidR="00B7439C">
              <w:rPr>
                <w:rFonts w:eastAsia="Calibri"/>
                <w:iCs/>
                <w:color w:val="000000"/>
                <w:sz w:val="18"/>
                <w:szCs w:val="18"/>
              </w:rPr>
              <w:t>;</w:t>
            </w:r>
            <w:r w:rsidR="00BC54AE" w:rsidRPr="000B2DCA">
              <w:rPr>
                <w:rFonts w:eastAsia="Calibri"/>
                <w:sz w:val="18"/>
                <w:szCs w:val="18"/>
              </w:rPr>
              <w:t xml:space="preserve"> </w:t>
            </w:r>
            <w:r w:rsidR="00BC54AE" w:rsidRPr="000B2DCA">
              <w:rPr>
                <w:rFonts w:eastAsia="Calibri"/>
                <w:iCs/>
                <w:sz w:val="18"/>
                <w:szCs w:val="18"/>
              </w:rPr>
              <w:t>7FYP:</w:t>
            </w:r>
            <w:r w:rsidR="00B7439C">
              <w:rPr>
                <w:rFonts w:eastAsia="Calibri"/>
                <w:iCs/>
                <w:sz w:val="18"/>
                <w:szCs w:val="18"/>
              </w:rPr>
              <w:t xml:space="preserve"> </w:t>
            </w:r>
            <w:r w:rsidR="00BC54AE" w:rsidRPr="000B2DCA">
              <w:rPr>
                <w:rFonts w:eastAsia="Calibri"/>
                <w:iCs/>
                <w:sz w:val="18"/>
                <w:szCs w:val="18"/>
              </w:rPr>
              <w:t xml:space="preserve">OS11, </w:t>
            </w:r>
          </w:p>
        </w:tc>
      </w:tr>
      <w:tr w:rsidR="00BC54AE" w:rsidRPr="00CD58A0" w14:paraId="1BD5B942" w14:textId="77777777" w:rsidTr="00443D38">
        <w:tc>
          <w:tcPr>
            <w:tcW w:w="5000" w:type="pct"/>
            <w:gridSpan w:val="6"/>
            <w:shd w:val="clear" w:color="auto" w:fill="auto"/>
            <w:tcMar>
              <w:top w:w="72" w:type="dxa"/>
              <w:left w:w="144" w:type="dxa"/>
              <w:bottom w:w="72" w:type="dxa"/>
              <w:right w:w="144" w:type="dxa"/>
            </w:tcMar>
          </w:tcPr>
          <w:p w14:paraId="5629C775" w14:textId="64FB05A2" w:rsidR="00BC54AE" w:rsidRPr="000B2DCA" w:rsidRDefault="00BC54AE" w:rsidP="0009295E">
            <w:pPr>
              <w:tabs>
                <w:tab w:val="left" w:pos="900"/>
                <w:tab w:val="left" w:pos="990"/>
                <w:tab w:val="left" w:pos="8640"/>
                <w:tab w:val="left" w:pos="9180"/>
              </w:tabs>
              <w:ind w:left="31"/>
              <w:rPr>
                <w:rFonts w:eastAsia="Calibri"/>
                <w:b/>
                <w:bCs/>
                <w:color w:val="000000"/>
                <w:sz w:val="18"/>
                <w:szCs w:val="18"/>
              </w:rPr>
            </w:pPr>
            <w:r w:rsidRPr="000B2DCA">
              <w:rPr>
                <w:rFonts w:eastAsia="Calibri"/>
                <w:b/>
                <w:bCs/>
                <w:color w:val="000000"/>
                <w:sz w:val="18"/>
                <w:szCs w:val="18"/>
              </w:rPr>
              <w:t>UNDAF (</w:t>
            </w:r>
            <w:r w:rsidR="009E4A19" w:rsidRPr="000B2DCA">
              <w:rPr>
                <w:rFonts w:eastAsia="Calibri"/>
                <w:b/>
                <w:bCs/>
                <w:color w:val="000000"/>
                <w:sz w:val="18"/>
                <w:szCs w:val="18"/>
              </w:rPr>
              <w:t xml:space="preserve">or equivalent) outcome involving </w:t>
            </w:r>
            <w:r w:rsidRPr="000B2DCA">
              <w:rPr>
                <w:rFonts w:eastAsia="Calibri"/>
                <w:b/>
                <w:bCs/>
                <w:color w:val="000000"/>
                <w:sz w:val="18"/>
                <w:szCs w:val="18"/>
              </w:rPr>
              <w:t>UNDP</w:t>
            </w:r>
            <w:r w:rsidR="00CD58A0" w:rsidRPr="000B2DCA">
              <w:rPr>
                <w:rFonts w:eastAsia="Calibri"/>
                <w:b/>
                <w:bCs/>
                <w:color w:val="000000"/>
                <w:sz w:val="18"/>
                <w:szCs w:val="18"/>
              </w:rPr>
              <w:t>:</w:t>
            </w:r>
            <w:r w:rsidRPr="000B2DCA">
              <w:rPr>
                <w:rFonts w:eastAsia="Calibri"/>
                <w:b/>
                <w:bCs/>
                <w:color w:val="000000"/>
                <w:sz w:val="18"/>
                <w:szCs w:val="18"/>
              </w:rPr>
              <w:t xml:space="preserve"> </w:t>
            </w:r>
            <w:r w:rsidR="00CD58A0" w:rsidRPr="000B2DCA">
              <w:rPr>
                <w:rFonts w:eastAsia="Calibri"/>
                <w:bCs/>
                <w:color w:val="000000"/>
                <w:sz w:val="18"/>
                <w:szCs w:val="18"/>
              </w:rPr>
              <w:t>No 3.</w:t>
            </w:r>
            <w:r w:rsidRPr="000B2DCA">
              <w:rPr>
                <w:rFonts w:eastAsia="Calibri"/>
                <w:b/>
                <w:bCs/>
                <w:color w:val="000000"/>
                <w:sz w:val="18"/>
                <w:szCs w:val="18"/>
              </w:rPr>
              <w:t xml:space="preserve"> </w:t>
            </w:r>
            <w:r w:rsidRPr="000B2DCA">
              <w:rPr>
                <w:rFonts w:eastAsia="Calibri"/>
                <w:iCs/>
                <w:color w:val="000000"/>
                <w:sz w:val="18"/>
                <w:szCs w:val="18"/>
              </w:rPr>
              <w:t>Enhance effective management of the natural and man-made environment focusing on improved sustainability and increased resilience of vulnerable individuals and groups</w:t>
            </w:r>
          </w:p>
        </w:tc>
      </w:tr>
      <w:tr w:rsidR="00BC54AE" w:rsidRPr="00CD58A0" w14:paraId="7BF76394" w14:textId="77777777" w:rsidTr="00443D38">
        <w:tc>
          <w:tcPr>
            <w:tcW w:w="5000" w:type="pct"/>
            <w:gridSpan w:val="6"/>
            <w:shd w:val="clear" w:color="auto" w:fill="auto"/>
            <w:tcMar>
              <w:top w:w="72" w:type="dxa"/>
              <w:left w:w="144" w:type="dxa"/>
              <w:bottom w:w="72" w:type="dxa"/>
              <w:right w:w="144" w:type="dxa"/>
            </w:tcMar>
          </w:tcPr>
          <w:p w14:paraId="7130E613" w14:textId="386B9C7B" w:rsidR="00BC54AE" w:rsidRPr="000B2DCA" w:rsidRDefault="009E4A19" w:rsidP="0009295E">
            <w:pPr>
              <w:tabs>
                <w:tab w:val="left" w:pos="900"/>
                <w:tab w:val="left" w:pos="990"/>
                <w:tab w:val="left" w:pos="8640"/>
                <w:tab w:val="left" w:pos="9180"/>
              </w:tabs>
              <w:ind w:left="31"/>
              <w:rPr>
                <w:rFonts w:eastAsia="Calibri"/>
                <w:b/>
                <w:bCs/>
                <w:color w:val="000000"/>
                <w:sz w:val="18"/>
                <w:szCs w:val="18"/>
              </w:rPr>
            </w:pPr>
            <w:r w:rsidRPr="000B2DCA">
              <w:rPr>
                <w:rFonts w:eastAsia="Calibri"/>
                <w:b/>
                <w:bCs/>
                <w:color w:val="000000"/>
                <w:sz w:val="18"/>
                <w:szCs w:val="18"/>
              </w:rPr>
              <w:t>Related strategic plan outcome</w:t>
            </w:r>
            <w:r w:rsidR="00BC54AE" w:rsidRPr="000B2DCA">
              <w:rPr>
                <w:rFonts w:eastAsia="Calibri"/>
                <w:b/>
                <w:bCs/>
                <w:color w:val="000000"/>
                <w:sz w:val="18"/>
                <w:szCs w:val="18"/>
              </w:rPr>
              <w:t>: (from strategic plan 2014-2017)</w:t>
            </w:r>
            <w:r w:rsidR="005A010D">
              <w:rPr>
                <w:rFonts w:eastAsia="Calibri"/>
                <w:b/>
                <w:bCs/>
                <w:color w:val="000000"/>
                <w:sz w:val="18"/>
                <w:szCs w:val="18"/>
              </w:rPr>
              <w:t>:</w:t>
            </w:r>
            <w:r w:rsidR="00BC54AE" w:rsidRPr="000B2DCA">
              <w:rPr>
                <w:rFonts w:eastAsia="Calibri"/>
                <w:b/>
                <w:bCs/>
                <w:color w:val="000000"/>
                <w:sz w:val="18"/>
                <w:szCs w:val="18"/>
              </w:rPr>
              <w:t xml:space="preserve"> </w:t>
            </w:r>
            <w:r w:rsidR="005A010D">
              <w:rPr>
                <w:rFonts w:eastAsia="Calibri"/>
                <w:b/>
                <w:bCs/>
                <w:color w:val="000000"/>
                <w:sz w:val="18"/>
                <w:szCs w:val="18"/>
              </w:rPr>
              <w:t>O</w:t>
            </w:r>
            <w:r w:rsidR="00BC54AE" w:rsidRPr="000B2DCA">
              <w:rPr>
                <w:rFonts w:eastAsia="Calibri"/>
                <w:b/>
                <w:bCs/>
                <w:color w:val="000000"/>
                <w:sz w:val="18"/>
                <w:szCs w:val="18"/>
              </w:rPr>
              <w:t>utcome 5</w:t>
            </w:r>
            <w:r w:rsidR="00B0715C">
              <w:rPr>
                <w:rFonts w:eastAsia="Calibri"/>
                <w:b/>
                <w:bCs/>
                <w:color w:val="000000"/>
                <w:sz w:val="18"/>
                <w:szCs w:val="18"/>
              </w:rPr>
              <w:t>,</w:t>
            </w:r>
            <w:r w:rsidR="00BC54AE" w:rsidRPr="000B2DCA">
              <w:rPr>
                <w:rFonts w:eastAsia="Calibri"/>
                <w:b/>
                <w:bCs/>
                <w:color w:val="000000"/>
                <w:sz w:val="18"/>
                <w:szCs w:val="18"/>
              </w:rPr>
              <w:t xml:space="preserve"> Disaster </w:t>
            </w:r>
            <w:r w:rsidR="00B0715C">
              <w:rPr>
                <w:rFonts w:eastAsia="Calibri"/>
                <w:b/>
                <w:bCs/>
                <w:color w:val="000000"/>
                <w:sz w:val="18"/>
                <w:szCs w:val="18"/>
              </w:rPr>
              <w:t>p</w:t>
            </w:r>
            <w:r w:rsidR="00BC54AE" w:rsidRPr="000B2DCA">
              <w:rPr>
                <w:rFonts w:eastAsia="Calibri"/>
                <w:b/>
                <w:bCs/>
                <w:color w:val="000000"/>
                <w:sz w:val="18"/>
                <w:szCs w:val="18"/>
              </w:rPr>
              <w:t>revention and risk reduction (also outcome 1</w:t>
            </w:r>
            <w:r w:rsidR="00B0715C">
              <w:rPr>
                <w:rFonts w:eastAsia="Calibri"/>
                <w:b/>
                <w:bCs/>
                <w:color w:val="000000"/>
                <w:sz w:val="18"/>
                <w:szCs w:val="18"/>
              </w:rPr>
              <w:t>,</w:t>
            </w:r>
            <w:r w:rsidR="00BC54AE" w:rsidRPr="000B2DCA">
              <w:rPr>
                <w:rFonts w:eastAsia="Calibri"/>
                <w:b/>
                <w:bCs/>
                <w:color w:val="000000"/>
                <w:sz w:val="18"/>
                <w:szCs w:val="18"/>
              </w:rPr>
              <w:t xml:space="preserve"> Inclusive and sustainable growth and development)</w:t>
            </w:r>
          </w:p>
        </w:tc>
      </w:tr>
      <w:tr w:rsidR="00BC54AE" w:rsidRPr="00CD58A0" w14:paraId="3B1EACE6" w14:textId="77777777" w:rsidTr="00443D38">
        <w:tc>
          <w:tcPr>
            <w:tcW w:w="872" w:type="pct"/>
            <w:tcMar>
              <w:top w:w="72" w:type="dxa"/>
              <w:left w:w="144" w:type="dxa"/>
              <w:bottom w:w="72" w:type="dxa"/>
              <w:right w:w="144" w:type="dxa"/>
            </w:tcMar>
          </w:tcPr>
          <w:p w14:paraId="22BA585A" w14:textId="3A6DC1B4" w:rsidR="00062F4B" w:rsidRDefault="00BC54AE" w:rsidP="0009295E">
            <w:pPr>
              <w:tabs>
                <w:tab w:val="left" w:pos="900"/>
                <w:tab w:val="left" w:pos="990"/>
                <w:tab w:val="left" w:pos="8640"/>
                <w:tab w:val="left" w:pos="9180"/>
              </w:tabs>
              <w:ind w:left="31"/>
              <w:rPr>
                <w:rFonts w:eastAsia="Calibri"/>
                <w:iCs/>
                <w:sz w:val="18"/>
                <w:szCs w:val="18"/>
              </w:rPr>
            </w:pPr>
            <w:r w:rsidRPr="000B2DCA">
              <w:rPr>
                <w:rFonts w:eastAsia="Calibri"/>
                <w:b/>
                <w:iCs/>
                <w:sz w:val="18"/>
                <w:szCs w:val="18"/>
              </w:rPr>
              <w:t>Environmental Performance Index</w:t>
            </w:r>
            <w:r w:rsidR="008908AD" w:rsidRPr="000B2DCA">
              <w:rPr>
                <w:rFonts w:eastAsia="Calibri"/>
                <w:b/>
                <w:iCs/>
                <w:sz w:val="18"/>
                <w:szCs w:val="18"/>
              </w:rPr>
              <w:t xml:space="preserve"> </w:t>
            </w:r>
            <w:r w:rsidR="00062F4B">
              <w:rPr>
                <w:rFonts w:eastAsia="Calibri"/>
                <w:b/>
                <w:iCs/>
                <w:sz w:val="18"/>
                <w:szCs w:val="18"/>
              </w:rPr>
              <w:t xml:space="preserve">(EPI) </w:t>
            </w:r>
            <w:r w:rsidRPr="000B2DCA">
              <w:rPr>
                <w:rFonts w:eastAsia="Calibri"/>
                <w:iCs/>
                <w:sz w:val="18"/>
                <w:szCs w:val="18"/>
              </w:rPr>
              <w:t xml:space="preserve">Baseline </w:t>
            </w:r>
            <w:r w:rsidR="00403CF3">
              <w:rPr>
                <w:rFonts w:eastAsia="Calibri"/>
                <w:iCs/>
                <w:sz w:val="18"/>
                <w:szCs w:val="18"/>
              </w:rPr>
              <w:t>(</w:t>
            </w:r>
            <w:r w:rsidRPr="000B2DCA">
              <w:rPr>
                <w:rFonts w:eastAsia="Calibri"/>
                <w:iCs/>
                <w:sz w:val="18"/>
                <w:szCs w:val="18"/>
              </w:rPr>
              <w:t>2016</w:t>
            </w:r>
            <w:r w:rsidR="00403CF3">
              <w:rPr>
                <w:rFonts w:eastAsia="Calibri"/>
                <w:iCs/>
                <w:sz w:val="18"/>
                <w:szCs w:val="18"/>
              </w:rPr>
              <w:t>)</w:t>
            </w:r>
            <w:r w:rsidRPr="000B2DCA">
              <w:rPr>
                <w:rFonts w:eastAsia="Calibri"/>
                <w:iCs/>
                <w:sz w:val="18"/>
                <w:szCs w:val="18"/>
              </w:rPr>
              <w:t>: 41.77</w:t>
            </w:r>
          </w:p>
          <w:p w14:paraId="430DD3EF" w14:textId="49E4A975" w:rsidR="00BC54AE" w:rsidRPr="000B2DCA" w:rsidRDefault="00BC54AE" w:rsidP="0009295E">
            <w:pPr>
              <w:tabs>
                <w:tab w:val="left" w:pos="900"/>
                <w:tab w:val="left" w:pos="990"/>
                <w:tab w:val="left" w:pos="8640"/>
                <w:tab w:val="left" w:pos="9180"/>
              </w:tabs>
              <w:ind w:left="31"/>
              <w:rPr>
                <w:rFonts w:eastAsia="Calibri"/>
                <w:sz w:val="18"/>
                <w:szCs w:val="18"/>
              </w:rPr>
            </w:pPr>
            <w:r w:rsidRPr="000B2DCA">
              <w:rPr>
                <w:rFonts w:eastAsia="Calibri"/>
                <w:iCs/>
                <w:sz w:val="18"/>
                <w:szCs w:val="18"/>
              </w:rPr>
              <w:t xml:space="preserve">Target </w:t>
            </w:r>
            <w:r w:rsidR="00403CF3">
              <w:rPr>
                <w:rFonts w:eastAsia="Calibri"/>
                <w:iCs/>
                <w:sz w:val="18"/>
                <w:szCs w:val="18"/>
              </w:rPr>
              <w:t>(</w:t>
            </w:r>
            <w:r w:rsidRPr="000B2DCA">
              <w:rPr>
                <w:rFonts w:eastAsia="Calibri"/>
                <w:iCs/>
                <w:sz w:val="18"/>
                <w:szCs w:val="18"/>
              </w:rPr>
              <w:t>2020</w:t>
            </w:r>
            <w:r w:rsidR="00403CF3">
              <w:rPr>
                <w:rFonts w:eastAsia="Calibri"/>
                <w:iCs/>
                <w:sz w:val="18"/>
                <w:szCs w:val="18"/>
              </w:rPr>
              <w:t>)</w:t>
            </w:r>
            <w:r w:rsidRPr="000B2DCA">
              <w:rPr>
                <w:rFonts w:eastAsia="Calibri"/>
                <w:iCs/>
                <w:sz w:val="18"/>
                <w:szCs w:val="18"/>
              </w:rPr>
              <w:t>:</w:t>
            </w:r>
            <w:r w:rsidR="00DB7920" w:rsidRPr="000B2DCA">
              <w:rPr>
                <w:rFonts w:eastAsia="Calibri"/>
                <w:iCs/>
                <w:sz w:val="18"/>
                <w:szCs w:val="18"/>
              </w:rPr>
              <w:t xml:space="preserve"> </w:t>
            </w:r>
            <w:r w:rsidRPr="000B2DCA">
              <w:rPr>
                <w:rFonts w:eastAsia="Calibri"/>
                <w:iCs/>
                <w:sz w:val="18"/>
                <w:szCs w:val="18"/>
              </w:rPr>
              <w:t>43.00; Index components: health impacts, air quality, water and sanitation, water resources, agriculture, forests, fisheries, biodiversity and habitat, climate and energy</w:t>
            </w:r>
          </w:p>
          <w:p w14:paraId="04884155" w14:textId="465C40B2" w:rsidR="00BC54AE" w:rsidRPr="000B2DCA" w:rsidRDefault="00BC54AE" w:rsidP="0009295E">
            <w:pPr>
              <w:tabs>
                <w:tab w:val="left" w:pos="900"/>
                <w:tab w:val="left" w:pos="990"/>
                <w:tab w:val="left" w:pos="8640"/>
                <w:tab w:val="left" w:pos="9180"/>
              </w:tabs>
              <w:ind w:left="31"/>
              <w:rPr>
                <w:rFonts w:eastAsia="Calibri"/>
                <w:iCs/>
                <w:sz w:val="18"/>
                <w:szCs w:val="18"/>
              </w:rPr>
            </w:pPr>
            <w:r w:rsidRPr="000B2DCA">
              <w:rPr>
                <w:rFonts w:eastAsia="Calibri"/>
                <w:b/>
                <w:iCs/>
                <w:sz w:val="18"/>
                <w:szCs w:val="18"/>
              </w:rPr>
              <w:t xml:space="preserve">World Risk Index – </w:t>
            </w:r>
            <w:r w:rsidR="00062F4B">
              <w:rPr>
                <w:rFonts w:eastAsia="Calibri"/>
                <w:b/>
                <w:iCs/>
                <w:sz w:val="18"/>
                <w:szCs w:val="18"/>
              </w:rPr>
              <w:t>l</w:t>
            </w:r>
            <w:r w:rsidRPr="000B2DCA">
              <w:rPr>
                <w:rFonts w:eastAsia="Calibri"/>
                <w:b/>
                <w:iCs/>
                <w:sz w:val="18"/>
                <w:szCs w:val="18"/>
              </w:rPr>
              <w:t xml:space="preserve">ack of </w:t>
            </w:r>
            <w:r w:rsidR="00062F4B">
              <w:rPr>
                <w:rFonts w:eastAsia="Calibri"/>
                <w:b/>
                <w:iCs/>
                <w:sz w:val="18"/>
                <w:szCs w:val="18"/>
              </w:rPr>
              <w:t>a</w:t>
            </w:r>
            <w:r w:rsidRPr="000B2DCA">
              <w:rPr>
                <w:rFonts w:eastAsia="Calibri"/>
                <w:b/>
                <w:iCs/>
                <w:sz w:val="18"/>
                <w:szCs w:val="18"/>
              </w:rPr>
              <w:t>daptive capacities</w:t>
            </w:r>
            <w:r w:rsidRPr="000B2DCA">
              <w:rPr>
                <w:rFonts w:eastAsia="Calibri"/>
                <w:b/>
                <w:iCs/>
                <w:sz w:val="18"/>
                <w:szCs w:val="18"/>
                <w:vertAlign w:val="superscript"/>
              </w:rPr>
              <w:footnoteReference w:id="36"/>
            </w:r>
            <w:r w:rsidRPr="000B2DCA">
              <w:rPr>
                <w:rFonts w:eastAsia="Calibri"/>
                <w:b/>
                <w:iCs/>
                <w:sz w:val="18"/>
                <w:szCs w:val="18"/>
              </w:rPr>
              <w:t>, Bangladesh</w:t>
            </w:r>
            <w:r w:rsidR="00062F4B" w:rsidRPr="000B2DCA">
              <w:rPr>
                <w:rFonts w:eastAsia="Calibri"/>
                <w:b/>
                <w:iCs/>
                <w:sz w:val="18"/>
                <w:szCs w:val="18"/>
              </w:rPr>
              <w:t>.</w:t>
            </w:r>
            <w:r w:rsidRPr="000B2DCA">
              <w:rPr>
                <w:rFonts w:eastAsia="Calibri"/>
                <w:iCs/>
                <w:sz w:val="18"/>
                <w:szCs w:val="18"/>
              </w:rPr>
              <w:t xml:space="preserve"> Baseline </w:t>
            </w:r>
            <w:r w:rsidR="00062F4B">
              <w:rPr>
                <w:rFonts w:eastAsia="Calibri"/>
                <w:iCs/>
                <w:sz w:val="18"/>
                <w:szCs w:val="18"/>
              </w:rPr>
              <w:t>(</w:t>
            </w:r>
            <w:r w:rsidRPr="000B2DCA">
              <w:rPr>
                <w:rFonts w:eastAsia="Calibri"/>
                <w:iCs/>
                <w:sz w:val="18"/>
                <w:szCs w:val="18"/>
              </w:rPr>
              <w:t>2015</w:t>
            </w:r>
            <w:r w:rsidR="00062F4B">
              <w:rPr>
                <w:rFonts w:eastAsia="Calibri"/>
                <w:iCs/>
                <w:sz w:val="18"/>
                <w:szCs w:val="18"/>
              </w:rPr>
              <w:t>)</w:t>
            </w:r>
            <w:r w:rsidRPr="000B2DCA">
              <w:rPr>
                <w:rFonts w:eastAsia="Calibri"/>
                <w:iCs/>
                <w:sz w:val="18"/>
                <w:szCs w:val="18"/>
              </w:rPr>
              <w:t xml:space="preserve">:56.69 %, </w:t>
            </w:r>
            <w:r w:rsidR="00062F4B">
              <w:rPr>
                <w:rFonts w:eastAsia="Calibri"/>
                <w:iCs/>
                <w:sz w:val="18"/>
                <w:szCs w:val="18"/>
              </w:rPr>
              <w:t>t</w:t>
            </w:r>
            <w:r w:rsidRPr="000B2DCA">
              <w:rPr>
                <w:rFonts w:eastAsia="Calibri"/>
                <w:iCs/>
                <w:sz w:val="18"/>
                <w:szCs w:val="18"/>
              </w:rPr>
              <w:t xml:space="preserve">arget </w:t>
            </w:r>
            <w:r w:rsidR="00062F4B">
              <w:rPr>
                <w:rFonts w:eastAsia="Calibri"/>
                <w:iCs/>
                <w:sz w:val="18"/>
                <w:szCs w:val="18"/>
              </w:rPr>
              <w:t>(</w:t>
            </w:r>
            <w:r w:rsidRPr="000B2DCA">
              <w:rPr>
                <w:rFonts w:eastAsia="Calibri"/>
                <w:iCs/>
                <w:sz w:val="18"/>
                <w:szCs w:val="18"/>
              </w:rPr>
              <w:t>2020</w:t>
            </w:r>
            <w:r w:rsidR="00062F4B">
              <w:rPr>
                <w:rFonts w:eastAsia="Calibri"/>
                <w:iCs/>
                <w:sz w:val="18"/>
                <w:szCs w:val="18"/>
              </w:rPr>
              <w:t>)</w:t>
            </w:r>
            <w:r w:rsidRPr="000B2DCA">
              <w:rPr>
                <w:rFonts w:eastAsia="Calibri"/>
                <w:iCs/>
                <w:sz w:val="18"/>
                <w:szCs w:val="18"/>
              </w:rPr>
              <w:t xml:space="preserve">: 53.00% </w:t>
            </w:r>
            <w:r w:rsidR="008D1BBA" w:rsidRPr="000B2DCA">
              <w:rPr>
                <w:rFonts w:eastAsia="Calibri"/>
                <w:iCs/>
                <w:sz w:val="18"/>
                <w:szCs w:val="18"/>
              </w:rPr>
              <w:br/>
            </w:r>
          </w:p>
          <w:p w14:paraId="7A3F149F" w14:textId="2D0F24B0" w:rsidR="00BC54AE" w:rsidRPr="000B2DCA" w:rsidRDefault="00BC54AE" w:rsidP="0009295E">
            <w:pPr>
              <w:tabs>
                <w:tab w:val="left" w:pos="900"/>
                <w:tab w:val="left" w:pos="990"/>
                <w:tab w:val="left" w:pos="8640"/>
                <w:tab w:val="left" w:pos="9180"/>
              </w:tabs>
              <w:ind w:left="31"/>
              <w:rPr>
                <w:rFonts w:eastAsia="Calibri"/>
                <w:iCs/>
                <w:sz w:val="18"/>
                <w:szCs w:val="18"/>
              </w:rPr>
            </w:pPr>
            <w:r w:rsidRPr="000B2DCA">
              <w:rPr>
                <w:rFonts w:eastAsia="Calibri"/>
                <w:b/>
                <w:iCs/>
                <w:sz w:val="18"/>
                <w:szCs w:val="18"/>
              </w:rPr>
              <w:t>Economic loss from natural hazards (e.g.</w:t>
            </w:r>
            <w:r w:rsidR="00062F4B">
              <w:rPr>
                <w:rFonts w:eastAsia="Calibri"/>
                <w:b/>
                <w:iCs/>
                <w:sz w:val="18"/>
                <w:szCs w:val="18"/>
              </w:rPr>
              <w:t>,</w:t>
            </w:r>
            <w:r w:rsidRPr="000B2DCA">
              <w:rPr>
                <w:rFonts w:eastAsia="Calibri"/>
                <w:b/>
                <w:iCs/>
                <w:sz w:val="18"/>
                <w:szCs w:val="18"/>
              </w:rPr>
              <w:t xml:space="preserve"> geo-physical and climate-induced hazards) as a proportion of </w:t>
            </w:r>
            <w:r w:rsidR="00062F4B">
              <w:rPr>
                <w:rFonts w:eastAsia="Calibri"/>
                <w:b/>
                <w:iCs/>
                <w:sz w:val="18"/>
                <w:szCs w:val="18"/>
              </w:rPr>
              <w:t>g</w:t>
            </w:r>
            <w:r w:rsidRPr="000B2DCA">
              <w:rPr>
                <w:rFonts w:eastAsia="Calibri"/>
                <w:b/>
                <w:iCs/>
                <w:sz w:val="18"/>
                <w:szCs w:val="18"/>
              </w:rPr>
              <w:t xml:space="preserve">ross </w:t>
            </w:r>
            <w:r w:rsidR="00062F4B">
              <w:rPr>
                <w:rFonts w:eastAsia="Calibri"/>
                <w:b/>
                <w:iCs/>
                <w:sz w:val="18"/>
                <w:szCs w:val="18"/>
              </w:rPr>
              <w:lastRenderedPageBreak/>
              <w:t>d</w:t>
            </w:r>
            <w:r w:rsidRPr="000B2DCA">
              <w:rPr>
                <w:rFonts w:eastAsia="Calibri"/>
                <w:b/>
                <w:iCs/>
                <w:sz w:val="18"/>
                <w:szCs w:val="18"/>
              </w:rPr>
              <w:t xml:space="preserve">omestic </w:t>
            </w:r>
            <w:r w:rsidR="00062F4B">
              <w:rPr>
                <w:rFonts w:eastAsia="Calibri"/>
                <w:b/>
                <w:iCs/>
                <w:sz w:val="18"/>
                <w:szCs w:val="18"/>
              </w:rPr>
              <w:t>p</w:t>
            </w:r>
            <w:r w:rsidRPr="000B2DCA">
              <w:rPr>
                <w:rFonts w:eastAsia="Calibri"/>
                <w:b/>
                <w:iCs/>
                <w:sz w:val="18"/>
                <w:szCs w:val="18"/>
              </w:rPr>
              <w:t>roduct</w:t>
            </w:r>
            <w:r w:rsidR="00062F4B">
              <w:rPr>
                <w:rFonts w:eastAsia="Calibri"/>
                <w:b/>
                <w:iCs/>
                <w:sz w:val="18"/>
                <w:szCs w:val="18"/>
              </w:rPr>
              <w:t>.</w:t>
            </w:r>
            <w:r w:rsidR="008908AD" w:rsidRPr="000B2DCA">
              <w:rPr>
                <w:rFonts w:eastAsia="Calibri"/>
                <w:b/>
                <w:iCs/>
                <w:sz w:val="18"/>
                <w:szCs w:val="18"/>
              </w:rPr>
              <w:t xml:space="preserve"> </w:t>
            </w:r>
            <w:r w:rsidRPr="000B2DCA">
              <w:rPr>
                <w:rFonts w:eastAsia="Calibri"/>
                <w:iCs/>
                <w:sz w:val="18"/>
                <w:szCs w:val="18"/>
              </w:rPr>
              <w:t xml:space="preserve">Baseline </w:t>
            </w:r>
            <w:r w:rsidR="00062F4B">
              <w:rPr>
                <w:rFonts w:eastAsia="Calibri"/>
                <w:iCs/>
                <w:sz w:val="18"/>
                <w:szCs w:val="18"/>
              </w:rPr>
              <w:t>(</w:t>
            </w:r>
            <w:r w:rsidRPr="000B2DCA">
              <w:rPr>
                <w:rFonts w:eastAsia="Calibri"/>
                <w:iCs/>
                <w:sz w:val="18"/>
                <w:szCs w:val="18"/>
              </w:rPr>
              <w:t>2012</w:t>
            </w:r>
            <w:r w:rsidR="00062F4B">
              <w:rPr>
                <w:rFonts w:eastAsia="Calibri"/>
                <w:iCs/>
                <w:sz w:val="18"/>
                <w:szCs w:val="18"/>
              </w:rPr>
              <w:t xml:space="preserve"> –</w:t>
            </w:r>
            <w:r w:rsidRPr="000B2DCA">
              <w:rPr>
                <w:rFonts w:eastAsia="Calibri"/>
                <w:iCs/>
                <w:sz w:val="18"/>
                <w:szCs w:val="18"/>
              </w:rPr>
              <w:t xml:space="preserve"> average 1990-2008): 1.8% per annum, </w:t>
            </w:r>
            <w:r w:rsidR="00A77BFD">
              <w:rPr>
                <w:rFonts w:eastAsia="Calibri"/>
                <w:iCs/>
                <w:sz w:val="18"/>
                <w:szCs w:val="18"/>
              </w:rPr>
              <w:t>t</w:t>
            </w:r>
            <w:r w:rsidRPr="000B2DCA">
              <w:rPr>
                <w:rFonts w:eastAsia="Calibri"/>
                <w:iCs/>
                <w:sz w:val="18"/>
                <w:szCs w:val="18"/>
              </w:rPr>
              <w:t xml:space="preserve">arget </w:t>
            </w:r>
            <w:r w:rsidR="00A77BFD">
              <w:rPr>
                <w:rFonts w:eastAsia="Calibri"/>
                <w:iCs/>
                <w:sz w:val="18"/>
                <w:szCs w:val="18"/>
              </w:rPr>
              <w:t>(</w:t>
            </w:r>
            <w:r w:rsidRPr="000B2DCA">
              <w:rPr>
                <w:rFonts w:eastAsia="Calibri"/>
                <w:iCs/>
                <w:sz w:val="18"/>
                <w:szCs w:val="18"/>
              </w:rPr>
              <w:t>2020</w:t>
            </w:r>
            <w:r w:rsidR="00A77BFD">
              <w:rPr>
                <w:rFonts w:eastAsia="Calibri"/>
                <w:iCs/>
                <w:sz w:val="18"/>
                <w:szCs w:val="18"/>
              </w:rPr>
              <w:t>)</w:t>
            </w:r>
            <w:r w:rsidRPr="000B2DCA">
              <w:rPr>
                <w:rFonts w:eastAsia="Calibri"/>
                <w:iCs/>
                <w:sz w:val="18"/>
                <w:szCs w:val="18"/>
              </w:rPr>
              <w:t>: 1.2%</w:t>
            </w:r>
            <w:r w:rsidR="008908AD" w:rsidRPr="000B2DCA">
              <w:rPr>
                <w:rFonts w:eastAsia="Calibri"/>
                <w:iCs/>
                <w:sz w:val="18"/>
                <w:szCs w:val="18"/>
              </w:rPr>
              <w:t xml:space="preserve"> </w:t>
            </w:r>
            <w:r w:rsidRPr="000B2DCA">
              <w:rPr>
                <w:rFonts w:eastAsia="Calibri"/>
                <w:iCs/>
                <w:sz w:val="18"/>
                <w:szCs w:val="18"/>
              </w:rPr>
              <w:t xml:space="preserve"> (IRRF 5.2)</w:t>
            </w:r>
          </w:p>
          <w:p w14:paraId="6107012F" w14:textId="77777777" w:rsidR="008908AD" w:rsidRPr="000B2DCA" w:rsidRDefault="008908AD" w:rsidP="0009295E">
            <w:pPr>
              <w:tabs>
                <w:tab w:val="left" w:pos="900"/>
                <w:tab w:val="left" w:pos="990"/>
                <w:tab w:val="left" w:pos="8640"/>
                <w:tab w:val="left" w:pos="9180"/>
              </w:tabs>
              <w:ind w:left="31"/>
              <w:rPr>
                <w:rFonts w:eastAsia="Calibri"/>
                <w:iCs/>
                <w:sz w:val="18"/>
                <w:szCs w:val="18"/>
              </w:rPr>
            </w:pPr>
          </w:p>
          <w:p w14:paraId="01C5D9EC" w14:textId="6CCEA671" w:rsidR="00BC54AE" w:rsidRPr="000B2DCA" w:rsidRDefault="00A77BFD" w:rsidP="0009295E">
            <w:pPr>
              <w:tabs>
                <w:tab w:val="left" w:pos="900"/>
                <w:tab w:val="left" w:pos="990"/>
                <w:tab w:val="left" w:pos="8640"/>
                <w:tab w:val="left" w:pos="9180"/>
              </w:tabs>
              <w:ind w:left="31"/>
              <w:rPr>
                <w:rFonts w:eastAsia="Calibri"/>
                <w:iCs/>
                <w:sz w:val="18"/>
                <w:szCs w:val="18"/>
              </w:rPr>
            </w:pPr>
            <w:r>
              <w:rPr>
                <w:rFonts w:eastAsia="Calibri"/>
                <w:iCs/>
                <w:sz w:val="18"/>
                <w:szCs w:val="18"/>
              </w:rPr>
              <w:t>Percentage</w:t>
            </w:r>
            <w:r w:rsidRPr="000B2DCA">
              <w:rPr>
                <w:rFonts w:eastAsia="Calibri"/>
                <w:b/>
                <w:iCs/>
                <w:sz w:val="18"/>
                <w:szCs w:val="18"/>
              </w:rPr>
              <w:t xml:space="preserve"> </w:t>
            </w:r>
            <w:r w:rsidR="00BC54AE" w:rsidRPr="000B2DCA">
              <w:rPr>
                <w:rFonts w:eastAsia="Calibri"/>
                <w:b/>
                <w:iCs/>
                <w:sz w:val="18"/>
                <w:szCs w:val="18"/>
              </w:rPr>
              <w:t>of public budget expenditures for climate and disaster resilience purposes</w:t>
            </w:r>
            <w:r w:rsidR="00723D04">
              <w:rPr>
                <w:rFonts w:eastAsia="Calibri"/>
                <w:iCs/>
                <w:sz w:val="18"/>
                <w:szCs w:val="18"/>
              </w:rPr>
              <w:t>.</w:t>
            </w:r>
            <w:r w:rsidR="00BC54AE" w:rsidRPr="000B2DCA">
              <w:rPr>
                <w:rFonts w:eastAsia="Calibri"/>
                <w:iCs/>
                <w:sz w:val="18"/>
                <w:szCs w:val="18"/>
              </w:rPr>
              <w:t xml:space="preserve"> Baseline</w:t>
            </w:r>
            <w:r w:rsidR="00723D04">
              <w:rPr>
                <w:rFonts w:eastAsia="Calibri"/>
                <w:iCs/>
                <w:sz w:val="18"/>
                <w:szCs w:val="18"/>
              </w:rPr>
              <w:t> (</w:t>
            </w:r>
            <w:r w:rsidR="00BC54AE" w:rsidRPr="000B2DCA">
              <w:rPr>
                <w:rFonts w:eastAsia="Calibri"/>
                <w:iCs/>
                <w:sz w:val="18"/>
                <w:szCs w:val="18"/>
              </w:rPr>
              <w:t>2014</w:t>
            </w:r>
            <w:r w:rsidR="00723D04">
              <w:rPr>
                <w:rFonts w:eastAsia="Calibri"/>
                <w:iCs/>
                <w:sz w:val="18"/>
                <w:szCs w:val="18"/>
              </w:rPr>
              <w:t>)</w:t>
            </w:r>
            <w:r w:rsidR="00BC54AE" w:rsidRPr="000B2DCA">
              <w:rPr>
                <w:rFonts w:eastAsia="Calibri"/>
                <w:iCs/>
                <w:sz w:val="18"/>
                <w:szCs w:val="18"/>
              </w:rPr>
              <w:t>: 6.5%; Target</w:t>
            </w:r>
            <w:r w:rsidR="00723D04">
              <w:rPr>
                <w:rFonts w:eastAsia="Calibri"/>
                <w:iCs/>
                <w:sz w:val="18"/>
                <w:szCs w:val="18"/>
              </w:rPr>
              <w:t> (</w:t>
            </w:r>
            <w:r w:rsidR="00BC54AE" w:rsidRPr="000B2DCA">
              <w:rPr>
                <w:rFonts w:eastAsia="Calibri"/>
                <w:iCs/>
                <w:sz w:val="18"/>
                <w:szCs w:val="18"/>
              </w:rPr>
              <w:t>2020</w:t>
            </w:r>
            <w:r w:rsidR="003F1A93">
              <w:rPr>
                <w:rFonts w:eastAsia="Calibri"/>
                <w:iCs/>
                <w:sz w:val="18"/>
                <w:szCs w:val="18"/>
              </w:rPr>
              <w:t>)</w:t>
            </w:r>
            <w:r w:rsidR="00BC54AE" w:rsidRPr="000B2DCA">
              <w:rPr>
                <w:rFonts w:eastAsia="Calibri"/>
                <w:iCs/>
                <w:sz w:val="18"/>
                <w:szCs w:val="18"/>
              </w:rPr>
              <w:t xml:space="preserve">:10%; </w:t>
            </w:r>
            <w:r w:rsidR="008908AD" w:rsidRPr="000B2DCA">
              <w:rPr>
                <w:rFonts w:eastAsia="Calibri"/>
                <w:iCs/>
                <w:sz w:val="18"/>
                <w:szCs w:val="18"/>
              </w:rPr>
              <w:br/>
            </w:r>
            <w:r w:rsidR="008908AD" w:rsidRPr="000B2DCA">
              <w:rPr>
                <w:rFonts w:eastAsia="Calibri"/>
                <w:iCs/>
                <w:sz w:val="18"/>
                <w:szCs w:val="18"/>
              </w:rPr>
              <w:br/>
            </w:r>
            <w:r w:rsidR="00BC54AE" w:rsidRPr="000B2DCA">
              <w:rPr>
                <w:rFonts w:eastAsia="Calibri"/>
                <w:b/>
                <w:iCs/>
                <w:sz w:val="18"/>
                <w:szCs w:val="18"/>
              </w:rPr>
              <w:t>Number of rural communities with disaster resilient habitats and community assets</w:t>
            </w:r>
            <w:r w:rsidR="00BC54AE" w:rsidRPr="000B2DCA">
              <w:rPr>
                <w:rFonts w:eastAsia="Calibri"/>
                <w:iCs/>
                <w:sz w:val="18"/>
                <w:szCs w:val="18"/>
              </w:rPr>
              <w:t xml:space="preserve">, Baseline </w:t>
            </w:r>
            <w:r w:rsidR="003F1A93">
              <w:rPr>
                <w:rFonts w:eastAsia="Calibri"/>
                <w:iCs/>
                <w:sz w:val="18"/>
                <w:szCs w:val="18"/>
              </w:rPr>
              <w:t>(</w:t>
            </w:r>
            <w:r w:rsidR="00BC54AE" w:rsidRPr="000B2DCA">
              <w:rPr>
                <w:rFonts w:eastAsia="Calibri"/>
                <w:iCs/>
                <w:sz w:val="18"/>
                <w:szCs w:val="18"/>
              </w:rPr>
              <w:t>2013</w:t>
            </w:r>
            <w:r w:rsidR="003F1A93">
              <w:rPr>
                <w:rFonts w:eastAsia="Calibri"/>
                <w:iCs/>
                <w:sz w:val="18"/>
                <w:szCs w:val="18"/>
              </w:rPr>
              <w:t>)</w:t>
            </w:r>
            <w:r w:rsidR="00BC54AE" w:rsidRPr="000B2DCA">
              <w:rPr>
                <w:rFonts w:eastAsia="Calibri"/>
                <w:iCs/>
                <w:sz w:val="18"/>
                <w:szCs w:val="18"/>
              </w:rPr>
              <w:t xml:space="preserve">: 18.000, Target </w:t>
            </w:r>
            <w:r w:rsidR="003F1A93">
              <w:rPr>
                <w:rFonts w:eastAsia="Calibri"/>
                <w:iCs/>
                <w:sz w:val="18"/>
                <w:szCs w:val="18"/>
              </w:rPr>
              <w:t>(</w:t>
            </w:r>
            <w:r w:rsidR="00BC54AE" w:rsidRPr="000B2DCA">
              <w:rPr>
                <w:rFonts w:eastAsia="Calibri"/>
                <w:iCs/>
                <w:sz w:val="18"/>
                <w:szCs w:val="18"/>
              </w:rPr>
              <w:t>2020</w:t>
            </w:r>
            <w:r w:rsidR="003F1A93">
              <w:rPr>
                <w:rFonts w:eastAsia="Calibri"/>
                <w:iCs/>
                <w:sz w:val="18"/>
                <w:szCs w:val="18"/>
              </w:rPr>
              <w:t>)</w:t>
            </w:r>
            <w:r w:rsidR="00BC54AE" w:rsidRPr="000B2DCA">
              <w:rPr>
                <w:rFonts w:eastAsia="Calibri"/>
                <w:iCs/>
                <w:sz w:val="18"/>
                <w:szCs w:val="18"/>
              </w:rPr>
              <w:t>: 25.000</w:t>
            </w:r>
            <w:r w:rsidR="008D1BBA" w:rsidRPr="000B2DCA">
              <w:rPr>
                <w:rFonts w:eastAsia="Calibri"/>
                <w:iCs/>
                <w:sz w:val="18"/>
                <w:szCs w:val="18"/>
              </w:rPr>
              <w:t>u</w:t>
            </w:r>
            <w:r w:rsidR="00BC54AE" w:rsidRPr="000B2DCA">
              <w:rPr>
                <w:rFonts w:eastAsia="Calibri"/>
                <w:iCs/>
                <w:sz w:val="18"/>
                <w:szCs w:val="18"/>
              </w:rPr>
              <w:t xml:space="preserve"> (</w:t>
            </w:r>
            <w:r w:rsidR="00BC54AE" w:rsidRPr="000B2DCA">
              <w:rPr>
                <w:rFonts w:eastAsia="Calibri"/>
                <w:sz w:val="18"/>
                <w:szCs w:val="18"/>
              </w:rPr>
              <w:t>7FYP/DRF72)</w:t>
            </w:r>
          </w:p>
        </w:tc>
        <w:tc>
          <w:tcPr>
            <w:tcW w:w="667" w:type="pct"/>
          </w:tcPr>
          <w:p w14:paraId="1E45D7AD" w14:textId="77777777" w:rsidR="008908AD" w:rsidRPr="000B2DCA" w:rsidRDefault="00BC54AE" w:rsidP="0009295E">
            <w:pPr>
              <w:tabs>
                <w:tab w:val="left" w:pos="900"/>
                <w:tab w:val="left" w:pos="990"/>
                <w:tab w:val="left" w:pos="8640"/>
                <w:tab w:val="left" w:pos="9180"/>
              </w:tabs>
              <w:ind w:left="31"/>
              <w:rPr>
                <w:rFonts w:eastAsia="Calibri"/>
                <w:b/>
                <w:iCs/>
                <w:sz w:val="18"/>
                <w:szCs w:val="18"/>
              </w:rPr>
            </w:pPr>
            <w:r w:rsidRPr="000B2DCA">
              <w:rPr>
                <w:rFonts w:eastAsia="Calibri"/>
                <w:b/>
                <w:iCs/>
                <w:sz w:val="18"/>
                <w:szCs w:val="18"/>
              </w:rPr>
              <w:lastRenderedPageBreak/>
              <w:t>Source</w:t>
            </w:r>
            <w:r w:rsidRPr="000B2DCA">
              <w:rPr>
                <w:rFonts w:eastAsia="Calibri"/>
                <w:iCs/>
                <w:sz w:val="18"/>
                <w:szCs w:val="18"/>
              </w:rPr>
              <w:t>: EPI Global Metrics for the Environment</w:t>
            </w:r>
            <w:r w:rsidR="008908AD" w:rsidRPr="000B2DCA">
              <w:rPr>
                <w:rFonts w:eastAsia="Calibri"/>
                <w:iCs/>
                <w:sz w:val="18"/>
                <w:szCs w:val="18"/>
              </w:rPr>
              <w:br/>
            </w:r>
            <w:r w:rsidRPr="000B2DCA">
              <w:rPr>
                <w:rFonts w:eastAsia="Calibri"/>
                <w:b/>
                <w:iCs/>
                <w:sz w:val="18"/>
                <w:szCs w:val="18"/>
              </w:rPr>
              <w:t>Frequency:</w:t>
            </w:r>
            <w:r w:rsidRPr="000B2DCA">
              <w:rPr>
                <w:rFonts w:eastAsia="Calibri"/>
                <w:iCs/>
                <w:sz w:val="18"/>
                <w:szCs w:val="18"/>
              </w:rPr>
              <w:t xml:space="preserve"> annual</w:t>
            </w:r>
            <w:r w:rsidR="008908AD" w:rsidRPr="000B2DCA">
              <w:rPr>
                <w:rFonts w:eastAsia="Calibri"/>
                <w:iCs/>
                <w:sz w:val="18"/>
                <w:szCs w:val="18"/>
              </w:rPr>
              <w:br/>
            </w:r>
            <w:r w:rsidRPr="000B2DCA">
              <w:rPr>
                <w:rFonts w:eastAsia="Calibri"/>
                <w:b/>
                <w:iCs/>
                <w:sz w:val="18"/>
                <w:szCs w:val="18"/>
              </w:rPr>
              <w:t xml:space="preserve">Responsibility: </w:t>
            </w:r>
            <w:r w:rsidRPr="000B2DCA">
              <w:rPr>
                <w:rFonts w:eastAsia="Calibri"/>
                <w:iCs/>
                <w:sz w:val="18"/>
                <w:szCs w:val="18"/>
              </w:rPr>
              <w:t>Yale Universit</w:t>
            </w:r>
            <w:r w:rsidR="008908AD" w:rsidRPr="000B2DCA">
              <w:rPr>
                <w:rFonts w:eastAsia="Calibri"/>
                <w:b/>
                <w:iCs/>
                <w:sz w:val="18"/>
                <w:szCs w:val="18"/>
              </w:rPr>
              <w:t>y</w:t>
            </w:r>
            <w:r w:rsidR="008908AD" w:rsidRPr="000B2DCA">
              <w:rPr>
                <w:rFonts w:eastAsia="Calibri"/>
                <w:b/>
                <w:iCs/>
                <w:sz w:val="18"/>
                <w:szCs w:val="18"/>
              </w:rPr>
              <w:br/>
            </w:r>
            <w:r w:rsidR="008908AD" w:rsidRPr="000B2DCA">
              <w:rPr>
                <w:rFonts w:eastAsia="Calibri"/>
                <w:b/>
                <w:iCs/>
                <w:sz w:val="18"/>
                <w:szCs w:val="18"/>
              </w:rPr>
              <w:br/>
            </w:r>
            <w:r w:rsidR="008908AD" w:rsidRPr="000B2DCA">
              <w:rPr>
                <w:rFonts w:eastAsia="Calibri"/>
                <w:b/>
                <w:iCs/>
                <w:sz w:val="18"/>
                <w:szCs w:val="18"/>
              </w:rPr>
              <w:br/>
            </w:r>
            <w:r w:rsidR="008908AD" w:rsidRPr="000B2DCA">
              <w:rPr>
                <w:rFonts w:eastAsia="Calibri"/>
                <w:b/>
                <w:iCs/>
                <w:sz w:val="18"/>
                <w:szCs w:val="18"/>
              </w:rPr>
              <w:br/>
            </w:r>
          </w:p>
          <w:p w14:paraId="54DBEB59" w14:textId="295FD6F8" w:rsidR="00723D04" w:rsidRDefault="00BC54AE" w:rsidP="0009295E">
            <w:pPr>
              <w:tabs>
                <w:tab w:val="left" w:pos="900"/>
                <w:tab w:val="left" w:pos="990"/>
                <w:tab w:val="left" w:pos="8640"/>
                <w:tab w:val="left" w:pos="9180"/>
              </w:tabs>
              <w:ind w:left="31"/>
              <w:rPr>
                <w:rFonts w:eastAsia="Calibri"/>
                <w:iCs/>
                <w:sz w:val="18"/>
                <w:szCs w:val="18"/>
              </w:rPr>
            </w:pPr>
            <w:r w:rsidRPr="000B2DCA">
              <w:rPr>
                <w:rFonts w:eastAsia="Calibri"/>
                <w:b/>
                <w:iCs/>
                <w:sz w:val="18"/>
                <w:szCs w:val="18"/>
              </w:rPr>
              <w:t>Source</w:t>
            </w:r>
            <w:r w:rsidRPr="000B2DCA">
              <w:rPr>
                <w:rFonts w:eastAsia="Calibri"/>
                <w:iCs/>
                <w:sz w:val="18"/>
                <w:szCs w:val="18"/>
              </w:rPr>
              <w:t>: World Risk Index</w:t>
            </w:r>
            <w:r w:rsidRPr="000B2DCA">
              <w:rPr>
                <w:rFonts w:eastAsia="Calibri"/>
                <w:iCs/>
                <w:sz w:val="18"/>
                <w:szCs w:val="18"/>
                <w:vertAlign w:val="superscript"/>
              </w:rPr>
              <w:footnoteReference w:id="37"/>
            </w:r>
            <w:r w:rsidR="008908AD" w:rsidRPr="000B2DCA">
              <w:rPr>
                <w:rFonts w:eastAsia="Calibri"/>
                <w:iCs/>
                <w:sz w:val="18"/>
                <w:szCs w:val="18"/>
              </w:rPr>
              <w:br/>
            </w:r>
            <w:r w:rsidRPr="000B2DCA">
              <w:rPr>
                <w:rFonts w:eastAsia="Calibri"/>
                <w:b/>
                <w:iCs/>
                <w:sz w:val="18"/>
                <w:szCs w:val="18"/>
              </w:rPr>
              <w:t>Frequency</w:t>
            </w:r>
            <w:r w:rsidRPr="000B2DCA">
              <w:rPr>
                <w:rFonts w:eastAsia="Calibri"/>
                <w:iCs/>
                <w:sz w:val="18"/>
                <w:szCs w:val="18"/>
              </w:rPr>
              <w:t>: annual</w:t>
            </w:r>
            <w:r w:rsidR="008908AD" w:rsidRPr="000B2DCA">
              <w:rPr>
                <w:rFonts w:eastAsia="Calibri"/>
                <w:iCs/>
                <w:sz w:val="18"/>
                <w:szCs w:val="18"/>
              </w:rPr>
              <w:br/>
            </w:r>
            <w:r w:rsidRPr="000B2DCA">
              <w:rPr>
                <w:rFonts w:eastAsia="Calibri"/>
                <w:b/>
                <w:iCs/>
                <w:sz w:val="18"/>
                <w:szCs w:val="18"/>
              </w:rPr>
              <w:t xml:space="preserve">Responsibility: </w:t>
            </w:r>
            <w:r w:rsidRPr="000B2DCA">
              <w:rPr>
                <w:rFonts w:eastAsia="Calibri"/>
                <w:iCs/>
                <w:sz w:val="18"/>
                <w:szCs w:val="18"/>
              </w:rPr>
              <w:t>UNU-EHS</w:t>
            </w:r>
            <w:r w:rsidR="00723D04">
              <w:rPr>
                <w:rStyle w:val="FootnoteReference"/>
                <w:rFonts w:eastAsia="Calibri"/>
                <w:iCs/>
                <w:sz w:val="18"/>
                <w:szCs w:val="18"/>
              </w:rPr>
              <w:footnoteReference w:id="38"/>
            </w:r>
            <w:r w:rsidRPr="000B2DCA">
              <w:rPr>
                <w:rFonts w:eastAsia="Calibri"/>
                <w:iCs/>
                <w:sz w:val="18"/>
                <w:szCs w:val="18"/>
              </w:rPr>
              <w:t>/</w:t>
            </w:r>
          </w:p>
          <w:p w14:paraId="786FD061" w14:textId="13E09279" w:rsidR="00BC54AE" w:rsidRPr="000B2DCA" w:rsidRDefault="00BC54AE" w:rsidP="0009295E">
            <w:pPr>
              <w:tabs>
                <w:tab w:val="left" w:pos="900"/>
                <w:tab w:val="left" w:pos="990"/>
                <w:tab w:val="left" w:pos="8640"/>
                <w:tab w:val="left" w:pos="9180"/>
              </w:tabs>
              <w:ind w:left="31"/>
              <w:rPr>
                <w:rFonts w:eastAsia="Calibri"/>
                <w:iCs/>
                <w:sz w:val="18"/>
                <w:szCs w:val="18"/>
              </w:rPr>
            </w:pPr>
            <w:r w:rsidRPr="000B2DCA">
              <w:rPr>
                <w:rFonts w:eastAsia="Calibri"/>
                <w:iCs/>
                <w:sz w:val="18"/>
                <w:szCs w:val="18"/>
              </w:rPr>
              <w:t>Alliance Development Works</w:t>
            </w:r>
          </w:p>
          <w:p w14:paraId="749A037C" w14:textId="450A921E" w:rsidR="008908AD" w:rsidRPr="000B2DCA" w:rsidRDefault="00BC54AE" w:rsidP="0009295E">
            <w:pPr>
              <w:tabs>
                <w:tab w:val="left" w:pos="900"/>
                <w:tab w:val="left" w:pos="990"/>
                <w:tab w:val="left" w:pos="8640"/>
                <w:tab w:val="left" w:pos="9180"/>
              </w:tabs>
              <w:ind w:left="31"/>
              <w:rPr>
                <w:rFonts w:eastAsia="Calibri"/>
                <w:iCs/>
                <w:sz w:val="18"/>
                <w:szCs w:val="18"/>
              </w:rPr>
            </w:pPr>
            <w:r w:rsidRPr="000B2DCA">
              <w:rPr>
                <w:rFonts w:eastAsia="Calibri"/>
                <w:b/>
                <w:iCs/>
                <w:sz w:val="18"/>
                <w:szCs w:val="18"/>
              </w:rPr>
              <w:t>Source:</w:t>
            </w:r>
            <w:r w:rsidRPr="000B2DCA">
              <w:rPr>
                <w:rFonts w:eastAsia="Calibri"/>
                <w:iCs/>
                <w:sz w:val="18"/>
                <w:szCs w:val="18"/>
              </w:rPr>
              <w:t xml:space="preserve"> EM-DAT database</w:t>
            </w:r>
            <w:r w:rsidRPr="000B2DCA">
              <w:rPr>
                <w:rFonts w:eastAsia="Calibri"/>
                <w:iCs/>
                <w:sz w:val="18"/>
                <w:szCs w:val="18"/>
                <w:vertAlign w:val="superscript"/>
              </w:rPr>
              <w:footnoteReference w:id="39"/>
            </w:r>
            <w:r w:rsidR="008908AD" w:rsidRPr="000B2DCA">
              <w:rPr>
                <w:rFonts w:eastAsia="Calibri"/>
                <w:iCs/>
                <w:sz w:val="18"/>
                <w:szCs w:val="18"/>
              </w:rPr>
              <w:br/>
            </w:r>
            <w:r w:rsidRPr="000B2DCA">
              <w:rPr>
                <w:rFonts w:eastAsia="Calibri"/>
                <w:b/>
                <w:iCs/>
                <w:sz w:val="18"/>
                <w:szCs w:val="18"/>
              </w:rPr>
              <w:t xml:space="preserve">Frequency: </w:t>
            </w:r>
            <w:r w:rsidRPr="000B2DCA">
              <w:rPr>
                <w:rFonts w:eastAsia="Calibri"/>
                <w:iCs/>
                <w:sz w:val="18"/>
                <w:szCs w:val="18"/>
              </w:rPr>
              <w:t>annual</w:t>
            </w:r>
            <w:r w:rsidR="008908AD" w:rsidRPr="000B2DCA">
              <w:rPr>
                <w:rFonts w:eastAsia="Calibri"/>
                <w:iCs/>
                <w:sz w:val="18"/>
                <w:szCs w:val="18"/>
              </w:rPr>
              <w:br/>
            </w:r>
            <w:r w:rsidRPr="000B2DCA">
              <w:rPr>
                <w:rFonts w:eastAsia="Calibri"/>
                <w:b/>
                <w:iCs/>
                <w:sz w:val="18"/>
                <w:szCs w:val="18"/>
              </w:rPr>
              <w:t>Responsibility:</w:t>
            </w:r>
            <w:r w:rsidRPr="000B2DCA">
              <w:rPr>
                <w:rFonts w:eastAsia="Calibri"/>
                <w:iCs/>
                <w:sz w:val="18"/>
                <w:szCs w:val="18"/>
              </w:rPr>
              <w:t xml:space="preserve"> Cent</w:t>
            </w:r>
            <w:r w:rsidR="00723D04">
              <w:rPr>
                <w:rFonts w:eastAsia="Calibri"/>
                <w:iCs/>
                <w:sz w:val="18"/>
                <w:szCs w:val="18"/>
              </w:rPr>
              <w:t>re</w:t>
            </w:r>
            <w:r w:rsidRPr="000B2DCA">
              <w:rPr>
                <w:rFonts w:eastAsia="Calibri"/>
                <w:iCs/>
                <w:sz w:val="18"/>
                <w:szCs w:val="18"/>
              </w:rPr>
              <w:t xml:space="preserve"> on Research of </w:t>
            </w:r>
            <w:r w:rsidRPr="000B2DCA">
              <w:rPr>
                <w:rFonts w:eastAsia="Calibri"/>
                <w:iCs/>
                <w:sz w:val="18"/>
                <w:szCs w:val="18"/>
              </w:rPr>
              <w:lastRenderedPageBreak/>
              <w:t xml:space="preserve">Epidemiology of Disasters, UN-DESA </w:t>
            </w:r>
            <w:r w:rsidR="008908AD" w:rsidRPr="000B2DCA">
              <w:rPr>
                <w:rFonts w:eastAsia="Calibri"/>
                <w:iCs/>
                <w:sz w:val="18"/>
                <w:szCs w:val="18"/>
              </w:rPr>
              <w:br/>
            </w:r>
          </w:p>
          <w:p w14:paraId="53849BC4" w14:textId="734F4D55" w:rsidR="00BC54AE" w:rsidRPr="000B2DCA" w:rsidRDefault="008908AD" w:rsidP="0009295E">
            <w:pPr>
              <w:tabs>
                <w:tab w:val="left" w:pos="900"/>
                <w:tab w:val="left" w:pos="990"/>
                <w:tab w:val="left" w:pos="8640"/>
                <w:tab w:val="left" w:pos="9180"/>
              </w:tabs>
              <w:ind w:left="31"/>
              <w:rPr>
                <w:rFonts w:eastAsia="Calibri"/>
                <w:iCs/>
                <w:sz w:val="18"/>
                <w:szCs w:val="18"/>
              </w:rPr>
            </w:pPr>
            <w:r w:rsidRPr="000B2DCA">
              <w:rPr>
                <w:b/>
                <w:iCs/>
                <w:sz w:val="18"/>
                <w:szCs w:val="18"/>
              </w:rPr>
              <w:t>S</w:t>
            </w:r>
            <w:r w:rsidR="00BC54AE" w:rsidRPr="000B2DCA">
              <w:rPr>
                <w:rFonts w:eastAsia="Calibri"/>
                <w:b/>
                <w:iCs/>
                <w:sz w:val="18"/>
                <w:szCs w:val="18"/>
              </w:rPr>
              <w:t>ource:</w:t>
            </w:r>
            <w:r w:rsidR="00BC54AE" w:rsidRPr="000B2DCA">
              <w:rPr>
                <w:rFonts w:eastAsia="Calibri"/>
                <w:iCs/>
                <w:sz w:val="18"/>
                <w:szCs w:val="18"/>
              </w:rPr>
              <w:t xml:space="preserve"> CPEIR</w:t>
            </w:r>
            <w:r w:rsidR="00723D04">
              <w:rPr>
                <w:rStyle w:val="FootnoteReference"/>
                <w:rFonts w:eastAsia="Calibri"/>
                <w:iCs/>
                <w:sz w:val="18"/>
                <w:szCs w:val="18"/>
              </w:rPr>
              <w:footnoteReference w:id="40"/>
            </w:r>
            <w:r w:rsidR="00BC54AE" w:rsidRPr="000B2DCA">
              <w:rPr>
                <w:rFonts w:eastAsia="Calibri"/>
                <w:iCs/>
                <w:sz w:val="18"/>
                <w:szCs w:val="18"/>
              </w:rPr>
              <w:t xml:space="preserve"> </w:t>
            </w:r>
            <w:r w:rsidR="00723D04">
              <w:rPr>
                <w:rFonts w:eastAsia="Calibri"/>
                <w:iCs/>
                <w:sz w:val="18"/>
                <w:szCs w:val="18"/>
              </w:rPr>
              <w:t>c</w:t>
            </w:r>
            <w:r w:rsidR="00BC54AE" w:rsidRPr="000B2DCA">
              <w:rPr>
                <w:rFonts w:eastAsia="Calibri"/>
                <w:iCs/>
                <w:sz w:val="18"/>
                <w:szCs w:val="18"/>
              </w:rPr>
              <w:t xml:space="preserve">ountry </w:t>
            </w:r>
            <w:r w:rsidR="00723D04">
              <w:rPr>
                <w:rFonts w:eastAsia="Calibri"/>
                <w:iCs/>
                <w:sz w:val="18"/>
                <w:szCs w:val="18"/>
              </w:rPr>
              <w:t>d</w:t>
            </w:r>
            <w:r w:rsidR="00BC54AE" w:rsidRPr="000B2DCA">
              <w:rPr>
                <w:rFonts w:eastAsia="Calibri"/>
                <w:iCs/>
                <w:sz w:val="18"/>
                <w:szCs w:val="18"/>
              </w:rPr>
              <w:t>atabase</w:t>
            </w:r>
            <w:r w:rsidR="00BC54AE" w:rsidRPr="000B2DCA">
              <w:rPr>
                <w:rFonts w:eastAsia="Calibri"/>
                <w:iCs/>
                <w:sz w:val="18"/>
                <w:szCs w:val="18"/>
                <w:vertAlign w:val="superscript"/>
              </w:rPr>
              <w:footnoteReference w:id="41"/>
            </w:r>
            <w:r w:rsidRPr="000B2DCA">
              <w:rPr>
                <w:rFonts w:eastAsia="Calibri"/>
                <w:iCs/>
                <w:sz w:val="18"/>
                <w:szCs w:val="18"/>
              </w:rPr>
              <w:br/>
            </w:r>
            <w:r w:rsidR="00BC54AE" w:rsidRPr="000B2DCA">
              <w:rPr>
                <w:rFonts w:eastAsia="Calibri"/>
                <w:b/>
                <w:iCs/>
                <w:sz w:val="18"/>
                <w:szCs w:val="18"/>
              </w:rPr>
              <w:t>Frequency:</w:t>
            </w:r>
            <w:r w:rsidR="00BC54AE" w:rsidRPr="000B2DCA">
              <w:rPr>
                <w:rFonts w:eastAsia="Calibri"/>
                <w:iCs/>
                <w:sz w:val="18"/>
                <w:szCs w:val="18"/>
              </w:rPr>
              <w:t xml:space="preserve"> annual</w:t>
            </w:r>
            <w:r w:rsidRPr="000B2DCA">
              <w:rPr>
                <w:rFonts w:eastAsia="Calibri"/>
                <w:iCs/>
                <w:sz w:val="18"/>
                <w:szCs w:val="18"/>
              </w:rPr>
              <w:br/>
            </w:r>
            <w:r w:rsidR="00BC54AE" w:rsidRPr="000B2DCA">
              <w:rPr>
                <w:rFonts w:eastAsia="Calibri"/>
                <w:b/>
                <w:iCs/>
                <w:sz w:val="18"/>
                <w:szCs w:val="18"/>
              </w:rPr>
              <w:t>Responsibility:</w:t>
            </w:r>
            <w:r w:rsidR="00BC54AE" w:rsidRPr="000B2DCA">
              <w:rPr>
                <w:rFonts w:eastAsia="Calibri"/>
                <w:color w:val="505050"/>
                <w:sz w:val="18"/>
                <w:szCs w:val="18"/>
                <w:shd w:val="clear" w:color="auto" w:fill="EAE5D2"/>
              </w:rPr>
              <w:t xml:space="preserve"> </w:t>
            </w:r>
            <w:r w:rsidR="00BC54AE" w:rsidRPr="000B2DCA">
              <w:rPr>
                <w:rFonts w:eastAsia="Calibri"/>
                <w:iCs/>
                <w:sz w:val="18"/>
                <w:szCs w:val="18"/>
              </w:rPr>
              <w:t>Governance of Climate Change Finance for Asia-Pacific</w:t>
            </w:r>
          </w:p>
          <w:p w14:paraId="21588173" w14:textId="77777777" w:rsidR="00BC54AE" w:rsidRPr="000B2DCA" w:rsidRDefault="00BC54AE" w:rsidP="0009295E">
            <w:pPr>
              <w:tabs>
                <w:tab w:val="left" w:pos="900"/>
                <w:tab w:val="left" w:pos="990"/>
                <w:tab w:val="left" w:pos="8640"/>
                <w:tab w:val="left" w:pos="9180"/>
              </w:tabs>
              <w:ind w:left="31"/>
              <w:rPr>
                <w:rFonts w:eastAsia="Calibri"/>
                <w:iCs/>
                <w:sz w:val="18"/>
                <w:szCs w:val="18"/>
              </w:rPr>
            </w:pPr>
            <w:r w:rsidRPr="000B2DCA">
              <w:rPr>
                <w:rFonts w:eastAsia="Calibri"/>
                <w:b/>
                <w:iCs/>
                <w:sz w:val="18"/>
                <w:szCs w:val="18"/>
              </w:rPr>
              <w:t>Source</w:t>
            </w:r>
            <w:r w:rsidRPr="000B2DCA">
              <w:rPr>
                <w:rFonts w:eastAsia="Calibri"/>
                <w:iCs/>
                <w:sz w:val="18"/>
                <w:szCs w:val="18"/>
              </w:rPr>
              <w:t>: 7FYP reporting</w:t>
            </w:r>
            <w:r w:rsidRPr="000B2DCA">
              <w:rPr>
                <w:rFonts w:eastAsia="Calibri"/>
                <w:iCs/>
                <w:sz w:val="18"/>
                <w:szCs w:val="18"/>
              </w:rPr>
              <w:br/>
            </w:r>
            <w:r w:rsidRPr="000B2DCA">
              <w:rPr>
                <w:rFonts w:eastAsia="Calibri"/>
                <w:b/>
                <w:iCs/>
                <w:sz w:val="18"/>
                <w:szCs w:val="18"/>
              </w:rPr>
              <w:t>Frequency</w:t>
            </w:r>
            <w:r w:rsidRPr="000B2DCA">
              <w:rPr>
                <w:rFonts w:eastAsia="Calibri"/>
                <w:iCs/>
                <w:sz w:val="18"/>
                <w:szCs w:val="18"/>
              </w:rPr>
              <w:t>: annual</w:t>
            </w:r>
            <w:r w:rsidR="008908AD" w:rsidRPr="000B2DCA">
              <w:rPr>
                <w:rFonts w:eastAsia="Calibri"/>
                <w:iCs/>
                <w:sz w:val="18"/>
                <w:szCs w:val="18"/>
              </w:rPr>
              <w:br/>
            </w:r>
            <w:r w:rsidRPr="000B2DCA">
              <w:rPr>
                <w:rFonts w:eastAsia="Calibri"/>
                <w:b/>
                <w:iCs/>
                <w:sz w:val="18"/>
                <w:szCs w:val="18"/>
              </w:rPr>
              <w:t>Responsibility</w:t>
            </w:r>
            <w:r w:rsidRPr="000B2DCA">
              <w:rPr>
                <w:rFonts w:eastAsia="Calibri"/>
                <w:iCs/>
                <w:sz w:val="18"/>
                <w:szCs w:val="18"/>
              </w:rPr>
              <w:t>: Department of Disaster Management</w:t>
            </w:r>
          </w:p>
        </w:tc>
        <w:tc>
          <w:tcPr>
            <w:tcW w:w="2255" w:type="pct"/>
            <w:tcMar>
              <w:top w:w="72" w:type="dxa"/>
              <w:left w:w="144" w:type="dxa"/>
              <w:bottom w:w="72" w:type="dxa"/>
              <w:right w:w="144" w:type="dxa"/>
            </w:tcMar>
          </w:tcPr>
          <w:p w14:paraId="5B6AEB0C" w14:textId="77777777" w:rsidR="00BC54AE" w:rsidRPr="000B2DCA" w:rsidRDefault="00BC54AE" w:rsidP="0009295E">
            <w:pPr>
              <w:tabs>
                <w:tab w:val="left" w:pos="900"/>
                <w:tab w:val="left" w:pos="990"/>
                <w:tab w:val="left" w:pos="8640"/>
                <w:tab w:val="left" w:pos="9180"/>
              </w:tabs>
              <w:ind w:left="31"/>
              <w:rPr>
                <w:rFonts w:eastAsia="Calibri"/>
                <w:b/>
                <w:iCs/>
                <w:color w:val="000000"/>
                <w:sz w:val="18"/>
                <w:szCs w:val="18"/>
              </w:rPr>
            </w:pPr>
            <w:r w:rsidRPr="000B2DCA">
              <w:rPr>
                <w:rFonts w:eastAsia="Calibri"/>
                <w:b/>
                <w:iCs/>
                <w:color w:val="000000"/>
                <w:sz w:val="18"/>
                <w:szCs w:val="18"/>
              </w:rPr>
              <w:lastRenderedPageBreak/>
              <w:t xml:space="preserve">OUTPUT 3.1.: Government institutions have improved capacities, and institutional and legal frameworks to </w:t>
            </w:r>
            <w:r w:rsidRPr="000B2DCA">
              <w:rPr>
                <w:rFonts w:eastAsia="Calibri"/>
                <w:b/>
                <w:i/>
                <w:iCs/>
                <w:color w:val="000000"/>
                <w:sz w:val="18"/>
                <w:szCs w:val="18"/>
              </w:rPr>
              <w:t>respond to</w:t>
            </w:r>
            <w:r w:rsidRPr="000B2DCA">
              <w:rPr>
                <w:rFonts w:eastAsia="Calibri"/>
                <w:b/>
                <w:iCs/>
                <w:color w:val="000000"/>
                <w:sz w:val="18"/>
                <w:szCs w:val="18"/>
              </w:rPr>
              <w:t xml:space="preserve"> and ensure </w:t>
            </w:r>
            <w:r w:rsidRPr="000B2DCA">
              <w:rPr>
                <w:rFonts w:eastAsia="Calibri"/>
                <w:b/>
                <w:i/>
                <w:iCs/>
                <w:color w:val="000000"/>
                <w:sz w:val="18"/>
                <w:szCs w:val="18"/>
              </w:rPr>
              <w:t>resilient recovery</w:t>
            </w:r>
            <w:r w:rsidRPr="000B2DCA">
              <w:rPr>
                <w:rFonts w:eastAsia="Calibri"/>
                <w:b/>
                <w:iCs/>
                <w:color w:val="000000"/>
                <w:sz w:val="18"/>
                <w:szCs w:val="18"/>
              </w:rPr>
              <w:t xml:space="preserve"> from earthquakes, weather extremes, and environmental emergencies</w:t>
            </w:r>
          </w:p>
          <w:p w14:paraId="2FC81622" w14:textId="2C9B1633" w:rsidR="00BC54AE" w:rsidRPr="000B2DCA" w:rsidRDefault="00BC54AE" w:rsidP="0009295E">
            <w:pPr>
              <w:tabs>
                <w:tab w:val="left" w:pos="900"/>
                <w:tab w:val="left" w:pos="990"/>
                <w:tab w:val="left" w:pos="8640"/>
                <w:tab w:val="left" w:pos="9180"/>
              </w:tabs>
              <w:ind w:left="31"/>
              <w:rPr>
                <w:rFonts w:eastAsia="Calibri"/>
                <w:iCs/>
                <w:sz w:val="18"/>
                <w:szCs w:val="18"/>
              </w:rPr>
            </w:pPr>
            <w:r w:rsidRPr="000B2DCA">
              <w:rPr>
                <w:rFonts w:eastAsia="Calibri"/>
                <w:b/>
                <w:iCs/>
                <w:color w:val="000000"/>
                <w:sz w:val="18"/>
                <w:szCs w:val="18"/>
              </w:rPr>
              <w:t>Indicator 3.1.1.</w:t>
            </w:r>
            <w:r w:rsidR="007200F5">
              <w:rPr>
                <w:rFonts w:eastAsia="Calibri"/>
                <w:b/>
                <w:iCs/>
                <w:color w:val="000000"/>
                <w:sz w:val="18"/>
                <w:szCs w:val="18"/>
              </w:rPr>
              <w:t xml:space="preserve"> </w:t>
            </w:r>
            <w:r w:rsidRPr="000B2DCA">
              <w:rPr>
                <w:rFonts w:eastAsia="Calibri"/>
                <w:iCs/>
                <w:sz w:val="18"/>
                <w:szCs w:val="18"/>
              </w:rPr>
              <w:t>Number of national</w:t>
            </w:r>
            <w:r w:rsidR="003F1A93">
              <w:rPr>
                <w:rFonts w:eastAsia="Calibri"/>
                <w:iCs/>
                <w:sz w:val="18"/>
                <w:szCs w:val="18"/>
              </w:rPr>
              <w:t>/</w:t>
            </w:r>
            <w:r w:rsidR="007200F5">
              <w:rPr>
                <w:rFonts w:eastAsia="Calibri"/>
                <w:iCs/>
                <w:sz w:val="18"/>
                <w:szCs w:val="18"/>
              </w:rPr>
              <w:t>su</w:t>
            </w:r>
            <w:r w:rsidRPr="000B2DCA">
              <w:rPr>
                <w:rFonts w:eastAsia="Calibri"/>
                <w:iCs/>
                <w:sz w:val="18"/>
                <w:szCs w:val="18"/>
              </w:rPr>
              <w:t xml:space="preserve">bnational development and key sectorial plans being implemented that explicitly address disaster and/or climate risk management, disaggregated by those that are gender responsive; </w:t>
            </w:r>
            <w:r w:rsidRPr="000B2DCA">
              <w:rPr>
                <w:rFonts w:eastAsia="Calibri"/>
                <w:iCs/>
                <w:color w:val="000000"/>
                <w:sz w:val="18"/>
                <w:szCs w:val="18"/>
              </w:rPr>
              <w:t xml:space="preserve">Baseline </w:t>
            </w:r>
            <w:r w:rsidRPr="000B2DCA">
              <w:rPr>
                <w:rFonts w:eastAsia="Calibri"/>
                <w:iCs/>
                <w:sz w:val="18"/>
                <w:szCs w:val="18"/>
              </w:rPr>
              <w:t xml:space="preserve">2015: 100, Target 2020: 250; </w:t>
            </w:r>
            <w:r w:rsidRPr="000B2DCA">
              <w:rPr>
                <w:rFonts w:eastAsia="Calibri"/>
                <w:iCs/>
                <w:color w:val="000000"/>
                <w:sz w:val="18"/>
                <w:szCs w:val="18"/>
              </w:rPr>
              <w:t>Source</w:t>
            </w:r>
            <w:r w:rsidRPr="000B2DCA">
              <w:rPr>
                <w:rFonts w:eastAsia="Calibri"/>
                <w:b/>
                <w:iCs/>
                <w:color w:val="000000"/>
                <w:sz w:val="18"/>
                <w:szCs w:val="18"/>
              </w:rPr>
              <w:t>:</w:t>
            </w:r>
            <w:r w:rsidRPr="000B2DCA">
              <w:rPr>
                <w:rFonts w:eastAsia="Calibri"/>
                <w:iCs/>
                <w:sz w:val="18"/>
                <w:szCs w:val="18"/>
              </w:rPr>
              <w:t xml:space="preserve"> UNDP annual desk review (IRRF 5.3.1)</w:t>
            </w:r>
            <w:r w:rsidRPr="000B2DCA">
              <w:rPr>
                <w:rFonts w:eastAsia="Calibri"/>
                <w:iCs/>
                <w:sz w:val="18"/>
                <w:szCs w:val="18"/>
                <w:vertAlign w:val="superscript"/>
              </w:rPr>
              <w:footnoteReference w:id="42"/>
            </w:r>
          </w:p>
          <w:p w14:paraId="2A05E9F9" w14:textId="54AF77A5" w:rsidR="00BC54AE" w:rsidRPr="000B2DCA" w:rsidRDefault="00BC54AE" w:rsidP="0009295E">
            <w:pPr>
              <w:tabs>
                <w:tab w:val="left" w:pos="900"/>
                <w:tab w:val="left" w:pos="990"/>
                <w:tab w:val="left" w:pos="8640"/>
                <w:tab w:val="left" w:pos="9180"/>
              </w:tabs>
              <w:ind w:left="31"/>
              <w:rPr>
                <w:rFonts w:eastAsia="Calibri"/>
                <w:iCs/>
                <w:sz w:val="18"/>
                <w:szCs w:val="18"/>
              </w:rPr>
            </w:pPr>
            <w:r w:rsidRPr="000B2DCA">
              <w:rPr>
                <w:rFonts w:eastAsia="Calibri"/>
                <w:b/>
                <w:iCs/>
                <w:color w:val="000000"/>
                <w:sz w:val="18"/>
                <w:szCs w:val="18"/>
              </w:rPr>
              <w:t>Indicator 3.1.2.</w:t>
            </w:r>
            <w:r w:rsidRPr="000B2DCA">
              <w:rPr>
                <w:rFonts w:eastAsia="Calibri"/>
                <w:iCs/>
                <w:sz w:val="18"/>
                <w:szCs w:val="18"/>
              </w:rPr>
              <w:t xml:space="preserve"> Number of town development plans prepared and agreed that include climate resilience and adaptation, </w:t>
            </w:r>
            <w:r w:rsidRPr="000B2DCA">
              <w:rPr>
                <w:rFonts w:eastAsia="Calibri"/>
                <w:iCs/>
                <w:color w:val="000000"/>
                <w:sz w:val="18"/>
                <w:szCs w:val="18"/>
              </w:rPr>
              <w:t xml:space="preserve">Baseline </w:t>
            </w:r>
            <w:r w:rsidRPr="000B2DCA">
              <w:rPr>
                <w:rFonts w:eastAsia="Calibri"/>
                <w:iCs/>
                <w:sz w:val="18"/>
                <w:szCs w:val="18"/>
              </w:rPr>
              <w:t>2016: 10, Target 2020: 30, Source: UNDP MIS</w:t>
            </w:r>
          </w:p>
          <w:p w14:paraId="3FEDC435" w14:textId="5EB78C5B" w:rsidR="00BC54AE" w:rsidRPr="000B2DCA" w:rsidRDefault="00BC54AE" w:rsidP="0009295E">
            <w:pPr>
              <w:tabs>
                <w:tab w:val="left" w:pos="900"/>
                <w:tab w:val="left" w:pos="990"/>
                <w:tab w:val="left" w:pos="8640"/>
                <w:tab w:val="left" w:pos="9180"/>
              </w:tabs>
              <w:ind w:left="31"/>
              <w:rPr>
                <w:rFonts w:eastAsia="Calibri"/>
                <w:iCs/>
                <w:sz w:val="18"/>
                <w:szCs w:val="18"/>
              </w:rPr>
            </w:pPr>
            <w:r w:rsidRPr="000B2DCA">
              <w:rPr>
                <w:rFonts w:eastAsia="Calibri"/>
                <w:b/>
                <w:iCs/>
                <w:sz w:val="18"/>
                <w:szCs w:val="18"/>
              </w:rPr>
              <w:t>Indicator 3.1.3.</w:t>
            </w:r>
            <w:r w:rsidRPr="000B2DCA">
              <w:rPr>
                <w:rFonts w:eastAsia="Calibri"/>
                <w:iCs/>
                <w:sz w:val="18"/>
                <w:szCs w:val="18"/>
              </w:rPr>
              <w:t xml:space="preserve"> Number of women and men with increased resilience at the household and community level. Disaggregation: by sex</w:t>
            </w:r>
            <w:r w:rsidR="00F46466" w:rsidRPr="000B2DCA">
              <w:rPr>
                <w:rFonts w:eastAsia="Calibri"/>
                <w:iCs/>
                <w:sz w:val="18"/>
                <w:szCs w:val="18"/>
              </w:rPr>
              <w:t xml:space="preserve">. </w:t>
            </w:r>
            <w:r w:rsidRPr="000B2DCA">
              <w:rPr>
                <w:rFonts w:eastAsia="Calibri"/>
                <w:iCs/>
                <w:sz w:val="18"/>
                <w:szCs w:val="18"/>
              </w:rPr>
              <w:t>Baseline 2016: 1.5m, Target 2020: 2.5m; Baseline 2016: women:</w:t>
            </w:r>
            <w:r w:rsidR="008D1BBA" w:rsidRPr="000B2DCA">
              <w:rPr>
                <w:rFonts w:eastAsia="Calibri"/>
                <w:iCs/>
                <w:sz w:val="18"/>
                <w:szCs w:val="18"/>
              </w:rPr>
              <w:t xml:space="preserve"> </w:t>
            </w:r>
            <w:r w:rsidRPr="000B2DCA">
              <w:rPr>
                <w:rFonts w:eastAsia="Calibri"/>
                <w:iCs/>
                <w:sz w:val="18"/>
                <w:szCs w:val="18"/>
              </w:rPr>
              <w:t>500</w:t>
            </w:r>
            <w:r w:rsidR="003F1A93">
              <w:rPr>
                <w:rFonts w:eastAsia="Calibri"/>
                <w:iCs/>
                <w:sz w:val="18"/>
                <w:szCs w:val="18"/>
              </w:rPr>
              <w:t>,</w:t>
            </w:r>
            <w:r w:rsidRPr="000B2DCA">
              <w:rPr>
                <w:rFonts w:eastAsia="Calibri"/>
                <w:iCs/>
                <w:sz w:val="18"/>
                <w:szCs w:val="18"/>
              </w:rPr>
              <w:t>000</w:t>
            </w:r>
            <w:r w:rsidR="003F1A93">
              <w:rPr>
                <w:rFonts w:eastAsia="Calibri"/>
                <w:iCs/>
                <w:sz w:val="18"/>
                <w:szCs w:val="18"/>
              </w:rPr>
              <w:t>,</w:t>
            </w:r>
            <w:r w:rsidRPr="000B2DCA">
              <w:rPr>
                <w:rFonts w:eastAsia="Calibri"/>
                <w:iCs/>
                <w:sz w:val="18"/>
                <w:szCs w:val="18"/>
              </w:rPr>
              <w:t xml:space="preserve"> men:</w:t>
            </w:r>
            <w:r w:rsidR="003F1A93">
              <w:rPr>
                <w:rFonts w:eastAsia="Calibri"/>
                <w:iCs/>
                <w:sz w:val="18"/>
                <w:szCs w:val="18"/>
              </w:rPr>
              <w:t> </w:t>
            </w:r>
            <w:r w:rsidRPr="000B2DCA">
              <w:rPr>
                <w:rFonts w:eastAsia="Calibri"/>
                <w:iCs/>
                <w:sz w:val="18"/>
                <w:szCs w:val="18"/>
              </w:rPr>
              <w:t>1</w:t>
            </w:r>
            <w:r w:rsidR="003F1A93">
              <w:rPr>
                <w:rFonts w:eastAsia="Calibri"/>
                <w:iCs/>
                <w:sz w:val="18"/>
                <w:szCs w:val="18"/>
              </w:rPr>
              <w:t>,</w:t>
            </w:r>
            <w:r w:rsidRPr="000B2DCA">
              <w:rPr>
                <w:rFonts w:eastAsia="Calibri"/>
                <w:iCs/>
                <w:sz w:val="18"/>
                <w:szCs w:val="18"/>
              </w:rPr>
              <w:t>000</w:t>
            </w:r>
            <w:r w:rsidR="003F1A93">
              <w:rPr>
                <w:rFonts w:eastAsia="Calibri"/>
                <w:iCs/>
                <w:sz w:val="18"/>
                <w:szCs w:val="18"/>
              </w:rPr>
              <w:t>,</w:t>
            </w:r>
            <w:r w:rsidRPr="000B2DCA">
              <w:rPr>
                <w:rFonts w:eastAsia="Calibri"/>
                <w:iCs/>
                <w:sz w:val="18"/>
                <w:szCs w:val="18"/>
              </w:rPr>
              <w:t>000, total:</w:t>
            </w:r>
            <w:r w:rsidR="008D1BBA" w:rsidRPr="000B2DCA">
              <w:rPr>
                <w:rFonts w:eastAsia="Calibri"/>
                <w:iCs/>
                <w:sz w:val="18"/>
                <w:szCs w:val="18"/>
              </w:rPr>
              <w:t xml:space="preserve"> </w:t>
            </w:r>
            <w:r w:rsidRPr="000B2DCA">
              <w:rPr>
                <w:rFonts w:eastAsia="Calibri"/>
                <w:iCs/>
                <w:sz w:val="18"/>
                <w:szCs w:val="18"/>
              </w:rPr>
              <w:t>1.5</w:t>
            </w:r>
            <w:r w:rsidR="003F1A93">
              <w:rPr>
                <w:rFonts w:eastAsia="Calibri"/>
                <w:iCs/>
                <w:sz w:val="18"/>
                <w:szCs w:val="18"/>
              </w:rPr>
              <w:t xml:space="preserve"> </w:t>
            </w:r>
            <w:r w:rsidRPr="000B2DCA">
              <w:rPr>
                <w:rFonts w:eastAsia="Calibri"/>
                <w:iCs/>
                <w:sz w:val="18"/>
                <w:szCs w:val="18"/>
              </w:rPr>
              <w:t>m</w:t>
            </w:r>
            <w:r w:rsidR="003F1A93">
              <w:rPr>
                <w:rFonts w:eastAsia="Calibri"/>
                <w:iCs/>
                <w:sz w:val="18"/>
                <w:szCs w:val="18"/>
              </w:rPr>
              <w:t>illion</w:t>
            </w:r>
            <w:r w:rsidRPr="000B2DCA">
              <w:rPr>
                <w:rFonts w:eastAsia="Calibri"/>
                <w:iCs/>
                <w:sz w:val="18"/>
                <w:szCs w:val="18"/>
              </w:rPr>
              <w:t>; Target 2020: women: 1.25</w:t>
            </w:r>
            <w:r w:rsidR="003F1A93">
              <w:rPr>
                <w:rFonts w:eastAsia="Calibri"/>
                <w:iCs/>
                <w:sz w:val="18"/>
                <w:szCs w:val="18"/>
              </w:rPr>
              <w:t xml:space="preserve"> </w:t>
            </w:r>
            <w:r w:rsidRPr="000B2DCA">
              <w:rPr>
                <w:rFonts w:eastAsia="Calibri"/>
                <w:iCs/>
                <w:sz w:val="18"/>
                <w:szCs w:val="18"/>
              </w:rPr>
              <w:t>m</w:t>
            </w:r>
            <w:r w:rsidR="003F1A93">
              <w:rPr>
                <w:rFonts w:eastAsia="Calibri"/>
                <w:iCs/>
                <w:sz w:val="18"/>
                <w:szCs w:val="18"/>
              </w:rPr>
              <w:t>illion,</w:t>
            </w:r>
            <w:r w:rsidR="008D1BBA" w:rsidRPr="000B2DCA">
              <w:rPr>
                <w:rFonts w:eastAsia="Calibri"/>
                <w:iCs/>
                <w:sz w:val="18"/>
                <w:szCs w:val="18"/>
              </w:rPr>
              <w:t xml:space="preserve"> </w:t>
            </w:r>
            <w:r w:rsidRPr="000B2DCA">
              <w:rPr>
                <w:rFonts w:eastAsia="Calibri"/>
                <w:iCs/>
                <w:sz w:val="18"/>
                <w:szCs w:val="18"/>
              </w:rPr>
              <w:t>men: 1.25</w:t>
            </w:r>
            <w:r w:rsidR="003F1A93">
              <w:rPr>
                <w:rFonts w:eastAsia="Calibri"/>
                <w:iCs/>
                <w:sz w:val="18"/>
                <w:szCs w:val="18"/>
              </w:rPr>
              <w:t xml:space="preserve"> </w:t>
            </w:r>
            <w:r w:rsidRPr="000B2DCA">
              <w:rPr>
                <w:rFonts w:eastAsia="Calibri"/>
                <w:iCs/>
                <w:sz w:val="18"/>
                <w:szCs w:val="18"/>
              </w:rPr>
              <w:t>m</w:t>
            </w:r>
            <w:r w:rsidR="003F1A93">
              <w:rPr>
                <w:rFonts w:eastAsia="Calibri"/>
                <w:iCs/>
                <w:sz w:val="18"/>
                <w:szCs w:val="18"/>
              </w:rPr>
              <w:t>illion</w:t>
            </w:r>
            <w:r w:rsidR="008D1BBA" w:rsidRPr="000B2DCA">
              <w:rPr>
                <w:rFonts w:eastAsia="Calibri"/>
                <w:iCs/>
                <w:sz w:val="18"/>
                <w:szCs w:val="18"/>
              </w:rPr>
              <w:t>,</w:t>
            </w:r>
            <w:r w:rsidRPr="000B2DCA">
              <w:rPr>
                <w:rFonts w:eastAsia="Calibri"/>
                <w:iCs/>
                <w:sz w:val="18"/>
                <w:szCs w:val="18"/>
              </w:rPr>
              <w:t xml:space="preserve"> </w:t>
            </w:r>
            <w:r w:rsidR="00022FD2" w:rsidRPr="000B2DCA">
              <w:rPr>
                <w:rFonts w:eastAsia="Calibri"/>
                <w:iCs/>
                <w:sz w:val="18"/>
                <w:szCs w:val="18"/>
              </w:rPr>
              <w:t>total 2.5</w:t>
            </w:r>
            <w:r w:rsidR="003F1A93">
              <w:rPr>
                <w:rFonts w:eastAsia="Calibri"/>
                <w:iCs/>
                <w:sz w:val="18"/>
                <w:szCs w:val="18"/>
              </w:rPr>
              <w:t xml:space="preserve"> </w:t>
            </w:r>
            <w:r w:rsidR="00022FD2" w:rsidRPr="000B2DCA">
              <w:rPr>
                <w:rFonts w:eastAsia="Calibri"/>
                <w:iCs/>
                <w:sz w:val="18"/>
                <w:szCs w:val="18"/>
              </w:rPr>
              <w:t>m</w:t>
            </w:r>
            <w:r w:rsidR="003F1A93">
              <w:rPr>
                <w:rFonts w:eastAsia="Calibri"/>
                <w:iCs/>
                <w:sz w:val="18"/>
                <w:szCs w:val="18"/>
              </w:rPr>
              <w:t>illion</w:t>
            </w:r>
            <w:r w:rsidR="00022FD2" w:rsidRPr="000B2DCA">
              <w:rPr>
                <w:rFonts w:eastAsia="Calibri"/>
                <w:iCs/>
                <w:sz w:val="18"/>
                <w:szCs w:val="18"/>
              </w:rPr>
              <w:t xml:space="preserve">; </w:t>
            </w:r>
            <w:r w:rsidRPr="000B2DCA">
              <w:rPr>
                <w:rFonts w:eastAsia="Calibri"/>
                <w:iCs/>
                <w:sz w:val="18"/>
                <w:szCs w:val="18"/>
              </w:rPr>
              <w:t xml:space="preserve">Source: </w:t>
            </w:r>
            <w:r w:rsidR="003F1A93">
              <w:rPr>
                <w:rFonts w:eastAsia="Calibri"/>
                <w:iCs/>
                <w:sz w:val="18"/>
                <w:szCs w:val="18"/>
              </w:rPr>
              <w:t>a</w:t>
            </w:r>
            <w:r w:rsidRPr="000B2DCA">
              <w:rPr>
                <w:rFonts w:eastAsia="Calibri"/>
                <w:iCs/>
                <w:sz w:val="18"/>
                <w:szCs w:val="18"/>
              </w:rPr>
              <w:t xml:space="preserve">nnual questionnaire-based surveys and UNDP MIS </w:t>
            </w:r>
          </w:p>
          <w:p w14:paraId="1F8CFB6C" w14:textId="60EBE2D1" w:rsidR="00BC54AE" w:rsidRPr="000B2DCA" w:rsidRDefault="00BC54AE" w:rsidP="0009295E">
            <w:pPr>
              <w:tabs>
                <w:tab w:val="left" w:pos="900"/>
                <w:tab w:val="left" w:pos="990"/>
                <w:tab w:val="left" w:pos="8640"/>
                <w:tab w:val="left" w:pos="9180"/>
              </w:tabs>
              <w:ind w:left="31"/>
              <w:rPr>
                <w:rFonts w:eastAsia="Calibri"/>
                <w:iCs/>
                <w:sz w:val="18"/>
                <w:szCs w:val="18"/>
              </w:rPr>
            </w:pPr>
            <w:r w:rsidRPr="000B2DCA">
              <w:rPr>
                <w:rFonts w:eastAsia="Calibri"/>
                <w:b/>
                <w:iCs/>
                <w:color w:val="000000"/>
                <w:sz w:val="18"/>
                <w:szCs w:val="18"/>
              </w:rPr>
              <w:t>Indicator 3.1.4.</w:t>
            </w:r>
            <w:r w:rsidRPr="000B2DCA">
              <w:rPr>
                <w:rFonts w:eastAsia="Calibri"/>
                <w:iCs/>
                <w:sz w:val="18"/>
                <w:szCs w:val="18"/>
              </w:rPr>
              <w:t xml:space="preserve"> Number of most vulnerable households in coastal districts that are provided with climate and disaster resilient homes and adaptive livelihoods, </w:t>
            </w:r>
            <w:r w:rsidRPr="000B2DCA">
              <w:rPr>
                <w:rFonts w:eastAsia="Calibri"/>
                <w:iCs/>
                <w:color w:val="000000"/>
                <w:sz w:val="18"/>
                <w:szCs w:val="18"/>
              </w:rPr>
              <w:t xml:space="preserve">Baseline </w:t>
            </w:r>
            <w:r w:rsidRPr="000B2DCA">
              <w:rPr>
                <w:rFonts w:eastAsia="Calibri"/>
                <w:iCs/>
                <w:sz w:val="18"/>
                <w:szCs w:val="18"/>
              </w:rPr>
              <w:t>2016:1</w:t>
            </w:r>
            <w:r w:rsidR="003F1A93">
              <w:rPr>
                <w:rFonts w:eastAsia="Calibri"/>
                <w:iCs/>
                <w:sz w:val="18"/>
                <w:szCs w:val="18"/>
              </w:rPr>
              <w:t>,</w:t>
            </w:r>
            <w:r w:rsidRPr="000B2DCA">
              <w:rPr>
                <w:rFonts w:eastAsia="Calibri"/>
                <w:iCs/>
                <w:sz w:val="18"/>
                <w:szCs w:val="18"/>
              </w:rPr>
              <w:t>500, Target 2020: 20.0</w:t>
            </w:r>
            <w:r w:rsidR="003F1A93">
              <w:rPr>
                <w:rFonts w:eastAsia="Calibri"/>
                <w:iCs/>
                <w:sz w:val="18"/>
                <w:szCs w:val="18"/>
              </w:rPr>
              <w:t>,</w:t>
            </w:r>
            <w:r w:rsidRPr="000B2DCA">
              <w:rPr>
                <w:rFonts w:eastAsia="Calibri"/>
                <w:iCs/>
                <w:sz w:val="18"/>
                <w:szCs w:val="18"/>
              </w:rPr>
              <w:t>0; Disaggregation: female-headed households; Source: UNDP MIS</w:t>
            </w:r>
          </w:p>
          <w:p w14:paraId="7E9633B9" w14:textId="77777777" w:rsidR="00BC54AE" w:rsidRPr="000B2DCA" w:rsidRDefault="00BC54AE" w:rsidP="0009295E">
            <w:pPr>
              <w:tabs>
                <w:tab w:val="left" w:pos="900"/>
                <w:tab w:val="left" w:pos="990"/>
                <w:tab w:val="left" w:pos="8640"/>
                <w:tab w:val="left" w:pos="9180"/>
              </w:tabs>
              <w:ind w:left="31"/>
              <w:rPr>
                <w:rFonts w:eastAsia="Calibri"/>
                <w:iCs/>
                <w:sz w:val="18"/>
                <w:szCs w:val="18"/>
              </w:rPr>
            </w:pPr>
          </w:p>
          <w:p w14:paraId="634B4A13" w14:textId="139FEC64" w:rsidR="00BC54AE" w:rsidRPr="000B2DCA" w:rsidRDefault="003F1A93" w:rsidP="0009295E">
            <w:pPr>
              <w:tabs>
                <w:tab w:val="left" w:pos="900"/>
                <w:tab w:val="left" w:pos="990"/>
                <w:tab w:val="left" w:pos="8640"/>
                <w:tab w:val="left" w:pos="9180"/>
              </w:tabs>
              <w:ind w:left="31"/>
              <w:rPr>
                <w:rFonts w:eastAsia="Calibri"/>
                <w:b/>
                <w:iCs/>
                <w:color w:val="000000"/>
                <w:sz w:val="18"/>
                <w:szCs w:val="18"/>
              </w:rPr>
            </w:pPr>
            <w:r w:rsidRPr="003F1A93">
              <w:rPr>
                <w:rFonts w:eastAsia="Calibri"/>
                <w:b/>
                <w:iCs/>
                <w:color w:val="000000"/>
                <w:sz w:val="18"/>
                <w:szCs w:val="18"/>
              </w:rPr>
              <w:lastRenderedPageBreak/>
              <w:t xml:space="preserve">Output </w:t>
            </w:r>
            <w:r w:rsidR="00BC54AE" w:rsidRPr="000B2DCA">
              <w:rPr>
                <w:rFonts w:eastAsia="Calibri"/>
                <w:b/>
                <w:iCs/>
                <w:color w:val="000000"/>
                <w:sz w:val="18"/>
                <w:szCs w:val="18"/>
              </w:rPr>
              <w:t xml:space="preserve">3.2.: The </w:t>
            </w:r>
            <w:r w:rsidR="00BC54AE" w:rsidRPr="000B2DCA">
              <w:rPr>
                <w:rFonts w:eastAsia="Calibri"/>
                <w:b/>
                <w:iCs/>
                <w:sz w:val="18"/>
                <w:szCs w:val="18"/>
              </w:rPr>
              <w:t>Government</w:t>
            </w:r>
            <w:r w:rsidR="00BC54AE" w:rsidRPr="000B2DCA">
              <w:rPr>
                <w:rFonts w:eastAsia="Calibri"/>
                <w:b/>
                <w:iCs/>
                <w:color w:val="000000"/>
                <w:sz w:val="18"/>
                <w:szCs w:val="18"/>
              </w:rPr>
              <w:t xml:space="preserve"> has the capacity to set up regulatory and to implement a range of </w:t>
            </w:r>
            <w:r w:rsidR="00BC54AE" w:rsidRPr="000B2DCA">
              <w:rPr>
                <w:rFonts w:eastAsia="Calibri"/>
                <w:b/>
                <w:i/>
                <w:iCs/>
                <w:color w:val="000000"/>
                <w:sz w:val="18"/>
                <w:szCs w:val="18"/>
              </w:rPr>
              <w:t>pro-poor, resilience-focused green economic initiatives</w:t>
            </w:r>
            <w:r w:rsidR="00BC54AE" w:rsidRPr="000B2DCA">
              <w:rPr>
                <w:rFonts w:eastAsia="Calibri"/>
                <w:b/>
                <w:iCs/>
                <w:color w:val="000000"/>
                <w:sz w:val="18"/>
                <w:szCs w:val="18"/>
              </w:rPr>
              <w:t xml:space="preserve"> </w:t>
            </w:r>
          </w:p>
          <w:p w14:paraId="5A659D22" w14:textId="54694E28" w:rsidR="00BC54AE" w:rsidRPr="000B2DCA" w:rsidRDefault="00BC54AE" w:rsidP="0009295E">
            <w:pPr>
              <w:tabs>
                <w:tab w:val="left" w:pos="900"/>
                <w:tab w:val="left" w:pos="990"/>
                <w:tab w:val="left" w:pos="8640"/>
                <w:tab w:val="left" w:pos="9180"/>
              </w:tabs>
              <w:ind w:left="31"/>
              <w:rPr>
                <w:rFonts w:eastAsia="Calibri"/>
                <w:iCs/>
                <w:sz w:val="18"/>
                <w:szCs w:val="18"/>
              </w:rPr>
            </w:pPr>
            <w:r w:rsidRPr="000B2DCA">
              <w:rPr>
                <w:rFonts w:eastAsia="Calibri"/>
                <w:b/>
                <w:iCs/>
                <w:color w:val="000000"/>
                <w:sz w:val="18"/>
                <w:szCs w:val="18"/>
              </w:rPr>
              <w:t>Indicator 3.2.1.</w:t>
            </w:r>
            <w:r w:rsidRPr="000B2DCA">
              <w:rPr>
                <w:rFonts w:eastAsia="Calibri"/>
                <w:iCs/>
                <w:color w:val="FF0000"/>
                <w:sz w:val="18"/>
                <w:szCs w:val="18"/>
              </w:rPr>
              <w:t xml:space="preserve"> </w:t>
            </w:r>
            <w:r w:rsidRPr="000B2DCA">
              <w:rPr>
                <w:rFonts w:eastAsia="Calibri"/>
                <w:iCs/>
                <w:sz w:val="18"/>
                <w:szCs w:val="18"/>
              </w:rPr>
              <w:t>Number of UNDP-backed policy instruments that support low carbon climate resilient economy in Bangladesh, Baseline 2016: 3</w:t>
            </w:r>
            <w:r w:rsidRPr="000B2DCA">
              <w:rPr>
                <w:rFonts w:eastAsia="Calibri"/>
                <w:iCs/>
                <w:sz w:val="18"/>
                <w:szCs w:val="18"/>
                <w:vertAlign w:val="superscript"/>
              </w:rPr>
              <w:footnoteReference w:id="43"/>
            </w:r>
            <w:r w:rsidRPr="000B2DCA">
              <w:rPr>
                <w:rFonts w:eastAsia="Calibri"/>
                <w:iCs/>
                <w:sz w:val="18"/>
                <w:szCs w:val="18"/>
              </w:rPr>
              <w:t>, Target 2020: 6; Source: UNDP annual desk review of policy instruments</w:t>
            </w:r>
          </w:p>
          <w:p w14:paraId="074A0037" w14:textId="66E83363" w:rsidR="00BC54AE" w:rsidRPr="000B2DCA" w:rsidRDefault="00BC54AE" w:rsidP="0009295E">
            <w:pPr>
              <w:tabs>
                <w:tab w:val="left" w:pos="900"/>
                <w:tab w:val="left" w:pos="990"/>
                <w:tab w:val="left" w:pos="8640"/>
                <w:tab w:val="left" w:pos="9180"/>
              </w:tabs>
              <w:ind w:left="31"/>
              <w:rPr>
                <w:rFonts w:eastAsia="Calibri"/>
                <w:iCs/>
                <w:sz w:val="18"/>
                <w:szCs w:val="18"/>
              </w:rPr>
            </w:pPr>
            <w:r w:rsidRPr="000B2DCA">
              <w:rPr>
                <w:rFonts w:eastAsia="Calibri"/>
                <w:b/>
                <w:iCs/>
                <w:sz w:val="18"/>
                <w:szCs w:val="18"/>
              </w:rPr>
              <w:t>Indicator 3.2.2.</w:t>
            </w:r>
            <w:r w:rsidRPr="000B2DCA">
              <w:rPr>
                <w:rFonts w:eastAsia="Calibri"/>
                <w:iCs/>
                <w:sz w:val="18"/>
                <w:szCs w:val="18"/>
              </w:rPr>
              <w:t xml:space="preserve"> Extent to which there is a strengthened system in place to access, deliver, monitor, report on and verify climate finance; Baseline 2016: 2 (very partially); Target 2021: 3 (largely); Source: UNDP annual independent expert panel (IRRF 1.4.1.B)</w:t>
            </w:r>
          </w:p>
          <w:p w14:paraId="3CF6EFCF" w14:textId="5FF609DF" w:rsidR="00BC54AE" w:rsidRPr="000B2DCA" w:rsidRDefault="00BC54AE" w:rsidP="0009295E">
            <w:pPr>
              <w:tabs>
                <w:tab w:val="left" w:pos="900"/>
                <w:tab w:val="left" w:pos="990"/>
                <w:tab w:val="left" w:pos="8640"/>
                <w:tab w:val="left" w:pos="9180"/>
              </w:tabs>
              <w:ind w:left="31"/>
              <w:rPr>
                <w:rFonts w:eastAsia="Calibri"/>
                <w:iCs/>
                <w:sz w:val="18"/>
                <w:szCs w:val="18"/>
              </w:rPr>
            </w:pPr>
            <w:r w:rsidRPr="000B2DCA">
              <w:rPr>
                <w:rFonts w:eastAsia="Calibri"/>
                <w:b/>
                <w:iCs/>
                <w:sz w:val="18"/>
                <w:szCs w:val="18"/>
              </w:rPr>
              <w:t>Indicator 3.2.3.</w:t>
            </w:r>
            <w:r w:rsidRPr="000B2DCA">
              <w:rPr>
                <w:rFonts w:eastAsia="Calibri"/>
                <w:iCs/>
                <w:sz w:val="18"/>
                <w:szCs w:val="18"/>
              </w:rPr>
              <w:t xml:space="preserve"> N</w:t>
            </w:r>
            <w:r w:rsidR="003F1A93">
              <w:rPr>
                <w:rFonts w:eastAsia="Calibri"/>
                <w:iCs/>
                <w:sz w:val="18"/>
                <w:szCs w:val="18"/>
              </w:rPr>
              <w:t>umber</w:t>
            </w:r>
            <w:r w:rsidRPr="000B2DCA">
              <w:rPr>
                <w:rFonts w:eastAsia="Calibri"/>
                <w:iCs/>
                <w:sz w:val="18"/>
                <w:szCs w:val="18"/>
              </w:rPr>
              <w:t xml:space="preserve"> of </w:t>
            </w:r>
            <w:r w:rsidR="003F1A93">
              <w:rPr>
                <w:rFonts w:eastAsia="Calibri"/>
                <w:iCs/>
                <w:sz w:val="18"/>
                <w:szCs w:val="18"/>
              </w:rPr>
              <w:t>e</w:t>
            </w:r>
            <w:r w:rsidRPr="000B2DCA">
              <w:rPr>
                <w:rFonts w:eastAsia="Calibri"/>
                <w:iCs/>
                <w:sz w:val="18"/>
                <w:szCs w:val="18"/>
              </w:rPr>
              <w:t xml:space="preserve">cologically </w:t>
            </w:r>
            <w:r w:rsidR="003F1A93">
              <w:rPr>
                <w:rFonts w:eastAsia="Calibri"/>
                <w:iCs/>
                <w:sz w:val="18"/>
                <w:szCs w:val="18"/>
              </w:rPr>
              <w:t>c</w:t>
            </w:r>
            <w:r w:rsidRPr="000B2DCA">
              <w:rPr>
                <w:rFonts w:eastAsia="Calibri"/>
                <w:iCs/>
                <w:sz w:val="18"/>
                <w:szCs w:val="18"/>
              </w:rPr>
              <w:t xml:space="preserve">ritical </w:t>
            </w:r>
            <w:r w:rsidR="003F1A93">
              <w:rPr>
                <w:rFonts w:eastAsia="Calibri"/>
                <w:iCs/>
                <w:sz w:val="18"/>
                <w:szCs w:val="18"/>
              </w:rPr>
              <w:t>a</w:t>
            </w:r>
            <w:r w:rsidRPr="000B2DCA">
              <w:rPr>
                <w:rFonts w:eastAsia="Calibri"/>
                <w:iCs/>
                <w:sz w:val="18"/>
                <w:szCs w:val="18"/>
              </w:rPr>
              <w:t>rea</w:t>
            </w:r>
            <w:r w:rsidR="003F1A93">
              <w:rPr>
                <w:rFonts w:eastAsia="Calibri"/>
                <w:iCs/>
                <w:sz w:val="18"/>
                <w:szCs w:val="18"/>
              </w:rPr>
              <w:t>s</w:t>
            </w:r>
            <w:r w:rsidRPr="000B2DCA">
              <w:rPr>
                <w:rFonts w:eastAsia="Calibri"/>
                <w:iCs/>
                <w:sz w:val="18"/>
                <w:szCs w:val="18"/>
              </w:rPr>
              <w:t xml:space="preserve"> declared by G</w:t>
            </w:r>
            <w:r w:rsidR="003F1A93">
              <w:rPr>
                <w:rFonts w:eastAsia="Calibri"/>
                <w:iCs/>
                <w:sz w:val="18"/>
                <w:szCs w:val="18"/>
              </w:rPr>
              <w:t>ov’t</w:t>
            </w:r>
            <w:r w:rsidRPr="000B2DCA">
              <w:rPr>
                <w:rFonts w:eastAsia="Calibri"/>
                <w:iCs/>
                <w:sz w:val="18"/>
                <w:szCs w:val="18"/>
              </w:rPr>
              <w:t xml:space="preserve"> for special protection; 2016: 13 Target 2021: 15; Source: DoE/MoEF</w:t>
            </w:r>
          </w:p>
          <w:p w14:paraId="685AAA05" w14:textId="2C7FF2B0" w:rsidR="00BC54AE" w:rsidRPr="000B2DCA" w:rsidRDefault="00BC54AE" w:rsidP="0009295E">
            <w:pPr>
              <w:tabs>
                <w:tab w:val="left" w:pos="900"/>
                <w:tab w:val="left" w:pos="990"/>
                <w:tab w:val="left" w:pos="8640"/>
                <w:tab w:val="left" w:pos="9180"/>
              </w:tabs>
              <w:ind w:left="31"/>
              <w:rPr>
                <w:rFonts w:eastAsia="Calibri"/>
                <w:iCs/>
                <w:sz w:val="18"/>
                <w:szCs w:val="18"/>
              </w:rPr>
            </w:pPr>
            <w:r w:rsidRPr="000B2DCA">
              <w:rPr>
                <w:rFonts w:eastAsia="Calibri"/>
                <w:b/>
                <w:iCs/>
                <w:sz w:val="18"/>
                <w:szCs w:val="18"/>
              </w:rPr>
              <w:t>Indicator 3.2.4.</w:t>
            </w:r>
            <w:r w:rsidRPr="000B2DCA">
              <w:rPr>
                <w:rFonts w:eastAsia="Calibri"/>
                <w:iCs/>
                <w:sz w:val="18"/>
                <w:szCs w:val="18"/>
              </w:rPr>
              <w:t>: No. of rivers</w:t>
            </w:r>
            <w:r w:rsidR="003F1A93">
              <w:rPr>
                <w:rFonts w:eastAsia="Calibri"/>
                <w:iCs/>
                <w:sz w:val="18"/>
                <w:szCs w:val="18"/>
              </w:rPr>
              <w:t>’</w:t>
            </w:r>
            <w:r w:rsidRPr="000B2DCA">
              <w:rPr>
                <w:rFonts w:eastAsia="Calibri"/>
                <w:iCs/>
                <w:sz w:val="18"/>
                <w:szCs w:val="18"/>
              </w:rPr>
              <w:t xml:space="preserve"> water quality issues that are taken as investment priority by the National River Conservation Commission (NRCC); Baseline 2016: 0; Target 2021: 4; Source: NRCC</w:t>
            </w:r>
          </w:p>
        </w:tc>
        <w:tc>
          <w:tcPr>
            <w:tcW w:w="615" w:type="pct"/>
          </w:tcPr>
          <w:p w14:paraId="41D49A72" w14:textId="0D873AA1" w:rsidR="00ED22BD" w:rsidRPr="000B2DCA" w:rsidRDefault="002D016B" w:rsidP="0009295E">
            <w:pPr>
              <w:tabs>
                <w:tab w:val="left" w:pos="900"/>
                <w:tab w:val="left" w:pos="990"/>
                <w:tab w:val="left" w:pos="8640"/>
                <w:tab w:val="left" w:pos="9180"/>
              </w:tabs>
              <w:ind w:left="31"/>
              <w:rPr>
                <w:iCs/>
                <w:color w:val="000000"/>
                <w:sz w:val="18"/>
                <w:szCs w:val="18"/>
              </w:rPr>
            </w:pPr>
            <w:r w:rsidRPr="000B2DCA">
              <w:rPr>
                <w:iCs/>
                <w:color w:val="000000"/>
                <w:sz w:val="18"/>
                <w:szCs w:val="18"/>
              </w:rPr>
              <w:lastRenderedPageBreak/>
              <w:t>Ministries</w:t>
            </w:r>
            <w:r w:rsidR="00BC54AE" w:rsidRPr="000B2DCA">
              <w:rPr>
                <w:iCs/>
                <w:color w:val="000000"/>
                <w:sz w:val="18"/>
                <w:szCs w:val="18"/>
              </w:rPr>
              <w:t xml:space="preserve"> of Environment</w:t>
            </w:r>
            <w:r w:rsidR="00ED22BD" w:rsidRPr="000B2DCA">
              <w:rPr>
                <w:iCs/>
                <w:color w:val="000000"/>
                <w:sz w:val="18"/>
                <w:szCs w:val="18"/>
              </w:rPr>
              <w:t xml:space="preserve"> and Forest</w:t>
            </w:r>
            <w:r w:rsidR="00BC54AE" w:rsidRPr="000B2DCA">
              <w:rPr>
                <w:iCs/>
                <w:color w:val="000000"/>
                <w:sz w:val="18"/>
                <w:szCs w:val="18"/>
              </w:rPr>
              <w:t>, Water Resources</w:t>
            </w:r>
            <w:r w:rsidRPr="000B2DCA">
              <w:rPr>
                <w:iCs/>
                <w:color w:val="000000"/>
                <w:sz w:val="18"/>
                <w:szCs w:val="18"/>
              </w:rPr>
              <w:t xml:space="preserve">, </w:t>
            </w:r>
            <w:r w:rsidR="007B3EEC" w:rsidRPr="000B2DCA">
              <w:rPr>
                <w:iCs/>
                <w:color w:val="000000"/>
                <w:sz w:val="18"/>
                <w:szCs w:val="18"/>
              </w:rPr>
              <w:t>Disaster Management and Relief</w:t>
            </w:r>
            <w:r w:rsidRPr="000B2DCA">
              <w:rPr>
                <w:iCs/>
                <w:color w:val="000000"/>
                <w:sz w:val="18"/>
                <w:szCs w:val="18"/>
              </w:rPr>
              <w:t xml:space="preserve">, </w:t>
            </w:r>
            <w:r w:rsidR="00BC54AE" w:rsidRPr="000B2DCA">
              <w:rPr>
                <w:iCs/>
                <w:color w:val="000000"/>
                <w:sz w:val="18"/>
                <w:szCs w:val="18"/>
              </w:rPr>
              <w:t>Power and Mineral Resources</w:t>
            </w:r>
            <w:r w:rsidRPr="000B2DCA">
              <w:rPr>
                <w:iCs/>
                <w:color w:val="000000"/>
                <w:sz w:val="18"/>
                <w:szCs w:val="18"/>
              </w:rPr>
              <w:t xml:space="preserve">, </w:t>
            </w:r>
            <w:r w:rsidR="00BC54AE" w:rsidRPr="000B2DCA">
              <w:rPr>
                <w:iCs/>
                <w:color w:val="000000"/>
                <w:sz w:val="18"/>
                <w:szCs w:val="18"/>
              </w:rPr>
              <w:t>Education</w:t>
            </w:r>
            <w:r w:rsidRPr="000B2DCA">
              <w:rPr>
                <w:iCs/>
                <w:color w:val="000000"/>
                <w:sz w:val="18"/>
                <w:szCs w:val="18"/>
              </w:rPr>
              <w:t xml:space="preserve">, Health, </w:t>
            </w:r>
            <w:r w:rsidR="00BE2121" w:rsidRPr="000B2DCA">
              <w:rPr>
                <w:iCs/>
                <w:color w:val="000000"/>
                <w:sz w:val="18"/>
                <w:szCs w:val="18"/>
              </w:rPr>
              <w:t>Chittagong Hill Tract Affairs</w:t>
            </w:r>
          </w:p>
          <w:p w14:paraId="12BFA629" w14:textId="6C28D553" w:rsidR="00BE2121" w:rsidRPr="000B2DCA" w:rsidRDefault="00BC54AE" w:rsidP="0009295E">
            <w:pPr>
              <w:tabs>
                <w:tab w:val="left" w:pos="900"/>
                <w:tab w:val="left" w:pos="990"/>
                <w:tab w:val="left" w:pos="8640"/>
                <w:tab w:val="left" w:pos="9180"/>
              </w:tabs>
              <w:ind w:left="31"/>
              <w:rPr>
                <w:iCs/>
                <w:color w:val="000000"/>
                <w:sz w:val="18"/>
                <w:szCs w:val="18"/>
              </w:rPr>
            </w:pPr>
            <w:r w:rsidRPr="000B2DCA">
              <w:rPr>
                <w:iCs/>
                <w:color w:val="000000"/>
                <w:sz w:val="18"/>
                <w:szCs w:val="18"/>
              </w:rPr>
              <w:t>Economic Relations Division</w:t>
            </w:r>
            <w:r w:rsidR="001038DC">
              <w:rPr>
                <w:iCs/>
                <w:color w:val="000000"/>
                <w:sz w:val="18"/>
                <w:szCs w:val="18"/>
              </w:rPr>
              <w:t xml:space="preserve">; </w:t>
            </w:r>
            <w:r w:rsidR="00DB64A0" w:rsidRPr="000B2DCA">
              <w:rPr>
                <w:iCs/>
                <w:color w:val="000000"/>
                <w:sz w:val="18"/>
                <w:szCs w:val="18"/>
              </w:rPr>
              <w:t>BBS</w:t>
            </w:r>
          </w:p>
          <w:p w14:paraId="5D563CFF" w14:textId="77777777" w:rsidR="00BE2121" w:rsidRPr="000B2DCA" w:rsidRDefault="00BE2121" w:rsidP="0009295E">
            <w:pPr>
              <w:tabs>
                <w:tab w:val="left" w:pos="900"/>
                <w:tab w:val="left" w:pos="990"/>
                <w:tab w:val="left" w:pos="8640"/>
                <w:tab w:val="left" w:pos="9180"/>
              </w:tabs>
              <w:ind w:left="31"/>
              <w:rPr>
                <w:iCs/>
                <w:color w:val="000000"/>
                <w:sz w:val="18"/>
                <w:szCs w:val="18"/>
              </w:rPr>
            </w:pPr>
            <w:r w:rsidRPr="000B2DCA">
              <w:rPr>
                <w:iCs/>
                <w:color w:val="000000"/>
                <w:sz w:val="18"/>
                <w:szCs w:val="18"/>
              </w:rPr>
              <w:t>Implementation Monitoring and Evaluation Division</w:t>
            </w:r>
          </w:p>
          <w:p w14:paraId="01A2D772" w14:textId="262DBE79" w:rsidR="000625CD" w:rsidRPr="000B2DCA" w:rsidRDefault="000625CD" w:rsidP="0009295E">
            <w:pPr>
              <w:tabs>
                <w:tab w:val="left" w:pos="900"/>
                <w:tab w:val="left" w:pos="990"/>
                <w:tab w:val="left" w:pos="8640"/>
                <w:tab w:val="left" w:pos="9180"/>
              </w:tabs>
              <w:ind w:left="31"/>
              <w:rPr>
                <w:iCs/>
                <w:color w:val="000000"/>
                <w:sz w:val="18"/>
                <w:szCs w:val="18"/>
              </w:rPr>
            </w:pPr>
            <w:r w:rsidRPr="000B2DCA">
              <w:rPr>
                <w:iCs/>
                <w:color w:val="000000"/>
                <w:sz w:val="18"/>
                <w:szCs w:val="18"/>
              </w:rPr>
              <w:t>Montreal Protocol</w:t>
            </w:r>
          </w:p>
          <w:p w14:paraId="5F2FD61A" w14:textId="43F0F5F5" w:rsidR="000625CD" w:rsidRPr="000B2DCA" w:rsidRDefault="000625CD" w:rsidP="0009295E">
            <w:pPr>
              <w:tabs>
                <w:tab w:val="left" w:pos="900"/>
                <w:tab w:val="left" w:pos="990"/>
                <w:tab w:val="left" w:pos="8640"/>
                <w:tab w:val="left" w:pos="9180"/>
              </w:tabs>
              <w:ind w:left="31"/>
              <w:rPr>
                <w:iCs/>
                <w:color w:val="000000"/>
                <w:sz w:val="18"/>
                <w:szCs w:val="18"/>
              </w:rPr>
            </w:pPr>
            <w:r w:rsidRPr="000B2DCA">
              <w:rPr>
                <w:iCs/>
                <w:color w:val="000000"/>
                <w:sz w:val="18"/>
                <w:szCs w:val="18"/>
              </w:rPr>
              <w:t>Global Environment Facility</w:t>
            </w:r>
          </w:p>
          <w:p w14:paraId="506EF520" w14:textId="29C087F5" w:rsidR="00BC54AE" w:rsidRPr="000B2DCA" w:rsidRDefault="00BC54AE" w:rsidP="0009295E">
            <w:pPr>
              <w:tabs>
                <w:tab w:val="left" w:pos="900"/>
                <w:tab w:val="left" w:pos="990"/>
                <w:tab w:val="left" w:pos="8640"/>
                <w:tab w:val="left" w:pos="9180"/>
              </w:tabs>
              <w:ind w:left="31"/>
              <w:rPr>
                <w:iCs/>
                <w:color w:val="000000"/>
                <w:sz w:val="18"/>
                <w:szCs w:val="18"/>
              </w:rPr>
            </w:pPr>
            <w:r w:rsidRPr="000B2DCA">
              <w:rPr>
                <w:iCs/>
                <w:color w:val="000000"/>
                <w:sz w:val="18"/>
                <w:szCs w:val="18"/>
              </w:rPr>
              <w:t>Private Sector (e.</w:t>
            </w:r>
            <w:r w:rsidR="009B4798">
              <w:rPr>
                <w:iCs/>
                <w:color w:val="000000"/>
                <w:sz w:val="18"/>
                <w:szCs w:val="18"/>
              </w:rPr>
              <w:t>g.,</w:t>
            </w:r>
            <w:r w:rsidR="00723D04">
              <w:rPr>
                <w:iCs/>
                <w:color w:val="000000"/>
                <w:sz w:val="18"/>
                <w:szCs w:val="18"/>
              </w:rPr>
              <w:t> </w:t>
            </w:r>
            <w:r w:rsidRPr="000B2DCA">
              <w:rPr>
                <w:iCs/>
                <w:color w:val="000000"/>
                <w:sz w:val="18"/>
                <w:szCs w:val="18"/>
              </w:rPr>
              <w:t>BUILD)</w:t>
            </w:r>
          </w:p>
          <w:p w14:paraId="34D66B7C" w14:textId="783BEEFD" w:rsidR="00AE73C9" w:rsidRPr="000B2DCA" w:rsidRDefault="00AE73C9" w:rsidP="0009295E">
            <w:pPr>
              <w:tabs>
                <w:tab w:val="left" w:pos="900"/>
                <w:tab w:val="left" w:pos="990"/>
                <w:tab w:val="left" w:pos="8640"/>
                <w:tab w:val="left" w:pos="9180"/>
              </w:tabs>
              <w:ind w:left="31"/>
              <w:rPr>
                <w:iCs/>
                <w:color w:val="000000"/>
                <w:sz w:val="18"/>
                <w:szCs w:val="18"/>
              </w:rPr>
            </w:pPr>
            <w:r w:rsidRPr="000B2DCA">
              <w:rPr>
                <w:iCs/>
                <w:color w:val="000000"/>
                <w:sz w:val="18"/>
                <w:szCs w:val="18"/>
              </w:rPr>
              <w:t>Civil Society (</w:t>
            </w:r>
            <w:r w:rsidR="000C3CF9" w:rsidRPr="000B2DCA">
              <w:rPr>
                <w:iCs/>
                <w:color w:val="000000"/>
                <w:sz w:val="18"/>
                <w:szCs w:val="18"/>
              </w:rPr>
              <w:t>e.g.,</w:t>
            </w:r>
            <w:r w:rsidR="00723D04">
              <w:rPr>
                <w:iCs/>
                <w:color w:val="000000"/>
                <w:sz w:val="18"/>
                <w:szCs w:val="18"/>
              </w:rPr>
              <w:t> </w:t>
            </w:r>
            <w:r w:rsidRPr="000B2DCA">
              <w:rPr>
                <w:iCs/>
                <w:color w:val="000000"/>
                <w:sz w:val="18"/>
                <w:szCs w:val="18"/>
              </w:rPr>
              <w:t>PKSF)</w:t>
            </w:r>
          </w:p>
          <w:p w14:paraId="296E8FEA" w14:textId="6A94BFE2" w:rsidR="00DB7920" w:rsidRPr="000B2DCA" w:rsidRDefault="00DB7920" w:rsidP="0009295E">
            <w:pPr>
              <w:tabs>
                <w:tab w:val="left" w:pos="900"/>
                <w:tab w:val="left" w:pos="990"/>
                <w:tab w:val="left" w:pos="8640"/>
                <w:tab w:val="left" w:pos="9180"/>
              </w:tabs>
              <w:ind w:left="31"/>
              <w:rPr>
                <w:iCs/>
                <w:color w:val="000000"/>
                <w:sz w:val="18"/>
                <w:szCs w:val="18"/>
              </w:rPr>
            </w:pPr>
            <w:r w:rsidRPr="000B2DCA">
              <w:rPr>
                <w:iCs/>
                <w:color w:val="000000"/>
                <w:sz w:val="18"/>
                <w:szCs w:val="18"/>
              </w:rPr>
              <w:lastRenderedPageBreak/>
              <w:t>Sweden</w:t>
            </w:r>
          </w:p>
          <w:p w14:paraId="4BBEBB72" w14:textId="77777777" w:rsidR="00BC54AE" w:rsidRPr="000B2DCA" w:rsidRDefault="00BC54AE" w:rsidP="0009295E">
            <w:pPr>
              <w:tabs>
                <w:tab w:val="left" w:pos="900"/>
                <w:tab w:val="left" w:pos="990"/>
                <w:tab w:val="left" w:pos="8640"/>
                <w:tab w:val="left" w:pos="9180"/>
              </w:tabs>
              <w:ind w:left="31"/>
              <w:rPr>
                <w:iCs/>
                <w:color w:val="000000"/>
                <w:sz w:val="18"/>
                <w:szCs w:val="18"/>
              </w:rPr>
            </w:pPr>
            <w:r w:rsidRPr="000B2DCA">
              <w:rPr>
                <w:iCs/>
                <w:color w:val="000000"/>
                <w:sz w:val="18"/>
                <w:szCs w:val="18"/>
              </w:rPr>
              <w:t>Denmark</w:t>
            </w:r>
          </w:p>
          <w:p w14:paraId="6F29D0B0" w14:textId="77777777" w:rsidR="00BC54AE" w:rsidRPr="000B2DCA" w:rsidRDefault="00BC54AE" w:rsidP="0009295E">
            <w:pPr>
              <w:tabs>
                <w:tab w:val="left" w:pos="900"/>
                <w:tab w:val="left" w:pos="990"/>
                <w:tab w:val="left" w:pos="8640"/>
                <w:tab w:val="left" w:pos="9180"/>
              </w:tabs>
              <w:ind w:left="31"/>
              <w:rPr>
                <w:iCs/>
                <w:color w:val="000000"/>
                <w:sz w:val="18"/>
                <w:szCs w:val="18"/>
              </w:rPr>
            </w:pPr>
            <w:r w:rsidRPr="000B2DCA">
              <w:rPr>
                <w:iCs/>
                <w:color w:val="000000"/>
                <w:sz w:val="18"/>
                <w:szCs w:val="18"/>
              </w:rPr>
              <w:t>European Union</w:t>
            </w:r>
          </w:p>
          <w:p w14:paraId="3237ECB2" w14:textId="77777777" w:rsidR="00BC54AE" w:rsidRPr="000B2DCA" w:rsidRDefault="00BC54AE" w:rsidP="0009295E">
            <w:pPr>
              <w:tabs>
                <w:tab w:val="left" w:pos="900"/>
                <w:tab w:val="left" w:pos="990"/>
                <w:tab w:val="left" w:pos="8640"/>
                <w:tab w:val="left" w:pos="9180"/>
              </w:tabs>
              <w:ind w:left="31"/>
              <w:rPr>
                <w:iCs/>
                <w:color w:val="000000"/>
                <w:sz w:val="18"/>
                <w:szCs w:val="18"/>
              </w:rPr>
            </w:pPr>
            <w:r w:rsidRPr="000B2DCA">
              <w:rPr>
                <w:iCs/>
                <w:color w:val="000000"/>
                <w:sz w:val="18"/>
                <w:szCs w:val="18"/>
              </w:rPr>
              <w:t>Sweden</w:t>
            </w:r>
          </w:p>
          <w:p w14:paraId="26802CC7" w14:textId="2E4C55EC" w:rsidR="00BC54AE" w:rsidRPr="000B2DCA" w:rsidRDefault="00BC54AE" w:rsidP="0009295E">
            <w:pPr>
              <w:tabs>
                <w:tab w:val="left" w:pos="900"/>
                <w:tab w:val="left" w:pos="990"/>
                <w:tab w:val="left" w:pos="8640"/>
                <w:tab w:val="left" w:pos="9180"/>
              </w:tabs>
              <w:ind w:left="31"/>
              <w:rPr>
                <w:iCs/>
                <w:color w:val="000000"/>
                <w:sz w:val="18"/>
                <w:szCs w:val="18"/>
              </w:rPr>
            </w:pPr>
            <w:r w:rsidRPr="000B2DCA">
              <w:rPr>
                <w:iCs/>
                <w:color w:val="000000"/>
                <w:sz w:val="18"/>
                <w:szCs w:val="18"/>
              </w:rPr>
              <w:t>UK</w:t>
            </w:r>
            <w:r w:rsidR="003F1A93">
              <w:rPr>
                <w:iCs/>
                <w:color w:val="000000"/>
                <w:sz w:val="18"/>
                <w:szCs w:val="18"/>
              </w:rPr>
              <w:t>aid</w:t>
            </w:r>
          </w:p>
          <w:p w14:paraId="1E42860B" w14:textId="77777777" w:rsidR="00BC54AE" w:rsidRPr="000B2DCA" w:rsidRDefault="00BC54AE" w:rsidP="0009295E">
            <w:pPr>
              <w:tabs>
                <w:tab w:val="left" w:pos="900"/>
                <w:tab w:val="left" w:pos="990"/>
                <w:tab w:val="left" w:pos="8640"/>
                <w:tab w:val="left" w:pos="9180"/>
              </w:tabs>
              <w:ind w:left="31"/>
              <w:rPr>
                <w:iCs/>
                <w:color w:val="000000"/>
                <w:sz w:val="18"/>
                <w:szCs w:val="18"/>
              </w:rPr>
            </w:pPr>
            <w:r w:rsidRPr="000B2DCA">
              <w:rPr>
                <w:iCs/>
                <w:color w:val="000000"/>
                <w:sz w:val="18"/>
                <w:szCs w:val="18"/>
              </w:rPr>
              <w:t>USAID</w:t>
            </w:r>
          </w:p>
          <w:p w14:paraId="791D0CDD" w14:textId="77777777" w:rsidR="00BC54AE" w:rsidRPr="000B2DCA" w:rsidRDefault="00BC54AE" w:rsidP="0009295E">
            <w:pPr>
              <w:tabs>
                <w:tab w:val="left" w:pos="900"/>
                <w:tab w:val="left" w:pos="990"/>
                <w:tab w:val="left" w:pos="8640"/>
                <w:tab w:val="left" w:pos="9180"/>
              </w:tabs>
              <w:ind w:left="31"/>
              <w:rPr>
                <w:iCs/>
                <w:color w:val="000000"/>
                <w:sz w:val="18"/>
                <w:szCs w:val="18"/>
              </w:rPr>
            </w:pPr>
            <w:r w:rsidRPr="000B2DCA">
              <w:rPr>
                <w:iCs/>
                <w:color w:val="000000"/>
                <w:sz w:val="18"/>
                <w:szCs w:val="18"/>
              </w:rPr>
              <w:t>China</w:t>
            </w:r>
          </w:p>
          <w:p w14:paraId="6A837551" w14:textId="4B3FD32A" w:rsidR="00BC54AE" w:rsidRPr="000B2DCA" w:rsidRDefault="001038DC" w:rsidP="0009295E">
            <w:pPr>
              <w:tabs>
                <w:tab w:val="left" w:pos="900"/>
                <w:tab w:val="left" w:pos="990"/>
                <w:tab w:val="left" w:pos="8640"/>
                <w:tab w:val="left" w:pos="9180"/>
              </w:tabs>
              <w:ind w:left="31"/>
              <w:rPr>
                <w:iCs/>
                <w:color w:val="000000"/>
                <w:sz w:val="18"/>
                <w:szCs w:val="18"/>
              </w:rPr>
            </w:pPr>
            <w:r>
              <w:rPr>
                <w:iCs/>
                <w:color w:val="000000"/>
                <w:sz w:val="18"/>
                <w:szCs w:val="18"/>
              </w:rPr>
              <w:t>Australia</w:t>
            </w:r>
          </w:p>
          <w:p w14:paraId="50388828" w14:textId="41891BDF" w:rsidR="00BC54AE" w:rsidRPr="000B2DCA" w:rsidRDefault="00BC54AE" w:rsidP="0009295E">
            <w:pPr>
              <w:tabs>
                <w:tab w:val="left" w:pos="900"/>
                <w:tab w:val="left" w:pos="990"/>
                <w:tab w:val="left" w:pos="8640"/>
                <w:tab w:val="left" w:pos="9180"/>
              </w:tabs>
              <w:ind w:left="31"/>
              <w:rPr>
                <w:iCs/>
                <w:color w:val="000000"/>
                <w:sz w:val="18"/>
                <w:szCs w:val="18"/>
              </w:rPr>
            </w:pPr>
            <w:r w:rsidRPr="000B2DCA">
              <w:rPr>
                <w:sz w:val="18"/>
                <w:szCs w:val="18"/>
              </w:rPr>
              <w:t>G</w:t>
            </w:r>
            <w:r w:rsidR="003F1A93">
              <w:rPr>
                <w:sz w:val="18"/>
                <w:szCs w:val="18"/>
              </w:rPr>
              <w:t>ermany</w:t>
            </w:r>
          </w:p>
          <w:p w14:paraId="7F522DB1" w14:textId="1242D97A" w:rsidR="00BC54AE" w:rsidRPr="000B2DCA" w:rsidRDefault="00BC54AE" w:rsidP="0009295E">
            <w:pPr>
              <w:tabs>
                <w:tab w:val="left" w:pos="900"/>
                <w:tab w:val="left" w:pos="990"/>
                <w:tab w:val="left" w:pos="8640"/>
                <w:tab w:val="left" w:pos="9180"/>
              </w:tabs>
              <w:ind w:left="31"/>
              <w:rPr>
                <w:iCs/>
                <w:color w:val="000000"/>
                <w:sz w:val="18"/>
                <w:szCs w:val="18"/>
              </w:rPr>
            </w:pPr>
          </w:p>
          <w:p w14:paraId="0EAFCCED" w14:textId="299DDF42" w:rsidR="00BC54AE" w:rsidRPr="000B2DCA" w:rsidRDefault="008A0E62" w:rsidP="0009295E">
            <w:pPr>
              <w:tabs>
                <w:tab w:val="left" w:pos="900"/>
                <w:tab w:val="left" w:pos="990"/>
                <w:tab w:val="left" w:pos="8640"/>
                <w:tab w:val="left" w:pos="9180"/>
              </w:tabs>
              <w:ind w:left="31"/>
              <w:rPr>
                <w:iCs/>
                <w:color w:val="000000"/>
                <w:sz w:val="18"/>
                <w:szCs w:val="18"/>
              </w:rPr>
            </w:pPr>
            <w:r>
              <w:rPr>
                <w:sz w:val="18"/>
                <w:szCs w:val="18"/>
              </w:rPr>
              <w:t>Green Climate Fund</w:t>
            </w:r>
          </w:p>
          <w:p w14:paraId="095549B0" w14:textId="77777777" w:rsidR="00BC54AE" w:rsidRPr="000B2DCA" w:rsidRDefault="00BC54AE" w:rsidP="0009295E">
            <w:pPr>
              <w:tabs>
                <w:tab w:val="left" w:pos="900"/>
                <w:tab w:val="left" w:pos="990"/>
                <w:tab w:val="left" w:pos="8640"/>
                <w:tab w:val="left" w:pos="9180"/>
              </w:tabs>
              <w:ind w:left="31"/>
              <w:rPr>
                <w:iCs/>
                <w:color w:val="000000"/>
                <w:sz w:val="18"/>
                <w:szCs w:val="18"/>
              </w:rPr>
            </w:pPr>
            <w:r w:rsidRPr="000B2DCA">
              <w:rPr>
                <w:iCs/>
                <w:color w:val="000000"/>
                <w:sz w:val="18"/>
                <w:szCs w:val="18"/>
              </w:rPr>
              <w:t>FAO</w:t>
            </w:r>
          </w:p>
          <w:p w14:paraId="27F89126" w14:textId="77777777" w:rsidR="00BC54AE" w:rsidRPr="000B2DCA" w:rsidRDefault="00BC54AE" w:rsidP="0009295E">
            <w:pPr>
              <w:tabs>
                <w:tab w:val="left" w:pos="900"/>
                <w:tab w:val="left" w:pos="990"/>
                <w:tab w:val="left" w:pos="8640"/>
                <w:tab w:val="left" w:pos="9180"/>
              </w:tabs>
              <w:ind w:left="31"/>
              <w:rPr>
                <w:iCs/>
                <w:color w:val="000000"/>
                <w:sz w:val="18"/>
                <w:szCs w:val="18"/>
              </w:rPr>
            </w:pPr>
            <w:r w:rsidRPr="000B2DCA">
              <w:rPr>
                <w:iCs/>
                <w:color w:val="000000"/>
                <w:sz w:val="18"/>
                <w:szCs w:val="18"/>
              </w:rPr>
              <w:t>UNEP</w:t>
            </w:r>
          </w:p>
          <w:p w14:paraId="05E518BA" w14:textId="43FF0B62" w:rsidR="00BC54AE" w:rsidRPr="000B2DCA" w:rsidRDefault="00BC54AE" w:rsidP="0009295E">
            <w:pPr>
              <w:tabs>
                <w:tab w:val="left" w:pos="900"/>
                <w:tab w:val="left" w:pos="990"/>
                <w:tab w:val="left" w:pos="8640"/>
                <w:tab w:val="left" w:pos="9180"/>
              </w:tabs>
              <w:ind w:left="31"/>
              <w:rPr>
                <w:iCs/>
                <w:color w:val="000000"/>
                <w:sz w:val="18"/>
                <w:szCs w:val="18"/>
              </w:rPr>
            </w:pPr>
            <w:r w:rsidRPr="000B2DCA">
              <w:rPr>
                <w:iCs/>
                <w:color w:val="000000"/>
                <w:sz w:val="18"/>
                <w:szCs w:val="18"/>
              </w:rPr>
              <w:t>UN</w:t>
            </w:r>
            <w:r w:rsidR="000C3CF9" w:rsidRPr="000B2DCA">
              <w:rPr>
                <w:iCs/>
                <w:color w:val="000000"/>
                <w:sz w:val="18"/>
                <w:szCs w:val="18"/>
              </w:rPr>
              <w:t>-</w:t>
            </w:r>
            <w:r w:rsidRPr="000B2DCA">
              <w:rPr>
                <w:iCs/>
                <w:color w:val="000000"/>
                <w:sz w:val="18"/>
                <w:szCs w:val="18"/>
              </w:rPr>
              <w:t xml:space="preserve">Women </w:t>
            </w:r>
          </w:p>
          <w:p w14:paraId="40F25AB5" w14:textId="77777777" w:rsidR="00BC54AE" w:rsidRPr="000B2DCA" w:rsidRDefault="00BC54AE" w:rsidP="0009295E">
            <w:pPr>
              <w:tabs>
                <w:tab w:val="left" w:pos="900"/>
                <w:tab w:val="left" w:pos="990"/>
                <w:tab w:val="left" w:pos="8640"/>
                <w:tab w:val="left" w:pos="9180"/>
              </w:tabs>
              <w:ind w:left="31"/>
              <w:rPr>
                <w:iCs/>
                <w:color w:val="000000"/>
                <w:sz w:val="18"/>
                <w:szCs w:val="18"/>
              </w:rPr>
            </w:pPr>
            <w:r w:rsidRPr="000B2DCA">
              <w:rPr>
                <w:iCs/>
                <w:color w:val="000000"/>
                <w:sz w:val="18"/>
                <w:szCs w:val="18"/>
              </w:rPr>
              <w:t>UNICEF</w:t>
            </w:r>
          </w:p>
          <w:p w14:paraId="2C8EA201" w14:textId="51AB317D" w:rsidR="00AE73C9" w:rsidRPr="000B2DCA" w:rsidRDefault="00BC54AE" w:rsidP="0009295E">
            <w:pPr>
              <w:tabs>
                <w:tab w:val="left" w:pos="900"/>
                <w:tab w:val="left" w:pos="990"/>
                <w:tab w:val="left" w:pos="8640"/>
                <w:tab w:val="left" w:pos="9180"/>
              </w:tabs>
              <w:ind w:left="31"/>
              <w:rPr>
                <w:iCs/>
                <w:color w:val="000000"/>
                <w:sz w:val="18"/>
                <w:szCs w:val="18"/>
              </w:rPr>
            </w:pPr>
            <w:r w:rsidRPr="000B2DCA">
              <w:rPr>
                <w:iCs/>
                <w:color w:val="000000"/>
                <w:sz w:val="18"/>
                <w:szCs w:val="18"/>
              </w:rPr>
              <w:t>WFP</w:t>
            </w:r>
          </w:p>
        </w:tc>
        <w:tc>
          <w:tcPr>
            <w:tcW w:w="591" w:type="pct"/>
            <w:gridSpan w:val="2"/>
            <w:tcMar>
              <w:top w:w="15" w:type="dxa"/>
              <w:left w:w="108" w:type="dxa"/>
              <w:bottom w:w="0" w:type="dxa"/>
              <w:right w:w="108" w:type="dxa"/>
            </w:tcMar>
          </w:tcPr>
          <w:p w14:paraId="76E9C871" w14:textId="2A64927C" w:rsidR="00BC54AE" w:rsidRPr="000B2DCA" w:rsidRDefault="00BC54AE" w:rsidP="0009295E">
            <w:pPr>
              <w:tabs>
                <w:tab w:val="left" w:pos="900"/>
                <w:tab w:val="left" w:pos="990"/>
                <w:tab w:val="left" w:pos="8640"/>
                <w:tab w:val="left" w:pos="9180"/>
              </w:tabs>
              <w:ind w:left="31"/>
              <w:rPr>
                <w:rFonts w:eastAsia="Calibri"/>
                <w:b/>
                <w:color w:val="000000"/>
                <w:sz w:val="18"/>
                <w:szCs w:val="18"/>
              </w:rPr>
            </w:pPr>
            <w:r w:rsidRPr="000B2DCA">
              <w:rPr>
                <w:rFonts w:eastAsia="Calibri"/>
                <w:b/>
                <w:color w:val="000000"/>
                <w:sz w:val="18"/>
                <w:szCs w:val="18"/>
              </w:rPr>
              <w:lastRenderedPageBreak/>
              <w:t xml:space="preserve">Regular </w:t>
            </w:r>
            <w:r w:rsidR="00062F4B">
              <w:rPr>
                <w:rFonts w:eastAsia="Calibri"/>
                <w:b/>
                <w:color w:val="000000"/>
                <w:sz w:val="18"/>
                <w:szCs w:val="18"/>
              </w:rPr>
              <w:t>r</w:t>
            </w:r>
            <w:r w:rsidRPr="000B2DCA">
              <w:rPr>
                <w:rFonts w:eastAsia="Calibri"/>
                <w:b/>
                <w:color w:val="000000"/>
                <w:sz w:val="18"/>
                <w:szCs w:val="18"/>
              </w:rPr>
              <w:t>esources</w:t>
            </w:r>
          </w:p>
          <w:p w14:paraId="01BB8D38" w14:textId="30CEF9BE" w:rsidR="00BC54AE" w:rsidRPr="000B2DCA" w:rsidRDefault="002A2CEF" w:rsidP="0009295E">
            <w:pPr>
              <w:tabs>
                <w:tab w:val="left" w:pos="900"/>
                <w:tab w:val="left" w:pos="990"/>
                <w:tab w:val="left" w:pos="8640"/>
                <w:tab w:val="left" w:pos="9180"/>
              </w:tabs>
              <w:ind w:left="31"/>
              <w:rPr>
                <w:rFonts w:eastAsia="Calibri"/>
                <w:color w:val="000000"/>
                <w:sz w:val="18"/>
                <w:szCs w:val="18"/>
              </w:rPr>
            </w:pPr>
            <w:r w:rsidRPr="000B2DCA">
              <w:rPr>
                <w:rFonts w:eastAsia="Calibri"/>
                <w:color w:val="000000"/>
                <w:sz w:val="18"/>
                <w:szCs w:val="18"/>
              </w:rPr>
              <w:t>10.</w:t>
            </w:r>
            <w:r w:rsidR="00592A01" w:rsidRPr="000B2DCA">
              <w:rPr>
                <w:rFonts w:eastAsia="Calibri"/>
                <w:color w:val="000000"/>
                <w:sz w:val="18"/>
                <w:szCs w:val="18"/>
              </w:rPr>
              <w:t>8</w:t>
            </w:r>
            <w:r w:rsidR="00BC54AE" w:rsidRPr="000B2DCA">
              <w:rPr>
                <w:rFonts w:eastAsia="Calibri"/>
                <w:color w:val="000000"/>
                <w:sz w:val="18"/>
                <w:szCs w:val="18"/>
              </w:rPr>
              <w:t xml:space="preserve"> million</w:t>
            </w:r>
          </w:p>
          <w:p w14:paraId="1F85D7DD" w14:textId="77777777" w:rsidR="0009295E" w:rsidRDefault="0009295E" w:rsidP="0009295E">
            <w:pPr>
              <w:tabs>
                <w:tab w:val="left" w:pos="900"/>
                <w:tab w:val="left" w:pos="990"/>
                <w:tab w:val="left" w:pos="8640"/>
                <w:tab w:val="left" w:pos="9180"/>
              </w:tabs>
              <w:ind w:left="31"/>
              <w:rPr>
                <w:rFonts w:eastAsia="Calibri"/>
                <w:b/>
                <w:color w:val="000000"/>
                <w:sz w:val="18"/>
                <w:szCs w:val="18"/>
              </w:rPr>
            </w:pPr>
          </w:p>
          <w:p w14:paraId="13253BB1" w14:textId="6F545764" w:rsidR="00BC54AE" w:rsidRPr="000B2DCA" w:rsidRDefault="00BC54AE" w:rsidP="0009295E">
            <w:pPr>
              <w:tabs>
                <w:tab w:val="left" w:pos="900"/>
                <w:tab w:val="left" w:pos="990"/>
                <w:tab w:val="left" w:pos="8640"/>
                <w:tab w:val="left" w:pos="9180"/>
              </w:tabs>
              <w:ind w:left="31"/>
              <w:rPr>
                <w:rFonts w:eastAsia="Calibri"/>
                <w:b/>
                <w:color w:val="000000"/>
                <w:sz w:val="18"/>
                <w:szCs w:val="18"/>
              </w:rPr>
            </w:pPr>
            <w:r w:rsidRPr="000B2DCA">
              <w:rPr>
                <w:rFonts w:eastAsia="Calibri"/>
                <w:b/>
                <w:color w:val="000000"/>
                <w:sz w:val="18"/>
                <w:szCs w:val="18"/>
              </w:rPr>
              <w:t xml:space="preserve">Other </w:t>
            </w:r>
            <w:r w:rsidR="00062F4B">
              <w:rPr>
                <w:rFonts w:eastAsia="Calibri"/>
                <w:b/>
                <w:color w:val="000000"/>
                <w:sz w:val="18"/>
                <w:szCs w:val="18"/>
              </w:rPr>
              <w:t>r</w:t>
            </w:r>
            <w:r w:rsidRPr="000B2DCA">
              <w:rPr>
                <w:rFonts w:eastAsia="Calibri"/>
                <w:b/>
                <w:color w:val="000000"/>
                <w:sz w:val="18"/>
                <w:szCs w:val="18"/>
              </w:rPr>
              <w:t>esources</w:t>
            </w:r>
          </w:p>
          <w:p w14:paraId="75E05B62" w14:textId="00001DDA" w:rsidR="00BC54AE" w:rsidRPr="000B2DCA" w:rsidRDefault="002A2CEF" w:rsidP="0009295E">
            <w:pPr>
              <w:tabs>
                <w:tab w:val="left" w:pos="900"/>
                <w:tab w:val="left" w:pos="990"/>
                <w:tab w:val="left" w:pos="8640"/>
                <w:tab w:val="left" w:pos="9180"/>
              </w:tabs>
              <w:ind w:left="31"/>
              <w:rPr>
                <w:rFonts w:eastAsia="Calibri"/>
                <w:b/>
                <w:color w:val="000000"/>
                <w:sz w:val="18"/>
                <w:szCs w:val="18"/>
              </w:rPr>
            </w:pPr>
            <w:r w:rsidRPr="000B2DCA">
              <w:rPr>
                <w:rFonts w:eastAsia="Calibri"/>
                <w:color w:val="000000"/>
                <w:sz w:val="18"/>
                <w:szCs w:val="18"/>
              </w:rPr>
              <w:t>144.</w:t>
            </w:r>
            <w:r w:rsidR="00592A01" w:rsidRPr="000B2DCA">
              <w:rPr>
                <w:rFonts w:eastAsia="Calibri"/>
                <w:color w:val="000000"/>
                <w:sz w:val="18"/>
                <w:szCs w:val="18"/>
              </w:rPr>
              <w:t>74</w:t>
            </w:r>
            <w:r w:rsidR="00BC54AE" w:rsidRPr="000B2DCA">
              <w:rPr>
                <w:rFonts w:eastAsia="Calibri"/>
                <w:color w:val="000000"/>
                <w:sz w:val="18"/>
                <w:szCs w:val="18"/>
              </w:rPr>
              <w:t xml:space="preserve"> million</w:t>
            </w:r>
          </w:p>
        </w:tc>
      </w:tr>
    </w:tbl>
    <w:p w14:paraId="22DBB56B" w14:textId="71FD132C" w:rsidR="000B2DCA" w:rsidRPr="000B2DCA" w:rsidRDefault="000B2DCA" w:rsidP="000B2DCA">
      <w:pPr>
        <w:tabs>
          <w:tab w:val="left" w:pos="900"/>
          <w:tab w:val="left" w:pos="990"/>
          <w:tab w:val="left" w:pos="8640"/>
          <w:tab w:val="left" w:pos="9180"/>
        </w:tabs>
        <w:spacing w:after="120"/>
        <w:ind w:left="450"/>
        <w:rPr>
          <w:sz w:val="18"/>
          <w:szCs w:val="18"/>
        </w:rPr>
        <w:sectPr w:rsidR="000B2DCA" w:rsidRPr="000B2DCA" w:rsidSect="00443D38">
          <w:headerReference w:type="even" r:id="rId28"/>
          <w:type w:val="continuous"/>
          <w:pgSz w:w="15840" w:h="12240" w:orient="landscape"/>
          <w:pgMar w:top="1080" w:right="1152" w:bottom="1440" w:left="1152" w:header="720" w:footer="720" w:gutter="0"/>
          <w:cols w:space="720"/>
        </w:sectPr>
      </w:pPr>
    </w:p>
    <w:p w14:paraId="78384243" w14:textId="78DC9E3D" w:rsidR="009B3DC8" w:rsidRPr="000B2DCA" w:rsidRDefault="00AB64CB" w:rsidP="00AB64CB">
      <w:pPr>
        <w:tabs>
          <w:tab w:val="left" w:pos="900"/>
          <w:tab w:val="left" w:pos="990"/>
          <w:tab w:val="left" w:pos="8640"/>
          <w:tab w:val="left" w:pos="9180"/>
        </w:tabs>
        <w:spacing w:after="120"/>
        <w:ind w:left="450"/>
        <w:jc w:val="center"/>
        <w:rPr>
          <w:color w:val="000000"/>
          <w:sz w:val="20"/>
          <w:szCs w:val="20"/>
        </w:rPr>
      </w:pPr>
      <w:r>
        <w:rPr>
          <w:rFonts w:eastAsiaTheme="minorEastAsia"/>
          <w:bCs/>
          <w:noProof/>
          <w:sz w:val="18"/>
          <w:szCs w:val="18"/>
          <w:lang w:val="en-US"/>
        </w:rPr>
        <w:drawing>
          <wp:inline distT="0" distB="0" distL="0" distR="0" wp14:anchorId="42AF9514" wp14:editId="64F6F11C">
            <wp:extent cx="944880" cy="304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44880" cy="30480"/>
                    </a:xfrm>
                    <a:prstGeom prst="rect">
                      <a:avLst/>
                    </a:prstGeom>
                    <a:noFill/>
                  </pic:spPr>
                </pic:pic>
              </a:graphicData>
            </a:graphic>
          </wp:inline>
        </w:drawing>
      </w:r>
    </w:p>
    <w:sectPr w:rsidR="009B3DC8" w:rsidRPr="000B2DCA" w:rsidSect="00AB64CB">
      <w:type w:val="continuous"/>
      <w:pgSz w:w="15840" w:h="12240" w:orient="landscape"/>
      <w:pgMar w:top="1440" w:right="1152" w:bottom="144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E9FFF" w14:textId="77777777" w:rsidR="008F38C9" w:rsidRDefault="008F38C9" w:rsidP="00441061">
      <w:r>
        <w:separator/>
      </w:r>
    </w:p>
  </w:endnote>
  <w:endnote w:type="continuationSeparator" w:id="0">
    <w:p w14:paraId="426AD074" w14:textId="77777777" w:rsidR="008F38C9" w:rsidRDefault="008F38C9"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E55FD" w14:textId="6110B8A1" w:rsidR="00F50884" w:rsidRPr="005841A3" w:rsidRDefault="00F50884">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0B4BE2">
      <w:rPr>
        <w:b/>
        <w:noProof/>
        <w:sz w:val="17"/>
        <w:szCs w:val="17"/>
      </w:rPr>
      <w:t>12</w:t>
    </w:r>
    <w:r w:rsidRPr="005841A3">
      <w:rPr>
        <w:b/>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B70E9" w14:textId="3D6B8057" w:rsidR="00F50884" w:rsidRPr="005841A3" w:rsidRDefault="00F50884">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0B4BE2">
      <w:rPr>
        <w:b/>
        <w:noProof/>
        <w:sz w:val="17"/>
        <w:szCs w:val="17"/>
      </w:rPr>
      <w:t>13</w:t>
    </w:r>
    <w:r w:rsidRPr="005841A3">
      <w:rPr>
        <w:b/>
        <w:sz w:val="17"/>
        <w:szCs w:val="17"/>
      </w:rPr>
      <w:fldChar w:fldCharType="end"/>
    </w:r>
  </w:p>
  <w:p w14:paraId="62B77335" w14:textId="77777777" w:rsidR="00F50884" w:rsidRDefault="00F50884" w:rsidP="005841A3">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5FE95" w14:textId="77777777" w:rsidR="000B4BE2" w:rsidRPr="005841A3" w:rsidRDefault="000B4BE2">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78284E">
      <w:rPr>
        <w:b/>
        <w:noProof/>
        <w:sz w:val="17"/>
        <w:szCs w:val="17"/>
      </w:rPr>
      <w:t>6</w:t>
    </w:r>
    <w:r w:rsidRPr="005841A3">
      <w:rPr>
        <w:b/>
        <w:sz w:val="17"/>
        <w:szCs w:val="17"/>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1D351" w14:textId="77777777" w:rsidR="000B4BE2" w:rsidRPr="00707225" w:rsidRDefault="000B4BE2" w:rsidP="00707225">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78284E">
      <w:rPr>
        <w:b/>
        <w:noProof/>
        <w:sz w:val="17"/>
        <w:szCs w:val="17"/>
      </w:rPr>
      <w:t>7</w:t>
    </w:r>
    <w:r w:rsidRPr="005841A3">
      <w:rPr>
        <w:b/>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EF081" w14:textId="77777777" w:rsidR="008F38C9" w:rsidRDefault="008F38C9" w:rsidP="00441061">
      <w:r>
        <w:separator/>
      </w:r>
    </w:p>
  </w:footnote>
  <w:footnote w:type="continuationSeparator" w:id="0">
    <w:p w14:paraId="0305D2F3" w14:textId="77777777" w:rsidR="008F38C9" w:rsidRDefault="008F38C9" w:rsidP="00441061">
      <w:r>
        <w:continuationSeparator/>
      </w:r>
    </w:p>
  </w:footnote>
  <w:footnote w:id="1">
    <w:p w14:paraId="28BA7018" w14:textId="11B3774F" w:rsidR="00F50884" w:rsidRPr="000B2DCA" w:rsidRDefault="00F50884" w:rsidP="00933CF0">
      <w:pPr>
        <w:pStyle w:val="FootnoteText"/>
        <w:ind w:firstLine="720"/>
        <w:jc w:val="both"/>
        <w:rPr>
          <w:rFonts w:ascii="Times New Roman" w:hAnsi="Times New Roman"/>
          <w:sz w:val="18"/>
          <w:szCs w:val="18"/>
        </w:rPr>
      </w:pPr>
      <w:r w:rsidRPr="000B2DCA">
        <w:rPr>
          <w:rStyle w:val="FootnoteReference"/>
          <w:rFonts w:ascii="Times New Roman" w:hAnsi="Times New Roman"/>
          <w:sz w:val="18"/>
          <w:szCs w:val="18"/>
        </w:rPr>
        <w:footnoteRef/>
      </w:r>
      <w:r w:rsidRPr="000B2DCA">
        <w:rPr>
          <w:rFonts w:ascii="Times New Roman" w:hAnsi="Times New Roman"/>
          <w:sz w:val="18"/>
          <w:szCs w:val="18"/>
        </w:rPr>
        <w:t xml:space="preserve"> Government of Bangladesh, 2014. Seventh </w:t>
      </w:r>
      <w:r>
        <w:rPr>
          <w:rFonts w:ascii="Times New Roman" w:hAnsi="Times New Roman"/>
          <w:sz w:val="18"/>
          <w:szCs w:val="18"/>
        </w:rPr>
        <w:t>f</w:t>
      </w:r>
      <w:r w:rsidRPr="000B2DCA">
        <w:rPr>
          <w:rFonts w:ascii="Times New Roman" w:hAnsi="Times New Roman"/>
          <w:sz w:val="18"/>
          <w:szCs w:val="18"/>
        </w:rPr>
        <w:t xml:space="preserve">ive-year plan </w:t>
      </w:r>
    </w:p>
  </w:footnote>
  <w:footnote w:id="2">
    <w:p w14:paraId="136B1A78" w14:textId="477087AC" w:rsidR="00F50884" w:rsidRPr="000B2DCA" w:rsidRDefault="00F50884" w:rsidP="00933CF0">
      <w:pPr>
        <w:pStyle w:val="FootnoteText"/>
        <w:ind w:firstLine="720"/>
        <w:rPr>
          <w:rFonts w:ascii="Times New Roman" w:hAnsi="Times New Roman"/>
          <w:sz w:val="18"/>
          <w:szCs w:val="18"/>
        </w:rPr>
      </w:pPr>
      <w:r w:rsidRPr="000B2DCA">
        <w:rPr>
          <w:rStyle w:val="FootnoteReference"/>
          <w:rFonts w:ascii="Times New Roman" w:hAnsi="Times New Roman"/>
          <w:sz w:val="18"/>
          <w:szCs w:val="18"/>
        </w:rPr>
        <w:footnoteRef/>
      </w:r>
      <w:r w:rsidRPr="000B2DCA">
        <w:rPr>
          <w:rFonts w:ascii="Times New Roman" w:hAnsi="Times New Roman"/>
          <w:sz w:val="18"/>
          <w:szCs w:val="18"/>
        </w:rPr>
        <w:t xml:space="preserve"> World Bank data, http://data.worldbank.org/country/bangladesh</w:t>
      </w:r>
    </w:p>
  </w:footnote>
  <w:footnote w:id="3">
    <w:p w14:paraId="0EE32797" w14:textId="1784A539" w:rsidR="00F50884" w:rsidRPr="000B2DCA" w:rsidRDefault="00F50884" w:rsidP="00933CF0">
      <w:pPr>
        <w:pStyle w:val="FootnoteText"/>
        <w:ind w:left="720"/>
        <w:jc w:val="both"/>
        <w:rPr>
          <w:rFonts w:ascii="Times New Roman" w:hAnsi="Times New Roman"/>
          <w:sz w:val="18"/>
          <w:szCs w:val="18"/>
        </w:rPr>
      </w:pPr>
      <w:r w:rsidRPr="000B2DCA">
        <w:rPr>
          <w:rStyle w:val="FootnoteReference"/>
          <w:rFonts w:ascii="Times New Roman" w:hAnsi="Times New Roman"/>
          <w:sz w:val="18"/>
          <w:szCs w:val="18"/>
        </w:rPr>
        <w:footnoteRef/>
      </w:r>
      <w:r w:rsidRPr="000B2DCA">
        <w:rPr>
          <w:rFonts w:ascii="Times New Roman" w:hAnsi="Times New Roman"/>
          <w:sz w:val="18"/>
          <w:szCs w:val="18"/>
        </w:rPr>
        <w:t xml:space="preserve">  </w:t>
      </w:r>
      <w:r w:rsidRPr="000B2DCA">
        <w:rPr>
          <w:rFonts w:ascii="Times New Roman" w:hAnsi="Times New Roman"/>
          <w:sz w:val="18"/>
          <w:szCs w:val="18"/>
          <w:lang w:eastAsia="en-GB"/>
        </w:rPr>
        <w:t xml:space="preserve">Between 2011 and 2015 </w:t>
      </w:r>
      <w:r w:rsidRPr="000B2DCA">
        <w:rPr>
          <w:rFonts w:ascii="Times New Roman" w:hAnsi="Times New Roman"/>
          <w:sz w:val="18"/>
          <w:szCs w:val="18"/>
        </w:rPr>
        <w:t xml:space="preserve">Bangladesh achieved an average </w:t>
      </w:r>
      <w:r w:rsidRPr="000B2DCA">
        <w:rPr>
          <w:rFonts w:ascii="Times New Roman" w:hAnsi="Times New Roman"/>
          <w:sz w:val="18"/>
          <w:szCs w:val="18"/>
          <w:lang w:eastAsia="en-GB"/>
        </w:rPr>
        <w:t>growth rate of 6.3</w:t>
      </w:r>
      <w:r>
        <w:rPr>
          <w:rFonts w:ascii="Times New Roman" w:hAnsi="Times New Roman"/>
          <w:sz w:val="18"/>
          <w:szCs w:val="18"/>
          <w:lang w:eastAsia="en-GB"/>
        </w:rPr>
        <w:t xml:space="preserve"> per cent</w:t>
      </w:r>
      <w:r w:rsidRPr="000B2DCA">
        <w:rPr>
          <w:rFonts w:ascii="Times New Roman" w:hAnsi="Times New Roman"/>
          <w:sz w:val="18"/>
          <w:szCs w:val="18"/>
          <w:lang w:eastAsia="en-GB"/>
        </w:rPr>
        <w:t xml:space="preserve">. Source: </w:t>
      </w:r>
      <w:r w:rsidRPr="003C5D47">
        <w:rPr>
          <w:rFonts w:ascii="Times New Roman" w:hAnsi="Times New Roman"/>
          <w:sz w:val="18"/>
          <w:szCs w:val="18"/>
        </w:rPr>
        <w:t xml:space="preserve">Seventh </w:t>
      </w:r>
      <w:r>
        <w:rPr>
          <w:rFonts w:ascii="Times New Roman" w:hAnsi="Times New Roman"/>
          <w:sz w:val="18"/>
          <w:szCs w:val="18"/>
        </w:rPr>
        <w:t>f</w:t>
      </w:r>
      <w:r w:rsidRPr="003C5D47">
        <w:rPr>
          <w:rFonts w:ascii="Times New Roman" w:hAnsi="Times New Roman"/>
          <w:sz w:val="18"/>
          <w:szCs w:val="18"/>
        </w:rPr>
        <w:t>ive-year plan</w:t>
      </w:r>
      <w:r w:rsidRPr="000B2DCA">
        <w:rPr>
          <w:rFonts w:ascii="Times New Roman" w:hAnsi="Times New Roman"/>
          <w:sz w:val="18"/>
          <w:szCs w:val="18"/>
        </w:rPr>
        <w:t xml:space="preserve"> xxxiii.</w:t>
      </w:r>
    </w:p>
  </w:footnote>
  <w:footnote w:id="4">
    <w:p w14:paraId="3B7295F6" w14:textId="5DE474A1" w:rsidR="00F50884" w:rsidRPr="000B2DCA" w:rsidRDefault="00F50884" w:rsidP="00933CF0">
      <w:pPr>
        <w:pStyle w:val="NoSpacing"/>
        <w:ind w:left="720"/>
        <w:jc w:val="both"/>
        <w:rPr>
          <w:rFonts w:ascii="Times New Roman" w:hAnsi="Times New Roman"/>
          <w:sz w:val="18"/>
          <w:szCs w:val="18"/>
        </w:rPr>
      </w:pPr>
      <w:r w:rsidRPr="000B2DCA">
        <w:rPr>
          <w:rStyle w:val="FootnoteReference"/>
          <w:rFonts w:ascii="Times New Roman" w:hAnsi="Times New Roman"/>
          <w:sz w:val="18"/>
          <w:szCs w:val="18"/>
        </w:rPr>
        <w:footnoteRef/>
      </w:r>
      <w:r w:rsidRPr="000B2DCA">
        <w:rPr>
          <w:rFonts w:ascii="Times New Roman" w:hAnsi="Times New Roman"/>
          <w:sz w:val="18"/>
          <w:szCs w:val="18"/>
        </w:rPr>
        <w:t xml:space="preserve"> National Institute of Population Research and Training et al. 2015. </w:t>
      </w:r>
      <w:r w:rsidRPr="000B2DCA">
        <w:rPr>
          <w:rFonts w:ascii="Times New Roman" w:hAnsi="Times New Roman"/>
          <w:i/>
          <w:iCs/>
          <w:sz w:val="18"/>
          <w:szCs w:val="18"/>
        </w:rPr>
        <w:t>Bangladesh Demographic and Health Survey 2014 (DHS 2014</w:t>
      </w:r>
      <w:r w:rsidRPr="000B2DCA">
        <w:rPr>
          <w:rFonts w:ascii="Times New Roman" w:hAnsi="Times New Roman"/>
          <w:sz w:val="18"/>
          <w:szCs w:val="18"/>
        </w:rPr>
        <w:t xml:space="preserve">). Dhaka. April. </w:t>
      </w:r>
    </w:p>
  </w:footnote>
  <w:footnote w:id="5">
    <w:p w14:paraId="35EFCA7F" w14:textId="4E5DBADF" w:rsidR="00F50884" w:rsidRPr="000B2DCA" w:rsidRDefault="00F50884" w:rsidP="00933CF0">
      <w:pPr>
        <w:pStyle w:val="CommentText"/>
        <w:ind w:firstLine="720"/>
        <w:rPr>
          <w:sz w:val="18"/>
          <w:szCs w:val="18"/>
        </w:rPr>
      </w:pPr>
      <w:r w:rsidRPr="000B2DCA">
        <w:rPr>
          <w:rStyle w:val="FootnoteReference"/>
          <w:sz w:val="18"/>
          <w:szCs w:val="18"/>
        </w:rPr>
        <w:footnoteRef/>
      </w:r>
      <w:r w:rsidRPr="000B2DCA">
        <w:rPr>
          <w:sz w:val="18"/>
          <w:szCs w:val="18"/>
        </w:rPr>
        <w:t xml:space="preserve"> www.mof.gov.bd/en/budget/11_12/brief/en/at%20a%20glance.pdf</w:t>
      </w:r>
    </w:p>
  </w:footnote>
  <w:footnote w:id="6">
    <w:p w14:paraId="05473072" w14:textId="1F60B68C" w:rsidR="00F50884" w:rsidRPr="000B2DCA" w:rsidRDefault="00F50884" w:rsidP="00933CF0">
      <w:pPr>
        <w:pStyle w:val="FootnoteText"/>
        <w:ind w:firstLine="720"/>
        <w:rPr>
          <w:sz w:val="18"/>
          <w:szCs w:val="18"/>
        </w:rPr>
      </w:pPr>
      <w:r w:rsidRPr="000B2DCA">
        <w:rPr>
          <w:rStyle w:val="FootnoteReference"/>
          <w:rFonts w:ascii="Times New Roman" w:hAnsi="Times New Roman"/>
          <w:sz w:val="18"/>
          <w:szCs w:val="18"/>
        </w:rPr>
        <w:footnoteRef/>
      </w:r>
      <w:r w:rsidRPr="000B2DCA">
        <w:rPr>
          <w:sz w:val="18"/>
          <w:szCs w:val="18"/>
        </w:rPr>
        <w:t xml:space="preserve"> </w:t>
      </w:r>
      <w:r w:rsidRPr="00F50884">
        <w:rPr>
          <w:rFonts w:ascii="Times New Roman" w:hAnsi="Times New Roman"/>
          <w:sz w:val="18"/>
          <w:szCs w:val="18"/>
        </w:rPr>
        <w:t>Ibid.</w:t>
      </w:r>
      <w:r w:rsidRPr="000B2DCA">
        <w:rPr>
          <w:rFonts w:ascii="Times New Roman" w:hAnsi="Times New Roman"/>
          <w:sz w:val="18"/>
          <w:szCs w:val="18"/>
        </w:rPr>
        <w:t xml:space="preserve"> 21.</w:t>
      </w:r>
    </w:p>
  </w:footnote>
  <w:footnote w:id="7">
    <w:p w14:paraId="6809B002" w14:textId="08E1C743" w:rsidR="00F50884" w:rsidRPr="000B2DCA" w:rsidRDefault="00F50884" w:rsidP="00933CF0">
      <w:pPr>
        <w:pStyle w:val="FootnoteText"/>
        <w:ind w:firstLine="720"/>
        <w:rPr>
          <w:rFonts w:ascii="Times New Roman" w:hAnsi="Times New Roman"/>
          <w:sz w:val="18"/>
          <w:szCs w:val="18"/>
        </w:rPr>
      </w:pPr>
      <w:r w:rsidRPr="000B2DCA">
        <w:rPr>
          <w:rStyle w:val="FootnoteReference"/>
          <w:rFonts w:ascii="Times New Roman" w:hAnsi="Times New Roman"/>
          <w:sz w:val="18"/>
          <w:szCs w:val="18"/>
        </w:rPr>
        <w:footnoteRef/>
      </w:r>
      <w:r w:rsidRPr="000B2DCA">
        <w:rPr>
          <w:sz w:val="18"/>
          <w:szCs w:val="18"/>
        </w:rPr>
        <w:t xml:space="preserve"> </w:t>
      </w:r>
      <w:r w:rsidRPr="000B2DCA">
        <w:rPr>
          <w:rFonts w:ascii="Times New Roman" w:hAnsi="Times New Roman"/>
          <w:sz w:val="18"/>
          <w:szCs w:val="18"/>
        </w:rPr>
        <w:t xml:space="preserve">Asian Development Bank. 2015. “Key Indicators for Asia and the Pacific.” </w:t>
      </w:r>
    </w:p>
    <w:p w14:paraId="171A3632" w14:textId="56B23429" w:rsidR="00F50884" w:rsidRPr="000B2DCA" w:rsidRDefault="008F38C9" w:rsidP="00F12530">
      <w:pPr>
        <w:pStyle w:val="FootnoteText"/>
        <w:ind w:firstLine="720"/>
        <w:rPr>
          <w:sz w:val="18"/>
          <w:szCs w:val="18"/>
        </w:rPr>
      </w:pPr>
      <w:hyperlink r:id="rId1" w:history="1">
        <w:r w:rsidR="00F50884" w:rsidRPr="000B2DCA">
          <w:rPr>
            <w:rFonts w:ascii="Times New Roman" w:hAnsi="Times New Roman"/>
            <w:sz w:val="18"/>
            <w:szCs w:val="18"/>
          </w:rPr>
          <w:t>www.adb.org/sites/default/files/publicatons/43030/ki2014_0.pdf</w:t>
        </w:r>
      </w:hyperlink>
      <w:r w:rsidR="00F50884" w:rsidRPr="000B2DCA">
        <w:rPr>
          <w:rFonts w:ascii="Times New Roman" w:hAnsi="Times New Roman"/>
          <w:sz w:val="18"/>
          <w:szCs w:val="18"/>
        </w:rPr>
        <w:t>.</w:t>
      </w:r>
    </w:p>
  </w:footnote>
  <w:footnote w:id="8">
    <w:p w14:paraId="639DD927" w14:textId="246D528C" w:rsidR="00F50884" w:rsidRPr="000B2DCA" w:rsidRDefault="00F50884" w:rsidP="008A7285">
      <w:pPr>
        <w:pStyle w:val="FootnoteText"/>
        <w:ind w:firstLine="720"/>
        <w:contextualSpacing/>
        <w:rPr>
          <w:rFonts w:ascii="Times New Roman" w:hAnsi="Times New Roman"/>
          <w:sz w:val="18"/>
          <w:szCs w:val="18"/>
        </w:rPr>
      </w:pPr>
      <w:r w:rsidRPr="000B2DCA">
        <w:rPr>
          <w:rStyle w:val="FootnoteReference"/>
          <w:rFonts w:ascii="Times New Roman" w:hAnsi="Times New Roman"/>
          <w:sz w:val="18"/>
          <w:szCs w:val="18"/>
        </w:rPr>
        <w:footnoteRef/>
      </w:r>
      <w:r w:rsidRPr="000B2DCA">
        <w:rPr>
          <w:rFonts w:ascii="Times New Roman" w:hAnsi="Times New Roman"/>
          <w:sz w:val="18"/>
          <w:szCs w:val="18"/>
        </w:rPr>
        <w:t xml:space="preserve"> UNDP. 2014. State of Development in the Chittagong Hill Tracts Household Survey 2012-2014.</w:t>
      </w:r>
    </w:p>
  </w:footnote>
  <w:footnote w:id="9">
    <w:p w14:paraId="39A0A7D4" w14:textId="7E03024A" w:rsidR="00F50884" w:rsidRPr="000B2DCA" w:rsidRDefault="00F50884" w:rsidP="0075534D">
      <w:pPr>
        <w:ind w:left="720"/>
        <w:rPr>
          <w:rStyle w:val="FootnoteReference"/>
          <w:sz w:val="18"/>
          <w:szCs w:val="18"/>
        </w:rPr>
      </w:pPr>
      <w:r w:rsidRPr="000B2DCA">
        <w:rPr>
          <w:rStyle w:val="FootnoteReference"/>
          <w:sz w:val="18"/>
          <w:szCs w:val="18"/>
        </w:rPr>
        <w:t xml:space="preserve">12 </w:t>
      </w:r>
      <w:r w:rsidRPr="000B2DCA">
        <w:rPr>
          <w:sz w:val="18"/>
          <w:szCs w:val="18"/>
        </w:rPr>
        <w:t>National Social Security Strategy of Bangladesh. 2015. General Economic Division, Planning</w:t>
      </w:r>
      <w:r w:rsidRPr="000B2DCA">
        <w:rPr>
          <w:bCs/>
          <w:sz w:val="18"/>
          <w:szCs w:val="18"/>
        </w:rPr>
        <w:t xml:space="preserve"> Commission Bangladesh. July. xix.</w:t>
      </w:r>
    </w:p>
  </w:footnote>
  <w:footnote w:id="10">
    <w:p w14:paraId="635330C0" w14:textId="04C7CA5D" w:rsidR="00F50884" w:rsidRPr="000B2DCA" w:rsidRDefault="00F50884" w:rsidP="008A7285">
      <w:pPr>
        <w:pStyle w:val="FootnoteText"/>
        <w:ind w:firstLine="720"/>
        <w:rPr>
          <w:sz w:val="18"/>
          <w:szCs w:val="18"/>
        </w:rPr>
      </w:pPr>
      <w:r w:rsidRPr="000B2DCA">
        <w:rPr>
          <w:rStyle w:val="FootnoteReference"/>
          <w:rFonts w:ascii="Times New Roman" w:hAnsi="Times New Roman"/>
          <w:sz w:val="18"/>
          <w:szCs w:val="18"/>
        </w:rPr>
        <w:footnoteRef/>
      </w:r>
      <w:r w:rsidRPr="000B2DCA">
        <w:rPr>
          <w:rFonts w:ascii="Times New Roman" w:hAnsi="Times New Roman"/>
          <w:sz w:val="18"/>
          <w:szCs w:val="18"/>
        </w:rPr>
        <w:t xml:space="preserve"> Bangladesh Bureau of Statistics (BBS). 2013. Labour Force Participation.</w:t>
      </w:r>
    </w:p>
  </w:footnote>
  <w:footnote w:id="11">
    <w:p w14:paraId="0982338F" w14:textId="41A8A6FB" w:rsidR="00F50884" w:rsidRPr="000B2DCA" w:rsidRDefault="00F50884" w:rsidP="008A7285">
      <w:pPr>
        <w:pStyle w:val="FootnoteText"/>
        <w:ind w:firstLine="720"/>
        <w:contextualSpacing/>
        <w:rPr>
          <w:rFonts w:ascii="Times New Roman" w:hAnsi="Times New Roman"/>
          <w:sz w:val="18"/>
          <w:szCs w:val="18"/>
        </w:rPr>
      </w:pPr>
      <w:r w:rsidRPr="000B2DCA">
        <w:rPr>
          <w:rStyle w:val="FootnoteReference"/>
          <w:rFonts w:ascii="Times New Roman" w:hAnsi="Times New Roman"/>
          <w:sz w:val="18"/>
          <w:szCs w:val="18"/>
        </w:rPr>
        <w:footnoteRef/>
      </w:r>
      <w:r w:rsidRPr="000B2DCA">
        <w:rPr>
          <w:rFonts w:ascii="Times New Roman" w:hAnsi="Times New Roman"/>
          <w:sz w:val="18"/>
          <w:szCs w:val="18"/>
        </w:rPr>
        <w:t xml:space="preserve"> “World Economic Forum. 2014 </w:t>
      </w:r>
      <w:r w:rsidRPr="000B2DCA">
        <w:rPr>
          <w:rFonts w:ascii="Times New Roman" w:hAnsi="Times New Roman"/>
          <w:i/>
          <w:sz w:val="18"/>
          <w:szCs w:val="18"/>
        </w:rPr>
        <w:t>The Global Gender Gap Report</w:t>
      </w:r>
      <w:r w:rsidR="00E14D19">
        <w:rPr>
          <w:rFonts w:ascii="Times New Roman" w:hAnsi="Times New Roman"/>
          <w:i/>
          <w:sz w:val="18"/>
          <w:szCs w:val="18"/>
        </w:rPr>
        <w:t xml:space="preserve"> </w:t>
      </w:r>
      <w:r w:rsidRPr="000B2DCA">
        <w:rPr>
          <w:rFonts w:ascii="Times New Roman" w:hAnsi="Times New Roman"/>
          <w:i/>
          <w:sz w:val="18"/>
          <w:szCs w:val="18"/>
        </w:rPr>
        <w:t xml:space="preserve"> –</w:t>
      </w:r>
      <w:r w:rsidR="00E14D19">
        <w:rPr>
          <w:rFonts w:ascii="Times New Roman" w:hAnsi="Times New Roman"/>
          <w:i/>
          <w:sz w:val="18"/>
          <w:szCs w:val="18"/>
        </w:rPr>
        <w:t xml:space="preserve"> </w:t>
      </w:r>
      <w:r w:rsidRPr="000B2DCA">
        <w:rPr>
          <w:rFonts w:ascii="Times New Roman" w:hAnsi="Times New Roman"/>
          <w:i/>
          <w:sz w:val="18"/>
          <w:szCs w:val="18"/>
        </w:rPr>
        <w:t xml:space="preserve">Country Profiles, </w:t>
      </w:r>
      <w:r w:rsidRPr="000B2DCA">
        <w:rPr>
          <w:rFonts w:ascii="Times New Roman" w:hAnsi="Times New Roman"/>
          <w:sz w:val="18"/>
          <w:szCs w:val="18"/>
        </w:rPr>
        <w:t>Bangladesh.</w:t>
      </w:r>
    </w:p>
  </w:footnote>
  <w:footnote w:id="12">
    <w:p w14:paraId="7B9960D4" w14:textId="67C608BC" w:rsidR="00F50884" w:rsidRPr="000B2DCA" w:rsidRDefault="00F50884" w:rsidP="00F12530">
      <w:pPr>
        <w:pStyle w:val="FootnoteText"/>
        <w:ind w:firstLine="720"/>
        <w:contextualSpacing/>
        <w:jc w:val="both"/>
        <w:rPr>
          <w:rFonts w:ascii="Times New Roman" w:hAnsi="Times New Roman"/>
          <w:sz w:val="18"/>
          <w:szCs w:val="18"/>
        </w:rPr>
      </w:pPr>
      <w:r w:rsidRPr="000B2DCA">
        <w:rPr>
          <w:rStyle w:val="FootnoteReference"/>
          <w:rFonts w:ascii="Times New Roman" w:hAnsi="Times New Roman"/>
          <w:sz w:val="18"/>
          <w:szCs w:val="18"/>
        </w:rPr>
        <w:footnoteRef/>
      </w:r>
      <w:r w:rsidRPr="000B2DCA">
        <w:rPr>
          <w:rFonts w:ascii="Times New Roman" w:hAnsi="Times New Roman"/>
          <w:sz w:val="18"/>
          <w:szCs w:val="18"/>
        </w:rPr>
        <w:t xml:space="preserve"> Shituma Zaman. 2013. “Women in Business: A Study on the Development of Women Entrepreneurship </w:t>
      </w:r>
    </w:p>
    <w:p w14:paraId="6300A773" w14:textId="46249149" w:rsidR="00F50884" w:rsidRPr="000B2DCA" w:rsidRDefault="00F50884" w:rsidP="00F12530">
      <w:pPr>
        <w:pStyle w:val="FootnoteText"/>
        <w:ind w:firstLine="720"/>
        <w:contextualSpacing/>
        <w:jc w:val="both"/>
        <w:rPr>
          <w:rFonts w:ascii="Times New Roman" w:hAnsi="Times New Roman"/>
          <w:sz w:val="18"/>
          <w:szCs w:val="18"/>
        </w:rPr>
      </w:pPr>
      <w:r w:rsidRPr="000B2DCA">
        <w:rPr>
          <w:rFonts w:ascii="Times New Roman" w:hAnsi="Times New Roman"/>
          <w:sz w:val="18"/>
          <w:szCs w:val="18"/>
        </w:rPr>
        <w:t xml:space="preserve">in Bangladesh”. </w:t>
      </w:r>
      <w:r w:rsidRPr="000B2DCA">
        <w:rPr>
          <w:rFonts w:ascii="Times New Roman" w:hAnsi="Times New Roman"/>
          <w:i/>
          <w:sz w:val="18"/>
          <w:szCs w:val="18"/>
        </w:rPr>
        <w:t>World Journal of Social Sciences.</w:t>
      </w:r>
      <w:r w:rsidRPr="000B2DCA">
        <w:rPr>
          <w:rFonts w:ascii="Times New Roman" w:hAnsi="Times New Roman"/>
          <w:sz w:val="18"/>
          <w:szCs w:val="18"/>
        </w:rPr>
        <w:t xml:space="preserve"> 3 (6) November. 175-188.</w:t>
      </w:r>
    </w:p>
  </w:footnote>
  <w:footnote w:id="13">
    <w:p w14:paraId="2B24D0F4" w14:textId="547BD5E1" w:rsidR="00F50884" w:rsidRPr="000B2DCA" w:rsidRDefault="00F50884" w:rsidP="00F12530">
      <w:pPr>
        <w:pStyle w:val="FootnoteText"/>
        <w:ind w:firstLine="720"/>
        <w:rPr>
          <w:rFonts w:ascii="Times New Roman" w:hAnsi="Times New Roman"/>
          <w:sz w:val="18"/>
          <w:szCs w:val="18"/>
          <w:lang w:val="id-ID"/>
        </w:rPr>
      </w:pPr>
      <w:r w:rsidRPr="000B2DCA">
        <w:rPr>
          <w:rStyle w:val="FootnoteReference"/>
          <w:rFonts w:ascii="Times New Roman" w:hAnsi="Times New Roman"/>
          <w:sz w:val="18"/>
          <w:szCs w:val="18"/>
        </w:rPr>
        <w:footnoteRef/>
      </w:r>
      <w:r w:rsidRPr="000B2DCA">
        <w:rPr>
          <w:rFonts w:ascii="Times New Roman" w:hAnsi="Times New Roman"/>
          <w:sz w:val="18"/>
          <w:szCs w:val="18"/>
        </w:rPr>
        <w:t xml:space="preserve"> The World Bank. 2015. The Global Findex Database. </w:t>
      </w:r>
    </w:p>
  </w:footnote>
  <w:footnote w:id="14">
    <w:p w14:paraId="03E6897F" w14:textId="002FE00A" w:rsidR="00F50884" w:rsidRPr="000B2DCA" w:rsidRDefault="00F50884" w:rsidP="00F12530">
      <w:pPr>
        <w:pStyle w:val="NoSpacing1"/>
        <w:ind w:firstLine="720"/>
        <w:jc w:val="both"/>
        <w:rPr>
          <w:rFonts w:ascii="Times New Roman" w:hAnsi="Times New Roman" w:cs="Times New Roman"/>
          <w:sz w:val="18"/>
          <w:szCs w:val="18"/>
        </w:rPr>
      </w:pPr>
      <w:r w:rsidRPr="000B2DCA">
        <w:rPr>
          <w:rStyle w:val="FootnoteReference"/>
          <w:rFonts w:ascii="Times New Roman" w:hAnsi="Times New Roman"/>
          <w:sz w:val="18"/>
          <w:szCs w:val="18"/>
        </w:rPr>
        <w:footnoteRef/>
      </w:r>
      <w:r w:rsidRPr="000B2DCA">
        <w:rPr>
          <w:rFonts w:ascii="Times New Roman" w:hAnsi="Times New Roman" w:cs="Times New Roman"/>
          <w:sz w:val="18"/>
          <w:szCs w:val="18"/>
        </w:rPr>
        <w:t xml:space="preserve"> BBS. 2013. </w:t>
      </w:r>
      <w:r w:rsidRPr="000B2DCA">
        <w:rPr>
          <w:rFonts w:ascii="Times New Roman" w:hAnsi="Times New Roman" w:cs="Times New Roman"/>
          <w:i/>
          <w:iCs/>
          <w:sz w:val="18"/>
          <w:szCs w:val="18"/>
        </w:rPr>
        <w:t>Report on Violence Against Women Survey</w:t>
      </w:r>
      <w:r>
        <w:rPr>
          <w:rFonts w:ascii="Times New Roman" w:hAnsi="Times New Roman" w:cs="Times New Roman"/>
          <w:i/>
          <w:iCs/>
          <w:sz w:val="18"/>
          <w:szCs w:val="18"/>
        </w:rPr>
        <w:t>,</w:t>
      </w:r>
      <w:r w:rsidRPr="000B2DCA">
        <w:rPr>
          <w:rFonts w:ascii="Times New Roman" w:hAnsi="Times New Roman" w:cs="Times New Roman"/>
          <w:i/>
          <w:iCs/>
          <w:sz w:val="18"/>
          <w:szCs w:val="18"/>
        </w:rPr>
        <w:t xml:space="preserve"> 2011</w:t>
      </w:r>
      <w:r w:rsidRPr="000B2DCA">
        <w:rPr>
          <w:rFonts w:ascii="Times New Roman" w:hAnsi="Times New Roman" w:cs="Times New Roman"/>
          <w:iCs/>
          <w:sz w:val="18"/>
          <w:szCs w:val="18"/>
        </w:rPr>
        <w:t xml:space="preserve">. </w:t>
      </w:r>
      <w:r w:rsidRPr="000B2DCA">
        <w:rPr>
          <w:rFonts w:ascii="Times New Roman" w:hAnsi="Times New Roman" w:cs="Times New Roman"/>
          <w:sz w:val="18"/>
          <w:szCs w:val="18"/>
        </w:rPr>
        <w:t xml:space="preserve">Dhaka. </w:t>
      </w:r>
    </w:p>
    <w:p w14:paraId="3E70E2E1" w14:textId="3E3576CC" w:rsidR="00F50884" w:rsidRPr="000B2DCA" w:rsidRDefault="00F50884" w:rsidP="00F12530">
      <w:pPr>
        <w:pStyle w:val="NoSpacing1"/>
        <w:ind w:firstLine="720"/>
        <w:jc w:val="both"/>
        <w:rPr>
          <w:rFonts w:ascii="Times New Roman" w:hAnsi="Times New Roman" w:cs="Times New Roman"/>
          <w:sz w:val="18"/>
          <w:szCs w:val="18"/>
        </w:rPr>
      </w:pPr>
      <w:r w:rsidRPr="000B2DCA">
        <w:rPr>
          <w:rFonts w:ascii="Times New Roman" w:hAnsi="Times New Roman" w:cs="Times New Roman"/>
          <w:sz w:val="18"/>
          <w:szCs w:val="18"/>
        </w:rPr>
        <w:t>September.</w:t>
      </w:r>
    </w:p>
  </w:footnote>
  <w:footnote w:id="15">
    <w:p w14:paraId="2B0D8B65" w14:textId="64308164" w:rsidR="00F50884" w:rsidRPr="000B2DCA" w:rsidRDefault="00F50884" w:rsidP="00981B57">
      <w:pPr>
        <w:ind w:left="810" w:hanging="90"/>
        <w:rPr>
          <w:sz w:val="18"/>
          <w:szCs w:val="18"/>
        </w:rPr>
      </w:pPr>
      <w:r w:rsidRPr="000B2DCA">
        <w:rPr>
          <w:rStyle w:val="FootnoteReference"/>
          <w:sz w:val="18"/>
          <w:szCs w:val="18"/>
        </w:rPr>
        <w:footnoteRef/>
      </w:r>
      <w:r w:rsidRPr="000B2DCA">
        <w:rPr>
          <w:rStyle w:val="FootnoteReference"/>
          <w:sz w:val="18"/>
          <w:szCs w:val="18"/>
        </w:rPr>
        <w:t xml:space="preserve"> </w:t>
      </w:r>
      <w:r w:rsidRPr="000B2DCA">
        <w:rPr>
          <w:sz w:val="18"/>
          <w:szCs w:val="18"/>
          <w:lang w:val="en-AU"/>
        </w:rPr>
        <w:t>Alliance</w:t>
      </w:r>
      <w:r>
        <w:rPr>
          <w:iCs/>
          <w:sz w:val="18"/>
          <w:szCs w:val="18"/>
        </w:rPr>
        <w:t xml:space="preserve"> Development Works and</w:t>
      </w:r>
      <w:r w:rsidRPr="000B2DCA">
        <w:rPr>
          <w:iCs/>
          <w:sz w:val="18"/>
          <w:szCs w:val="18"/>
        </w:rPr>
        <w:t xml:space="preserve"> Un</w:t>
      </w:r>
      <w:r>
        <w:rPr>
          <w:iCs/>
          <w:sz w:val="18"/>
          <w:szCs w:val="18"/>
        </w:rPr>
        <w:t>ited Nations University. World Risk Report, 2015</w:t>
      </w:r>
      <w:r w:rsidRPr="000B2DCA">
        <w:rPr>
          <w:iCs/>
          <w:sz w:val="18"/>
          <w:szCs w:val="18"/>
        </w:rPr>
        <w:t xml:space="preserve">. </w:t>
      </w:r>
    </w:p>
  </w:footnote>
  <w:footnote w:id="16">
    <w:p w14:paraId="7A8C8821" w14:textId="13CB8ACA" w:rsidR="00F50884" w:rsidRPr="000B2DCA" w:rsidRDefault="00F50884" w:rsidP="00F12530">
      <w:pPr>
        <w:pStyle w:val="FootnoteText"/>
        <w:ind w:firstLine="720"/>
        <w:jc w:val="both"/>
        <w:rPr>
          <w:rFonts w:ascii="Times New Roman" w:hAnsi="Times New Roman"/>
          <w:sz w:val="18"/>
          <w:szCs w:val="18"/>
        </w:rPr>
      </w:pPr>
      <w:r w:rsidRPr="000B2DCA">
        <w:rPr>
          <w:rStyle w:val="FootnoteReference"/>
          <w:rFonts w:ascii="Times New Roman" w:hAnsi="Times New Roman"/>
          <w:sz w:val="18"/>
          <w:szCs w:val="18"/>
        </w:rPr>
        <w:footnoteRef/>
      </w:r>
      <w:r w:rsidRPr="000B2DCA">
        <w:rPr>
          <w:rFonts w:ascii="Times New Roman" w:hAnsi="Times New Roman"/>
          <w:sz w:val="18"/>
          <w:szCs w:val="18"/>
        </w:rPr>
        <w:t xml:space="preserve"> Department of Environment. 2013. Bangladesh Environment and Climate Change Outlook</w:t>
      </w:r>
      <w:r w:rsidR="00CF01AA">
        <w:rPr>
          <w:rFonts w:ascii="Times New Roman" w:hAnsi="Times New Roman"/>
          <w:sz w:val="18"/>
          <w:szCs w:val="18"/>
        </w:rPr>
        <w:t>,</w:t>
      </w:r>
      <w:r w:rsidRPr="000B2DCA">
        <w:rPr>
          <w:rFonts w:ascii="Times New Roman" w:hAnsi="Times New Roman"/>
          <w:sz w:val="18"/>
          <w:szCs w:val="18"/>
        </w:rPr>
        <w:t xml:space="preserve"> 2012. Dhaka. </w:t>
      </w:r>
    </w:p>
  </w:footnote>
  <w:footnote w:id="17">
    <w:p w14:paraId="7C4F48E1" w14:textId="1F85B270" w:rsidR="00F50884" w:rsidRPr="000B2DCA" w:rsidRDefault="00F50884" w:rsidP="00F12530">
      <w:pPr>
        <w:pStyle w:val="FootnoteText"/>
        <w:ind w:firstLine="720"/>
        <w:jc w:val="both"/>
        <w:rPr>
          <w:rFonts w:ascii="Times New Roman" w:hAnsi="Times New Roman"/>
          <w:sz w:val="18"/>
          <w:szCs w:val="18"/>
        </w:rPr>
      </w:pPr>
      <w:r w:rsidRPr="000B2DCA">
        <w:rPr>
          <w:rStyle w:val="FootnoteReference"/>
          <w:rFonts w:ascii="Times New Roman" w:hAnsi="Times New Roman"/>
          <w:sz w:val="18"/>
          <w:szCs w:val="18"/>
        </w:rPr>
        <w:footnoteRef/>
      </w:r>
      <w:r w:rsidRPr="000B2DCA">
        <w:rPr>
          <w:rFonts w:ascii="Times New Roman" w:hAnsi="Times New Roman"/>
          <w:sz w:val="18"/>
          <w:szCs w:val="18"/>
        </w:rPr>
        <w:t xml:space="preserve"> </w:t>
      </w:r>
      <w:r w:rsidRPr="00CF01AA">
        <w:rPr>
          <w:rFonts w:ascii="Times New Roman" w:hAnsi="Times New Roman"/>
          <w:sz w:val="18"/>
          <w:szCs w:val="18"/>
        </w:rPr>
        <w:t>International Union for Conservation of Nature</w:t>
      </w:r>
      <w:r w:rsidRPr="000B2DCA">
        <w:rPr>
          <w:rFonts w:ascii="Times New Roman" w:hAnsi="Times New Roman"/>
          <w:sz w:val="18"/>
          <w:szCs w:val="18"/>
        </w:rPr>
        <w:t xml:space="preserve">. 2014. </w:t>
      </w:r>
      <w:r w:rsidRPr="000B2DCA">
        <w:rPr>
          <w:rFonts w:ascii="Times New Roman" w:hAnsi="Times New Roman"/>
          <w:i/>
          <w:iCs/>
          <w:sz w:val="18"/>
          <w:szCs w:val="18"/>
        </w:rPr>
        <w:t>Situation Analysis on Floods and Flood Management</w:t>
      </w:r>
      <w:r w:rsidRPr="000B2DCA">
        <w:rPr>
          <w:rFonts w:ascii="Times New Roman" w:hAnsi="Times New Roman"/>
          <w:sz w:val="18"/>
          <w:szCs w:val="18"/>
        </w:rPr>
        <w:t>. Dhaka.</w:t>
      </w:r>
    </w:p>
  </w:footnote>
  <w:footnote w:id="18">
    <w:p w14:paraId="08ABD95A" w14:textId="4DCC2EEB" w:rsidR="00F50884" w:rsidRPr="000B2DCA" w:rsidRDefault="00F50884" w:rsidP="00F12530">
      <w:pPr>
        <w:pStyle w:val="FootnoteText"/>
        <w:ind w:firstLine="720"/>
        <w:jc w:val="both"/>
        <w:rPr>
          <w:rFonts w:ascii="Times New Roman" w:hAnsi="Times New Roman"/>
          <w:sz w:val="18"/>
          <w:szCs w:val="18"/>
          <w:lang w:val="fr-FR"/>
        </w:rPr>
      </w:pPr>
      <w:r w:rsidRPr="000B2DCA">
        <w:rPr>
          <w:rStyle w:val="FootnoteReference"/>
          <w:rFonts w:ascii="Times New Roman" w:hAnsi="Times New Roman"/>
          <w:sz w:val="18"/>
          <w:szCs w:val="18"/>
        </w:rPr>
        <w:footnoteRef/>
      </w:r>
      <w:r w:rsidR="00CF01AA">
        <w:rPr>
          <w:rFonts w:ascii="Times New Roman" w:hAnsi="Times New Roman"/>
          <w:sz w:val="18"/>
          <w:szCs w:val="18"/>
        </w:rPr>
        <w:t xml:space="preserve"> UN-</w:t>
      </w:r>
      <w:r w:rsidRPr="000B2DCA">
        <w:rPr>
          <w:rFonts w:ascii="Times New Roman" w:hAnsi="Times New Roman"/>
          <w:sz w:val="18"/>
          <w:szCs w:val="18"/>
        </w:rPr>
        <w:t xml:space="preserve">Habitat. 2012. State of the World’s Cities 2012/2013: Prosperity of Cities. </w:t>
      </w:r>
      <w:r w:rsidR="00CF01AA">
        <w:rPr>
          <w:rFonts w:ascii="Times New Roman" w:hAnsi="Times New Roman"/>
          <w:sz w:val="18"/>
          <w:szCs w:val="18"/>
          <w:lang w:val="fr-FR"/>
        </w:rPr>
        <w:t>Nairobi</w:t>
      </w:r>
      <w:r w:rsidRPr="000B2DCA">
        <w:rPr>
          <w:rFonts w:ascii="Times New Roman" w:hAnsi="Times New Roman"/>
          <w:sz w:val="18"/>
          <w:szCs w:val="18"/>
          <w:lang w:val="fr-FR"/>
        </w:rPr>
        <w:t>.</w:t>
      </w:r>
    </w:p>
  </w:footnote>
  <w:footnote w:id="19">
    <w:p w14:paraId="43BDFDAE" w14:textId="77777777" w:rsidR="00F50884" w:rsidRPr="000B2DCA" w:rsidRDefault="00F50884" w:rsidP="00F12530">
      <w:pPr>
        <w:pStyle w:val="FootnoteText"/>
        <w:ind w:firstLine="720"/>
        <w:jc w:val="both"/>
        <w:rPr>
          <w:rFonts w:ascii="Times New Roman" w:hAnsi="Times New Roman"/>
          <w:sz w:val="18"/>
          <w:szCs w:val="18"/>
          <w:lang w:val="fr-FR"/>
        </w:rPr>
      </w:pPr>
      <w:r w:rsidRPr="000B2DCA">
        <w:rPr>
          <w:rStyle w:val="FootnoteReference"/>
          <w:rFonts w:ascii="Times New Roman" w:hAnsi="Times New Roman"/>
          <w:sz w:val="18"/>
          <w:szCs w:val="18"/>
        </w:rPr>
        <w:footnoteRef/>
      </w:r>
      <w:r w:rsidRPr="000B2DCA">
        <w:rPr>
          <w:rFonts w:ascii="Times New Roman" w:hAnsi="Times New Roman"/>
          <w:sz w:val="18"/>
          <w:szCs w:val="18"/>
          <w:lang w:val="fr-FR"/>
        </w:rPr>
        <w:t xml:space="preserve"> www.epi.yale.edu/epi/country-profile/bangladesh.</w:t>
      </w:r>
    </w:p>
  </w:footnote>
  <w:footnote w:id="20">
    <w:p w14:paraId="6AB9C796" w14:textId="13704E06" w:rsidR="00F50884" w:rsidRPr="000B2DCA" w:rsidRDefault="00F50884" w:rsidP="00F12530">
      <w:pPr>
        <w:pStyle w:val="FootnoteText"/>
        <w:ind w:firstLine="720"/>
        <w:rPr>
          <w:rFonts w:ascii="Times New Roman" w:hAnsi="Times New Roman"/>
          <w:sz w:val="18"/>
          <w:szCs w:val="18"/>
        </w:rPr>
      </w:pPr>
      <w:r w:rsidRPr="000B2DCA">
        <w:rPr>
          <w:rStyle w:val="FootnoteReference"/>
          <w:rFonts w:ascii="Times New Roman" w:hAnsi="Times New Roman"/>
          <w:sz w:val="18"/>
          <w:szCs w:val="18"/>
        </w:rPr>
        <w:footnoteRef/>
      </w:r>
      <w:r w:rsidRPr="000B2DCA">
        <w:rPr>
          <w:rFonts w:ascii="Times New Roman" w:hAnsi="Times New Roman"/>
          <w:sz w:val="18"/>
          <w:szCs w:val="18"/>
          <w:lang w:val="fr-FR"/>
        </w:rPr>
        <w:t xml:space="preserve"> Angel Hsu et al. 2016. </w:t>
      </w:r>
      <w:r w:rsidRPr="000B2DCA">
        <w:rPr>
          <w:rFonts w:ascii="Times New Roman" w:hAnsi="Times New Roman"/>
          <w:i/>
          <w:sz w:val="18"/>
          <w:szCs w:val="18"/>
          <w:lang w:val="fr-FR"/>
        </w:rPr>
        <w:t>Environmental Performance Index</w:t>
      </w:r>
      <w:r w:rsidRPr="000B2DCA">
        <w:rPr>
          <w:rFonts w:ascii="Times New Roman" w:hAnsi="Times New Roman"/>
          <w:sz w:val="18"/>
          <w:szCs w:val="18"/>
          <w:lang w:val="fr-FR"/>
        </w:rPr>
        <w:t xml:space="preserve">. </w:t>
      </w:r>
      <w:r w:rsidRPr="000B2DCA">
        <w:rPr>
          <w:rFonts w:ascii="Times New Roman" w:hAnsi="Times New Roman"/>
          <w:sz w:val="18"/>
          <w:szCs w:val="18"/>
        </w:rPr>
        <w:t>New Haven, CT: Yale University.</w:t>
      </w:r>
    </w:p>
  </w:footnote>
  <w:footnote w:id="21">
    <w:p w14:paraId="33352ED8" w14:textId="54AE3FC1" w:rsidR="00F50884" w:rsidRPr="000B2DCA" w:rsidRDefault="00F50884" w:rsidP="00B40CBA">
      <w:pPr>
        <w:pStyle w:val="FootnoteText"/>
        <w:ind w:firstLine="720"/>
        <w:jc w:val="both"/>
        <w:rPr>
          <w:rFonts w:ascii="Times New Roman" w:hAnsi="Times New Roman"/>
          <w:sz w:val="18"/>
          <w:szCs w:val="18"/>
        </w:rPr>
      </w:pPr>
      <w:r w:rsidRPr="000B2DCA">
        <w:rPr>
          <w:rStyle w:val="FootnoteReference"/>
          <w:rFonts w:ascii="Times New Roman" w:hAnsi="Times New Roman"/>
          <w:sz w:val="18"/>
          <w:szCs w:val="18"/>
        </w:rPr>
        <w:footnoteRef/>
      </w:r>
      <w:r w:rsidRPr="000B2DCA">
        <w:rPr>
          <w:rFonts w:ascii="Times New Roman" w:hAnsi="Times New Roman"/>
          <w:sz w:val="18"/>
          <w:szCs w:val="18"/>
        </w:rPr>
        <w:t xml:space="preserve"> </w:t>
      </w:r>
      <w:hyperlink r:id="rId2" w:history="1">
        <w:r w:rsidRPr="000B2DCA">
          <w:rPr>
            <w:rStyle w:val="Hyperlink"/>
            <w:rFonts w:ascii="Times New Roman" w:hAnsi="Times New Roman"/>
            <w:color w:val="auto"/>
            <w:sz w:val="18"/>
            <w:szCs w:val="18"/>
          </w:rPr>
          <w:t>www.doingbusiness.org/data/exploreeconomies/bangladesh/</w:t>
        </w:r>
      </w:hyperlink>
      <w:r w:rsidRPr="000B2DCA">
        <w:rPr>
          <w:rFonts w:ascii="Times New Roman" w:hAnsi="Times New Roman"/>
          <w:sz w:val="18"/>
          <w:szCs w:val="18"/>
        </w:rPr>
        <w:t>;</w:t>
      </w:r>
      <w:r w:rsidRPr="000B2DCA">
        <w:rPr>
          <w:sz w:val="18"/>
          <w:szCs w:val="18"/>
        </w:rPr>
        <w:t xml:space="preserve"> </w:t>
      </w:r>
      <w:hyperlink r:id="rId3" w:history="1">
        <w:r w:rsidRPr="000B2DCA">
          <w:rPr>
            <w:rStyle w:val="Hyperlink"/>
            <w:rFonts w:ascii="Times New Roman" w:hAnsi="Times New Roman"/>
            <w:color w:val="auto"/>
            <w:sz w:val="18"/>
            <w:szCs w:val="18"/>
          </w:rPr>
          <w:t>www.transparency.org/cpi2015</w:t>
        </w:r>
      </w:hyperlink>
      <w:r w:rsidRPr="000B2DCA">
        <w:rPr>
          <w:rFonts w:ascii="Times New Roman" w:hAnsi="Times New Roman"/>
          <w:sz w:val="18"/>
          <w:szCs w:val="18"/>
        </w:rPr>
        <w:t xml:space="preserve">; and </w:t>
      </w:r>
    </w:p>
    <w:p w14:paraId="742ABB5A" w14:textId="1A52EDDC" w:rsidR="00F50884" w:rsidRPr="00CE4301" w:rsidRDefault="00F50884" w:rsidP="00B40CBA">
      <w:pPr>
        <w:pStyle w:val="FootnoteText"/>
        <w:ind w:firstLine="720"/>
        <w:jc w:val="both"/>
        <w:rPr>
          <w:rFonts w:ascii="Times New Roman" w:hAnsi="Times New Roman"/>
          <w:sz w:val="20"/>
          <w:szCs w:val="20"/>
        </w:rPr>
      </w:pPr>
      <w:r w:rsidRPr="000B2DCA">
        <w:rPr>
          <w:rFonts w:ascii="Times New Roman" w:hAnsi="Times New Roman"/>
          <w:sz w:val="18"/>
          <w:szCs w:val="18"/>
        </w:rPr>
        <w:t>http://worldjusticeproject.org/open-government-index.</w:t>
      </w:r>
    </w:p>
  </w:footnote>
  <w:footnote w:id="22">
    <w:p w14:paraId="2F60741E" w14:textId="4617ABF8" w:rsidR="00F50884" w:rsidRPr="000B2DCA" w:rsidRDefault="00F50884" w:rsidP="00CE4301">
      <w:pPr>
        <w:pStyle w:val="CommentText"/>
        <w:ind w:left="720"/>
        <w:rPr>
          <w:sz w:val="18"/>
          <w:szCs w:val="18"/>
        </w:rPr>
      </w:pPr>
      <w:r w:rsidRPr="000B2DCA">
        <w:rPr>
          <w:rStyle w:val="FootnoteReference"/>
          <w:sz w:val="18"/>
          <w:szCs w:val="18"/>
        </w:rPr>
        <w:footnoteRef/>
      </w:r>
      <w:r w:rsidRPr="000B2DCA">
        <w:rPr>
          <w:sz w:val="18"/>
          <w:szCs w:val="18"/>
        </w:rPr>
        <w:t xml:space="preserve">National </w:t>
      </w:r>
      <w:r>
        <w:rPr>
          <w:sz w:val="18"/>
          <w:szCs w:val="18"/>
        </w:rPr>
        <w:t>s</w:t>
      </w:r>
      <w:r w:rsidRPr="000B2DCA">
        <w:rPr>
          <w:sz w:val="18"/>
          <w:szCs w:val="18"/>
        </w:rPr>
        <w:t xml:space="preserve">ocial </w:t>
      </w:r>
      <w:r>
        <w:rPr>
          <w:sz w:val="18"/>
          <w:szCs w:val="18"/>
        </w:rPr>
        <w:t>s</w:t>
      </w:r>
      <w:r w:rsidRPr="000B2DCA">
        <w:rPr>
          <w:sz w:val="18"/>
          <w:szCs w:val="18"/>
        </w:rPr>
        <w:t xml:space="preserve">ecurity </w:t>
      </w:r>
      <w:r>
        <w:rPr>
          <w:sz w:val="18"/>
          <w:szCs w:val="18"/>
        </w:rPr>
        <w:t>s</w:t>
      </w:r>
      <w:r w:rsidRPr="000B2DCA">
        <w:rPr>
          <w:sz w:val="18"/>
          <w:szCs w:val="18"/>
        </w:rPr>
        <w:t xml:space="preserve">trategy of Bangladesh, General Economics Division, Planning Commission, Government of the People’s Republic of Bangladesh, July 2015. xviii, xxi, xxvii. </w:t>
      </w:r>
    </w:p>
  </w:footnote>
  <w:footnote w:id="23">
    <w:p w14:paraId="5F510396" w14:textId="48D8029B" w:rsidR="00F50884" w:rsidRPr="000B2DCA" w:rsidRDefault="00F50884" w:rsidP="00CF5413">
      <w:pPr>
        <w:pStyle w:val="CommentText"/>
        <w:ind w:firstLine="720"/>
        <w:rPr>
          <w:sz w:val="18"/>
          <w:szCs w:val="18"/>
        </w:rPr>
      </w:pPr>
      <w:r w:rsidRPr="000B2DCA">
        <w:rPr>
          <w:rStyle w:val="FootnoteReference"/>
          <w:sz w:val="18"/>
          <w:szCs w:val="18"/>
        </w:rPr>
        <w:footnoteRef/>
      </w:r>
      <w:r w:rsidRPr="000B2DCA">
        <w:rPr>
          <w:sz w:val="18"/>
          <w:szCs w:val="18"/>
        </w:rPr>
        <w:t xml:space="preserve"> Towards a More Resilie</w:t>
      </w:r>
      <w:r w:rsidR="00CF01AA">
        <w:rPr>
          <w:sz w:val="18"/>
          <w:szCs w:val="18"/>
        </w:rPr>
        <w:t>nt And Greener Bangladesh: Midterm e</w:t>
      </w:r>
      <w:r w:rsidRPr="000B2DCA">
        <w:rPr>
          <w:sz w:val="18"/>
          <w:szCs w:val="18"/>
        </w:rPr>
        <w:t xml:space="preserve">valuation of UNDP Bangladesh </w:t>
      </w:r>
      <w:r w:rsidR="00CF01AA">
        <w:rPr>
          <w:sz w:val="18"/>
          <w:szCs w:val="18"/>
        </w:rPr>
        <w:t>country programme,</w:t>
      </w:r>
      <w:r w:rsidRPr="000B2DCA">
        <w:rPr>
          <w:sz w:val="18"/>
          <w:szCs w:val="18"/>
        </w:rPr>
        <w:t xml:space="preserve"> </w:t>
      </w:r>
    </w:p>
    <w:p w14:paraId="3276F5AF" w14:textId="08D94F80" w:rsidR="00F50884" w:rsidRPr="000B2DCA" w:rsidRDefault="00F50884" w:rsidP="00CF5413">
      <w:pPr>
        <w:pStyle w:val="CommentText"/>
        <w:ind w:firstLine="720"/>
        <w:rPr>
          <w:sz w:val="18"/>
          <w:szCs w:val="18"/>
        </w:rPr>
      </w:pPr>
      <w:r w:rsidRPr="000B2DCA">
        <w:rPr>
          <w:sz w:val="18"/>
          <w:szCs w:val="18"/>
        </w:rPr>
        <w:t>2012-2016</w:t>
      </w:r>
      <w:r>
        <w:rPr>
          <w:sz w:val="18"/>
          <w:szCs w:val="18"/>
        </w:rPr>
        <w:t>,</w:t>
      </w:r>
      <w:r w:rsidRPr="000B2DCA">
        <w:rPr>
          <w:sz w:val="18"/>
          <w:szCs w:val="18"/>
        </w:rPr>
        <w:t xml:space="preserve"> </w:t>
      </w:r>
      <w:r>
        <w:rPr>
          <w:sz w:val="18"/>
          <w:szCs w:val="18"/>
        </w:rPr>
        <w:t>o</w:t>
      </w:r>
      <w:r w:rsidRPr="000B2DCA">
        <w:rPr>
          <w:sz w:val="18"/>
          <w:szCs w:val="18"/>
        </w:rPr>
        <w:t xml:space="preserve">utcome 3.1 </w:t>
      </w:r>
      <w:r>
        <w:rPr>
          <w:sz w:val="18"/>
          <w:szCs w:val="18"/>
        </w:rPr>
        <w:t>a</w:t>
      </w:r>
      <w:r w:rsidRPr="000B2DCA">
        <w:rPr>
          <w:sz w:val="18"/>
          <w:szCs w:val="18"/>
        </w:rPr>
        <w:t xml:space="preserve">nd </w:t>
      </w:r>
      <w:r>
        <w:rPr>
          <w:sz w:val="18"/>
          <w:szCs w:val="18"/>
        </w:rPr>
        <w:t>o</w:t>
      </w:r>
      <w:r w:rsidR="00CF01AA">
        <w:rPr>
          <w:sz w:val="18"/>
          <w:szCs w:val="18"/>
        </w:rPr>
        <w:t>utcome 3.2.</w:t>
      </w:r>
      <w:r w:rsidRPr="000B2DCA">
        <w:rPr>
          <w:sz w:val="18"/>
          <w:szCs w:val="18"/>
        </w:rPr>
        <w:t xml:space="preserve"> Haque, Wöerlen, Islam, </w:t>
      </w:r>
      <w:r w:rsidR="00CF01AA">
        <w:rPr>
          <w:sz w:val="18"/>
          <w:szCs w:val="18"/>
        </w:rPr>
        <w:t xml:space="preserve">and </w:t>
      </w:r>
      <w:r w:rsidRPr="000B2DCA">
        <w:rPr>
          <w:sz w:val="18"/>
          <w:szCs w:val="18"/>
        </w:rPr>
        <w:t>Neelormi, July 2015. 69.</w:t>
      </w:r>
    </w:p>
  </w:footnote>
  <w:footnote w:id="24">
    <w:p w14:paraId="51195B62" w14:textId="2EA3F775" w:rsidR="00F50884" w:rsidRPr="000B2DCA" w:rsidRDefault="00F50884" w:rsidP="00DC70E8">
      <w:pPr>
        <w:pStyle w:val="CommentText"/>
        <w:ind w:firstLine="720"/>
        <w:rPr>
          <w:sz w:val="18"/>
          <w:szCs w:val="18"/>
        </w:rPr>
      </w:pPr>
      <w:r w:rsidRPr="000B2DCA">
        <w:rPr>
          <w:rStyle w:val="FootnoteReference"/>
          <w:sz w:val="18"/>
          <w:szCs w:val="18"/>
        </w:rPr>
        <w:footnoteRef/>
      </w:r>
      <w:r w:rsidRPr="000B2DCA">
        <w:rPr>
          <w:sz w:val="18"/>
          <w:szCs w:val="18"/>
        </w:rPr>
        <w:t xml:space="preserve"> </w:t>
      </w:r>
      <w:r w:rsidRPr="00795F59">
        <w:rPr>
          <w:sz w:val="18"/>
          <w:szCs w:val="18"/>
        </w:rPr>
        <w:t>Ibid.</w:t>
      </w:r>
      <w:r w:rsidRPr="000B2DCA">
        <w:rPr>
          <w:sz w:val="18"/>
          <w:szCs w:val="18"/>
        </w:rPr>
        <w:t xml:space="preserve"> 37</w:t>
      </w:r>
    </w:p>
  </w:footnote>
  <w:footnote w:id="25">
    <w:p w14:paraId="2662612F" w14:textId="32C96BB4" w:rsidR="00F50884" w:rsidRPr="000B2DCA" w:rsidRDefault="00F50884" w:rsidP="00F12530">
      <w:pPr>
        <w:pStyle w:val="FootnoteText"/>
        <w:ind w:firstLine="720"/>
        <w:jc w:val="both"/>
        <w:rPr>
          <w:rFonts w:ascii="Times New Roman" w:hAnsi="Times New Roman"/>
          <w:sz w:val="18"/>
          <w:szCs w:val="18"/>
        </w:rPr>
      </w:pPr>
      <w:r w:rsidRPr="000B2DCA">
        <w:rPr>
          <w:rStyle w:val="FootnoteReference"/>
          <w:rFonts w:ascii="Times New Roman" w:hAnsi="Times New Roman"/>
          <w:sz w:val="18"/>
          <w:szCs w:val="18"/>
        </w:rPr>
        <w:footnoteRef/>
      </w:r>
      <w:r w:rsidRPr="000B2DCA">
        <w:rPr>
          <w:rFonts w:ascii="Times New Roman" w:hAnsi="Times New Roman"/>
          <w:sz w:val="18"/>
          <w:szCs w:val="18"/>
        </w:rPr>
        <w:t xml:space="preserve"> www.a2i.pmo.gov.bd/</w:t>
      </w:r>
    </w:p>
  </w:footnote>
  <w:footnote w:id="26">
    <w:p w14:paraId="0215F30A" w14:textId="2AE60B44" w:rsidR="00F50884" w:rsidRPr="000B2DCA" w:rsidRDefault="00F50884" w:rsidP="00CD6E0E">
      <w:pPr>
        <w:pStyle w:val="CommentText"/>
        <w:ind w:left="720"/>
        <w:rPr>
          <w:sz w:val="18"/>
          <w:szCs w:val="18"/>
        </w:rPr>
      </w:pPr>
      <w:r w:rsidRPr="000B2DCA">
        <w:rPr>
          <w:rStyle w:val="FootnoteReference"/>
          <w:sz w:val="18"/>
          <w:szCs w:val="18"/>
        </w:rPr>
        <w:footnoteRef/>
      </w:r>
      <w:r w:rsidRPr="000B2DCA">
        <w:rPr>
          <w:sz w:val="18"/>
          <w:szCs w:val="18"/>
        </w:rPr>
        <w:t xml:space="preserve"> Independent Mid-term Outcome Evaluation, Country Programme Document</w:t>
      </w:r>
      <w:r>
        <w:rPr>
          <w:sz w:val="18"/>
          <w:szCs w:val="18"/>
        </w:rPr>
        <w:t>,</w:t>
      </w:r>
      <w:r w:rsidRPr="000B2DCA">
        <w:rPr>
          <w:sz w:val="18"/>
          <w:szCs w:val="18"/>
        </w:rPr>
        <w:t xml:space="preserve"> 2012-2016)</w:t>
      </w:r>
      <w:r>
        <w:rPr>
          <w:sz w:val="18"/>
          <w:szCs w:val="18"/>
        </w:rPr>
        <w:t>, o</w:t>
      </w:r>
      <w:r w:rsidRPr="000B2DCA">
        <w:rPr>
          <w:sz w:val="18"/>
          <w:szCs w:val="18"/>
        </w:rPr>
        <w:t xml:space="preserve">utcomes 1.1 and 1.2, Richard H. Langan II, Salahuddin Aminuzzaman, Shahnaz Huda, Md. Waheed Alam, November, 2015. xiv,53,43. </w:t>
      </w:r>
    </w:p>
    <w:p w14:paraId="1F198247" w14:textId="77777777" w:rsidR="00F50884" w:rsidRPr="00CE4301" w:rsidRDefault="00F50884" w:rsidP="00CE4301">
      <w:pPr>
        <w:pStyle w:val="CommentText"/>
        <w:rPr>
          <w:sz w:val="20"/>
          <w:szCs w:val="20"/>
        </w:rPr>
      </w:pPr>
    </w:p>
    <w:p w14:paraId="4320BAAF" w14:textId="663F068B" w:rsidR="00F50884" w:rsidRDefault="00F50884">
      <w:pPr>
        <w:pStyle w:val="FootnoteText"/>
      </w:pPr>
    </w:p>
  </w:footnote>
  <w:footnote w:id="27">
    <w:p w14:paraId="0614F510" w14:textId="114CFFE6" w:rsidR="00F50884" w:rsidRPr="000B2DCA" w:rsidRDefault="00F50884">
      <w:pPr>
        <w:pStyle w:val="FootnoteText"/>
        <w:rPr>
          <w:rFonts w:ascii="Times New Roman" w:hAnsi="Times New Roman"/>
          <w:sz w:val="16"/>
          <w:szCs w:val="16"/>
        </w:rPr>
      </w:pPr>
      <w:r w:rsidRPr="000B2DCA">
        <w:rPr>
          <w:rStyle w:val="FootnoteReference"/>
          <w:rFonts w:ascii="Times New Roman" w:hAnsi="Times New Roman"/>
          <w:sz w:val="16"/>
          <w:szCs w:val="16"/>
        </w:rPr>
        <w:footnoteRef/>
      </w:r>
      <w:r w:rsidRPr="000B2DCA">
        <w:rPr>
          <w:rFonts w:ascii="Times New Roman" w:hAnsi="Times New Roman"/>
          <w:sz w:val="18"/>
          <w:szCs w:val="18"/>
        </w:rPr>
        <w:t xml:space="preserve"> </w:t>
      </w:r>
      <w:r w:rsidRPr="000B2DCA">
        <w:rPr>
          <w:rFonts w:ascii="Times New Roman" w:hAnsi="Times New Roman"/>
          <w:sz w:val="16"/>
          <w:szCs w:val="16"/>
        </w:rPr>
        <w:t>Seventh five-year plan (of Bangladesh)</w:t>
      </w:r>
    </w:p>
  </w:footnote>
  <w:footnote w:id="28">
    <w:p w14:paraId="27371AB9" w14:textId="12A3C5C1" w:rsidR="00F50884" w:rsidRPr="000B2DCA" w:rsidRDefault="00F50884" w:rsidP="00BC54AE">
      <w:pPr>
        <w:pStyle w:val="FootnoteText"/>
        <w:ind w:left="142" w:hanging="142"/>
        <w:rPr>
          <w:rFonts w:ascii="Times New Roman" w:hAnsi="Times New Roman"/>
          <w:sz w:val="16"/>
          <w:szCs w:val="16"/>
        </w:rPr>
      </w:pPr>
      <w:r w:rsidRPr="000B2DCA">
        <w:rPr>
          <w:rStyle w:val="FootnoteReference"/>
          <w:rFonts w:ascii="Times New Roman" w:hAnsi="Times New Roman"/>
          <w:sz w:val="16"/>
          <w:szCs w:val="16"/>
        </w:rPr>
        <w:footnoteRef/>
      </w:r>
      <w:r w:rsidRPr="000B2DCA">
        <w:rPr>
          <w:rFonts w:ascii="Times New Roman" w:hAnsi="Times New Roman"/>
          <w:sz w:val="16"/>
          <w:szCs w:val="16"/>
        </w:rPr>
        <w:t xml:space="preserve"> </w:t>
      </w:r>
      <w:r w:rsidRPr="000B2DCA">
        <w:rPr>
          <w:rFonts w:ascii="Times New Roman" w:hAnsi="Times New Roman"/>
          <w:iCs/>
          <w:sz w:val="16"/>
          <w:szCs w:val="16"/>
        </w:rPr>
        <w:t xml:space="preserve">Multidimensional poverty index b. </w:t>
      </w:r>
      <w:hyperlink r:id="rId4" w:history="1">
        <w:r w:rsidRPr="000B2DCA">
          <w:rPr>
            <w:rStyle w:val="Hyperlink"/>
            <w:rFonts w:ascii="Times New Roman" w:hAnsi="Times New Roman"/>
            <w:iCs/>
            <w:color w:val="auto"/>
            <w:sz w:val="16"/>
            <w:szCs w:val="16"/>
          </w:rPr>
          <w:t>http://www.ophi.org.uk/multidimensional-poverty-index/</w:t>
        </w:r>
      </w:hyperlink>
      <w:r w:rsidRPr="000B2DCA">
        <w:rPr>
          <w:rFonts w:ascii="Times New Roman" w:hAnsi="Times New Roman"/>
          <w:iCs/>
          <w:sz w:val="16"/>
          <w:szCs w:val="16"/>
        </w:rPr>
        <w:t xml:space="preserve"> </w:t>
      </w:r>
    </w:p>
  </w:footnote>
  <w:footnote w:id="29">
    <w:p w14:paraId="239241BB" w14:textId="1C410837" w:rsidR="00F50884" w:rsidRPr="000B2DCA" w:rsidRDefault="00F50884">
      <w:pPr>
        <w:pStyle w:val="FootnoteText"/>
        <w:rPr>
          <w:rStyle w:val="Hyperlink"/>
          <w:rFonts w:ascii="Times New Roman" w:hAnsi="Times New Roman"/>
          <w:iCs/>
          <w:color w:val="auto"/>
          <w:sz w:val="16"/>
          <w:szCs w:val="16"/>
        </w:rPr>
      </w:pPr>
      <w:r w:rsidRPr="000B2DCA">
        <w:rPr>
          <w:rStyle w:val="FootnoteReference"/>
          <w:rFonts w:ascii="Times New Roman" w:hAnsi="Times New Roman"/>
          <w:sz w:val="16"/>
          <w:szCs w:val="16"/>
        </w:rPr>
        <w:footnoteRef/>
      </w:r>
      <w:r w:rsidRPr="000B2DCA">
        <w:rPr>
          <w:rStyle w:val="FootnoteReference"/>
          <w:rFonts w:ascii="Times New Roman" w:hAnsi="Times New Roman"/>
          <w:sz w:val="16"/>
          <w:szCs w:val="16"/>
        </w:rPr>
        <w:t xml:space="preserve"> </w:t>
      </w:r>
      <w:r w:rsidRPr="000B2DCA">
        <w:rPr>
          <w:rFonts w:ascii="Times New Roman" w:hAnsi="Times New Roman"/>
          <w:sz w:val="16"/>
          <w:szCs w:val="16"/>
        </w:rPr>
        <w:t xml:space="preserve"> </w:t>
      </w:r>
      <w:r w:rsidRPr="000B2DCA">
        <w:rPr>
          <w:rStyle w:val="Hyperlink"/>
          <w:rFonts w:ascii="Times New Roman" w:hAnsi="Times New Roman"/>
          <w:iCs/>
          <w:color w:val="auto"/>
          <w:sz w:val="16"/>
          <w:szCs w:val="16"/>
        </w:rPr>
        <w:t>SDG = sustainable development goal</w:t>
      </w:r>
    </w:p>
  </w:footnote>
  <w:footnote w:id="30">
    <w:p w14:paraId="0808EC19" w14:textId="30A01777" w:rsidR="00F50884" w:rsidRPr="000B2DCA" w:rsidRDefault="00F50884" w:rsidP="00BC54AE">
      <w:pPr>
        <w:pStyle w:val="FootnoteText"/>
        <w:rPr>
          <w:rFonts w:ascii="Times New Roman" w:hAnsi="Times New Roman"/>
          <w:sz w:val="16"/>
          <w:szCs w:val="16"/>
        </w:rPr>
      </w:pPr>
      <w:r w:rsidRPr="000B2DCA">
        <w:rPr>
          <w:rStyle w:val="FootnoteReference"/>
          <w:rFonts w:ascii="Times New Roman" w:hAnsi="Times New Roman"/>
          <w:sz w:val="16"/>
          <w:szCs w:val="16"/>
        </w:rPr>
        <w:footnoteRef/>
      </w:r>
      <w:r w:rsidRPr="000B2DCA">
        <w:rPr>
          <w:rFonts w:ascii="Times New Roman" w:hAnsi="Times New Roman"/>
          <w:sz w:val="16"/>
          <w:szCs w:val="16"/>
        </w:rPr>
        <w:t xml:space="preserve"> </w:t>
      </w:r>
      <w:r w:rsidRPr="000B2DCA">
        <w:rPr>
          <w:rFonts w:ascii="Times New Roman" w:hAnsi="Times New Roman"/>
          <w:iCs/>
          <w:sz w:val="16"/>
          <w:szCs w:val="16"/>
        </w:rPr>
        <w:t>Rating scale from 1-4, IRRF</w:t>
      </w:r>
      <w:r w:rsidRPr="000B2DCA" w:rsidDel="00B85F4D">
        <w:rPr>
          <w:rFonts w:ascii="Times New Roman" w:hAnsi="Times New Roman"/>
          <w:iCs/>
          <w:sz w:val="16"/>
          <w:szCs w:val="16"/>
        </w:rPr>
        <w:t xml:space="preserve"> </w:t>
      </w:r>
      <w:r w:rsidRPr="000B2DCA">
        <w:rPr>
          <w:rFonts w:ascii="Times New Roman" w:hAnsi="Times New Roman"/>
          <w:iCs/>
          <w:sz w:val="16"/>
          <w:szCs w:val="16"/>
        </w:rPr>
        <w:t>methodological guidelines.</w:t>
      </w:r>
    </w:p>
  </w:footnote>
  <w:footnote w:id="31">
    <w:p w14:paraId="59563A18" w14:textId="63A41424" w:rsidR="00F50884" w:rsidRPr="000B2DCA" w:rsidRDefault="00F50884" w:rsidP="00BC54AE">
      <w:pPr>
        <w:pStyle w:val="FootnoteText"/>
        <w:rPr>
          <w:rFonts w:ascii="Times New Roman" w:hAnsi="Times New Roman"/>
          <w:sz w:val="16"/>
          <w:szCs w:val="16"/>
        </w:rPr>
      </w:pPr>
      <w:r w:rsidRPr="000B2DCA">
        <w:rPr>
          <w:rStyle w:val="FootnoteReference"/>
          <w:rFonts w:ascii="Times New Roman" w:hAnsi="Times New Roman"/>
          <w:sz w:val="16"/>
          <w:szCs w:val="16"/>
        </w:rPr>
        <w:footnoteRef/>
      </w:r>
      <w:r w:rsidRPr="000B2DCA">
        <w:rPr>
          <w:rFonts w:ascii="Times New Roman" w:hAnsi="Times New Roman"/>
          <w:sz w:val="16"/>
          <w:szCs w:val="16"/>
        </w:rPr>
        <w:t xml:space="preserve"> </w:t>
      </w:r>
      <w:r w:rsidRPr="00795F59">
        <w:rPr>
          <w:rFonts w:ascii="Times New Roman" w:hAnsi="Times New Roman"/>
          <w:iCs/>
          <w:sz w:val="16"/>
          <w:szCs w:val="16"/>
        </w:rPr>
        <w:t>Ibid.</w:t>
      </w:r>
      <w:r w:rsidRPr="000B2DCA">
        <w:rPr>
          <w:rFonts w:ascii="Times New Roman" w:hAnsi="Times New Roman"/>
          <w:i/>
          <w:iCs/>
          <w:sz w:val="16"/>
          <w:szCs w:val="16"/>
        </w:rPr>
        <w:t xml:space="preserve"> </w:t>
      </w:r>
    </w:p>
  </w:footnote>
  <w:footnote w:id="32">
    <w:p w14:paraId="7C6C42DD" w14:textId="43F24530" w:rsidR="00F50884" w:rsidRPr="000B2DCA" w:rsidRDefault="00F50884">
      <w:pPr>
        <w:pStyle w:val="FootnoteText"/>
        <w:rPr>
          <w:lang w:val="en-US"/>
        </w:rPr>
      </w:pPr>
      <w:r w:rsidRPr="000B2DCA">
        <w:rPr>
          <w:rStyle w:val="FootnoteReference"/>
          <w:rFonts w:ascii="Times New Roman" w:hAnsi="Times New Roman"/>
          <w:sz w:val="16"/>
          <w:szCs w:val="16"/>
        </w:rPr>
        <w:footnoteRef/>
      </w:r>
      <w:r w:rsidRPr="000B2DCA">
        <w:rPr>
          <w:rStyle w:val="FootnoteReference"/>
          <w:rFonts w:ascii="Times New Roman" w:hAnsi="Times New Roman"/>
          <w:sz w:val="16"/>
          <w:szCs w:val="16"/>
        </w:rPr>
        <w:t xml:space="preserve"> </w:t>
      </w:r>
      <w:r w:rsidRPr="000B2DCA">
        <w:rPr>
          <w:rFonts w:ascii="Times New Roman" w:hAnsi="Times New Roman"/>
          <w:iCs/>
          <w:sz w:val="16"/>
          <w:szCs w:val="16"/>
        </w:rPr>
        <w:t>IRRF = Integrated results and resources framework</w:t>
      </w:r>
    </w:p>
  </w:footnote>
  <w:footnote w:id="33">
    <w:p w14:paraId="5BFFA1B4" w14:textId="5E5B7E26" w:rsidR="00F50884" w:rsidRPr="000B2DCA" w:rsidRDefault="00F50884" w:rsidP="00BC54AE">
      <w:pPr>
        <w:pStyle w:val="FootnoteText"/>
        <w:ind w:left="284" w:hanging="284"/>
        <w:rPr>
          <w:rFonts w:ascii="Times New Roman" w:hAnsi="Times New Roman"/>
          <w:iCs/>
          <w:sz w:val="16"/>
          <w:szCs w:val="16"/>
        </w:rPr>
      </w:pPr>
      <w:r w:rsidRPr="000B2DCA">
        <w:rPr>
          <w:rStyle w:val="FootnoteReference"/>
          <w:rFonts w:ascii="Times New Roman" w:hAnsi="Times New Roman"/>
          <w:sz w:val="16"/>
          <w:szCs w:val="16"/>
        </w:rPr>
        <w:footnoteRef/>
      </w:r>
      <w:r w:rsidRPr="000B2DCA">
        <w:rPr>
          <w:rFonts w:ascii="Times New Roman" w:hAnsi="Times New Roman"/>
          <w:sz w:val="16"/>
          <w:szCs w:val="16"/>
        </w:rPr>
        <w:t xml:space="preserve"> </w:t>
      </w:r>
      <w:r w:rsidRPr="000B2DCA">
        <w:rPr>
          <w:rFonts w:ascii="Times New Roman" w:hAnsi="Times New Roman"/>
          <w:iCs/>
          <w:sz w:val="16"/>
          <w:szCs w:val="16"/>
        </w:rPr>
        <w:t>Score from 0.00 to 1.00. The </w:t>
      </w:r>
      <w:r w:rsidRPr="000B2DCA">
        <w:rPr>
          <w:rFonts w:ascii="Times New Roman" w:hAnsi="Times New Roman"/>
          <w:i/>
          <w:sz w:val="16"/>
          <w:szCs w:val="16"/>
        </w:rPr>
        <w:t>WJP Rule of Law Index 2015</w:t>
      </w:r>
      <w:r w:rsidRPr="000B2DCA">
        <w:rPr>
          <w:rFonts w:ascii="Times New Roman" w:hAnsi="Times New Roman"/>
          <w:sz w:val="16"/>
          <w:szCs w:val="16"/>
        </w:rPr>
        <w:t xml:space="preserve">. </w:t>
      </w:r>
    </w:p>
  </w:footnote>
  <w:footnote w:id="34">
    <w:p w14:paraId="78EB614F" w14:textId="7E66E0D9" w:rsidR="00F50884" w:rsidRPr="000B2DCA" w:rsidRDefault="00F50884" w:rsidP="00BC54AE">
      <w:pPr>
        <w:pStyle w:val="FootnoteText"/>
        <w:ind w:left="284" w:hanging="284"/>
        <w:rPr>
          <w:rFonts w:ascii="Times New Roman" w:hAnsi="Times New Roman"/>
          <w:i/>
          <w:iCs/>
          <w:sz w:val="18"/>
          <w:szCs w:val="18"/>
        </w:rPr>
      </w:pPr>
      <w:r w:rsidRPr="000B2DCA">
        <w:rPr>
          <w:rStyle w:val="FootnoteReference"/>
          <w:rFonts w:ascii="Times New Roman" w:hAnsi="Times New Roman"/>
          <w:sz w:val="16"/>
          <w:szCs w:val="16"/>
        </w:rPr>
        <w:footnoteRef/>
      </w:r>
      <w:r w:rsidRPr="000B2DCA">
        <w:rPr>
          <w:rStyle w:val="FootnoteReference"/>
          <w:rFonts w:ascii="Times New Roman" w:hAnsi="Times New Roman"/>
          <w:sz w:val="16"/>
          <w:szCs w:val="16"/>
        </w:rPr>
        <w:t xml:space="preserve"> </w:t>
      </w:r>
      <w:r w:rsidRPr="000B2DCA">
        <w:rPr>
          <w:rFonts w:ascii="Times New Roman" w:hAnsi="Times New Roman"/>
          <w:sz w:val="16"/>
          <w:szCs w:val="16"/>
        </w:rPr>
        <w:t>C</w:t>
      </w:r>
      <w:r w:rsidRPr="000B2DCA">
        <w:rPr>
          <w:rFonts w:ascii="Times New Roman" w:hAnsi="Times New Roman"/>
          <w:iCs/>
          <w:sz w:val="16"/>
          <w:szCs w:val="16"/>
        </w:rPr>
        <w:t>omposite indicator. Rating scale 1-3 (low to medium), IRRF methodological and country office guidelines</w:t>
      </w:r>
      <w:r w:rsidRPr="000B2DCA">
        <w:rPr>
          <w:rFonts w:ascii="Times New Roman" w:hAnsi="Times New Roman"/>
          <w:i/>
          <w:iCs/>
          <w:sz w:val="16"/>
          <w:szCs w:val="16"/>
        </w:rPr>
        <w:t>.</w:t>
      </w:r>
    </w:p>
  </w:footnote>
  <w:footnote w:id="35">
    <w:p w14:paraId="79011B9E" w14:textId="6EB7920E" w:rsidR="00F50884" w:rsidRPr="00C157DD" w:rsidRDefault="00F50884" w:rsidP="00BC54AE">
      <w:pPr>
        <w:pStyle w:val="FootnoteText"/>
        <w:rPr>
          <w:rFonts w:ascii="Times New Roman" w:hAnsi="Times New Roman"/>
          <w:sz w:val="20"/>
          <w:szCs w:val="20"/>
        </w:rPr>
      </w:pPr>
      <w:r w:rsidRPr="000B2DCA">
        <w:rPr>
          <w:rStyle w:val="FootnoteReference"/>
          <w:rFonts w:ascii="Times New Roman" w:hAnsi="Times New Roman"/>
          <w:sz w:val="16"/>
          <w:szCs w:val="16"/>
        </w:rPr>
        <w:footnoteRef/>
      </w:r>
      <w:r w:rsidRPr="000B2DCA">
        <w:rPr>
          <w:rFonts w:ascii="Times New Roman" w:hAnsi="Times New Roman"/>
          <w:sz w:val="16"/>
          <w:szCs w:val="16"/>
        </w:rPr>
        <w:t xml:space="preserve"> R</w:t>
      </w:r>
      <w:r w:rsidRPr="000B2DCA">
        <w:rPr>
          <w:rFonts w:ascii="Times New Roman" w:hAnsi="Times New Roman"/>
          <w:iCs/>
          <w:sz w:val="16"/>
          <w:szCs w:val="16"/>
        </w:rPr>
        <w:t>ating scale 1-4, IRRF methodological guidelines notes</w:t>
      </w:r>
    </w:p>
  </w:footnote>
  <w:footnote w:id="36">
    <w:p w14:paraId="3A8D696B" w14:textId="7E22955B" w:rsidR="00F50884" w:rsidRPr="000B2DCA" w:rsidRDefault="00F50884" w:rsidP="00BC54AE">
      <w:pPr>
        <w:pStyle w:val="FootnoteText"/>
        <w:rPr>
          <w:rFonts w:ascii="Times New Roman" w:hAnsi="Times New Roman"/>
          <w:sz w:val="16"/>
          <w:szCs w:val="16"/>
        </w:rPr>
      </w:pPr>
      <w:r w:rsidRPr="000B2DCA">
        <w:rPr>
          <w:rStyle w:val="FootnoteReference"/>
          <w:rFonts w:ascii="Times New Roman" w:hAnsi="Times New Roman"/>
          <w:sz w:val="16"/>
          <w:szCs w:val="16"/>
        </w:rPr>
        <w:footnoteRef/>
      </w:r>
      <w:r w:rsidRPr="000B2DCA">
        <w:rPr>
          <w:rFonts w:ascii="Times New Roman" w:hAnsi="Times New Roman"/>
          <w:sz w:val="16"/>
          <w:szCs w:val="16"/>
        </w:rPr>
        <w:t xml:space="preserve"> </w:t>
      </w:r>
      <w:r w:rsidRPr="000B2DCA">
        <w:rPr>
          <w:rFonts w:ascii="Times New Roman" w:hAnsi="Times New Roman"/>
          <w:iCs/>
          <w:sz w:val="16"/>
          <w:szCs w:val="16"/>
        </w:rPr>
        <w:t>The adaptive capacities index is a sub-index of the broader World Risk Index. It consists of 11 weighted indicators covering education and research, gender equity, environmental status/ecosystem protection and investments.</w:t>
      </w:r>
    </w:p>
  </w:footnote>
  <w:footnote w:id="37">
    <w:p w14:paraId="5E1212CC" w14:textId="77777777" w:rsidR="00F50884" w:rsidRPr="000B2DCA" w:rsidRDefault="00F50884" w:rsidP="00BC54AE">
      <w:pPr>
        <w:pStyle w:val="FootnoteText"/>
        <w:rPr>
          <w:rFonts w:ascii="Times New Roman" w:hAnsi="Times New Roman"/>
          <w:sz w:val="16"/>
          <w:szCs w:val="16"/>
        </w:rPr>
      </w:pPr>
      <w:r w:rsidRPr="000B2DCA">
        <w:rPr>
          <w:rStyle w:val="FootnoteReference"/>
          <w:rFonts w:ascii="Times New Roman" w:hAnsi="Times New Roman"/>
          <w:sz w:val="16"/>
          <w:szCs w:val="16"/>
        </w:rPr>
        <w:footnoteRef/>
      </w:r>
      <w:r w:rsidRPr="000B2DCA">
        <w:rPr>
          <w:rFonts w:ascii="Times New Roman" w:hAnsi="Times New Roman"/>
          <w:sz w:val="16"/>
          <w:szCs w:val="16"/>
        </w:rPr>
        <w:t xml:space="preserve"> </w:t>
      </w:r>
      <w:hyperlink r:id="rId5" w:history="1">
        <w:r w:rsidRPr="000B2DCA">
          <w:rPr>
            <w:rStyle w:val="Hyperlink"/>
            <w:rFonts w:ascii="Times New Roman" w:hAnsi="Times New Roman"/>
            <w:iCs/>
            <w:color w:val="auto"/>
            <w:sz w:val="16"/>
            <w:szCs w:val="16"/>
          </w:rPr>
          <w:t>http://www.worldriskreport.org</w:t>
        </w:r>
      </w:hyperlink>
      <w:r w:rsidRPr="000B2DCA">
        <w:rPr>
          <w:rFonts w:ascii="Times New Roman" w:hAnsi="Times New Roman"/>
          <w:iCs/>
          <w:sz w:val="16"/>
          <w:szCs w:val="16"/>
        </w:rPr>
        <w:t xml:space="preserve"> </w:t>
      </w:r>
    </w:p>
  </w:footnote>
  <w:footnote w:id="38">
    <w:p w14:paraId="5CC6A59C" w14:textId="5041F85F" w:rsidR="00F50884" w:rsidRPr="000B2DCA" w:rsidRDefault="00F50884">
      <w:pPr>
        <w:pStyle w:val="FootnoteText"/>
        <w:rPr>
          <w:rFonts w:ascii="Times New Roman" w:hAnsi="Times New Roman"/>
          <w:sz w:val="16"/>
          <w:szCs w:val="16"/>
          <w:lang w:val="en-US"/>
        </w:rPr>
      </w:pPr>
      <w:r w:rsidRPr="000B2DCA">
        <w:rPr>
          <w:rStyle w:val="FootnoteReference"/>
          <w:rFonts w:ascii="Times New Roman" w:hAnsi="Times New Roman"/>
          <w:sz w:val="16"/>
          <w:szCs w:val="16"/>
        </w:rPr>
        <w:footnoteRef/>
      </w:r>
      <w:r w:rsidRPr="000B2DCA">
        <w:rPr>
          <w:rFonts w:ascii="Times New Roman" w:hAnsi="Times New Roman"/>
          <w:sz w:val="16"/>
          <w:szCs w:val="16"/>
        </w:rPr>
        <w:t xml:space="preserve"> United Nations University Institute for Environment and Human Security</w:t>
      </w:r>
    </w:p>
  </w:footnote>
  <w:footnote w:id="39">
    <w:p w14:paraId="76680FA5" w14:textId="77777777" w:rsidR="00F50884" w:rsidRPr="000B2DCA" w:rsidRDefault="00F50884" w:rsidP="00BC54AE">
      <w:pPr>
        <w:pStyle w:val="FootnoteText"/>
        <w:rPr>
          <w:rFonts w:ascii="Times New Roman" w:hAnsi="Times New Roman"/>
          <w:sz w:val="16"/>
          <w:szCs w:val="16"/>
        </w:rPr>
      </w:pPr>
      <w:r w:rsidRPr="000B2DCA">
        <w:rPr>
          <w:rStyle w:val="FootnoteReference"/>
          <w:rFonts w:ascii="Times New Roman" w:hAnsi="Times New Roman"/>
          <w:sz w:val="16"/>
          <w:szCs w:val="16"/>
        </w:rPr>
        <w:footnoteRef/>
      </w:r>
      <w:r w:rsidRPr="000B2DCA">
        <w:rPr>
          <w:rFonts w:ascii="Times New Roman" w:hAnsi="Times New Roman"/>
          <w:sz w:val="16"/>
          <w:szCs w:val="16"/>
        </w:rPr>
        <w:t xml:space="preserve"> </w:t>
      </w:r>
      <w:r w:rsidRPr="000B2DCA">
        <w:rPr>
          <w:rStyle w:val="Hyperlink"/>
          <w:rFonts w:ascii="Times New Roman" w:hAnsi="Times New Roman"/>
          <w:iCs/>
          <w:color w:val="auto"/>
          <w:sz w:val="16"/>
          <w:szCs w:val="16"/>
        </w:rPr>
        <w:t>http://www.emdat.be</w:t>
      </w:r>
    </w:p>
  </w:footnote>
  <w:footnote w:id="40">
    <w:p w14:paraId="36823A81" w14:textId="0A44C157" w:rsidR="00F50884" w:rsidRPr="000B2DCA" w:rsidRDefault="00F50884">
      <w:pPr>
        <w:pStyle w:val="FootnoteText"/>
        <w:rPr>
          <w:lang w:val="en-US"/>
        </w:rPr>
      </w:pPr>
      <w:r w:rsidRPr="000B2DCA">
        <w:rPr>
          <w:rStyle w:val="FootnoteReference"/>
          <w:rFonts w:ascii="Times New Roman" w:hAnsi="Times New Roman"/>
          <w:sz w:val="16"/>
          <w:szCs w:val="16"/>
        </w:rPr>
        <w:footnoteRef/>
      </w:r>
      <w:r w:rsidRPr="000B2DCA">
        <w:rPr>
          <w:rStyle w:val="FootnoteReference"/>
          <w:rFonts w:ascii="Times New Roman" w:hAnsi="Times New Roman"/>
          <w:sz w:val="16"/>
          <w:szCs w:val="16"/>
        </w:rPr>
        <w:t xml:space="preserve"> </w:t>
      </w:r>
      <w:r w:rsidRPr="000B2DCA">
        <w:rPr>
          <w:rFonts w:ascii="Times New Roman" w:hAnsi="Times New Roman"/>
          <w:iCs/>
          <w:sz w:val="16"/>
          <w:szCs w:val="16"/>
        </w:rPr>
        <w:t>Climate Public Expenditure and Institutional Review</w:t>
      </w:r>
    </w:p>
  </w:footnote>
  <w:footnote w:id="41">
    <w:p w14:paraId="112D3098" w14:textId="77777777" w:rsidR="00F50884" w:rsidRPr="000B2DCA" w:rsidRDefault="00F50884" w:rsidP="00BC54AE">
      <w:pPr>
        <w:pStyle w:val="FootnoteText"/>
        <w:rPr>
          <w:rFonts w:ascii="Times New Roman" w:hAnsi="Times New Roman"/>
          <w:sz w:val="16"/>
          <w:szCs w:val="16"/>
        </w:rPr>
      </w:pPr>
      <w:r w:rsidRPr="000B2DCA">
        <w:rPr>
          <w:rStyle w:val="FootnoteReference"/>
          <w:rFonts w:ascii="Times New Roman" w:hAnsi="Times New Roman"/>
          <w:sz w:val="16"/>
          <w:szCs w:val="16"/>
        </w:rPr>
        <w:footnoteRef/>
      </w:r>
      <w:r w:rsidRPr="000B2DCA">
        <w:rPr>
          <w:rFonts w:ascii="Times New Roman" w:hAnsi="Times New Roman"/>
          <w:sz w:val="16"/>
          <w:szCs w:val="16"/>
        </w:rPr>
        <w:t xml:space="preserve"> </w:t>
      </w:r>
      <w:hyperlink r:id="rId6" w:history="1">
        <w:r w:rsidRPr="000B2DCA">
          <w:rPr>
            <w:rStyle w:val="Hyperlink"/>
            <w:rFonts w:ascii="Times New Roman" w:hAnsi="Times New Roman"/>
            <w:iCs/>
            <w:color w:val="auto"/>
            <w:sz w:val="16"/>
            <w:szCs w:val="16"/>
          </w:rPr>
          <w:t>http://climatefinance-developmenteffectiveness.org/CPEIR-Database</w:t>
        </w:r>
      </w:hyperlink>
      <w:r w:rsidRPr="000B2DCA">
        <w:rPr>
          <w:rFonts w:ascii="Times New Roman" w:hAnsi="Times New Roman"/>
          <w:sz w:val="16"/>
          <w:szCs w:val="16"/>
        </w:rPr>
        <w:t xml:space="preserve"> </w:t>
      </w:r>
    </w:p>
  </w:footnote>
  <w:footnote w:id="42">
    <w:p w14:paraId="0DADF03E" w14:textId="62CA51A3" w:rsidR="00F50884" w:rsidRPr="000B2DCA" w:rsidRDefault="00F50884" w:rsidP="00BC54AE">
      <w:pPr>
        <w:pStyle w:val="FootnoteText"/>
        <w:rPr>
          <w:rFonts w:ascii="Times New Roman" w:hAnsi="Times New Roman"/>
          <w:sz w:val="16"/>
          <w:szCs w:val="16"/>
        </w:rPr>
      </w:pPr>
      <w:r w:rsidRPr="000B2DCA">
        <w:rPr>
          <w:rStyle w:val="FootnoteReference"/>
          <w:rFonts w:ascii="Times New Roman" w:hAnsi="Times New Roman"/>
          <w:sz w:val="16"/>
          <w:szCs w:val="16"/>
        </w:rPr>
        <w:footnoteRef/>
      </w:r>
      <w:r w:rsidRPr="000B2DCA">
        <w:rPr>
          <w:rStyle w:val="FootnoteReference"/>
          <w:rFonts w:ascii="Times New Roman" w:hAnsi="Times New Roman"/>
          <w:sz w:val="16"/>
          <w:szCs w:val="16"/>
        </w:rPr>
        <w:t xml:space="preserve"> </w:t>
      </w:r>
      <w:r w:rsidRPr="000B2DCA">
        <w:rPr>
          <w:rFonts w:ascii="Times New Roman" w:hAnsi="Times New Roman"/>
          <w:iCs/>
          <w:sz w:val="16"/>
          <w:szCs w:val="16"/>
        </w:rPr>
        <w:t>Disaggregated by gender and budgeted/not budgeted. IRRF methodological guidelines notes</w:t>
      </w:r>
    </w:p>
  </w:footnote>
  <w:footnote w:id="43">
    <w:p w14:paraId="6ECFD88A" w14:textId="0D500100" w:rsidR="00F50884" w:rsidRPr="00C157DD" w:rsidRDefault="00F50884" w:rsidP="00BC54AE">
      <w:pPr>
        <w:pStyle w:val="FootnoteText"/>
        <w:rPr>
          <w:rFonts w:ascii="Times New Roman" w:hAnsi="Times New Roman"/>
          <w:sz w:val="20"/>
          <w:szCs w:val="20"/>
        </w:rPr>
      </w:pPr>
      <w:r w:rsidRPr="000B2DCA">
        <w:rPr>
          <w:rStyle w:val="FootnoteReference"/>
          <w:rFonts w:ascii="Times New Roman" w:hAnsi="Times New Roman"/>
          <w:sz w:val="16"/>
          <w:szCs w:val="16"/>
        </w:rPr>
        <w:footnoteRef/>
      </w:r>
      <w:r w:rsidRPr="000B2DCA">
        <w:rPr>
          <w:rFonts w:ascii="Times New Roman" w:hAnsi="Times New Roman"/>
          <w:sz w:val="16"/>
          <w:szCs w:val="16"/>
        </w:rPr>
        <w:t xml:space="preserve"> </w:t>
      </w:r>
      <w:r w:rsidRPr="000B2DCA">
        <w:rPr>
          <w:rFonts w:ascii="Times New Roman" w:hAnsi="Times New Roman"/>
          <w:iCs/>
          <w:sz w:val="16"/>
          <w:szCs w:val="16"/>
        </w:rPr>
        <w:t xml:space="preserve">National </w:t>
      </w:r>
      <w:r w:rsidRPr="00723D04">
        <w:rPr>
          <w:rFonts w:ascii="Times New Roman" w:hAnsi="Times New Roman"/>
          <w:iCs/>
          <w:sz w:val="16"/>
          <w:szCs w:val="16"/>
        </w:rPr>
        <w:t>low</w:t>
      </w:r>
      <w:r>
        <w:rPr>
          <w:rFonts w:ascii="Times New Roman" w:hAnsi="Times New Roman"/>
          <w:iCs/>
          <w:sz w:val="16"/>
          <w:szCs w:val="16"/>
        </w:rPr>
        <w:t>-c</w:t>
      </w:r>
      <w:r w:rsidRPr="00723D04">
        <w:rPr>
          <w:rFonts w:ascii="Times New Roman" w:hAnsi="Times New Roman"/>
          <w:iCs/>
          <w:sz w:val="16"/>
          <w:szCs w:val="16"/>
        </w:rPr>
        <w:t>arbon and climate resilient strategy, national adaptation plan, country framework for green climate fund</w:t>
      </w:r>
      <w:r w:rsidRPr="000B2DCA">
        <w:rPr>
          <w:rFonts w:ascii="Times New Roman" w:hAnsi="Times New Roman"/>
          <w:iCs/>
          <w:sz w:val="16"/>
          <w:szCs w:val="16"/>
        </w:rPr>
        <w:t xml:space="preserve">, </w:t>
      </w:r>
      <w:r w:rsidRPr="000B2DCA">
        <w:rPr>
          <w:rFonts w:ascii="Times New Roman" w:hAnsi="Times New Roman"/>
          <w:sz w:val="16"/>
          <w:szCs w:val="16"/>
        </w:rPr>
        <w:t>Intended Nationally Determined Contribution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DC80A" w14:textId="5C405BD3" w:rsidR="00F50884" w:rsidRPr="00916E69" w:rsidRDefault="00F50884">
    <w:pPr>
      <w:pStyle w:val="Header"/>
      <w:rPr>
        <w:lang w:val="en-US"/>
      </w:rPr>
    </w:pPr>
    <w:r>
      <w:rPr>
        <w:rFonts w:ascii="Times New Roman" w:hAnsi="Times New Roman"/>
        <w:b/>
        <w:sz w:val="17"/>
        <w:szCs w:val="17"/>
        <w:lang w:val="en-US" w:eastAsia="en-US"/>
      </w:rPr>
      <w:t>DP/DCP/BGD/3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B4BE2" w:rsidRPr="000B4BE2" w14:paraId="4FBAEF90" w14:textId="77777777" w:rsidTr="00DB5E92">
      <w:trPr>
        <w:trHeight w:hRule="exact" w:val="864"/>
      </w:trPr>
      <w:tc>
        <w:tcPr>
          <w:tcW w:w="1267" w:type="dxa"/>
          <w:tcBorders>
            <w:bottom w:val="single" w:sz="4" w:space="0" w:color="auto"/>
          </w:tcBorders>
          <w:shd w:val="clear" w:color="auto" w:fill="auto"/>
          <w:vAlign w:val="bottom"/>
        </w:tcPr>
        <w:p w14:paraId="483416A1" w14:textId="77777777" w:rsidR="000B4BE2" w:rsidRPr="000B4BE2" w:rsidRDefault="000B4BE2" w:rsidP="000B4BE2">
          <w:pPr>
            <w:tabs>
              <w:tab w:val="center" w:pos="4320"/>
              <w:tab w:val="right" w:pos="8640"/>
            </w:tabs>
            <w:spacing w:after="120"/>
            <w:rPr>
              <w:noProof/>
              <w:sz w:val="17"/>
              <w:szCs w:val="20"/>
              <w:lang w:val="en-US"/>
            </w:rPr>
          </w:pPr>
        </w:p>
      </w:tc>
      <w:tc>
        <w:tcPr>
          <w:tcW w:w="1872" w:type="dxa"/>
          <w:tcBorders>
            <w:bottom w:val="single" w:sz="4" w:space="0" w:color="auto"/>
          </w:tcBorders>
          <w:shd w:val="clear" w:color="auto" w:fill="auto"/>
          <w:vAlign w:val="bottom"/>
        </w:tcPr>
        <w:p w14:paraId="1154F63C" w14:textId="77777777" w:rsidR="000B4BE2" w:rsidRPr="000B4BE2" w:rsidRDefault="000B4BE2" w:rsidP="000B4BE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szCs w:val="20"/>
            </w:rPr>
          </w:pPr>
          <w:r w:rsidRPr="000B4BE2">
            <w:rPr>
              <w:spacing w:val="2"/>
              <w:w w:val="96"/>
              <w:kern w:val="14"/>
              <w:sz w:val="28"/>
              <w:szCs w:val="20"/>
            </w:rPr>
            <w:t>United Nations</w:t>
          </w:r>
        </w:p>
      </w:tc>
      <w:tc>
        <w:tcPr>
          <w:tcW w:w="245" w:type="dxa"/>
          <w:tcBorders>
            <w:bottom w:val="single" w:sz="4" w:space="0" w:color="auto"/>
          </w:tcBorders>
          <w:shd w:val="clear" w:color="auto" w:fill="auto"/>
          <w:vAlign w:val="bottom"/>
        </w:tcPr>
        <w:p w14:paraId="037703D0" w14:textId="77777777" w:rsidR="000B4BE2" w:rsidRPr="000B4BE2" w:rsidRDefault="000B4BE2" w:rsidP="000B4BE2">
          <w:pPr>
            <w:tabs>
              <w:tab w:val="center" w:pos="4320"/>
              <w:tab w:val="right" w:pos="8640"/>
            </w:tabs>
            <w:spacing w:after="120"/>
            <w:rPr>
              <w:noProof/>
              <w:sz w:val="17"/>
              <w:szCs w:val="20"/>
              <w:lang w:val="en-US"/>
            </w:rPr>
          </w:pPr>
        </w:p>
      </w:tc>
      <w:tc>
        <w:tcPr>
          <w:tcW w:w="6523" w:type="dxa"/>
          <w:gridSpan w:val="4"/>
          <w:tcBorders>
            <w:bottom w:val="single" w:sz="4" w:space="0" w:color="auto"/>
          </w:tcBorders>
          <w:shd w:val="clear" w:color="auto" w:fill="auto"/>
          <w:vAlign w:val="bottom"/>
        </w:tcPr>
        <w:p w14:paraId="07D9F5E4" w14:textId="571A3A10" w:rsidR="000B4BE2" w:rsidRPr="000B4BE2" w:rsidRDefault="000B4BE2" w:rsidP="000B4BE2">
          <w:pPr>
            <w:suppressAutoHyphens/>
            <w:spacing w:after="80"/>
            <w:jc w:val="right"/>
            <w:rPr>
              <w:spacing w:val="4"/>
              <w:w w:val="103"/>
              <w:kern w:val="14"/>
              <w:position w:val="-4"/>
              <w:sz w:val="20"/>
              <w:szCs w:val="20"/>
            </w:rPr>
          </w:pPr>
          <w:r w:rsidRPr="000B4BE2">
            <w:rPr>
              <w:spacing w:val="4"/>
              <w:w w:val="103"/>
              <w:kern w:val="14"/>
              <w:position w:val="-4"/>
              <w:sz w:val="40"/>
              <w:szCs w:val="20"/>
            </w:rPr>
            <w:t>DP</w:t>
          </w:r>
          <w:r w:rsidRPr="000B4BE2">
            <w:rPr>
              <w:spacing w:val="4"/>
              <w:w w:val="103"/>
              <w:kern w:val="14"/>
              <w:position w:val="-4"/>
              <w:sz w:val="20"/>
              <w:szCs w:val="20"/>
            </w:rPr>
            <w:t>/DCP/</w:t>
          </w:r>
          <w:r>
            <w:rPr>
              <w:spacing w:val="4"/>
              <w:w w:val="103"/>
              <w:kern w:val="14"/>
              <w:position w:val="-4"/>
              <w:sz w:val="20"/>
              <w:szCs w:val="20"/>
            </w:rPr>
            <w:t>BGD</w:t>
          </w:r>
          <w:r w:rsidRPr="000B4BE2">
            <w:rPr>
              <w:spacing w:val="4"/>
              <w:w w:val="103"/>
              <w:kern w:val="14"/>
              <w:position w:val="-4"/>
              <w:sz w:val="20"/>
              <w:szCs w:val="20"/>
            </w:rPr>
            <w:t>/3</w:t>
          </w:r>
        </w:p>
      </w:tc>
    </w:tr>
    <w:tr w:rsidR="000B4BE2" w:rsidRPr="000B4BE2" w14:paraId="558E091A" w14:textId="77777777" w:rsidTr="00DB5E92">
      <w:trPr>
        <w:gridAfter w:val="1"/>
        <w:wAfter w:w="28" w:type="dxa"/>
        <w:trHeight w:hRule="exact" w:val="2880"/>
      </w:trPr>
      <w:tc>
        <w:tcPr>
          <w:tcW w:w="1267" w:type="dxa"/>
          <w:tcBorders>
            <w:top w:val="single" w:sz="4" w:space="0" w:color="auto"/>
            <w:bottom w:val="single" w:sz="12" w:space="0" w:color="auto"/>
          </w:tcBorders>
          <w:shd w:val="clear" w:color="auto" w:fill="auto"/>
        </w:tcPr>
        <w:p w14:paraId="518548F1" w14:textId="77777777" w:rsidR="000B4BE2" w:rsidRPr="000B4BE2" w:rsidRDefault="000B4BE2" w:rsidP="000B4BE2">
          <w:pPr>
            <w:tabs>
              <w:tab w:val="center" w:pos="4320"/>
              <w:tab w:val="right" w:pos="8640"/>
            </w:tabs>
            <w:spacing w:before="109"/>
            <w:rPr>
              <w:noProof/>
              <w:sz w:val="17"/>
              <w:szCs w:val="20"/>
              <w:lang w:val="en-US"/>
            </w:rPr>
          </w:pPr>
          <w:r w:rsidRPr="000B4BE2">
            <w:rPr>
              <w:noProof/>
              <w:sz w:val="17"/>
              <w:szCs w:val="20"/>
              <w:lang w:val="en-US"/>
            </w:rPr>
            <w:t xml:space="preserve"> </w:t>
          </w:r>
          <w:r w:rsidRPr="000B4BE2">
            <w:rPr>
              <w:noProof/>
              <w:sz w:val="17"/>
              <w:szCs w:val="20"/>
              <w:lang w:val="en-US"/>
            </w:rPr>
            <w:drawing>
              <wp:inline distT="0" distB="0" distL="0" distR="0" wp14:anchorId="45001538" wp14:editId="2F3AD8F7">
                <wp:extent cx="702945" cy="592455"/>
                <wp:effectExtent l="0" t="0" r="190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014C3965" w14:textId="77777777" w:rsidR="000B4BE2" w:rsidRPr="000B4BE2" w:rsidRDefault="000B4BE2" w:rsidP="000B4BE2">
          <w:pPr>
            <w:tabs>
              <w:tab w:val="center" w:pos="4320"/>
              <w:tab w:val="right" w:pos="8640"/>
            </w:tabs>
            <w:spacing w:before="109"/>
            <w:rPr>
              <w:noProof/>
              <w:sz w:val="17"/>
              <w:szCs w:val="20"/>
              <w:lang w:val="en-US"/>
            </w:rPr>
          </w:pPr>
        </w:p>
      </w:tc>
      <w:tc>
        <w:tcPr>
          <w:tcW w:w="5227" w:type="dxa"/>
          <w:gridSpan w:val="3"/>
          <w:tcBorders>
            <w:top w:val="single" w:sz="4" w:space="0" w:color="auto"/>
            <w:bottom w:val="single" w:sz="12" w:space="0" w:color="auto"/>
          </w:tcBorders>
          <w:shd w:val="clear" w:color="auto" w:fill="auto"/>
        </w:tcPr>
        <w:p w14:paraId="6442841F" w14:textId="77777777" w:rsidR="000B4BE2" w:rsidRPr="000B4BE2" w:rsidRDefault="000B4BE2" w:rsidP="000B4BE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z w:val="34"/>
              <w:szCs w:val="20"/>
              <w:lang w:val="en-US"/>
            </w:rPr>
          </w:pPr>
          <w:r w:rsidRPr="000B4BE2">
            <w:rPr>
              <w:b/>
              <w:sz w:val="34"/>
              <w:szCs w:val="20"/>
              <w:lang w:val="en-US"/>
            </w:rPr>
            <w:t>Executive Board of the</w:t>
          </w:r>
          <w:r w:rsidRPr="000B4BE2">
            <w:rPr>
              <w:b/>
              <w:sz w:val="34"/>
              <w:szCs w:val="20"/>
              <w:lang w:val="en-US"/>
            </w:rPr>
            <w:br/>
            <w:t>United Nations Development</w:t>
          </w:r>
          <w:r w:rsidRPr="000B4BE2">
            <w:rPr>
              <w:b/>
              <w:sz w:val="34"/>
              <w:szCs w:val="20"/>
              <w:lang w:val="en-US"/>
            </w:rPr>
            <w:br/>
            <w:t xml:space="preserve">Programme, the United Nations Population Fund and the </w:t>
          </w:r>
        </w:p>
        <w:p w14:paraId="66D38E73" w14:textId="77777777" w:rsidR="000B4BE2" w:rsidRPr="000B4BE2" w:rsidRDefault="000B4BE2" w:rsidP="000B4BE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z w:val="34"/>
              <w:szCs w:val="20"/>
              <w:lang w:val="en-US"/>
            </w:rPr>
          </w:pPr>
          <w:r w:rsidRPr="000B4BE2">
            <w:rPr>
              <w:b/>
              <w:sz w:val="34"/>
              <w:szCs w:val="20"/>
              <w:lang w:val="en-US"/>
            </w:rPr>
            <w:t xml:space="preserve">United Nations Office for </w:t>
          </w:r>
        </w:p>
        <w:p w14:paraId="5D0CBA60" w14:textId="77777777" w:rsidR="000B4BE2" w:rsidRPr="000B4BE2" w:rsidRDefault="000B4BE2" w:rsidP="000B4BE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szCs w:val="20"/>
            </w:rPr>
          </w:pPr>
          <w:r w:rsidRPr="000B4BE2">
            <w:rPr>
              <w:b/>
              <w:sz w:val="34"/>
              <w:szCs w:val="20"/>
              <w:lang w:val="en-US"/>
            </w:rPr>
            <w:t>Project Services</w:t>
          </w:r>
        </w:p>
      </w:tc>
      <w:tc>
        <w:tcPr>
          <w:tcW w:w="245" w:type="dxa"/>
          <w:tcBorders>
            <w:top w:val="single" w:sz="4" w:space="0" w:color="auto"/>
            <w:bottom w:val="single" w:sz="12" w:space="0" w:color="auto"/>
          </w:tcBorders>
          <w:shd w:val="clear" w:color="auto" w:fill="auto"/>
        </w:tcPr>
        <w:p w14:paraId="4C56E498" w14:textId="77777777" w:rsidR="000B4BE2" w:rsidRPr="000B4BE2" w:rsidRDefault="000B4BE2" w:rsidP="000B4BE2">
          <w:pPr>
            <w:tabs>
              <w:tab w:val="center" w:pos="4320"/>
              <w:tab w:val="right" w:pos="8640"/>
            </w:tabs>
            <w:spacing w:before="109"/>
            <w:rPr>
              <w:noProof/>
              <w:sz w:val="17"/>
              <w:szCs w:val="20"/>
              <w:lang w:val="en-US"/>
            </w:rPr>
          </w:pPr>
        </w:p>
      </w:tc>
      <w:tc>
        <w:tcPr>
          <w:tcW w:w="3140" w:type="dxa"/>
          <w:tcBorders>
            <w:top w:val="single" w:sz="4" w:space="0" w:color="auto"/>
            <w:bottom w:val="single" w:sz="12" w:space="0" w:color="auto"/>
          </w:tcBorders>
          <w:shd w:val="clear" w:color="auto" w:fill="auto"/>
        </w:tcPr>
        <w:p w14:paraId="3C8C6E64" w14:textId="77777777" w:rsidR="000B4BE2" w:rsidRPr="000B4BE2" w:rsidRDefault="000B4BE2" w:rsidP="000B4BE2">
          <w:pPr>
            <w:suppressAutoHyphens/>
            <w:spacing w:before="240" w:line="240" w:lineRule="exact"/>
            <w:rPr>
              <w:spacing w:val="4"/>
              <w:w w:val="103"/>
              <w:kern w:val="14"/>
              <w:sz w:val="20"/>
              <w:szCs w:val="20"/>
            </w:rPr>
          </w:pPr>
          <w:r w:rsidRPr="000B4BE2">
            <w:rPr>
              <w:spacing w:val="4"/>
              <w:w w:val="103"/>
              <w:kern w:val="14"/>
              <w:sz w:val="20"/>
              <w:szCs w:val="20"/>
            </w:rPr>
            <w:t>Distr.: General</w:t>
          </w:r>
        </w:p>
        <w:p w14:paraId="7273BDA1" w14:textId="41C875B9" w:rsidR="000B4BE2" w:rsidRPr="000B4BE2" w:rsidRDefault="00AA7DF8" w:rsidP="000B4BE2">
          <w:pPr>
            <w:suppressAutoHyphens/>
            <w:spacing w:line="240" w:lineRule="exact"/>
            <w:rPr>
              <w:spacing w:val="4"/>
              <w:w w:val="103"/>
              <w:kern w:val="14"/>
              <w:sz w:val="20"/>
              <w:szCs w:val="20"/>
            </w:rPr>
          </w:pPr>
          <w:r>
            <w:rPr>
              <w:spacing w:val="4"/>
              <w:w w:val="103"/>
              <w:kern w:val="14"/>
              <w:sz w:val="20"/>
              <w:szCs w:val="20"/>
            </w:rPr>
            <w:t>13</w:t>
          </w:r>
          <w:r w:rsidR="000B4BE2" w:rsidRPr="000B4BE2">
            <w:rPr>
              <w:spacing w:val="4"/>
              <w:w w:val="103"/>
              <w:kern w:val="14"/>
              <w:sz w:val="20"/>
              <w:szCs w:val="20"/>
            </w:rPr>
            <w:t xml:space="preserve"> </w:t>
          </w:r>
          <w:r w:rsidR="00020B9B">
            <w:rPr>
              <w:spacing w:val="4"/>
              <w:w w:val="103"/>
              <w:kern w:val="14"/>
              <w:sz w:val="20"/>
              <w:szCs w:val="20"/>
            </w:rPr>
            <w:t>June</w:t>
          </w:r>
          <w:r w:rsidR="000B4BE2" w:rsidRPr="000B4BE2">
            <w:rPr>
              <w:spacing w:val="4"/>
              <w:w w:val="103"/>
              <w:kern w:val="14"/>
              <w:sz w:val="20"/>
              <w:szCs w:val="20"/>
            </w:rPr>
            <w:t xml:space="preserve"> 2016</w:t>
          </w:r>
        </w:p>
        <w:p w14:paraId="5D3EB861" w14:textId="77777777" w:rsidR="000B4BE2" w:rsidRPr="000B4BE2" w:rsidRDefault="000B4BE2" w:rsidP="000B4BE2">
          <w:pPr>
            <w:suppressAutoHyphens/>
            <w:spacing w:line="240" w:lineRule="exact"/>
            <w:rPr>
              <w:spacing w:val="4"/>
              <w:w w:val="103"/>
              <w:kern w:val="14"/>
              <w:sz w:val="20"/>
              <w:szCs w:val="20"/>
            </w:rPr>
          </w:pPr>
        </w:p>
        <w:p w14:paraId="4A345AD9" w14:textId="77777777" w:rsidR="000B4BE2" w:rsidRPr="000B4BE2" w:rsidRDefault="000B4BE2" w:rsidP="000B4BE2">
          <w:pPr>
            <w:suppressAutoHyphens/>
            <w:spacing w:line="240" w:lineRule="exact"/>
            <w:rPr>
              <w:spacing w:val="4"/>
              <w:w w:val="103"/>
              <w:kern w:val="14"/>
              <w:sz w:val="20"/>
              <w:szCs w:val="20"/>
            </w:rPr>
          </w:pPr>
          <w:r w:rsidRPr="000B4BE2">
            <w:rPr>
              <w:spacing w:val="4"/>
              <w:w w:val="103"/>
              <w:kern w:val="14"/>
              <w:sz w:val="20"/>
              <w:szCs w:val="20"/>
            </w:rPr>
            <w:t>Original: English</w:t>
          </w:r>
        </w:p>
      </w:tc>
    </w:tr>
  </w:tbl>
  <w:p w14:paraId="18033396" w14:textId="77777777" w:rsidR="00F50884" w:rsidRPr="000B4BE2" w:rsidRDefault="00F50884">
    <w:pPr>
      <w:pStyle w:val="Header"/>
      <w:rPr>
        <w:sz w:val="2"/>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B4BE2" w:rsidRPr="00D64B78" w14:paraId="4333BE5F" w14:textId="77777777" w:rsidTr="003E536A">
      <w:trPr>
        <w:trHeight w:hRule="exact" w:val="864"/>
      </w:trPr>
      <w:tc>
        <w:tcPr>
          <w:tcW w:w="4838" w:type="dxa"/>
          <w:tcBorders>
            <w:bottom w:val="single" w:sz="4" w:space="0" w:color="auto"/>
          </w:tcBorders>
          <w:vAlign w:val="bottom"/>
        </w:tcPr>
        <w:p w14:paraId="293DA556" w14:textId="77777777" w:rsidR="000B4BE2" w:rsidRPr="00D64B78" w:rsidRDefault="000B4BE2" w:rsidP="003E536A">
          <w:pPr>
            <w:widowControl w:val="0"/>
            <w:tabs>
              <w:tab w:val="center" w:pos="4320"/>
              <w:tab w:val="right" w:pos="8640"/>
            </w:tabs>
            <w:spacing w:after="80"/>
            <w:rPr>
              <w:b/>
              <w:sz w:val="17"/>
              <w:szCs w:val="17"/>
            </w:rPr>
          </w:pPr>
          <w:r w:rsidRPr="00D64B78">
            <w:rPr>
              <w:b/>
              <w:sz w:val="17"/>
              <w:szCs w:val="17"/>
            </w:rPr>
            <w:t>DP/DCP/</w:t>
          </w:r>
          <w:r>
            <w:rPr>
              <w:b/>
              <w:sz w:val="17"/>
              <w:szCs w:val="17"/>
            </w:rPr>
            <w:t>SSD</w:t>
          </w:r>
          <w:r w:rsidRPr="00D64B78">
            <w:rPr>
              <w:b/>
              <w:sz w:val="17"/>
              <w:szCs w:val="17"/>
            </w:rPr>
            <w:t>/2</w:t>
          </w:r>
        </w:p>
      </w:tc>
      <w:tc>
        <w:tcPr>
          <w:tcW w:w="5047" w:type="dxa"/>
          <w:tcBorders>
            <w:bottom w:val="single" w:sz="4" w:space="0" w:color="auto"/>
          </w:tcBorders>
          <w:vAlign w:val="bottom"/>
        </w:tcPr>
        <w:p w14:paraId="3CFCA431" w14:textId="77777777" w:rsidR="000B4BE2" w:rsidRPr="00D64B78" w:rsidRDefault="000B4BE2" w:rsidP="003E536A">
          <w:pPr>
            <w:widowControl w:val="0"/>
            <w:tabs>
              <w:tab w:val="center" w:pos="4320"/>
              <w:tab w:val="right" w:pos="8640"/>
            </w:tabs>
            <w:rPr>
              <w:sz w:val="17"/>
              <w:szCs w:val="17"/>
            </w:rPr>
          </w:pPr>
        </w:p>
      </w:tc>
    </w:tr>
  </w:tbl>
  <w:p w14:paraId="331B22CC" w14:textId="77777777" w:rsidR="000B4BE2" w:rsidRPr="00944DE8" w:rsidRDefault="000B4BE2">
    <w:pPr>
      <w:pStyle w:val="Head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B4BE2" w:rsidRPr="00D64B78" w14:paraId="2427040F" w14:textId="77777777" w:rsidTr="003E536A">
      <w:trPr>
        <w:trHeight w:hRule="exact" w:val="864"/>
      </w:trPr>
      <w:tc>
        <w:tcPr>
          <w:tcW w:w="4838" w:type="dxa"/>
          <w:tcBorders>
            <w:bottom w:val="single" w:sz="4" w:space="0" w:color="auto"/>
          </w:tcBorders>
          <w:vAlign w:val="bottom"/>
        </w:tcPr>
        <w:p w14:paraId="6ED9D422" w14:textId="77777777" w:rsidR="000B4BE2" w:rsidRPr="00D64B78" w:rsidRDefault="000B4BE2" w:rsidP="003E536A">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35AC0ACC" w14:textId="147A6932" w:rsidR="000B4BE2" w:rsidRPr="00D64B78" w:rsidRDefault="000B4BE2" w:rsidP="00477ECA">
          <w:pPr>
            <w:widowControl w:val="0"/>
            <w:tabs>
              <w:tab w:val="center" w:pos="4320"/>
              <w:tab w:val="right" w:pos="8640"/>
            </w:tabs>
            <w:jc w:val="right"/>
            <w:rPr>
              <w:sz w:val="17"/>
              <w:szCs w:val="17"/>
            </w:rPr>
          </w:pPr>
          <w:r w:rsidRPr="00D64B78">
            <w:rPr>
              <w:b/>
              <w:sz w:val="17"/>
              <w:szCs w:val="17"/>
            </w:rPr>
            <w:t>DP/DCP/</w:t>
          </w:r>
          <w:r w:rsidR="00477ECA">
            <w:rPr>
              <w:b/>
              <w:sz w:val="17"/>
              <w:szCs w:val="17"/>
            </w:rPr>
            <w:t>BGD</w:t>
          </w:r>
          <w:r w:rsidRPr="00D64B78">
            <w:rPr>
              <w:b/>
              <w:sz w:val="17"/>
              <w:szCs w:val="17"/>
            </w:rPr>
            <w:t>/</w:t>
          </w:r>
          <w:r>
            <w:rPr>
              <w:b/>
              <w:sz w:val="17"/>
              <w:szCs w:val="17"/>
            </w:rPr>
            <w:t>3</w:t>
          </w:r>
        </w:p>
      </w:tc>
    </w:tr>
  </w:tbl>
  <w:p w14:paraId="07D38606" w14:textId="77777777" w:rsidR="000B4BE2" w:rsidRDefault="000B4BE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B4BE2" w:rsidRPr="006A7669" w14:paraId="61CD4867" w14:textId="77777777" w:rsidTr="003E536A">
      <w:trPr>
        <w:trHeight w:hRule="exact" w:val="864"/>
      </w:trPr>
      <w:tc>
        <w:tcPr>
          <w:tcW w:w="1267" w:type="dxa"/>
          <w:tcBorders>
            <w:bottom w:val="single" w:sz="4" w:space="0" w:color="auto"/>
          </w:tcBorders>
          <w:shd w:val="clear" w:color="auto" w:fill="auto"/>
          <w:vAlign w:val="bottom"/>
        </w:tcPr>
        <w:p w14:paraId="0EE2E53C" w14:textId="77777777" w:rsidR="000B4BE2" w:rsidRPr="006A7669" w:rsidRDefault="000B4BE2" w:rsidP="00F5272C">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3180E8B8" w14:textId="77777777" w:rsidR="000B4BE2" w:rsidRPr="006A7669" w:rsidRDefault="000B4BE2" w:rsidP="00F5272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r w:rsidRPr="006A7669">
            <w:rPr>
              <w:spacing w:val="2"/>
              <w:w w:val="96"/>
              <w:kern w:val="14"/>
              <w:sz w:val="28"/>
            </w:rPr>
            <w:t>United Nations</w:t>
          </w:r>
        </w:p>
      </w:tc>
      <w:tc>
        <w:tcPr>
          <w:tcW w:w="245" w:type="dxa"/>
          <w:tcBorders>
            <w:bottom w:val="single" w:sz="4" w:space="0" w:color="auto"/>
          </w:tcBorders>
          <w:shd w:val="clear" w:color="auto" w:fill="auto"/>
          <w:vAlign w:val="bottom"/>
        </w:tcPr>
        <w:p w14:paraId="396C9DFB" w14:textId="77777777" w:rsidR="000B4BE2" w:rsidRPr="006A7669" w:rsidRDefault="000B4BE2" w:rsidP="00F5272C">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16F5766F" w14:textId="77777777" w:rsidR="000B4BE2" w:rsidRPr="006A7669" w:rsidRDefault="000B4BE2" w:rsidP="00444B3D">
          <w:pPr>
            <w:suppressAutoHyphens/>
            <w:spacing w:after="80"/>
            <w:jc w:val="right"/>
            <w:rPr>
              <w:spacing w:val="4"/>
              <w:w w:val="103"/>
              <w:kern w:val="14"/>
              <w:position w:val="-4"/>
            </w:rPr>
          </w:pPr>
          <w:r w:rsidRPr="006A7669">
            <w:rPr>
              <w:spacing w:val="4"/>
              <w:w w:val="103"/>
              <w:kern w:val="14"/>
              <w:position w:val="-4"/>
              <w:sz w:val="40"/>
            </w:rPr>
            <w:t>DP</w:t>
          </w:r>
          <w:r w:rsidRPr="006A7669">
            <w:rPr>
              <w:spacing w:val="4"/>
              <w:w w:val="103"/>
              <w:kern w:val="14"/>
              <w:position w:val="-4"/>
            </w:rPr>
            <w:t>/DCP/</w:t>
          </w:r>
          <w:r>
            <w:rPr>
              <w:spacing w:val="4"/>
              <w:w w:val="103"/>
              <w:kern w:val="14"/>
              <w:position w:val="-4"/>
            </w:rPr>
            <w:t>MOZ</w:t>
          </w:r>
          <w:r w:rsidRPr="006A7669">
            <w:rPr>
              <w:spacing w:val="4"/>
              <w:w w:val="103"/>
              <w:kern w:val="14"/>
              <w:position w:val="-4"/>
            </w:rPr>
            <w:t>/</w:t>
          </w:r>
          <w:r>
            <w:rPr>
              <w:spacing w:val="4"/>
              <w:w w:val="103"/>
              <w:kern w:val="14"/>
              <w:position w:val="-4"/>
            </w:rPr>
            <w:t>3</w:t>
          </w:r>
        </w:p>
      </w:tc>
    </w:tr>
    <w:tr w:rsidR="000B4BE2" w:rsidRPr="006A7669" w14:paraId="0198216F" w14:textId="77777777" w:rsidTr="003E536A">
      <w:trPr>
        <w:gridAfter w:val="1"/>
        <w:wAfter w:w="28" w:type="dxa"/>
        <w:trHeight w:hRule="exact" w:val="2880"/>
      </w:trPr>
      <w:tc>
        <w:tcPr>
          <w:tcW w:w="1267" w:type="dxa"/>
          <w:tcBorders>
            <w:top w:val="single" w:sz="4" w:space="0" w:color="auto"/>
            <w:bottom w:val="single" w:sz="12" w:space="0" w:color="auto"/>
          </w:tcBorders>
          <w:shd w:val="clear" w:color="auto" w:fill="auto"/>
        </w:tcPr>
        <w:p w14:paraId="1B5F8D95" w14:textId="77777777" w:rsidR="000B4BE2" w:rsidRPr="006A7669" w:rsidRDefault="000B4BE2" w:rsidP="00F5272C">
          <w:pPr>
            <w:tabs>
              <w:tab w:val="center" w:pos="4320"/>
              <w:tab w:val="right" w:pos="8640"/>
            </w:tabs>
            <w:spacing w:before="109"/>
            <w:rPr>
              <w:noProof/>
              <w:sz w:val="17"/>
            </w:rPr>
          </w:pPr>
          <w:r w:rsidRPr="006A7669">
            <w:rPr>
              <w:noProof/>
              <w:sz w:val="17"/>
            </w:rPr>
            <w:t xml:space="preserve"> </w:t>
          </w:r>
          <w:r w:rsidRPr="006A7669">
            <w:rPr>
              <w:noProof/>
              <w:sz w:val="17"/>
              <w:lang w:val="en-US"/>
            </w:rPr>
            <w:drawing>
              <wp:inline distT="0" distB="0" distL="0" distR="0" wp14:anchorId="16B85F4E" wp14:editId="3A2CF4C0">
                <wp:extent cx="702945" cy="592455"/>
                <wp:effectExtent l="0" t="0" r="1905" b="0"/>
                <wp:docPr id="5" name="Picture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3BC751C4" w14:textId="77777777" w:rsidR="000B4BE2" w:rsidRPr="006A7669" w:rsidRDefault="000B4BE2" w:rsidP="00F5272C">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68988E5D" w14:textId="77777777" w:rsidR="000B4BE2" w:rsidRDefault="000B4BE2" w:rsidP="00F5272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z w:val="34"/>
            </w:rPr>
          </w:pPr>
          <w:r w:rsidRPr="006A7669">
            <w:rPr>
              <w:b/>
              <w:sz w:val="34"/>
            </w:rPr>
            <w:t>Executive Board of the</w:t>
          </w:r>
          <w:r w:rsidRPr="006A7669">
            <w:rPr>
              <w:b/>
              <w:sz w:val="34"/>
            </w:rPr>
            <w:br/>
            <w:t>United Nations Development</w:t>
          </w:r>
          <w:r w:rsidRPr="006A7669">
            <w:rPr>
              <w:b/>
              <w:sz w:val="34"/>
            </w:rPr>
            <w:br/>
            <w:t xml:space="preserve">Programme, the United Nations Population Fund and the </w:t>
          </w:r>
        </w:p>
        <w:p w14:paraId="3F9A6E89" w14:textId="77777777" w:rsidR="000B4BE2" w:rsidRDefault="000B4BE2" w:rsidP="0005709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z w:val="34"/>
            </w:rPr>
          </w:pPr>
          <w:r w:rsidRPr="006A7669">
            <w:rPr>
              <w:b/>
              <w:sz w:val="34"/>
            </w:rPr>
            <w:t xml:space="preserve">United Nations Office for </w:t>
          </w:r>
        </w:p>
        <w:p w14:paraId="228F5510" w14:textId="77777777" w:rsidR="000B4BE2" w:rsidRPr="006A7669" w:rsidRDefault="000B4BE2" w:rsidP="0005709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rPr>
          </w:pPr>
          <w:r w:rsidRPr="006A7669">
            <w:rPr>
              <w:b/>
              <w:sz w:val="34"/>
            </w:rPr>
            <w:t>Project Services</w:t>
          </w:r>
        </w:p>
      </w:tc>
      <w:tc>
        <w:tcPr>
          <w:tcW w:w="245" w:type="dxa"/>
          <w:tcBorders>
            <w:top w:val="single" w:sz="4" w:space="0" w:color="auto"/>
            <w:bottom w:val="single" w:sz="12" w:space="0" w:color="auto"/>
          </w:tcBorders>
          <w:shd w:val="clear" w:color="auto" w:fill="auto"/>
        </w:tcPr>
        <w:p w14:paraId="6FBF11BD" w14:textId="77777777" w:rsidR="000B4BE2" w:rsidRPr="006A7669" w:rsidRDefault="000B4BE2" w:rsidP="00F5272C">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10187214" w14:textId="77777777" w:rsidR="000B4BE2" w:rsidRPr="006A7669" w:rsidRDefault="000B4BE2" w:rsidP="00F5272C">
          <w:pPr>
            <w:suppressAutoHyphens/>
            <w:spacing w:before="240" w:line="240" w:lineRule="exact"/>
            <w:rPr>
              <w:spacing w:val="4"/>
              <w:w w:val="103"/>
              <w:kern w:val="14"/>
            </w:rPr>
          </w:pPr>
          <w:r w:rsidRPr="006A7669">
            <w:rPr>
              <w:spacing w:val="4"/>
              <w:w w:val="103"/>
              <w:kern w:val="14"/>
            </w:rPr>
            <w:t>Distr.: General</w:t>
          </w:r>
        </w:p>
        <w:p w14:paraId="14DD2AD5" w14:textId="77777777" w:rsidR="000B4BE2" w:rsidRPr="006A7669" w:rsidRDefault="000B4BE2" w:rsidP="00F5272C">
          <w:pPr>
            <w:suppressAutoHyphens/>
            <w:spacing w:line="240" w:lineRule="exact"/>
            <w:rPr>
              <w:spacing w:val="4"/>
              <w:w w:val="103"/>
              <w:kern w:val="14"/>
            </w:rPr>
          </w:pPr>
          <w:r>
            <w:rPr>
              <w:spacing w:val="4"/>
              <w:w w:val="103"/>
              <w:kern w:val="14"/>
            </w:rPr>
            <w:t>x</w:t>
          </w:r>
          <w:r w:rsidRPr="006A7669">
            <w:rPr>
              <w:spacing w:val="4"/>
              <w:w w:val="103"/>
              <w:kern w:val="14"/>
            </w:rPr>
            <w:t xml:space="preserve"> </w:t>
          </w:r>
          <w:r>
            <w:rPr>
              <w:spacing w:val="4"/>
              <w:w w:val="103"/>
              <w:kern w:val="14"/>
            </w:rPr>
            <w:t>April 2016</w:t>
          </w:r>
        </w:p>
        <w:p w14:paraId="03C0DE63" w14:textId="77777777" w:rsidR="000B4BE2" w:rsidRPr="006A7669" w:rsidRDefault="000B4BE2" w:rsidP="00F5272C">
          <w:pPr>
            <w:suppressAutoHyphens/>
            <w:spacing w:line="240" w:lineRule="exact"/>
            <w:rPr>
              <w:spacing w:val="4"/>
              <w:w w:val="103"/>
              <w:kern w:val="14"/>
            </w:rPr>
          </w:pPr>
        </w:p>
        <w:p w14:paraId="19202780" w14:textId="77777777" w:rsidR="000B4BE2" w:rsidRPr="006A7669" w:rsidRDefault="000B4BE2" w:rsidP="00F5272C">
          <w:pPr>
            <w:suppressAutoHyphens/>
            <w:spacing w:line="240" w:lineRule="exact"/>
            <w:rPr>
              <w:spacing w:val="4"/>
              <w:w w:val="103"/>
              <w:kern w:val="14"/>
            </w:rPr>
          </w:pPr>
          <w:r w:rsidRPr="006A7669">
            <w:rPr>
              <w:spacing w:val="4"/>
              <w:w w:val="103"/>
              <w:kern w:val="14"/>
            </w:rPr>
            <w:t>Original: English</w:t>
          </w:r>
        </w:p>
      </w:tc>
    </w:tr>
  </w:tbl>
  <w:p w14:paraId="44476130" w14:textId="77777777" w:rsidR="000B4BE2" w:rsidRPr="00ED7FBC" w:rsidRDefault="000B4BE2">
    <w:pPr>
      <w:pStyle w:val="Header"/>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B4BE2" w:rsidRPr="000B4BE2" w14:paraId="3B047BFE" w14:textId="77777777" w:rsidTr="00DB5E92">
      <w:trPr>
        <w:trHeight w:hRule="exact" w:val="864"/>
      </w:trPr>
      <w:tc>
        <w:tcPr>
          <w:tcW w:w="4838" w:type="dxa"/>
          <w:shd w:val="clear" w:color="auto" w:fill="auto"/>
          <w:vAlign w:val="bottom"/>
        </w:tcPr>
        <w:p w14:paraId="6394EE77" w14:textId="077251AC" w:rsidR="000B4BE2" w:rsidRPr="000B4BE2" w:rsidRDefault="000B4BE2" w:rsidP="000B4BE2">
          <w:pPr>
            <w:tabs>
              <w:tab w:val="center" w:pos="4320"/>
              <w:tab w:val="right" w:pos="8640"/>
            </w:tabs>
            <w:spacing w:after="80"/>
            <w:rPr>
              <w:b/>
              <w:noProof/>
              <w:sz w:val="17"/>
              <w:szCs w:val="20"/>
              <w:lang w:val="en-US"/>
            </w:rPr>
          </w:pPr>
          <w:r w:rsidRPr="000B4BE2">
            <w:rPr>
              <w:b/>
              <w:noProof/>
              <w:sz w:val="17"/>
              <w:szCs w:val="20"/>
              <w:lang w:val="en-US"/>
            </w:rPr>
            <w:t>D</w:t>
          </w:r>
          <w:r>
            <w:rPr>
              <w:b/>
              <w:noProof/>
              <w:sz w:val="17"/>
              <w:szCs w:val="20"/>
              <w:lang w:val="en-US"/>
            </w:rPr>
            <w:t>P/DCP/BGD</w:t>
          </w:r>
          <w:r w:rsidRPr="000B4BE2">
            <w:rPr>
              <w:b/>
              <w:noProof/>
              <w:sz w:val="17"/>
              <w:szCs w:val="20"/>
              <w:lang w:val="en-US"/>
            </w:rPr>
            <w:t>/3</w:t>
          </w:r>
        </w:p>
      </w:tc>
      <w:tc>
        <w:tcPr>
          <w:tcW w:w="5033" w:type="dxa"/>
          <w:shd w:val="clear" w:color="auto" w:fill="auto"/>
          <w:vAlign w:val="bottom"/>
        </w:tcPr>
        <w:p w14:paraId="638D33AE" w14:textId="77777777" w:rsidR="000B4BE2" w:rsidRPr="000B4BE2" w:rsidRDefault="000B4BE2" w:rsidP="000B4BE2">
          <w:pPr>
            <w:tabs>
              <w:tab w:val="center" w:pos="4320"/>
              <w:tab w:val="right" w:pos="8640"/>
            </w:tabs>
            <w:jc w:val="right"/>
            <w:rPr>
              <w:noProof/>
              <w:sz w:val="17"/>
              <w:szCs w:val="20"/>
              <w:lang w:val="en-US"/>
            </w:rPr>
          </w:pPr>
        </w:p>
      </w:tc>
    </w:tr>
  </w:tbl>
  <w:p w14:paraId="78046F65" w14:textId="3AA1165D" w:rsidR="00F50884" w:rsidRDefault="00F5088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4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572"/>
    </w:tblGrid>
    <w:tr w:rsidR="00F55B96" w:rsidRPr="000B4BE2" w14:paraId="26B8B5E4" w14:textId="77777777" w:rsidTr="00F55B96">
      <w:trPr>
        <w:trHeight w:hRule="exact" w:val="864"/>
      </w:trPr>
      <w:tc>
        <w:tcPr>
          <w:tcW w:w="4838" w:type="dxa"/>
          <w:shd w:val="clear" w:color="auto" w:fill="auto"/>
          <w:vAlign w:val="bottom"/>
        </w:tcPr>
        <w:p w14:paraId="33647159" w14:textId="77777777" w:rsidR="00F55B96" w:rsidRPr="000B4BE2" w:rsidRDefault="00F55B96" w:rsidP="000B4BE2">
          <w:pPr>
            <w:tabs>
              <w:tab w:val="center" w:pos="4320"/>
              <w:tab w:val="right" w:pos="8640"/>
            </w:tabs>
            <w:spacing w:after="80"/>
            <w:rPr>
              <w:b/>
              <w:noProof/>
              <w:sz w:val="17"/>
              <w:szCs w:val="20"/>
              <w:lang w:val="en-US"/>
            </w:rPr>
          </w:pPr>
          <w:r w:rsidRPr="000B4BE2">
            <w:rPr>
              <w:b/>
              <w:noProof/>
              <w:sz w:val="17"/>
              <w:szCs w:val="20"/>
              <w:lang w:val="en-US"/>
            </w:rPr>
            <w:t>D</w:t>
          </w:r>
          <w:r>
            <w:rPr>
              <w:b/>
              <w:noProof/>
              <w:sz w:val="17"/>
              <w:szCs w:val="20"/>
              <w:lang w:val="en-US"/>
            </w:rPr>
            <w:t>P/DCP/BGD</w:t>
          </w:r>
          <w:r w:rsidRPr="000B4BE2">
            <w:rPr>
              <w:b/>
              <w:noProof/>
              <w:sz w:val="17"/>
              <w:szCs w:val="20"/>
              <w:lang w:val="en-US"/>
            </w:rPr>
            <w:t>/3</w:t>
          </w:r>
        </w:p>
      </w:tc>
      <w:tc>
        <w:tcPr>
          <w:tcW w:w="8572" w:type="dxa"/>
          <w:shd w:val="clear" w:color="auto" w:fill="auto"/>
          <w:vAlign w:val="bottom"/>
        </w:tcPr>
        <w:p w14:paraId="2F5D3B4D" w14:textId="77777777" w:rsidR="00F55B96" w:rsidRPr="000B4BE2" w:rsidRDefault="00F55B96" w:rsidP="00F55B96">
          <w:pPr>
            <w:tabs>
              <w:tab w:val="center" w:pos="4320"/>
              <w:tab w:val="right" w:pos="8640"/>
            </w:tabs>
            <w:ind w:right="-2700"/>
            <w:jc w:val="right"/>
            <w:rPr>
              <w:noProof/>
              <w:sz w:val="17"/>
              <w:szCs w:val="20"/>
              <w:lang w:val="en-US"/>
            </w:rPr>
          </w:pPr>
        </w:p>
      </w:tc>
    </w:tr>
  </w:tbl>
  <w:p w14:paraId="1726B928" w14:textId="77777777" w:rsidR="00F55B96" w:rsidRDefault="00F55B9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572"/>
    </w:tblGrid>
    <w:tr w:rsidR="00477ECA" w:rsidRPr="00D64B78" w14:paraId="6E3E9FC0" w14:textId="77777777" w:rsidTr="00477ECA">
      <w:trPr>
        <w:trHeight w:hRule="exact" w:val="864"/>
      </w:trPr>
      <w:tc>
        <w:tcPr>
          <w:tcW w:w="4838" w:type="dxa"/>
          <w:tcBorders>
            <w:bottom w:val="single" w:sz="4" w:space="0" w:color="auto"/>
          </w:tcBorders>
          <w:vAlign w:val="bottom"/>
        </w:tcPr>
        <w:p w14:paraId="7C2AEA67" w14:textId="77777777" w:rsidR="00477ECA" w:rsidRPr="00D64B78" w:rsidRDefault="00477ECA" w:rsidP="003E536A">
          <w:pPr>
            <w:widowControl w:val="0"/>
            <w:tabs>
              <w:tab w:val="center" w:pos="4320"/>
              <w:tab w:val="right" w:pos="8640"/>
            </w:tabs>
            <w:spacing w:after="80"/>
            <w:rPr>
              <w:b/>
              <w:sz w:val="17"/>
              <w:szCs w:val="17"/>
            </w:rPr>
          </w:pPr>
        </w:p>
      </w:tc>
      <w:tc>
        <w:tcPr>
          <w:tcW w:w="8572" w:type="dxa"/>
          <w:tcBorders>
            <w:bottom w:val="single" w:sz="4" w:space="0" w:color="auto"/>
          </w:tcBorders>
          <w:vAlign w:val="bottom"/>
        </w:tcPr>
        <w:p w14:paraId="156F69E8" w14:textId="77777777" w:rsidR="00477ECA" w:rsidRPr="00D64B78" w:rsidRDefault="00477ECA" w:rsidP="00477ECA">
          <w:pPr>
            <w:widowControl w:val="0"/>
            <w:tabs>
              <w:tab w:val="center" w:pos="4320"/>
              <w:tab w:val="right" w:pos="8640"/>
            </w:tabs>
            <w:jc w:val="right"/>
            <w:rPr>
              <w:sz w:val="17"/>
              <w:szCs w:val="17"/>
            </w:rPr>
          </w:pPr>
          <w:r w:rsidRPr="00D64B78">
            <w:rPr>
              <w:b/>
              <w:sz w:val="17"/>
              <w:szCs w:val="17"/>
            </w:rPr>
            <w:t>DP/DCP/</w:t>
          </w:r>
          <w:r>
            <w:rPr>
              <w:b/>
              <w:sz w:val="17"/>
              <w:szCs w:val="17"/>
            </w:rPr>
            <w:t>BGD</w:t>
          </w:r>
          <w:r w:rsidRPr="00D64B78">
            <w:rPr>
              <w:b/>
              <w:sz w:val="17"/>
              <w:szCs w:val="17"/>
            </w:rPr>
            <w:t>/</w:t>
          </w:r>
          <w:r>
            <w:rPr>
              <w:b/>
              <w:sz w:val="17"/>
              <w:szCs w:val="17"/>
            </w:rPr>
            <w:t>3</w:t>
          </w:r>
        </w:p>
      </w:tc>
    </w:tr>
  </w:tbl>
  <w:p w14:paraId="73838AF9" w14:textId="77777777" w:rsidR="00477ECA" w:rsidRDefault="00477EC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58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742"/>
    </w:tblGrid>
    <w:tr w:rsidR="00477ECA" w:rsidRPr="000B4BE2" w14:paraId="2B59BB2C" w14:textId="77777777" w:rsidTr="00477ECA">
      <w:trPr>
        <w:trHeight w:hRule="exact" w:val="864"/>
      </w:trPr>
      <w:tc>
        <w:tcPr>
          <w:tcW w:w="4838" w:type="dxa"/>
          <w:shd w:val="clear" w:color="auto" w:fill="auto"/>
          <w:vAlign w:val="bottom"/>
        </w:tcPr>
        <w:p w14:paraId="184AEBFB" w14:textId="77777777" w:rsidR="00477ECA" w:rsidRPr="000B4BE2" w:rsidRDefault="00477ECA" w:rsidP="000B4BE2">
          <w:pPr>
            <w:tabs>
              <w:tab w:val="center" w:pos="4320"/>
              <w:tab w:val="right" w:pos="8640"/>
            </w:tabs>
            <w:spacing w:after="80"/>
            <w:rPr>
              <w:b/>
              <w:noProof/>
              <w:sz w:val="17"/>
              <w:szCs w:val="20"/>
              <w:lang w:val="en-US"/>
            </w:rPr>
          </w:pPr>
          <w:r w:rsidRPr="000B4BE2">
            <w:rPr>
              <w:b/>
              <w:noProof/>
              <w:sz w:val="17"/>
              <w:szCs w:val="20"/>
              <w:lang w:val="en-US"/>
            </w:rPr>
            <w:t>D</w:t>
          </w:r>
          <w:r>
            <w:rPr>
              <w:b/>
              <w:noProof/>
              <w:sz w:val="17"/>
              <w:szCs w:val="20"/>
              <w:lang w:val="en-US"/>
            </w:rPr>
            <w:t>P/DCP/BGD</w:t>
          </w:r>
          <w:r w:rsidRPr="000B4BE2">
            <w:rPr>
              <w:b/>
              <w:noProof/>
              <w:sz w:val="17"/>
              <w:szCs w:val="20"/>
              <w:lang w:val="en-US"/>
            </w:rPr>
            <w:t>/3</w:t>
          </w:r>
        </w:p>
      </w:tc>
      <w:tc>
        <w:tcPr>
          <w:tcW w:w="8742" w:type="dxa"/>
          <w:shd w:val="clear" w:color="auto" w:fill="auto"/>
          <w:vAlign w:val="bottom"/>
        </w:tcPr>
        <w:p w14:paraId="0D4BADDD" w14:textId="77777777" w:rsidR="00477ECA" w:rsidRPr="000B4BE2" w:rsidRDefault="00477ECA" w:rsidP="000B4BE2">
          <w:pPr>
            <w:tabs>
              <w:tab w:val="center" w:pos="4320"/>
              <w:tab w:val="right" w:pos="8640"/>
            </w:tabs>
            <w:jc w:val="right"/>
            <w:rPr>
              <w:noProof/>
              <w:sz w:val="17"/>
              <w:szCs w:val="20"/>
              <w:lang w:val="en-US"/>
            </w:rPr>
          </w:pPr>
        </w:p>
      </w:tc>
    </w:tr>
  </w:tbl>
  <w:p w14:paraId="2C6E5031" w14:textId="77777777" w:rsidR="00477ECA" w:rsidRDefault="00477E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7F35"/>
    <w:multiLevelType w:val="hybridMultilevel"/>
    <w:tmpl w:val="B73E5BB2"/>
    <w:lvl w:ilvl="0" w:tplc="309AE988">
      <w:start w:val="1"/>
      <w:numFmt w:val="upperRoman"/>
      <w:lvlText w:val="%1."/>
      <w:lvlJc w:val="left"/>
      <w:pPr>
        <w:ind w:left="3330" w:hanging="72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15:restartNumberingAfterBreak="0">
    <w:nsid w:val="078E1299"/>
    <w:multiLevelType w:val="hybridMultilevel"/>
    <w:tmpl w:val="0F86E962"/>
    <w:lvl w:ilvl="0" w:tplc="C45C7E9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DE50A6"/>
    <w:multiLevelType w:val="hybridMultilevel"/>
    <w:tmpl w:val="0F86E962"/>
    <w:lvl w:ilvl="0" w:tplc="C45C7E9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267D3C"/>
    <w:multiLevelType w:val="hybridMultilevel"/>
    <w:tmpl w:val="EEFCFED0"/>
    <w:lvl w:ilvl="0" w:tplc="4098981A">
      <w:start w:val="1"/>
      <w:numFmt w:val="decimal"/>
      <w:lvlText w:val="%1."/>
      <w:lvlJc w:val="left"/>
      <w:pPr>
        <w:ind w:left="720" w:hanging="360"/>
      </w:pPr>
      <w:rPr>
        <w:rFonts w:ascii="Times New Roman" w:eastAsia="Times New Roman" w:hAnsi="Times New Roman" w:cs="Times New Roman"/>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45FE7"/>
    <w:multiLevelType w:val="hybridMultilevel"/>
    <w:tmpl w:val="FB6602D6"/>
    <w:lvl w:ilvl="0" w:tplc="04090015">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3AE05928"/>
    <w:multiLevelType w:val="hybridMultilevel"/>
    <w:tmpl w:val="0F86E962"/>
    <w:lvl w:ilvl="0" w:tplc="C45C7E92">
      <w:start w:val="1"/>
      <w:numFmt w:val="decimal"/>
      <w:lvlText w:val="%1."/>
      <w:lvlJc w:val="left"/>
      <w:pPr>
        <w:ind w:left="7920" w:hanging="360"/>
      </w:pPr>
      <w:rPr>
        <w:rFonts w:hint="default"/>
        <w:b w:val="0"/>
      </w:r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6"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C423FA5"/>
    <w:multiLevelType w:val="hybridMultilevel"/>
    <w:tmpl w:val="A8BA5F5C"/>
    <w:lvl w:ilvl="0" w:tplc="04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563745FD"/>
    <w:multiLevelType w:val="hybridMultilevel"/>
    <w:tmpl w:val="3DE26EA2"/>
    <w:lvl w:ilvl="0" w:tplc="04090001">
      <w:start w:val="1"/>
      <w:numFmt w:val="bullet"/>
      <w:lvlText w:val=""/>
      <w:lvlJc w:val="left"/>
      <w:pPr>
        <w:ind w:left="1800" w:hanging="360"/>
      </w:pPr>
      <w:rPr>
        <w:rFonts w:ascii="Symbol" w:hAnsi="Symbol" w:hint="default"/>
      </w:rPr>
    </w:lvl>
    <w:lvl w:ilvl="1" w:tplc="C5562588">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B13E7D"/>
    <w:multiLevelType w:val="hybridMultilevel"/>
    <w:tmpl w:val="0F86E962"/>
    <w:lvl w:ilvl="0" w:tplc="C45C7E9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0"/>
  </w:num>
  <w:num w:numId="5">
    <w:abstractNumId w:val="5"/>
  </w:num>
  <w:num w:numId="6">
    <w:abstractNumId w:val="4"/>
  </w:num>
  <w:num w:numId="7">
    <w:abstractNumId w:val="10"/>
  </w:num>
  <w:num w:numId="8">
    <w:abstractNumId w:val="1"/>
  </w:num>
  <w:num w:numId="9">
    <w:abstractNumId w:val="2"/>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8" w:nlCheck="1" w:checkStyle="0"/>
  <w:activeWritingStyle w:appName="MSWord" w:lang="en-US" w:vendorID="64" w:dllVersion="131078" w:nlCheck="1" w:checkStyle="0"/>
  <w:activeWritingStyle w:appName="MSWord" w:lang="en-AU" w:vendorID="64" w:dllVersion="131078" w:nlCheck="1" w:checkStyle="0"/>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05E0"/>
    <w:rsid w:val="000010B5"/>
    <w:rsid w:val="000027D2"/>
    <w:rsid w:val="00002AEE"/>
    <w:rsid w:val="00002CDA"/>
    <w:rsid w:val="00004BAB"/>
    <w:rsid w:val="0000594D"/>
    <w:rsid w:val="00005E26"/>
    <w:rsid w:val="00011716"/>
    <w:rsid w:val="00011EF0"/>
    <w:rsid w:val="000121A9"/>
    <w:rsid w:val="00012F9E"/>
    <w:rsid w:val="00015FDE"/>
    <w:rsid w:val="00016217"/>
    <w:rsid w:val="00016861"/>
    <w:rsid w:val="00017B06"/>
    <w:rsid w:val="000200CF"/>
    <w:rsid w:val="000205F1"/>
    <w:rsid w:val="00020B9B"/>
    <w:rsid w:val="00021DC6"/>
    <w:rsid w:val="00022047"/>
    <w:rsid w:val="00022FD2"/>
    <w:rsid w:val="00025E09"/>
    <w:rsid w:val="000274B9"/>
    <w:rsid w:val="0002758B"/>
    <w:rsid w:val="000276A0"/>
    <w:rsid w:val="00030688"/>
    <w:rsid w:val="00030FAD"/>
    <w:rsid w:val="000330DB"/>
    <w:rsid w:val="0003429F"/>
    <w:rsid w:val="000350CB"/>
    <w:rsid w:val="0003562A"/>
    <w:rsid w:val="00035DFD"/>
    <w:rsid w:val="00036095"/>
    <w:rsid w:val="00036AF4"/>
    <w:rsid w:val="00040A1D"/>
    <w:rsid w:val="00041381"/>
    <w:rsid w:val="00041C10"/>
    <w:rsid w:val="00043804"/>
    <w:rsid w:val="000441A1"/>
    <w:rsid w:val="00044DC4"/>
    <w:rsid w:val="000453E4"/>
    <w:rsid w:val="00046CF8"/>
    <w:rsid w:val="00046EB2"/>
    <w:rsid w:val="00047E1E"/>
    <w:rsid w:val="00050869"/>
    <w:rsid w:val="000511FC"/>
    <w:rsid w:val="00052294"/>
    <w:rsid w:val="00052B80"/>
    <w:rsid w:val="000561C1"/>
    <w:rsid w:val="00056204"/>
    <w:rsid w:val="00056327"/>
    <w:rsid w:val="000570D1"/>
    <w:rsid w:val="00057159"/>
    <w:rsid w:val="000571A9"/>
    <w:rsid w:val="00057462"/>
    <w:rsid w:val="00057B46"/>
    <w:rsid w:val="00060036"/>
    <w:rsid w:val="0006009A"/>
    <w:rsid w:val="00060290"/>
    <w:rsid w:val="00061DE0"/>
    <w:rsid w:val="000625BA"/>
    <w:rsid w:val="000625CD"/>
    <w:rsid w:val="00062F4B"/>
    <w:rsid w:val="00063E24"/>
    <w:rsid w:val="000667FC"/>
    <w:rsid w:val="0007048D"/>
    <w:rsid w:val="00072229"/>
    <w:rsid w:val="00073CF1"/>
    <w:rsid w:val="00074BD0"/>
    <w:rsid w:val="00074CD2"/>
    <w:rsid w:val="00074D9A"/>
    <w:rsid w:val="00074DB9"/>
    <w:rsid w:val="000753C4"/>
    <w:rsid w:val="00075DF0"/>
    <w:rsid w:val="000762CA"/>
    <w:rsid w:val="000800B3"/>
    <w:rsid w:val="000803A4"/>
    <w:rsid w:val="000806E3"/>
    <w:rsid w:val="0008339E"/>
    <w:rsid w:val="00086DA1"/>
    <w:rsid w:val="000876A1"/>
    <w:rsid w:val="00090AD1"/>
    <w:rsid w:val="00090F4F"/>
    <w:rsid w:val="0009122B"/>
    <w:rsid w:val="00091476"/>
    <w:rsid w:val="00092879"/>
    <w:rsid w:val="0009295E"/>
    <w:rsid w:val="000949A0"/>
    <w:rsid w:val="00094E87"/>
    <w:rsid w:val="00096079"/>
    <w:rsid w:val="00096521"/>
    <w:rsid w:val="00096CCD"/>
    <w:rsid w:val="00096D6F"/>
    <w:rsid w:val="00097211"/>
    <w:rsid w:val="00097FB2"/>
    <w:rsid w:val="000A151D"/>
    <w:rsid w:val="000A1B47"/>
    <w:rsid w:val="000A24C5"/>
    <w:rsid w:val="000A3768"/>
    <w:rsid w:val="000A3F7F"/>
    <w:rsid w:val="000A6116"/>
    <w:rsid w:val="000A744A"/>
    <w:rsid w:val="000B0B7D"/>
    <w:rsid w:val="000B0CBF"/>
    <w:rsid w:val="000B1851"/>
    <w:rsid w:val="000B2DCA"/>
    <w:rsid w:val="000B3A13"/>
    <w:rsid w:val="000B4023"/>
    <w:rsid w:val="000B4896"/>
    <w:rsid w:val="000B4BB2"/>
    <w:rsid w:val="000B4BE2"/>
    <w:rsid w:val="000B5E07"/>
    <w:rsid w:val="000B6E1D"/>
    <w:rsid w:val="000C0277"/>
    <w:rsid w:val="000C043E"/>
    <w:rsid w:val="000C0F12"/>
    <w:rsid w:val="000C1AE5"/>
    <w:rsid w:val="000C1B77"/>
    <w:rsid w:val="000C363D"/>
    <w:rsid w:val="000C3CF9"/>
    <w:rsid w:val="000C4456"/>
    <w:rsid w:val="000C6D2E"/>
    <w:rsid w:val="000C76B0"/>
    <w:rsid w:val="000C7BBE"/>
    <w:rsid w:val="000C7F4E"/>
    <w:rsid w:val="000D2475"/>
    <w:rsid w:val="000D442C"/>
    <w:rsid w:val="000D449A"/>
    <w:rsid w:val="000D4DC4"/>
    <w:rsid w:val="000E1826"/>
    <w:rsid w:val="000E2EEC"/>
    <w:rsid w:val="000E612D"/>
    <w:rsid w:val="000E745A"/>
    <w:rsid w:val="000E7E9E"/>
    <w:rsid w:val="000E7EF4"/>
    <w:rsid w:val="000F0044"/>
    <w:rsid w:val="000F6928"/>
    <w:rsid w:val="000F703B"/>
    <w:rsid w:val="0010080D"/>
    <w:rsid w:val="001038DC"/>
    <w:rsid w:val="00103EDF"/>
    <w:rsid w:val="00106EF8"/>
    <w:rsid w:val="001101A2"/>
    <w:rsid w:val="00111489"/>
    <w:rsid w:val="00111797"/>
    <w:rsid w:val="00111B19"/>
    <w:rsid w:val="00112EEE"/>
    <w:rsid w:val="00114A64"/>
    <w:rsid w:val="00115DE2"/>
    <w:rsid w:val="00115F59"/>
    <w:rsid w:val="00115F85"/>
    <w:rsid w:val="00116C1A"/>
    <w:rsid w:val="0012037D"/>
    <w:rsid w:val="00120510"/>
    <w:rsid w:val="00120B11"/>
    <w:rsid w:val="00121F3E"/>
    <w:rsid w:val="0012229E"/>
    <w:rsid w:val="00123849"/>
    <w:rsid w:val="001239D5"/>
    <w:rsid w:val="00123A5E"/>
    <w:rsid w:val="00123FAE"/>
    <w:rsid w:val="00125010"/>
    <w:rsid w:val="00125266"/>
    <w:rsid w:val="00125B82"/>
    <w:rsid w:val="00126D8A"/>
    <w:rsid w:val="00126F48"/>
    <w:rsid w:val="00127210"/>
    <w:rsid w:val="001305E6"/>
    <w:rsid w:val="00132306"/>
    <w:rsid w:val="0013239A"/>
    <w:rsid w:val="00132B5A"/>
    <w:rsid w:val="001341CC"/>
    <w:rsid w:val="0013761A"/>
    <w:rsid w:val="00141ACC"/>
    <w:rsid w:val="00142A88"/>
    <w:rsid w:val="0014423A"/>
    <w:rsid w:val="00147042"/>
    <w:rsid w:val="001471A7"/>
    <w:rsid w:val="00147B66"/>
    <w:rsid w:val="001506F6"/>
    <w:rsid w:val="00151AFC"/>
    <w:rsid w:val="00153202"/>
    <w:rsid w:val="00154032"/>
    <w:rsid w:val="001546BF"/>
    <w:rsid w:val="001547D3"/>
    <w:rsid w:val="00155329"/>
    <w:rsid w:val="001559BD"/>
    <w:rsid w:val="00157F79"/>
    <w:rsid w:val="00163E84"/>
    <w:rsid w:val="00165166"/>
    <w:rsid w:val="001668AA"/>
    <w:rsid w:val="00167263"/>
    <w:rsid w:val="00167341"/>
    <w:rsid w:val="001675B1"/>
    <w:rsid w:val="0016789D"/>
    <w:rsid w:val="00167C87"/>
    <w:rsid w:val="00170240"/>
    <w:rsid w:val="00172092"/>
    <w:rsid w:val="00172EE3"/>
    <w:rsid w:val="001742AA"/>
    <w:rsid w:val="00175F8B"/>
    <w:rsid w:val="00175FF5"/>
    <w:rsid w:val="00177E7E"/>
    <w:rsid w:val="0018032E"/>
    <w:rsid w:val="0018190C"/>
    <w:rsid w:val="0018356F"/>
    <w:rsid w:val="00183D3A"/>
    <w:rsid w:val="001863C0"/>
    <w:rsid w:val="0018720B"/>
    <w:rsid w:val="001876C5"/>
    <w:rsid w:val="00187CF2"/>
    <w:rsid w:val="00187D68"/>
    <w:rsid w:val="00190155"/>
    <w:rsid w:val="0019024B"/>
    <w:rsid w:val="001906B5"/>
    <w:rsid w:val="00190E4E"/>
    <w:rsid w:val="0019161D"/>
    <w:rsid w:val="00194163"/>
    <w:rsid w:val="00194FEB"/>
    <w:rsid w:val="00195AD8"/>
    <w:rsid w:val="00196089"/>
    <w:rsid w:val="001970A4"/>
    <w:rsid w:val="001970FE"/>
    <w:rsid w:val="00197AD1"/>
    <w:rsid w:val="00197CFF"/>
    <w:rsid w:val="001A0F4C"/>
    <w:rsid w:val="001B0020"/>
    <w:rsid w:val="001B1D9D"/>
    <w:rsid w:val="001B3418"/>
    <w:rsid w:val="001B372E"/>
    <w:rsid w:val="001B3F87"/>
    <w:rsid w:val="001B4026"/>
    <w:rsid w:val="001B55D3"/>
    <w:rsid w:val="001B5943"/>
    <w:rsid w:val="001B598C"/>
    <w:rsid w:val="001B5F1D"/>
    <w:rsid w:val="001B76A6"/>
    <w:rsid w:val="001B798C"/>
    <w:rsid w:val="001C07F8"/>
    <w:rsid w:val="001C1A25"/>
    <w:rsid w:val="001C2F59"/>
    <w:rsid w:val="001C52FB"/>
    <w:rsid w:val="001C6C08"/>
    <w:rsid w:val="001C6E00"/>
    <w:rsid w:val="001C7622"/>
    <w:rsid w:val="001D09F5"/>
    <w:rsid w:val="001D2056"/>
    <w:rsid w:val="001D2F4C"/>
    <w:rsid w:val="001D3A72"/>
    <w:rsid w:val="001D3DB8"/>
    <w:rsid w:val="001D42D1"/>
    <w:rsid w:val="001D5C1E"/>
    <w:rsid w:val="001D64E5"/>
    <w:rsid w:val="001D6EB8"/>
    <w:rsid w:val="001E05EC"/>
    <w:rsid w:val="001E17EF"/>
    <w:rsid w:val="001E4809"/>
    <w:rsid w:val="001E4ABB"/>
    <w:rsid w:val="001E4F4F"/>
    <w:rsid w:val="001E7018"/>
    <w:rsid w:val="001E71AC"/>
    <w:rsid w:val="001E7C19"/>
    <w:rsid w:val="001F06FD"/>
    <w:rsid w:val="001F158D"/>
    <w:rsid w:val="001F23D6"/>
    <w:rsid w:val="001F27F4"/>
    <w:rsid w:val="001F3DC0"/>
    <w:rsid w:val="001F423C"/>
    <w:rsid w:val="001F4C5A"/>
    <w:rsid w:val="001F4EA9"/>
    <w:rsid w:val="001F4F73"/>
    <w:rsid w:val="001F5103"/>
    <w:rsid w:val="001F51FA"/>
    <w:rsid w:val="001F5C99"/>
    <w:rsid w:val="001F6425"/>
    <w:rsid w:val="001F6772"/>
    <w:rsid w:val="001F721B"/>
    <w:rsid w:val="001F7421"/>
    <w:rsid w:val="00200195"/>
    <w:rsid w:val="00200B26"/>
    <w:rsid w:val="00200B5F"/>
    <w:rsid w:val="00201EEF"/>
    <w:rsid w:val="0020359F"/>
    <w:rsid w:val="002036D4"/>
    <w:rsid w:val="0020418B"/>
    <w:rsid w:val="0020434F"/>
    <w:rsid w:val="00204670"/>
    <w:rsid w:val="002047C8"/>
    <w:rsid w:val="002052B3"/>
    <w:rsid w:val="002058F9"/>
    <w:rsid w:val="002077D2"/>
    <w:rsid w:val="00212B1F"/>
    <w:rsid w:val="00212F09"/>
    <w:rsid w:val="00213064"/>
    <w:rsid w:val="00213D7C"/>
    <w:rsid w:val="00214513"/>
    <w:rsid w:val="002155B7"/>
    <w:rsid w:val="00216FA8"/>
    <w:rsid w:val="0021766A"/>
    <w:rsid w:val="00220E4D"/>
    <w:rsid w:val="002225D3"/>
    <w:rsid w:val="00222A35"/>
    <w:rsid w:val="0022301D"/>
    <w:rsid w:val="00224B2C"/>
    <w:rsid w:val="00227510"/>
    <w:rsid w:val="00227E55"/>
    <w:rsid w:val="00230FBA"/>
    <w:rsid w:val="002311B4"/>
    <w:rsid w:val="00231F87"/>
    <w:rsid w:val="0023228F"/>
    <w:rsid w:val="00232AA0"/>
    <w:rsid w:val="00234CDF"/>
    <w:rsid w:val="00236B91"/>
    <w:rsid w:val="00240CE0"/>
    <w:rsid w:val="002424C0"/>
    <w:rsid w:val="002429E9"/>
    <w:rsid w:val="00242CAA"/>
    <w:rsid w:val="00245D74"/>
    <w:rsid w:val="00246D03"/>
    <w:rsid w:val="00246DDF"/>
    <w:rsid w:val="00247992"/>
    <w:rsid w:val="00250964"/>
    <w:rsid w:val="002535DC"/>
    <w:rsid w:val="002550A9"/>
    <w:rsid w:val="002573CC"/>
    <w:rsid w:val="00260D42"/>
    <w:rsid w:val="00260FAA"/>
    <w:rsid w:val="00262338"/>
    <w:rsid w:val="00262388"/>
    <w:rsid w:val="002626C1"/>
    <w:rsid w:val="0026343C"/>
    <w:rsid w:val="00263938"/>
    <w:rsid w:val="002646D7"/>
    <w:rsid w:val="002651C2"/>
    <w:rsid w:val="002662A8"/>
    <w:rsid w:val="0026695D"/>
    <w:rsid w:val="00266F05"/>
    <w:rsid w:val="002671D7"/>
    <w:rsid w:val="002675F7"/>
    <w:rsid w:val="0027066B"/>
    <w:rsid w:val="002718A9"/>
    <w:rsid w:val="00271B08"/>
    <w:rsid w:val="0027236F"/>
    <w:rsid w:val="0027259C"/>
    <w:rsid w:val="00272C90"/>
    <w:rsid w:val="00273543"/>
    <w:rsid w:val="0027439C"/>
    <w:rsid w:val="00274436"/>
    <w:rsid w:val="00274C82"/>
    <w:rsid w:val="002750F4"/>
    <w:rsid w:val="00275C75"/>
    <w:rsid w:val="0027654D"/>
    <w:rsid w:val="00276E45"/>
    <w:rsid w:val="00280155"/>
    <w:rsid w:val="002810DF"/>
    <w:rsid w:val="002812AB"/>
    <w:rsid w:val="002816D8"/>
    <w:rsid w:val="00282A8C"/>
    <w:rsid w:val="00282DE8"/>
    <w:rsid w:val="002854EE"/>
    <w:rsid w:val="00285520"/>
    <w:rsid w:val="0028565C"/>
    <w:rsid w:val="002875DE"/>
    <w:rsid w:val="00287E07"/>
    <w:rsid w:val="00290B28"/>
    <w:rsid w:val="00290EB3"/>
    <w:rsid w:val="0029213F"/>
    <w:rsid w:val="00292336"/>
    <w:rsid w:val="00292846"/>
    <w:rsid w:val="00292A90"/>
    <w:rsid w:val="0029684F"/>
    <w:rsid w:val="0029718C"/>
    <w:rsid w:val="002971D6"/>
    <w:rsid w:val="002A0CA3"/>
    <w:rsid w:val="002A2CEF"/>
    <w:rsid w:val="002A2F08"/>
    <w:rsid w:val="002A31CF"/>
    <w:rsid w:val="002A3641"/>
    <w:rsid w:val="002A495F"/>
    <w:rsid w:val="002A6D32"/>
    <w:rsid w:val="002A706F"/>
    <w:rsid w:val="002A70EA"/>
    <w:rsid w:val="002A7363"/>
    <w:rsid w:val="002A7F43"/>
    <w:rsid w:val="002B167C"/>
    <w:rsid w:val="002B1EC0"/>
    <w:rsid w:val="002B28B7"/>
    <w:rsid w:val="002B365E"/>
    <w:rsid w:val="002B489A"/>
    <w:rsid w:val="002B5FD0"/>
    <w:rsid w:val="002B6341"/>
    <w:rsid w:val="002C0526"/>
    <w:rsid w:val="002C27A8"/>
    <w:rsid w:val="002C333E"/>
    <w:rsid w:val="002C36C8"/>
    <w:rsid w:val="002C3933"/>
    <w:rsid w:val="002C4549"/>
    <w:rsid w:val="002C51A0"/>
    <w:rsid w:val="002C5B51"/>
    <w:rsid w:val="002C7971"/>
    <w:rsid w:val="002D016B"/>
    <w:rsid w:val="002D0584"/>
    <w:rsid w:val="002D06A2"/>
    <w:rsid w:val="002D17C4"/>
    <w:rsid w:val="002D2ADE"/>
    <w:rsid w:val="002D2E2A"/>
    <w:rsid w:val="002D4629"/>
    <w:rsid w:val="002D513C"/>
    <w:rsid w:val="002D5295"/>
    <w:rsid w:val="002D52BF"/>
    <w:rsid w:val="002D5C2A"/>
    <w:rsid w:val="002D68FA"/>
    <w:rsid w:val="002D69CB"/>
    <w:rsid w:val="002D7ECA"/>
    <w:rsid w:val="002E0141"/>
    <w:rsid w:val="002E0B5D"/>
    <w:rsid w:val="002E0B76"/>
    <w:rsid w:val="002E1495"/>
    <w:rsid w:val="002E1670"/>
    <w:rsid w:val="002E2900"/>
    <w:rsid w:val="002E3C0D"/>
    <w:rsid w:val="002E43EC"/>
    <w:rsid w:val="002E5B3C"/>
    <w:rsid w:val="002E6F06"/>
    <w:rsid w:val="002E7A79"/>
    <w:rsid w:val="002F1514"/>
    <w:rsid w:val="002F271F"/>
    <w:rsid w:val="002F2C6E"/>
    <w:rsid w:val="002F346A"/>
    <w:rsid w:val="002F3C88"/>
    <w:rsid w:val="002F4067"/>
    <w:rsid w:val="002F47C8"/>
    <w:rsid w:val="002F47EB"/>
    <w:rsid w:val="002F5A97"/>
    <w:rsid w:val="002F5B8E"/>
    <w:rsid w:val="002F7339"/>
    <w:rsid w:val="002F7461"/>
    <w:rsid w:val="002F796A"/>
    <w:rsid w:val="00300394"/>
    <w:rsid w:val="003015C0"/>
    <w:rsid w:val="003025E2"/>
    <w:rsid w:val="003026BC"/>
    <w:rsid w:val="00306D24"/>
    <w:rsid w:val="00307712"/>
    <w:rsid w:val="0031404A"/>
    <w:rsid w:val="00314B7C"/>
    <w:rsid w:val="00314E49"/>
    <w:rsid w:val="00314F54"/>
    <w:rsid w:val="00315445"/>
    <w:rsid w:val="00316850"/>
    <w:rsid w:val="00317183"/>
    <w:rsid w:val="003200B9"/>
    <w:rsid w:val="003204AE"/>
    <w:rsid w:val="003208EF"/>
    <w:rsid w:val="003220BC"/>
    <w:rsid w:val="00324846"/>
    <w:rsid w:val="00324ABD"/>
    <w:rsid w:val="00324D9B"/>
    <w:rsid w:val="003255D5"/>
    <w:rsid w:val="00326758"/>
    <w:rsid w:val="00326803"/>
    <w:rsid w:val="003272A6"/>
    <w:rsid w:val="003273CB"/>
    <w:rsid w:val="0033125E"/>
    <w:rsid w:val="00334F36"/>
    <w:rsid w:val="0033584C"/>
    <w:rsid w:val="00336913"/>
    <w:rsid w:val="0033718C"/>
    <w:rsid w:val="00337407"/>
    <w:rsid w:val="00340E02"/>
    <w:rsid w:val="00343E6E"/>
    <w:rsid w:val="003450C8"/>
    <w:rsid w:val="00345DE3"/>
    <w:rsid w:val="0034782B"/>
    <w:rsid w:val="003479DB"/>
    <w:rsid w:val="00350D43"/>
    <w:rsid w:val="00351AA4"/>
    <w:rsid w:val="00351E5C"/>
    <w:rsid w:val="0035580F"/>
    <w:rsid w:val="00355F5A"/>
    <w:rsid w:val="00357CB4"/>
    <w:rsid w:val="003604EE"/>
    <w:rsid w:val="0036286B"/>
    <w:rsid w:val="00363371"/>
    <w:rsid w:val="003635DF"/>
    <w:rsid w:val="00364989"/>
    <w:rsid w:val="00366414"/>
    <w:rsid w:val="003664C0"/>
    <w:rsid w:val="0036652F"/>
    <w:rsid w:val="00366769"/>
    <w:rsid w:val="00367178"/>
    <w:rsid w:val="00367521"/>
    <w:rsid w:val="00367E04"/>
    <w:rsid w:val="00371336"/>
    <w:rsid w:val="0037558E"/>
    <w:rsid w:val="003761F2"/>
    <w:rsid w:val="00376A05"/>
    <w:rsid w:val="003774FE"/>
    <w:rsid w:val="003800A4"/>
    <w:rsid w:val="003800CA"/>
    <w:rsid w:val="00382C84"/>
    <w:rsid w:val="0038374F"/>
    <w:rsid w:val="00383BB9"/>
    <w:rsid w:val="00384565"/>
    <w:rsid w:val="00385771"/>
    <w:rsid w:val="00385AB0"/>
    <w:rsid w:val="00385E7F"/>
    <w:rsid w:val="0039051A"/>
    <w:rsid w:val="00390E30"/>
    <w:rsid w:val="00393ABE"/>
    <w:rsid w:val="0039441E"/>
    <w:rsid w:val="0039458D"/>
    <w:rsid w:val="00394D61"/>
    <w:rsid w:val="00396B48"/>
    <w:rsid w:val="003A0E0A"/>
    <w:rsid w:val="003A1F5A"/>
    <w:rsid w:val="003A2ECE"/>
    <w:rsid w:val="003A2FEB"/>
    <w:rsid w:val="003A4252"/>
    <w:rsid w:val="003A539A"/>
    <w:rsid w:val="003A62A4"/>
    <w:rsid w:val="003A632C"/>
    <w:rsid w:val="003A7294"/>
    <w:rsid w:val="003A7476"/>
    <w:rsid w:val="003A7D86"/>
    <w:rsid w:val="003B0892"/>
    <w:rsid w:val="003B0AA1"/>
    <w:rsid w:val="003B0B75"/>
    <w:rsid w:val="003B1345"/>
    <w:rsid w:val="003B243D"/>
    <w:rsid w:val="003B2750"/>
    <w:rsid w:val="003B304F"/>
    <w:rsid w:val="003B35B8"/>
    <w:rsid w:val="003B5262"/>
    <w:rsid w:val="003B5826"/>
    <w:rsid w:val="003B5D18"/>
    <w:rsid w:val="003B77A9"/>
    <w:rsid w:val="003B795D"/>
    <w:rsid w:val="003C005E"/>
    <w:rsid w:val="003C26A6"/>
    <w:rsid w:val="003C26C1"/>
    <w:rsid w:val="003C5C11"/>
    <w:rsid w:val="003C5F8F"/>
    <w:rsid w:val="003C6A5A"/>
    <w:rsid w:val="003C6AAD"/>
    <w:rsid w:val="003C7076"/>
    <w:rsid w:val="003C772C"/>
    <w:rsid w:val="003C7F1F"/>
    <w:rsid w:val="003D08FE"/>
    <w:rsid w:val="003D10F0"/>
    <w:rsid w:val="003D1D4D"/>
    <w:rsid w:val="003D37DD"/>
    <w:rsid w:val="003D45DF"/>
    <w:rsid w:val="003D47C6"/>
    <w:rsid w:val="003D531F"/>
    <w:rsid w:val="003D7E38"/>
    <w:rsid w:val="003D7EAC"/>
    <w:rsid w:val="003E067E"/>
    <w:rsid w:val="003E2CC7"/>
    <w:rsid w:val="003E379A"/>
    <w:rsid w:val="003E52B0"/>
    <w:rsid w:val="003E5D5E"/>
    <w:rsid w:val="003E5FF5"/>
    <w:rsid w:val="003E64DC"/>
    <w:rsid w:val="003E7395"/>
    <w:rsid w:val="003E7A43"/>
    <w:rsid w:val="003F0B58"/>
    <w:rsid w:val="003F0D40"/>
    <w:rsid w:val="003F1431"/>
    <w:rsid w:val="003F14DF"/>
    <w:rsid w:val="003F1933"/>
    <w:rsid w:val="003F1A93"/>
    <w:rsid w:val="003F2236"/>
    <w:rsid w:val="003F27B7"/>
    <w:rsid w:val="003F4051"/>
    <w:rsid w:val="003F5249"/>
    <w:rsid w:val="003F5812"/>
    <w:rsid w:val="003F6AA4"/>
    <w:rsid w:val="003F6EA1"/>
    <w:rsid w:val="003F7731"/>
    <w:rsid w:val="003F7B57"/>
    <w:rsid w:val="00400E4A"/>
    <w:rsid w:val="00402E9A"/>
    <w:rsid w:val="004030AF"/>
    <w:rsid w:val="00403CF3"/>
    <w:rsid w:val="00403FA8"/>
    <w:rsid w:val="00404040"/>
    <w:rsid w:val="00404213"/>
    <w:rsid w:val="004048AC"/>
    <w:rsid w:val="00404B8E"/>
    <w:rsid w:val="004051ED"/>
    <w:rsid w:val="0040645C"/>
    <w:rsid w:val="004068C2"/>
    <w:rsid w:val="00407B18"/>
    <w:rsid w:val="004129BF"/>
    <w:rsid w:val="00414AFA"/>
    <w:rsid w:val="00415E7F"/>
    <w:rsid w:val="0041612A"/>
    <w:rsid w:val="00417B30"/>
    <w:rsid w:val="00417D2E"/>
    <w:rsid w:val="00420288"/>
    <w:rsid w:val="004203DE"/>
    <w:rsid w:val="00421C78"/>
    <w:rsid w:val="00421E43"/>
    <w:rsid w:val="004224CE"/>
    <w:rsid w:val="00422A71"/>
    <w:rsid w:val="00422C7B"/>
    <w:rsid w:val="00422DAE"/>
    <w:rsid w:val="00422E4A"/>
    <w:rsid w:val="0042305F"/>
    <w:rsid w:val="00424A78"/>
    <w:rsid w:val="00424D89"/>
    <w:rsid w:val="004253EE"/>
    <w:rsid w:val="004254DB"/>
    <w:rsid w:val="004265B4"/>
    <w:rsid w:val="00426A16"/>
    <w:rsid w:val="00427EEA"/>
    <w:rsid w:val="00430478"/>
    <w:rsid w:val="004313A0"/>
    <w:rsid w:val="00431836"/>
    <w:rsid w:val="004321E6"/>
    <w:rsid w:val="0043278E"/>
    <w:rsid w:val="00435230"/>
    <w:rsid w:val="004356A5"/>
    <w:rsid w:val="004360AC"/>
    <w:rsid w:val="0043646D"/>
    <w:rsid w:val="00436B83"/>
    <w:rsid w:val="0043735A"/>
    <w:rsid w:val="00437C43"/>
    <w:rsid w:val="00440F74"/>
    <w:rsid w:val="00441061"/>
    <w:rsid w:val="0044332C"/>
    <w:rsid w:val="00443D38"/>
    <w:rsid w:val="00444871"/>
    <w:rsid w:val="00450032"/>
    <w:rsid w:val="00450C70"/>
    <w:rsid w:val="00453344"/>
    <w:rsid w:val="00453806"/>
    <w:rsid w:val="00454638"/>
    <w:rsid w:val="00454D0F"/>
    <w:rsid w:val="00454E76"/>
    <w:rsid w:val="00457080"/>
    <w:rsid w:val="00460891"/>
    <w:rsid w:val="004617F5"/>
    <w:rsid w:val="004625B0"/>
    <w:rsid w:val="00463BBA"/>
    <w:rsid w:val="00463DE5"/>
    <w:rsid w:val="00464AC9"/>
    <w:rsid w:val="00464FB2"/>
    <w:rsid w:val="00466383"/>
    <w:rsid w:val="0046657E"/>
    <w:rsid w:val="00466CDC"/>
    <w:rsid w:val="004670E1"/>
    <w:rsid w:val="0046745E"/>
    <w:rsid w:val="00470093"/>
    <w:rsid w:val="00471FD4"/>
    <w:rsid w:val="004736BE"/>
    <w:rsid w:val="0047556D"/>
    <w:rsid w:val="00475789"/>
    <w:rsid w:val="00476170"/>
    <w:rsid w:val="00476492"/>
    <w:rsid w:val="00477812"/>
    <w:rsid w:val="00477ECA"/>
    <w:rsid w:val="0048018D"/>
    <w:rsid w:val="0048067C"/>
    <w:rsid w:val="004820B0"/>
    <w:rsid w:val="0048241A"/>
    <w:rsid w:val="00482E2F"/>
    <w:rsid w:val="00482FA3"/>
    <w:rsid w:val="00485235"/>
    <w:rsid w:val="00485680"/>
    <w:rsid w:val="004859B4"/>
    <w:rsid w:val="00486ACD"/>
    <w:rsid w:val="00492C65"/>
    <w:rsid w:val="0049403F"/>
    <w:rsid w:val="00494323"/>
    <w:rsid w:val="00494349"/>
    <w:rsid w:val="00494485"/>
    <w:rsid w:val="004A080A"/>
    <w:rsid w:val="004A0F27"/>
    <w:rsid w:val="004A0F37"/>
    <w:rsid w:val="004A0F68"/>
    <w:rsid w:val="004A1473"/>
    <w:rsid w:val="004A1AC1"/>
    <w:rsid w:val="004A2DCF"/>
    <w:rsid w:val="004A3608"/>
    <w:rsid w:val="004A4A9F"/>
    <w:rsid w:val="004A4FBD"/>
    <w:rsid w:val="004A55A6"/>
    <w:rsid w:val="004A737D"/>
    <w:rsid w:val="004A7810"/>
    <w:rsid w:val="004A7E93"/>
    <w:rsid w:val="004B3CFB"/>
    <w:rsid w:val="004B49DF"/>
    <w:rsid w:val="004B4CE6"/>
    <w:rsid w:val="004B4EE1"/>
    <w:rsid w:val="004B5A94"/>
    <w:rsid w:val="004B5D6B"/>
    <w:rsid w:val="004B6839"/>
    <w:rsid w:val="004B76F8"/>
    <w:rsid w:val="004C1FA6"/>
    <w:rsid w:val="004C5CFD"/>
    <w:rsid w:val="004D0CC0"/>
    <w:rsid w:val="004D12C0"/>
    <w:rsid w:val="004D174B"/>
    <w:rsid w:val="004D18EA"/>
    <w:rsid w:val="004D1981"/>
    <w:rsid w:val="004D2B27"/>
    <w:rsid w:val="004D3713"/>
    <w:rsid w:val="004D6254"/>
    <w:rsid w:val="004D7C0D"/>
    <w:rsid w:val="004D7E99"/>
    <w:rsid w:val="004E00CE"/>
    <w:rsid w:val="004E0557"/>
    <w:rsid w:val="004E2942"/>
    <w:rsid w:val="004E2BDB"/>
    <w:rsid w:val="004E4057"/>
    <w:rsid w:val="004E778C"/>
    <w:rsid w:val="004E7CAF"/>
    <w:rsid w:val="004F0B51"/>
    <w:rsid w:val="004F3162"/>
    <w:rsid w:val="004F36F5"/>
    <w:rsid w:val="004F4EE2"/>
    <w:rsid w:val="004F50AF"/>
    <w:rsid w:val="004F681D"/>
    <w:rsid w:val="004F6E14"/>
    <w:rsid w:val="004F6E4B"/>
    <w:rsid w:val="004F71EC"/>
    <w:rsid w:val="0050228C"/>
    <w:rsid w:val="005022B0"/>
    <w:rsid w:val="00502857"/>
    <w:rsid w:val="00502BDC"/>
    <w:rsid w:val="00502E5A"/>
    <w:rsid w:val="005044A9"/>
    <w:rsid w:val="00505994"/>
    <w:rsid w:val="00505CBC"/>
    <w:rsid w:val="00505FD4"/>
    <w:rsid w:val="005064AD"/>
    <w:rsid w:val="00506C31"/>
    <w:rsid w:val="00506E25"/>
    <w:rsid w:val="005071F4"/>
    <w:rsid w:val="0051132C"/>
    <w:rsid w:val="0051188A"/>
    <w:rsid w:val="005130D9"/>
    <w:rsid w:val="00513483"/>
    <w:rsid w:val="005146BA"/>
    <w:rsid w:val="00514919"/>
    <w:rsid w:val="00514A55"/>
    <w:rsid w:val="00514EF5"/>
    <w:rsid w:val="0051782D"/>
    <w:rsid w:val="0052087E"/>
    <w:rsid w:val="00521F8E"/>
    <w:rsid w:val="0052315E"/>
    <w:rsid w:val="00523203"/>
    <w:rsid w:val="00525635"/>
    <w:rsid w:val="005266C8"/>
    <w:rsid w:val="00530ED3"/>
    <w:rsid w:val="0053219B"/>
    <w:rsid w:val="00534097"/>
    <w:rsid w:val="0053438E"/>
    <w:rsid w:val="005355EE"/>
    <w:rsid w:val="00535B16"/>
    <w:rsid w:val="005366D0"/>
    <w:rsid w:val="00537E27"/>
    <w:rsid w:val="00540B4D"/>
    <w:rsid w:val="00540FFA"/>
    <w:rsid w:val="00541559"/>
    <w:rsid w:val="005422B5"/>
    <w:rsid w:val="00542930"/>
    <w:rsid w:val="005435B3"/>
    <w:rsid w:val="00544001"/>
    <w:rsid w:val="00544384"/>
    <w:rsid w:val="00546CCB"/>
    <w:rsid w:val="005471BB"/>
    <w:rsid w:val="00547B78"/>
    <w:rsid w:val="00550849"/>
    <w:rsid w:val="005527DB"/>
    <w:rsid w:val="00553558"/>
    <w:rsid w:val="00554B32"/>
    <w:rsid w:val="00554BF3"/>
    <w:rsid w:val="00555D8B"/>
    <w:rsid w:val="0055655F"/>
    <w:rsid w:val="0055657D"/>
    <w:rsid w:val="00560D0D"/>
    <w:rsid w:val="00561443"/>
    <w:rsid w:val="00561DE9"/>
    <w:rsid w:val="00562801"/>
    <w:rsid w:val="00563FD2"/>
    <w:rsid w:val="00564048"/>
    <w:rsid w:val="005648F8"/>
    <w:rsid w:val="00565FB1"/>
    <w:rsid w:val="005662FB"/>
    <w:rsid w:val="00567781"/>
    <w:rsid w:val="00567ECC"/>
    <w:rsid w:val="005713B1"/>
    <w:rsid w:val="00574E00"/>
    <w:rsid w:val="00576286"/>
    <w:rsid w:val="00576A93"/>
    <w:rsid w:val="00576AB4"/>
    <w:rsid w:val="00576B65"/>
    <w:rsid w:val="00580A7C"/>
    <w:rsid w:val="00582FAB"/>
    <w:rsid w:val="00583090"/>
    <w:rsid w:val="005835F4"/>
    <w:rsid w:val="00583EFE"/>
    <w:rsid w:val="005841A3"/>
    <w:rsid w:val="005860A4"/>
    <w:rsid w:val="00587151"/>
    <w:rsid w:val="005875B6"/>
    <w:rsid w:val="005900BC"/>
    <w:rsid w:val="00590EAE"/>
    <w:rsid w:val="0059112A"/>
    <w:rsid w:val="00592A01"/>
    <w:rsid w:val="00593216"/>
    <w:rsid w:val="00593A11"/>
    <w:rsid w:val="005943D9"/>
    <w:rsid w:val="00594655"/>
    <w:rsid w:val="00594BC3"/>
    <w:rsid w:val="005958D3"/>
    <w:rsid w:val="00596CA7"/>
    <w:rsid w:val="00596DC8"/>
    <w:rsid w:val="00596E16"/>
    <w:rsid w:val="00596E80"/>
    <w:rsid w:val="005A010D"/>
    <w:rsid w:val="005A164A"/>
    <w:rsid w:val="005A16A3"/>
    <w:rsid w:val="005A1C48"/>
    <w:rsid w:val="005A253A"/>
    <w:rsid w:val="005A2F01"/>
    <w:rsid w:val="005A30FD"/>
    <w:rsid w:val="005A6E2F"/>
    <w:rsid w:val="005A7008"/>
    <w:rsid w:val="005A7E04"/>
    <w:rsid w:val="005B0056"/>
    <w:rsid w:val="005B0102"/>
    <w:rsid w:val="005B264B"/>
    <w:rsid w:val="005B4421"/>
    <w:rsid w:val="005B74BB"/>
    <w:rsid w:val="005B7929"/>
    <w:rsid w:val="005C07DA"/>
    <w:rsid w:val="005C11BD"/>
    <w:rsid w:val="005C1D5C"/>
    <w:rsid w:val="005C25D1"/>
    <w:rsid w:val="005C35A9"/>
    <w:rsid w:val="005C464B"/>
    <w:rsid w:val="005C74A0"/>
    <w:rsid w:val="005D052C"/>
    <w:rsid w:val="005D16FE"/>
    <w:rsid w:val="005D3482"/>
    <w:rsid w:val="005D4084"/>
    <w:rsid w:val="005D4777"/>
    <w:rsid w:val="005D4815"/>
    <w:rsid w:val="005D4B58"/>
    <w:rsid w:val="005D4C2B"/>
    <w:rsid w:val="005E0DDF"/>
    <w:rsid w:val="005E3306"/>
    <w:rsid w:val="005E46A4"/>
    <w:rsid w:val="005E6615"/>
    <w:rsid w:val="005E6CE7"/>
    <w:rsid w:val="005E7953"/>
    <w:rsid w:val="005E7E82"/>
    <w:rsid w:val="005F0177"/>
    <w:rsid w:val="005F5EAE"/>
    <w:rsid w:val="005F6C28"/>
    <w:rsid w:val="005F7AB6"/>
    <w:rsid w:val="005F7E3C"/>
    <w:rsid w:val="00600FA8"/>
    <w:rsid w:val="006026A3"/>
    <w:rsid w:val="00603C3C"/>
    <w:rsid w:val="00605A9B"/>
    <w:rsid w:val="006063DA"/>
    <w:rsid w:val="00606CE3"/>
    <w:rsid w:val="00611DD3"/>
    <w:rsid w:val="00611E02"/>
    <w:rsid w:val="00611EF0"/>
    <w:rsid w:val="006121E9"/>
    <w:rsid w:val="00612219"/>
    <w:rsid w:val="0061291A"/>
    <w:rsid w:val="00612E04"/>
    <w:rsid w:val="00613179"/>
    <w:rsid w:val="0061468D"/>
    <w:rsid w:val="00614C1F"/>
    <w:rsid w:val="00617277"/>
    <w:rsid w:val="006173A4"/>
    <w:rsid w:val="00617C44"/>
    <w:rsid w:val="00622CE4"/>
    <w:rsid w:val="006234A7"/>
    <w:rsid w:val="006237C6"/>
    <w:rsid w:val="00624FAE"/>
    <w:rsid w:val="00625917"/>
    <w:rsid w:val="0062789F"/>
    <w:rsid w:val="006301BE"/>
    <w:rsid w:val="0063096E"/>
    <w:rsid w:val="00630B6E"/>
    <w:rsid w:val="00633349"/>
    <w:rsid w:val="00633D61"/>
    <w:rsid w:val="0063402A"/>
    <w:rsid w:val="0063402B"/>
    <w:rsid w:val="00636095"/>
    <w:rsid w:val="00636295"/>
    <w:rsid w:val="00636570"/>
    <w:rsid w:val="00636EBA"/>
    <w:rsid w:val="00637901"/>
    <w:rsid w:val="00637E1B"/>
    <w:rsid w:val="006402DF"/>
    <w:rsid w:val="00640BE1"/>
    <w:rsid w:val="00640DDF"/>
    <w:rsid w:val="0064164B"/>
    <w:rsid w:val="00644468"/>
    <w:rsid w:val="0064472A"/>
    <w:rsid w:val="0064510E"/>
    <w:rsid w:val="00645F5E"/>
    <w:rsid w:val="0064645E"/>
    <w:rsid w:val="006474AE"/>
    <w:rsid w:val="00647B1E"/>
    <w:rsid w:val="00647C55"/>
    <w:rsid w:val="0065008B"/>
    <w:rsid w:val="0065201C"/>
    <w:rsid w:val="00653365"/>
    <w:rsid w:val="00653776"/>
    <w:rsid w:val="00653A3B"/>
    <w:rsid w:val="00653FD9"/>
    <w:rsid w:val="00654D42"/>
    <w:rsid w:val="0065563B"/>
    <w:rsid w:val="00656328"/>
    <w:rsid w:val="006563FF"/>
    <w:rsid w:val="00660279"/>
    <w:rsid w:val="00660D2D"/>
    <w:rsid w:val="0066144D"/>
    <w:rsid w:val="006622B9"/>
    <w:rsid w:val="006625C6"/>
    <w:rsid w:val="00662E1E"/>
    <w:rsid w:val="0066371E"/>
    <w:rsid w:val="00663D0D"/>
    <w:rsid w:val="00664F03"/>
    <w:rsid w:val="00664F25"/>
    <w:rsid w:val="006653F9"/>
    <w:rsid w:val="006659DA"/>
    <w:rsid w:val="00667388"/>
    <w:rsid w:val="00667F0C"/>
    <w:rsid w:val="0067213F"/>
    <w:rsid w:val="006724AD"/>
    <w:rsid w:val="00672BAB"/>
    <w:rsid w:val="0067314A"/>
    <w:rsid w:val="00673D1E"/>
    <w:rsid w:val="006742AA"/>
    <w:rsid w:val="00676239"/>
    <w:rsid w:val="006779CF"/>
    <w:rsid w:val="00677A8F"/>
    <w:rsid w:val="00677F8A"/>
    <w:rsid w:val="00681A5B"/>
    <w:rsid w:val="006821E3"/>
    <w:rsid w:val="006826E6"/>
    <w:rsid w:val="00683643"/>
    <w:rsid w:val="00683AD6"/>
    <w:rsid w:val="00683B69"/>
    <w:rsid w:val="006842AE"/>
    <w:rsid w:val="00685749"/>
    <w:rsid w:val="00685A3D"/>
    <w:rsid w:val="0069097D"/>
    <w:rsid w:val="00692B89"/>
    <w:rsid w:val="00695046"/>
    <w:rsid w:val="0069541E"/>
    <w:rsid w:val="00696CBD"/>
    <w:rsid w:val="00696FD6"/>
    <w:rsid w:val="006A5773"/>
    <w:rsid w:val="006A5804"/>
    <w:rsid w:val="006A58F0"/>
    <w:rsid w:val="006B0372"/>
    <w:rsid w:val="006B0764"/>
    <w:rsid w:val="006B2C2E"/>
    <w:rsid w:val="006B3C26"/>
    <w:rsid w:val="006B4467"/>
    <w:rsid w:val="006B4E00"/>
    <w:rsid w:val="006B52A4"/>
    <w:rsid w:val="006B6C46"/>
    <w:rsid w:val="006B6E78"/>
    <w:rsid w:val="006C0039"/>
    <w:rsid w:val="006C17EB"/>
    <w:rsid w:val="006C1927"/>
    <w:rsid w:val="006C1C6A"/>
    <w:rsid w:val="006C2585"/>
    <w:rsid w:val="006C2A15"/>
    <w:rsid w:val="006C4008"/>
    <w:rsid w:val="006C4C00"/>
    <w:rsid w:val="006C55C4"/>
    <w:rsid w:val="006C5931"/>
    <w:rsid w:val="006C65EC"/>
    <w:rsid w:val="006C73EF"/>
    <w:rsid w:val="006D0202"/>
    <w:rsid w:val="006D035D"/>
    <w:rsid w:val="006D05D8"/>
    <w:rsid w:val="006D1723"/>
    <w:rsid w:val="006D2343"/>
    <w:rsid w:val="006D39CC"/>
    <w:rsid w:val="006D4F04"/>
    <w:rsid w:val="006D544E"/>
    <w:rsid w:val="006D5D3F"/>
    <w:rsid w:val="006D60ED"/>
    <w:rsid w:val="006D78D9"/>
    <w:rsid w:val="006E10C9"/>
    <w:rsid w:val="006E1166"/>
    <w:rsid w:val="006E3B39"/>
    <w:rsid w:val="006E468A"/>
    <w:rsid w:val="006E596E"/>
    <w:rsid w:val="006E7A72"/>
    <w:rsid w:val="006F033F"/>
    <w:rsid w:val="006F24D8"/>
    <w:rsid w:val="006F33B8"/>
    <w:rsid w:val="006F4C9C"/>
    <w:rsid w:val="006F5790"/>
    <w:rsid w:val="006F5D4E"/>
    <w:rsid w:val="006F640F"/>
    <w:rsid w:val="006F762A"/>
    <w:rsid w:val="006F78B2"/>
    <w:rsid w:val="00701B6B"/>
    <w:rsid w:val="0070351C"/>
    <w:rsid w:val="0070384F"/>
    <w:rsid w:val="00703A9E"/>
    <w:rsid w:val="00703D6D"/>
    <w:rsid w:val="00704152"/>
    <w:rsid w:val="0070492B"/>
    <w:rsid w:val="00704FB5"/>
    <w:rsid w:val="007051AC"/>
    <w:rsid w:val="00706B71"/>
    <w:rsid w:val="0070768B"/>
    <w:rsid w:val="00710B7D"/>
    <w:rsid w:val="00711142"/>
    <w:rsid w:val="0071277A"/>
    <w:rsid w:val="00712EE5"/>
    <w:rsid w:val="00713493"/>
    <w:rsid w:val="00713494"/>
    <w:rsid w:val="00714031"/>
    <w:rsid w:val="00714365"/>
    <w:rsid w:val="0071466E"/>
    <w:rsid w:val="00714A6C"/>
    <w:rsid w:val="00714CD3"/>
    <w:rsid w:val="007163C7"/>
    <w:rsid w:val="00716FD9"/>
    <w:rsid w:val="00720024"/>
    <w:rsid w:val="007200F5"/>
    <w:rsid w:val="007206A8"/>
    <w:rsid w:val="0072116D"/>
    <w:rsid w:val="00721934"/>
    <w:rsid w:val="0072226F"/>
    <w:rsid w:val="00723D04"/>
    <w:rsid w:val="00724209"/>
    <w:rsid w:val="00725892"/>
    <w:rsid w:val="00725B78"/>
    <w:rsid w:val="00727082"/>
    <w:rsid w:val="007313BC"/>
    <w:rsid w:val="007320E1"/>
    <w:rsid w:val="0073233C"/>
    <w:rsid w:val="00732B3F"/>
    <w:rsid w:val="00732D0C"/>
    <w:rsid w:val="00733EAD"/>
    <w:rsid w:val="00734F54"/>
    <w:rsid w:val="00737C04"/>
    <w:rsid w:val="0074243B"/>
    <w:rsid w:val="00744110"/>
    <w:rsid w:val="007441E9"/>
    <w:rsid w:val="00744595"/>
    <w:rsid w:val="00747A52"/>
    <w:rsid w:val="00750F1E"/>
    <w:rsid w:val="00751C12"/>
    <w:rsid w:val="007524D7"/>
    <w:rsid w:val="00752691"/>
    <w:rsid w:val="007528F2"/>
    <w:rsid w:val="0075534D"/>
    <w:rsid w:val="00755F9B"/>
    <w:rsid w:val="007564A2"/>
    <w:rsid w:val="007575C4"/>
    <w:rsid w:val="00757A38"/>
    <w:rsid w:val="0076050F"/>
    <w:rsid w:val="00763700"/>
    <w:rsid w:val="0076427C"/>
    <w:rsid w:val="0076439A"/>
    <w:rsid w:val="00765217"/>
    <w:rsid w:val="007659AA"/>
    <w:rsid w:val="00766564"/>
    <w:rsid w:val="007667B6"/>
    <w:rsid w:val="00766B8A"/>
    <w:rsid w:val="0077266C"/>
    <w:rsid w:val="00772802"/>
    <w:rsid w:val="0077420B"/>
    <w:rsid w:val="00775066"/>
    <w:rsid w:val="007760EB"/>
    <w:rsid w:val="00776406"/>
    <w:rsid w:val="0077676E"/>
    <w:rsid w:val="0078005A"/>
    <w:rsid w:val="00781B19"/>
    <w:rsid w:val="00781B6F"/>
    <w:rsid w:val="00781F9C"/>
    <w:rsid w:val="00782703"/>
    <w:rsid w:val="0078284E"/>
    <w:rsid w:val="00782DFD"/>
    <w:rsid w:val="00783BCD"/>
    <w:rsid w:val="00783EDC"/>
    <w:rsid w:val="00784424"/>
    <w:rsid w:val="00785474"/>
    <w:rsid w:val="00785AE2"/>
    <w:rsid w:val="0078634F"/>
    <w:rsid w:val="00787B99"/>
    <w:rsid w:val="007918AA"/>
    <w:rsid w:val="00791ED7"/>
    <w:rsid w:val="00793A10"/>
    <w:rsid w:val="007941C2"/>
    <w:rsid w:val="0079421C"/>
    <w:rsid w:val="0079526D"/>
    <w:rsid w:val="00795A2C"/>
    <w:rsid w:val="00795F59"/>
    <w:rsid w:val="00797390"/>
    <w:rsid w:val="007A05B6"/>
    <w:rsid w:val="007A0DD4"/>
    <w:rsid w:val="007A1C0A"/>
    <w:rsid w:val="007A1C59"/>
    <w:rsid w:val="007A23F7"/>
    <w:rsid w:val="007A2F7C"/>
    <w:rsid w:val="007A5B41"/>
    <w:rsid w:val="007A6E04"/>
    <w:rsid w:val="007B0C97"/>
    <w:rsid w:val="007B1929"/>
    <w:rsid w:val="007B3EEC"/>
    <w:rsid w:val="007B46B1"/>
    <w:rsid w:val="007B5792"/>
    <w:rsid w:val="007C1660"/>
    <w:rsid w:val="007C1A28"/>
    <w:rsid w:val="007C31E2"/>
    <w:rsid w:val="007C5CE1"/>
    <w:rsid w:val="007C6F85"/>
    <w:rsid w:val="007D0569"/>
    <w:rsid w:val="007D0C06"/>
    <w:rsid w:val="007D16B1"/>
    <w:rsid w:val="007D17B4"/>
    <w:rsid w:val="007D19E4"/>
    <w:rsid w:val="007D3BD0"/>
    <w:rsid w:val="007D46C4"/>
    <w:rsid w:val="007D6170"/>
    <w:rsid w:val="007D64FE"/>
    <w:rsid w:val="007D7400"/>
    <w:rsid w:val="007D7761"/>
    <w:rsid w:val="007D79FF"/>
    <w:rsid w:val="007D7E1D"/>
    <w:rsid w:val="007E02A7"/>
    <w:rsid w:val="007E0FC0"/>
    <w:rsid w:val="007E21FB"/>
    <w:rsid w:val="007E3E8C"/>
    <w:rsid w:val="007E468A"/>
    <w:rsid w:val="007E51A5"/>
    <w:rsid w:val="007E7F4C"/>
    <w:rsid w:val="007E7F88"/>
    <w:rsid w:val="007F0B36"/>
    <w:rsid w:val="007F0C11"/>
    <w:rsid w:val="007F2864"/>
    <w:rsid w:val="007F3018"/>
    <w:rsid w:val="007F35CD"/>
    <w:rsid w:val="007F3B02"/>
    <w:rsid w:val="007F52CF"/>
    <w:rsid w:val="007F5ACD"/>
    <w:rsid w:val="007F73EC"/>
    <w:rsid w:val="007F74AA"/>
    <w:rsid w:val="0080000F"/>
    <w:rsid w:val="008046D9"/>
    <w:rsid w:val="00805B1E"/>
    <w:rsid w:val="008060C3"/>
    <w:rsid w:val="008063A1"/>
    <w:rsid w:val="00807F00"/>
    <w:rsid w:val="008107BC"/>
    <w:rsid w:val="008109D6"/>
    <w:rsid w:val="008111F5"/>
    <w:rsid w:val="00812095"/>
    <w:rsid w:val="008134BD"/>
    <w:rsid w:val="00813C04"/>
    <w:rsid w:val="0081435E"/>
    <w:rsid w:val="00814656"/>
    <w:rsid w:val="00815F39"/>
    <w:rsid w:val="00820E45"/>
    <w:rsid w:val="00821E2C"/>
    <w:rsid w:val="00822835"/>
    <w:rsid w:val="008236C4"/>
    <w:rsid w:val="00825254"/>
    <w:rsid w:val="008263A2"/>
    <w:rsid w:val="00826758"/>
    <w:rsid w:val="008269CD"/>
    <w:rsid w:val="00831E2B"/>
    <w:rsid w:val="00832C52"/>
    <w:rsid w:val="008339A2"/>
    <w:rsid w:val="00834E94"/>
    <w:rsid w:val="008353E0"/>
    <w:rsid w:val="008365F0"/>
    <w:rsid w:val="00837F7A"/>
    <w:rsid w:val="00840006"/>
    <w:rsid w:val="00840559"/>
    <w:rsid w:val="00841534"/>
    <w:rsid w:val="00843B5D"/>
    <w:rsid w:val="008452A1"/>
    <w:rsid w:val="008462F1"/>
    <w:rsid w:val="00846930"/>
    <w:rsid w:val="008477C5"/>
    <w:rsid w:val="00850FDE"/>
    <w:rsid w:val="00851D65"/>
    <w:rsid w:val="00852876"/>
    <w:rsid w:val="008543F5"/>
    <w:rsid w:val="00855004"/>
    <w:rsid w:val="00856013"/>
    <w:rsid w:val="00856BA3"/>
    <w:rsid w:val="008572C4"/>
    <w:rsid w:val="0085733E"/>
    <w:rsid w:val="00857CA1"/>
    <w:rsid w:val="00860008"/>
    <w:rsid w:val="008604A8"/>
    <w:rsid w:val="0086083B"/>
    <w:rsid w:val="00861AFA"/>
    <w:rsid w:val="00862B9F"/>
    <w:rsid w:val="00862E86"/>
    <w:rsid w:val="00863C61"/>
    <w:rsid w:val="00865522"/>
    <w:rsid w:val="00865ADF"/>
    <w:rsid w:val="0086644C"/>
    <w:rsid w:val="008666B5"/>
    <w:rsid w:val="00867D17"/>
    <w:rsid w:val="00870393"/>
    <w:rsid w:val="008703B3"/>
    <w:rsid w:val="00870938"/>
    <w:rsid w:val="00872532"/>
    <w:rsid w:val="00876330"/>
    <w:rsid w:val="00876985"/>
    <w:rsid w:val="0088042F"/>
    <w:rsid w:val="00882844"/>
    <w:rsid w:val="00883780"/>
    <w:rsid w:val="00883B99"/>
    <w:rsid w:val="00885066"/>
    <w:rsid w:val="00885F85"/>
    <w:rsid w:val="0088665E"/>
    <w:rsid w:val="0089050E"/>
    <w:rsid w:val="00890827"/>
    <w:rsid w:val="008908AD"/>
    <w:rsid w:val="00891DB9"/>
    <w:rsid w:val="008923C8"/>
    <w:rsid w:val="00893260"/>
    <w:rsid w:val="008932A8"/>
    <w:rsid w:val="00893756"/>
    <w:rsid w:val="00894A9E"/>
    <w:rsid w:val="008950F6"/>
    <w:rsid w:val="00896815"/>
    <w:rsid w:val="00897327"/>
    <w:rsid w:val="008A0744"/>
    <w:rsid w:val="008A0A6E"/>
    <w:rsid w:val="008A0D0F"/>
    <w:rsid w:val="008A0E62"/>
    <w:rsid w:val="008A2F33"/>
    <w:rsid w:val="008A2FB3"/>
    <w:rsid w:val="008A398B"/>
    <w:rsid w:val="008A3F2B"/>
    <w:rsid w:val="008A3F61"/>
    <w:rsid w:val="008A405A"/>
    <w:rsid w:val="008A5601"/>
    <w:rsid w:val="008A59AD"/>
    <w:rsid w:val="008A7285"/>
    <w:rsid w:val="008B028D"/>
    <w:rsid w:val="008B0666"/>
    <w:rsid w:val="008B0EEB"/>
    <w:rsid w:val="008B4205"/>
    <w:rsid w:val="008B431D"/>
    <w:rsid w:val="008B51FD"/>
    <w:rsid w:val="008B529F"/>
    <w:rsid w:val="008B601A"/>
    <w:rsid w:val="008B672E"/>
    <w:rsid w:val="008B6902"/>
    <w:rsid w:val="008B7186"/>
    <w:rsid w:val="008B7C25"/>
    <w:rsid w:val="008C1939"/>
    <w:rsid w:val="008C1B3A"/>
    <w:rsid w:val="008C2E2F"/>
    <w:rsid w:val="008C3396"/>
    <w:rsid w:val="008C4104"/>
    <w:rsid w:val="008C4CF7"/>
    <w:rsid w:val="008C621C"/>
    <w:rsid w:val="008C697C"/>
    <w:rsid w:val="008C705D"/>
    <w:rsid w:val="008C75ED"/>
    <w:rsid w:val="008C7649"/>
    <w:rsid w:val="008D1285"/>
    <w:rsid w:val="008D1BBA"/>
    <w:rsid w:val="008D2CF1"/>
    <w:rsid w:val="008D4B46"/>
    <w:rsid w:val="008E0991"/>
    <w:rsid w:val="008E1209"/>
    <w:rsid w:val="008E2515"/>
    <w:rsid w:val="008E338E"/>
    <w:rsid w:val="008E57FE"/>
    <w:rsid w:val="008E79BA"/>
    <w:rsid w:val="008F2665"/>
    <w:rsid w:val="008F2944"/>
    <w:rsid w:val="008F38C9"/>
    <w:rsid w:val="008F6376"/>
    <w:rsid w:val="0090055F"/>
    <w:rsid w:val="00900CC2"/>
    <w:rsid w:val="00900FF6"/>
    <w:rsid w:val="009019FB"/>
    <w:rsid w:val="00905B05"/>
    <w:rsid w:val="009068CB"/>
    <w:rsid w:val="00906909"/>
    <w:rsid w:val="0090753C"/>
    <w:rsid w:val="0091032B"/>
    <w:rsid w:val="009104E5"/>
    <w:rsid w:val="009106C9"/>
    <w:rsid w:val="00910C18"/>
    <w:rsid w:val="00910CE4"/>
    <w:rsid w:val="00911B66"/>
    <w:rsid w:val="00911DEF"/>
    <w:rsid w:val="00912404"/>
    <w:rsid w:val="00912A7E"/>
    <w:rsid w:val="00915330"/>
    <w:rsid w:val="00916198"/>
    <w:rsid w:val="00916E69"/>
    <w:rsid w:val="00917525"/>
    <w:rsid w:val="0091777D"/>
    <w:rsid w:val="00917B99"/>
    <w:rsid w:val="0092057D"/>
    <w:rsid w:val="009218DE"/>
    <w:rsid w:val="00922D00"/>
    <w:rsid w:val="00923F17"/>
    <w:rsid w:val="009240B8"/>
    <w:rsid w:val="009246CF"/>
    <w:rsid w:val="009258CF"/>
    <w:rsid w:val="009266DA"/>
    <w:rsid w:val="0092726C"/>
    <w:rsid w:val="00930DE8"/>
    <w:rsid w:val="009318DD"/>
    <w:rsid w:val="0093283F"/>
    <w:rsid w:val="00932A84"/>
    <w:rsid w:val="00933CF0"/>
    <w:rsid w:val="00933F58"/>
    <w:rsid w:val="00935413"/>
    <w:rsid w:val="00935F5D"/>
    <w:rsid w:val="00936082"/>
    <w:rsid w:val="00936290"/>
    <w:rsid w:val="009368E0"/>
    <w:rsid w:val="00940481"/>
    <w:rsid w:val="0094260B"/>
    <w:rsid w:val="00942661"/>
    <w:rsid w:val="00942696"/>
    <w:rsid w:val="009430F7"/>
    <w:rsid w:val="009434B4"/>
    <w:rsid w:val="00945307"/>
    <w:rsid w:val="0094558D"/>
    <w:rsid w:val="00946FCE"/>
    <w:rsid w:val="00950326"/>
    <w:rsid w:val="0095049C"/>
    <w:rsid w:val="009515BC"/>
    <w:rsid w:val="00953ED0"/>
    <w:rsid w:val="0095492E"/>
    <w:rsid w:val="00954CD4"/>
    <w:rsid w:val="00955F7D"/>
    <w:rsid w:val="00957661"/>
    <w:rsid w:val="0096082F"/>
    <w:rsid w:val="00960F07"/>
    <w:rsid w:val="0096242F"/>
    <w:rsid w:val="00962E3B"/>
    <w:rsid w:val="00962FF5"/>
    <w:rsid w:val="00963079"/>
    <w:rsid w:val="00964A4E"/>
    <w:rsid w:val="00965B02"/>
    <w:rsid w:val="00965C07"/>
    <w:rsid w:val="00965D2D"/>
    <w:rsid w:val="00970C7F"/>
    <w:rsid w:val="00971847"/>
    <w:rsid w:val="00971D49"/>
    <w:rsid w:val="00972964"/>
    <w:rsid w:val="00974D0F"/>
    <w:rsid w:val="00977267"/>
    <w:rsid w:val="0097762F"/>
    <w:rsid w:val="0098086F"/>
    <w:rsid w:val="009816B8"/>
    <w:rsid w:val="00981B57"/>
    <w:rsid w:val="00983B45"/>
    <w:rsid w:val="00985CA0"/>
    <w:rsid w:val="0098766F"/>
    <w:rsid w:val="0099088E"/>
    <w:rsid w:val="009917A5"/>
    <w:rsid w:val="00992470"/>
    <w:rsid w:val="00993912"/>
    <w:rsid w:val="00993EE3"/>
    <w:rsid w:val="00994050"/>
    <w:rsid w:val="009962CF"/>
    <w:rsid w:val="009969D6"/>
    <w:rsid w:val="009A045E"/>
    <w:rsid w:val="009A0480"/>
    <w:rsid w:val="009A124E"/>
    <w:rsid w:val="009A14F7"/>
    <w:rsid w:val="009A22D7"/>
    <w:rsid w:val="009A4543"/>
    <w:rsid w:val="009A4832"/>
    <w:rsid w:val="009A5DB1"/>
    <w:rsid w:val="009A6A66"/>
    <w:rsid w:val="009A7C5A"/>
    <w:rsid w:val="009A7E51"/>
    <w:rsid w:val="009B11D3"/>
    <w:rsid w:val="009B21B9"/>
    <w:rsid w:val="009B2277"/>
    <w:rsid w:val="009B3DC8"/>
    <w:rsid w:val="009B4798"/>
    <w:rsid w:val="009B4CD0"/>
    <w:rsid w:val="009B4DA7"/>
    <w:rsid w:val="009B55A2"/>
    <w:rsid w:val="009B5C6A"/>
    <w:rsid w:val="009C075B"/>
    <w:rsid w:val="009C1895"/>
    <w:rsid w:val="009C21C6"/>
    <w:rsid w:val="009C37E8"/>
    <w:rsid w:val="009C383B"/>
    <w:rsid w:val="009C3902"/>
    <w:rsid w:val="009C3A80"/>
    <w:rsid w:val="009C5238"/>
    <w:rsid w:val="009D12B4"/>
    <w:rsid w:val="009D1E70"/>
    <w:rsid w:val="009D2135"/>
    <w:rsid w:val="009D2FA7"/>
    <w:rsid w:val="009D4CAE"/>
    <w:rsid w:val="009D55F9"/>
    <w:rsid w:val="009D5A11"/>
    <w:rsid w:val="009D7760"/>
    <w:rsid w:val="009E16E6"/>
    <w:rsid w:val="009E2953"/>
    <w:rsid w:val="009E30CE"/>
    <w:rsid w:val="009E3BC1"/>
    <w:rsid w:val="009E4A19"/>
    <w:rsid w:val="009E5283"/>
    <w:rsid w:val="009E5848"/>
    <w:rsid w:val="009F006B"/>
    <w:rsid w:val="009F00A9"/>
    <w:rsid w:val="009F04C3"/>
    <w:rsid w:val="009F0740"/>
    <w:rsid w:val="009F0760"/>
    <w:rsid w:val="009F1343"/>
    <w:rsid w:val="009F1E7F"/>
    <w:rsid w:val="009F3B29"/>
    <w:rsid w:val="009F42CE"/>
    <w:rsid w:val="009F4860"/>
    <w:rsid w:val="00A00057"/>
    <w:rsid w:val="00A00485"/>
    <w:rsid w:val="00A01475"/>
    <w:rsid w:val="00A01A5F"/>
    <w:rsid w:val="00A0215B"/>
    <w:rsid w:val="00A02C96"/>
    <w:rsid w:val="00A02E65"/>
    <w:rsid w:val="00A02E9C"/>
    <w:rsid w:val="00A0340A"/>
    <w:rsid w:val="00A0440C"/>
    <w:rsid w:val="00A05753"/>
    <w:rsid w:val="00A0585F"/>
    <w:rsid w:val="00A0694A"/>
    <w:rsid w:val="00A07C85"/>
    <w:rsid w:val="00A10A30"/>
    <w:rsid w:val="00A10CA5"/>
    <w:rsid w:val="00A1137C"/>
    <w:rsid w:val="00A113D7"/>
    <w:rsid w:val="00A11F0F"/>
    <w:rsid w:val="00A12A73"/>
    <w:rsid w:val="00A15487"/>
    <w:rsid w:val="00A16126"/>
    <w:rsid w:val="00A21955"/>
    <w:rsid w:val="00A24133"/>
    <w:rsid w:val="00A24369"/>
    <w:rsid w:val="00A262BF"/>
    <w:rsid w:val="00A27809"/>
    <w:rsid w:val="00A30533"/>
    <w:rsid w:val="00A308A4"/>
    <w:rsid w:val="00A317B0"/>
    <w:rsid w:val="00A32E96"/>
    <w:rsid w:val="00A34591"/>
    <w:rsid w:val="00A34E44"/>
    <w:rsid w:val="00A3640F"/>
    <w:rsid w:val="00A36696"/>
    <w:rsid w:val="00A40180"/>
    <w:rsid w:val="00A40CE2"/>
    <w:rsid w:val="00A432BB"/>
    <w:rsid w:val="00A43393"/>
    <w:rsid w:val="00A4450A"/>
    <w:rsid w:val="00A45BB8"/>
    <w:rsid w:val="00A45DC0"/>
    <w:rsid w:val="00A46D4D"/>
    <w:rsid w:val="00A47176"/>
    <w:rsid w:val="00A475C5"/>
    <w:rsid w:val="00A4768C"/>
    <w:rsid w:val="00A500BE"/>
    <w:rsid w:val="00A50A68"/>
    <w:rsid w:val="00A50D3B"/>
    <w:rsid w:val="00A518AA"/>
    <w:rsid w:val="00A53049"/>
    <w:rsid w:val="00A53723"/>
    <w:rsid w:val="00A53B55"/>
    <w:rsid w:val="00A53FAE"/>
    <w:rsid w:val="00A54A90"/>
    <w:rsid w:val="00A551E5"/>
    <w:rsid w:val="00A56348"/>
    <w:rsid w:val="00A5703F"/>
    <w:rsid w:val="00A57D39"/>
    <w:rsid w:val="00A6057E"/>
    <w:rsid w:val="00A60972"/>
    <w:rsid w:val="00A6316B"/>
    <w:rsid w:val="00A63330"/>
    <w:rsid w:val="00A641AB"/>
    <w:rsid w:val="00A65316"/>
    <w:rsid w:val="00A6551B"/>
    <w:rsid w:val="00A674FF"/>
    <w:rsid w:val="00A67BD1"/>
    <w:rsid w:val="00A70F69"/>
    <w:rsid w:val="00A72611"/>
    <w:rsid w:val="00A731F7"/>
    <w:rsid w:val="00A73ABB"/>
    <w:rsid w:val="00A756ED"/>
    <w:rsid w:val="00A76D2C"/>
    <w:rsid w:val="00A77746"/>
    <w:rsid w:val="00A77BFD"/>
    <w:rsid w:val="00A80673"/>
    <w:rsid w:val="00A806AA"/>
    <w:rsid w:val="00A81FE1"/>
    <w:rsid w:val="00A83BF6"/>
    <w:rsid w:val="00A8512C"/>
    <w:rsid w:val="00A85CAE"/>
    <w:rsid w:val="00A87059"/>
    <w:rsid w:val="00A87F31"/>
    <w:rsid w:val="00A90210"/>
    <w:rsid w:val="00A90D27"/>
    <w:rsid w:val="00A9103B"/>
    <w:rsid w:val="00A91284"/>
    <w:rsid w:val="00A91411"/>
    <w:rsid w:val="00A918A7"/>
    <w:rsid w:val="00A92871"/>
    <w:rsid w:val="00A9332D"/>
    <w:rsid w:val="00A93BDC"/>
    <w:rsid w:val="00A95564"/>
    <w:rsid w:val="00A955EB"/>
    <w:rsid w:val="00A968AD"/>
    <w:rsid w:val="00AA1F49"/>
    <w:rsid w:val="00AA2CE1"/>
    <w:rsid w:val="00AA3A2E"/>
    <w:rsid w:val="00AA4099"/>
    <w:rsid w:val="00AA43DD"/>
    <w:rsid w:val="00AA455A"/>
    <w:rsid w:val="00AA4FD2"/>
    <w:rsid w:val="00AA5B9A"/>
    <w:rsid w:val="00AA6913"/>
    <w:rsid w:val="00AA7DF8"/>
    <w:rsid w:val="00AB1177"/>
    <w:rsid w:val="00AB13FF"/>
    <w:rsid w:val="00AB2190"/>
    <w:rsid w:val="00AB36D1"/>
    <w:rsid w:val="00AB3979"/>
    <w:rsid w:val="00AB39EB"/>
    <w:rsid w:val="00AB3F27"/>
    <w:rsid w:val="00AB3FD9"/>
    <w:rsid w:val="00AB4E90"/>
    <w:rsid w:val="00AB53F3"/>
    <w:rsid w:val="00AB64CB"/>
    <w:rsid w:val="00AB7DE7"/>
    <w:rsid w:val="00AC142C"/>
    <w:rsid w:val="00AC1BE7"/>
    <w:rsid w:val="00AC275F"/>
    <w:rsid w:val="00AC4A23"/>
    <w:rsid w:val="00AC50A4"/>
    <w:rsid w:val="00AC5A95"/>
    <w:rsid w:val="00AC6074"/>
    <w:rsid w:val="00AC6471"/>
    <w:rsid w:val="00AC7FA1"/>
    <w:rsid w:val="00AD1751"/>
    <w:rsid w:val="00AD2B6E"/>
    <w:rsid w:val="00AD3443"/>
    <w:rsid w:val="00AD348A"/>
    <w:rsid w:val="00AD3C17"/>
    <w:rsid w:val="00AD4B3C"/>
    <w:rsid w:val="00AD5BF6"/>
    <w:rsid w:val="00AD5E25"/>
    <w:rsid w:val="00AD68A5"/>
    <w:rsid w:val="00AD6A68"/>
    <w:rsid w:val="00AD702E"/>
    <w:rsid w:val="00AD7196"/>
    <w:rsid w:val="00AE185D"/>
    <w:rsid w:val="00AE1BFE"/>
    <w:rsid w:val="00AE1C03"/>
    <w:rsid w:val="00AE2320"/>
    <w:rsid w:val="00AE3842"/>
    <w:rsid w:val="00AE3D83"/>
    <w:rsid w:val="00AE4374"/>
    <w:rsid w:val="00AE485C"/>
    <w:rsid w:val="00AE5A50"/>
    <w:rsid w:val="00AE72B7"/>
    <w:rsid w:val="00AE73C9"/>
    <w:rsid w:val="00AE7D4F"/>
    <w:rsid w:val="00AE7FE4"/>
    <w:rsid w:val="00AF17D3"/>
    <w:rsid w:val="00AF1D77"/>
    <w:rsid w:val="00AF38BA"/>
    <w:rsid w:val="00AF4F67"/>
    <w:rsid w:val="00AF55C4"/>
    <w:rsid w:val="00AF5811"/>
    <w:rsid w:val="00AF61F7"/>
    <w:rsid w:val="00AF6509"/>
    <w:rsid w:val="00AF684D"/>
    <w:rsid w:val="00AF6E06"/>
    <w:rsid w:val="00AF6F37"/>
    <w:rsid w:val="00B002DE"/>
    <w:rsid w:val="00B00BBE"/>
    <w:rsid w:val="00B00E38"/>
    <w:rsid w:val="00B02C59"/>
    <w:rsid w:val="00B0456E"/>
    <w:rsid w:val="00B05C22"/>
    <w:rsid w:val="00B06A05"/>
    <w:rsid w:val="00B06BF6"/>
    <w:rsid w:val="00B06F7F"/>
    <w:rsid w:val="00B0715C"/>
    <w:rsid w:val="00B100F0"/>
    <w:rsid w:val="00B12DE8"/>
    <w:rsid w:val="00B13466"/>
    <w:rsid w:val="00B1402E"/>
    <w:rsid w:val="00B14865"/>
    <w:rsid w:val="00B162E5"/>
    <w:rsid w:val="00B17EDC"/>
    <w:rsid w:val="00B2197F"/>
    <w:rsid w:val="00B21D50"/>
    <w:rsid w:val="00B2258E"/>
    <w:rsid w:val="00B22A77"/>
    <w:rsid w:val="00B22F9B"/>
    <w:rsid w:val="00B23747"/>
    <w:rsid w:val="00B23A29"/>
    <w:rsid w:val="00B23AC9"/>
    <w:rsid w:val="00B23B0B"/>
    <w:rsid w:val="00B24090"/>
    <w:rsid w:val="00B24FFE"/>
    <w:rsid w:val="00B25486"/>
    <w:rsid w:val="00B257E3"/>
    <w:rsid w:val="00B25DC3"/>
    <w:rsid w:val="00B260C7"/>
    <w:rsid w:val="00B261C0"/>
    <w:rsid w:val="00B26BA6"/>
    <w:rsid w:val="00B27494"/>
    <w:rsid w:val="00B279B9"/>
    <w:rsid w:val="00B27BFD"/>
    <w:rsid w:val="00B27DCA"/>
    <w:rsid w:val="00B3124F"/>
    <w:rsid w:val="00B32F1A"/>
    <w:rsid w:val="00B349BA"/>
    <w:rsid w:val="00B34F48"/>
    <w:rsid w:val="00B354BC"/>
    <w:rsid w:val="00B36DBA"/>
    <w:rsid w:val="00B37D3B"/>
    <w:rsid w:val="00B40214"/>
    <w:rsid w:val="00B40CBA"/>
    <w:rsid w:val="00B41746"/>
    <w:rsid w:val="00B445CB"/>
    <w:rsid w:val="00B4486F"/>
    <w:rsid w:val="00B51BA0"/>
    <w:rsid w:val="00B52C89"/>
    <w:rsid w:val="00B530C7"/>
    <w:rsid w:val="00B53278"/>
    <w:rsid w:val="00B535BD"/>
    <w:rsid w:val="00B53701"/>
    <w:rsid w:val="00B53E1F"/>
    <w:rsid w:val="00B547C0"/>
    <w:rsid w:val="00B5543D"/>
    <w:rsid w:val="00B55D24"/>
    <w:rsid w:val="00B56A26"/>
    <w:rsid w:val="00B56DA3"/>
    <w:rsid w:val="00B5729B"/>
    <w:rsid w:val="00B60EB5"/>
    <w:rsid w:val="00B6110A"/>
    <w:rsid w:val="00B6176A"/>
    <w:rsid w:val="00B6301A"/>
    <w:rsid w:val="00B63DAC"/>
    <w:rsid w:val="00B649DC"/>
    <w:rsid w:val="00B64CAD"/>
    <w:rsid w:val="00B66751"/>
    <w:rsid w:val="00B66907"/>
    <w:rsid w:val="00B67AA6"/>
    <w:rsid w:val="00B70272"/>
    <w:rsid w:val="00B7066C"/>
    <w:rsid w:val="00B7149F"/>
    <w:rsid w:val="00B717D8"/>
    <w:rsid w:val="00B72DF3"/>
    <w:rsid w:val="00B73739"/>
    <w:rsid w:val="00B74146"/>
    <w:rsid w:val="00B7439C"/>
    <w:rsid w:val="00B74F5D"/>
    <w:rsid w:val="00B7580E"/>
    <w:rsid w:val="00B75A33"/>
    <w:rsid w:val="00B75FFB"/>
    <w:rsid w:val="00B76A4E"/>
    <w:rsid w:val="00B76CE4"/>
    <w:rsid w:val="00B76F6C"/>
    <w:rsid w:val="00B778AC"/>
    <w:rsid w:val="00B77A01"/>
    <w:rsid w:val="00B8080B"/>
    <w:rsid w:val="00B811EF"/>
    <w:rsid w:val="00B81ECC"/>
    <w:rsid w:val="00B835D4"/>
    <w:rsid w:val="00B842A3"/>
    <w:rsid w:val="00B85F4D"/>
    <w:rsid w:val="00B860E3"/>
    <w:rsid w:val="00B86EF1"/>
    <w:rsid w:val="00B90674"/>
    <w:rsid w:val="00B917E0"/>
    <w:rsid w:val="00B934E3"/>
    <w:rsid w:val="00B94323"/>
    <w:rsid w:val="00B95157"/>
    <w:rsid w:val="00B9566B"/>
    <w:rsid w:val="00B95E0A"/>
    <w:rsid w:val="00B961B7"/>
    <w:rsid w:val="00B963D4"/>
    <w:rsid w:val="00B97274"/>
    <w:rsid w:val="00B9772B"/>
    <w:rsid w:val="00B97805"/>
    <w:rsid w:val="00B97968"/>
    <w:rsid w:val="00BA2DEF"/>
    <w:rsid w:val="00BA3CFF"/>
    <w:rsid w:val="00BA42FB"/>
    <w:rsid w:val="00BA4768"/>
    <w:rsid w:val="00BA516F"/>
    <w:rsid w:val="00BA628C"/>
    <w:rsid w:val="00BA7059"/>
    <w:rsid w:val="00BB0051"/>
    <w:rsid w:val="00BB02C6"/>
    <w:rsid w:val="00BB1082"/>
    <w:rsid w:val="00BB2127"/>
    <w:rsid w:val="00BB3805"/>
    <w:rsid w:val="00BB3F15"/>
    <w:rsid w:val="00BB52A5"/>
    <w:rsid w:val="00BB60B0"/>
    <w:rsid w:val="00BB6273"/>
    <w:rsid w:val="00BB6740"/>
    <w:rsid w:val="00BB7EA1"/>
    <w:rsid w:val="00BB7F81"/>
    <w:rsid w:val="00BC1209"/>
    <w:rsid w:val="00BC16DC"/>
    <w:rsid w:val="00BC1E9A"/>
    <w:rsid w:val="00BC1F52"/>
    <w:rsid w:val="00BC207D"/>
    <w:rsid w:val="00BC269B"/>
    <w:rsid w:val="00BC27D2"/>
    <w:rsid w:val="00BC335B"/>
    <w:rsid w:val="00BC54AE"/>
    <w:rsid w:val="00BC663B"/>
    <w:rsid w:val="00BC7947"/>
    <w:rsid w:val="00BC797C"/>
    <w:rsid w:val="00BD1A6F"/>
    <w:rsid w:val="00BD35E1"/>
    <w:rsid w:val="00BD54FC"/>
    <w:rsid w:val="00BD63C3"/>
    <w:rsid w:val="00BD67CE"/>
    <w:rsid w:val="00BD6972"/>
    <w:rsid w:val="00BD76A4"/>
    <w:rsid w:val="00BD7D80"/>
    <w:rsid w:val="00BE163B"/>
    <w:rsid w:val="00BE1C8A"/>
    <w:rsid w:val="00BE2121"/>
    <w:rsid w:val="00BE4089"/>
    <w:rsid w:val="00BE480F"/>
    <w:rsid w:val="00BE4857"/>
    <w:rsid w:val="00BE55D7"/>
    <w:rsid w:val="00BE5701"/>
    <w:rsid w:val="00BE5847"/>
    <w:rsid w:val="00BE5BE0"/>
    <w:rsid w:val="00BE70E8"/>
    <w:rsid w:val="00BF0E76"/>
    <w:rsid w:val="00BF19DC"/>
    <w:rsid w:val="00BF2210"/>
    <w:rsid w:val="00BF2527"/>
    <w:rsid w:val="00BF2B3E"/>
    <w:rsid w:val="00BF2DAF"/>
    <w:rsid w:val="00BF4E1B"/>
    <w:rsid w:val="00BF5532"/>
    <w:rsid w:val="00BF582C"/>
    <w:rsid w:val="00BF6AF7"/>
    <w:rsid w:val="00BF71EF"/>
    <w:rsid w:val="00C00A3D"/>
    <w:rsid w:val="00C023AF"/>
    <w:rsid w:val="00C0480F"/>
    <w:rsid w:val="00C05E74"/>
    <w:rsid w:val="00C07777"/>
    <w:rsid w:val="00C1043C"/>
    <w:rsid w:val="00C11E28"/>
    <w:rsid w:val="00C12A51"/>
    <w:rsid w:val="00C12CD1"/>
    <w:rsid w:val="00C157DD"/>
    <w:rsid w:val="00C1591E"/>
    <w:rsid w:val="00C163C8"/>
    <w:rsid w:val="00C20241"/>
    <w:rsid w:val="00C20D36"/>
    <w:rsid w:val="00C21038"/>
    <w:rsid w:val="00C215C0"/>
    <w:rsid w:val="00C217B4"/>
    <w:rsid w:val="00C225C8"/>
    <w:rsid w:val="00C2396B"/>
    <w:rsid w:val="00C261AC"/>
    <w:rsid w:val="00C264DD"/>
    <w:rsid w:val="00C270CF"/>
    <w:rsid w:val="00C2785F"/>
    <w:rsid w:val="00C27EF5"/>
    <w:rsid w:val="00C30BA6"/>
    <w:rsid w:val="00C31467"/>
    <w:rsid w:val="00C33469"/>
    <w:rsid w:val="00C337DB"/>
    <w:rsid w:val="00C34CCB"/>
    <w:rsid w:val="00C34D57"/>
    <w:rsid w:val="00C35515"/>
    <w:rsid w:val="00C35807"/>
    <w:rsid w:val="00C35A4B"/>
    <w:rsid w:val="00C36696"/>
    <w:rsid w:val="00C36720"/>
    <w:rsid w:val="00C37518"/>
    <w:rsid w:val="00C37F00"/>
    <w:rsid w:val="00C37FC7"/>
    <w:rsid w:val="00C40289"/>
    <w:rsid w:val="00C421C9"/>
    <w:rsid w:val="00C42A3A"/>
    <w:rsid w:val="00C42F62"/>
    <w:rsid w:val="00C4517F"/>
    <w:rsid w:val="00C45232"/>
    <w:rsid w:val="00C46C49"/>
    <w:rsid w:val="00C46E3D"/>
    <w:rsid w:val="00C46E94"/>
    <w:rsid w:val="00C51FA9"/>
    <w:rsid w:val="00C52BA5"/>
    <w:rsid w:val="00C53323"/>
    <w:rsid w:val="00C53600"/>
    <w:rsid w:val="00C54D8C"/>
    <w:rsid w:val="00C62A55"/>
    <w:rsid w:val="00C63874"/>
    <w:rsid w:val="00C66CEF"/>
    <w:rsid w:val="00C670FE"/>
    <w:rsid w:val="00C71087"/>
    <w:rsid w:val="00C71E3C"/>
    <w:rsid w:val="00C75492"/>
    <w:rsid w:val="00C75B2D"/>
    <w:rsid w:val="00C77C78"/>
    <w:rsid w:val="00C81332"/>
    <w:rsid w:val="00C8146C"/>
    <w:rsid w:val="00C818FD"/>
    <w:rsid w:val="00C82A64"/>
    <w:rsid w:val="00C82D22"/>
    <w:rsid w:val="00C845B0"/>
    <w:rsid w:val="00C846DD"/>
    <w:rsid w:val="00C8516E"/>
    <w:rsid w:val="00C85CA6"/>
    <w:rsid w:val="00C872E8"/>
    <w:rsid w:val="00C9147E"/>
    <w:rsid w:val="00C919EB"/>
    <w:rsid w:val="00C925ED"/>
    <w:rsid w:val="00C929E3"/>
    <w:rsid w:val="00C9339F"/>
    <w:rsid w:val="00C95725"/>
    <w:rsid w:val="00C96A10"/>
    <w:rsid w:val="00C9753B"/>
    <w:rsid w:val="00CA0C87"/>
    <w:rsid w:val="00CA19CD"/>
    <w:rsid w:val="00CA43CE"/>
    <w:rsid w:val="00CA4A62"/>
    <w:rsid w:val="00CA561E"/>
    <w:rsid w:val="00CA659E"/>
    <w:rsid w:val="00CB23DD"/>
    <w:rsid w:val="00CB2757"/>
    <w:rsid w:val="00CB2FE7"/>
    <w:rsid w:val="00CB30CA"/>
    <w:rsid w:val="00CB3B57"/>
    <w:rsid w:val="00CB42AE"/>
    <w:rsid w:val="00CB6768"/>
    <w:rsid w:val="00CC111E"/>
    <w:rsid w:val="00CC14FC"/>
    <w:rsid w:val="00CC17DB"/>
    <w:rsid w:val="00CC2F01"/>
    <w:rsid w:val="00CC6453"/>
    <w:rsid w:val="00CD07C8"/>
    <w:rsid w:val="00CD26EA"/>
    <w:rsid w:val="00CD2D8A"/>
    <w:rsid w:val="00CD31EA"/>
    <w:rsid w:val="00CD58A0"/>
    <w:rsid w:val="00CD63CF"/>
    <w:rsid w:val="00CD692F"/>
    <w:rsid w:val="00CD6AB1"/>
    <w:rsid w:val="00CD6E0E"/>
    <w:rsid w:val="00CD76E4"/>
    <w:rsid w:val="00CE0392"/>
    <w:rsid w:val="00CE069A"/>
    <w:rsid w:val="00CE20A8"/>
    <w:rsid w:val="00CE2E72"/>
    <w:rsid w:val="00CE320A"/>
    <w:rsid w:val="00CE3A1B"/>
    <w:rsid w:val="00CE4301"/>
    <w:rsid w:val="00CE5162"/>
    <w:rsid w:val="00CE5481"/>
    <w:rsid w:val="00CE5866"/>
    <w:rsid w:val="00CE6F85"/>
    <w:rsid w:val="00CF0045"/>
    <w:rsid w:val="00CF01AA"/>
    <w:rsid w:val="00CF08E6"/>
    <w:rsid w:val="00CF421E"/>
    <w:rsid w:val="00CF5413"/>
    <w:rsid w:val="00CF7194"/>
    <w:rsid w:val="00CF7C90"/>
    <w:rsid w:val="00CF7CA3"/>
    <w:rsid w:val="00CF7EA0"/>
    <w:rsid w:val="00D00600"/>
    <w:rsid w:val="00D028B1"/>
    <w:rsid w:val="00D0329F"/>
    <w:rsid w:val="00D0510B"/>
    <w:rsid w:val="00D05F0A"/>
    <w:rsid w:val="00D06299"/>
    <w:rsid w:val="00D0718E"/>
    <w:rsid w:val="00D07F46"/>
    <w:rsid w:val="00D1045D"/>
    <w:rsid w:val="00D133AA"/>
    <w:rsid w:val="00D13B0B"/>
    <w:rsid w:val="00D13CCF"/>
    <w:rsid w:val="00D14CF7"/>
    <w:rsid w:val="00D15E67"/>
    <w:rsid w:val="00D166F1"/>
    <w:rsid w:val="00D16880"/>
    <w:rsid w:val="00D17C27"/>
    <w:rsid w:val="00D20ABB"/>
    <w:rsid w:val="00D21762"/>
    <w:rsid w:val="00D21801"/>
    <w:rsid w:val="00D236F7"/>
    <w:rsid w:val="00D240FE"/>
    <w:rsid w:val="00D24AEE"/>
    <w:rsid w:val="00D26A33"/>
    <w:rsid w:val="00D27235"/>
    <w:rsid w:val="00D3073E"/>
    <w:rsid w:val="00D31676"/>
    <w:rsid w:val="00D316C8"/>
    <w:rsid w:val="00D31AFE"/>
    <w:rsid w:val="00D33228"/>
    <w:rsid w:val="00D337D5"/>
    <w:rsid w:val="00D3454B"/>
    <w:rsid w:val="00D34817"/>
    <w:rsid w:val="00D36002"/>
    <w:rsid w:val="00D365BB"/>
    <w:rsid w:val="00D3795A"/>
    <w:rsid w:val="00D37AB5"/>
    <w:rsid w:val="00D40C74"/>
    <w:rsid w:val="00D43282"/>
    <w:rsid w:val="00D43EA4"/>
    <w:rsid w:val="00D44508"/>
    <w:rsid w:val="00D47810"/>
    <w:rsid w:val="00D5128E"/>
    <w:rsid w:val="00D51BA5"/>
    <w:rsid w:val="00D52FD0"/>
    <w:rsid w:val="00D54385"/>
    <w:rsid w:val="00D60E1E"/>
    <w:rsid w:val="00D6259C"/>
    <w:rsid w:val="00D63586"/>
    <w:rsid w:val="00D638D3"/>
    <w:rsid w:val="00D63B91"/>
    <w:rsid w:val="00D64A4A"/>
    <w:rsid w:val="00D6679C"/>
    <w:rsid w:val="00D66A79"/>
    <w:rsid w:val="00D717FE"/>
    <w:rsid w:val="00D721D4"/>
    <w:rsid w:val="00D72370"/>
    <w:rsid w:val="00D73EE6"/>
    <w:rsid w:val="00D742D2"/>
    <w:rsid w:val="00D744DC"/>
    <w:rsid w:val="00D74F43"/>
    <w:rsid w:val="00D75CF7"/>
    <w:rsid w:val="00D75F59"/>
    <w:rsid w:val="00D776C3"/>
    <w:rsid w:val="00D80153"/>
    <w:rsid w:val="00D819E8"/>
    <w:rsid w:val="00D81AC7"/>
    <w:rsid w:val="00D81CBC"/>
    <w:rsid w:val="00D81DAD"/>
    <w:rsid w:val="00D8366F"/>
    <w:rsid w:val="00D8495C"/>
    <w:rsid w:val="00D86737"/>
    <w:rsid w:val="00D8696A"/>
    <w:rsid w:val="00D90C33"/>
    <w:rsid w:val="00D9153B"/>
    <w:rsid w:val="00D9154A"/>
    <w:rsid w:val="00D93E2F"/>
    <w:rsid w:val="00D942DE"/>
    <w:rsid w:val="00D95903"/>
    <w:rsid w:val="00D95D78"/>
    <w:rsid w:val="00D96D5D"/>
    <w:rsid w:val="00DA0810"/>
    <w:rsid w:val="00DA23B3"/>
    <w:rsid w:val="00DA3B5B"/>
    <w:rsid w:val="00DA3FCE"/>
    <w:rsid w:val="00DA47DE"/>
    <w:rsid w:val="00DB0449"/>
    <w:rsid w:val="00DB2989"/>
    <w:rsid w:val="00DB2A23"/>
    <w:rsid w:val="00DB4203"/>
    <w:rsid w:val="00DB46B7"/>
    <w:rsid w:val="00DB568D"/>
    <w:rsid w:val="00DB64A0"/>
    <w:rsid w:val="00DB660B"/>
    <w:rsid w:val="00DB6C25"/>
    <w:rsid w:val="00DB7920"/>
    <w:rsid w:val="00DB7CA1"/>
    <w:rsid w:val="00DC25DA"/>
    <w:rsid w:val="00DC4A4C"/>
    <w:rsid w:val="00DC4C59"/>
    <w:rsid w:val="00DC5149"/>
    <w:rsid w:val="00DC53CC"/>
    <w:rsid w:val="00DC6D1A"/>
    <w:rsid w:val="00DC70E8"/>
    <w:rsid w:val="00DD159D"/>
    <w:rsid w:val="00DD1B88"/>
    <w:rsid w:val="00DD3C08"/>
    <w:rsid w:val="00DE0476"/>
    <w:rsid w:val="00DE274C"/>
    <w:rsid w:val="00DE2AAC"/>
    <w:rsid w:val="00DE4961"/>
    <w:rsid w:val="00DE6919"/>
    <w:rsid w:val="00DF0A34"/>
    <w:rsid w:val="00DF1125"/>
    <w:rsid w:val="00DF152C"/>
    <w:rsid w:val="00DF27AC"/>
    <w:rsid w:val="00DF28E7"/>
    <w:rsid w:val="00DF2FAE"/>
    <w:rsid w:val="00DF3925"/>
    <w:rsid w:val="00DF399A"/>
    <w:rsid w:val="00DF59AA"/>
    <w:rsid w:val="00DF6280"/>
    <w:rsid w:val="00DF638F"/>
    <w:rsid w:val="00DF7B14"/>
    <w:rsid w:val="00E00009"/>
    <w:rsid w:val="00E01EF4"/>
    <w:rsid w:val="00E02CF2"/>
    <w:rsid w:val="00E04094"/>
    <w:rsid w:val="00E04947"/>
    <w:rsid w:val="00E04D65"/>
    <w:rsid w:val="00E06176"/>
    <w:rsid w:val="00E069F7"/>
    <w:rsid w:val="00E06C35"/>
    <w:rsid w:val="00E0710D"/>
    <w:rsid w:val="00E07B9F"/>
    <w:rsid w:val="00E07F71"/>
    <w:rsid w:val="00E114D8"/>
    <w:rsid w:val="00E1347F"/>
    <w:rsid w:val="00E14D19"/>
    <w:rsid w:val="00E1577D"/>
    <w:rsid w:val="00E1621B"/>
    <w:rsid w:val="00E16347"/>
    <w:rsid w:val="00E21114"/>
    <w:rsid w:val="00E22B84"/>
    <w:rsid w:val="00E2393A"/>
    <w:rsid w:val="00E26045"/>
    <w:rsid w:val="00E26BDB"/>
    <w:rsid w:val="00E27304"/>
    <w:rsid w:val="00E3214D"/>
    <w:rsid w:val="00E33741"/>
    <w:rsid w:val="00E337F5"/>
    <w:rsid w:val="00E339E4"/>
    <w:rsid w:val="00E34EBC"/>
    <w:rsid w:val="00E37211"/>
    <w:rsid w:val="00E37848"/>
    <w:rsid w:val="00E4034D"/>
    <w:rsid w:val="00E404B3"/>
    <w:rsid w:val="00E41EE7"/>
    <w:rsid w:val="00E42084"/>
    <w:rsid w:val="00E44854"/>
    <w:rsid w:val="00E44EF8"/>
    <w:rsid w:val="00E46D7F"/>
    <w:rsid w:val="00E50E32"/>
    <w:rsid w:val="00E523C5"/>
    <w:rsid w:val="00E5356E"/>
    <w:rsid w:val="00E55808"/>
    <w:rsid w:val="00E559EA"/>
    <w:rsid w:val="00E5696D"/>
    <w:rsid w:val="00E56E45"/>
    <w:rsid w:val="00E6161C"/>
    <w:rsid w:val="00E62C55"/>
    <w:rsid w:val="00E62DEC"/>
    <w:rsid w:val="00E63233"/>
    <w:rsid w:val="00E63A35"/>
    <w:rsid w:val="00E64DA5"/>
    <w:rsid w:val="00E65F8A"/>
    <w:rsid w:val="00E66ECB"/>
    <w:rsid w:val="00E67486"/>
    <w:rsid w:val="00E727CE"/>
    <w:rsid w:val="00E749E1"/>
    <w:rsid w:val="00E754A7"/>
    <w:rsid w:val="00E8007A"/>
    <w:rsid w:val="00E80578"/>
    <w:rsid w:val="00E80B43"/>
    <w:rsid w:val="00E815DA"/>
    <w:rsid w:val="00E82C91"/>
    <w:rsid w:val="00E833CB"/>
    <w:rsid w:val="00E83995"/>
    <w:rsid w:val="00E83CBA"/>
    <w:rsid w:val="00E83CC0"/>
    <w:rsid w:val="00E83D2E"/>
    <w:rsid w:val="00E83FB2"/>
    <w:rsid w:val="00E86D5C"/>
    <w:rsid w:val="00E90615"/>
    <w:rsid w:val="00E91FE0"/>
    <w:rsid w:val="00E92BFB"/>
    <w:rsid w:val="00E94C15"/>
    <w:rsid w:val="00E95AC2"/>
    <w:rsid w:val="00E96ACB"/>
    <w:rsid w:val="00E97167"/>
    <w:rsid w:val="00E977F4"/>
    <w:rsid w:val="00E97DB8"/>
    <w:rsid w:val="00E97DBB"/>
    <w:rsid w:val="00EA0169"/>
    <w:rsid w:val="00EA0187"/>
    <w:rsid w:val="00EA163F"/>
    <w:rsid w:val="00EA2093"/>
    <w:rsid w:val="00EA3781"/>
    <w:rsid w:val="00EA3DEE"/>
    <w:rsid w:val="00EA4A12"/>
    <w:rsid w:val="00EA5023"/>
    <w:rsid w:val="00EA50FC"/>
    <w:rsid w:val="00EA5841"/>
    <w:rsid w:val="00EA7061"/>
    <w:rsid w:val="00EB0B31"/>
    <w:rsid w:val="00EB13FE"/>
    <w:rsid w:val="00EB18E7"/>
    <w:rsid w:val="00EB254B"/>
    <w:rsid w:val="00EB39F1"/>
    <w:rsid w:val="00EB43E9"/>
    <w:rsid w:val="00EB472E"/>
    <w:rsid w:val="00EB5000"/>
    <w:rsid w:val="00EB507D"/>
    <w:rsid w:val="00EB5434"/>
    <w:rsid w:val="00EB5BCA"/>
    <w:rsid w:val="00EB5D6C"/>
    <w:rsid w:val="00EB6319"/>
    <w:rsid w:val="00EB6A9B"/>
    <w:rsid w:val="00EB76D6"/>
    <w:rsid w:val="00EC00F0"/>
    <w:rsid w:val="00EC0178"/>
    <w:rsid w:val="00EC049F"/>
    <w:rsid w:val="00EC05F3"/>
    <w:rsid w:val="00EC0800"/>
    <w:rsid w:val="00EC1566"/>
    <w:rsid w:val="00EC23AB"/>
    <w:rsid w:val="00EC262F"/>
    <w:rsid w:val="00EC288C"/>
    <w:rsid w:val="00EC7FA6"/>
    <w:rsid w:val="00ED024E"/>
    <w:rsid w:val="00ED0251"/>
    <w:rsid w:val="00ED04B2"/>
    <w:rsid w:val="00ED194C"/>
    <w:rsid w:val="00ED22BD"/>
    <w:rsid w:val="00ED2C26"/>
    <w:rsid w:val="00ED3175"/>
    <w:rsid w:val="00ED32FD"/>
    <w:rsid w:val="00ED3898"/>
    <w:rsid w:val="00ED4CF9"/>
    <w:rsid w:val="00ED5EC2"/>
    <w:rsid w:val="00ED637B"/>
    <w:rsid w:val="00EE03F3"/>
    <w:rsid w:val="00EE0674"/>
    <w:rsid w:val="00EE0DF2"/>
    <w:rsid w:val="00EE1CE5"/>
    <w:rsid w:val="00EE21DD"/>
    <w:rsid w:val="00EE38ED"/>
    <w:rsid w:val="00EE56DF"/>
    <w:rsid w:val="00EE75B4"/>
    <w:rsid w:val="00EF0501"/>
    <w:rsid w:val="00EF1A24"/>
    <w:rsid w:val="00EF1BF1"/>
    <w:rsid w:val="00EF5A20"/>
    <w:rsid w:val="00EF5DC5"/>
    <w:rsid w:val="00EF62FE"/>
    <w:rsid w:val="00EF71E1"/>
    <w:rsid w:val="00EF73A3"/>
    <w:rsid w:val="00F015BB"/>
    <w:rsid w:val="00F01BD5"/>
    <w:rsid w:val="00F0264E"/>
    <w:rsid w:val="00F04103"/>
    <w:rsid w:val="00F05EAF"/>
    <w:rsid w:val="00F06D7C"/>
    <w:rsid w:val="00F0790D"/>
    <w:rsid w:val="00F07A54"/>
    <w:rsid w:val="00F1049D"/>
    <w:rsid w:val="00F119F0"/>
    <w:rsid w:val="00F12530"/>
    <w:rsid w:val="00F125F1"/>
    <w:rsid w:val="00F13691"/>
    <w:rsid w:val="00F147FD"/>
    <w:rsid w:val="00F14EC3"/>
    <w:rsid w:val="00F15FC1"/>
    <w:rsid w:val="00F16689"/>
    <w:rsid w:val="00F16AB8"/>
    <w:rsid w:val="00F17762"/>
    <w:rsid w:val="00F2008D"/>
    <w:rsid w:val="00F23C5A"/>
    <w:rsid w:val="00F23E91"/>
    <w:rsid w:val="00F26AA7"/>
    <w:rsid w:val="00F277D4"/>
    <w:rsid w:val="00F31104"/>
    <w:rsid w:val="00F3167F"/>
    <w:rsid w:val="00F3344F"/>
    <w:rsid w:val="00F33905"/>
    <w:rsid w:val="00F33E65"/>
    <w:rsid w:val="00F34E93"/>
    <w:rsid w:val="00F34EC0"/>
    <w:rsid w:val="00F35680"/>
    <w:rsid w:val="00F41CEB"/>
    <w:rsid w:val="00F43246"/>
    <w:rsid w:val="00F4474B"/>
    <w:rsid w:val="00F452F7"/>
    <w:rsid w:val="00F456B3"/>
    <w:rsid w:val="00F45B90"/>
    <w:rsid w:val="00F46466"/>
    <w:rsid w:val="00F47C1C"/>
    <w:rsid w:val="00F50884"/>
    <w:rsid w:val="00F513E5"/>
    <w:rsid w:val="00F5219B"/>
    <w:rsid w:val="00F5241C"/>
    <w:rsid w:val="00F52DB3"/>
    <w:rsid w:val="00F53138"/>
    <w:rsid w:val="00F534C0"/>
    <w:rsid w:val="00F54690"/>
    <w:rsid w:val="00F54930"/>
    <w:rsid w:val="00F55192"/>
    <w:rsid w:val="00F5523B"/>
    <w:rsid w:val="00F55A53"/>
    <w:rsid w:val="00F55B96"/>
    <w:rsid w:val="00F56188"/>
    <w:rsid w:val="00F56CED"/>
    <w:rsid w:val="00F623B6"/>
    <w:rsid w:val="00F624F6"/>
    <w:rsid w:val="00F6280F"/>
    <w:rsid w:val="00F62819"/>
    <w:rsid w:val="00F6304D"/>
    <w:rsid w:val="00F6394B"/>
    <w:rsid w:val="00F6653B"/>
    <w:rsid w:val="00F708D9"/>
    <w:rsid w:val="00F715B9"/>
    <w:rsid w:val="00F71AAF"/>
    <w:rsid w:val="00F71EB7"/>
    <w:rsid w:val="00F720FB"/>
    <w:rsid w:val="00F721C2"/>
    <w:rsid w:val="00F7389B"/>
    <w:rsid w:val="00F80602"/>
    <w:rsid w:val="00F81376"/>
    <w:rsid w:val="00F82A37"/>
    <w:rsid w:val="00F82BC8"/>
    <w:rsid w:val="00F84C20"/>
    <w:rsid w:val="00F86821"/>
    <w:rsid w:val="00F904C9"/>
    <w:rsid w:val="00F91606"/>
    <w:rsid w:val="00F92112"/>
    <w:rsid w:val="00F9230A"/>
    <w:rsid w:val="00F92366"/>
    <w:rsid w:val="00F92753"/>
    <w:rsid w:val="00F94402"/>
    <w:rsid w:val="00F947A1"/>
    <w:rsid w:val="00F951B4"/>
    <w:rsid w:val="00F9598E"/>
    <w:rsid w:val="00F95A84"/>
    <w:rsid w:val="00F96B32"/>
    <w:rsid w:val="00F9735A"/>
    <w:rsid w:val="00F97A65"/>
    <w:rsid w:val="00FA0910"/>
    <w:rsid w:val="00FA1093"/>
    <w:rsid w:val="00FA267E"/>
    <w:rsid w:val="00FA3439"/>
    <w:rsid w:val="00FA42F4"/>
    <w:rsid w:val="00FA4B73"/>
    <w:rsid w:val="00FA6502"/>
    <w:rsid w:val="00FA67F4"/>
    <w:rsid w:val="00FB0730"/>
    <w:rsid w:val="00FB0BC1"/>
    <w:rsid w:val="00FB14A0"/>
    <w:rsid w:val="00FB2496"/>
    <w:rsid w:val="00FB30D9"/>
    <w:rsid w:val="00FB3C2B"/>
    <w:rsid w:val="00FB43AC"/>
    <w:rsid w:val="00FB4E4A"/>
    <w:rsid w:val="00FB5B60"/>
    <w:rsid w:val="00FB6588"/>
    <w:rsid w:val="00FB6D3A"/>
    <w:rsid w:val="00FB7924"/>
    <w:rsid w:val="00FB7F35"/>
    <w:rsid w:val="00FC11D6"/>
    <w:rsid w:val="00FC48DD"/>
    <w:rsid w:val="00FC569E"/>
    <w:rsid w:val="00FC67E5"/>
    <w:rsid w:val="00FC6A47"/>
    <w:rsid w:val="00FC6BFF"/>
    <w:rsid w:val="00FC7E85"/>
    <w:rsid w:val="00FD04EB"/>
    <w:rsid w:val="00FD1036"/>
    <w:rsid w:val="00FD10F6"/>
    <w:rsid w:val="00FD131D"/>
    <w:rsid w:val="00FD28AF"/>
    <w:rsid w:val="00FD3EC1"/>
    <w:rsid w:val="00FD44FE"/>
    <w:rsid w:val="00FD5177"/>
    <w:rsid w:val="00FD72B6"/>
    <w:rsid w:val="00FE256F"/>
    <w:rsid w:val="00FE35E1"/>
    <w:rsid w:val="00FE38CE"/>
    <w:rsid w:val="00FE57D3"/>
    <w:rsid w:val="00FE5FB2"/>
    <w:rsid w:val="00FE6D86"/>
    <w:rsid w:val="00FE6E04"/>
    <w:rsid w:val="00FE7037"/>
    <w:rsid w:val="00FE735A"/>
    <w:rsid w:val="00FE74A4"/>
    <w:rsid w:val="00FE7C8B"/>
    <w:rsid w:val="00FF0DA7"/>
    <w:rsid w:val="00FF25D2"/>
    <w:rsid w:val="00FF3276"/>
    <w:rsid w:val="00FF37AC"/>
    <w:rsid w:val="00FF5B26"/>
    <w:rsid w:val="00FF69CB"/>
    <w:rsid w:val="00FF6A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D4D3068"/>
  <w15:docId w15:val="{9FC05BF3-C12B-4427-AC80-49B96FAE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3B"/>
    <w:rPr>
      <w:lang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3">
    <w:name w:val="heading 3"/>
    <w:basedOn w:val="Normal"/>
    <w:next w:val="Normal"/>
    <w:link w:val="Heading3Char"/>
    <w:unhideWhenUsed/>
    <w:qFormat/>
    <w:locked/>
    <w:rsid w:val="00195AD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single space,fn,footnote text,ft,Footnote Text Char Char Char Char Char Char Char Char Char Char,Footnote Text Char Char Char Char Char Char Char Char Char Char Char Char,Footnote Text2,ft2,Footnote Text Char Char Char,FA F,FOOTNOTES,ADB,f"/>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arattere Carattere Char Char Char Carattere Cha"/>
    <w:link w:val="Char2"/>
    <w:uiPriority w:val="99"/>
    <w:qFormat/>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single space Char,fn Char,footnote text Char,ft Char,Footnote Text Char Char Char Char Char Char Char Char Char Char Char,Footnote Text Char Char Char Char Char Char Char Char Char Char Char Char Char,Footnote Text2 Char,ft2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
    <w:link w:val="ListParagraph"/>
    <w:uiPriority w:val="34"/>
    <w:locked/>
    <w:rsid w:val="009A4543"/>
    <w:rPr>
      <w:lang w:val="en-US" w:eastAsia="en-US"/>
    </w:rPr>
  </w:style>
  <w:style w:type="paragraph" w:styleId="Revision">
    <w:name w:val="Revision"/>
    <w:hidden/>
    <w:uiPriority w:val="99"/>
    <w:semiHidden/>
    <w:rsid w:val="0050228C"/>
    <w:rPr>
      <w:lang w:val="en-US" w:eastAsia="en-US"/>
    </w:rPr>
  </w:style>
  <w:style w:type="paragraph" w:customStyle="1" w:styleId="Char2">
    <w:name w:val="Char2"/>
    <w:basedOn w:val="Normal"/>
    <w:link w:val="FootnoteReference"/>
    <w:uiPriority w:val="99"/>
    <w:rsid w:val="003E5D5E"/>
    <w:pPr>
      <w:spacing w:after="160" w:line="240" w:lineRule="exact"/>
      <w:jc w:val="both"/>
    </w:pPr>
    <w:rPr>
      <w:vertAlign w:val="superscript"/>
      <w:lang w:eastAsia="en-GB"/>
    </w:rPr>
  </w:style>
  <w:style w:type="paragraph" w:styleId="NoSpacing">
    <w:name w:val="No Spacing"/>
    <w:link w:val="NoSpacingChar"/>
    <w:qFormat/>
    <w:rsid w:val="003E5D5E"/>
    <w:rPr>
      <w:rFonts w:ascii="Calibri" w:hAnsi="Calibri"/>
      <w:sz w:val="22"/>
      <w:szCs w:val="22"/>
      <w:lang w:val="en-US" w:eastAsia="en-US"/>
    </w:rPr>
  </w:style>
  <w:style w:type="character" w:customStyle="1" w:styleId="NoSpacingChar">
    <w:name w:val="No Spacing Char"/>
    <w:link w:val="NoSpacing"/>
    <w:rsid w:val="003E5D5E"/>
    <w:rPr>
      <w:rFonts w:ascii="Calibri" w:hAnsi="Calibri"/>
      <w:sz w:val="22"/>
      <w:szCs w:val="22"/>
      <w:lang w:val="en-US" w:eastAsia="en-US"/>
    </w:rPr>
  </w:style>
  <w:style w:type="paragraph" w:customStyle="1" w:styleId="NoSpacing1">
    <w:name w:val="No Spacing1"/>
    <w:qFormat/>
    <w:rsid w:val="0038374F"/>
    <w:rPr>
      <w:rFonts w:ascii="Calibri" w:hAnsi="Calibri" w:cs="Calibri"/>
      <w:sz w:val="22"/>
      <w:szCs w:val="22"/>
      <w:lang w:val="en-AU" w:eastAsia="en-US"/>
    </w:rPr>
  </w:style>
  <w:style w:type="character" w:styleId="FollowedHyperlink">
    <w:name w:val="FollowedHyperlink"/>
    <w:basedOn w:val="DefaultParagraphFont"/>
    <w:semiHidden/>
    <w:unhideWhenUsed/>
    <w:rsid w:val="004A1473"/>
    <w:rPr>
      <w:color w:val="800080" w:themeColor="followedHyperlink"/>
      <w:u w:val="single"/>
    </w:rPr>
  </w:style>
  <w:style w:type="paragraph" w:customStyle="1" w:styleId="Default">
    <w:name w:val="Default"/>
    <w:rsid w:val="00FE7037"/>
    <w:pPr>
      <w:autoSpaceDE w:val="0"/>
      <w:autoSpaceDN w:val="0"/>
      <w:adjustRightInd w:val="0"/>
    </w:pPr>
    <w:rPr>
      <w:color w:val="000000"/>
      <w:lang w:val="en-US"/>
    </w:rPr>
  </w:style>
  <w:style w:type="paragraph" w:styleId="NormalWeb">
    <w:name w:val="Normal (Web)"/>
    <w:aliases w:val=" Char"/>
    <w:basedOn w:val="Normal"/>
    <w:uiPriority w:val="99"/>
    <w:unhideWhenUsed/>
    <w:rsid w:val="00FE7037"/>
    <w:pPr>
      <w:spacing w:before="100" w:beforeAutospacing="1" w:after="100" w:afterAutospacing="1"/>
    </w:pPr>
    <w:rPr>
      <w:rFonts w:eastAsiaTheme="minorEastAsia"/>
      <w:lang w:val="de-DE" w:eastAsia="de-DE"/>
    </w:rPr>
  </w:style>
  <w:style w:type="character" w:customStyle="1" w:styleId="Heading3Char">
    <w:name w:val="Heading 3 Char"/>
    <w:basedOn w:val="DefaultParagraphFont"/>
    <w:link w:val="Heading3"/>
    <w:rsid w:val="00195AD8"/>
    <w:rPr>
      <w:rFonts w:asciiTheme="majorHAnsi" w:eastAsiaTheme="majorEastAsia" w:hAnsiTheme="majorHAnsi" w:cstheme="majorBidi"/>
      <w:color w:val="243F60" w:themeColor="accent1" w:themeShade="7F"/>
      <w:sz w:val="24"/>
      <w:szCs w:val="24"/>
      <w:lang w:val="en-US" w:eastAsia="en-US"/>
    </w:rPr>
  </w:style>
  <w:style w:type="character" w:customStyle="1" w:styleId="formatdata">
    <w:name w:val="format_data"/>
    <w:basedOn w:val="DefaultParagraphFont"/>
    <w:rsid w:val="00195AD8"/>
  </w:style>
  <w:style w:type="paragraph" w:customStyle="1" w:styleId="ADRText">
    <w:name w:val="ADR_Text"/>
    <w:basedOn w:val="Normal"/>
    <w:qFormat/>
    <w:rsid w:val="00862B9F"/>
    <w:pPr>
      <w:autoSpaceDE w:val="0"/>
      <w:autoSpaceDN w:val="0"/>
      <w:adjustRightInd w:val="0"/>
    </w:pPr>
    <w:rPr>
      <w:rFonts w:ascii="Calibri" w:hAnsi="Calibri"/>
      <w:sz w:val="22"/>
    </w:rPr>
  </w:style>
  <w:style w:type="paragraph" w:styleId="EndnoteText">
    <w:name w:val="endnote text"/>
    <w:basedOn w:val="Normal"/>
    <w:link w:val="EndnoteTextChar"/>
    <w:uiPriority w:val="99"/>
    <w:unhideWhenUsed/>
    <w:rsid w:val="00862B9F"/>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862B9F"/>
    <w:rPr>
      <w:rFonts w:asciiTheme="minorHAnsi" w:eastAsiaTheme="minorHAnsi" w:hAnsiTheme="minorHAnsi" w:cstheme="minorBidi"/>
      <w:lang w:val="en-US" w:eastAsia="en-US"/>
    </w:rPr>
  </w:style>
  <w:style w:type="character" w:styleId="EndnoteReference">
    <w:name w:val="endnote reference"/>
    <w:basedOn w:val="DefaultParagraphFont"/>
    <w:uiPriority w:val="99"/>
    <w:semiHidden/>
    <w:unhideWhenUsed/>
    <w:rsid w:val="00862B9F"/>
    <w:rPr>
      <w:vertAlign w:val="superscript"/>
    </w:rPr>
  </w:style>
  <w:style w:type="character" w:styleId="Emphasis">
    <w:name w:val="Emphasis"/>
    <w:basedOn w:val="DefaultParagraphFont"/>
    <w:uiPriority w:val="20"/>
    <w:qFormat/>
    <w:locked/>
    <w:rsid w:val="00CD26EA"/>
    <w:rPr>
      <w:i/>
      <w:iCs/>
    </w:rPr>
  </w:style>
  <w:style w:type="character" w:customStyle="1" w:styleId="apple-converted-space">
    <w:name w:val="apple-converted-space"/>
    <w:basedOn w:val="DefaultParagraphFont"/>
    <w:rsid w:val="00F50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09933316">
      <w:bodyDiv w:val="1"/>
      <w:marLeft w:val="0"/>
      <w:marRight w:val="0"/>
      <w:marTop w:val="0"/>
      <w:marBottom w:val="0"/>
      <w:divBdr>
        <w:top w:val="none" w:sz="0" w:space="0" w:color="auto"/>
        <w:left w:val="none" w:sz="0" w:space="0" w:color="auto"/>
        <w:bottom w:val="none" w:sz="0" w:space="0" w:color="auto"/>
        <w:right w:val="none" w:sz="0" w:space="0" w:color="auto"/>
      </w:divBdr>
    </w:div>
    <w:div w:id="229118345">
      <w:bodyDiv w:val="1"/>
      <w:marLeft w:val="0"/>
      <w:marRight w:val="0"/>
      <w:marTop w:val="0"/>
      <w:marBottom w:val="0"/>
      <w:divBdr>
        <w:top w:val="none" w:sz="0" w:space="0" w:color="auto"/>
        <w:left w:val="none" w:sz="0" w:space="0" w:color="auto"/>
        <w:bottom w:val="none" w:sz="0" w:space="0" w:color="auto"/>
        <w:right w:val="none" w:sz="0" w:space="0" w:color="auto"/>
      </w:divBdr>
    </w:div>
    <w:div w:id="400719161">
      <w:bodyDiv w:val="1"/>
      <w:marLeft w:val="0"/>
      <w:marRight w:val="0"/>
      <w:marTop w:val="0"/>
      <w:marBottom w:val="0"/>
      <w:divBdr>
        <w:top w:val="none" w:sz="0" w:space="0" w:color="auto"/>
        <w:left w:val="none" w:sz="0" w:space="0" w:color="auto"/>
        <w:bottom w:val="none" w:sz="0" w:space="0" w:color="auto"/>
        <w:right w:val="none" w:sz="0" w:space="0" w:color="auto"/>
      </w:divBdr>
    </w:div>
    <w:div w:id="482889077">
      <w:bodyDiv w:val="1"/>
      <w:marLeft w:val="0"/>
      <w:marRight w:val="0"/>
      <w:marTop w:val="0"/>
      <w:marBottom w:val="0"/>
      <w:divBdr>
        <w:top w:val="none" w:sz="0" w:space="0" w:color="auto"/>
        <w:left w:val="none" w:sz="0" w:space="0" w:color="auto"/>
        <w:bottom w:val="none" w:sz="0" w:space="0" w:color="auto"/>
        <w:right w:val="none" w:sz="0" w:space="0" w:color="auto"/>
      </w:divBdr>
    </w:div>
    <w:div w:id="606280876">
      <w:bodyDiv w:val="1"/>
      <w:marLeft w:val="0"/>
      <w:marRight w:val="0"/>
      <w:marTop w:val="0"/>
      <w:marBottom w:val="0"/>
      <w:divBdr>
        <w:top w:val="none" w:sz="0" w:space="0" w:color="auto"/>
        <w:left w:val="none" w:sz="0" w:space="0" w:color="auto"/>
        <w:bottom w:val="none" w:sz="0" w:space="0" w:color="auto"/>
        <w:right w:val="none" w:sz="0" w:space="0" w:color="auto"/>
      </w:divBdr>
    </w:div>
    <w:div w:id="668022803">
      <w:bodyDiv w:val="1"/>
      <w:marLeft w:val="0"/>
      <w:marRight w:val="0"/>
      <w:marTop w:val="0"/>
      <w:marBottom w:val="0"/>
      <w:divBdr>
        <w:top w:val="none" w:sz="0" w:space="0" w:color="auto"/>
        <w:left w:val="none" w:sz="0" w:space="0" w:color="auto"/>
        <w:bottom w:val="none" w:sz="0" w:space="0" w:color="auto"/>
        <w:right w:val="none" w:sz="0" w:space="0" w:color="auto"/>
      </w:divBdr>
    </w:div>
    <w:div w:id="759568440">
      <w:bodyDiv w:val="1"/>
      <w:marLeft w:val="0"/>
      <w:marRight w:val="0"/>
      <w:marTop w:val="0"/>
      <w:marBottom w:val="0"/>
      <w:divBdr>
        <w:top w:val="none" w:sz="0" w:space="0" w:color="auto"/>
        <w:left w:val="none" w:sz="0" w:space="0" w:color="auto"/>
        <w:bottom w:val="none" w:sz="0" w:space="0" w:color="auto"/>
        <w:right w:val="none" w:sz="0" w:space="0" w:color="auto"/>
      </w:divBdr>
    </w:div>
    <w:div w:id="806707451">
      <w:bodyDiv w:val="1"/>
      <w:marLeft w:val="0"/>
      <w:marRight w:val="0"/>
      <w:marTop w:val="0"/>
      <w:marBottom w:val="0"/>
      <w:divBdr>
        <w:top w:val="none" w:sz="0" w:space="0" w:color="auto"/>
        <w:left w:val="none" w:sz="0" w:space="0" w:color="auto"/>
        <w:bottom w:val="none" w:sz="0" w:space="0" w:color="auto"/>
        <w:right w:val="none" w:sz="0" w:space="0" w:color="auto"/>
      </w:divBdr>
    </w:div>
    <w:div w:id="955215042">
      <w:bodyDiv w:val="1"/>
      <w:marLeft w:val="0"/>
      <w:marRight w:val="0"/>
      <w:marTop w:val="0"/>
      <w:marBottom w:val="0"/>
      <w:divBdr>
        <w:top w:val="none" w:sz="0" w:space="0" w:color="auto"/>
        <w:left w:val="none" w:sz="0" w:space="0" w:color="auto"/>
        <w:bottom w:val="none" w:sz="0" w:space="0" w:color="auto"/>
        <w:right w:val="none" w:sz="0" w:space="0" w:color="auto"/>
      </w:divBdr>
    </w:div>
    <w:div w:id="1000737765">
      <w:bodyDiv w:val="1"/>
      <w:marLeft w:val="0"/>
      <w:marRight w:val="0"/>
      <w:marTop w:val="0"/>
      <w:marBottom w:val="0"/>
      <w:divBdr>
        <w:top w:val="none" w:sz="0" w:space="0" w:color="auto"/>
        <w:left w:val="none" w:sz="0" w:space="0" w:color="auto"/>
        <w:bottom w:val="none" w:sz="0" w:space="0" w:color="auto"/>
        <w:right w:val="none" w:sz="0" w:space="0" w:color="auto"/>
      </w:divBdr>
    </w:div>
    <w:div w:id="1039404209">
      <w:bodyDiv w:val="1"/>
      <w:marLeft w:val="0"/>
      <w:marRight w:val="0"/>
      <w:marTop w:val="0"/>
      <w:marBottom w:val="0"/>
      <w:divBdr>
        <w:top w:val="none" w:sz="0" w:space="0" w:color="auto"/>
        <w:left w:val="none" w:sz="0" w:space="0" w:color="auto"/>
        <w:bottom w:val="none" w:sz="0" w:space="0" w:color="auto"/>
        <w:right w:val="none" w:sz="0" w:space="0" w:color="auto"/>
      </w:divBdr>
    </w:div>
    <w:div w:id="1101997896">
      <w:bodyDiv w:val="1"/>
      <w:marLeft w:val="0"/>
      <w:marRight w:val="0"/>
      <w:marTop w:val="0"/>
      <w:marBottom w:val="0"/>
      <w:divBdr>
        <w:top w:val="none" w:sz="0" w:space="0" w:color="auto"/>
        <w:left w:val="none" w:sz="0" w:space="0" w:color="auto"/>
        <w:bottom w:val="none" w:sz="0" w:space="0" w:color="auto"/>
        <w:right w:val="none" w:sz="0" w:space="0" w:color="auto"/>
      </w:divBdr>
    </w:div>
    <w:div w:id="1141656648">
      <w:bodyDiv w:val="1"/>
      <w:marLeft w:val="0"/>
      <w:marRight w:val="0"/>
      <w:marTop w:val="0"/>
      <w:marBottom w:val="0"/>
      <w:divBdr>
        <w:top w:val="none" w:sz="0" w:space="0" w:color="auto"/>
        <w:left w:val="none" w:sz="0" w:space="0" w:color="auto"/>
        <w:bottom w:val="none" w:sz="0" w:space="0" w:color="auto"/>
        <w:right w:val="none" w:sz="0" w:space="0" w:color="auto"/>
      </w:divBdr>
    </w:div>
    <w:div w:id="1144078808">
      <w:bodyDiv w:val="1"/>
      <w:marLeft w:val="0"/>
      <w:marRight w:val="0"/>
      <w:marTop w:val="0"/>
      <w:marBottom w:val="0"/>
      <w:divBdr>
        <w:top w:val="none" w:sz="0" w:space="0" w:color="auto"/>
        <w:left w:val="none" w:sz="0" w:space="0" w:color="auto"/>
        <w:bottom w:val="none" w:sz="0" w:space="0" w:color="auto"/>
        <w:right w:val="none" w:sz="0" w:space="0" w:color="auto"/>
      </w:divBdr>
    </w:div>
    <w:div w:id="1206140690">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352419835">
      <w:bodyDiv w:val="1"/>
      <w:marLeft w:val="0"/>
      <w:marRight w:val="0"/>
      <w:marTop w:val="0"/>
      <w:marBottom w:val="0"/>
      <w:divBdr>
        <w:top w:val="none" w:sz="0" w:space="0" w:color="auto"/>
        <w:left w:val="none" w:sz="0" w:space="0" w:color="auto"/>
        <w:bottom w:val="none" w:sz="0" w:space="0" w:color="auto"/>
        <w:right w:val="none" w:sz="0" w:space="0" w:color="auto"/>
      </w:divBdr>
    </w:div>
    <w:div w:id="1663197271">
      <w:bodyDiv w:val="1"/>
      <w:marLeft w:val="0"/>
      <w:marRight w:val="0"/>
      <w:marTop w:val="0"/>
      <w:marBottom w:val="0"/>
      <w:divBdr>
        <w:top w:val="none" w:sz="0" w:space="0" w:color="auto"/>
        <w:left w:val="none" w:sz="0" w:space="0" w:color="auto"/>
        <w:bottom w:val="none" w:sz="0" w:space="0" w:color="auto"/>
        <w:right w:val="none" w:sz="0" w:space="0" w:color="auto"/>
      </w:divBdr>
    </w:div>
    <w:div w:id="208984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hdr.undp.org/en/content/gender-inequality-index-gii" TargetMode="External"/><Relationship Id="rId3" Type="http://schemas.openxmlformats.org/officeDocument/2006/relationships/customXml" Target="../customXml/item3.xml"/><Relationship Id="rId21" Type="http://schemas.openxmlformats.org/officeDocument/2006/relationships/hyperlink" Target="http://www.undp.org/content/undp/en/home/operations/accountability/programme_and_operationspoliciesandprocedures.html"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info.undp.org/global/popp/rma/Pages/internal-control-framework.aspx" TargetMode="External"/><Relationship Id="rId27" Type="http://schemas.openxmlformats.org/officeDocument/2006/relationships/hyperlink" Target="https://www.google.es/url?sa=t&amp;rct=j&amp;q=&amp;esrc=s&amp;source=web&amp;cd=1&amp;ved=0ahUKEwiV3Jff_fTKAhXEDCwKHbDdB2MQFgggMAA&amp;url=https%3A%2F%2Fdhsprogram.com%2Fpubs%2Fpdf%2FPR56%2FPR56.pdf&amp;usg=AFQjCNEty8qK-V3b4JeljhBidVXKJNizTg&amp;sig2=7i0Z3p4rCG0SVz7EQNmcRg"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transparency.org/cpi2015" TargetMode="External"/><Relationship Id="rId2" Type="http://schemas.openxmlformats.org/officeDocument/2006/relationships/hyperlink" Target="http://www.doingbusiness.org/data/exploreeconomies/bangladesh/" TargetMode="External"/><Relationship Id="rId1" Type="http://schemas.openxmlformats.org/officeDocument/2006/relationships/hyperlink" Target="http://www.adb.org/sites/default/files/publicatons/43030/ki2014_0.pdf" TargetMode="External"/><Relationship Id="rId6" Type="http://schemas.openxmlformats.org/officeDocument/2006/relationships/hyperlink" Target="http://climatefinance-developmenteffectiveness.org/CPEIR-Database" TargetMode="External"/><Relationship Id="rId5" Type="http://schemas.openxmlformats.org/officeDocument/2006/relationships/hyperlink" Target="http://www.worldriskreport.org" TargetMode="External"/><Relationship Id="rId4" Type="http://schemas.openxmlformats.org/officeDocument/2006/relationships/hyperlink" Target="http://www.ophi.org.uk/multidimensional-poverty-inde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UNITOFFICE-440-3</_dlc_DocId>
    <_dlc_DocIdUrl xmlns="5ebeba3d-fd60-4dcb-8548-a9fd3c51d9ff">
      <Url>https://intranet.undp.org/unit/office/exo/sp2014/SP201417/_layouts/DocIdRedir.aspx?ID=UNITOFFICE-440-3</Url>
      <Description>UNITOFFICE-440-3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2.xml><?xml version="1.0" encoding="utf-8"?>
<ds:datastoreItem xmlns:ds="http://schemas.openxmlformats.org/officeDocument/2006/customXml" ds:itemID="{12625C90-2827-49F4-8BE7-A485F8CCE6CA}">
  <ds:schemaRefs>
    <ds:schemaRef ds:uri="http://schemas.microsoft.com/sharepoint/events"/>
  </ds:schemaRefs>
</ds:datastoreItem>
</file>

<file path=customXml/itemProps3.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4.xml><?xml version="1.0" encoding="utf-8"?>
<ds:datastoreItem xmlns:ds="http://schemas.openxmlformats.org/officeDocument/2006/customXml" ds:itemID="{B6B2BE2B-167E-4723-ACEA-F0FD35901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1186E0-5637-493E-9157-37D748A7B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6153</Words>
  <Characters>35078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41149</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dc:description/>
  <cp:lastModifiedBy>Svetlana Iazykova</cp:lastModifiedBy>
  <cp:revision>2</cp:revision>
  <cp:lastPrinted>2016-05-10T09:33:00Z</cp:lastPrinted>
  <dcterms:created xsi:type="dcterms:W3CDTF">2016-05-13T15:54:00Z</dcterms:created>
  <dcterms:modified xsi:type="dcterms:W3CDTF">2016-05-13T15:54:00Z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d85662d7-541b-4ade-8939-e23478cf5ab7</vt:lpwstr>
  </property>
</Properties>
</file>