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8FB6" w14:textId="77777777" w:rsidR="00785474" w:rsidRDefault="00785474" w:rsidP="00D9153B">
      <w:pPr>
        <w:rPr>
          <w:color w:val="000000"/>
          <w:sz w:val="6"/>
        </w:rPr>
      </w:pPr>
    </w:p>
    <w:p w14:paraId="0E527DCA" w14:textId="77777777" w:rsidR="00146229" w:rsidRDefault="00146229" w:rsidP="00D9153B">
      <w:pPr>
        <w:rPr>
          <w:color w:val="000000"/>
          <w:sz w:val="6"/>
        </w:rPr>
      </w:pPr>
    </w:p>
    <w:p w14:paraId="3511010D" w14:textId="77777777" w:rsidR="00146229" w:rsidRDefault="00146229" w:rsidP="00D9153B">
      <w:pPr>
        <w:rPr>
          <w:color w:val="000000"/>
          <w:sz w:val="6"/>
        </w:rPr>
      </w:pPr>
    </w:p>
    <w:p w14:paraId="170F28EB" w14:textId="77777777" w:rsidR="00146229" w:rsidRPr="003C26C1" w:rsidRDefault="00146229" w:rsidP="00146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Se</w:t>
      </w:r>
      <w:r>
        <w:rPr>
          <w:b/>
          <w:color w:val="000000"/>
        </w:rPr>
        <w:t>cond regular session 2016</w:t>
      </w:r>
    </w:p>
    <w:p w14:paraId="3BA17BFD" w14:textId="039C7051" w:rsidR="00146229" w:rsidRPr="003C26C1" w:rsidRDefault="00146229" w:rsidP="00146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6-9 September 2016, New York</w:t>
      </w:r>
    </w:p>
    <w:p w14:paraId="3D1E70BA" w14:textId="0ECEA172" w:rsidR="00146229" w:rsidRPr="003C26C1" w:rsidRDefault="00146229" w:rsidP="00146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sidR="00605756">
        <w:rPr>
          <w:color w:val="000000"/>
        </w:rPr>
        <w:t xml:space="preserve">3 </w:t>
      </w:r>
      <w:r w:rsidRPr="003C26C1">
        <w:rPr>
          <w:color w:val="000000"/>
        </w:rPr>
        <w:t>of the provisional agenda</w:t>
      </w:r>
    </w:p>
    <w:p w14:paraId="53D764EA" w14:textId="77777777" w:rsidR="00146229" w:rsidRPr="003C26C1" w:rsidRDefault="00146229" w:rsidP="00146229">
      <w:pPr>
        <w:ind w:right="1260"/>
        <w:rPr>
          <w:b/>
          <w:color w:val="000000"/>
        </w:rPr>
      </w:pPr>
      <w:r w:rsidRPr="003C26C1">
        <w:rPr>
          <w:b/>
          <w:color w:val="000000"/>
        </w:rPr>
        <w:t>Country programmes and related matters</w:t>
      </w:r>
    </w:p>
    <w:p w14:paraId="09473A94" w14:textId="77777777" w:rsidR="00146229" w:rsidRPr="003C26C1" w:rsidRDefault="00146229" w:rsidP="00146229">
      <w:pPr>
        <w:pStyle w:val="SingleTxt"/>
        <w:spacing w:after="0" w:line="120" w:lineRule="exact"/>
        <w:rPr>
          <w:color w:val="000000"/>
          <w:sz w:val="10"/>
        </w:rPr>
      </w:pPr>
    </w:p>
    <w:p w14:paraId="0C9F03E1" w14:textId="77777777" w:rsidR="00146229" w:rsidRPr="003C26C1" w:rsidRDefault="00146229" w:rsidP="00146229">
      <w:pPr>
        <w:pStyle w:val="SingleTxt"/>
        <w:spacing w:after="0" w:line="120" w:lineRule="exact"/>
        <w:rPr>
          <w:color w:val="000000"/>
          <w:sz w:val="10"/>
        </w:rPr>
      </w:pPr>
    </w:p>
    <w:p w14:paraId="4B64867C" w14:textId="77777777" w:rsidR="00146229" w:rsidRPr="003C26C1" w:rsidRDefault="00146229" w:rsidP="00146229">
      <w:pPr>
        <w:pStyle w:val="SingleTxt"/>
        <w:spacing w:after="0" w:line="120" w:lineRule="exact"/>
        <w:rPr>
          <w:color w:val="000000"/>
          <w:sz w:val="10"/>
        </w:rPr>
      </w:pPr>
    </w:p>
    <w:p w14:paraId="6A882247" w14:textId="77777777" w:rsidR="00146229" w:rsidRDefault="00146229" w:rsidP="001462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0397F8D4" w14:textId="239E3C0F" w:rsidR="00146229" w:rsidRDefault="00146229" w:rsidP="001462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color w:val="000000"/>
        </w:rPr>
        <w:t xml:space="preserve">Draft country programme document for </w:t>
      </w:r>
      <w:r>
        <w:rPr>
          <w:color w:val="000000"/>
        </w:rPr>
        <w:t>Honduras (2017-2021)</w:t>
      </w:r>
    </w:p>
    <w:p w14:paraId="78319A3B" w14:textId="77777777" w:rsidR="00146229" w:rsidRDefault="00146229" w:rsidP="00146229">
      <w:pPr>
        <w:rPr>
          <w:lang w:val="en-GB"/>
        </w:rPr>
      </w:pPr>
    </w:p>
    <w:p w14:paraId="21F6B2A3" w14:textId="77777777" w:rsidR="00146229" w:rsidRPr="0029593B" w:rsidRDefault="00146229" w:rsidP="00146229">
      <w:pPr>
        <w:tabs>
          <w:tab w:val="left" w:pos="1620"/>
        </w:tabs>
      </w:pPr>
    </w:p>
    <w:p w14:paraId="102FCB98" w14:textId="77777777" w:rsidR="00146229" w:rsidRPr="0029593B" w:rsidRDefault="00146229" w:rsidP="0014622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146229" w:rsidRPr="0029593B" w14:paraId="281018A2" w14:textId="77777777" w:rsidTr="00147576">
        <w:tc>
          <w:tcPr>
            <w:tcW w:w="1060" w:type="dxa"/>
            <w:shd w:val="clear" w:color="auto" w:fill="auto"/>
          </w:tcPr>
          <w:p w14:paraId="14A2386C" w14:textId="77777777" w:rsidR="00146229" w:rsidRPr="0029593B" w:rsidRDefault="00146229" w:rsidP="00147576">
            <w:pPr>
              <w:tabs>
                <w:tab w:val="left" w:pos="1620"/>
              </w:tabs>
              <w:suppressAutoHyphens/>
              <w:spacing w:after="120"/>
              <w:jc w:val="right"/>
              <w:rPr>
                <w:i/>
                <w:spacing w:val="4"/>
                <w:w w:val="103"/>
                <w:kern w:val="14"/>
                <w:sz w:val="14"/>
                <w:lang w:val="en-GB"/>
              </w:rPr>
            </w:pPr>
          </w:p>
        </w:tc>
        <w:tc>
          <w:tcPr>
            <w:tcW w:w="8300" w:type="dxa"/>
            <w:shd w:val="clear" w:color="auto" w:fill="auto"/>
          </w:tcPr>
          <w:p w14:paraId="2E5B5589" w14:textId="77777777" w:rsidR="00146229" w:rsidRPr="0029593B" w:rsidRDefault="00146229" w:rsidP="00147576">
            <w:pPr>
              <w:tabs>
                <w:tab w:val="left" w:pos="1620"/>
              </w:tabs>
              <w:suppressAutoHyphens/>
              <w:spacing w:after="120"/>
              <w:rPr>
                <w:i/>
                <w:spacing w:val="4"/>
                <w:w w:val="103"/>
                <w:kern w:val="14"/>
                <w:sz w:val="14"/>
                <w:lang w:val="en-GB"/>
              </w:rPr>
            </w:pPr>
          </w:p>
        </w:tc>
        <w:tc>
          <w:tcPr>
            <w:tcW w:w="542" w:type="dxa"/>
            <w:gridSpan w:val="2"/>
            <w:shd w:val="clear" w:color="auto" w:fill="auto"/>
          </w:tcPr>
          <w:p w14:paraId="00ED3B7F" w14:textId="77777777" w:rsidR="00146229" w:rsidRPr="0029593B" w:rsidRDefault="00146229" w:rsidP="00147576">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146229" w:rsidRPr="0029593B" w14:paraId="193AD989" w14:textId="77777777" w:rsidTr="00147576">
        <w:tc>
          <w:tcPr>
            <w:tcW w:w="9360" w:type="dxa"/>
            <w:gridSpan w:val="2"/>
            <w:shd w:val="clear" w:color="auto" w:fill="auto"/>
          </w:tcPr>
          <w:p w14:paraId="0C8DB9C0" w14:textId="77777777" w:rsidR="00146229" w:rsidRPr="0029593B" w:rsidRDefault="00146229" w:rsidP="00146229">
            <w:pPr>
              <w:numPr>
                <w:ilvl w:val="0"/>
                <w:numId w:val="40"/>
              </w:numPr>
              <w:tabs>
                <w:tab w:val="clear" w:pos="4536"/>
                <w:tab w:val="right" w:pos="1080"/>
                <w:tab w:val="left" w:pos="1296"/>
                <w:tab w:val="left" w:pos="1620"/>
                <w:tab w:val="left" w:pos="2160"/>
                <w:tab w:val="left" w:pos="2592"/>
                <w:tab w:val="right" w:leader="dot" w:pos="8381"/>
              </w:tabs>
              <w:suppressAutoHyphens/>
              <w:spacing w:after="120" w:line="240" w:lineRule="exact"/>
              <w:ind w:left="1296"/>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14:paraId="341BB0E3" w14:textId="77777777" w:rsidR="00146229" w:rsidRPr="0029593B" w:rsidRDefault="00146229" w:rsidP="00147576">
            <w:pPr>
              <w:tabs>
                <w:tab w:val="left" w:pos="1620"/>
              </w:tabs>
              <w:suppressAutoHyphens/>
              <w:spacing w:after="120" w:line="240" w:lineRule="exact"/>
              <w:jc w:val="right"/>
              <w:rPr>
                <w:spacing w:val="4"/>
                <w:w w:val="103"/>
                <w:kern w:val="14"/>
                <w:lang w:val="en-GB"/>
              </w:rPr>
            </w:pPr>
            <w:r w:rsidRPr="0029593B">
              <w:rPr>
                <w:spacing w:val="4"/>
                <w:w w:val="103"/>
                <w:kern w:val="14"/>
                <w:lang w:val="en-GB"/>
              </w:rPr>
              <w:t>2</w:t>
            </w:r>
          </w:p>
          <w:p w14:paraId="255DC427" w14:textId="77777777" w:rsidR="00146229" w:rsidRPr="0029593B" w:rsidRDefault="00146229" w:rsidP="00147576">
            <w:pPr>
              <w:tabs>
                <w:tab w:val="left" w:pos="1620"/>
              </w:tabs>
              <w:suppressAutoHyphens/>
              <w:spacing w:after="120" w:line="240" w:lineRule="exact"/>
              <w:jc w:val="right"/>
              <w:rPr>
                <w:spacing w:val="4"/>
                <w:w w:val="103"/>
                <w:kern w:val="14"/>
                <w:lang w:val="en-GB"/>
              </w:rPr>
            </w:pPr>
            <w:r w:rsidRPr="0029593B">
              <w:rPr>
                <w:spacing w:val="4"/>
                <w:w w:val="103"/>
                <w:kern w:val="14"/>
                <w:lang w:val="en-GB"/>
              </w:rPr>
              <w:t>5</w:t>
            </w:r>
          </w:p>
        </w:tc>
      </w:tr>
      <w:tr w:rsidR="00146229" w:rsidRPr="0029593B" w14:paraId="1E891FE2" w14:textId="77777777" w:rsidTr="00147576">
        <w:tc>
          <w:tcPr>
            <w:tcW w:w="9360" w:type="dxa"/>
            <w:gridSpan w:val="2"/>
            <w:shd w:val="clear" w:color="auto" w:fill="auto"/>
          </w:tcPr>
          <w:p w14:paraId="01B811EF" w14:textId="77777777" w:rsidR="00146229" w:rsidRPr="0029593B" w:rsidRDefault="00146229" w:rsidP="00146229">
            <w:pPr>
              <w:numPr>
                <w:ilvl w:val="0"/>
                <w:numId w:val="40"/>
              </w:numPr>
              <w:tabs>
                <w:tab w:val="clear" w:pos="4536"/>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ind w:left="1296"/>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14:paraId="0D94BFA7" w14:textId="77777777" w:rsidR="00146229" w:rsidRPr="0029593B" w:rsidRDefault="00146229" w:rsidP="00147576">
            <w:pPr>
              <w:tabs>
                <w:tab w:val="left" w:pos="1620"/>
              </w:tabs>
              <w:suppressAutoHyphens/>
              <w:spacing w:after="120" w:line="240" w:lineRule="exact"/>
              <w:jc w:val="right"/>
              <w:rPr>
                <w:spacing w:val="4"/>
                <w:w w:val="103"/>
                <w:kern w:val="14"/>
                <w:lang w:val="en-GB"/>
              </w:rPr>
            </w:pPr>
          </w:p>
        </w:tc>
      </w:tr>
      <w:tr w:rsidR="00146229" w:rsidRPr="0029593B" w14:paraId="4E91E016" w14:textId="77777777" w:rsidTr="00147576">
        <w:tc>
          <w:tcPr>
            <w:tcW w:w="9360" w:type="dxa"/>
            <w:gridSpan w:val="2"/>
            <w:shd w:val="clear" w:color="auto" w:fill="auto"/>
          </w:tcPr>
          <w:p w14:paraId="0D98E866" w14:textId="77777777" w:rsidR="00146229" w:rsidRPr="0029593B" w:rsidRDefault="00146229" w:rsidP="00146229">
            <w:pPr>
              <w:numPr>
                <w:ilvl w:val="0"/>
                <w:numId w:val="40"/>
              </w:numPr>
              <w:tabs>
                <w:tab w:val="clear" w:pos="4536"/>
                <w:tab w:val="right" w:pos="1080"/>
                <w:tab w:val="left" w:pos="1296"/>
                <w:tab w:val="left" w:pos="1620"/>
                <w:tab w:val="left" w:pos="2160"/>
                <w:tab w:val="left" w:pos="2592"/>
                <w:tab w:val="left" w:pos="3024"/>
                <w:tab w:val="right" w:leader="dot" w:pos="8381"/>
              </w:tabs>
              <w:suppressAutoHyphens/>
              <w:spacing w:after="120" w:line="240" w:lineRule="exact"/>
              <w:ind w:left="1296"/>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14:paraId="3E18513B" w14:textId="77777777" w:rsidR="00146229" w:rsidRPr="0029593B" w:rsidRDefault="00146229" w:rsidP="00147576">
            <w:pPr>
              <w:tabs>
                <w:tab w:val="left" w:pos="1620"/>
              </w:tabs>
              <w:suppressAutoHyphens/>
              <w:spacing w:after="120" w:line="240" w:lineRule="exact"/>
              <w:jc w:val="right"/>
              <w:rPr>
                <w:spacing w:val="4"/>
                <w:w w:val="103"/>
                <w:kern w:val="14"/>
                <w:lang w:val="en-GB"/>
              </w:rPr>
            </w:pPr>
            <w:r w:rsidRPr="0029593B">
              <w:rPr>
                <w:spacing w:val="4"/>
                <w:w w:val="103"/>
                <w:kern w:val="14"/>
                <w:lang w:val="en-GB"/>
              </w:rPr>
              <w:t>7</w:t>
            </w:r>
          </w:p>
          <w:p w14:paraId="45F12128" w14:textId="77777777" w:rsidR="00146229" w:rsidRPr="0029593B" w:rsidRDefault="00146229" w:rsidP="00147576">
            <w:pPr>
              <w:tabs>
                <w:tab w:val="left" w:pos="1620"/>
              </w:tabs>
              <w:suppressAutoHyphens/>
              <w:spacing w:after="120" w:line="240" w:lineRule="exact"/>
              <w:jc w:val="right"/>
              <w:rPr>
                <w:spacing w:val="4"/>
                <w:w w:val="103"/>
                <w:kern w:val="14"/>
                <w:lang w:val="en-GB"/>
              </w:rPr>
            </w:pPr>
            <w:r w:rsidRPr="0029593B">
              <w:rPr>
                <w:spacing w:val="4"/>
                <w:w w:val="103"/>
                <w:kern w:val="14"/>
                <w:lang w:val="en-GB"/>
              </w:rPr>
              <w:t xml:space="preserve">8 </w:t>
            </w:r>
          </w:p>
        </w:tc>
      </w:tr>
      <w:tr w:rsidR="00146229" w:rsidRPr="0029593B" w14:paraId="76A66B73" w14:textId="77777777" w:rsidTr="00147576">
        <w:tc>
          <w:tcPr>
            <w:tcW w:w="9360" w:type="dxa"/>
            <w:gridSpan w:val="2"/>
            <w:shd w:val="clear" w:color="auto" w:fill="auto"/>
          </w:tcPr>
          <w:p w14:paraId="4D4E7CB1" w14:textId="77777777" w:rsidR="00146229" w:rsidRPr="0029593B" w:rsidRDefault="00146229" w:rsidP="00146229">
            <w:pPr>
              <w:numPr>
                <w:ilvl w:val="0"/>
                <w:numId w:val="40"/>
              </w:numPr>
              <w:tabs>
                <w:tab w:val="clear" w:pos="4536"/>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ind w:left="1296"/>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14:paraId="57125DD4" w14:textId="77777777" w:rsidR="00146229" w:rsidRPr="0029593B" w:rsidRDefault="00146229" w:rsidP="00147576">
            <w:pPr>
              <w:tabs>
                <w:tab w:val="left" w:pos="1620"/>
              </w:tabs>
              <w:suppressAutoHyphens/>
              <w:spacing w:after="120" w:line="240" w:lineRule="exact"/>
              <w:jc w:val="right"/>
              <w:rPr>
                <w:spacing w:val="4"/>
                <w:w w:val="103"/>
                <w:kern w:val="14"/>
                <w:lang w:val="en-GB"/>
              </w:rPr>
            </w:pPr>
          </w:p>
        </w:tc>
      </w:tr>
      <w:tr w:rsidR="00146229" w:rsidRPr="0029593B" w14:paraId="2466245B" w14:textId="77777777" w:rsidTr="00147576">
        <w:tc>
          <w:tcPr>
            <w:tcW w:w="9369" w:type="dxa"/>
            <w:gridSpan w:val="3"/>
            <w:shd w:val="clear" w:color="auto" w:fill="auto"/>
          </w:tcPr>
          <w:p w14:paraId="69750805" w14:textId="77777777" w:rsidR="00146229" w:rsidRPr="0029593B" w:rsidRDefault="00146229" w:rsidP="0014757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14:paraId="49C1A1B9" w14:textId="77777777" w:rsidR="00146229" w:rsidRPr="0029593B" w:rsidRDefault="00146229" w:rsidP="00147576">
            <w:pPr>
              <w:tabs>
                <w:tab w:val="left" w:pos="1620"/>
              </w:tabs>
              <w:suppressAutoHyphens/>
              <w:spacing w:after="120" w:line="240" w:lineRule="exact"/>
              <w:jc w:val="right"/>
              <w:rPr>
                <w:spacing w:val="4"/>
                <w:w w:val="103"/>
                <w:kern w:val="14"/>
                <w:lang w:val="en-GB"/>
              </w:rPr>
            </w:pPr>
          </w:p>
        </w:tc>
      </w:tr>
      <w:tr w:rsidR="00146229" w:rsidRPr="0029593B" w14:paraId="1061D2CA" w14:textId="77777777" w:rsidTr="00147576">
        <w:tc>
          <w:tcPr>
            <w:tcW w:w="9369" w:type="dxa"/>
            <w:gridSpan w:val="3"/>
            <w:shd w:val="clear" w:color="auto" w:fill="auto"/>
          </w:tcPr>
          <w:p w14:paraId="7D8D6AFB" w14:textId="5156C51D" w:rsidR="00146229" w:rsidRPr="0029593B" w:rsidRDefault="00146229" w:rsidP="0014622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spacing w:val="60"/>
                <w:w w:val="103"/>
                <w:kern w:val="14"/>
                <w:sz w:val="17"/>
                <w:lang w:val="en-GB"/>
              </w:rPr>
            </w:pPr>
            <w:r w:rsidRPr="0029593B">
              <w:rPr>
                <w:spacing w:val="4"/>
                <w:w w:val="103"/>
                <w:kern w:val="14"/>
                <w:lang w:val="en-GB"/>
              </w:rPr>
              <w:t>Results and resources framework for</w:t>
            </w:r>
            <w:r>
              <w:rPr>
                <w:spacing w:val="4"/>
                <w:w w:val="103"/>
                <w:kern w:val="14"/>
                <w:lang w:val="en-GB"/>
              </w:rPr>
              <w:t xml:space="preserve"> Honduras</w:t>
            </w:r>
            <w:r w:rsidRPr="0029593B">
              <w:rPr>
                <w:spacing w:val="4"/>
                <w:w w:val="103"/>
                <w:kern w:val="14"/>
                <w:lang w:val="en-GB"/>
              </w:rPr>
              <w:t xml:space="preserve"> (2017-202</w:t>
            </w:r>
            <w:r>
              <w:rPr>
                <w:spacing w:val="4"/>
                <w:w w:val="103"/>
                <w:kern w:val="14"/>
                <w:lang w:val="en-GB"/>
              </w:rPr>
              <w:t>1</w:t>
            </w:r>
            <w:r w:rsidRPr="0029593B">
              <w:rPr>
                <w:spacing w:val="4"/>
                <w:w w:val="103"/>
                <w:kern w:val="14"/>
                <w:lang w:val="en-GB"/>
              </w:rPr>
              <w:t>)</w:t>
            </w:r>
            <w:r w:rsidRPr="0029593B">
              <w:rPr>
                <w:spacing w:val="60"/>
                <w:w w:val="103"/>
                <w:kern w:val="14"/>
                <w:sz w:val="17"/>
                <w:lang w:val="en-GB"/>
              </w:rPr>
              <w:tab/>
            </w:r>
          </w:p>
        </w:tc>
        <w:tc>
          <w:tcPr>
            <w:tcW w:w="533" w:type="dxa"/>
            <w:shd w:val="clear" w:color="auto" w:fill="auto"/>
            <w:vAlign w:val="bottom"/>
          </w:tcPr>
          <w:p w14:paraId="354E1AAB" w14:textId="77777777" w:rsidR="00146229" w:rsidRPr="0029593B" w:rsidRDefault="00146229" w:rsidP="00147576">
            <w:pPr>
              <w:tabs>
                <w:tab w:val="left" w:pos="1620"/>
              </w:tabs>
              <w:suppressAutoHyphens/>
              <w:spacing w:after="120" w:line="240" w:lineRule="exact"/>
              <w:jc w:val="right"/>
              <w:rPr>
                <w:spacing w:val="4"/>
                <w:w w:val="103"/>
                <w:kern w:val="14"/>
                <w:lang w:val="en-GB"/>
              </w:rPr>
            </w:pPr>
            <w:r w:rsidRPr="0029593B">
              <w:rPr>
                <w:spacing w:val="4"/>
                <w:w w:val="103"/>
                <w:kern w:val="14"/>
                <w:lang w:val="en-GB"/>
              </w:rPr>
              <w:t>9</w:t>
            </w:r>
          </w:p>
        </w:tc>
      </w:tr>
    </w:tbl>
    <w:p w14:paraId="7DA62A82" w14:textId="77777777" w:rsidR="00785474" w:rsidRPr="00680758" w:rsidRDefault="00785474" w:rsidP="00D63B91">
      <w:pPr>
        <w:rPr>
          <w:lang w:val="es-HN"/>
        </w:rPr>
      </w:pPr>
    </w:p>
    <w:p w14:paraId="6AB9B26A" w14:textId="0D2BEA2E" w:rsidR="00A918A7" w:rsidRPr="00680758" w:rsidRDefault="00785474" w:rsidP="00A8785D">
      <w:pPr>
        <w:pStyle w:val="Heading2"/>
        <w:spacing w:after="120"/>
        <w:ind w:left="1260" w:right="1267" w:hanging="360"/>
        <w:jc w:val="both"/>
        <w:rPr>
          <w:rFonts w:ascii="Times New Roman" w:hAnsi="Times New Roman"/>
          <w:color w:val="000000"/>
          <w:sz w:val="24"/>
        </w:rPr>
      </w:pPr>
      <w:r w:rsidRPr="00680758">
        <w:br w:type="page"/>
      </w:r>
      <w:r w:rsidR="0059112A" w:rsidRPr="00680758">
        <w:rPr>
          <w:rFonts w:ascii="Times New Roman" w:hAnsi="Times New Roman"/>
          <w:color w:val="000000"/>
          <w:sz w:val="24"/>
        </w:rPr>
        <w:lastRenderedPageBreak/>
        <w:t>I.</w:t>
      </w:r>
      <w:r w:rsidR="00A8785D">
        <w:rPr>
          <w:rFonts w:ascii="Times New Roman" w:hAnsi="Times New Roman"/>
          <w:color w:val="000000"/>
          <w:sz w:val="24"/>
        </w:rPr>
        <w:tab/>
      </w:r>
      <w:r w:rsidR="006C0E9C" w:rsidRPr="00680758">
        <w:rPr>
          <w:rFonts w:ascii="Times New Roman" w:hAnsi="Times New Roman"/>
          <w:color w:val="000000"/>
          <w:sz w:val="24"/>
        </w:rPr>
        <w:t>Programme</w:t>
      </w:r>
      <w:r w:rsidR="00B249F0" w:rsidRPr="00680758">
        <w:rPr>
          <w:rFonts w:ascii="Times New Roman" w:hAnsi="Times New Roman"/>
          <w:color w:val="000000"/>
          <w:sz w:val="24"/>
        </w:rPr>
        <w:t xml:space="preserve"> </w:t>
      </w:r>
      <w:r w:rsidR="00A8785D">
        <w:rPr>
          <w:rFonts w:ascii="Times New Roman" w:hAnsi="Times New Roman"/>
          <w:color w:val="000000"/>
          <w:sz w:val="24"/>
        </w:rPr>
        <w:t>r</w:t>
      </w:r>
      <w:r w:rsidR="00B249F0" w:rsidRPr="00680758">
        <w:rPr>
          <w:rFonts w:ascii="Times New Roman" w:hAnsi="Times New Roman"/>
          <w:color w:val="000000"/>
          <w:sz w:val="24"/>
        </w:rPr>
        <w:t>ationale</w:t>
      </w:r>
      <w:r w:rsidR="001A3383" w:rsidRPr="00680758">
        <w:rPr>
          <w:rFonts w:ascii="Times New Roman" w:hAnsi="Times New Roman"/>
          <w:color w:val="000000"/>
          <w:sz w:val="24"/>
        </w:rPr>
        <w:t xml:space="preserve"> </w:t>
      </w:r>
    </w:p>
    <w:p w14:paraId="70FE69A4" w14:textId="1CF31F97" w:rsidR="00820633" w:rsidRPr="00680758" w:rsidRDefault="004467F5" w:rsidP="00A8785D">
      <w:pPr>
        <w:spacing w:after="120"/>
        <w:ind w:left="1276" w:right="1203"/>
        <w:jc w:val="both"/>
      </w:pPr>
      <w:r w:rsidRPr="00680758">
        <w:t xml:space="preserve">1. </w:t>
      </w:r>
      <w:r w:rsidR="001901AC">
        <w:t>The</w:t>
      </w:r>
      <w:r w:rsidR="00820633" w:rsidRPr="00680758">
        <w:t xml:space="preserve"> </w:t>
      </w:r>
      <w:r w:rsidR="00E07894" w:rsidRPr="00680758">
        <w:t>Honduran g</w:t>
      </w:r>
      <w:r w:rsidR="00820633" w:rsidRPr="00680758">
        <w:t xml:space="preserve">overnment </w:t>
      </w:r>
      <w:r w:rsidR="00E07894" w:rsidRPr="00680758">
        <w:t>has promoted</w:t>
      </w:r>
      <w:r w:rsidR="00820633" w:rsidRPr="00680758">
        <w:t xml:space="preserve"> initiatives to improve governance, security and economic competitiveness. The country is experiencing a sustained economic growth of 3.5</w:t>
      </w:r>
      <w:r w:rsidR="00E46571">
        <w:t xml:space="preserve"> per cent</w:t>
      </w:r>
      <w:r w:rsidR="00820633" w:rsidRPr="00680758">
        <w:t>.</w:t>
      </w:r>
      <w:r w:rsidR="00820633" w:rsidRPr="00680758">
        <w:rPr>
          <w:rStyle w:val="FootnoteReference"/>
          <w:lang w:val="es-ES"/>
        </w:rPr>
        <w:footnoteReference w:id="2"/>
      </w:r>
      <w:r w:rsidR="00820633" w:rsidRPr="00680758">
        <w:t xml:space="preserve"> </w:t>
      </w:r>
      <w:r w:rsidR="00B75822">
        <w:t>Yet</w:t>
      </w:r>
      <w:r w:rsidR="00820633" w:rsidRPr="00680758">
        <w:t xml:space="preserve">, </w:t>
      </w:r>
      <w:r w:rsidR="00820633" w:rsidRPr="00680758">
        <w:rPr>
          <w:b/>
        </w:rPr>
        <w:t xml:space="preserve">certain </w:t>
      </w:r>
      <w:r w:rsidR="009724C2">
        <w:rPr>
          <w:b/>
        </w:rPr>
        <w:t xml:space="preserve">population </w:t>
      </w:r>
      <w:r w:rsidR="00820633" w:rsidRPr="00680758">
        <w:rPr>
          <w:b/>
        </w:rPr>
        <w:t xml:space="preserve">sectors </w:t>
      </w:r>
      <w:r w:rsidR="000333E1">
        <w:rPr>
          <w:b/>
        </w:rPr>
        <w:t>remain</w:t>
      </w:r>
      <w:r w:rsidR="00820633" w:rsidRPr="00680758">
        <w:rPr>
          <w:b/>
        </w:rPr>
        <w:t xml:space="preserve"> excluded</w:t>
      </w:r>
      <w:r w:rsidR="00E07894" w:rsidRPr="00680758">
        <w:rPr>
          <w:b/>
        </w:rPr>
        <w:t>,</w:t>
      </w:r>
      <w:r w:rsidR="00820633" w:rsidRPr="00680758">
        <w:rPr>
          <w:b/>
        </w:rPr>
        <w:t xml:space="preserve"> es</w:t>
      </w:r>
      <w:r w:rsidR="00E07894" w:rsidRPr="00680758">
        <w:rPr>
          <w:b/>
        </w:rPr>
        <w:t>pecially</w:t>
      </w:r>
      <w:r w:rsidR="00820633" w:rsidRPr="00680758">
        <w:rPr>
          <w:b/>
        </w:rPr>
        <w:t xml:space="preserve"> the</w:t>
      </w:r>
      <w:r w:rsidR="00E07894" w:rsidRPr="00680758">
        <w:rPr>
          <w:b/>
        </w:rPr>
        <w:t xml:space="preserve"> country’s </w:t>
      </w:r>
      <w:r w:rsidR="00820633" w:rsidRPr="00680758">
        <w:rPr>
          <w:b/>
        </w:rPr>
        <w:t>most vulnerable groups</w:t>
      </w:r>
      <w:r w:rsidR="00E07894" w:rsidRPr="00680758">
        <w:t>. W</w:t>
      </w:r>
      <w:r w:rsidR="00820633" w:rsidRPr="00680758">
        <w:t xml:space="preserve">hether </w:t>
      </w:r>
      <w:r w:rsidR="004634ED" w:rsidRPr="00680758">
        <w:t>because</w:t>
      </w:r>
      <w:r w:rsidR="00820633" w:rsidRPr="00680758">
        <w:t xml:space="preserve"> of ag</w:t>
      </w:r>
      <w:r w:rsidR="004634ED" w:rsidRPr="00680758">
        <w:t xml:space="preserve">e, disability, </w:t>
      </w:r>
      <w:r w:rsidR="000333E1">
        <w:t>gender</w:t>
      </w:r>
      <w:r w:rsidR="004634ED" w:rsidRPr="00680758">
        <w:t>, income, ethnicity</w:t>
      </w:r>
      <w:r w:rsidR="00820633" w:rsidRPr="00680758">
        <w:t>, sexual orientation (LGBT</w:t>
      </w:r>
      <w:r w:rsidR="00442D2E" w:rsidRPr="00680758">
        <w:t>I</w:t>
      </w:r>
      <w:r w:rsidR="00820633" w:rsidRPr="00680758">
        <w:t>), health conditions (HIV, tuberculosis), migration, violence</w:t>
      </w:r>
      <w:r w:rsidR="00065084">
        <w:t>,</w:t>
      </w:r>
      <w:r w:rsidR="00820633" w:rsidRPr="00680758">
        <w:t xml:space="preserve"> forced displacement o</w:t>
      </w:r>
      <w:r w:rsidR="006C0A6A" w:rsidRPr="00680758">
        <w:t>r</w:t>
      </w:r>
      <w:r w:rsidR="00820633" w:rsidRPr="00680758">
        <w:t xml:space="preserve"> location in regions </w:t>
      </w:r>
      <w:r w:rsidR="00C85BE6">
        <w:t>of</w:t>
      </w:r>
      <w:r w:rsidR="00146A05" w:rsidRPr="00680758">
        <w:t xml:space="preserve"> </w:t>
      </w:r>
      <w:r w:rsidR="004634ED" w:rsidRPr="00680758">
        <w:t>deteriorat</w:t>
      </w:r>
      <w:r w:rsidR="00B80CF6">
        <w:t>ing</w:t>
      </w:r>
      <w:r w:rsidR="004634ED" w:rsidRPr="00680758">
        <w:t xml:space="preserve"> ecosy</w:t>
      </w:r>
      <w:r w:rsidR="00146A05" w:rsidRPr="00680758">
        <w:t xml:space="preserve">stems and/or susceptible to natural hazards, </w:t>
      </w:r>
      <w:r w:rsidR="00065084">
        <w:t>vulnerable</w:t>
      </w:r>
      <w:r w:rsidR="00065084" w:rsidRPr="00680758">
        <w:t xml:space="preserve"> </w:t>
      </w:r>
      <w:r w:rsidR="00146A05" w:rsidRPr="00680758">
        <w:t>groups</w:t>
      </w:r>
      <w:r w:rsidR="004634ED" w:rsidRPr="00680758">
        <w:t xml:space="preserve"> </w:t>
      </w:r>
      <w:r w:rsidR="00E07894" w:rsidRPr="00680758">
        <w:t xml:space="preserve">are </w:t>
      </w:r>
      <w:r w:rsidR="00146A05" w:rsidRPr="00680758">
        <w:t xml:space="preserve">at a disadvantage </w:t>
      </w:r>
      <w:r w:rsidR="00366038" w:rsidRPr="00680758">
        <w:t xml:space="preserve">for </w:t>
      </w:r>
      <w:r w:rsidR="00146A05" w:rsidRPr="00680758">
        <w:t>exercising</w:t>
      </w:r>
      <w:r w:rsidR="004634ED" w:rsidRPr="00680758">
        <w:t xml:space="preserve"> their civil, political, cultural, social and economic rights. </w:t>
      </w:r>
      <w:r w:rsidR="00146A05" w:rsidRPr="00680758">
        <w:t>Honduras</w:t>
      </w:r>
      <w:r w:rsidR="004634ED" w:rsidRPr="00680758">
        <w:t xml:space="preserve"> ranks 131</w:t>
      </w:r>
      <w:r w:rsidR="00E07894" w:rsidRPr="00680758">
        <w:t xml:space="preserve"> out of 188</w:t>
      </w:r>
      <w:r w:rsidR="004634ED" w:rsidRPr="00680758">
        <w:t xml:space="preserve"> </w:t>
      </w:r>
      <w:r w:rsidR="00146A05" w:rsidRPr="00680758">
        <w:t xml:space="preserve">countries </w:t>
      </w:r>
      <w:r w:rsidR="004634ED" w:rsidRPr="00680758">
        <w:t>on the human development index</w:t>
      </w:r>
      <w:r w:rsidR="00C85BE6">
        <w:t>,</w:t>
      </w:r>
      <w:r w:rsidR="0004064C" w:rsidRPr="00680758">
        <w:t xml:space="preserve"> </w:t>
      </w:r>
      <w:r w:rsidR="004634ED" w:rsidRPr="00680758">
        <w:t>scor</w:t>
      </w:r>
      <w:r w:rsidR="00C85BE6">
        <w:t>ing</w:t>
      </w:r>
      <w:r w:rsidR="004634ED" w:rsidRPr="00680758">
        <w:t xml:space="preserve"> 0.606</w:t>
      </w:r>
      <w:r w:rsidR="00C85BE6">
        <w:t xml:space="preserve">, </w:t>
      </w:r>
      <w:r w:rsidR="004634ED" w:rsidRPr="00680758">
        <w:t>and a gender inequality index score of 0.48</w:t>
      </w:r>
      <w:r w:rsidR="00E07894" w:rsidRPr="00680758">
        <w:t>.</w:t>
      </w:r>
      <w:r w:rsidR="0004064C" w:rsidRPr="00680758">
        <w:rPr>
          <w:vertAlign w:val="superscript"/>
        </w:rPr>
        <w:footnoteReference w:id="3"/>
      </w:r>
      <w:r w:rsidR="0004064C" w:rsidRPr="00680758">
        <w:t xml:space="preserve"> The causes of poverty and inequality</w:t>
      </w:r>
      <w:r w:rsidR="00207336" w:rsidRPr="00680758">
        <w:t xml:space="preserve"> are multi-faceted and</w:t>
      </w:r>
      <w:r w:rsidR="0004064C" w:rsidRPr="00680758">
        <w:t xml:space="preserve"> include high levels of </w:t>
      </w:r>
      <w:r w:rsidR="00C85BE6">
        <w:t xml:space="preserve">public sector </w:t>
      </w:r>
      <w:r w:rsidR="0004064C" w:rsidRPr="00680758">
        <w:t>corruption, violence</w:t>
      </w:r>
      <w:r w:rsidR="00C85BE6">
        <w:t>,</w:t>
      </w:r>
      <w:r w:rsidR="0004064C" w:rsidRPr="00680758">
        <w:t xml:space="preserve"> insecurity, low productivity</w:t>
      </w:r>
      <w:r w:rsidR="00C85BE6">
        <w:t>,</w:t>
      </w:r>
      <w:r w:rsidR="0004064C" w:rsidRPr="00680758">
        <w:t xml:space="preserve"> </w:t>
      </w:r>
      <w:r w:rsidR="00C85BE6">
        <w:t>shortage</w:t>
      </w:r>
      <w:r w:rsidR="00C85BE6" w:rsidRPr="00680758">
        <w:t xml:space="preserve"> </w:t>
      </w:r>
      <w:r w:rsidR="0004064C" w:rsidRPr="00680758">
        <w:t xml:space="preserve">of </w:t>
      </w:r>
      <w:r w:rsidR="00E07894" w:rsidRPr="00680758">
        <w:t xml:space="preserve">decent </w:t>
      </w:r>
      <w:r w:rsidR="0004064C" w:rsidRPr="00680758">
        <w:t xml:space="preserve">employment opportunities, family ties </w:t>
      </w:r>
      <w:r w:rsidR="002C1717">
        <w:t>strained</w:t>
      </w:r>
      <w:r w:rsidR="002C1717" w:rsidRPr="00680758">
        <w:t xml:space="preserve"> </w:t>
      </w:r>
      <w:r w:rsidR="0004064C" w:rsidRPr="00680758">
        <w:t xml:space="preserve">by migration, </w:t>
      </w:r>
      <w:r w:rsidR="002C1717" w:rsidRPr="00680758">
        <w:t>h</w:t>
      </w:r>
      <w:r w:rsidR="002C1717">
        <w:t>eavy</w:t>
      </w:r>
      <w:r w:rsidR="002C1717" w:rsidRPr="00680758">
        <w:t xml:space="preserve"> </w:t>
      </w:r>
      <w:r w:rsidR="0004064C" w:rsidRPr="00680758">
        <w:t>dependence on natural resources and subsistence agriculture vulnerable to eco-system</w:t>
      </w:r>
      <w:r w:rsidR="002C1717">
        <w:t xml:space="preserve"> deterioration</w:t>
      </w:r>
      <w:r w:rsidR="0004064C" w:rsidRPr="00680758">
        <w:t xml:space="preserve"> and climate change, isolation and </w:t>
      </w:r>
      <w:r w:rsidR="00207336" w:rsidRPr="00680758">
        <w:t xml:space="preserve">problems of land occupation and tenure </w:t>
      </w:r>
      <w:r w:rsidR="0004064C" w:rsidRPr="00680758">
        <w:t xml:space="preserve">(such as in </w:t>
      </w:r>
      <w:r w:rsidR="002C1717">
        <w:t>La</w:t>
      </w:r>
      <w:r w:rsidR="002C1717" w:rsidRPr="00680758">
        <w:t xml:space="preserve"> </w:t>
      </w:r>
      <w:r w:rsidR="0004064C" w:rsidRPr="00680758">
        <w:t>Mosquitia).</w:t>
      </w:r>
      <w:r w:rsidR="00040BA9" w:rsidRPr="00680758">
        <w:t xml:space="preserve"> </w:t>
      </w:r>
    </w:p>
    <w:p w14:paraId="6CA3D117" w14:textId="3B2BAAAE" w:rsidR="0050428A" w:rsidRPr="00680758" w:rsidRDefault="003D3644" w:rsidP="000C4685">
      <w:pPr>
        <w:spacing w:after="120"/>
        <w:ind w:left="1276" w:right="1210"/>
        <w:jc w:val="both"/>
      </w:pPr>
      <w:r w:rsidRPr="00680758">
        <w:t>2</w:t>
      </w:r>
      <w:r w:rsidR="004467F5" w:rsidRPr="00680758">
        <w:t xml:space="preserve">. </w:t>
      </w:r>
      <w:r w:rsidR="00C6146D">
        <w:t>P</w:t>
      </w:r>
      <w:r w:rsidR="0050428A" w:rsidRPr="00680758">
        <w:rPr>
          <w:b/>
        </w:rPr>
        <w:t>olitical participation of citizens and the full enjoyment of human rights</w:t>
      </w:r>
      <w:r w:rsidR="000E5A87" w:rsidRPr="00680758">
        <w:t xml:space="preserve"> face </w:t>
      </w:r>
      <w:r w:rsidR="006D5B1F" w:rsidRPr="00680758">
        <w:t>significant</w:t>
      </w:r>
      <w:r w:rsidR="0050428A" w:rsidRPr="00680758">
        <w:t xml:space="preserve"> challenges. </w:t>
      </w:r>
      <w:r w:rsidR="00041499" w:rsidRPr="00680758">
        <w:t>T</w:t>
      </w:r>
      <w:r w:rsidR="0050428A" w:rsidRPr="00680758">
        <w:t xml:space="preserve">he </w:t>
      </w:r>
      <w:r w:rsidR="004B52F6" w:rsidRPr="00680758">
        <w:t>Honduras</w:t>
      </w:r>
      <w:r w:rsidR="000E5A87" w:rsidRPr="00680758">
        <w:t xml:space="preserve"> </w:t>
      </w:r>
      <w:r w:rsidR="00041499" w:rsidRPr="00680758">
        <w:t xml:space="preserve">2015 </w:t>
      </w:r>
      <w:r w:rsidR="00717706" w:rsidRPr="00680758">
        <w:t xml:space="preserve">Universal </w:t>
      </w:r>
      <w:r w:rsidR="0050428A" w:rsidRPr="00680758">
        <w:t xml:space="preserve">Periodic </w:t>
      </w:r>
      <w:r w:rsidR="00717706" w:rsidRPr="00680758">
        <w:t>Review</w:t>
      </w:r>
      <w:r w:rsidR="0050428A" w:rsidRPr="00680758">
        <w:t xml:space="preserve"> </w:t>
      </w:r>
      <w:r w:rsidR="00041499" w:rsidRPr="00680758">
        <w:t>provided</w:t>
      </w:r>
      <w:r w:rsidR="000E5A87" w:rsidRPr="00680758">
        <w:t xml:space="preserve"> 152 recommendations, of which </w:t>
      </w:r>
      <w:r w:rsidR="0050428A" w:rsidRPr="00680758">
        <w:t>94 (60.5</w:t>
      </w:r>
      <w:r w:rsidR="00E46571">
        <w:t xml:space="preserve"> per cent</w:t>
      </w:r>
      <w:r w:rsidR="0050428A" w:rsidRPr="00680758">
        <w:t>) referred directly to the situation of women,</w:t>
      </w:r>
      <w:r w:rsidR="000E5A87" w:rsidRPr="00680758">
        <w:t xml:space="preserve"> indigenous and afro-descendant ethnic groups</w:t>
      </w:r>
      <w:r w:rsidR="0050428A" w:rsidRPr="00680758">
        <w:t xml:space="preserve">, youth, people with disabilities and the LGBTI community. </w:t>
      </w:r>
      <w:r w:rsidR="00C91875">
        <w:t>T</w:t>
      </w:r>
      <w:r w:rsidR="008823FE" w:rsidRPr="00680758">
        <w:t xml:space="preserve">he size of </w:t>
      </w:r>
      <w:r w:rsidR="00C91875">
        <w:t xml:space="preserve">the </w:t>
      </w:r>
      <w:r w:rsidR="008823FE" w:rsidRPr="00680758">
        <w:t xml:space="preserve">indigenous and afro-descendent </w:t>
      </w:r>
      <w:r w:rsidR="00F30E61" w:rsidRPr="00680758">
        <w:t xml:space="preserve">population </w:t>
      </w:r>
      <w:r w:rsidR="00C91875">
        <w:t xml:space="preserve">is believed to be somewhere between </w:t>
      </w:r>
      <w:r w:rsidR="00C44E43" w:rsidRPr="00680758">
        <w:t>10</w:t>
      </w:r>
      <w:r w:rsidR="008823FE" w:rsidRPr="00680758">
        <w:rPr>
          <w:rStyle w:val="FootnoteReference"/>
        </w:rPr>
        <w:footnoteReference w:id="4"/>
      </w:r>
      <w:r w:rsidR="008823FE" w:rsidRPr="00680758">
        <w:t xml:space="preserve"> to 20</w:t>
      </w:r>
      <w:r w:rsidR="00E46571">
        <w:t xml:space="preserve"> per cent</w:t>
      </w:r>
      <w:r w:rsidR="008823FE" w:rsidRPr="00680758">
        <w:rPr>
          <w:rStyle w:val="FootnoteReference"/>
        </w:rPr>
        <w:footnoteReference w:id="5"/>
      </w:r>
      <w:r w:rsidR="00C7291E" w:rsidRPr="00680758">
        <w:t xml:space="preserve"> of </w:t>
      </w:r>
      <w:r w:rsidR="00C91875">
        <w:t xml:space="preserve">the </w:t>
      </w:r>
      <w:r w:rsidR="00C7291E" w:rsidRPr="00680758">
        <w:t xml:space="preserve">total </w:t>
      </w:r>
      <w:r w:rsidR="00F30E61" w:rsidRPr="00680758">
        <w:t>p</w:t>
      </w:r>
      <w:r w:rsidR="00C7291E" w:rsidRPr="00680758">
        <w:t>opula</w:t>
      </w:r>
      <w:r w:rsidR="008823FE" w:rsidRPr="00680758">
        <w:t xml:space="preserve">tion. </w:t>
      </w:r>
      <w:r w:rsidR="00C91875">
        <w:t>This group suffers from</w:t>
      </w:r>
      <w:r w:rsidR="00F50A82" w:rsidRPr="00680758">
        <w:t xml:space="preserve"> low</w:t>
      </w:r>
      <w:r w:rsidR="008823FE" w:rsidRPr="00680758">
        <w:t xml:space="preserve"> human development indicators </w:t>
      </w:r>
      <w:r w:rsidR="00F50A82" w:rsidRPr="00680758">
        <w:t>with</w:t>
      </w:r>
      <w:r w:rsidR="008823FE" w:rsidRPr="00680758">
        <w:t xml:space="preserve"> lags in years of education, economic participation, income generation and housing conditions, loss of language and gender roles disadvantageous to women.</w:t>
      </w:r>
      <w:r w:rsidR="008823FE" w:rsidRPr="00680758">
        <w:rPr>
          <w:rStyle w:val="FootnoteReference"/>
        </w:rPr>
        <w:footnoteReference w:id="6"/>
      </w:r>
      <w:r w:rsidR="008823FE" w:rsidRPr="00680758">
        <w:t xml:space="preserve"> </w:t>
      </w:r>
      <w:r w:rsidR="00040BA9" w:rsidRPr="00680758">
        <w:t>The LGBTI community</w:t>
      </w:r>
      <w:r w:rsidR="00E57919" w:rsidRPr="00680758">
        <w:t xml:space="preserve"> </w:t>
      </w:r>
      <w:r w:rsidR="00442D2E" w:rsidRPr="00680758">
        <w:t>face</w:t>
      </w:r>
      <w:r w:rsidR="00C91875">
        <w:t>s</w:t>
      </w:r>
      <w:r w:rsidR="00442D2E" w:rsidRPr="00680758">
        <w:t xml:space="preserve"> high levels of discrimination and persecution</w:t>
      </w:r>
      <w:r w:rsidR="002E09DD">
        <w:t>.</w:t>
      </w:r>
      <w:r w:rsidR="00442D2E" w:rsidRPr="00680758">
        <w:rPr>
          <w:rStyle w:val="FootnoteReference"/>
        </w:rPr>
        <w:footnoteReference w:id="7"/>
      </w:r>
      <w:r w:rsidR="00F50A82" w:rsidRPr="00680758">
        <w:rPr>
          <w:vertAlign w:val="superscript"/>
        </w:rPr>
        <w:t>,</w:t>
      </w:r>
      <w:r w:rsidR="002E09DD">
        <w:t xml:space="preserve"> </w:t>
      </w:r>
      <w:r w:rsidR="00F50A82" w:rsidRPr="00680758">
        <w:rPr>
          <w:rStyle w:val="FootnoteReference"/>
        </w:rPr>
        <w:footnoteReference w:id="8"/>
      </w:r>
      <w:r w:rsidR="002E09DD">
        <w:t xml:space="preserve"> </w:t>
      </w:r>
      <w:r w:rsidR="0050428A" w:rsidRPr="00680758">
        <w:t>Despite advances toward</w:t>
      </w:r>
      <w:r w:rsidR="00001624" w:rsidRPr="00680758">
        <w:t xml:space="preserve"> a new model of representation </w:t>
      </w:r>
      <w:r w:rsidR="00C91875">
        <w:t>and</w:t>
      </w:r>
      <w:r w:rsidR="00C91875" w:rsidRPr="00680758">
        <w:t xml:space="preserve"> </w:t>
      </w:r>
      <w:r w:rsidR="0050428A" w:rsidRPr="00680758">
        <w:t>the appearance of new politic</w:t>
      </w:r>
      <w:r w:rsidR="00041499" w:rsidRPr="00680758">
        <w:t xml:space="preserve">al parties, </w:t>
      </w:r>
      <w:r w:rsidR="0050428A" w:rsidRPr="00680758">
        <w:t>polarization generated by th</w:t>
      </w:r>
      <w:r w:rsidR="00717706" w:rsidRPr="00680758">
        <w:t>e 2009 political crisis</w:t>
      </w:r>
      <w:r w:rsidR="00001624" w:rsidRPr="00680758">
        <w:t xml:space="preserve"> persist</w:t>
      </w:r>
      <w:r w:rsidR="00FD2C6C" w:rsidRPr="00680758">
        <w:t>s</w:t>
      </w:r>
      <w:r w:rsidR="00C91875">
        <w:t xml:space="preserve"> and</w:t>
      </w:r>
      <w:r w:rsidR="00FD2C6C" w:rsidRPr="00680758">
        <w:t xml:space="preserve"> </w:t>
      </w:r>
      <w:r w:rsidR="00717706" w:rsidRPr="00680758">
        <w:t xml:space="preserve">is evident </w:t>
      </w:r>
      <w:r w:rsidR="00041499" w:rsidRPr="00680758">
        <w:t>in daily life.</w:t>
      </w:r>
      <w:r w:rsidR="00717706" w:rsidRPr="00680758">
        <w:t xml:space="preserve"> </w:t>
      </w:r>
      <w:r w:rsidR="00EF6C72">
        <w:t>Honduras progress</w:t>
      </w:r>
      <w:r w:rsidR="00B266BA">
        <w:t>ed</w:t>
      </w:r>
      <w:r w:rsidR="00EF6C72">
        <w:t xml:space="preserve"> on the </w:t>
      </w:r>
      <w:r w:rsidR="00041499" w:rsidRPr="00680758">
        <w:t>Tr</w:t>
      </w:r>
      <w:r w:rsidR="004B52F6" w:rsidRPr="00680758">
        <w:t>ansparency International</w:t>
      </w:r>
      <w:r w:rsidR="00041499" w:rsidRPr="00680758">
        <w:t xml:space="preserve"> Corruption Perception I</w:t>
      </w:r>
      <w:r w:rsidR="002F1CBE" w:rsidRPr="00680758">
        <w:t>ndex, moving from 133</w:t>
      </w:r>
      <w:r w:rsidR="002F1CBE" w:rsidRPr="00680758">
        <w:rPr>
          <w:vertAlign w:val="superscript"/>
        </w:rPr>
        <w:t>rd</w:t>
      </w:r>
      <w:r w:rsidR="002F1CBE" w:rsidRPr="00680758">
        <w:t xml:space="preserve"> in 2012 to 112</w:t>
      </w:r>
      <w:r w:rsidR="002F1CBE" w:rsidRPr="00680758">
        <w:rPr>
          <w:vertAlign w:val="superscript"/>
        </w:rPr>
        <w:t>th</w:t>
      </w:r>
      <w:r w:rsidR="002F1CBE" w:rsidRPr="00680758">
        <w:t xml:space="preserve"> in 2015. </w:t>
      </w:r>
      <w:r w:rsidR="007E75ED" w:rsidRPr="00680758">
        <w:t xml:space="preserve">The government </w:t>
      </w:r>
      <w:r w:rsidR="007E75ED">
        <w:t xml:space="preserve">signed an agreement with the global anti-corruption coalition </w:t>
      </w:r>
      <w:r w:rsidR="007E75ED" w:rsidRPr="00680758">
        <w:t>Transparency Internationa</w:t>
      </w:r>
      <w:r w:rsidR="007E75ED">
        <w:t>l</w:t>
      </w:r>
      <w:r w:rsidR="007E75ED" w:rsidRPr="00680758">
        <w:t xml:space="preserve"> and the Mission to Support Fight against Corruption and Impunity in Honduras of the Organization of American States. </w:t>
      </w:r>
      <w:r w:rsidR="00B266BA">
        <w:t>Nevertheless, s</w:t>
      </w:r>
      <w:r w:rsidR="00B266BA" w:rsidRPr="00680758">
        <w:t xml:space="preserve">ocial discontent </w:t>
      </w:r>
      <w:r w:rsidR="00B266BA">
        <w:t>over</w:t>
      </w:r>
      <w:r w:rsidR="00B266BA" w:rsidRPr="00680758">
        <w:t xml:space="preserve"> inequality in access to basic services and opportunities, allegations of public corruption and overall impunity have </w:t>
      </w:r>
      <w:r w:rsidR="00B266BA">
        <w:t>led to continued</w:t>
      </w:r>
      <w:r w:rsidR="00B266BA" w:rsidRPr="00680758">
        <w:t xml:space="preserve"> widespread dissatisfaction among citizens.</w:t>
      </w:r>
      <w:r w:rsidR="000C4685">
        <w:t xml:space="preserve"> </w:t>
      </w:r>
      <w:r w:rsidR="000C4685" w:rsidRPr="00680758">
        <w:t>USAID and EU</w:t>
      </w:r>
      <w:r w:rsidR="000C4685">
        <w:t xml:space="preserve"> are </w:t>
      </w:r>
      <w:r w:rsidR="000C4685" w:rsidRPr="00680758">
        <w:t>support</w:t>
      </w:r>
      <w:r w:rsidR="000C4685">
        <w:t>ing</w:t>
      </w:r>
      <w:r w:rsidR="000C4685" w:rsidRPr="00680758">
        <w:t xml:space="preserve"> the justice sector </w:t>
      </w:r>
      <w:r w:rsidR="000C4685">
        <w:t xml:space="preserve">to </w:t>
      </w:r>
      <w:r w:rsidR="000C4685" w:rsidRPr="00680758">
        <w:t>comb</w:t>
      </w:r>
      <w:r w:rsidR="000C4685">
        <w:t xml:space="preserve">at </w:t>
      </w:r>
      <w:r w:rsidR="000C4685" w:rsidRPr="00680758">
        <w:t>impunity.</w:t>
      </w:r>
    </w:p>
    <w:p w14:paraId="0B086453" w14:textId="44C6A210" w:rsidR="00907F44" w:rsidRPr="00680758" w:rsidRDefault="003D3644" w:rsidP="00A8785D">
      <w:pPr>
        <w:spacing w:after="120"/>
        <w:ind w:left="1276" w:right="1210"/>
        <w:jc w:val="both"/>
      </w:pPr>
      <w:r w:rsidRPr="00680758">
        <w:t xml:space="preserve">3. </w:t>
      </w:r>
      <w:r w:rsidR="002E09DD">
        <w:t xml:space="preserve">The </w:t>
      </w:r>
      <w:r w:rsidR="002E09DD">
        <w:rPr>
          <w:b/>
        </w:rPr>
        <w:t>l</w:t>
      </w:r>
      <w:r w:rsidR="00907F44" w:rsidRPr="00680758">
        <w:rPr>
          <w:b/>
        </w:rPr>
        <w:t xml:space="preserve">ack of citizen security </w:t>
      </w:r>
      <w:r w:rsidR="00907F44" w:rsidRPr="00680758">
        <w:t>pose</w:t>
      </w:r>
      <w:r w:rsidR="002E09DD">
        <w:t>s</w:t>
      </w:r>
      <w:r w:rsidR="00907F44" w:rsidRPr="00680758">
        <w:t xml:space="preserve"> an obstacle to human development in Honduras</w:t>
      </w:r>
      <w:r w:rsidR="001A7835" w:rsidRPr="00680758">
        <w:t>.</w:t>
      </w:r>
      <w:r w:rsidR="00907F44" w:rsidRPr="00680758">
        <w:rPr>
          <w:rStyle w:val="FootnoteReference"/>
          <w:lang w:val="es-ES"/>
        </w:rPr>
        <w:footnoteReference w:id="9"/>
      </w:r>
      <w:r w:rsidR="001A7835" w:rsidRPr="00680758">
        <w:t xml:space="preserve"> </w:t>
      </w:r>
      <w:r w:rsidR="005C057A" w:rsidRPr="00680758">
        <w:t xml:space="preserve">In 2011, the economic cost of crime and violence was estimated </w:t>
      </w:r>
      <w:r w:rsidR="005C057A">
        <w:t>at US$</w:t>
      </w:r>
      <w:r w:rsidR="005C057A" w:rsidRPr="00680758">
        <w:t>885 million</w:t>
      </w:r>
      <w:r w:rsidR="005C057A">
        <w:t>,</w:t>
      </w:r>
      <w:r w:rsidR="005C057A" w:rsidRPr="00680758">
        <w:t xml:space="preserve"> or 9.6</w:t>
      </w:r>
      <w:r w:rsidR="005C057A">
        <w:t xml:space="preserve"> per cent</w:t>
      </w:r>
      <w:r w:rsidR="005C057A" w:rsidRPr="00680758">
        <w:t xml:space="preserve"> of the </w:t>
      </w:r>
      <w:r w:rsidR="005C057A">
        <w:t>GDP</w:t>
      </w:r>
      <w:r w:rsidR="005C057A" w:rsidRPr="00680758">
        <w:t>.</w:t>
      </w:r>
      <w:r w:rsidR="005C057A" w:rsidRPr="00680758">
        <w:rPr>
          <w:rStyle w:val="FootnoteReference"/>
        </w:rPr>
        <w:t xml:space="preserve"> </w:t>
      </w:r>
      <w:r w:rsidR="005C057A" w:rsidRPr="00680758">
        <w:rPr>
          <w:rStyle w:val="FootnoteReference"/>
        </w:rPr>
        <w:footnoteReference w:id="10"/>
      </w:r>
      <w:r w:rsidR="005C057A" w:rsidRPr="00680758">
        <w:t xml:space="preserve"> </w:t>
      </w:r>
      <w:r w:rsidR="00735299">
        <w:t>V</w:t>
      </w:r>
      <w:r w:rsidR="00AC3BEF">
        <w:t>iolence and insecurity</w:t>
      </w:r>
      <w:r w:rsidR="00AC3BEF" w:rsidRPr="00680758">
        <w:t xml:space="preserve"> disproportionately affect women, youth and other vulnerable groups. Despite significant progress in reducing </w:t>
      </w:r>
      <w:r w:rsidR="004D4D47">
        <w:t xml:space="preserve">homicide </w:t>
      </w:r>
      <w:r w:rsidR="00FA71EF">
        <w:t>rates</w:t>
      </w:r>
      <w:r w:rsidR="004D4D47">
        <w:t>,</w:t>
      </w:r>
      <w:r w:rsidR="00AC3BEF" w:rsidRPr="00680758">
        <w:t xml:space="preserve"> excessive levels of violence</w:t>
      </w:r>
      <w:r w:rsidR="00AC3BEF">
        <w:t xml:space="preserve"> persist</w:t>
      </w:r>
      <w:r w:rsidR="00AC3BEF" w:rsidRPr="00680758">
        <w:t xml:space="preserve">. </w:t>
      </w:r>
      <w:r w:rsidR="00735299">
        <w:t>T</w:t>
      </w:r>
      <w:r w:rsidR="00AC3BEF" w:rsidRPr="00680758">
        <w:t xml:space="preserve">he homicide rate </w:t>
      </w:r>
      <w:r w:rsidR="00735299">
        <w:t xml:space="preserve">in 2015 </w:t>
      </w:r>
      <w:r w:rsidR="00FA71EF">
        <w:t>was</w:t>
      </w:r>
      <w:r w:rsidR="00AC3BEF" w:rsidRPr="00680758">
        <w:t xml:space="preserve"> 60 per 100,000 inhabitants</w:t>
      </w:r>
      <w:r w:rsidR="00AC3BEF">
        <w:t>.</w:t>
      </w:r>
      <w:r w:rsidR="00AC3BEF" w:rsidRPr="00680758">
        <w:rPr>
          <w:rStyle w:val="FootnoteReference"/>
          <w:lang w:val="es-ES"/>
        </w:rPr>
        <w:footnoteReference w:id="11"/>
      </w:r>
      <w:r w:rsidR="00AC3BEF" w:rsidRPr="00680758">
        <w:t xml:space="preserve"> </w:t>
      </w:r>
      <w:r w:rsidR="00AC3BEF">
        <w:t>M</w:t>
      </w:r>
      <w:r w:rsidR="00AC3BEF" w:rsidRPr="00680758">
        <w:t xml:space="preserve">oreover, </w:t>
      </w:r>
      <w:r w:rsidR="00AC3BEF">
        <w:t>Honduras</w:t>
      </w:r>
      <w:r w:rsidR="00AC3BEF" w:rsidRPr="00680758">
        <w:t xml:space="preserve"> has the highest rate of reported femicides in Latin America (531 in 2014</w:t>
      </w:r>
      <w:r w:rsidR="00AC3BEF" w:rsidRPr="00680758">
        <w:rPr>
          <w:rStyle w:val="FootnoteReference"/>
          <w:lang w:val="es-ES"/>
        </w:rPr>
        <w:footnoteReference w:id="12"/>
      </w:r>
      <w:r w:rsidR="00AC3BEF" w:rsidRPr="00680758">
        <w:t>).</w:t>
      </w:r>
      <w:r w:rsidR="00915FEB">
        <w:t xml:space="preserve"> </w:t>
      </w:r>
      <w:r w:rsidR="006F011B">
        <w:lastRenderedPageBreak/>
        <w:t>V</w:t>
      </w:r>
      <w:r w:rsidR="006F011B" w:rsidRPr="00680758">
        <w:t xml:space="preserve">iolence and citizen insecurity </w:t>
      </w:r>
      <w:r w:rsidR="00FA71EF">
        <w:t xml:space="preserve">negatively </w:t>
      </w:r>
      <w:r w:rsidR="006F011B" w:rsidRPr="00680758">
        <w:t>impact</w:t>
      </w:r>
      <w:r w:rsidR="00FA71EF">
        <w:t xml:space="preserve"> </w:t>
      </w:r>
      <w:r w:rsidR="006F011B" w:rsidRPr="00680758">
        <w:t>people’s lives</w:t>
      </w:r>
      <w:r w:rsidR="006F011B" w:rsidRPr="00680758">
        <w:rPr>
          <w:rStyle w:val="FootnoteReference"/>
          <w:lang w:val="es-ES"/>
        </w:rPr>
        <w:footnoteReference w:id="13"/>
      </w:r>
      <w:r w:rsidR="006F011B" w:rsidRPr="00680758">
        <w:t xml:space="preserve"> and </w:t>
      </w:r>
      <w:r w:rsidR="006F011B">
        <w:t>are</w:t>
      </w:r>
      <w:r w:rsidR="006F011B" w:rsidRPr="00680758">
        <w:t xml:space="preserve"> a priority for the </w:t>
      </w:r>
      <w:r w:rsidR="00FA71EF">
        <w:t>G</w:t>
      </w:r>
      <w:r w:rsidR="006F011B" w:rsidRPr="00680758">
        <w:t>overnment.</w:t>
      </w:r>
      <w:r w:rsidR="006F011B" w:rsidRPr="00680758">
        <w:rPr>
          <w:rStyle w:val="FootnoteReference"/>
          <w:lang w:val="es-ES"/>
        </w:rPr>
        <w:footnoteReference w:id="14"/>
      </w:r>
      <w:r w:rsidR="006F011B" w:rsidRPr="00680758">
        <w:t xml:space="preserve"> </w:t>
      </w:r>
      <w:r w:rsidR="00B97307">
        <w:t>Recent e</w:t>
      </w:r>
      <w:r w:rsidR="00851EDF" w:rsidRPr="00680758">
        <w:t>vidence linked migration to high levels of violence and criminality</w:t>
      </w:r>
      <w:r w:rsidR="00851EDF" w:rsidRPr="00680758">
        <w:rPr>
          <w:rStyle w:val="FootnoteReference"/>
        </w:rPr>
        <w:footnoteReference w:id="15"/>
      </w:r>
      <w:r w:rsidR="00851EDF" w:rsidRPr="00680758">
        <w:t xml:space="preserve">, </w:t>
      </w:r>
      <w:r w:rsidR="00FA71EF">
        <w:t>prompting</w:t>
      </w:r>
      <w:r w:rsidR="00851EDF" w:rsidRPr="00680758">
        <w:t xml:space="preserve"> the Government </w:t>
      </w:r>
      <w:r w:rsidR="006F011B" w:rsidRPr="00680758">
        <w:t xml:space="preserve">in 2013 </w:t>
      </w:r>
      <w:r w:rsidR="00851EDF" w:rsidRPr="00680758">
        <w:t xml:space="preserve">to establish the Inter-Institutional Commission for the </w:t>
      </w:r>
      <w:r w:rsidR="00851EDF" w:rsidRPr="00680758">
        <w:rPr>
          <w:bCs/>
        </w:rPr>
        <w:t>Protection</w:t>
      </w:r>
      <w:r w:rsidR="00851EDF" w:rsidRPr="00680758">
        <w:t xml:space="preserve"> of </w:t>
      </w:r>
      <w:r w:rsidR="00851EDF" w:rsidRPr="00680758">
        <w:rPr>
          <w:bCs/>
        </w:rPr>
        <w:t>Persons Displaced</w:t>
      </w:r>
      <w:r w:rsidR="00851EDF" w:rsidRPr="00680758">
        <w:t xml:space="preserve"> by </w:t>
      </w:r>
      <w:r w:rsidR="00851EDF" w:rsidRPr="00680758">
        <w:rPr>
          <w:bCs/>
        </w:rPr>
        <w:t>Violence</w:t>
      </w:r>
      <w:r w:rsidR="00851EDF" w:rsidRPr="00680758">
        <w:t>.</w:t>
      </w:r>
      <w:r w:rsidR="00851EDF" w:rsidRPr="00680758">
        <w:rPr>
          <w:rStyle w:val="FootnoteReference"/>
        </w:rPr>
        <w:footnoteReference w:id="16"/>
      </w:r>
      <w:r w:rsidR="00851EDF" w:rsidRPr="00680758">
        <w:t xml:space="preserve"> </w:t>
      </w:r>
    </w:p>
    <w:p w14:paraId="0F4F6FB6" w14:textId="0990B0B8" w:rsidR="001D73ED" w:rsidRPr="00680758" w:rsidRDefault="000E2AB8" w:rsidP="00A8785D">
      <w:pPr>
        <w:spacing w:after="120"/>
        <w:ind w:left="1276" w:right="1210"/>
        <w:jc w:val="both"/>
      </w:pPr>
      <w:r w:rsidRPr="00680758">
        <w:t>4</w:t>
      </w:r>
      <w:r w:rsidR="00215A5F" w:rsidRPr="00680758">
        <w:t xml:space="preserve">. </w:t>
      </w:r>
      <w:r w:rsidR="001D73ED" w:rsidRPr="00680758">
        <w:t xml:space="preserve">Since </w:t>
      </w:r>
      <w:r w:rsidR="003B7B61" w:rsidRPr="00680758">
        <w:t xml:space="preserve">2009, </w:t>
      </w:r>
      <w:r w:rsidR="001D73ED" w:rsidRPr="00680758">
        <w:t>UNDP has supported</w:t>
      </w:r>
      <w:r w:rsidR="0063186B">
        <w:t xml:space="preserve"> </w:t>
      </w:r>
      <w:r w:rsidR="001D73ED" w:rsidRPr="00EA3311">
        <w:rPr>
          <w:b/>
        </w:rPr>
        <w:t>institutional strengthening</w:t>
      </w:r>
      <w:r w:rsidR="001D73ED" w:rsidRPr="00680758">
        <w:t xml:space="preserve"> of key </w:t>
      </w:r>
      <w:r w:rsidR="003E21DD" w:rsidRPr="00680758">
        <w:t>actors</w:t>
      </w:r>
      <w:r w:rsidR="00FB1223" w:rsidRPr="00680758">
        <w:t xml:space="preserve"> and </w:t>
      </w:r>
      <w:r w:rsidR="003E21DD" w:rsidRPr="00680758">
        <w:t>has</w:t>
      </w:r>
      <w:r w:rsidR="001D73ED" w:rsidRPr="00680758">
        <w:t xml:space="preserve"> demonstrated credibility, neutrality and </w:t>
      </w:r>
      <w:r w:rsidR="00B73F97" w:rsidRPr="00680758">
        <w:t xml:space="preserve">convening </w:t>
      </w:r>
      <w:r w:rsidR="007B01A3" w:rsidRPr="00680758">
        <w:t>capacity</w:t>
      </w:r>
      <w:r w:rsidR="00B73F97" w:rsidRPr="00680758">
        <w:t xml:space="preserve"> to c</w:t>
      </w:r>
      <w:r w:rsidR="001D73ED" w:rsidRPr="00680758">
        <w:t>reate spaces for citizen par</w:t>
      </w:r>
      <w:r w:rsidR="00C61B7E" w:rsidRPr="00680758">
        <w:t>ticipation and dialogue</w:t>
      </w:r>
      <w:r w:rsidR="001D73ED" w:rsidRPr="00680758">
        <w:t xml:space="preserve">. This </w:t>
      </w:r>
      <w:r w:rsidR="001A7F11" w:rsidRPr="00680758">
        <w:t>approach</w:t>
      </w:r>
      <w:r w:rsidR="001D73ED" w:rsidRPr="00680758">
        <w:t xml:space="preserve"> has been effective for including citizen vision and feedback in the design and implementation of public policies</w:t>
      </w:r>
      <w:r w:rsidR="00FC5D75">
        <w:t>,</w:t>
      </w:r>
      <w:r w:rsidR="001D73ED" w:rsidRPr="00680758">
        <w:t xml:space="preserve"> such as the Comprehensive Human Rights Plan, the National Policy against Racism and Racial Discrimination, the Agenda for Indigenous and Afro-descendent Women, the Comprehensive Policy on Citizen Security and Coexistence (2012-2022) and support </w:t>
      </w:r>
      <w:r w:rsidR="0067353C" w:rsidRPr="00680758">
        <w:t xml:space="preserve">to </w:t>
      </w:r>
      <w:r w:rsidR="001D73ED" w:rsidRPr="00680758">
        <w:t xml:space="preserve">civil society </w:t>
      </w:r>
      <w:r w:rsidR="00463969" w:rsidRPr="00680758">
        <w:t xml:space="preserve">for </w:t>
      </w:r>
      <w:r w:rsidR="001D73ED" w:rsidRPr="00680758">
        <w:t>complement</w:t>
      </w:r>
      <w:r w:rsidR="0067353C" w:rsidRPr="00680758">
        <w:t>ing</w:t>
      </w:r>
      <w:r w:rsidR="001D73ED" w:rsidRPr="00680758">
        <w:t xml:space="preserve"> state action.</w:t>
      </w:r>
      <w:r w:rsidR="001D73ED" w:rsidRPr="00680758">
        <w:rPr>
          <w:rStyle w:val="FootnoteReference"/>
          <w:lang w:val="es-ES"/>
        </w:rPr>
        <w:footnoteReference w:id="17"/>
      </w:r>
      <w:r w:rsidR="001D73ED" w:rsidRPr="00680758">
        <w:t xml:space="preserve"> </w:t>
      </w:r>
      <w:r w:rsidR="003E21DD" w:rsidRPr="00680758">
        <w:t>Similarly at the local level</w:t>
      </w:r>
      <w:r w:rsidR="001A7F11" w:rsidRPr="00680758">
        <w:t xml:space="preserve">, </w:t>
      </w:r>
      <w:r w:rsidR="003E21DD" w:rsidRPr="00680758">
        <w:t xml:space="preserve">with UNDP support, </w:t>
      </w:r>
      <w:r w:rsidR="001A7F11" w:rsidRPr="00680758">
        <w:t xml:space="preserve">Plans for Coexistence and Citizen Security are being implemented in five of the </w:t>
      </w:r>
      <w:r w:rsidR="00D208D1" w:rsidRPr="00680758">
        <w:t xml:space="preserve">country’s </w:t>
      </w:r>
      <w:r w:rsidR="001A7F11" w:rsidRPr="00680758">
        <w:t xml:space="preserve">most violent municipalities, with four of them </w:t>
      </w:r>
      <w:r w:rsidR="00D208D1" w:rsidRPr="00680758">
        <w:t>mobiliz</w:t>
      </w:r>
      <w:r w:rsidR="001A7F11" w:rsidRPr="00680758">
        <w:t xml:space="preserve">ing </w:t>
      </w:r>
      <w:r w:rsidR="00F217FE" w:rsidRPr="00680758">
        <w:t>national resources to ensure sustainability</w:t>
      </w:r>
      <w:r w:rsidR="001A7F11" w:rsidRPr="00680758">
        <w:t>. UNDP helpe</w:t>
      </w:r>
      <w:r w:rsidR="00110646" w:rsidRPr="00680758">
        <w:t>d creat</w:t>
      </w:r>
      <w:r w:rsidR="00FC5D75">
        <w:t>e</w:t>
      </w:r>
      <w:r w:rsidR="00110646" w:rsidRPr="00680758">
        <w:t xml:space="preserve"> municipal</w:t>
      </w:r>
      <w:r w:rsidR="001A7F11" w:rsidRPr="00680758">
        <w:t xml:space="preserve"> Mediation and Re</w:t>
      </w:r>
      <w:r w:rsidR="00110646" w:rsidRPr="00680758">
        <w:t>conciliation Units for</w:t>
      </w:r>
      <w:r w:rsidR="001A7F11" w:rsidRPr="00680758">
        <w:t xml:space="preserve"> preventing violence and improving access to alternative justice </w:t>
      </w:r>
      <w:r w:rsidR="00A16050" w:rsidRPr="00680758">
        <w:t xml:space="preserve">and conflict resolution </w:t>
      </w:r>
      <w:r w:rsidR="001A7F11" w:rsidRPr="00680758">
        <w:t>mechanisms</w:t>
      </w:r>
      <w:r w:rsidR="00D208D1" w:rsidRPr="00680758">
        <w:t xml:space="preserve">. </w:t>
      </w:r>
      <w:r w:rsidR="003E21DD" w:rsidRPr="00680758">
        <w:t>Evaluations confirm the need</w:t>
      </w:r>
      <w:r w:rsidR="00465C75" w:rsidRPr="00680758">
        <w:t xml:space="preserve"> to continue </w:t>
      </w:r>
      <w:r w:rsidR="00D208D1" w:rsidRPr="00680758">
        <w:t xml:space="preserve">traditional governance </w:t>
      </w:r>
      <w:r w:rsidR="00465C75" w:rsidRPr="00680758">
        <w:t>interventions</w:t>
      </w:r>
      <w:r w:rsidR="007D1000" w:rsidRPr="00680758">
        <w:t xml:space="preserve"> at the national level and </w:t>
      </w:r>
      <w:r w:rsidR="00BF0C6A">
        <w:t xml:space="preserve">to </w:t>
      </w:r>
      <w:r w:rsidR="007D1000" w:rsidRPr="00680758">
        <w:t>translat</w:t>
      </w:r>
      <w:r w:rsidR="00BF0C6A">
        <w:t>e</w:t>
      </w:r>
      <w:r w:rsidR="00465C75" w:rsidRPr="00680758">
        <w:t xml:space="preserve"> them </w:t>
      </w:r>
      <w:r w:rsidR="007D1000" w:rsidRPr="00680758">
        <w:t xml:space="preserve">into </w:t>
      </w:r>
      <w:r w:rsidR="00BF0C6A">
        <w:t xml:space="preserve">an </w:t>
      </w:r>
      <w:r w:rsidR="00D208D1" w:rsidRPr="00680758">
        <w:t xml:space="preserve">inclusive </w:t>
      </w:r>
      <w:r w:rsidR="007D1000" w:rsidRPr="00680758">
        <w:t xml:space="preserve">good governance, rights-based approach </w:t>
      </w:r>
      <w:r w:rsidR="00D208D1" w:rsidRPr="00680758">
        <w:t xml:space="preserve">at the local level. </w:t>
      </w:r>
      <w:r w:rsidR="0036775B">
        <w:t>I</w:t>
      </w:r>
      <w:r w:rsidR="00D208D1" w:rsidRPr="00680758">
        <w:t>mplementation of the National Human Rights Plan</w:t>
      </w:r>
      <w:r w:rsidR="0036775B">
        <w:t>,</w:t>
      </w:r>
      <w:r w:rsidR="00D208D1" w:rsidRPr="00680758">
        <w:t xml:space="preserve"> supported by UNDP</w:t>
      </w:r>
      <w:r w:rsidR="0036775B">
        <w:t>,</w:t>
      </w:r>
      <w:r w:rsidR="00D208D1" w:rsidRPr="00680758">
        <w:t xml:space="preserve"> was</w:t>
      </w:r>
      <w:r w:rsidR="00EA3311">
        <w:t xml:space="preserve"> also</w:t>
      </w:r>
      <w:r w:rsidR="00D208D1" w:rsidRPr="00680758">
        <w:t xml:space="preserve"> highlighted as </w:t>
      </w:r>
      <w:r w:rsidR="00D1564D">
        <w:t>an important</w:t>
      </w:r>
      <w:r w:rsidR="00D208D1" w:rsidRPr="00680758">
        <w:t xml:space="preserve"> tool for guiding i</w:t>
      </w:r>
      <w:r w:rsidR="003E21DD" w:rsidRPr="00680758">
        <w:t>nstitutional development and</w:t>
      </w:r>
      <w:r w:rsidR="00D208D1" w:rsidRPr="00680758">
        <w:t xml:space="preserve"> </w:t>
      </w:r>
      <w:r w:rsidR="003E21DD" w:rsidRPr="00680758">
        <w:t xml:space="preserve">mainstreaming </w:t>
      </w:r>
      <w:r w:rsidR="00B34B6D" w:rsidRPr="00680758">
        <w:t xml:space="preserve">of </w:t>
      </w:r>
      <w:r w:rsidR="00D208D1" w:rsidRPr="00680758">
        <w:t xml:space="preserve">a rights-based </w:t>
      </w:r>
      <w:r w:rsidR="00FD5D0C" w:rsidRPr="00680758">
        <w:t>approach</w:t>
      </w:r>
      <w:r w:rsidR="00D208D1" w:rsidRPr="00680758">
        <w:t>.</w:t>
      </w:r>
    </w:p>
    <w:p w14:paraId="640FA7F5" w14:textId="76632774" w:rsidR="00D208D1" w:rsidRPr="00680758" w:rsidRDefault="00860B3F" w:rsidP="00A8785D">
      <w:pPr>
        <w:spacing w:after="120"/>
        <w:ind w:left="1276" w:right="1210"/>
        <w:jc w:val="both"/>
      </w:pPr>
      <w:r w:rsidRPr="00680758">
        <w:t>5</w:t>
      </w:r>
      <w:r w:rsidR="00D73A47" w:rsidRPr="00680758">
        <w:t>.</w:t>
      </w:r>
      <w:r w:rsidR="00D208D1" w:rsidRPr="00680758">
        <w:t xml:space="preserve"> </w:t>
      </w:r>
      <w:r w:rsidR="00D208D1" w:rsidRPr="00680758">
        <w:rPr>
          <w:b/>
        </w:rPr>
        <w:t>Honduras face</w:t>
      </w:r>
      <w:r w:rsidR="005607B1" w:rsidRPr="00680758">
        <w:rPr>
          <w:b/>
        </w:rPr>
        <w:t>s the highest levels of poverty</w:t>
      </w:r>
      <w:r w:rsidR="00272F03">
        <w:rPr>
          <w:b/>
        </w:rPr>
        <w:t xml:space="preserve"> and</w:t>
      </w:r>
      <w:r w:rsidR="005607B1" w:rsidRPr="00680758">
        <w:rPr>
          <w:b/>
        </w:rPr>
        <w:t xml:space="preserve"> </w:t>
      </w:r>
      <w:r w:rsidR="00D208D1" w:rsidRPr="00680758">
        <w:rPr>
          <w:b/>
        </w:rPr>
        <w:t>social and economic inequality in Latin America.</w:t>
      </w:r>
      <w:r w:rsidR="00E43CD4" w:rsidRPr="00680758">
        <w:t xml:space="preserve"> The </w:t>
      </w:r>
      <w:r w:rsidR="0041548E" w:rsidRPr="00680758">
        <w:t xml:space="preserve">Gini coefficient </w:t>
      </w:r>
      <w:r w:rsidR="005D5584">
        <w:t xml:space="preserve">for Honduras </w:t>
      </w:r>
      <w:r w:rsidR="0041548E" w:rsidRPr="00680758">
        <w:t>is 0.52, with</w:t>
      </w:r>
      <w:r w:rsidR="00D208D1" w:rsidRPr="00680758">
        <w:t xml:space="preserve"> only 3.2</w:t>
      </w:r>
      <w:r w:rsidR="00E46571">
        <w:t xml:space="preserve"> per cent</w:t>
      </w:r>
      <w:r w:rsidR="00D208D1" w:rsidRPr="00680758">
        <w:t xml:space="preserve"> of </w:t>
      </w:r>
      <w:r w:rsidR="0018011A" w:rsidRPr="00680758">
        <w:t xml:space="preserve">the </w:t>
      </w:r>
      <w:r w:rsidR="00D208D1" w:rsidRPr="00680758">
        <w:t xml:space="preserve">income </w:t>
      </w:r>
      <w:r w:rsidR="00E43CD4" w:rsidRPr="00680758">
        <w:t>earned by</w:t>
      </w:r>
      <w:r w:rsidR="00D208D1" w:rsidRPr="00680758">
        <w:t xml:space="preserve"> the poorest quintile.</w:t>
      </w:r>
      <w:r w:rsidR="00D208D1" w:rsidRPr="00680758">
        <w:rPr>
          <w:rStyle w:val="FootnoteReference"/>
          <w:lang w:val="es-ES"/>
        </w:rPr>
        <w:footnoteReference w:id="18"/>
      </w:r>
      <w:r w:rsidR="000E7B89" w:rsidRPr="00680758">
        <w:t xml:space="preserve"> Poverty affects 62.8</w:t>
      </w:r>
      <w:r w:rsidR="00E46571">
        <w:t xml:space="preserve"> per cent</w:t>
      </w:r>
      <w:r w:rsidR="000E7B89" w:rsidRPr="00680758">
        <w:t xml:space="preserve"> of households</w:t>
      </w:r>
      <w:r w:rsidR="0018011A" w:rsidRPr="00680758">
        <w:t>, with 39.7</w:t>
      </w:r>
      <w:r w:rsidR="00E46571">
        <w:t xml:space="preserve"> per cent</w:t>
      </w:r>
      <w:r w:rsidR="0018011A" w:rsidRPr="00680758">
        <w:t xml:space="preserve"> living in extreme poverty </w:t>
      </w:r>
      <w:r w:rsidR="0063186B">
        <w:t>(</w:t>
      </w:r>
      <w:r w:rsidR="0041548E" w:rsidRPr="00680758">
        <w:t xml:space="preserve">more than half of </w:t>
      </w:r>
      <w:r w:rsidR="0018011A" w:rsidRPr="00680758">
        <w:t xml:space="preserve">rural </w:t>
      </w:r>
      <w:r w:rsidR="0041548E" w:rsidRPr="00680758">
        <w:t>ho</w:t>
      </w:r>
      <w:r w:rsidR="000E7B89" w:rsidRPr="00680758">
        <w:t>useholds</w:t>
      </w:r>
      <w:r w:rsidR="0063186B">
        <w:t xml:space="preserve">, </w:t>
      </w:r>
      <w:r w:rsidR="0041548E" w:rsidRPr="00680758">
        <w:t>51.8</w:t>
      </w:r>
      <w:r w:rsidR="00E46571">
        <w:t xml:space="preserve"> per cent</w:t>
      </w:r>
      <w:r w:rsidR="0063186B">
        <w:t>,</w:t>
      </w:r>
      <w:r w:rsidR="0041548E" w:rsidRPr="00680758">
        <w:t xml:space="preserve"> </w:t>
      </w:r>
      <w:r w:rsidR="00147696" w:rsidRPr="00680758">
        <w:t>liv</w:t>
      </w:r>
      <w:r w:rsidR="0063186B">
        <w:t>e</w:t>
      </w:r>
      <w:r w:rsidR="00147696" w:rsidRPr="00680758">
        <w:t xml:space="preserve"> </w:t>
      </w:r>
      <w:r w:rsidR="000E7B89" w:rsidRPr="00680758">
        <w:t>in</w:t>
      </w:r>
      <w:r w:rsidR="0041548E" w:rsidRPr="00680758">
        <w:t xml:space="preserve"> extreme poverty</w:t>
      </w:r>
      <w:r w:rsidR="0063186B">
        <w:t>)</w:t>
      </w:r>
      <w:r w:rsidR="0041548E" w:rsidRPr="00680758">
        <w:t>.</w:t>
      </w:r>
      <w:r w:rsidR="0041548E" w:rsidRPr="00680758">
        <w:rPr>
          <w:rStyle w:val="FootnoteReference"/>
          <w:lang w:val="es-ES"/>
        </w:rPr>
        <w:footnoteReference w:id="19"/>
      </w:r>
      <w:r w:rsidR="0041548E" w:rsidRPr="00680758">
        <w:t xml:space="preserve"> Honduras </w:t>
      </w:r>
      <w:r w:rsidR="0063186B">
        <w:t>experienced</w:t>
      </w:r>
      <w:r w:rsidR="0041548E" w:rsidRPr="00680758">
        <w:t xml:space="preserve"> </w:t>
      </w:r>
      <w:r w:rsidR="000E7B89" w:rsidRPr="00680758">
        <w:t>uneven fulfillment</w:t>
      </w:r>
      <w:r w:rsidR="0041548E" w:rsidRPr="00680758">
        <w:t xml:space="preserve"> of the </w:t>
      </w:r>
      <w:r w:rsidR="000E7B89" w:rsidRPr="00680758">
        <w:t xml:space="preserve">Millennium Development Goals. Of the 82 indicators </w:t>
      </w:r>
      <w:r w:rsidR="00CF78A2" w:rsidRPr="00680758">
        <w:t xml:space="preserve">assumed </w:t>
      </w:r>
      <w:r w:rsidR="000E7B89" w:rsidRPr="00680758">
        <w:t xml:space="preserve">by the country, the government reported eight </w:t>
      </w:r>
      <w:r w:rsidR="00CF78A2" w:rsidRPr="00680758">
        <w:t>as</w:t>
      </w:r>
      <w:r w:rsidR="000E7B89" w:rsidRPr="00680758">
        <w:t xml:space="preserve"> achieved.</w:t>
      </w:r>
      <w:r w:rsidR="000E7B89" w:rsidRPr="00680758">
        <w:rPr>
          <w:rStyle w:val="FootnoteReference"/>
          <w:lang w:val="es-ES"/>
        </w:rPr>
        <w:footnoteReference w:id="20"/>
      </w:r>
      <w:r w:rsidR="007C4DB7" w:rsidRPr="00680758">
        <w:t xml:space="preserve"> P</w:t>
      </w:r>
      <w:r w:rsidR="000E7B89" w:rsidRPr="00680758">
        <w:t xml:space="preserve">overty </w:t>
      </w:r>
      <w:r w:rsidR="007C4DB7" w:rsidRPr="00680758">
        <w:t xml:space="preserve">is exacerbated by </w:t>
      </w:r>
      <w:r w:rsidR="005D6C75">
        <w:t>limited</w:t>
      </w:r>
      <w:r w:rsidR="000E7B89" w:rsidRPr="00680758">
        <w:t xml:space="preserve"> income-generating opportunities and </w:t>
      </w:r>
      <w:r w:rsidR="005D6C75">
        <w:t>vulnerability</w:t>
      </w:r>
      <w:r w:rsidR="000E7B89" w:rsidRPr="00680758">
        <w:t xml:space="preserve"> </w:t>
      </w:r>
      <w:r w:rsidR="003E21DD" w:rsidRPr="00680758">
        <w:t>to</w:t>
      </w:r>
      <w:r w:rsidR="000E7B89" w:rsidRPr="00680758">
        <w:t xml:space="preserve"> natur</w:t>
      </w:r>
      <w:r w:rsidR="005C59F9" w:rsidRPr="00680758">
        <w:t>al disasters and climate change</w:t>
      </w:r>
      <w:r w:rsidR="00E3657D">
        <w:t>.</w:t>
      </w:r>
      <w:r w:rsidR="005C59F9" w:rsidRPr="00680758">
        <w:t xml:space="preserve"> </w:t>
      </w:r>
      <w:r w:rsidR="00E3657D">
        <w:t xml:space="preserve">This </w:t>
      </w:r>
      <w:r w:rsidR="003462F9">
        <w:t>restricts</w:t>
      </w:r>
      <w:r w:rsidR="00E3657D">
        <w:t xml:space="preserve"> </w:t>
      </w:r>
      <w:r w:rsidR="005C59F9" w:rsidRPr="00680758">
        <w:t>prospects</w:t>
      </w:r>
      <w:r w:rsidR="000E7B89" w:rsidRPr="00680758">
        <w:t xml:space="preserve"> for sustainable development</w:t>
      </w:r>
      <w:r w:rsidR="00425C32">
        <w:t xml:space="preserve">, </w:t>
      </w:r>
      <w:r w:rsidR="005C59F9" w:rsidRPr="00680758">
        <w:t>particularly for</w:t>
      </w:r>
      <w:r w:rsidR="000E7B89" w:rsidRPr="00680758">
        <w:t xml:space="preserve"> vulnerable groups</w:t>
      </w:r>
      <w:r w:rsidR="00E3657D">
        <w:t>.</w:t>
      </w:r>
      <w:r w:rsidR="003F2079" w:rsidRPr="00680758">
        <w:t xml:space="preserve"> </w:t>
      </w:r>
      <w:r w:rsidR="00E3657D">
        <w:t>I</w:t>
      </w:r>
      <w:r w:rsidR="006611C0" w:rsidRPr="00680758">
        <w:t>nternal migrants, returnees</w:t>
      </w:r>
      <w:r w:rsidR="00E3657D">
        <w:t xml:space="preserve">, </w:t>
      </w:r>
      <w:r w:rsidR="006611C0" w:rsidRPr="00680758">
        <w:t xml:space="preserve">repatriated migrants, </w:t>
      </w:r>
      <w:r w:rsidR="003F2079" w:rsidRPr="00680758">
        <w:t>households headed by</w:t>
      </w:r>
      <w:r w:rsidR="000E7B89" w:rsidRPr="00680758">
        <w:t xml:space="preserve"> single mothers, teen mothers and grandmothers </w:t>
      </w:r>
      <w:r w:rsidR="00B71E13">
        <w:t xml:space="preserve">caring for </w:t>
      </w:r>
      <w:r w:rsidR="00E23AAE" w:rsidRPr="00680758">
        <w:t>grand</w:t>
      </w:r>
      <w:r w:rsidR="000E7B89" w:rsidRPr="00680758">
        <w:t>children whose parents have migrated</w:t>
      </w:r>
      <w:r w:rsidR="003618D5" w:rsidRPr="00680758">
        <w:rPr>
          <w:rStyle w:val="FootnoteReference"/>
        </w:rPr>
        <w:footnoteReference w:id="21"/>
      </w:r>
      <w:r w:rsidR="00343169" w:rsidRPr="00680758">
        <w:t xml:space="preserve"> </w:t>
      </w:r>
      <w:r w:rsidR="006611C0" w:rsidRPr="00680758">
        <w:t>are</w:t>
      </w:r>
      <w:r w:rsidR="00343169" w:rsidRPr="00680758">
        <w:t xml:space="preserve"> particularly vulnerable and lack access to housing and services</w:t>
      </w:r>
      <w:r w:rsidR="006611C0" w:rsidRPr="00680758">
        <w:t xml:space="preserve">. </w:t>
      </w:r>
      <w:r w:rsidR="000E7B89" w:rsidRPr="00680758">
        <w:t>A</w:t>
      </w:r>
      <w:r w:rsidR="00364E9A" w:rsidRPr="00680758">
        <w:t>nalysis of the economically</w:t>
      </w:r>
      <w:r w:rsidR="00A2428F">
        <w:t>-</w:t>
      </w:r>
      <w:r w:rsidR="00364E9A" w:rsidRPr="00680758">
        <w:t>active p</w:t>
      </w:r>
      <w:r w:rsidR="000E7B89" w:rsidRPr="00680758">
        <w:t xml:space="preserve">opulation shows women </w:t>
      </w:r>
      <w:r w:rsidR="00364E9A" w:rsidRPr="00680758">
        <w:t>at a distinct</w:t>
      </w:r>
      <w:r w:rsidR="000E7B89" w:rsidRPr="00680758">
        <w:t xml:space="preserve"> disadvantage </w:t>
      </w:r>
      <w:r w:rsidR="00364E9A" w:rsidRPr="00680758">
        <w:t>compared</w:t>
      </w:r>
      <w:r w:rsidR="000E7B89" w:rsidRPr="00680758">
        <w:t xml:space="preserve"> to men. </w:t>
      </w:r>
      <w:r w:rsidR="0063186B">
        <w:t xml:space="preserve">According to </w:t>
      </w:r>
      <w:r w:rsidR="00643B40" w:rsidRPr="00680758">
        <w:t xml:space="preserve">2013 </w:t>
      </w:r>
      <w:r w:rsidR="0063186B">
        <w:t>d</w:t>
      </w:r>
      <w:r w:rsidR="00643B40" w:rsidRPr="00680758">
        <w:t xml:space="preserve">ata </w:t>
      </w:r>
      <w:r w:rsidR="0063186B">
        <w:t>of</w:t>
      </w:r>
      <w:r w:rsidR="0063186B" w:rsidRPr="00680758">
        <w:t xml:space="preserve"> </w:t>
      </w:r>
      <w:r w:rsidR="00643B40" w:rsidRPr="00680758">
        <w:t>the National Statistics Institute</w:t>
      </w:r>
      <w:r w:rsidR="00536B56">
        <w:t xml:space="preserve"> (INE)</w:t>
      </w:r>
      <w:r w:rsidR="0063186B">
        <w:t>,</w:t>
      </w:r>
      <w:r w:rsidR="000E7B89" w:rsidRPr="00680758">
        <w:t xml:space="preserve"> although women make up 53</w:t>
      </w:r>
      <w:r w:rsidR="00E46571">
        <w:t xml:space="preserve"> per cent</w:t>
      </w:r>
      <w:r w:rsidR="000E7B89" w:rsidRPr="00680758">
        <w:t xml:space="preserve"> of the</w:t>
      </w:r>
      <w:r w:rsidR="00364E9A" w:rsidRPr="00680758">
        <w:t xml:space="preserve"> total working age population</w:t>
      </w:r>
      <w:r w:rsidR="000E7B89" w:rsidRPr="00680758">
        <w:t>, only 37.2</w:t>
      </w:r>
      <w:r w:rsidR="00E46571">
        <w:t xml:space="preserve"> per cent</w:t>
      </w:r>
      <w:r w:rsidR="00E46571" w:rsidRPr="00680758">
        <w:t xml:space="preserve"> </w:t>
      </w:r>
      <w:r w:rsidR="000E7B89" w:rsidRPr="00680758">
        <w:t>participa</w:t>
      </w:r>
      <w:r w:rsidR="00364E9A" w:rsidRPr="00680758">
        <w:t>te in the workforce, compared with</w:t>
      </w:r>
      <w:r w:rsidR="000279C8" w:rsidRPr="00680758">
        <w:t xml:space="preserve"> 72.1</w:t>
      </w:r>
      <w:r w:rsidR="00E46571">
        <w:t xml:space="preserve"> per cent</w:t>
      </w:r>
      <w:r w:rsidR="000279C8" w:rsidRPr="00680758">
        <w:t xml:space="preserve"> </w:t>
      </w:r>
      <w:r w:rsidR="0063186B">
        <w:t>of</w:t>
      </w:r>
      <w:r w:rsidR="0063186B" w:rsidRPr="00680758">
        <w:t xml:space="preserve"> </w:t>
      </w:r>
      <w:r w:rsidR="000279C8" w:rsidRPr="00680758">
        <w:t>men</w:t>
      </w:r>
      <w:r w:rsidR="000E7B89" w:rsidRPr="00680758">
        <w:t xml:space="preserve">. </w:t>
      </w:r>
      <w:r w:rsidR="00D24A8F">
        <w:t>S</w:t>
      </w:r>
      <w:r w:rsidR="007F0DE4" w:rsidRPr="00680758">
        <w:t xml:space="preserve">evere economic insecurity </w:t>
      </w:r>
      <w:r w:rsidR="00D24A8F">
        <w:t xml:space="preserve">is reported </w:t>
      </w:r>
      <w:r w:rsidR="007F0DE4" w:rsidRPr="00680758">
        <w:t>among internally displaced households.</w:t>
      </w:r>
      <w:r w:rsidR="00D24A8F" w:rsidRPr="00D24A8F">
        <w:rPr>
          <w:sz w:val="22"/>
          <w:vertAlign w:val="superscript"/>
        </w:rPr>
        <w:t>14</w:t>
      </w:r>
      <w:r w:rsidR="007F0DE4" w:rsidRPr="00680758">
        <w:t xml:space="preserve"> </w:t>
      </w:r>
      <w:r w:rsidR="000E7B89" w:rsidRPr="00680758">
        <w:t>Honduras has the highest rate of non-</w:t>
      </w:r>
      <w:r w:rsidR="00F342DC" w:rsidRPr="00680758">
        <w:t>studying and non-working youth (</w:t>
      </w:r>
      <w:r w:rsidR="000E7B89" w:rsidRPr="00680758">
        <w:t>27.5</w:t>
      </w:r>
      <w:r w:rsidR="00E46571">
        <w:t xml:space="preserve"> per cent</w:t>
      </w:r>
      <w:r w:rsidR="00F342DC" w:rsidRPr="00680758">
        <w:t>)</w:t>
      </w:r>
      <w:r w:rsidR="00A57D0D">
        <w:t xml:space="preserve"> in the sub-region</w:t>
      </w:r>
      <w:r w:rsidR="00924C91">
        <w:rPr>
          <w:rStyle w:val="FootnoteReference"/>
        </w:rPr>
        <w:footnoteReference w:id="22"/>
      </w:r>
      <w:r w:rsidR="000E7B89" w:rsidRPr="00680758">
        <w:t xml:space="preserve">, </w:t>
      </w:r>
      <w:r w:rsidR="005571E0">
        <w:t>increasing</w:t>
      </w:r>
      <w:r w:rsidR="005C04BC" w:rsidRPr="00680758">
        <w:t xml:space="preserve"> the likelihood </w:t>
      </w:r>
      <w:r w:rsidR="005571E0">
        <w:t xml:space="preserve">of </w:t>
      </w:r>
      <w:r w:rsidR="00385F3E" w:rsidRPr="00680758">
        <w:t xml:space="preserve">these young people </w:t>
      </w:r>
      <w:r w:rsidR="005C04BC" w:rsidRPr="00680758">
        <w:t>emigrating or j</w:t>
      </w:r>
      <w:r w:rsidR="007A580E" w:rsidRPr="00680758">
        <w:t>oin</w:t>
      </w:r>
      <w:r w:rsidR="005C04BC" w:rsidRPr="00680758">
        <w:t>ing groups linked to</w:t>
      </w:r>
      <w:r w:rsidR="007A580E" w:rsidRPr="00680758">
        <w:t xml:space="preserve"> organized crime. Over the past two years, </w:t>
      </w:r>
      <w:r w:rsidR="002E4727">
        <w:t>t</w:t>
      </w:r>
      <w:r w:rsidR="007A580E" w:rsidRPr="00680758">
        <w:t xml:space="preserve">he Government has promoted </w:t>
      </w:r>
      <w:r w:rsidR="0063186B">
        <w:t>several</w:t>
      </w:r>
      <w:r w:rsidR="0063186B" w:rsidRPr="00680758">
        <w:t xml:space="preserve"> </w:t>
      </w:r>
      <w:r w:rsidR="007A580E" w:rsidRPr="00680758">
        <w:t xml:space="preserve">social welfare </w:t>
      </w:r>
      <w:r w:rsidR="00A46AF3">
        <w:t>p</w:t>
      </w:r>
      <w:r w:rsidR="006C0E9C" w:rsidRPr="00680758">
        <w:t>rogramme</w:t>
      </w:r>
      <w:r w:rsidR="0063186B">
        <w:t>s:</w:t>
      </w:r>
      <w:r w:rsidR="007A580E" w:rsidRPr="00680758">
        <w:t xml:space="preserve"> For a Better Life, the Alliance for the Dry Corridor, the Alliance for </w:t>
      </w:r>
      <w:r w:rsidR="007A580E" w:rsidRPr="00680758">
        <w:lastRenderedPageBreak/>
        <w:t xml:space="preserve">Prosperity </w:t>
      </w:r>
      <w:r w:rsidR="00385F3E" w:rsidRPr="00680758">
        <w:t>in</w:t>
      </w:r>
      <w:r w:rsidR="007A580E" w:rsidRPr="00680758">
        <w:t xml:space="preserve"> the Northern Triangle and</w:t>
      </w:r>
      <w:r w:rsidR="0063186B">
        <w:t>,</w:t>
      </w:r>
      <w:r w:rsidR="007A580E" w:rsidRPr="00680758">
        <w:t xml:space="preserve"> recently</w:t>
      </w:r>
      <w:r w:rsidR="0063186B">
        <w:t>,</w:t>
      </w:r>
      <w:r w:rsidR="007A580E" w:rsidRPr="00680758">
        <w:t xml:space="preserve"> the Alliance for La Mosquitia.</w:t>
      </w:r>
      <w:r w:rsidR="00A46AF3">
        <w:t xml:space="preserve"> T</w:t>
      </w:r>
      <w:r w:rsidR="007A580E" w:rsidRPr="00680758">
        <w:t xml:space="preserve">he impact of these </w:t>
      </w:r>
      <w:r w:rsidR="00A46AF3">
        <w:t>p</w:t>
      </w:r>
      <w:r w:rsidR="006C0E9C" w:rsidRPr="00680758">
        <w:t>rogramme</w:t>
      </w:r>
      <w:r w:rsidR="00A46AF3">
        <w:t>s</w:t>
      </w:r>
      <w:r w:rsidR="007A580E" w:rsidRPr="00680758">
        <w:t xml:space="preserve"> </w:t>
      </w:r>
      <w:r w:rsidR="00A46AF3">
        <w:t>is</w:t>
      </w:r>
      <w:r w:rsidR="00A46AF3" w:rsidRPr="00680758">
        <w:t xml:space="preserve"> </w:t>
      </w:r>
      <w:r w:rsidR="007A580E" w:rsidRPr="00680758">
        <w:t>yet</w:t>
      </w:r>
      <w:r w:rsidR="00A87113" w:rsidRPr="00680758">
        <w:t xml:space="preserve"> to be </w:t>
      </w:r>
      <w:r w:rsidR="007A580E" w:rsidRPr="00680758">
        <w:t>evaluated.</w:t>
      </w:r>
    </w:p>
    <w:p w14:paraId="10938E97" w14:textId="379E82F4" w:rsidR="00385F3E" w:rsidRPr="00680758" w:rsidRDefault="00860B3F" w:rsidP="00A8785D">
      <w:pPr>
        <w:spacing w:after="120"/>
        <w:ind w:left="1276" w:right="1203"/>
        <w:jc w:val="both"/>
      </w:pPr>
      <w:r w:rsidRPr="00680758">
        <w:t xml:space="preserve">6. </w:t>
      </w:r>
      <w:r w:rsidR="0028680F">
        <w:t>To</w:t>
      </w:r>
      <w:r w:rsidR="00385F3E" w:rsidRPr="00680758">
        <w:t xml:space="preserve"> </w:t>
      </w:r>
      <w:r w:rsidR="00385F3E" w:rsidRPr="00DD637D">
        <w:rPr>
          <w:b/>
        </w:rPr>
        <w:t>improv</w:t>
      </w:r>
      <w:r w:rsidR="0028680F">
        <w:rPr>
          <w:b/>
        </w:rPr>
        <w:t>e</w:t>
      </w:r>
      <w:r w:rsidR="00385F3E" w:rsidRPr="00DD637D">
        <w:rPr>
          <w:b/>
        </w:rPr>
        <w:t xml:space="preserve"> </w:t>
      </w:r>
      <w:r w:rsidR="00E31177" w:rsidRPr="00DD637D">
        <w:rPr>
          <w:b/>
        </w:rPr>
        <w:t xml:space="preserve">income generation for </w:t>
      </w:r>
      <w:r w:rsidR="00385F3E" w:rsidRPr="00DD637D">
        <w:rPr>
          <w:b/>
        </w:rPr>
        <w:t>excluded populations</w:t>
      </w:r>
      <w:r w:rsidR="00385F3E" w:rsidRPr="00680758">
        <w:t xml:space="preserve">, UNDP has </w:t>
      </w:r>
      <w:r w:rsidR="009C07B6" w:rsidRPr="00680758">
        <w:t xml:space="preserve">promoted </w:t>
      </w:r>
      <w:r w:rsidR="0028680F" w:rsidRPr="00680758">
        <w:t>micro and small businesses</w:t>
      </w:r>
      <w:r w:rsidR="0096034E" w:rsidRPr="00680758">
        <w:t xml:space="preserve">, supporting </w:t>
      </w:r>
      <w:r w:rsidR="00385F3E" w:rsidRPr="00680758">
        <w:t xml:space="preserve">insertion </w:t>
      </w:r>
      <w:r w:rsidR="0096034E" w:rsidRPr="00680758">
        <w:t xml:space="preserve">in </w:t>
      </w:r>
      <w:r w:rsidR="006D5B1F" w:rsidRPr="00680758">
        <w:t>supply chains and</w:t>
      </w:r>
      <w:r w:rsidR="00BE500A" w:rsidRPr="00680758">
        <w:t xml:space="preserve"> providing</w:t>
      </w:r>
      <w:r w:rsidR="006D5B1F" w:rsidRPr="00680758">
        <w:t xml:space="preserve"> access to financing through revolving funds.</w:t>
      </w:r>
      <w:r w:rsidR="006D5B1F" w:rsidRPr="00680758">
        <w:rPr>
          <w:rStyle w:val="FootnoteReference"/>
          <w:lang w:val="es-NI"/>
        </w:rPr>
        <w:footnoteReference w:id="23"/>
      </w:r>
      <w:r w:rsidR="006D5B1F" w:rsidRPr="00680758">
        <w:t xml:space="preserve"> Through </w:t>
      </w:r>
      <w:r w:rsidR="00DD637D">
        <w:t xml:space="preserve">the </w:t>
      </w:r>
      <w:r w:rsidR="006D5B1F" w:rsidRPr="00680758">
        <w:t xml:space="preserve">Small </w:t>
      </w:r>
      <w:r w:rsidR="003E21DD" w:rsidRPr="00680758">
        <w:t>Grants</w:t>
      </w:r>
      <w:r w:rsidR="00AC776B" w:rsidRPr="00680758">
        <w:t xml:space="preserve"> </w:t>
      </w:r>
      <w:r w:rsidR="006C0E9C" w:rsidRPr="00680758">
        <w:t>Programme</w:t>
      </w:r>
      <w:r w:rsidR="006D5B1F" w:rsidRPr="00680758">
        <w:t xml:space="preserve"> financed by </w:t>
      </w:r>
      <w:r w:rsidR="00956960">
        <w:t>the Global Environment Facility (</w:t>
      </w:r>
      <w:r w:rsidR="006D5B1F" w:rsidRPr="00680758">
        <w:t>GEF</w:t>
      </w:r>
      <w:r w:rsidR="00956960">
        <w:t>)</w:t>
      </w:r>
      <w:r w:rsidR="006D5B1F" w:rsidRPr="00680758">
        <w:t xml:space="preserve">, UNDP strengthened </w:t>
      </w:r>
      <w:r w:rsidR="000D40A4" w:rsidRPr="00680758">
        <w:t xml:space="preserve">community-based </w:t>
      </w:r>
      <w:r w:rsidR="006D5B1F" w:rsidRPr="00680758">
        <w:t xml:space="preserve">women’s groups </w:t>
      </w:r>
      <w:r w:rsidR="00EC4AE5" w:rsidRPr="00680758">
        <w:t xml:space="preserve">in </w:t>
      </w:r>
      <w:r w:rsidR="002C1717">
        <w:t>La</w:t>
      </w:r>
      <w:r w:rsidR="002C1717" w:rsidRPr="00680758">
        <w:t xml:space="preserve"> </w:t>
      </w:r>
      <w:r w:rsidR="00EC4AE5" w:rsidRPr="00680758">
        <w:t>Mosqu</w:t>
      </w:r>
      <w:r w:rsidR="006D5B1F" w:rsidRPr="00680758">
        <w:t xml:space="preserve">itia and the country’s southern zone, improving income </w:t>
      </w:r>
      <w:r w:rsidR="00AC776B" w:rsidRPr="00680758">
        <w:t xml:space="preserve">generation </w:t>
      </w:r>
      <w:r w:rsidR="006D5B1F" w:rsidRPr="00680758">
        <w:t xml:space="preserve">and environmental management practices. </w:t>
      </w:r>
      <w:r w:rsidR="008201AC" w:rsidRPr="00680758">
        <w:t>A</w:t>
      </w:r>
      <w:r w:rsidR="006D5B1F" w:rsidRPr="00680758">
        <w:t xml:space="preserve"> lesson learned</w:t>
      </w:r>
      <w:r w:rsidR="00606C17">
        <w:t>,</w:t>
      </w:r>
      <w:r w:rsidR="006D5B1F" w:rsidRPr="00680758">
        <w:t xml:space="preserve"> </w:t>
      </w:r>
      <w:r w:rsidR="00606C17">
        <w:t>and</w:t>
      </w:r>
      <w:r w:rsidR="006D5B1F" w:rsidRPr="00680758">
        <w:t xml:space="preserve"> an opportunity</w:t>
      </w:r>
      <w:r w:rsidR="00606C17">
        <w:t>,</w:t>
      </w:r>
      <w:r w:rsidR="006D5B1F" w:rsidRPr="00680758">
        <w:t xml:space="preserve"> for </w:t>
      </w:r>
      <w:r w:rsidR="00E973ED" w:rsidRPr="00680758">
        <w:t>the</w:t>
      </w:r>
      <w:r w:rsidR="006D5B1F" w:rsidRPr="00680758">
        <w:t xml:space="preserve"> new </w:t>
      </w:r>
      <w:r w:rsidR="00147576">
        <w:t>Country P</w:t>
      </w:r>
      <w:r w:rsidR="006C0E9C" w:rsidRPr="00680758">
        <w:t>rogramme</w:t>
      </w:r>
      <w:r w:rsidR="006D5B1F" w:rsidRPr="00680758">
        <w:t xml:space="preserve"> is the importance of focusing on certain productive sectors to strengthen value chains and linkages to markets </w:t>
      </w:r>
      <w:r w:rsidR="00E973ED" w:rsidRPr="00680758">
        <w:t>and diversify</w:t>
      </w:r>
      <w:r w:rsidR="00DB094D">
        <w:t>ing</w:t>
      </w:r>
      <w:r w:rsidR="006D5B1F" w:rsidRPr="00680758">
        <w:t xml:space="preserve"> </w:t>
      </w:r>
      <w:r w:rsidR="008201AC" w:rsidRPr="00680758">
        <w:t>partnership</w:t>
      </w:r>
      <w:r w:rsidR="00BE500A" w:rsidRPr="00680758">
        <w:t>s</w:t>
      </w:r>
      <w:r w:rsidR="006D5B1F" w:rsidRPr="00680758">
        <w:t xml:space="preserve"> with the private sector. </w:t>
      </w:r>
    </w:p>
    <w:p w14:paraId="1C7640C7" w14:textId="17623FF9" w:rsidR="008201AC" w:rsidRPr="00680758" w:rsidRDefault="008201AC" w:rsidP="00A8785D">
      <w:pPr>
        <w:spacing w:after="120"/>
        <w:ind w:left="1276" w:right="1210"/>
        <w:jc w:val="both"/>
      </w:pPr>
      <w:r w:rsidRPr="00680758">
        <w:t xml:space="preserve">7. Honduras is </w:t>
      </w:r>
      <w:r w:rsidR="004041EE" w:rsidRPr="004725BC">
        <w:rPr>
          <w:b/>
        </w:rPr>
        <w:t>severely</w:t>
      </w:r>
      <w:r w:rsidRPr="00680758">
        <w:rPr>
          <w:b/>
        </w:rPr>
        <w:t xml:space="preserve"> affected by natural disasters</w:t>
      </w:r>
      <w:r w:rsidRPr="00680758">
        <w:t>, mainly due to climate change</w:t>
      </w:r>
      <w:r w:rsidR="00893320" w:rsidRPr="00680758">
        <w:t>.</w:t>
      </w:r>
      <w:r w:rsidR="00783BFB" w:rsidRPr="00680758">
        <w:rPr>
          <w:rStyle w:val="FootnoteReference"/>
          <w:lang w:val="es-ES"/>
        </w:rPr>
        <w:footnoteReference w:id="24"/>
      </w:r>
      <w:r w:rsidR="00783BFB" w:rsidRPr="00680758">
        <w:t xml:space="preserve"> </w:t>
      </w:r>
      <w:r w:rsidR="00D74BA7">
        <w:t>I</w:t>
      </w:r>
      <w:r w:rsidR="001E1530" w:rsidRPr="00680758">
        <w:t xml:space="preserve">ndigenous and afro-descendant groups live </w:t>
      </w:r>
      <w:r w:rsidR="00A04C23" w:rsidRPr="00680758">
        <w:t>in municipalities vulnerable to climate change (</w:t>
      </w:r>
      <w:r w:rsidR="001E1530" w:rsidRPr="00680758">
        <w:t xml:space="preserve">30 </w:t>
      </w:r>
      <w:r w:rsidR="00A04C23" w:rsidRPr="00680758">
        <w:t xml:space="preserve">of these </w:t>
      </w:r>
      <w:r w:rsidR="001E1530" w:rsidRPr="00680758">
        <w:t xml:space="preserve">municipalities </w:t>
      </w:r>
      <w:r w:rsidR="00A04C23" w:rsidRPr="00680758">
        <w:t xml:space="preserve">are rated </w:t>
      </w:r>
      <w:r w:rsidR="001E1530" w:rsidRPr="00680758">
        <w:t xml:space="preserve">highly vulnerable </w:t>
      </w:r>
      <w:r w:rsidR="00A04C23" w:rsidRPr="00680758">
        <w:t xml:space="preserve">and </w:t>
      </w:r>
      <w:r w:rsidR="001E1530" w:rsidRPr="00680758">
        <w:t>51 moderately vulnerable</w:t>
      </w:r>
      <w:r w:rsidR="00A04C23" w:rsidRPr="00680758">
        <w:t>)</w:t>
      </w:r>
      <w:r w:rsidR="002B0508">
        <w:t>,</w:t>
      </w:r>
      <w:r w:rsidR="002E79D8" w:rsidRPr="00680758">
        <w:rPr>
          <w:rStyle w:val="FootnoteReference"/>
        </w:rPr>
        <w:t xml:space="preserve"> </w:t>
      </w:r>
      <w:r w:rsidR="002E79D8" w:rsidRPr="00680758">
        <w:rPr>
          <w:rStyle w:val="FootnoteReference"/>
        </w:rPr>
        <w:footnoteReference w:id="25"/>
      </w:r>
      <w:r w:rsidR="002E79D8" w:rsidRPr="00680758">
        <w:t xml:space="preserve"> </w:t>
      </w:r>
      <w:r w:rsidR="00D74BA7">
        <w:t xml:space="preserve">making </w:t>
      </w:r>
      <w:r w:rsidR="002B0508">
        <w:t>their</w:t>
      </w:r>
      <w:r w:rsidR="00893320" w:rsidRPr="00680758">
        <w:t xml:space="preserve"> situation </w:t>
      </w:r>
      <w:r w:rsidR="002B0508">
        <w:t xml:space="preserve">even more tenuous </w:t>
      </w:r>
      <w:r w:rsidR="00FB3962">
        <w:t>due to associated</w:t>
      </w:r>
      <w:r w:rsidR="00E01672" w:rsidRPr="00680758">
        <w:t xml:space="preserve"> economic losses</w:t>
      </w:r>
      <w:r w:rsidR="00773E4D">
        <w:t xml:space="preserve">, including </w:t>
      </w:r>
      <w:r w:rsidR="00E01672" w:rsidRPr="00680758">
        <w:t>impact</w:t>
      </w:r>
      <w:r w:rsidR="003A50B8">
        <w:t xml:space="preserve">s </w:t>
      </w:r>
      <w:r w:rsidR="00B15FA8">
        <w:t>o</w:t>
      </w:r>
      <w:r w:rsidR="00DC396B" w:rsidRPr="00680758">
        <w:t xml:space="preserve">n </w:t>
      </w:r>
      <w:r w:rsidR="00A349DF">
        <w:t>key sectors of the economy</w:t>
      </w:r>
      <w:r w:rsidR="00CD0A3E">
        <w:t xml:space="preserve"> and public services</w:t>
      </w:r>
      <w:r w:rsidR="00A349DF">
        <w:t xml:space="preserve">. </w:t>
      </w:r>
      <w:r w:rsidR="003249FC">
        <w:t xml:space="preserve">Thirty-five </w:t>
      </w:r>
      <w:r w:rsidR="00E46571">
        <w:t>per cent</w:t>
      </w:r>
      <w:r w:rsidR="00E01672" w:rsidRPr="00680758">
        <w:t xml:space="preserve"> </w:t>
      </w:r>
      <w:r w:rsidR="00275172" w:rsidRPr="00680758">
        <w:t xml:space="preserve">of the </w:t>
      </w:r>
      <w:r w:rsidR="00387FC4">
        <w:t xml:space="preserve">country´s </w:t>
      </w:r>
      <w:r w:rsidR="00275172" w:rsidRPr="00680758">
        <w:t xml:space="preserve">working age population </w:t>
      </w:r>
      <w:r w:rsidR="00AD1635">
        <w:t>is engaged</w:t>
      </w:r>
      <w:r w:rsidR="00AD1635" w:rsidRPr="00680758">
        <w:t xml:space="preserve"> </w:t>
      </w:r>
      <w:r w:rsidR="00E01672" w:rsidRPr="00680758">
        <w:t xml:space="preserve">in agriculture, </w:t>
      </w:r>
      <w:r w:rsidR="0006733C" w:rsidRPr="00680758">
        <w:t>livestock</w:t>
      </w:r>
      <w:r w:rsidR="008F54AB" w:rsidRPr="00680758">
        <w:t xml:space="preserve"> farming</w:t>
      </w:r>
      <w:r w:rsidR="00E01672" w:rsidRPr="00680758">
        <w:t>, forestry</w:t>
      </w:r>
      <w:r w:rsidR="005809DD">
        <w:t xml:space="preserve"> </w:t>
      </w:r>
      <w:r w:rsidR="00E01672" w:rsidRPr="00680758">
        <w:t>and fishing</w:t>
      </w:r>
      <w:r w:rsidR="00AD1635">
        <w:t>.</w:t>
      </w:r>
      <w:r w:rsidR="00E01672" w:rsidRPr="00680758">
        <w:rPr>
          <w:rStyle w:val="FootnoteReference"/>
          <w:lang w:val="es-NI"/>
        </w:rPr>
        <w:footnoteReference w:id="26"/>
      </w:r>
      <w:r w:rsidR="005F5C96" w:rsidRPr="00680758">
        <w:t xml:space="preserve"> </w:t>
      </w:r>
      <w:r w:rsidR="00AD1635">
        <w:t>The</w:t>
      </w:r>
      <w:r w:rsidR="00C4712B">
        <w:t>se</w:t>
      </w:r>
      <w:r w:rsidR="00AD1635">
        <w:t xml:space="preserve"> </w:t>
      </w:r>
      <w:r w:rsidR="00A65556">
        <w:t>livelihoods</w:t>
      </w:r>
      <w:r w:rsidR="00AD1635">
        <w:t xml:space="preserve"> </w:t>
      </w:r>
      <w:r w:rsidR="00E01672" w:rsidRPr="00680758">
        <w:t>are significantly affected by eco-system</w:t>
      </w:r>
      <w:r w:rsidR="00606C17">
        <w:t xml:space="preserve"> deterioration</w:t>
      </w:r>
      <w:r w:rsidR="00E01672" w:rsidRPr="00680758">
        <w:t xml:space="preserve"> caused by unsustainable natural resource</w:t>
      </w:r>
      <w:r w:rsidR="00C4712B">
        <w:t xml:space="preserve"> use</w:t>
      </w:r>
      <w:r w:rsidR="00E01672" w:rsidRPr="00680758">
        <w:t xml:space="preserve"> and climate change </w:t>
      </w:r>
      <w:r w:rsidR="00606C17">
        <w:t>and</w:t>
      </w:r>
      <w:r w:rsidR="00E01672" w:rsidRPr="00680758">
        <w:t xml:space="preserve"> </w:t>
      </w:r>
      <w:r w:rsidR="00A65556">
        <w:t xml:space="preserve">by </w:t>
      </w:r>
      <w:r w:rsidR="00E01672" w:rsidRPr="00680758">
        <w:t xml:space="preserve">extreme events related to tropical cyclones </w:t>
      </w:r>
      <w:r w:rsidR="00D65045">
        <w:t>and</w:t>
      </w:r>
      <w:r w:rsidR="00D65045" w:rsidRPr="00680758">
        <w:t xml:space="preserve"> </w:t>
      </w:r>
      <w:r w:rsidR="00E01672" w:rsidRPr="00680758">
        <w:t>the El Niño effect. Between 2014 and 2015, more than 200,000 families were affect</w:t>
      </w:r>
      <w:r w:rsidR="00275172" w:rsidRPr="00680758">
        <w:t>ed by drought in the Dry Corridor,</w:t>
      </w:r>
      <w:r w:rsidR="00275172" w:rsidRPr="00680758">
        <w:rPr>
          <w:rStyle w:val="FootnoteReference"/>
          <w:lang w:val="es-ES"/>
        </w:rPr>
        <w:footnoteReference w:id="27"/>
      </w:r>
      <w:r w:rsidR="003874E2" w:rsidRPr="00680758">
        <w:t xml:space="preserve"> which directly impacted</w:t>
      </w:r>
      <w:r w:rsidR="00275172" w:rsidRPr="00680758">
        <w:t xml:space="preserve"> food security of </w:t>
      </w:r>
      <w:r w:rsidR="00D65045">
        <w:t>people</w:t>
      </w:r>
      <w:r w:rsidR="00275172" w:rsidRPr="00680758">
        <w:t xml:space="preserve"> </w:t>
      </w:r>
      <w:r w:rsidR="009E56EF">
        <w:t xml:space="preserve">already </w:t>
      </w:r>
      <w:r w:rsidR="00275172" w:rsidRPr="00680758">
        <w:t xml:space="preserve">living in extreme poverty. </w:t>
      </w:r>
      <w:r w:rsidR="00387FC4">
        <w:t>Deforestation increase due to changing land use for agricultur</w:t>
      </w:r>
      <w:r w:rsidR="00F9312D">
        <w:t>e</w:t>
      </w:r>
      <w:r w:rsidR="00387FC4">
        <w:t xml:space="preserve"> and the </w:t>
      </w:r>
      <w:r w:rsidR="00275172" w:rsidRPr="00680758">
        <w:t>southern pine beetle infestation (more than 700,000 hectares were lost between 2014 and 2015</w:t>
      </w:r>
      <w:r w:rsidR="00275172" w:rsidRPr="00680758">
        <w:rPr>
          <w:rStyle w:val="FootnoteReference"/>
          <w:lang w:val="es-ES"/>
        </w:rPr>
        <w:footnoteReference w:id="28"/>
      </w:r>
      <w:r w:rsidR="00275172" w:rsidRPr="00680758">
        <w:t>)</w:t>
      </w:r>
      <w:r w:rsidR="00BE500A" w:rsidRPr="00680758">
        <w:t>;</w:t>
      </w:r>
      <w:r w:rsidR="00275172" w:rsidRPr="00680758">
        <w:t xml:space="preserve"> </w:t>
      </w:r>
      <w:r w:rsidR="009E56EF" w:rsidRPr="00680758">
        <w:t>soil, water and air</w:t>
      </w:r>
      <w:r w:rsidR="009E56EF" w:rsidRPr="00680758" w:rsidDel="008D76D2">
        <w:t xml:space="preserve"> </w:t>
      </w:r>
      <w:r w:rsidR="00275172" w:rsidRPr="00680758">
        <w:t>contamination by chemicals su</w:t>
      </w:r>
      <w:r w:rsidR="006A6715" w:rsidRPr="00680758">
        <w:t>ch as mercury and</w:t>
      </w:r>
      <w:r w:rsidR="00BE500A" w:rsidRPr="00680758">
        <w:t xml:space="preserve"> hazardous waste; </w:t>
      </w:r>
      <w:r w:rsidR="00275172" w:rsidRPr="00680758">
        <w:t xml:space="preserve">and </w:t>
      </w:r>
      <w:r w:rsidR="00BE500A" w:rsidRPr="00680758">
        <w:t>f</w:t>
      </w:r>
      <w:r w:rsidR="00ED43D3" w:rsidRPr="00680758">
        <w:t>orest fires</w:t>
      </w:r>
      <w:r w:rsidR="00AE302D">
        <w:t xml:space="preserve"> </w:t>
      </w:r>
      <w:r w:rsidR="00EE3334">
        <w:t xml:space="preserve">have </w:t>
      </w:r>
      <w:r w:rsidR="004D3C9C" w:rsidRPr="00680758">
        <w:t>increase</w:t>
      </w:r>
      <w:r w:rsidR="00EE3334">
        <w:t>d</w:t>
      </w:r>
      <w:r w:rsidR="004D3C9C" w:rsidRPr="00680758">
        <w:t xml:space="preserve"> </w:t>
      </w:r>
      <w:r w:rsidR="00275172" w:rsidRPr="00680758">
        <w:t xml:space="preserve">environmental vulnerability </w:t>
      </w:r>
      <w:r w:rsidR="004D3C9C" w:rsidRPr="00680758">
        <w:t xml:space="preserve">and </w:t>
      </w:r>
      <w:r w:rsidR="006E602A">
        <w:t xml:space="preserve">constitute </w:t>
      </w:r>
      <w:r w:rsidR="004D3C9C" w:rsidRPr="00680758">
        <w:t>serious</w:t>
      </w:r>
      <w:r w:rsidR="00275172" w:rsidRPr="00680758">
        <w:t xml:space="preserve"> challenges </w:t>
      </w:r>
      <w:r w:rsidR="004D3C9C" w:rsidRPr="00680758">
        <w:t>for</w:t>
      </w:r>
      <w:r w:rsidR="00275172" w:rsidRPr="00680758">
        <w:t xml:space="preserve"> eco-system conservation, mitigation and adapt</w:t>
      </w:r>
      <w:r w:rsidR="00EE3334">
        <w:t>at</w:t>
      </w:r>
      <w:r w:rsidR="00275172" w:rsidRPr="00680758">
        <w:t xml:space="preserve">ion to climate change. </w:t>
      </w:r>
      <w:r w:rsidR="000F244B">
        <w:t>R</w:t>
      </w:r>
      <w:r w:rsidR="00275172" w:rsidRPr="00680758">
        <w:t>apid urbanization</w:t>
      </w:r>
      <w:r w:rsidR="00676B14" w:rsidRPr="00680758">
        <w:t xml:space="preserve"> </w:t>
      </w:r>
      <w:r w:rsidR="000F244B">
        <w:t>over</w:t>
      </w:r>
      <w:r w:rsidR="000F244B" w:rsidRPr="00680758">
        <w:t xml:space="preserve"> </w:t>
      </w:r>
      <w:r w:rsidR="00676B14" w:rsidRPr="00680758">
        <w:t xml:space="preserve">the past decades has </w:t>
      </w:r>
      <w:r w:rsidR="00C26AB1" w:rsidRPr="00680758">
        <w:t>given rise to</w:t>
      </w:r>
      <w:r w:rsidR="00676B14" w:rsidRPr="00680758">
        <w:t xml:space="preserve"> neighbo</w:t>
      </w:r>
      <w:r w:rsidR="0066750A">
        <w:t>u</w:t>
      </w:r>
      <w:r w:rsidR="00676B14" w:rsidRPr="00680758">
        <w:t xml:space="preserve">rhoods and settlements in </w:t>
      </w:r>
      <w:r w:rsidR="000441EC" w:rsidRPr="00680758">
        <w:t>high risk areas</w:t>
      </w:r>
      <w:r w:rsidR="00BD776F">
        <w:t xml:space="preserve"> - </w:t>
      </w:r>
      <w:r w:rsidR="000441EC" w:rsidRPr="00680758">
        <w:t xml:space="preserve">a situation which </w:t>
      </w:r>
      <w:r w:rsidR="00676B14" w:rsidRPr="00680758">
        <w:t>affect</w:t>
      </w:r>
      <w:r w:rsidR="000441EC" w:rsidRPr="00680758">
        <w:t>s</w:t>
      </w:r>
      <w:r w:rsidR="00676B14" w:rsidRPr="00680758">
        <w:t xml:space="preserve"> </w:t>
      </w:r>
      <w:r w:rsidR="000441EC" w:rsidRPr="00680758">
        <w:t xml:space="preserve">quality of housing </w:t>
      </w:r>
      <w:r w:rsidR="00676B14" w:rsidRPr="00680758">
        <w:t xml:space="preserve">and </w:t>
      </w:r>
      <w:r w:rsidR="000441EC" w:rsidRPr="00680758">
        <w:t xml:space="preserve">access to </w:t>
      </w:r>
      <w:r w:rsidR="00676B14" w:rsidRPr="00680758">
        <w:t>livelihoods</w:t>
      </w:r>
      <w:r w:rsidR="000441EC" w:rsidRPr="00680758">
        <w:t xml:space="preserve"> and basic services</w:t>
      </w:r>
      <w:r w:rsidR="005D34B9">
        <w:t xml:space="preserve">. </w:t>
      </w:r>
      <w:r w:rsidR="00290FBA">
        <w:t xml:space="preserve">This </w:t>
      </w:r>
      <w:r w:rsidR="005D34B9">
        <w:t>is</w:t>
      </w:r>
      <w:r w:rsidR="00A81B3A" w:rsidRPr="00680758">
        <w:t xml:space="preserve"> </w:t>
      </w:r>
      <w:r w:rsidR="00F30C23" w:rsidRPr="00680758">
        <w:t>exacerbat</w:t>
      </w:r>
      <w:r w:rsidR="00BD776F">
        <w:t>e</w:t>
      </w:r>
      <w:r w:rsidR="005D34B9">
        <w:t>d</w:t>
      </w:r>
      <w:r w:rsidR="00F30C23" w:rsidRPr="00680758">
        <w:t xml:space="preserve"> </w:t>
      </w:r>
      <w:r w:rsidR="005D34B9">
        <w:t xml:space="preserve">by </w:t>
      </w:r>
      <w:r w:rsidR="00F30C23" w:rsidRPr="00680758">
        <w:t>informa</w:t>
      </w:r>
      <w:r w:rsidR="00BD776F">
        <w:t>l</w:t>
      </w:r>
      <w:r w:rsidR="00387FC4">
        <w:t>ity</w:t>
      </w:r>
      <w:r w:rsidR="00F30C23" w:rsidRPr="00680758">
        <w:t xml:space="preserve">, </w:t>
      </w:r>
      <w:r w:rsidR="00676B14" w:rsidRPr="00680758">
        <w:t xml:space="preserve">environmental pollution and vulnerability </w:t>
      </w:r>
      <w:r w:rsidR="000441EC" w:rsidRPr="00680758">
        <w:t>to</w:t>
      </w:r>
      <w:r w:rsidR="00FF1C45" w:rsidRPr="00680758">
        <w:t xml:space="preserve"> disasters</w:t>
      </w:r>
      <w:r w:rsidR="00DF3FC1">
        <w:t xml:space="preserve">. </w:t>
      </w:r>
    </w:p>
    <w:p w14:paraId="2EC67000" w14:textId="63C2C3E2" w:rsidR="00676B14" w:rsidRPr="00680758" w:rsidRDefault="008201AC" w:rsidP="00A8785D">
      <w:pPr>
        <w:spacing w:after="120"/>
        <w:ind w:left="1276" w:right="1203"/>
        <w:jc w:val="both"/>
      </w:pPr>
      <w:r w:rsidRPr="00680758">
        <w:t xml:space="preserve">8. </w:t>
      </w:r>
      <w:r w:rsidR="00DD6095" w:rsidRPr="00680758">
        <w:t xml:space="preserve">During the previous </w:t>
      </w:r>
      <w:r w:rsidR="00956960">
        <w:t>p</w:t>
      </w:r>
      <w:r w:rsidR="006C0E9C" w:rsidRPr="00680758">
        <w:t>rogram</w:t>
      </w:r>
      <w:r w:rsidR="00DD6095" w:rsidRPr="00680758">
        <w:t xml:space="preserve">ming cycle, </w:t>
      </w:r>
      <w:r w:rsidR="00676B14" w:rsidRPr="00680758">
        <w:t xml:space="preserve">UNDP </w:t>
      </w:r>
      <w:r w:rsidR="006858A1" w:rsidRPr="00680758">
        <w:t xml:space="preserve">supported </w:t>
      </w:r>
      <w:r w:rsidR="00290FBA">
        <w:t xml:space="preserve">the </w:t>
      </w:r>
      <w:r w:rsidR="006858A1" w:rsidRPr="00680758">
        <w:t>establishment of</w:t>
      </w:r>
      <w:r w:rsidR="00676B14" w:rsidRPr="00680758">
        <w:t xml:space="preserve"> legislative </w:t>
      </w:r>
      <w:r w:rsidR="004F340A" w:rsidRPr="00680758">
        <w:t xml:space="preserve">and policy </w:t>
      </w:r>
      <w:r w:rsidR="00676B14" w:rsidRPr="00680758">
        <w:t>framework</w:t>
      </w:r>
      <w:r w:rsidR="00776788">
        <w:t>s</w:t>
      </w:r>
      <w:r w:rsidR="004F340A" w:rsidRPr="00680758">
        <w:t xml:space="preserve"> </w:t>
      </w:r>
      <w:r w:rsidR="00AC4163" w:rsidRPr="00680758">
        <w:t>and institution</w:t>
      </w:r>
      <w:r w:rsidR="004F340A" w:rsidRPr="00680758">
        <w:t xml:space="preserve">al strengthening </w:t>
      </w:r>
      <w:r w:rsidR="00B21CC9">
        <w:t>to</w:t>
      </w:r>
      <w:r w:rsidR="00776788" w:rsidRPr="00680758">
        <w:t xml:space="preserve"> </w:t>
      </w:r>
      <w:r w:rsidR="00C3491A" w:rsidRPr="00680758">
        <w:t xml:space="preserve">mainstream </w:t>
      </w:r>
      <w:r w:rsidR="00676B14" w:rsidRPr="00680758">
        <w:t xml:space="preserve">climate </w:t>
      </w:r>
      <w:r w:rsidR="00AC4163" w:rsidRPr="00680758">
        <w:t>risk</w:t>
      </w:r>
      <w:r w:rsidR="00C3491A" w:rsidRPr="00680758">
        <w:t>s</w:t>
      </w:r>
      <w:r w:rsidR="00AC4163" w:rsidRPr="00680758">
        <w:t xml:space="preserve">. </w:t>
      </w:r>
      <w:r w:rsidR="00265262" w:rsidRPr="00680758">
        <w:t>T</w:t>
      </w:r>
      <w:r w:rsidR="00AC4163" w:rsidRPr="00680758">
        <w:t xml:space="preserve">ools </w:t>
      </w:r>
      <w:r w:rsidR="001752BE">
        <w:t>for</w:t>
      </w:r>
      <w:r w:rsidR="00AC4163" w:rsidRPr="00680758">
        <w:t xml:space="preserve"> risk </w:t>
      </w:r>
      <w:r w:rsidR="007604FA" w:rsidRPr="00680758">
        <w:t>assessment</w:t>
      </w:r>
      <w:r w:rsidR="00335B5A" w:rsidRPr="00680758">
        <w:t xml:space="preserve">, early </w:t>
      </w:r>
      <w:r w:rsidR="007604FA" w:rsidRPr="00680758">
        <w:t>warning</w:t>
      </w:r>
      <w:r w:rsidR="00335B5A" w:rsidRPr="00680758">
        <w:t xml:space="preserve"> and recovery planning </w:t>
      </w:r>
      <w:r w:rsidR="005D34B9">
        <w:t>for</w:t>
      </w:r>
      <w:r w:rsidR="00335B5A" w:rsidRPr="00680758">
        <w:t xml:space="preserve"> floods and droughts</w:t>
      </w:r>
      <w:r w:rsidR="00186E58" w:rsidRPr="00680758">
        <w:t xml:space="preserve"> were adopted</w:t>
      </w:r>
      <w:r w:rsidR="00335B5A" w:rsidRPr="00680758">
        <w:t>.</w:t>
      </w:r>
      <w:r w:rsidR="00335B5A" w:rsidRPr="00680758">
        <w:rPr>
          <w:rStyle w:val="FootnoteReference"/>
          <w:lang w:val="es-ES"/>
        </w:rPr>
        <w:footnoteReference w:id="29"/>
      </w:r>
      <w:r w:rsidR="00335B5A" w:rsidRPr="00680758">
        <w:t xml:space="preserve"> </w:t>
      </w:r>
      <w:r w:rsidR="003E482A">
        <w:t>A</w:t>
      </w:r>
      <w:r w:rsidR="007604FA" w:rsidRPr="00680758">
        <w:t>t local level</w:t>
      </w:r>
      <w:r w:rsidR="000121D9">
        <w:t>s</w:t>
      </w:r>
      <w:r w:rsidR="007604FA" w:rsidRPr="00680758">
        <w:t xml:space="preserve">, </w:t>
      </w:r>
      <w:r w:rsidR="0028626F">
        <w:t xml:space="preserve">technical </w:t>
      </w:r>
      <w:r w:rsidR="007604FA" w:rsidRPr="00680758">
        <w:t xml:space="preserve">risk reduction </w:t>
      </w:r>
      <w:r w:rsidR="004B72B4">
        <w:t xml:space="preserve">capacity </w:t>
      </w:r>
      <w:r w:rsidR="00186E58" w:rsidRPr="00680758">
        <w:t xml:space="preserve">was </w:t>
      </w:r>
      <w:r w:rsidR="005D34B9">
        <w:t>developed</w:t>
      </w:r>
      <w:r w:rsidR="000121D9" w:rsidRPr="00680758">
        <w:t xml:space="preserve"> </w:t>
      </w:r>
      <w:r w:rsidR="007604FA" w:rsidRPr="00680758">
        <w:t xml:space="preserve">in highly vulnerable municipalities in Francisco Morazán and Choluteca, with emphasis on urban risk reduction and </w:t>
      </w:r>
      <w:r w:rsidR="00BA6855" w:rsidRPr="00680758">
        <w:t>urban plan</w:t>
      </w:r>
      <w:r w:rsidR="00806BAA" w:rsidRPr="00680758">
        <w:t>n</w:t>
      </w:r>
      <w:r w:rsidR="00BA6855" w:rsidRPr="00680758">
        <w:t>ing</w:t>
      </w:r>
      <w:r w:rsidR="007604FA" w:rsidRPr="00680758">
        <w:t xml:space="preserve">. UNDP </w:t>
      </w:r>
      <w:r w:rsidR="005D34B9">
        <w:t xml:space="preserve">also </w:t>
      </w:r>
      <w:r w:rsidR="007604FA" w:rsidRPr="00680758">
        <w:t xml:space="preserve">supported the </w:t>
      </w:r>
      <w:r w:rsidR="00576289">
        <w:t>adoption</w:t>
      </w:r>
      <w:r w:rsidR="00576289" w:rsidRPr="00680758">
        <w:t xml:space="preserve"> </w:t>
      </w:r>
      <w:r w:rsidR="007604FA" w:rsidRPr="00680758">
        <w:t xml:space="preserve">of environmental and social </w:t>
      </w:r>
      <w:r w:rsidR="00EC4AE5" w:rsidRPr="00680758">
        <w:t>safeguards t</w:t>
      </w:r>
      <w:r w:rsidR="00D4701A" w:rsidRPr="00680758">
        <w:t xml:space="preserve">o </w:t>
      </w:r>
      <w:r w:rsidR="00EC4AE5" w:rsidRPr="00680758">
        <w:t xml:space="preserve">ensure </w:t>
      </w:r>
      <w:r w:rsidR="00D4701A" w:rsidRPr="00680758">
        <w:t>s</w:t>
      </w:r>
      <w:r w:rsidR="00EC4AE5" w:rsidRPr="00680758">
        <w:t>ustainable management of natural resources</w:t>
      </w:r>
      <w:r w:rsidR="000121D9">
        <w:t>,</w:t>
      </w:r>
      <w:r w:rsidR="00EC4AE5" w:rsidRPr="00680758">
        <w:t xml:space="preserve"> </w:t>
      </w:r>
      <w:r w:rsidR="007C6924" w:rsidRPr="00680758">
        <w:t xml:space="preserve">prioritizing </w:t>
      </w:r>
      <w:r w:rsidR="00EC4AE5" w:rsidRPr="00680758">
        <w:t>community participation.</w:t>
      </w:r>
      <w:r w:rsidR="00EC4AE5" w:rsidRPr="00680758">
        <w:rPr>
          <w:rStyle w:val="FootnoteReference"/>
          <w:lang w:val="es-ES"/>
        </w:rPr>
        <w:footnoteReference w:id="30"/>
      </w:r>
      <w:r w:rsidR="00EC4AE5" w:rsidRPr="00680758">
        <w:t xml:space="preserve"> According to </w:t>
      </w:r>
      <w:r w:rsidR="005D34B9">
        <w:t xml:space="preserve">recent </w:t>
      </w:r>
      <w:r w:rsidR="00EC4AE5" w:rsidRPr="00680758">
        <w:t>evaluations of the GEF projects</w:t>
      </w:r>
      <w:r w:rsidR="006C02AF">
        <w:t>,</w:t>
      </w:r>
      <w:r w:rsidR="00EC4AE5" w:rsidRPr="00680758">
        <w:rPr>
          <w:rStyle w:val="FootnoteReference"/>
          <w:lang w:val="es-ES"/>
        </w:rPr>
        <w:footnoteReference w:id="31"/>
      </w:r>
      <w:r w:rsidR="002F4217" w:rsidRPr="00680758">
        <w:t xml:space="preserve"> a number of </w:t>
      </w:r>
      <w:r w:rsidR="00EC4AE5" w:rsidRPr="00680758">
        <w:t xml:space="preserve">best practices </w:t>
      </w:r>
      <w:r w:rsidR="000121D9">
        <w:t xml:space="preserve">in </w:t>
      </w:r>
      <w:r w:rsidR="000121D9" w:rsidRPr="00680758">
        <w:t xml:space="preserve">sustainable management of natural resources and organization of artisanal fisheries </w:t>
      </w:r>
      <w:r w:rsidR="002F4217" w:rsidRPr="00680758">
        <w:t xml:space="preserve">were documented </w:t>
      </w:r>
      <w:r w:rsidR="00EC4AE5" w:rsidRPr="00680758">
        <w:t xml:space="preserve">in the pine-oak forest corridor of Olancho </w:t>
      </w:r>
      <w:r w:rsidR="004C26CE">
        <w:t>and</w:t>
      </w:r>
      <w:r w:rsidR="00D205C4" w:rsidRPr="00680758">
        <w:t xml:space="preserve"> in </w:t>
      </w:r>
      <w:r w:rsidR="002C1717">
        <w:t>La</w:t>
      </w:r>
      <w:r w:rsidR="002C1717" w:rsidRPr="00680758">
        <w:t xml:space="preserve"> </w:t>
      </w:r>
      <w:r w:rsidR="00D205C4" w:rsidRPr="00680758">
        <w:t>Mosquitia</w:t>
      </w:r>
      <w:r w:rsidR="00EC4AE5" w:rsidRPr="00680758">
        <w:t xml:space="preserve">. </w:t>
      </w:r>
    </w:p>
    <w:p w14:paraId="1E4FF407" w14:textId="6AADD3CB" w:rsidR="00EC4AE5" w:rsidRPr="00680758" w:rsidRDefault="008201AC" w:rsidP="00A8785D">
      <w:pPr>
        <w:spacing w:after="120"/>
        <w:ind w:left="1276" w:right="1203"/>
        <w:jc w:val="both"/>
      </w:pPr>
      <w:r w:rsidRPr="00680758">
        <w:t xml:space="preserve">9. </w:t>
      </w:r>
      <w:r w:rsidR="00EC4AE5" w:rsidRPr="00680758">
        <w:t xml:space="preserve">In </w:t>
      </w:r>
      <w:r w:rsidR="005C727F">
        <w:t xml:space="preserve">the new programme cycle, </w:t>
      </w:r>
      <w:r w:rsidR="00EC4AE5" w:rsidRPr="00680758">
        <w:t xml:space="preserve">UNDP </w:t>
      </w:r>
      <w:r w:rsidR="00EF6A8C">
        <w:t xml:space="preserve">has </w:t>
      </w:r>
      <w:r w:rsidR="000751A6">
        <w:t xml:space="preserve">the </w:t>
      </w:r>
      <w:r w:rsidR="00EF6A8C">
        <w:t xml:space="preserve">opportunity </w:t>
      </w:r>
      <w:r w:rsidR="00EC4AE5" w:rsidRPr="00680758">
        <w:t xml:space="preserve">to </w:t>
      </w:r>
      <w:r w:rsidR="00181E56">
        <w:t xml:space="preserve">enhance resilience in communities </w:t>
      </w:r>
      <w:r w:rsidR="00181E56" w:rsidRPr="00680758">
        <w:t>vulnerable to climate change</w:t>
      </w:r>
      <w:r w:rsidR="00FE2172">
        <w:t xml:space="preserve">, </w:t>
      </w:r>
      <w:r w:rsidR="00FE2172" w:rsidRPr="00680758">
        <w:t xml:space="preserve">taking into account the interplay with health and other social determinants, </w:t>
      </w:r>
      <w:r w:rsidR="00181E56">
        <w:t xml:space="preserve">trough </w:t>
      </w:r>
      <w:r w:rsidR="00A373E0" w:rsidRPr="00680758">
        <w:t>implement</w:t>
      </w:r>
      <w:r w:rsidR="00181E56">
        <w:t>ing</w:t>
      </w:r>
      <w:r w:rsidR="00A373E0" w:rsidRPr="00680758">
        <w:t xml:space="preserve"> a comprehensive, issue-based </w:t>
      </w:r>
      <w:r w:rsidR="00EC4AE5" w:rsidRPr="00680758">
        <w:t xml:space="preserve">approach to </w:t>
      </w:r>
      <w:r w:rsidR="003B5164">
        <w:t xml:space="preserve">natural resource </w:t>
      </w:r>
      <w:r w:rsidR="00EC4AE5" w:rsidRPr="00680758">
        <w:t>governanc</w:t>
      </w:r>
      <w:r w:rsidR="00850ACF" w:rsidRPr="00680758">
        <w:t>e and</w:t>
      </w:r>
      <w:r w:rsidR="00A373E0" w:rsidRPr="00680758">
        <w:t xml:space="preserve"> </w:t>
      </w:r>
      <w:r w:rsidR="00EC4AE5" w:rsidRPr="00680758">
        <w:t>liv</w:t>
      </w:r>
      <w:r w:rsidR="00CF2469" w:rsidRPr="00680758">
        <w:t>e</w:t>
      </w:r>
      <w:r w:rsidR="00EC4AE5" w:rsidRPr="00680758">
        <w:t xml:space="preserve">lihoods </w:t>
      </w:r>
      <w:r w:rsidR="00035B5B">
        <w:t>creation</w:t>
      </w:r>
      <w:r w:rsidR="00EC4AE5" w:rsidRPr="00680758">
        <w:t xml:space="preserve">, </w:t>
      </w:r>
      <w:r w:rsidR="00FE2172">
        <w:t>and</w:t>
      </w:r>
      <w:r w:rsidR="00FE2172" w:rsidRPr="00680758">
        <w:t xml:space="preserve"> </w:t>
      </w:r>
      <w:r w:rsidR="00EC4AE5" w:rsidRPr="00680758">
        <w:t xml:space="preserve">the </w:t>
      </w:r>
      <w:r w:rsidR="005E5A17" w:rsidRPr="00680758">
        <w:t xml:space="preserve">promotion of sustainable </w:t>
      </w:r>
      <w:r w:rsidR="00EC4AE5" w:rsidRPr="00680758">
        <w:t>practices</w:t>
      </w:r>
      <w:r w:rsidR="005E5A17" w:rsidRPr="00680758">
        <w:t xml:space="preserve"> </w:t>
      </w:r>
      <w:r w:rsidR="003D0938" w:rsidRPr="00680758">
        <w:t>and productive landscapes.</w:t>
      </w:r>
      <w:r w:rsidR="005C2343" w:rsidRPr="00680758">
        <w:t xml:space="preserve"> </w:t>
      </w:r>
    </w:p>
    <w:p w14:paraId="62DB0DF4" w14:textId="72D01B10" w:rsidR="008201AC" w:rsidRPr="00680758" w:rsidRDefault="00E80709" w:rsidP="008201AC">
      <w:pPr>
        <w:ind w:left="1276" w:right="1203"/>
        <w:jc w:val="both"/>
      </w:pPr>
      <w:r w:rsidRPr="00680758">
        <w:lastRenderedPageBreak/>
        <w:t xml:space="preserve">10. </w:t>
      </w:r>
      <w:r w:rsidR="00CC3906">
        <w:t xml:space="preserve">Learning from </w:t>
      </w:r>
      <w:r w:rsidRPr="00680758">
        <w:t>the previous c</w:t>
      </w:r>
      <w:r w:rsidR="003A1D9D" w:rsidRPr="00680758">
        <w:t>ycle</w:t>
      </w:r>
      <w:r w:rsidR="00CC3906">
        <w:t>, UNDP will</w:t>
      </w:r>
      <w:r w:rsidR="00DB308D" w:rsidRPr="00680758">
        <w:t xml:space="preserve"> expand and diversify partnerships and strategic coordination with and among government ministries,</w:t>
      </w:r>
      <w:r w:rsidR="003A1D9D" w:rsidRPr="00680758">
        <w:t xml:space="preserve"> </w:t>
      </w:r>
      <w:r w:rsidR="00DB308D" w:rsidRPr="00680758">
        <w:t xml:space="preserve">both </w:t>
      </w:r>
      <w:r w:rsidR="003A1D9D" w:rsidRPr="00680758">
        <w:t xml:space="preserve">at </w:t>
      </w:r>
      <w:r w:rsidR="00DB308D" w:rsidRPr="00680758">
        <w:t>local and natio</w:t>
      </w:r>
      <w:r w:rsidR="003A1D9D" w:rsidRPr="00680758">
        <w:t>nal level</w:t>
      </w:r>
      <w:r w:rsidR="005174EB">
        <w:t>s</w:t>
      </w:r>
      <w:r w:rsidR="003A1D9D" w:rsidRPr="00680758">
        <w:t xml:space="preserve">, to overcome </w:t>
      </w:r>
      <w:r w:rsidR="00DB308D" w:rsidRPr="00680758">
        <w:t>functional silos</w:t>
      </w:r>
      <w:r w:rsidR="003A1D9D" w:rsidRPr="00680758">
        <w:t xml:space="preserve"> and achieve a more sustainable impact</w:t>
      </w:r>
      <w:r w:rsidR="00691A4A">
        <w:t>, and with the private sector</w:t>
      </w:r>
      <w:r w:rsidR="00DB308D" w:rsidRPr="00680758">
        <w:t xml:space="preserve">. </w:t>
      </w:r>
    </w:p>
    <w:p w14:paraId="08B32FFF" w14:textId="77777777" w:rsidR="008201AC" w:rsidRPr="00680758" w:rsidRDefault="008201AC" w:rsidP="008201AC">
      <w:pPr>
        <w:ind w:left="1276" w:right="1210"/>
        <w:jc w:val="both"/>
      </w:pPr>
    </w:p>
    <w:p w14:paraId="5D4501C2" w14:textId="6E3AD20F" w:rsidR="008201AC" w:rsidRPr="00680758" w:rsidRDefault="00A8785D" w:rsidP="00A8785D">
      <w:pPr>
        <w:pStyle w:val="Heading2"/>
        <w:spacing w:after="120"/>
        <w:ind w:left="1267" w:right="1267" w:hanging="547"/>
        <w:jc w:val="both"/>
        <w:rPr>
          <w:rFonts w:ascii="Times New Roman" w:hAnsi="Times New Roman"/>
          <w:color w:val="000000"/>
          <w:spacing w:val="-3"/>
          <w:sz w:val="20"/>
        </w:rPr>
      </w:pPr>
      <w:r>
        <w:rPr>
          <w:rFonts w:ascii="Times New Roman" w:hAnsi="Times New Roman"/>
          <w:color w:val="000000"/>
          <w:sz w:val="24"/>
        </w:rPr>
        <w:t>II.</w:t>
      </w:r>
      <w:r>
        <w:rPr>
          <w:rFonts w:ascii="Times New Roman" w:hAnsi="Times New Roman"/>
          <w:color w:val="000000"/>
          <w:sz w:val="24"/>
        </w:rPr>
        <w:tab/>
        <w:t>P</w:t>
      </w:r>
      <w:r w:rsidR="006C0E9C" w:rsidRPr="00680758">
        <w:rPr>
          <w:rFonts w:ascii="Times New Roman" w:hAnsi="Times New Roman"/>
          <w:color w:val="000000"/>
          <w:sz w:val="24"/>
        </w:rPr>
        <w:t>rogramme</w:t>
      </w:r>
      <w:r w:rsidR="00DB308D" w:rsidRPr="00680758">
        <w:rPr>
          <w:rFonts w:ascii="Times New Roman" w:hAnsi="Times New Roman"/>
          <w:color w:val="000000"/>
          <w:sz w:val="24"/>
        </w:rPr>
        <w:t xml:space="preserve"> </w:t>
      </w:r>
      <w:r>
        <w:rPr>
          <w:rFonts w:ascii="Times New Roman" w:hAnsi="Times New Roman"/>
          <w:color w:val="000000"/>
          <w:sz w:val="24"/>
        </w:rPr>
        <w:t>p</w:t>
      </w:r>
      <w:r w:rsidR="00DB308D" w:rsidRPr="00680758">
        <w:rPr>
          <w:rFonts w:ascii="Times New Roman" w:hAnsi="Times New Roman"/>
          <w:color w:val="000000"/>
          <w:sz w:val="24"/>
        </w:rPr>
        <w:t xml:space="preserve">riorities and </w:t>
      </w:r>
      <w:r>
        <w:rPr>
          <w:rFonts w:ascii="Times New Roman" w:hAnsi="Times New Roman"/>
          <w:color w:val="000000"/>
          <w:sz w:val="24"/>
        </w:rPr>
        <w:t>p</w:t>
      </w:r>
      <w:r w:rsidR="00B249F0" w:rsidRPr="00680758">
        <w:rPr>
          <w:rFonts w:ascii="Times New Roman" w:hAnsi="Times New Roman"/>
          <w:color w:val="000000"/>
          <w:sz w:val="24"/>
        </w:rPr>
        <w:t>artnerships</w:t>
      </w:r>
      <w:r w:rsidR="00DB308D" w:rsidRPr="00680758">
        <w:rPr>
          <w:rFonts w:ascii="Times New Roman" w:hAnsi="Times New Roman"/>
          <w:color w:val="000000"/>
          <w:sz w:val="24"/>
        </w:rPr>
        <w:t xml:space="preserve"> </w:t>
      </w:r>
    </w:p>
    <w:p w14:paraId="1E8E56DE" w14:textId="2B4B1C43" w:rsidR="003E5063" w:rsidRPr="00680758" w:rsidRDefault="008201AC" w:rsidP="00A8785D">
      <w:pPr>
        <w:shd w:val="clear" w:color="auto" w:fill="FFFFFF" w:themeFill="background1"/>
        <w:spacing w:after="120"/>
        <w:ind w:left="1276" w:right="1210"/>
        <w:jc w:val="both"/>
      </w:pPr>
      <w:r w:rsidRPr="00680758">
        <w:t xml:space="preserve">11. </w:t>
      </w:r>
      <w:r w:rsidR="006A4FFE" w:rsidRPr="00680758">
        <w:t xml:space="preserve">The </w:t>
      </w:r>
      <w:r w:rsidR="00444B6B" w:rsidRPr="00680758">
        <w:t xml:space="preserve">overarching focus of the </w:t>
      </w:r>
      <w:r w:rsidR="006A4FFE" w:rsidRPr="00680758">
        <w:t>new C</w:t>
      </w:r>
      <w:r w:rsidR="00017E37" w:rsidRPr="00680758">
        <w:t xml:space="preserve">ountry </w:t>
      </w:r>
      <w:r w:rsidR="006C0E9C" w:rsidRPr="00680758">
        <w:t>Programme</w:t>
      </w:r>
      <w:r w:rsidR="0071288A" w:rsidRPr="00680758">
        <w:t xml:space="preserve"> </w:t>
      </w:r>
      <w:r w:rsidR="00C53EA6" w:rsidRPr="00680758">
        <w:t xml:space="preserve">is </w:t>
      </w:r>
      <w:r w:rsidR="005B69E0">
        <w:t xml:space="preserve">reducing </w:t>
      </w:r>
      <w:r w:rsidR="00444B6B" w:rsidRPr="00680758">
        <w:t>vulnerabilities and inequalities</w:t>
      </w:r>
      <w:r w:rsidR="00DD59B7">
        <w:t xml:space="preserve">, </w:t>
      </w:r>
      <w:r w:rsidR="005B69E0">
        <w:t xml:space="preserve">so that </w:t>
      </w:r>
      <w:r w:rsidR="00444B6B" w:rsidRPr="005B69E0">
        <w:rPr>
          <w:i/>
        </w:rPr>
        <w:t xml:space="preserve">no one </w:t>
      </w:r>
      <w:r w:rsidR="005B69E0" w:rsidRPr="005B69E0">
        <w:rPr>
          <w:i/>
        </w:rPr>
        <w:t xml:space="preserve">is </w:t>
      </w:r>
      <w:r w:rsidR="00444B6B" w:rsidRPr="005B69E0">
        <w:rPr>
          <w:i/>
        </w:rPr>
        <w:t>left behind</w:t>
      </w:r>
      <w:r w:rsidR="00444B6B" w:rsidRPr="00680758">
        <w:t xml:space="preserve">. </w:t>
      </w:r>
      <w:r w:rsidR="005174EB">
        <w:t xml:space="preserve">The Country Programme </w:t>
      </w:r>
      <w:r w:rsidR="00444B6B" w:rsidRPr="00680758">
        <w:t xml:space="preserve">is </w:t>
      </w:r>
      <w:r w:rsidR="003E5063" w:rsidRPr="00680758">
        <w:t>align</w:t>
      </w:r>
      <w:r w:rsidR="00C53EA6" w:rsidRPr="00680758">
        <w:t>ed</w:t>
      </w:r>
      <w:r w:rsidR="003E5063" w:rsidRPr="00680758">
        <w:t xml:space="preserve"> with the 2030 Agenda,</w:t>
      </w:r>
      <w:r w:rsidR="007A630E" w:rsidRPr="00680758">
        <w:t xml:space="preserve"> national priorities</w:t>
      </w:r>
      <w:r w:rsidR="00A26F47" w:rsidRPr="00680758">
        <w:rPr>
          <w:rStyle w:val="FootnoteReference"/>
        </w:rPr>
        <w:footnoteReference w:id="32"/>
      </w:r>
      <w:r w:rsidR="007A630E" w:rsidRPr="00680758">
        <w:t xml:space="preserve"> </w:t>
      </w:r>
      <w:r w:rsidR="00395416">
        <w:t>and the</w:t>
      </w:r>
      <w:r w:rsidR="007A630E" w:rsidRPr="00680758">
        <w:t xml:space="preserve"> </w:t>
      </w:r>
      <w:r w:rsidR="00966356" w:rsidRPr="00680758">
        <w:t xml:space="preserve">2014-2017 </w:t>
      </w:r>
      <w:r w:rsidR="007A630E" w:rsidRPr="00680758">
        <w:t>UNDP S</w:t>
      </w:r>
      <w:r w:rsidR="003E5063" w:rsidRPr="00680758">
        <w:t>tra</w:t>
      </w:r>
      <w:r w:rsidR="008D7779" w:rsidRPr="00680758">
        <w:t xml:space="preserve">tegic Plan. It </w:t>
      </w:r>
      <w:r w:rsidR="007A630E" w:rsidRPr="00680758">
        <w:t xml:space="preserve">will contribute to three of the five outcomes of the </w:t>
      </w:r>
      <w:r w:rsidR="003E5063" w:rsidRPr="00680758">
        <w:t xml:space="preserve">2017-2021 </w:t>
      </w:r>
      <w:r w:rsidR="00C53EA6" w:rsidRPr="00680758">
        <w:t>U</w:t>
      </w:r>
      <w:r w:rsidR="001C14A4">
        <w:t xml:space="preserve">nited </w:t>
      </w:r>
      <w:r w:rsidR="00C53EA6" w:rsidRPr="00680758">
        <w:t>N</w:t>
      </w:r>
      <w:r w:rsidR="001C14A4">
        <w:t>ations</w:t>
      </w:r>
      <w:r w:rsidR="007A630E" w:rsidRPr="00680758">
        <w:t xml:space="preserve"> </w:t>
      </w:r>
      <w:r w:rsidR="00C53EA6" w:rsidRPr="00680758">
        <w:t>D</w:t>
      </w:r>
      <w:r w:rsidR="007A630E" w:rsidRPr="00680758">
        <w:t xml:space="preserve">evelopment </w:t>
      </w:r>
      <w:r w:rsidR="00C53EA6" w:rsidRPr="00680758">
        <w:t>A</w:t>
      </w:r>
      <w:r w:rsidR="007A630E" w:rsidRPr="00680758">
        <w:t xml:space="preserve">ssistance </w:t>
      </w:r>
      <w:r w:rsidR="00C53EA6" w:rsidRPr="00680758">
        <w:t>F</w:t>
      </w:r>
      <w:r w:rsidR="007A630E" w:rsidRPr="00680758">
        <w:t>ramework (UNDAF)</w:t>
      </w:r>
      <w:r w:rsidR="003E5063" w:rsidRPr="00680758">
        <w:t xml:space="preserve">. </w:t>
      </w:r>
      <w:r w:rsidR="002D765A" w:rsidRPr="00680758">
        <w:t>T</w:t>
      </w:r>
      <w:r w:rsidR="00C53EA6" w:rsidRPr="00680758">
        <w:t>he 2030 Agenda forms the basis</w:t>
      </w:r>
      <w:r w:rsidR="002D765A" w:rsidRPr="00680758">
        <w:t xml:space="preserve"> of </w:t>
      </w:r>
      <w:r w:rsidR="00C53EA6" w:rsidRPr="00680758">
        <w:t>the UNDAF</w:t>
      </w:r>
      <w:r w:rsidR="002D765A" w:rsidRPr="00680758">
        <w:t xml:space="preserve">, and therefore </w:t>
      </w:r>
      <w:r w:rsidR="006A4FFE" w:rsidRPr="00680758">
        <w:t xml:space="preserve">of the </w:t>
      </w:r>
      <w:r w:rsidR="00DB094D">
        <w:t xml:space="preserve">Country </w:t>
      </w:r>
      <w:r w:rsidR="006C0E9C" w:rsidRPr="00680758">
        <w:t>Programme</w:t>
      </w:r>
      <w:r w:rsidR="002D765A" w:rsidRPr="00680758">
        <w:t xml:space="preserve">, and </w:t>
      </w:r>
      <w:r w:rsidR="00395416">
        <w:t>is</w:t>
      </w:r>
      <w:r w:rsidR="00395416" w:rsidRPr="00680758">
        <w:t xml:space="preserve"> </w:t>
      </w:r>
      <w:r w:rsidR="002D765A" w:rsidRPr="00680758">
        <w:t xml:space="preserve">an opportunity </w:t>
      </w:r>
      <w:r w:rsidR="006A4FFE" w:rsidRPr="00680758">
        <w:t>for</w:t>
      </w:r>
      <w:r w:rsidR="002D765A" w:rsidRPr="00680758">
        <w:t xml:space="preserve"> add</w:t>
      </w:r>
      <w:r w:rsidR="006A4FFE" w:rsidRPr="00680758">
        <w:t xml:space="preserve">ing value to national </w:t>
      </w:r>
      <w:r w:rsidR="002D765A" w:rsidRPr="00680758">
        <w:t xml:space="preserve">planning and management </w:t>
      </w:r>
      <w:r w:rsidR="00395416">
        <w:t>using</w:t>
      </w:r>
      <w:r w:rsidR="006A4FFE" w:rsidRPr="00680758">
        <w:t xml:space="preserve"> a results-</w:t>
      </w:r>
      <w:r w:rsidR="002B3229" w:rsidRPr="00680758">
        <w:t xml:space="preserve"> and </w:t>
      </w:r>
      <w:r w:rsidR="006A4FFE" w:rsidRPr="00680758">
        <w:t>rights-based</w:t>
      </w:r>
      <w:r w:rsidR="002B3229" w:rsidRPr="00680758">
        <w:t xml:space="preserve"> approach</w:t>
      </w:r>
      <w:r w:rsidR="00124EDA" w:rsidRPr="00680758">
        <w:t xml:space="preserve">. </w:t>
      </w:r>
      <w:r w:rsidR="00743C36" w:rsidRPr="00680758">
        <w:t>Sustainable Development Goals (SDG</w:t>
      </w:r>
      <w:r w:rsidR="00956960">
        <w:t>s</w:t>
      </w:r>
      <w:r w:rsidR="00743C36" w:rsidRPr="00680758">
        <w:t>)</w:t>
      </w:r>
      <w:r w:rsidR="002D765A" w:rsidRPr="00680758">
        <w:t xml:space="preserve"> 1, 5, 10, 12, 13, 16 and 17</w:t>
      </w:r>
      <w:r w:rsidR="00124EDA" w:rsidRPr="00680758">
        <w:t xml:space="preserve">, in particular, </w:t>
      </w:r>
      <w:r w:rsidR="00395416">
        <w:t xml:space="preserve">are </w:t>
      </w:r>
      <w:r w:rsidR="00C53EA6" w:rsidRPr="00680758">
        <w:t>foundation</w:t>
      </w:r>
      <w:r w:rsidR="000B1B26">
        <w:t>s</w:t>
      </w:r>
      <w:r w:rsidR="00743C36" w:rsidRPr="00680758">
        <w:t xml:space="preserve"> of the new </w:t>
      </w:r>
      <w:r w:rsidR="00DB094D">
        <w:t xml:space="preserve">Country </w:t>
      </w:r>
      <w:r w:rsidR="006C0E9C" w:rsidRPr="00680758">
        <w:t>Programme</w:t>
      </w:r>
      <w:r w:rsidR="00743C36" w:rsidRPr="00680758">
        <w:t xml:space="preserve">. UNDP will support </w:t>
      </w:r>
      <w:r w:rsidR="00FB0D46" w:rsidRPr="00680758">
        <w:t xml:space="preserve">development of </w:t>
      </w:r>
      <w:r w:rsidR="00F13AB8" w:rsidRPr="00680758">
        <w:t xml:space="preserve">normative, </w:t>
      </w:r>
      <w:r w:rsidR="00743C36" w:rsidRPr="00680758">
        <w:t>institutional and financial framework</w:t>
      </w:r>
      <w:r w:rsidR="007817AF" w:rsidRPr="00680758">
        <w:t>s</w:t>
      </w:r>
      <w:r w:rsidR="00743C36" w:rsidRPr="00680758">
        <w:t xml:space="preserve"> </w:t>
      </w:r>
      <w:r w:rsidR="009441BA" w:rsidRPr="00680758">
        <w:t>to implement the</w:t>
      </w:r>
      <w:r w:rsidR="000B1B26">
        <w:t>se</w:t>
      </w:r>
      <w:r w:rsidR="00B349E7" w:rsidRPr="00680758">
        <w:t xml:space="preserve"> </w:t>
      </w:r>
      <w:r w:rsidR="00743C36" w:rsidRPr="00680758">
        <w:t>SDGs</w:t>
      </w:r>
      <w:r w:rsidR="009C54F6" w:rsidRPr="00680758">
        <w:t xml:space="preserve">. </w:t>
      </w:r>
      <w:r w:rsidR="0063186B">
        <w:t xml:space="preserve">UNDP </w:t>
      </w:r>
      <w:r w:rsidR="004C5216" w:rsidRPr="00680758">
        <w:t xml:space="preserve">will draw </w:t>
      </w:r>
      <w:r w:rsidR="0063186B">
        <w:t>up</w:t>
      </w:r>
      <w:r w:rsidR="004C5216" w:rsidRPr="00680758">
        <w:t>on l</w:t>
      </w:r>
      <w:r w:rsidR="0058547C" w:rsidRPr="00680758">
        <w:t xml:space="preserve">essons </w:t>
      </w:r>
      <w:r w:rsidR="004C5216" w:rsidRPr="00680758">
        <w:t>learned f</w:t>
      </w:r>
      <w:r w:rsidR="0058547C" w:rsidRPr="00680758">
        <w:t>rom MDG implementation</w:t>
      </w:r>
      <w:r w:rsidR="004C5216" w:rsidRPr="00680758">
        <w:t xml:space="preserve">, which </w:t>
      </w:r>
      <w:r w:rsidR="0058547C" w:rsidRPr="00680758">
        <w:t xml:space="preserve">underlined the importance of </w:t>
      </w:r>
      <w:r w:rsidR="00395416">
        <w:t xml:space="preserve">integrating </w:t>
      </w:r>
      <w:r w:rsidR="0058547C" w:rsidRPr="00680758">
        <w:t xml:space="preserve">local governments and local actors </w:t>
      </w:r>
      <w:r w:rsidR="00395416">
        <w:t>when</w:t>
      </w:r>
      <w:r w:rsidR="00395416" w:rsidRPr="00680758">
        <w:t xml:space="preserve"> </w:t>
      </w:r>
      <w:r w:rsidR="0058547C" w:rsidRPr="00680758">
        <w:t xml:space="preserve">delivering </w:t>
      </w:r>
      <w:r w:rsidR="00F04B48">
        <w:t>the</w:t>
      </w:r>
      <w:r w:rsidR="00F04B48" w:rsidRPr="00680758">
        <w:t xml:space="preserve"> </w:t>
      </w:r>
      <w:r w:rsidR="0058547C" w:rsidRPr="00680758">
        <w:t xml:space="preserve">development agenda. </w:t>
      </w:r>
      <w:r w:rsidR="00606C17">
        <w:t>T</w:t>
      </w:r>
      <w:r w:rsidR="0058547C" w:rsidRPr="00680758">
        <w:t>he</w:t>
      </w:r>
      <w:r w:rsidR="009C54F6" w:rsidRPr="00680758">
        <w:t xml:space="preserve"> </w:t>
      </w:r>
      <w:r w:rsidR="004C5216" w:rsidRPr="00680758">
        <w:t xml:space="preserve">Country Programme </w:t>
      </w:r>
      <w:r w:rsidR="00743C36" w:rsidRPr="00680758">
        <w:t xml:space="preserve">will </w:t>
      </w:r>
      <w:r w:rsidR="0058547C" w:rsidRPr="00680758">
        <w:t>have a predominantly</w:t>
      </w:r>
      <w:r w:rsidR="009C54F6" w:rsidRPr="00680758">
        <w:t xml:space="preserve"> local</w:t>
      </w:r>
      <w:r w:rsidR="00E539C0" w:rsidRPr="00680758">
        <w:t xml:space="preserve">, </w:t>
      </w:r>
      <w:r w:rsidR="00793009" w:rsidRPr="00680758">
        <w:t xml:space="preserve">participatory, </w:t>
      </w:r>
      <w:r w:rsidR="009C54F6" w:rsidRPr="00680758">
        <w:t xml:space="preserve">issue-based </w:t>
      </w:r>
      <w:r w:rsidR="00E539C0" w:rsidRPr="00680758">
        <w:t xml:space="preserve">approach </w:t>
      </w:r>
      <w:r w:rsidR="00793009" w:rsidRPr="00680758">
        <w:t>to achieve subnational, national and global results</w:t>
      </w:r>
      <w:r w:rsidR="004443B1" w:rsidRPr="00680758">
        <w:t xml:space="preserve">. Localizing </w:t>
      </w:r>
      <w:r w:rsidR="00743C36" w:rsidRPr="00680758">
        <w:t>SDG</w:t>
      </w:r>
      <w:r w:rsidR="00850ACF" w:rsidRPr="00680758">
        <w:t xml:space="preserve">s </w:t>
      </w:r>
      <w:r w:rsidR="00743C36" w:rsidRPr="00680758">
        <w:t xml:space="preserve">will </w:t>
      </w:r>
      <w:r w:rsidR="004443B1" w:rsidRPr="00680758">
        <w:t xml:space="preserve">put </w:t>
      </w:r>
      <w:r w:rsidR="00743C36" w:rsidRPr="00680758">
        <w:t>communities, their priorities and their resources at the center o</w:t>
      </w:r>
      <w:r w:rsidR="00850ACF" w:rsidRPr="00680758">
        <w:t>f sustainable development.</w:t>
      </w:r>
      <w:r w:rsidR="004443B1" w:rsidRPr="00680758">
        <w:t xml:space="preserve"> </w:t>
      </w:r>
      <w:r w:rsidR="005174EB">
        <w:t>The Country Programme</w:t>
      </w:r>
      <w:r w:rsidR="005174EB" w:rsidRPr="00680758">
        <w:t xml:space="preserve"> </w:t>
      </w:r>
      <w:r w:rsidR="00A10983" w:rsidRPr="00680758">
        <w:t xml:space="preserve">will </w:t>
      </w:r>
      <w:r w:rsidR="0063186B">
        <w:t xml:space="preserve">promote </w:t>
      </w:r>
      <w:r w:rsidR="00D97C6D" w:rsidRPr="00680758">
        <w:t>a good governance model</w:t>
      </w:r>
      <w:r w:rsidR="00395416">
        <w:t>,</w:t>
      </w:r>
      <w:r w:rsidR="00D97C6D" w:rsidRPr="00680758">
        <w:t xml:space="preserve"> taking into account formal</w:t>
      </w:r>
      <w:r w:rsidR="0063186B">
        <w:t>,</w:t>
      </w:r>
      <w:r w:rsidR="00D97C6D" w:rsidRPr="00680758">
        <w:t xml:space="preserve"> informal</w:t>
      </w:r>
      <w:r w:rsidR="0063186B">
        <w:t xml:space="preserve"> and</w:t>
      </w:r>
      <w:r w:rsidR="00A10983" w:rsidRPr="00680758">
        <w:t xml:space="preserve"> traditional context</w:t>
      </w:r>
      <w:r w:rsidR="00D97C6D" w:rsidRPr="00680758">
        <w:t>s</w:t>
      </w:r>
      <w:r w:rsidR="00A10983" w:rsidRPr="00680758">
        <w:t xml:space="preserve"> for </w:t>
      </w:r>
      <w:r w:rsidR="00D97C6D" w:rsidRPr="00680758">
        <w:t xml:space="preserve">more </w:t>
      </w:r>
      <w:r w:rsidR="00A10983" w:rsidRPr="00680758">
        <w:t>constructive interaction</w:t>
      </w:r>
      <w:r w:rsidR="00D97C6D" w:rsidRPr="00680758">
        <w:t>s</w:t>
      </w:r>
      <w:r w:rsidR="00BE1D1E" w:rsidRPr="00680758">
        <w:t xml:space="preserve">, </w:t>
      </w:r>
      <w:r w:rsidR="00D97C6D" w:rsidRPr="00680758">
        <w:t xml:space="preserve">participation </w:t>
      </w:r>
      <w:r w:rsidR="009B0CB8" w:rsidRPr="00680758">
        <w:t>and ownership by</w:t>
      </w:r>
      <w:r w:rsidR="00BE1D1E" w:rsidRPr="00680758">
        <w:t xml:space="preserve"> </w:t>
      </w:r>
      <w:r w:rsidR="000E7D7B" w:rsidRPr="00680758">
        <w:t>actors</w:t>
      </w:r>
      <w:r w:rsidR="00A10983" w:rsidRPr="00680758">
        <w:t>.</w:t>
      </w:r>
      <w:r w:rsidR="00255CB3" w:rsidRPr="00680758">
        <w:t xml:space="preserve"> T</w:t>
      </w:r>
      <w:r w:rsidR="007817AF" w:rsidRPr="00680758">
        <w:t xml:space="preserve">his localized approach </w:t>
      </w:r>
      <w:r w:rsidR="004443B1" w:rsidRPr="00680758">
        <w:t>will provide the flexibility to replicate</w:t>
      </w:r>
      <w:r w:rsidR="00395416">
        <w:t xml:space="preserve"> and</w:t>
      </w:r>
      <w:r w:rsidR="004443B1" w:rsidRPr="00680758">
        <w:t xml:space="preserve"> scale-up</w:t>
      </w:r>
      <w:r w:rsidR="00E7019B" w:rsidRPr="00680758">
        <w:t xml:space="preserve"> </w:t>
      </w:r>
      <w:r w:rsidR="00BB177F" w:rsidRPr="00680758">
        <w:t xml:space="preserve">progressively </w:t>
      </w:r>
      <w:r w:rsidR="0071288A" w:rsidRPr="00680758">
        <w:t xml:space="preserve">from </w:t>
      </w:r>
      <w:r w:rsidR="00E7019B" w:rsidRPr="00680758">
        <w:t xml:space="preserve">territorial </w:t>
      </w:r>
      <w:r w:rsidR="00E97789" w:rsidRPr="00680758">
        <w:t>to</w:t>
      </w:r>
      <w:r w:rsidR="00E7019B" w:rsidRPr="00680758">
        <w:t xml:space="preserve"> national level</w:t>
      </w:r>
      <w:r w:rsidR="004443B1" w:rsidRPr="00680758">
        <w:t xml:space="preserve"> and </w:t>
      </w:r>
      <w:r w:rsidR="00395416">
        <w:t xml:space="preserve">to </w:t>
      </w:r>
      <w:r w:rsidR="004443B1" w:rsidRPr="00680758">
        <w:t xml:space="preserve">expand according to </w:t>
      </w:r>
      <w:r w:rsidR="0063186B">
        <w:t>resource</w:t>
      </w:r>
      <w:r w:rsidR="0063186B" w:rsidRPr="00680758">
        <w:t xml:space="preserve"> </w:t>
      </w:r>
      <w:r w:rsidR="004443B1" w:rsidRPr="00680758">
        <w:t xml:space="preserve">availability. </w:t>
      </w:r>
      <w:r w:rsidR="00850ACF" w:rsidRPr="00680758">
        <w:t>N</w:t>
      </w:r>
      <w:r w:rsidR="00743C36" w:rsidRPr="00680758">
        <w:t xml:space="preserve">ational priorities have </w:t>
      </w:r>
      <w:r w:rsidR="007B3754" w:rsidRPr="00680758">
        <w:t>guided</w:t>
      </w:r>
      <w:r w:rsidR="00743C36" w:rsidRPr="00680758">
        <w:t xml:space="preserve"> the geographical prioritization of the new </w:t>
      </w:r>
      <w:r w:rsidR="00DB094D">
        <w:t xml:space="preserve">Country </w:t>
      </w:r>
      <w:r w:rsidR="006C0E9C" w:rsidRPr="00680758">
        <w:t>Programme</w:t>
      </w:r>
      <w:r w:rsidR="00DB094D">
        <w:t>,</w:t>
      </w:r>
      <w:r w:rsidR="00743C36" w:rsidRPr="00680758">
        <w:t xml:space="preserve"> </w:t>
      </w:r>
      <w:r w:rsidR="008A26D7" w:rsidRPr="00680758">
        <w:t xml:space="preserve">focusing on </w:t>
      </w:r>
      <w:r w:rsidR="002C1717">
        <w:t>La</w:t>
      </w:r>
      <w:r w:rsidR="002C1717" w:rsidRPr="00680758">
        <w:t xml:space="preserve"> </w:t>
      </w:r>
      <w:r w:rsidR="00743C36" w:rsidRPr="00680758">
        <w:t xml:space="preserve">Mosquitia, the Dry Corridor, the Lenca region and </w:t>
      </w:r>
      <w:r w:rsidR="00DB094D">
        <w:t>thirty</w:t>
      </w:r>
      <w:r w:rsidR="00743C36" w:rsidRPr="00680758">
        <w:t xml:space="preserve"> municipalities </w:t>
      </w:r>
      <w:r w:rsidR="00A10983" w:rsidRPr="00680758">
        <w:t xml:space="preserve">with </w:t>
      </w:r>
      <w:r w:rsidR="00743C36" w:rsidRPr="00680758">
        <w:t xml:space="preserve">the highest </w:t>
      </w:r>
      <w:r w:rsidR="000B1B26">
        <w:t xml:space="preserve">violence </w:t>
      </w:r>
      <w:r w:rsidR="00743C36" w:rsidRPr="00680758">
        <w:t xml:space="preserve">levels. </w:t>
      </w:r>
    </w:p>
    <w:p w14:paraId="0C91C741" w14:textId="17EA7FA7" w:rsidR="00996322" w:rsidRPr="00680758" w:rsidRDefault="008201AC" w:rsidP="00A8785D">
      <w:pPr>
        <w:shd w:val="clear" w:color="auto" w:fill="FFFFFF" w:themeFill="background1"/>
        <w:spacing w:after="120"/>
        <w:ind w:left="1276" w:right="1210"/>
        <w:jc w:val="both"/>
      </w:pPr>
      <w:r w:rsidRPr="00680758">
        <w:t xml:space="preserve">12. </w:t>
      </w:r>
      <w:r w:rsidR="00996322" w:rsidRPr="00680758">
        <w:t>To ensure ownership and sustainability of</w:t>
      </w:r>
      <w:r w:rsidR="007F1496" w:rsidRPr="00680758">
        <w:t xml:space="preserve"> </w:t>
      </w:r>
      <w:r w:rsidR="00996322" w:rsidRPr="00680758">
        <w:t xml:space="preserve">results, the </w:t>
      </w:r>
      <w:r w:rsidR="00DB094D">
        <w:t xml:space="preserve">Country </w:t>
      </w:r>
      <w:r w:rsidR="006C0E9C" w:rsidRPr="00680758">
        <w:t>Programme</w:t>
      </w:r>
      <w:r w:rsidR="00516389" w:rsidRPr="00680758">
        <w:t xml:space="preserve"> </w:t>
      </w:r>
      <w:r w:rsidR="00996322" w:rsidRPr="00680758">
        <w:t>include</w:t>
      </w:r>
      <w:r w:rsidR="006C452B" w:rsidRPr="00680758">
        <w:t>s</w:t>
      </w:r>
      <w:r w:rsidR="00996322" w:rsidRPr="00680758">
        <w:t xml:space="preserve"> </w:t>
      </w:r>
      <w:r w:rsidR="00E52138">
        <w:t xml:space="preserve">a </w:t>
      </w:r>
      <w:r w:rsidR="00996322" w:rsidRPr="00680758">
        <w:t>componen</w:t>
      </w:r>
      <w:r w:rsidR="007C4DC0" w:rsidRPr="00680758">
        <w:t>t dedicated to strengthening</w:t>
      </w:r>
      <w:r w:rsidR="00996322" w:rsidRPr="00680758">
        <w:t xml:space="preserve"> institutional and technical capacities of national partners to plan, develop and deliver services </w:t>
      </w:r>
      <w:r w:rsidR="00E52138">
        <w:t>using</w:t>
      </w:r>
      <w:r w:rsidR="00E52138" w:rsidRPr="00680758">
        <w:t xml:space="preserve"> </w:t>
      </w:r>
      <w:r w:rsidR="00996322" w:rsidRPr="00680758">
        <w:t xml:space="preserve">an inclusive, transparent and rights-based </w:t>
      </w:r>
      <w:r w:rsidR="007C4DC0" w:rsidRPr="00680758">
        <w:t>approach</w:t>
      </w:r>
      <w:r w:rsidR="00996322" w:rsidRPr="00680758">
        <w:t>. UNDP will</w:t>
      </w:r>
      <w:r w:rsidR="00516389" w:rsidRPr="00680758">
        <w:t xml:space="preserve"> focus on</w:t>
      </w:r>
      <w:r w:rsidR="00996322" w:rsidRPr="00680758">
        <w:t xml:space="preserve"> most vulnerable and excluded populations. </w:t>
      </w:r>
      <w:r w:rsidR="001016FF" w:rsidRPr="00680758">
        <w:t>As such</w:t>
      </w:r>
      <w:r w:rsidR="00996322" w:rsidRPr="00680758">
        <w:t>, the</w:t>
      </w:r>
      <w:r w:rsidR="00DB094D">
        <w:t xml:space="preserve"> Country</w:t>
      </w:r>
      <w:r w:rsidR="00996322" w:rsidRPr="00680758">
        <w:t xml:space="preserve"> </w:t>
      </w:r>
      <w:r w:rsidR="006C0E9C" w:rsidRPr="00680758">
        <w:t>Programme</w:t>
      </w:r>
      <w:r w:rsidR="00996322" w:rsidRPr="00680758">
        <w:t xml:space="preserve"> is designed </w:t>
      </w:r>
      <w:r w:rsidR="00495F1B" w:rsidRPr="00680758">
        <w:t xml:space="preserve">according to a </w:t>
      </w:r>
      <w:r w:rsidR="00996322" w:rsidRPr="00680758">
        <w:t xml:space="preserve">complementary </w:t>
      </w:r>
      <w:r w:rsidR="001016FF" w:rsidRPr="00680758">
        <w:t xml:space="preserve">and integrated </w:t>
      </w:r>
      <w:r w:rsidR="005F3E4D" w:rsidRPr="00680758">
        <w:t>approach</w:t>
      </w:r>
      <w:r w:rsidR="00996322" w:rsidRPr="00680758">
        <w:t xml:space="preserve"> </w:t>
      </w:r>
      <w:r w:rsidR="001016FF" w:rsidRPr="00680758">
        <w:t xml:space="preserve">for promoting </w:t>
      </w:r>
      <w:r w:rsidR="00996322" w:rsidRPr="00680758">
        <w:t xml:space="preserve">inclusion and resilience. </w:t>
      </w:r>
      <w:r w:rsidR="004214CA" w:rsidRPr="00680758">
        <w:t xml:space="preserve">To achieve greater impact, </w:t>
      </w:r>
      <w:r w:rsidR="00996322" w:rsidRPr="00680758">
        <w:t xml:space="preserve">UNDP will expand its partnership strategy, looking for alliances with new actors, such as multilateral </w:t>
      </w:r>
      <w:r w:rsidR="00333B22" w:rsidRPr="00680758">
        <w:t>financial</w:t>
      </w:r>
      <w:r w:rsidR="00996322" w:rsidRPr="00680758">
        <w:t xml:space="preserve"> organizations, the private sector (20/20 Agenda</w:t>
      </w:r>
      <w:r w:rsidR="00996322" w:rsidRPr="00680758">
        <w:rPr>
          <w:rStyle w:val="FootnoteReference"/>
          <w:color w:val="222222"/>
          <w:lang w:val="es-ES"/>
        </w:rPr>
        <w:footnoteReference w:id="33"/>
      </w:r>
      <w:r w:rsidR="00996322" w:rsidRPr="00680758">
        <w:t xml:space="preserve">) and </w:t>
      </w:r>
      <w:r w:rsidR="00333B22" w:rsidRPr="00680758">
        <w:t xml:space="preserve">other </w:t>
      </w:r>
      <w:r w:rsidR="00996322" w:rsidRPr="00680758">
        <w:t>national institutions. S</w:t>
      </w:r>
      <w:r w:rsidR="005F3E4D" w:rsidRPr="00680758">
        <w:t>outh-S</w:t>
      </w:r>
      <w:r w:rsidR="00996322" w:rsidRPr="00680758">
        <w:t>ou</w:t>
      </w:r>
      <w:r w:rsidR="00C53971" w:rsidRPr="00680758">
        <w:t xml:space="preserve">th cooperation will expand </w:t>
      </w:r>
      <w:r w:rsidR="00996322" w:rsidRPr="00680758">
        <w:t xml:space="preserve">to support </w:t>
      </w:r>
      <w:r w:rsidR="0064388A" w:rsidRPr="00680758">
        <w:t xml:space="preserve">knowledge </w:t>
      </w:r>
      <w:r w:rsidR="00996322" w:rsidRPr="00680758">
        <w:t xml:space="preserve">exchange, experiences and best practices among countries in the region </w:t>
      </w:r>
      <w:r w:rsidR="00C53971" w:rsidRPr="00680758">
        <w:t>on</w:t>
      </w:r>
      <w:r w:rsidR="00996322" w:rsidRPr="00680758">
        <w:t xml:space="preserve"> issues </w:t>
      </w:r>
      <w:r w:rsidR="0064388A">
        <w:t>of</w:t>
      </w:r>
      <w:r w:rsidR="00C53971" w:rsidRPr="00680758">
        <w:t xml:space="preserve"> </w:t>
      </w:r>
      <w:r w:rsidR="00996322" w:rsidRPr="00680758">
        <w:t xml:space="preserve">democratic governance, citizen security, climate change and </w:t>
      </w:r>
      <w:r w:rsidR="006D40DC" w:rsidRPr="00680758">
        <w:t xml:space="preserve">localizing </w:t>
      </w:r>
      <w:r w:rsidR="00996322" w:rsidRPr="00680758">
        <w:t xml:space="preserve">SDGs, </w:t>
      </w:r>
      <w:r w:rsidR="006D40DC" w:rsidRPr="00680758">
        <w:t xml:space="preserve">in addition to advocacy for </w:t>
      </w:r>
      <w:r w:rsidR="00996322" w:rsidRPr="00680758">
        <w:t xml:space="preserve">emerging issues.  </w:t>
      </w:r>
    </w:p>
    <w:p w14:paraId="404ED9A7" w14:textId="1BB1D766" w:rsidR="005F3E4D" w:rsidRPr="00680758" w:rsidRDefault="005526B4" w:rsidP="00A8785D">
      <w:pPr>
        <w:spacing w:after="120"/>
        <w:ind w:left="1276" w:right="1210"/>
        <w:jc w:val="both"/>
        <w:rPr>
          <w:b/>
          <w:i/>
        </w:rPr>
      </w:pPr>
      <w:r>
        <w:rPr>
          <w:b/>
          <w:i/>
        </w:rPr>
        <w:t xml:space="preserve">UNDAF Outcome: </w:t>
      </w:r>
      <w:r w:rsidR="00CA1725">
        <w:rPr>
          <w:b/>
          <w:i/>
        </w:rPr>
        <w:t>V</w:t>
      </w:r>
      <w:r w:rsidR="005F3E4D" w:rsidRPr="00680758">
        <w:rPr>
          <w:b/>
          <w:i/>
        </w:rPr>
        <w:t xml:space="preserve">ulnerable Hondurans in targeted municipalities have improved the exercise of their rights, with more effective, inclusive and transparent institutions, through broad and effective citizen participation (SDGs 5, 10, 16 </w:t>
      </w:r>
      <w:r w:rsidR="003B37C9">
        <w:rPr>
          <w:b/>
          <w:i/>
        </w:rPr>
        <w:t>and</w:t>
      </w:r>
      <w:r w:rsidR="003B37C9" w:rsidRPr="00680758">
        <w:rPr>
          <w:b/>
          <w:i/>
        </w:rPr>
        <w:t xml:space="preserve"> </w:t>
      </w:r>
      <w:r w:rsidR="005F3E4D" w:rsidRPr="00680758">
        <w:rPr>
          <w:b/>
          <w:i/>
        </w:rPr>
        <w:t>17).</w:t>
      </w:r>
    </w:p>
    <w:p w14:paraId="34931321" w14:textId="73D6951B" w:rsidR="0099376F" w:rsidRPr="00680758" w:rsidRDefault="008201AC" w:rsidP="00A8785D">
      <w:pPr>
        <w:spacing w:after="120"/>
        <w:ind w:left="1276" w:right="1203"/>
        <w:jc w:val="both"/>
      </w:pPr>
      <w:r w:rsidRPr="00680758">
        <w:t xml:space="preserve">13. </w:t>
      </w:r>
      <w:r w:rsidR="0099376F" w:rsidRPr="00680758">
        <w:t xml:space="preserve">UNDP will support institutional reforms </w:t>
      </w:r>
      <w:r w:rsidR="00E97789" w:rsidRPr="00680758">
        <w:t>for</w:t>
      </w:r>
      <w:r w:rsidR="0099376F" w:rsidRPr="00680758">
        <w:t xml:space="preserve"> effectiv</w:t>
      </w:r>
      <w:r w:rsidR="00C5656A" w:rsidRPr="00680758">
        <w:t>e and transparent participation</w:t>
      </w:r>
      <w:r w:rsidR="009C7E30" w:rsidRPr="00680758">
        <w:t xml:space="preserve"> in democratic spaces</w:t>
      </w:r>
      <w:r w:rsidR="00C5656A" w:rsidRPr="00680758">
        <w:t xml:space="preserve">, including </w:t>
      </w:r>
      <w:r w:rsidR="009C7E30" w:rsidRPr="00680758">
        <w:t>for</w:t>
      </w:r>
      <w:r w:rsidR="00C5656A" w:rsidRPr="00680758">
        <w:t xml:space="preserve"> </w:t>
      </w:r>
      <w:r w:rsidR="003C6B77" w:rsidRPr="00680758">
        <w:t>vulnerable</w:t>
      </w:r>
      <w:r w:rsidR="0099376F" w:rsidRPr="00680758">
        <w:t xml:space="preserve"> populations</w:t>
      </w:r>
      <w:r w:rsidR="004C178D" w:rsidRPr="00680758">
        <w:t>.</w:t>
      </w:r>
      <w:r w:rsidR="003324FF" w:rsidRPr="00680758">
        <w:t xml:space="preserve"> </w:t>
      </w:r>
      <w:r w:rsidR="0099376F" w:rsidRPr="00680758">
        <w:t xml:space="preserve">UNDP will </w:t>
      </w:r>
      <w:r w:rsidR="00B54121" w:rsidRPr="00680758">
        <w:t xml:space="preserve">continue assisting </w:t>
      </w:r>
      <w:r w:rsidR="0099376F" w:rsidRPr="00680758">
        <w:t xml:space="preserve">the National </w:t>
      </w:r>
      <w:r w:rsidR="00C7110B">
        <w:t xml:space="preserve">Population </w:t>
      </w:r>
      <w:r w:rsidR="0099376F" w:rsidRPr="00680758">
        <w:t xml:space="preserve">Registry </w:t>
      </w:r>
      <w:r w:rsidR="00F03E2E" w:rsidRPr="00680758">
        <w:t>for the provision of</w:t>
      </w:r>
      <w:r w:rsidR="0099376F" w:rsidRPr="00680758">
        <w:t xml:space="preserve"> </w:t>
      </w:r>
      <w:r w:rsidR="00F92A12" w:rsidRPr="00680758">
        <w:t>civil documentation</w:t>
      </w:r>
      <w:r w:rsidR="00CE5925" w:rsidRPr="00680758">
        <w:t xml:space="preserve"> </w:t>
      </w:r>
      <w:r w:rsidR="007B0E1D" w:rsidRPr="00680758">
        <w:t>and</w:t>
      </w:r>
      <w:r w:rsidR="0099376F" w:rsidRPr="00680758">
        <w:t xml:space="preserve"> the Supreme Electoral Court </w:t>
      </w:r>
      <w:r w:rsidR="0092388E" w:rsidRPr="00680758">
        <w:t xml:space="preserve">for equitable </w:t>
      </w:r>
      <w:r w:rsidR="00020A57" w:rsidRPr="00680758">
        <w:t xml:space="preserve">political </w:t>
      </w:r>
      <w:r w:rsidR="0099376F" w:rsidRPr="00680758">
        <w:t xml:space="preserve">representation. UNDP will </w:t>
      </w:r>
      <w:r w:rsidR="007B0E1D" w:rsidRPr="00680758">
        <w:t xml:space="preserve">facilitate </w:t>
      </w:r>
      <w:r w:rsidR="0099376F" w:rsidRPr="00680758">
        <w:t xml:space="preserve">multisector dialogue with political parties and civil society </w:t>
      </w:r>
      <w:r w:rsidR="007B0E1D" w:rsidRPr="00680758">
        <w:t xml:space="preserve">to strengthen democratic processes and </w:t>
      </w:r>
      <w:r w:rsidR="005742EF" w:rsidRPr="00680758">
        <w:t xml:space="preserve">increase </w:t>
      </w:r>
      <w:r w:rsidR="00536B56">
        <w:t>women’s</w:t>
      </w:r>
      <w:r w:rsidR="00536B56" w:rsidRPr="00680758">
        <w:t xml:space="preserve"> </w:t>
      </w:r>
      <w:r w:rsidR="005742EF" w:rsidRPr="00680758">
        <w:t>participation</w:t>
      </w:r>
      <w:r w:rsidR="0099376F" w:rsidRPr="00680758">
        <w:t>.</w:t>
      </w:r>
    </w:p>
    <w:p w14:paraId="1CD9311D" w14:textId="6C23AB52" w:rsidR="004D5485" w:rsidRPr="00680758" w:rsidRDefault="008201AC" w:rsidP="00A8785D">
      <w:pPr>
        <w:spacing w:after="120"/>
        <w:ind w:left="1276" w:right="1203"/>
        <w:jc w:val="both"/>
      </w:pPr>
      <w:r w:rsidRPr="00680758">
        <w:lastRenderedPageBreak/>
        <w:t xml:space="preserve">14. </w:t>
      </w:r>
      <w:r w:rsidR="004D5485" w:rsidRPr="00680758">
        <w:t>UNDP will pr</w:t>
      </w:r>
      <w:r w:rsidR="00F52E58" w:rsidRPr="00680758">
        <w:t xml:space="preserve">omote dialogue on </w:t>
      </w:r>
      <w:r w:rsidR="004D5485" w:rsidRPr="00680758">
        <w:t>natural resource</w:t>
      </w:r>
      <w:r w:rsidR="0099428C" w:rsidRPr="00680758">
        <w:t xml:space="preserve"> </w:t>
      </w:r>
      <w:r w:rsidR="00F52E58" w:rsidRPr="00680758">
        <w:t xml:space="preserve">governance </w:t>
      </w:r>
      <w:r w:rsidR="002321CA" w:rsidRPr="00680758">
        <w:t xml:space="preserve">with </w:t>
      </w:r>
      <w:r w:rsidR="0099428C" w:rsidRPr="00680758">
        <w:t>indigenous and A</w:t>
      </w:r>
      <w:r w:rsidR="004D5485" w:rsidRPr="00680758">
        <w:t>fro-Honduran communities</w:t>
      </w:r>
      <w:r w:rsidR="00DB094D">
        <w:t>,</w:t>
      </w:r>
      <w:r w:rsidR="004D5485" w:rsidRPr="00680758">
        <w:t xml:space="preserve"> with </w:t>
      </w:r>
      <w:r w:rsidR="0099428C" w:rsidRPr="00680758">
        <w:t xml:space="preserve">special </w:t>
      </w:r>
      <w:r w:rsidR="004D5485" w:rsidRPr="00680758">
        <w:t>attention to women, strengthening capacit</w:t>
      </w:r>
      <w:r w:rsidR="00753D96">
        <w:t>ies</w:t>
      </w:r>
      <w:r w:rsidR="004D5485" w:rsidRPr="00680758">
        <w:t xml:space="preserve"> to manage their territories in accordance with national law</w:t>
      </w:r>
      <w:r w:rsidR="00236B9D" w:rsidRPr="00680758">
        <w:t>s and regulations</w:t>
      </w:r>
      <w:r w:rsidR="00DB094D">
        <w:t>. UNDP</w:t>
      </w:r>
      <w:r w:rsidR="0057019D" w:rsidRPr="00680758">
        <w:t xml:space="preserve"> will facilitate </w:t>
      </w:r>
      <w:r w:rsidR="00F52E58" w:rsidRPr="00680758">
        <w:t xml:space="preserve">the </w:t>
      </w:r>
      <w:r w:rsidR="00D61898">
        <w:t>design</w:t>
      </w:r>
      <w:r w:rsidR="000B1B26" w:rsidRPr="00680758">
        <w:t xml:space="preserve"> </w:t>
      </w:r>
      <w:r w:rsidR="00F52E58" w:rsidRPr="00680758">
        <w:t xml:space="preserve">of a </w:t>
      </w:r>
      <w:r w:rsidR="0057019D" w:rsidRPr="00680758">
        <w:t xml:space="preserve">national </w:t>
      </w:r>
      <w:r w:rsidR="00F52E58" w:rsidRPr="00680758">
        <w:t>mechanism for</w:t>
      </w:r>
      <w:r w:rsidR="00236B9D" w:rsidRPr="00680758">
        <w:t xml:space="preserve"> free and informed </w:t>
      </w:r>
      <w:r w:rsidR="004D5485" w:rsidRPr="00680758">
        <w:t>consultation</w:t>
      </w:r>
      <w:r w:rsidR="00E9319A">
        <w:t xml:space="preserve"> </w:t>
      </w:r>
      <w:r w:rsidR="00F52E58" w:rsidRPr="00680758">
        <w:t>(</w:t>
      </w:r>
      <w:r w:rsidR="008C0EA7" w:rsidRPr="00680758">
        <w:t xml:space="preserve">ILO </w:t>
      </w:r>
      <w:r w:rsidR="00F52E58" w:rsidRPr="00680758">
        <w:t>Convention 169)</w:t>
      </w:r>
      <w:r w:rsidR="005C661C" w:rsidRPr="00680758">
        <w:rPr>
          <w:rStyle w:val="FootnoteReference"/>
        </w:rPr>
        <w:footnoteReference w:id="34"/>
      </w:r>
      <w:r w:rsidR="00236B9D" w:rsidRPr="00680758">
        <w:t xml:space="preserve"> </w:t>
      </w:r>
      <w:r w:rsidR="00D61898">
        <w:t>of</w:t>
      </w:r>
      <w:r w:rsidR="00B66102" w:rsidRPr="00680758">
        <w:t xml:space="preserve"> the</w:t>
      </w:r>
      <w:r w:rsidR="00EB4F22">
        <w:t>se communities</w:t>
      </w:r>
      <w:r w:rsidR="004D5485" w:rsidRPr="00680758">
        <w:t>.</w:t>
      </w:r>
    </w:p>
    <w:p w14:paraId="0A5B8FFE" w14:textId="72AE795B" w:rsidR="004D5485" w:rsidRPr="00680758" w:rsidRDefault="008201AC" w:rsidP="00A8785D">
      <w:pPr>
        <w:spacing w:after="120"/>
        <w:ind w:left="1276" w:right="1210"/>
        <w:jc w:val="both"/>
      </w:pPr>
      <w:r w:rsidRPr="00680758">
        <w:t xml:space="preserve">15. </w:t>
      </w:r>
      <w:r w:rsidR="004D5485" w:rsidRPr="00680758">
        <w:t>In coordination with the Office of the U</w:t>
      </w:r>
      <w:r w:rsidR="001C14A4">
        <w:t xml:space="preserve">nited </w:t>
      </w:r>
      <w:r w:rsidR="004D5485" w:rsidRPr="00680758">
        <w:t>N</w:t>
      </w:r>
      <w:r w:rsidR="001C14A4">
        <w:t>ations</w:t>
      </w:r>
      <w:r w:rsidR="004D5485" w:rsidRPr="00680758">
        <w:t xml:space="preserve"> High Commissioner for Human Rights</w:t>
      </w:r>
      <w:r w:rsidR="00C01778">
        <w:t xml:space="preserve"> (OHCHR)</w:t>
      </w:r>
      <w:r w:rsidR="00ED7094" w:rsidRPr="00680758">
        <w:t xml:space="preserve">, UNDP will </w:t>
      </w:r>
      <w:r w:rsidR="004D1345" w:rsidRPr="00680758">
        <w:t xml:space="preserve">contribute to capacity development </w:t>
      </w:r>
      <w:r w:rsidR="004D5485" w:rsidRPr="00680758">
        <w:t xml:space="preserve">of institutions </w:t>
      </w:r>
      <w:r w:rsidR="00ED7094" w:rsidRPr="00680758">
        <w:t>responsible for</w:t>
      </w:r>
      <w:r w:rsidR="004D5485" w:rsidRPr="00680758">
        <w:t xml:space="preserve"> implement</w:t>
      </w:r>
      <w:r w:rsidR="00ED7094" w:rsidRPr="00680758">
        <w:t>ing</w:t>
      </w:r>
      <w:r w:rsidR="004D5485" w:rsidRPr="00680758">
        <w:t xml:space="preserve"> the </w:t>
      </w:r>
      <w:r w:rsidR="00200CCB">
        <w:t>National</w:t>
      </w:r>
      <w:r w:rsidR="00200CCB" w:rsidRPr="00680758">
        <w:t xml:space="preserve"> </w:t>
      </w:r>
      <w:r w:rsidR="004D5485" w:rsidRPr="00680758">
        <w:t xml:space="preserve">Human Rights Plan and </w:t>
      </w:r>
      <w:r w:rsidR="004445E0">
        <w:t>other relevant treaties</w:t>
      </w:r>
      <w:r w:rsidR="004D5485" w:rsidRPr="00680758">
        <w:t xml:space="preserve">. </w:t>
      </w:r>
      <w:r w:rsidR="00B0274C">
        <w:t>M</w:t>
      </w:r>
      <w:r w:rsidR="00ED7094" w:rsidRPr="00680758">
        <w:t xml:space="preserve">ain partners will be the </w:t>
      </w:r>
      <w:r w:rsidR="00A11826">
        <w:t>S</w:t>
      </w:r>
      <w:r w:rsidR="00A11826" w:rsidRPr="00680758">
        <w:t xml:space="preserve">ecretariat </w:t>
      </w:r>
      <w:r w:rsidR="00ED7094" w:rsidRPr="00680758">
        <w:t>of Human Rights, Justice, Governance and Decentralization</w:t>
      </w:r>
      <w:r w:rsidR="00B26623">
        <w:t>,</w:t>
      </w:r>
      <w:r w:rsidR="00ED7094" w:rsidRPr="00680758">
        <w:t xml:space="preserve"> National Commission on Human Rights</w:t>
      </w:r>
      <w:r w:rsidR="00B26623">
        <w:t>,</w:t>
      </w:r>
      <w:r w:rsidR="00F85F74">
        <w:t xml:space="preserve"> </w:t>
      </w:r>
      <w:r w:rsidR="00ED7094" w:rsidRPr="00680758">
        <w:t>representatives of indigenous organizations</w:t>
      </w:r>
      <w:r w:rsidR="00200CCB">
        <w:t xml:space="preserve">, CSOs </w:t>
      </w:r>
      <w:r w:rsidR="00ED7094" w:rsidRPr="00680758">
        <w:t>and academia.</w:t>
      </w:r>
    </w:p>
    <w:p w14:paraId="72AF0226" w14:textId="1A752E89" w:rsidR="00ED7094" w:rsidRPr="00680758" w:rsidRDefault="008201AC" w:rsidP="00A67C10">
      <w:pPr>
        <w:spacing w:after="120"/>
        <w:ind w:left="1276" w:right="1210"/>
        <w:jc w:val="both"/>
      </w:pPr>
      <w:r w:rsidRPr="00680758">
        <w:t>16.</w:t>
      </w:r>
      <w:r w:rsidR="00ED7094" w:rsidRPr="00680758">
        <w:t xml:space="preserve"> As part of SDG</w:t>
      </w:r>
      <w:r w:rsidR="00D25A1F" w:rsidRPr="00680758">
        <w:t xml:space="preserve"> localization</w:t>
      </w:r>
      <w:r w:rsidR="00ED7094" w:rsidRPr="00680758">
        <w:t>, UNDP will strengthen results-based management capacit</w:t>
      </w:r>
      <w:r w:rsidR="000032BD" w:rsidRPr="00680758">
        <w:t>y</w:t>
      </w:r>
      <w:r w:rsidR="00ED7094" w:rsidRPr="00680758">
        <w:t xml:space="preserve"> of </w:t>
      </w:r>
      <w:r w:rsidR="000032BD" w:rsidRPr="00680758">
        <w:t xml:space="preserve">national and local </w:t>
      </w:r>
      <w:r w:rsidR="00ED7094" w:rsidRPr="00680758">
        <w:t>governme</w:t>
      </w:r>
      <w:r w:rsidR="00511D7A" w:rsidRPr="00680758">
        <w:t xml:space="preserve">nts </w:t>
      </w:r>
      <w:r w:rsidR="00ED7094" w:rsidRPr="00680758">
        <w:t>under criteria of inclusion, transparency, effectiveness and accountability. UNDP will support spaces for citizen participation</w:t>
      </w:r>
      <w:r w:rsidR="00D032A7">
        <w:t>,</w:t>
      </w:r>
      <w:r w:rsidR="003B7651" w:rsidRPr="00680758">
        <w:t xml:space="preserve"> </w:t>
      </w:r>
      <w:r w:rsidR="00D032A7" w:rsidRPr="00680758">
        <w:t>such as the Municipal Transparency Committees</w:t>
      </w:r>
      <w:r w:rsidR="00691FF2">
        <w:t>,</w:t>
      </w:r>
      <w:r w:rsidR="007918A5">
        <w:t xml:space="preserve"> </w:t>
      </w:r>
      <w:r w:rsidR="00D032A7">
        <w:t>to improve</w:t>
      </w:r>
      <w:r w:rsidR="00D032A7" w:rsidRPr="00680758">
        <w:t xml:space="preserve"> transparency</w:t>
      </w:r>
      <w:r w:rsidR="00ED7094" w:rsidRPr="00680758">
        <w:t xml:space="preserve">. </w:t>
      </w:r>
      <w:r w:rsidR="00542F6A">
        <w:t xml:space="preserve">These </w:t>
      </w:r>
      <w:r w:rsidR="00F94033">
        <w:t>activities</w:t>
      </w:r>
      <w:r w:rsidR="00ED7094" w:rsidRPr="00680758">
        <w:t xml:space="preserve"> will support national and international efforts to combat corruption and impunity.</w:t>
      </w:r>
    </w:p>
    <w:p w14:paraId="750F5B81" w14:textId="09B8F27E" w:rsidR="008201AC" w:rsidRPr="00680758" w:rsidRDefault="00200CCB" w:rsidP="00A8785D">
      <w:pPr>
        <w:spacing w:after="120"/>
        <w:ind w:left="1276" w:right="1203"/>
        <w:jc w:val="both"/>
        <w:rPr>
          <w:b/>
          <w:i/>
        </w:rPr>
      </w:pPr>
      <w:r>
        <w:rPr>
          <w:b/>
          <w:i/>
        </w:rPr>
        <w:t xml:space="preserve">UNDAF Outcome: </w:t>
      </w:r>
      <w:r w:rsidR="00A153BF" w:rsidRPr="00680758">
        <w:rPr>
          <w:b/>
          <w:i/>
        </w:rPr>
        <w:t xml:space="preserve">The Honduran population, particularly those in vulnerable situations in municipalities experiencing high levels of violence and crime, improve their conditions of living, citizen security and access to </w:t>
      </w:r>
      <w:r w:rsidR="00AA2879" w:rsidRPr="00680758">
        <w:rPr>
          <w:b/>
          <w:i/>
        </w:rPr>
        <w:t xml:space="preserve">protection mechanisms, with </w:t>
      </w:r>
      <w:r w:rsidR="00A153BF" w:rsidRPr="00680758">
        <w:rPr>
          <w:b/>
          <w:i/>
        </w:rPr>
        <w:t>broad citizen participation</w:t>
      </w:r>
      <w:r w:rsidR="00F92B5D" w:rsidRPr="00680758">
        <w:rPr>
          <w:b/>
          <w:i/>
        </w:rPr>
        <w:t>. (SDG</w:t>
      </w:r>
      <w:r w:rsidR="00165B96" w:rsidRPr="00680758">
        <w:rPr>
          <w:b/>
          <w:i/>
        </w:rPr>
        <w:t>s</w:t>
      </w:r>
      <w:r w:rsidR="00F92B5D" w:rsidRPr="00680758">
        <w:rPr>
          <w:b/>
          <w:i/>
        </w:rPr>
        <w:t xml:space="preserve"> 5, 10, 11, 16 and 17).</w:t>
      </w:r>
    </w:p>
    <w:p w14:paraId="66D4D00E" w14:textId="2ED7B41D" w:rsidR="00165B96" w:rsidRPr="00680758" w:rsidRDefault="008201AC" w:rsidP="00A8785D">
      <w:pPr>
        <w:spacing w:after="120"/>
        <w:ind w:left="1276" w:right="1210"/>
        <w:jc w:val="both"/>
      </w:pPr>
      <w:r w:rsidRPr="00680758">
        <w:t xml:space="preserve">17. </w:t>
      </w:r>
      <w:r w:rsidR="00900996">
        <w:t xml:space="preserve">To support </w:t>
      </w:r>
      <w:r w:rsidR="00165B96" w:rsidRPr="00680758">
        <w:t xml:space="preserve">implementing the Comprehensive </w:t>
      </w:r>
      <w:r w:rsidR="000D17FD" w:rsidRPr="00680758">
        <w:t xml:space="preserve">Policy on </w:t>
      </w:r>
      <w:r w:rsidR="00165B96" w:rsidRPr="00680758">
        <w:t xml:space="preserve">Coexistence and Citizen Security and the National Policy for the Justice and Security Sector, UNDP </w:t>
      </w:r>
      <w:r w:rsidR="00EB4F22">
        <w:t xml:space="preserve">- </w:t>
      </w:r>
      <w:r w:rsidR="00EB4F22" w:rsidRPr="00680758">
        <w:t xml:space="preserve">with key partners such as USAID and the World Bank </w:t>
      </w:r>
      <w:r w:rsidR="00EB4F22">
        <w:t xml:space="preserve">- </w:t>
      </w:r>
      <w:r w:rsidR="00165B96" w:rsidRPr="00680758">
        <w:t>will continue promot</w:t>
      </w:r>
      <w:r w:rsidR="00DD4A52">
        <w:t>ing</w:t>
      </w:r>
      <w:r w:rsidR="00165B96" w:rsidRPr="00680758">
        <w:t xml:space="preserve"> and expand</w:t>
      </w:r>
      <w:r w:rsidR="00DD4A52">
        <w:t>ing</w:t>
      </w:r>
      <w:r w:rsidR="00165B96" w:rsidRPr="00680758">
        <w:t xml:space="preserve"> interventions to prevent negative behavio</w:t>
      </w:r>
      <w:r w:rsidR="00B41163">
        <w:t>u</w:t>
      </w:r>
      <w:r w:rsidR="00165B96" w:rsidRPr="00680758">
        <w:t>r</w:t>
      </w:r>
      <w:r w:rsidR="007977C1" w:rsidRPr="00680758">
        <w:t xml:space="preserve">s and </w:t>
      </w:r>
      <w:r w:rsidR="003F391A" w:rsidRPr="00680758">
        <w:t>violence</w:t>
      </w:r>
      <w:r w:rsidR="000B6203" w:rsidRPr="00680758">
        <w:t xml:space="preserve"> </w:t>
      </w:r>
      <w:r w:rsidR="003F391A" w:rsidRPr="00680758">
        <w:t xml:space="preserve">and strengthening </w:t>
      </w:r>
      <w:r w:rsidR="000B6203" w:rsidRPr="00680758">
        <w:t xml:space="preserve">municipal plans for coexistence and </w:t>
      </w:r>
      <w:r w:rsidR="000D17FD" w:rsidRPr="00680758">
        <w:t>safer</w:t>
      </w:r>
      <w:r w:rsidR="000B6203" w:rsidRPr="00680758">
        <w:t xml:space="preserve"> municipalities. UNDP will work with </w:t>
      </w:r>
      <w:r w:rsidR="00775DD5">
        <w:t>local authorities</w:t>
      </w:r>
      <w:r w:rsidR="00775DD5" w:rsidRPr="00680758">
        <w:t xml:space="preserve"> </w:t>
      </w:r>
      <w:r w:rsidR="00EB4F22">
        <w:t>to</w:t>
      </w:r>
      <w:r w:rsidR="000B6203" w:rsidRPr="00680758">
        <w:t xml:space="preserve"> creat</w:t>
      </w:r>
      <w:r w:rsidR="00EB4F22">
        <w:t>e</w:t>
      </w:r>
      <w:r w:rsidR="000B6203" w:rsidRPr="00680758">
        <w:t xml:space="preserve"> and renovat</w:t>
      </w:r>
      <w:r w:rsidR="00EB4F22">
        <w:t>e</w:t>
      </w:r>
      <w:r w:rsidR="000B6203" w:rsidRPr="00680758">
        <w:t xml:space="preserve"> public spaces and economic</w:t>
      </w:r>
      <w:r w:rsidR="00EB4F22">
        <w:t>ally</w:t>
      </w:r>
      <w:r w:rsidR="000B6203" w:rsidRPr="00680758">
        <w:t xml:space="preserve"> empower youth. </w:t>
      </w:r>
      <w:r w:rsidR="001251A6">
        <w:t>I</w:t>
      </w:r>
      <w:r w:rsidR="001251A6" w:rsidRPr="00680758">
        <w:t>n partnership with the European Union and the Swiss Agency for Development and Cooperation</w:t>
      </w:r>
      <w:r w:rsidR="001251A6">
        <w:t>,</w:t>
      </w:r>
      <w:r w:rsidR="001251A6" w:rsidRPr="00680758" w:rsidDel="00B41163">
        <w:t xml:space="preserve"> </w:t>
      </w:r>
      <w:r w:rsidR="000D17FD" w:rsidRPr="00680758">
        <w:t xml:space="preserve">UNDP will </w:t>
      </w:r>
      <w:r w:rsidR="00AE6EB8" w:rsidRPr="00680758">
        <w:t xml:space="preserve">facilitate </w:t>
      </w:r>
      <w:r w:rsidR="000B6203" w:rsidRPr="00680758">
        <w:t xml:space="preserve">spaces for dialogue and </w:t>
      </w:r>
      <w:r w:rsidR="00CE5CEC" w:rsidRPr="00680758">
        <w:t xml:space="preserve">access </w:t>
      </w:r>
      <w:r w:rsidR="00DD0A1F" w:rsidRPr="00680758">
        <w:t xml:space="preserve">to </w:t>
      </w:r>
      <w:r w:rsidR="00CE5CEC" w:rsidRPr="00680758">
        <w:t xml:space="preserve">alternative conflict resolution mechanisms, alleviating pressure on the justice system and promoting a culture of dialogue and coexistence. </w:t>
      </w:r>
      <w:r w:rsidR="00474CE9">
        <w:t>In line with the</w:t>
      </w:r>
      <w:r w:rsidR="00CE5CEC" w:rsidRPr="00680758">
        <w:t xml:space="preserve"> </w:t>
      </w:r>
      <w:r w:rsidR="00171E6D" w:rsidRPr="00680758">
        <w:t>Ministry of Security</w:t>
      </w:r>
      <w:r w:rsidR="00171E6D">
        <w:t>’s</w:t>
      </w:r>
      <w:r w:rsidR="00171E6D" w:rsidRPr="00680758">
        <w:t xml:space="preserve"> </w:t>
      </w:r>
      <w:r w:rsidR="00CE5CEC" w:rsidRPr="00680758">
        <w:t xml:space="preserve">institutional strategy, UNDP will support </w:t>
      </w:r>
      <w:r w:rsidR="008A3229">
        <w:t xml:space="preserve">development of </w:t>
      </w:r>
      <w:r w:rsidR="00CE5CEC" w:rsidRPr="00680758">
        <w:t xml:space="preserve">technical and </w:t>
      </w:r>
      <w:r w:rsidR="00C01778">
        <w:t>managerial</w:t>
      </w:r>
      <w:r w:rsidR="00C01778" w:rsidRPr="00680758">
        <w:t xml:space="preserve"> </w:t>
      </w:r>
      <w:r w:rsidR="00CE5CEC" w:rsidRPr="00680758">
        <w:t>capacities of institutions responsible for</w:t>
      </w:r>
      <w:r w:rsidR="00A01398" w:rsidRPr="00680758">
        <w:t xml:space="preserve"> prevention policies and</w:t>
      </w:r>
      <w:r w:rsidR="00CE5CEC" w:rsidRPr="00680758">
        <w:t xml:space="preserve"> </w:t>
      </w:r>
      <w:r w:rsidR="008A3229">
        <w:t xml:space="preserve">future </w:t>
      </w:r>
      <w:r w:rsidR="00CE5CEC" w:rsidRPr="00680758">
        <w:t xml:space="preserve">small </w:t>
      </w:r>
      <w:r w:rsidR="006F515F">
        <w:t>arms control programme</w:t>
      </w:r>
      <w:r w:rsidR="00CE5CEC" w:rsidRPr="00680758">
        <w:t>.</w:t>
      </w:r>
    </w:p>
    <w:p w14:paraId="3672FEC2" w14:textId="47F1AB77" w:rsidR="000D17FD" w:rsidRPr="00680758" w:rsidRDefault="008201AC" w:rsidP="00A8785D">
      <w:pPr>
        <w:spacing w:after="120"/>
        <w:ind w:left="1276" w:right="1210"/>
        <w:jc w:val="both"/>
      </w:pPr>
      <w:r w:rsidRPr="00680758">
        <w:t xml:space="preserve">18. </w:t>
      </w:r>
      <w:r w:rsidR="000D17FD" w:rsidRPr="00680758">
        <w:t>UN</w:t>
      </w:r>
      <w:r w:rsidR="004E62C8" w:rsidRPr="00680758">
        <w:t>DP will continue supporting the O</w:t>
      </w:r>
      <w:r w:rsidR="000D17FD" w:rsidRPr="00680758">
        <w:t xml:space="preserve">bservatories </w:t>
      </w:r>
      <w:r w:rsidR="004E62C8" w:rsidRPr="00680758">
        <w:t xml:space="preserve">of Violence </w:t>
      </w:r>
      <w:r w:rsidR="000D17FD" w:rsidRPr="00680758">
        <w:t xml:space="preserve">for the generation of timely and reliable information that is sensitive to gender and other vulnerable groups. This information will serve for the development, implementation and evaluation of public policies and </w:t>
      </w:r>
      <w:r w:rsidR="00DB094D">
        <w:t>p</w:t>
      </w:r>
      <w:r w:rsidR="006C0E9C" w:rsidRPr="00680758">
        <w:t>rogramme</w:t>
      </w:r>
      <w:r w:rsidR="00DB094D">
        <w:t>s</w:t>
      </w:r>
      <w:r w:rsidR="000D17FD" w:rsidRPr="00680758">
        <w:t xml:space="preserve"> based on evidence and aligned with </w:t>
      </w:r>
      <w:r w:rsidR="00BE639D" w:rsidRPr="00680758">
        <w:t xml:space="preserve">regional strategies to prevent violence of the </w:t>
      </w:r>
      <w:r w:rsidR="00156472" w:rsidRPr="00680758">
        <w:t>Central American Integration System</w:t>
      </w:r>
      <w:r w:rsidR="000D17FD" w:rsidRPr="00680758">
        <w:t>. UNDP will strengthen municipal citizen security committees for participatory planning, monitoring and evaluation of municipal security plans.</w:t>
      </w:r>
    </w:p>
    <w:p w14:paraId="5600AF14" w14:textId="6C542251" w:rsidR="00255937" w:rsidRPr="00680758" w:rsidRDefault="00200CCB" w:rsidP="00A8785D">
      <w:pPr>
        <w:spacing w:after="120"/>
        <w:ind w:left="1276" w:right="1210"/>
        <w:jc w:val="both"/>
        <w:rPr>
          <w:b/>
          <w:i/>
        </w:rPr>
      </w:pPr>
      <w:r>
        <w:rPr>
          <w:b/>
          <w:i/>
        </w:rPr>
        <w:t xml:space="preserve">UNDAF Outcome: </w:t>
      </w:r>
      <w:r w:rsidR="00255937" w:rsidRPr="00680758">
        <w:rPr>
          <w:b/>
          <w:i/>
        </w:rPr>
        <w:t xml:space="preserve">The population in conditions of poverty and vulnerability to food insecurity in the prioritized regions </w:t>
      </w:r>
      <w:r w:rsidR="006065AA" w:rsidRPr="00680758">
        <w:rPr>
          <w:b/>
          <w:i/>
        </w:rPr>
        <w:t xml:space="preserve">and municipalities </w:t>
      </w:r>
      <w:r w:rsidR="00255937" w:rsidRPr="00680758">
        <w:rPr>
          <w:b/>
          <w:i/>
        </w:rPr>
        <w:t xml:space="preserve">has increased their production and productivity, </w:t>
      </w:r>
      <w:r w:rsidR="00FF1299" w:rsidRPr="00680758">
        <w:rPr>
          <w:b/>
          <w:i/>
        </w:rPr>
        <w:t xml:space="preserve">access to decent work, </w:t>
      </w:r>
      <w:r w:rsidR="00255937" w:rsidRPr="00680758">
        <w:rPr>
          <w:b/>
          <w:i/>
        </w:rPr>
        <w:t xml:space="preserve">income and </w:t>
      </w:r>
      <w:r w:rsidR="000F74B8" w:rsidRPr="00680758">
        <w:rPr>
          <w:b/>
          <w:i/>
        </w:rPr>
        <w:t>responsible</w:t>
      </w:r>
      <w:r w:rsidR="00255937" w:rsidRPr="00680758">
        <w:rPr>
          <w:b/>
          <w:i/>
        </w:rPr>
        <w:t xml:space="preserve"> consumption, taking into account climate change and </w:t>
      </w:r>
      <w:r w:rsidR="000F6FB5">
        <w:rPr>
          <w:b/>
          <w:i/>
        </w:rPr>
        <w:t>eco-system</w:t>
      </w:r>
      <w:r w:rsidR="00255937" w:rsidRPr="00680758">
        <w:rPr>
          <w:b/>
          <w:i/>
        </w:rPr>
        <w:t xml:space="preserve"> conservation and sustainable management (SDGs 1, 2, 4, 5, 6, 7, 8, 9, 10, 11, 12, 13, 14, 15 and 17).</w:t>
      </w:r>
    </w:p>
    <w:p w14:paraId="61DF23D3" w14:textId="4331B828" w:rsidR="00255937" w:rsidRPr="00680758" w:rsidRDefault="008201AC" w:rsidP="00A8785D">
      <w:pPr>
        <w:spacing w:after="120"/>
        <w:ind w:left="1276" w:right="1210"/>
        <w:jc w:val="both"/>
      </w:pPr>
      <w:r w:rsidRPr="00680758">
        <w:t xml:space="preserve">19. </w:t>
      </w:r>
      <w:r w:rsidR="00255937" w:rsidRPr="00680758">
        <w:t>UNDP will contribute to social protection through the reduction of poverty and vulnerability to natural disaster</w:t>
      </w:r>
      <w:r w:rsidR="001F6F0D">
        <w:t>s</w:t>
      </w:r>
      <w:r w:rsidR="00255937" w:rsidRPr="00680758">
        <w:t xml:space="preserve"> and climate change. UNDP will </w:t>
      </w:r>
      <w:r w:rsidR="001D4DD9" w:rsidRPr="00680758">
        <w:t>promote production</w:t>
      </w:r>
      <w:r w:rsidR="00255937" w:rsidRPr="00680758">
        <w:t xml:space="preserve"> models </w:t>
      </w:r>
      <w:r w:rsidR="00847DFC">
        <w:t>that embrace</w:t>
      </w:r>
      <w:r w:rsidR="001D4DD9" w:rsidRPr="00680758">
        <w:t xml:space="preserve"> </w:t>
      </w:r>
      <w:r w:rsidR="00255937" w:rsidRPr="00680758">
        <w:t xml:space="preserve">agricultural diversification </w:t>
      </w:r>
      <w:r w:rsidR="001D4DD9" w:rsidRPr="00680758">
        <w:t>and</w:t>
      </w:r>
      <w:r w:rsidR="00255937" w:rsidRPr="00680758">
        <w:t xml:space="preserve"> value chains based on sustainable agro-forestry, </w:t>
      </w:r>
      <w:r w:rsidR="00875A9A" w:rsidRPr="00680758">
        <w:t>silvopastoral</w:t>
      </w:r>
      <w:r w:rsidR="00847DFC">
        <w:t>ism</w:t>
      </w:r>
      <w:r w:rsidR="001D4DD9" w:rsidRPr="00680758">
        <w:t xml:space="preserve">, </w:t>
      </w:r>
      <w:r w:rsidR="00255937" w:rsidRPr="00680758">
        <w:t xml:space="preserve">artisanal fisheries and </w:t>
      </w:r>
      <w:r w:rsidR="00875A9A" w:rsidRPr="00680758">
        <w:t>a</w:t>
      </w:r>
      <w:r w:rsidR="00012145" w:rsidRPr="00680758">
        <w:t>qua</w:t>
      </w:r>
      <w:r w:rsidR="00875A9A" w:rsidRPr="00680758">
        <w:t>culture</w:t>
      </w:r>
      <w:r w:rsidR="001D4DD9" w:rsidRPr="00680758">
        <w:t xml:space="preserve"> systems</w:t>
      </w:r>
      <w:r w:rsidR="00875A9A" w:rsidRPr="00680758">
        <w:t xml:space="preserve">. UNDP will </w:t>
      </w:r>
      <w:r w:rsidR="00077CE9" w:rsidRPr="00680758">
        <w:t xml:space="preserve">facilitate access to </w:t>
      </w:r>
      <w:r w:rsidR="00875A9A" w:rsidRPr="00680758">
        <w:t>green financing, techni</w:t>
      </w:r>
      <w:r w:rsidR="00077CE9" w:rsidRPr="00680758">
        <w:t>cal assistance and market</w:t>
      </w:r>
      <w:r w:rsidR="00875A9A" w:rsidRPr="00680758">
        <w:t xml:space="preserve">s through </w:t>
      </w:r>
      <w:r w:rsidR="00077CE9" w:rsidRPr="00680758">
        <w:t>promoting g</w:t>
      </w:r>
      <w:r w:rsidR="00875A9A" w:rsidRPr="00680758">
        <w:t xml:space="preserve">reen commodities </w:t>
      </w:r>
      <w:r w:rsidR="005466F8">
        <w:t>and</w:t>
      </w:r>
      <w:r w:rsidR="00875A9A" w:rsidRPr="00680758">
        <w:t xml:space="preserve"> </w:t>
      </w:r>
      <w:r w:rsidR="00875A9A" w:rsidRPr="00680758">
        <w:lastRenderedPageBreak/>
        <w:t>support</w:t>
      </w:r>
      <w:r w:rsidR="00077CE9" w:rsidRPr="00680758">
        <w:t xml:space="preserve">ing </w:t>
      </w:r>
      <w:r w:rsidR="00875A9A" w:rsidRPr="00680758">
        <w:t xml:space="preserve">the organization of </w:t>
      </w:r>
      <w:r w:rsidR="00F71BD6" w:rsidRPr="00680758">
        <w:t>producers in</w:t>
      </w:r>
      <w:r w:rsidR="005466F8">
        <w:t>to</w:t>
      </w:r>
      <w:r w:rsidR="00F71BD6" w:rsidRPr="00680758">
        <w:t xml:space="preserve"> </w:t>
      </w:r>
      <w:r w:rsidR="005466F8">
        <w:t xml:space="preserve">Micro, Small and Medium Enterprises </w:t>
      </w:r>
      <w:r w:rsidR="00012145" w:rsidRPr="00680758">
        <w:t>with equitable</w:t>
      </w:r>
      <w:r w:rsidR="00875A9A" w:rsidRPr="00680758">
        <w:t xml:space="preserve"> access to benefits. UNDP will prioritize investment </w:t>
      </w:r>
      <w:r w:rsidR="00D46629">
        <w:t>in</w:t>
      </w:r>
      <w:r w:rsidR="00D46629" w:rsidRPr="00680758">
        <w:t xml:space="preserve"> </w:t>
      </w:r>
      <w:r w:rsidR="00875A9A" w:rsidRPr="00680758">
        <w:t>the production and safe storage of water</w:t>
      </w:r>
      <w:r w:rsidR="0082103F">
        <w:t xml:space="preserve"> and</w:t>
      </w:r>
      <w:r w:rsidR="002E1B26" w:rsidRPr="00680758">
        <w:t xml:space="preserve"> sustainable </w:t>
      </w:r>
      <w:r w:rsidR="0099428C" w:rsidRPr="00680758">
        <w:t>natural resource</w:t>
      </w:r>
      <w:r w:rsidR="002E1B26" w:rsidRPr="00680758">
        <w:t>s</w:t>
      </w:r>
      <w:r w:rsidR="0099428C" w:rsidRPr="00680758">
        <w:t xml:space="preserve"> management</w:t>
      </w:r>
      <w:r w:rsidR="00875A9A" w:rsidRPr="00680758">
        <w:t xml:space="preserve"> </w:t>
      </w:r>
      <w:r w:rsidR="0082103F">
        <w:t>to improve livelihood</w:t>
      </w:r>
      <w:r w:rsidR="00875A9A" w:rsidRPr="00680758">
        <w:t xml:space="preserve"> </w:t>
      </w:r>
      <w:r w:rsidR="002E1B26" w:rsidRPr="00680758">
        <w:t xml:space="preserve">resilience </w:t>
      </w:r>
      <w:r w:rsidR="00875A9A" w:rsidRPr="00680758">
        <w:t>and quality of life.</w:t>
      </w:r>
    </w:p>
    <w:p w14:paraId="497F1FA6" w14:textId="21FAC1A6" w:rsidR="008201AC" w:rsidRPr="00680758" w:rsidRDefault="008201AC" w:rsidP="00A8785D">
      <w:pPr>
        <w:spacing w:after="120"/>
        <w:ind w:left="1276" w:right="1210"/>
        <w:jc w:val="both"/>
      </w:pPr>
      <w:r w:rsidRPr="00680758">
        <w:t xml:space="preserve">20. </w:t>
      </w:r>
      <w:r w:rsidR="00012145" w:rsidRPr="00680758">
        <w:t xml:space="preserve">UNDP will promote insertion </w:t>
      </w:r>
      <w:r w:rsidR="0099428C" w:rsidRPr="00680758">
        <w:t xml:space="preserve">of youth and women </w:t>
      </w:r>
      <w:r w:rsidR="00012145" w:rsidRPr="00680758">
        <w:t>in</w:t>
      </w:r>
      <w:r w:rsidR="0099428C" w:rsidRPr="00680758">
        <w:t>to</w:t>
      </w:r>
      <w:r w:rsidR="00012145" w:rsidRPr="00680758">
        <w:t xml:space="preserve"> the labo</w:t>
      </w:r>
      <w:r w:rsidR="00F45AF5">
        <w:t>u</w:t>
      </w:r>
      <w:r w:rsidR="00012145" w:rsidRPr="00680758">
        <w:t xml:space="preserve">r market, </w:t>
      </w:r>
      <w:r w:rsidR="006E6CC5">
        <w:t xml:space="preserve">while </w:t>
      </w:r>
      <w:r w:rsidR="00D8544D">
        <w:t>preserving</w:t>
      </w:r>
      <w:r w:rsidR="006E6CC5" w:rsidRPr="00680758">
        <w:t xml:space="preserve"> </w:t>
      </w:r>
      <w:r w:rsidR="00012145" w:rsidRPr="00680758">
        <w:t xml:space="preserve">the family-work life balance. UNDP will </w:t>
      </w:r>
      <w:r w:rsidR="000A3BC5">
        <w:t xml:space="preserve">support a </w:t>
      </w:r>
      <w:r w:rsidR="00012145" w:rsidRPr="00680758">
        <w:t>one-stop model for promoting employment, employability and entrepreneurship</w:t>
      </w:r>
      <w:r w:rsidR="00687ACE" w:rsidRPr="00680758">
        <w:t xml:space="preserve">, providing </w:t>
      </w:r>
      <w:r w:rsidR="00012145" w:rsidRPr="00680758">
        <w:t xml:space="preserve">access to </w:t>
      </w:r>
      <w:r w:rsidR="00687ACE" w:rsidRPr="00680758">
        <w:t xml:space="preserve">market information </w:t>
      </w:r>
      <w:r w:rsidR="00012145" w:rsidRPr="00680758">
        <w:t>and financin</w:t>
      </w:r>
      <w:r w:rsidR="009C7E22" w:rsidRPr="00680758">
        <w:t xml:space="preserve">g through rural banks </w:t>
      </w:r>
      <w:r w:rsidR="00012145" w:rsidRPr="00680758">
        <w:t xml:space="preserve">and revolving funds, </w:t>
      </w:r>
      <w:r w:rsidR="009C7E22" w:rsidRPr="00680758">
        <w:t>matching services</w:t>
      </w:r>
      <w:r w:rsidR="00012145" w:rsidRPr="00680758">
        <w:t xml:space="preserve">, vocational training and </w:t>
      </w:r>
      <w:r w:rsidR="0099428C" w:rsidRPr="00680758">
        <w:t>career guidance</w:t>
      </w:r>
      <w:r w:rsidR="00012145" w:rsidRPr="00680758">
        <w:t xml:space="preserve">. UNDP will encourage public-private partnerships </w:t>
      </w:r>
      <w:r w:rsidR="009E77A9" w:rsidRPr="00680758">
        <w:t xml:space="preserve">for employment </w:t>
      </w:r>
      <w:r w:rsidR="00DB094D">
        <w:t>p</w:t>
      </w:r>
      <w:r w:rsidR="006C0E9C" w:rsidRPr="00680758">
        <w:t>rogramme</w:t>
      </w:r>
      <w:r w:rsidR="00DB094D">
        <w:t>s</w:t>
      </w:r>
      <w:r w:rsidR="009E77A9" w:rsidRPr="00680758">
        <w:t xml:space="preserve"> that </w:t>
      </w:r>
      <w:r w:rsidR="00012145" w:rsidRPr="00680758">
        <w:t xml:space="preserve">improve conditions </w:t>
      </w:r>
      <w:r w:rsidR="009E77A9" w:rsidRPr="00680758">
        <w:t xml:space="preserve">in </w:t>
      </w:r>
      <w:r w:rsidR="00012145" w:rsidRPr="00680758">
        <w:t xml:space="preserve">communities under the principles of the Global </w:t>
      </w:r>
      <w:r w:rsidR="0099428C" w:rsidRPr="00680758">
        <w:t>Compac</w:t>
      </w:r>
      <w:r w:rsidR="00012145" w:rsidRPr="00680758">
        <w:t>t</w:t>
      </w:r>
      <w:r w:rsidR="00DB094D">
        <w:t>,</w:t>
      </w:r>
      <w:r w:rsidR="00012145" w:rsidRPr="00680758">
        <w:t xml:space="preserve"> in collaboration with the Association of Municipalities of Honduras, the </w:t>
      </w:r>
      <w:r w:rsidR="009E77A9" w:rsidRPr="00680758">
        <w:t>Secretariat</w:t>
      </w:r>
      <w:r w:rsidR="0008336F" w:rsidRPr="00680758">
        <w:t xml:space="preserve"> of Economic Development, the </w:t>
      </w:r>
      <w:r w:rsidR="00012145" w:rsidRPr="00680758">
        <w:t xml:space="preserve">Honduran Council </w:t>
      </w:r>
      <w:r w:rsidR="00F3619B">
        <w:t xml:space="preserve">of </w:t>
      </w:r>
      <w:r w:rsidR="00012145" w:rsidRPr="00680758">
        <w:t>Private Enterprise</w:t>
      </w:r>
      <w:r w:rsidR="009E77A9" w:rsidRPr="00680758">
        <w:t>s</w:t>
      </w:r>
      <w:r w:rsidR="0008336F" w:rsidRPr="00680758">
        <w:t xml:space="preserve"> </w:t>
      </w:r>
      <w:r w:rsidR="00012145" w:rsidRPr="00680758">
        <w:t xml:space="preserve">and the Chambers of Commerce. </w:t>
      </w:r>
    </w:p>
    <w:p w14:paraId="5AA12943" w14:textId="723E7F8D" w:rsidR="008201AC" w:rsidRPr="00680758" w:rsidRDefault="008201AC" w:rsidP="008201AC">
      <w:pPr>
        <w:ind w:left="1276" w:right="1210"/>
        <w:jc w:val="both"/>
      </w:pPr>
      <w:r w:rsidRPr="00680758">
        <w:t xml:space="preserve">21. </w:t>
      </w:r>
      <w:r w:rsidR="00961D25" w:rsidRPr="00680758">
        <w:t>UNDP will prioritize the development of national and local risk reduction</w:t>
      </w:r>
      <w:r w:rsidR="008A60AA">
        <w:t xml:space="preserve"> </w:t>
      </w:r>
      <w:r w:rsidR="008A60AA" w:rsidRPr="00680758">
        <w:t>capacities</w:t>
      </w:r>
      <w:r w:rsidR="00961D25" w:rsidRPr="00680758">
        <w:t>, disaster preparedness and post-disaster recovery planning</w:t>
      </w:r>
      <w:r w:rsidR="00252354" w:rsidRPr="00680758">
        <w:t>. At local level</w:t>
      </w:r>
      <w:r w:rsidR="007963DB">
        <w:t>s</w:t>
      </w:r>
      <w:r w:rsidR="00252354" w:rsidRPr="00680758">
        <w:t xml:space="preserve">, UNDP will </w:t>
      </w:r>
      <w:r w:rsidR="00961D25" w:rsidRPr="00680758">
        <w:t xml:space="preserve">focus </w:t>
      </w:r>
      <w:r w:rsidR="00252354" w:rsidRPr="00680758">
        <w:t>o</w:t>
      </w:r>
      <w:r w:rsidR="00961D25" w:rsidRPr="00680758">
        <w:t xml:space="preserve">n </w:t>
      </w:r>
      <w:r w:rsidR="007C1922">
        <w:t>supporting</w:t>
      </w:r>
      <w:r w:rsidR="007C1922" w:rsidRPr="00680758">
        <w:t xml:space="preserve"> </w:t>
      </w:r>
      <w:r w:rsidR="00961D25" w:rsidRPr="00680758">
        <w:t xml:space="preserve">early warning and action systems, </w:t>
      </w:r>
      <w:r w:rsidR="0076534C" w:rsidRPr="00680758">
        <w:t xml:space="preserve">livelihood </w:t>
      </w:r>
      <w:r w:rsidR="00961D25" w:rsidRPr="00680758">
        <w:t>recovery</w:t>
      </w:r>
      <w:r w:rsidR="0064388A">
        <w:t xml:space="preserve"> </w:t>
      </w:r>
      <w:r w:rsidR="00961D25" w:rsidRPr="00680758">
        <w:t>and land use planning, taking into account resilience, natural resource</w:t>
      </w:r>
      <w:r w:rsidR="00252354" w:rsidRPr="00680758">
        <w:t xml:space="preserve"> conservation</w:t>
      </w:r>
      <w:r w:rsidR="00961D25" w:rsidRPr="00680758">
        <w:t xml:space="preserve"> gender, </w:t>
      </w:r>
      <w:r w:rsidR="007C1922">
        <w:t xml:space="preserve">and </w:t>
      </w:r>
      <w:r w:rsidR="00961D25" w:rsidRPr="00680758">
        <w:t xml:space="preserve">ethnicity. At the national level, UNDP will </w:t>
      </w:r>
      <w:r w:rsidR="00252354" w:rsidRPr="00680758">
        <w:t>work</w:t>
      </w:r>
      <w:r w:rsidR="00961D25" w:rsidRPr="00680758">
        <w:t xml:space="preserve"> with </w:t>
      </w:r>
      <w:r w:rsidR="0076534C" w:rsidRPr="00680758">
        <w:t xml:space="preserve">international </w:t>
      </w:r>
      <w:r w:rsidR="00961D25" w:rsidRPr="00680758">
        <w:t>partners</w:t>
      </w:r>
      <w:r w:rsidR="00252354" w:rsidRPr="00680758">
        <w:t>,</w:t>
      </w:r>
      <w:r w:rsidR="00961D25" w:rsidRPr="00680758">
        <w:t xml:space="preserve"> such as the World Bank, the Inter-American Development Bank and the Central America</w:t>
      </w:r>
      <w:r w:rsidR="0076534C" w:rsidRPr="00680758">
        <w:t xml:space="preserve">n Bank for Economic Integration, </w:t>
      </w:r>
      <w:r w:rsidR="00606C17">
        <w:t>and</w:t>
      </w:r>
      <w:r w:rsidR="0076534C" w:rsidRPr="00680758">
        <w:t xml:space="preserve"> </w:t>
      </w:r>
      <w:r w:rsidR="006C1C9E" w:rsidRPr="00680758">
        <w:t xml:space="preserve">government </w:t>
      </w:r>
      <w:r w:rsidR="007C1922">
        <w:t>entities</w:t>
      </w:r>
      <w:r w:rsidR="007C1922" w:rsidRPr="00680758">
        <w:t xml:space="preserve"> </w:t>
      </w:r>
      <w:r w:rsidR="00252354" w:rsidRPr="00680758">
        <w:t xml:space="preserve">to promote </w:t>
      </w:r>
      <w:r w:rsidR="00961D25" w:rsidRPr="00680758">
        <w:t>the ins</w:t>
      </w:r>
      <w:r w:rsidR="006C1C9E" w:rsidRPr="00680758">
        <w:t>titutional framework necessary for</w:t>
      </w:r>
      <w:r w:rsidR="00961D25" w:rsidRPr="00680758">
        <w:t xml:space="preserve"> implement</w:t>
      </w:r>
      <w:r w:rsidR="00066AB7" w:rsidRPr="00680758">
        <w:t>ing</w:t>
      </w:r>
      <w:r w:rsidR="00961D25" w:rsidRPr="00680758">
        <w:t xml:space="preserve"> a climate financing strategy articulated in t</w:t>
      </w:r>
      <w:r w:rsidR="00252354" w:rsidRPr="00680758">
        <w:t>he budget planning process and</w:t>
      </w:r>
      <w:r w:rsidR="00961D25" w:rsidRPr="00680758">
        <w:t xml:space="preserve"> results-based management of n</w:t>
      </w:r>
      <w:r w:rsidR="00066AB7" w:rsidRPr="00680758">
        <w:t xml:space="preserve">ational development policies, in compliance with </w:t>
      </w:r>
      <w:r w:rsidR="00961D25" w:rsidRPr="00680758">
        <w:t xml:space="preserve">international agreements. UNDP will support </w:t>
      </w:r>
      <w:r w:rsidR="007C1922">
        <w:t xml:space="preserve">the development of a </w:t>
      </w:r>
      <w:r w:rsidR="00961D25" w:rsidRPr="00680758">
        <w:t xml:space="preserve">system </w:t>
      </w:r>
      <w:r w:rsidR="003A241A" w:rsidRPr="00680758">
        <w:t xml:space="preserve">for </w:t>
      </w:r>
      <w:r w:rsidR="00961D25" w:rsidRPr="00680758">
        <w:t xml:space="preserve">monitoring public expenditures </w:t>
      </w:r>
      <w:r w:rsidR="000D3C7B">
        <w:t>on</w:t>
      </w:r>
      <w:r w:rsidR="00961D25" w:rsidRPr="00680758">
        <w:t xml:space="preserve"> mitigation and adaptation to climate change. UNDP will continue to </w:t>
      </w:r>
      <w:r w:rsidR="00927ECF" w:rsidRPr="00680758">
        <w:t>provide t</w:t>
      </w:r>
      <w:r w:rsidR="003A241A" w:rsidRPr="00680758">
        <w:t xml:space="preserve">echnical support </w:t>
      </w:r>
      <w:r w:rsidR="00171E6D">
        <w:t xml:space="preserve">toward </w:t>
      </w:r>
      <w:r w:rsidR="003A241A" w:rsidRPr="00680758">
        <w:t>fulfilment</w:t>
      </w:r>
      <w:r w:rsidR="000F6FB5">
        <w:t xml:space="preserve"> </w:t>
      </w:r>
      <w:r w:rsidR="003A241A" w:rsidRPr="00680758">
        <w:t xml:space="preserve">of the country´s </w:t>
      </w:r>
      <w:r w:rsidR="00927ECF" w:rsidRPr="00680758">
        <w:t xml:space="preserve">commitments </w:t>
      </w:r>
      <w:r w:rsidR="003A241A" w:rsidRPr="00680758">
        <w:t xml:space="preserve">under </w:t>
      </w:r>
      <w:r w:rsidR="00927ECF" w:rsidRPr="00680758">
        <w:t xml:space="preserve">the Paris Agreement, including the </w:t>
      </w:r>
      <w:r w:rsidR="00EE7C1B" w:rsidRPr="00680758">
        <w:t>submission</w:t>
      </w:r>
      <w:r w:rsidR="00927ECF" w:rsidRPr="00680758">
        <w:t xml:space="preserve"> of </w:t>
      </w:r>
      <w:r w:rsidR="00550D49">
        <w:t>N</w:t>
      </w:r>
      <w:r w:rsidR="00927ECF" w:rsidRPr="00680758">
        <w:t>ational</w:t>
      </w:r>
      <w:r w:rsidR="00550D49">
        <w:t>ly</w:t>
      </w:r>
      <w:r w:rsidR="003A241A" w:rsidRPr="00680758">
        <w:t xml:space="preserve"> </w:t>
      </w:r>
      <w:r w:rsidR="00550D49">
        <w:t>D</w:t>
      </w:r>
      <w:r w:rsidR="003A241A" w:rsidRPr="00680758">
        <w:t xml:space="preserve">etermined </w:t>
      </w:r>
      <w:r w:rsidR="00550D49">
        <w:t>C</w:t>
      </w:r>
      <w:r w:rsidR="00927ECF" w:rsidRPr="00680758">
        <w:t xml:space="preserve">ontributions to </w:t>
      </w:r>
      <w:r w:rsidR="00550D49">
        <w:t>C</w:t>
      </w:r>
      <w:r w:rsidR="00927ECF" w:rsidRPr="00680758">
        <w:t xml:space="preserve">limate </w:t>
      </w:r>
      <w:r w:rsidR="00550D49">
        <w:t>C</w:t>
      </w:r>
      <w:r w:rsidR="00927ECF" w:rsidRPr="00680758">
        <w:t xml:space="preserve">hange, National </w:t>
      </w:r>
      <w:r w:rsidR="00EE7C1B" w:rsidRPr="00680758">
        <w:t xml:space="preserve">Appropriate Mitigation </w:t>
      </w:r>
      <w:r w:rsidR="00927ECF" w:rsidRPr="00680758">
        <w:t>Actions, the National REDD+ Strategy and the National Plan for Climate Change Adaptation.</w:t>
      </w:r>
    </w:p>
    <w:p w14:paraId="73B8DC95" w14:textId="77777777" w:rsidR="008201AC" w:rsidRPr="00680758" w:rsidRDefault="008201AC" w:rsidP="008201AC">
      <w:pPr>
        <w:ind w:left="1276" w:right="1210"/>
        <w:jc w:val="both"/>
      </w:pPr>
    </w:p>
    <w:p w14:paraId="15F339E4" w14:textId="688F43CB" w:rsidR="008201AC" w:rsidRPr="00680758" w:rsidRDefault="008201AC" w:rsidP="00A8785D">
      <w:pPr>
        <w:pStyle w:val="Heading1"/>
        <w:tabs>
          <w:tab w:val="left" w:pos="1800"/>
        </w:tabs>
        <w:spacing w:after="120"/>
        <w:ind w:left="1267" w:right="1267" w:hanging="457"/>
        <w:jc w:val="both"/>
        <w:rPr>
          <w:rFonts w:ascii="Times New Roman" w:hAnsi="Times New Roman"/>
          <w:color w:val="000000"/>
          <w:sz w:val="20"/>
          <w:lang w:val="en-US"/>
        </w:rPr>
      </w:pPr>
      <w:r w:rsidRPr="00680758">
        <w:rPr>
          <w:rFonts w:ascii="Times New Roman" w:hAnsi="Times New Roman"/>
          <w:color w:val="000000"/>
          <w:sz w:val="24"/>
          <w:szCs w:val="24"/>
        </w:rPr>
        <w:t>I</w:t>
      </w:r>
      <w:r w:rsidRPr="00680758">
        <w:rPr>
          <w:rFonts w:ascii="Times New Roman" w:hAnsi="Times New Roman"/>
          <w:color w:val="000000"/>
          <w:sz w:val="24"/>
          <w:szCs w:val="24"/>
          <w:lang w:val="en-US"/>
        </w:rPr>
        <w:t>II</w:t>
      </w:r>
      <w:r w:rsidR="00A8785D">
        <w:rPr>
          <w:rFonts w:ascii="Times New Roman" w:hAnsi="Times New Roman"/>
          <w:color w:val="000000"/>
          <w:sz w:val="24"/>
          <w:szCs w:val="24"/>
        </w:rPr>
        <w:t>.</w:t>
      </w:r>
      <w:r w:rsidR="00A8785D">
        <w:rPr>
          <w:rFonts w:ascii="Times New Roman" w:hAnsi="Times New Roman"/>
          <w:color w:val="000000"/>
          <w:sz w:val="24"/>
          <w:szCs w:val="24"/>
        </w:rPr>
        <w:tab/>
      </w:r>
      <w:r w:rsidR="006C0E9C" w:rsidRPr="00680758">
        <w:rPr>
          <w:rFonts w:ascii="Times New Roman" w:hAnsi="Times New Roman"/>
          <w:color w:val="000000"/>
          <w:sz w:val="24"/>
          <w:szCs w:val="24"/>
          <w:lang w:val="en-US"/>
        </w:rPr>
        <w:t>Programme</w:t>
      </w:r>
      <w:r w:rsidR="00EE7C1B" w:rsidRPr="00680758">
        <w:rPr>
          <w:rFonts w:ascii="Times New Roman" w:hAnsi="Times New Roman"/>
          <w:color w:val="000000"/>
          <w:sz w:val="24"/>
          <w:szCs w:val="24"/>
          <w:lang w:val="en-US"/>
        </w:rPr>
        <w:t xml:space="preserve"> and </w:t>
      </w:r>
      <w:r w:rsidR="00A8785D">
        <w:rPr>
          <w:rFonts w:ascii="Times New Roman" w:hAnsi="Times New Roman"/>
          <w:color w:val="000000"/>
          <w:sz w:val="24"/>
          <w:szCs w:val="24"/>
          <w:lang w:val="en-US"/>
        </w:rPr>
        <w:t>risk m</w:t>
      </w:r>
      <w:r w:rsidR="00EE7C1B" w:rsidRPr="00680758">
        <w:rPr>
          <w:rFonts w:ascii="Times New Roman" w:hAnsi="Times New Roman"/>
          <w:color w:val="000000"/>
          <w:sz w:val="24"/>
          <w:szCs w:val="24"/>
          <w:lang w:val="en-US"/>
        </w:rPr>
        <w:t>anagement</w:t>
      </w:r>
    </w:p>
    <w:p w14:paraId="2F0099C0" w14:textId="263A2B26" w:rsidR="00AC46A7" w:rsidRPr="00680758" w:rsidRDefault="008201AC" w:rsidP="00A8785D">
      <w:pPr>
        <w:spacing w:after="120"/>
        <w:ind w:left="1276" w:right="1210"/>
        <w:jc w:val="both"/>
      </w:pPr>
      <w:r w:rsidRPr="00680758">
        <w:t xml:space="preserve">22. </w:t>
      </w:r>
      <w:r w:rsidR="00AC46A7" w:rsidRPr="00680758">
        <w:t xml:space="preserve">This document </w:t>
      </w:r>
      <w:r w:rsidR="00B249F0" w:rsidRPr="00680758">
        <w:t>outlines</w:t>
      </w:r>
      <w:r w:rsidR="00AC46A7" w:rsidRPr="00680758">
        <w:t xml:space="preserve"> UNDP</w:t>
      </w:r>
      <w:r w:rsidR="00B249F0" w:rsidRPr="00680758">
        <w:t xml:space="preserve"> contributions to </w:t>
      </w:r>
      <w:r w:rsidR="00AC46A7" w:rsidRPr="00680758">
        <w:t xml:space="preserve">national results and serves as the primary unit </w:t>
      </w:r>
      <w:r w:rsidR="00B249F0" w:rsidRPr="00680758">
        <w:t xml:space="preserve">of accountability to the Executive Board for </w:t>
      </w:r>
      <w:r w:rsidR="00AC46A7" w:rsidRPr="00680758">
        <w:t>results</w:t>
      </w:r>
      <w:r w:rsidR="00B249F0" w:rsidRPr="00680758">
        <w:t xml:space="preserve"> alignment</w:t>
      </w:r>
      <w:r w:rsidR="00AC46A7" w:rsidRPr="00680758">
        <w:t xml:space="preserve"> and resources </w:t>
      </w:r>
      <w:r w:rsidR="00B249F0" w:rsidRPr="00680758">
        <w:t>assigned</w:t>
      </w:r>
      <w:r w:rsidR="00AC46A7" w:rsidRPr="00680758">
        <w:t xml:space="preserve"> at the country level. </w:t>
      </w:r>
      <w:r w:rsidR="00536B56">
        <w:t>A</w:t>
      </w:r>
      <w:r w:rsidR="00AC46A7" w:rsidRPr="00680758">
        <w:t xml:space="preserve">ccountability </w:t>
      </w:r>
      <w:r w:rsidR="007E7964" w:rsidRPr="00680758">
        <w:t xml:space="preserve">and </w:t>
      </w:r>
      <w:r w:rsidR="00AC46A7" w:rsidRPr="00680758">
        <w:t xml:space="preserve">responsibilities are prescribed in the </w:t>
      </w:r>
      <w:r w:rsidR="00390EBF" w:rsidRPr="00680758">
        <w:t xml:space="preserve">operating </w:t>
      </w:r>
      <w:r w:rsidR="00AC46A7" w:rsidRPr="00680758">
        <w:t>policies</w:t>
      </w:r>
      <w:r w:rsidR="00654C2C">
        <w:t xml:space="preserve"> </w:t>
      </w:r>
      <w:r w:rsidR="00AC46A7" w:rsidRPr="00680758">
        <w:t xml:space="preserve">and procedures of the </w:t>
      </w:r>
      <w:r w:rsidR="00DB094D">
        <w:t>o</w:t>
      </w:r>
      <w:r w:rsidR="00AC46A7" w:rsidRPr="00680758">
        <w:t xml:space="preserve">rganization and </w:t>
      </w:r>
      <w:r w:rsidR="007E7964" w:rsidRPr="00680758">
        <w:t xml:space="preserve">its </w:t>
      </w:r>
      <w:r w:rsidR="00390EBF" w:rsidRPr="00680758">
        <w:t>internal controls framework</w:t>
      </w:r>
      <w:r w:rsidR="00AC46A7" w:rsidRPr="00680758">
        <w:t>.</w:t>
      </w:r>
    </w:p>
    <w:p w14:paraId="22E25DB7" w14:textId="5A9837F8" w:rsidR="00AC46A7" w:rsidRPr="00680758" w:rsidRDefault="008201AC" w:rsidP="00A8785D">
      <w:pPr>
        <w:spacing w:after="120"/>
        <w:ind w:left="1276" w:right="1203"/>
        <w:jc w:val="both"/>
      </w:pPr>
      <w:r w:rsidRPr="00680758">
        <w:t xml:space="preserve">23. </w:t>
      </w:r>
      <w:r w:rsidR="00AC46A7" w:rsidRPr="00680758">
        <w:t xml:space="preserve">To facilitate implementation of the SDGs at local </w:t>
      </w:r>
      <w:r w:rsidR="00252354" w:rsidRPr="00680758">
        <w:t>level</w:t>
      </w:r>
      <w:r w:rsidR="007963DB">
        <w:t>s</w:t>
      </w:r>
      <w:r w:rsidR="00252354" w:rsidRPr="00680758">
        <w:t xml:space="preserve"> </w:t>
      </w:r>
      <w:r w:rsidR="00AC46A7" w:rsidRPr="00680758">
        <w:t xml:space="preserve">and </w:t>
      </w:r>
      <w:r w:rsidR="002540B5" w:rsidRPr="00680758">
        <w:t>ensure closer proximity to</w:t>
      </w:r>
      <w:r w:rsidR="00AC46A7" w:rsidRPr="00680758">
        <w:t xml:space="preserve"> target groups, UNDP will strengthen its presence in the </w:t>
      </w:r>
      <w:r w:rsidR="002540B5" w:rsidRPr="00680758">
        <w:t>field</w:t>
      </w:r>
      <w:r w:rsidR="00AC46A7" w:rsidRPr="00680758">
        <w:t xml:space="preserve"> through establish</w:t>
      </w:r>
      <w:r w:rsidR="00536B56">
        <w:t>ing</w:t>
      </w:r>
      <w:r w:rsidR="00AC46A7" w:rsidRPr="00680758">
        <w:t xml:space="preserve"> three multi-project offices in Puerto Lempira, Intibucá and Tela, where many excluded and vulnerable populations live. UNDP will continue to play an active role </w:t>
      </w:r>
      <w:r w:rsidR="00252354" w:rsidRPr="00680758">
        <w:t>in the G16,</w:t>
      </w:r>
      <w:r w:rsidR="00AC46A7" w:rsidRPr="00680758">
        <w:t xml:space="preserve"> the group of </w:t>
      </w:r>
      <w:r w:rsidR="00DC70C0">
        <w:t xml:space="preserve">international </w:t>
      </w:r>
      <w:r w:rsidR="009103D9">
        <w:t xml:space="preserve">development </w:t>
      </w:r>
      <w:r w:rsidR="00DC70C0">
        <w:t>cooperation institutions</w:t>
      </w:r>
      <w:r w:rsidR="00AC46A7" w:rsidRPr="00680758">
        <w:t xml:space="preserve"> formed after the 1998 Hurricane Mitch emergency to improve coordination, information</w:t>
      </w:r>
      <w:r w:rsidR="002540B5" w:rsidRPr="00680758">
        <w:t xml:space="preserve"> sharing</w:t>
      </w:r>
      <w:r w:rsidR="00AC46A7" w:rsidRPr="00680758">
        <w:t xml:space="preserve"> and advocacy.</w:t>
      </w:r>
    </w:p>
    <w:p w14:paraId="55D94D1C" w14:textId="4AEBBF41" w:rsidR="00B249F0" w:rsidRPr="00680758" w:rsidRDefault="008201AC" w:rsidP="00A8785D">
      <w:pPr>
        <w:spacing w:after="120"/>
        <w:ind w:left="1276" w:right="1203"/>
        <w:jc w:val="both"/>
      </w:pPr>
      <w:r w:rsidRPr="00680758">
        <w:t xml:space="preserve">24. </w:t>
      </w:r>
      <w:r w:rsidR="00B249F0" w:rsidRPr="00680758">
        <w:t>In the context of the UNDAF</w:t>
      </w:r>
      <w:r w:rsidR="00A971C9" w:rsidRPr="00680758">
        <w:t xml:space="preserve"> 2017-20</w:t>
      </w:r>
      <w:r w:rsidR="00151814" w:rsidRPr="00680758">
        <w:t>21</w:t>
      </w:r>
      <w:r w:rsidR="00B249F0" w:rsidRPr="00680758">
        <w:t xml:space="preserve">, UNDP will participate in </w:t>
      </w:r>
      <w:r w:rsidR="00A30E69">
        <w:t>the</w:t>
      </w:r>
      <w:r w:rsidR="00A30E69" w:rsidRPr="00680758">
        <w:t xml:space="preserve"> UNDAF Outcomes Groups</w:t>
      </w:r>
      <w:r w:rsidR="00A30E69">
        <w:t xml:space="preserve"> and </w:t>
      </w:r>
      <w:r w:rsidR="00B249F0" w:rsidRPr="00680758">
        <w:t xml:space="preserve">joint </w:t>
      </w:r>
      <w:r w:rsidR="000E5EBD" w:rsidRPr="00680758">
        <w:t>U</w:t>
      </w:r>
      <w:r w:rsidR="001C14A4">
        <w:t xml:space="preserve">nited </w:t>
      </w:r>
      <w:r w:rsidR="000E5EBD" w:rsidRPr="00680758">
        <w:t>N</w:t>
      </w:r>
      <w:r w:rsidR="001C14A4">
        <w:t>ations</w:t>
      </w:r>
      <w:r w:rsidR="000E5EBD" w:rsidRPr="00680758">
        <w:t xml:space="preserve"> </w:t>
      </w:r>
      <w:r w:rsidR="001C14A4">
        <w:t>p</w:t>
      </w:r>
      <w:r w:rsidR="00AE4D2C" w:rsidRPr="00680758">
        <w:t>rogramm</w:t>
      </w:r>
      <w:r w:rsidR="000E5EBD" w:rsidRPr="00680758">
        <w:t>es</w:t>
      </w:r>
      <w:r w:rsidR="00A30E69">
        <w:t xml:space="preserve">. UNDP </w:t>
      </w:r>
      <w:r w:rsidR="00B249F0" w:rsidRPr="00680758">
        <w:t xml:space="preserve">will support implementation of the </w:t>
      </w:r>
      <w:r w:rsidRPr="00680758">
        <w:t xml:space="preserve">Standard Operating Procedures for Countries Adopting Delivering as One. </w:t>
      </w:r>
    </w:p>
    <w:p w14:paraId="430F5825" w14:textId="34C7E89C" w:rsidR="00390EBF" w:rsidRPr="00680758" w:rsidRDefault="008201AC" w:rsidP="00A8785D">
      <w:pPr>
        <w:spacing w:after="120"/>
        <w:ind w:left="1276" w:right="1203"/>
        <w:jc w:val="both"/>
      </w:pPr>
      <w:r w:rsidRPr="00680758">
        <w:t xml:space="preserve">25. </w:t>
      </w:r>
      <w:r w:rsidR="00390EBF" w:rsidRPr="00680758">
        <w:t xml:space="preserve">The Office recognizes the importance of risk mitigation and </w:t>
      </w:r>
      <w:r w:rsidR="0075691B">
        <w:t xml:space="preserve">the need for </w:t>
      </w:r>
      <w:r w:rsidR="00390EBF" w:rsidRPr="00680758">
        <w:t xml:space="preserve">flexibility in planning </w:t>
      </w:r>
      <w:r w:rsidR="00395444" w:rsidRPr="00680758">
        <w:t xml:space="preserve">and implementation to </w:t>
      </w:r>
      <w:r w:rsidR="00C86EA5">
        <w:t>accommodate</w:t>
      </w:r>
      <w:r w:rsidR="00395444" w:rsidRPr="00680758">
        <w:t xml:space="preserve"> </w:t>
      </w:r>
      <w:r w:rsidR="00390EBF" w:rsidRPr="00680758">
        <w:t>contingencies.</w:t>
      </w:r>
      <w:r w:rsidR="00F55BE6" w:rsidRPr="00680758">
        <w:t xml:space="preserve"> </w:t>
      </w:r>
      <w:r w:rsidR="00C86EA5">
        <w:t>Primary operational risks include</w:t>
      </w:r>
      <w:r w:rsidR="005E1161">
        <w:t xml:space="preserve"> </w:t>
      </w:r>
      <w:r w:rsidR="00C86EA5" w:rsidRPr="00680758">
        <w:t>crime and violence</w:t>
      </w:r>
      <w:r w:rsidR="00C86EA5">
        <w:t xml:space="preserve">, </w:t>
      </w:r>
      <w:r w:rsidR="00C86EA5" w:rsidRPr="00680758">
        <w:t>high level</w:t>
      </w:r>
      <w:r w:rsidR="00C86EA5">
        <w:t>s</w:t>
      </w:r>
      <w:r w:rsidR="00C86EA5" w:rsidRPr="00680758">
        <w:t xml:space="preserve"> of corruption</w:t>
      </w:r>
      <w:r w:rsidR="00C86EA5">
        <w:t>,</w:t>
      </w:r>
      <w:r w:rsidR="00C86EA5" w:rsidRPr="00680758">
        <w:t xml:space="preserve"> institutional weakness</w:t>
      </w:r>
      <w:r w:rsidR="00C86EA5">
        <w:t>es and natural disasters, which have the potential to delay or thwart implementation</w:t>
      </w:r>
      <w:r w:rsidR="00C86EA5" w:rsidRPr="00680758">
        <w:t xml:space="preserve">. </w:t>
      </w:r>
      <w:r w:rsidR="005174EB">
        <w:t xml:space="preserve">The Office </w:t>
      </w:r>
      <w:r w:rsidR="00F55BE6" w:rsidRPr="00680758">
        <w:t>will strengthen its risk management approaches with other U</w:t>
      </w:r>
      <w:r w:rsidR="001C14A4">
        <w:t xml:space="preserve">nited </w:t>
      </w:r>
      <w:r w:rsidR="00F55BE6" w:rsidRPr="00680758">
        <w:t>N</w:t>
      </w:r>
      <w:r w:rsidR="001C14A4">
        <w:t>ations</w:t>
      </w:r>
      <w:r w:rsidR="00F55BE6" w:rsidRPr="00680758">
        <w:t xml:space="preserve"> partners and will undertake </w:t>
      </w:r>
      <w:r w:rsidR="006A66DB" w:rsidRPr="00680758">
        <w:t>an annual review with the government</w:t>
      </w:r>
      <w:r w:rsidR="00390EBF" w:rsidRPr="00680758">
        <w:t xml:space="preserve"> </w:t>
      </w:r>
      <w:r w:rsidR="001818A8" w:rsidRPr="00680758">
        <w:t xml:space="preserve">to identify </w:t>
      </w:r>
      <w:r w:rsidR="00DF0FD6" w:rsidRPr="00680758">
        <w:t xml:space="preserve">adjustments </w:t>
      </w:r>
      <w:r w:rsidR="00390EBF" w:rsidRPr="00680758">
        <w:t xml:space="preserve">that </w:t>
      </w:r>
      <w:r w:rsidR="00252354" w:rsidRPr="00680758">
        <w:t>may be</w:t>
      </w:r>
      <w:r w:rsidR="00390EBF" w:rsidRPr="00680758">
        <w:t xml:space="preserve"> </w:t>
      </w:r>
      <w:r w:rsidR="00CB1BAA" w:rsidRPr="00680758">
        <w:t xml:space="preserve">required </w:t>
      </w:r>
      <w:r w:rsidR="001818A8" w:rsidRPr="00680758">
        <w:t xml:space="preserve">in </w:t>
      </w:r>
      <w:r w:rsidR="00054EA6" w:rsidRPr="00680758">
        <w:t xml:space="preserve">the </w:t>
      </w:r>
      <w:r w:rsidR="00DA02AA">
        <w:t xml:space="preserve">Country Programme </w:t>
      </w:r>
      <w:r w:rsidR="00CB1BAA" w:rsidRPr="00680758">
        <w:t xml:space="preserve">implementation strategy. UNDP will </w:t>
      </w:r>
      <w:r w:rsidR="00F55BE6" w:rsidRPr="00680758">
        <w:t xml:space="preserve">regularly </w:t>
      </w:r>
      <w:r w:rsidR="00DB094D" w:rsidRPr="00680758">
        <w:t xml:space="preserve">update </w:t>
      </w:r>
      <w:r w:rsidR="00CB1BAA" w:rsidRPr="00680758">
        <w:t xml:space="preserve">its </w:t>
      </w:r>
      <w:r w:rsidR="00B60023" w:rsidRPr="00680758">
        <w:t xml:space="preserve">business </w:t>
      </w:r>
      <w:r w:rsidR="006E62D7" w:rsidRPr="00680758">
        <w:t>continuity plan</w:t>
      </w:r>
      <w:r w:rsidR="00DF0FD6" w:rsidRPr="00680758">
        <w:t xml:space="preserve"> </w:t>
      </w:r>
      <w:r w:rsidR="00B60023" w:rsidRPr="00680758">
        <w:t>and will implement</w:t>
      </w:r>
      <w:r w:rsidR="00CB1BAA" w:rsidRPr="00680758">
        <w:t xml:space="preserve"> Harmonized Approach for Cash Transfers</w:t>
      </w:r>
      <w:r w:rsidR="00C86EA5">
        <w:t xml:space="preserve"> to </w:t>
      </w:r>
      <w:r w:rsidR="00B60023" w:rsidRPr="00680758">
        <w:t xml:space="preserve">expand its </w:t>
      </w:r>
      <w:r w:rsidR="00C86EA5">
        <w:lastRenderedPageBreak/>
        <w:t xml:space="preserve">pool </w:t>
      </w:r>
      <w:r w:rsidR="00B60023" w:rsidRPr="00680758">
        <w:t>of reliable partners</w:t>
      </w:r>
      <w:r w:rsidR="00C86EA5">
        <w:t xml:space="preserve">. </w:t>
      </w:r>
      <w:r w:rsidR="00F55BE6" w:rsidRPr="00680758">
        <w:t xml:space="preserve">Cost Recovery Methodology </w:t>
      </w:r>
      <w:r w:rsidR="00C86EA5">
        <w:t>(</w:t>
      </w:r>
      <w:r w:rsidR="00936597" w:rsidRPr="00680758">
        <w:t>E</w:t>
      </w:r>
      <w:r w:rsidR="002A17B6">
        <w:t xml:space="preserve">xecutive </w:t>
      </w:r>
      <w:r w:rsidR="00936597" w:rsidRPr="00680758">
        <w:t>B</w:t>
      </w:r>
      <w:r w:rsidR="002A17B6">
        <w:t>oard</w:t>
      </w:r>
      <w:r w:rsidR="00936597" w:rsidRPr="00680758">
        <w:t xml:space="preserve"> </w:t>
      </w:r>
      <w:r w:rsidR="00F55BE6" w:rsidRPr="00680758">
        <w:t>Decision 2013/9</w:t>
      </w:r>
      <w:r w:rsidR="00C86EA5">
        <w:t>)</w:t>
      </w:r>
      <w:r w:rsidR="00F55BE6" w:rsidRPr="00680758">
        <w:t xml:space="preserve">, </w:t>
      </w:r>
      <w:r w:rsidR="005A1D2B">
        <w:t>and</w:t>
      </w:r>
      <w:r w:rsidR="004A0493">
        <w:t xml:space="preserve"> </w:t>
      </w:r>
      <w:r w:rsidR="00B60023" w:rsidRPr="00680758">
        <w:t>corporate social and environmental standards</w:t>
      </w:r>
      <w:r w:rsidR="00C86EA5">
        <w:t xml:space="preserve"> will be applied</w:t>
      </w:r>
      <w:r w:rsidR="00B60023" w:rsidRPr="00680758">
        <w:t>.</w:t>
      </w:r>
    </w:p>
    <w:p w14:paraId="51046B17" w14:textId="674BD7AF" w:rsidR="008201AC" w:rsidRPr="00680758" w:rsidRDefault="008201AC" w:rsidP="00A8785D">
      <w:pPr>
        <w:spacing w:after="120"/>
        <w:ind w:left="1276" w:right="1210"/>
        <w:jc w:val="both"/>
      </w:pPr>
      <w:r w:rsidRPr="00680758">
        <w:t xml:space="preserve">26. </w:t>
      </w:r>
      <w:r w:rsidR="004F2ACD" w:rsidRPr="00680758">
        <w:t>The Office recognizes the challenges of resource mobilization</w:t>
      </w:r>
      <w:r w:rsidR="005A1D2B">
        <w:t xml:space="preserve">. Honduras </w:t>
      </w:r>
      <w:r w:rsidR="004F2ACD" w:rsidRPr="00680758">
        <w:t xml:space="preserve">is </w:t>
      </w:r>
      <w:r w:rsidR="00CF5866">
        <w:t xml:space="preserve">considered </w:t>
      </w:r>
      <w:r w:rsidR="005A1D2B">
        <w:t xml:space="preserve">a </w:t>
      </w:r>
      <w:r w:rsidR="004F2ACD" w:rsidRPr="00680758">
        <w:t>middle income</w:t>
      </w:r>
      <w:r w:rsidR="005A1D2B">
        <w:t xml:space="preserve"> country</w:t>
      </w:r>
      <w:r w:rsidR="00803F83">
        <w:t>.</w:t>
      </w:r>
      <w:r w:rsidR="00CA1078" w:rsidRPr="00680758">
        <w:t xml:space="preserve"> </w:t>
      </w:r>
      <w:r w:rsidR="00803F83">
        <w:t xml:space="preserve">The Office </w:t>
      </w:r>
      <w:r w:rsidR="004F2ACD" w:rsidRPr="00680758">
        <w:t xml:space="preserve">will mobilize resources together with the government, </w:t>
      </w:r>
      <w:r w:rsidR="00CA1078" w:rsidRPr="00680758">
        <w:t xml:space="preserve">making use of corporate </w:t>
      </w:r>
      <w:r w:rsidR="00803F83">
        <w:t xml:space="preserve">and regional </w:t>
      </w:r>
      <w:r w:rsidR="00B93E8A" w:rsidRPr="00680758">
        <w:t xml:space="preserve">resource mobilization </w:t>
      </w:r>
      <w:r w:rsidR="004A547B" w:rsidRPr="00680758">
        <w:t>capacities</w:t>
      </w:r>
      <w:r w:rsidR="00CA1078" w:rsidRPr="00680758">
        <w:t xml:space="preserve"> </w:t>
      </w:r>
      <w:r w:rsidR="00B93E8A" w:rsidRPr="00680758">
        <w:t xml:space="preserve">to diversify financing sources. </w:t>
      </w:r>
      <w:r w:rsidR="00764772" w:rsidRPr="00680758">
        <w:t>Climate change funding opportunities are of special relevance.</w:t>
      </w:r>
    </w:p>
    <w:p w14:paraId="1342A65C" w14:textId="187C29C5" w:rsidR="00BD3952" w:rsidRPr="00680758" w:rsidRDefault="008201AC" w:rsidP="008201AC">
      <w:pPr>
        <w:ind w:left="1276" w:right="1210"/>
        <w:jc w:val="both"/>
      </w:pPr>
      <w:r w:rsidRPr="00680758">
        <w:t xml:space="preserve">27. </w:t>
      </w:r>
      <w:r w:rsidR="003E3289" w:rsidRPr="00680758">
        <w:t xml:space="preserve">The </w:t>
      </w:r>
      <w:r w:rsidR="00DB094D">
        <w:t xml:space="preserve">Country </w:t>
      </w:r>
      <w:r w:rsidR="003E3289" w:rsidRPr="00680758">
        <w:t xml:space="preserve">Programme will be nationally executed under </w:t>
      </w:r>
      <w:r w:rsidR="0028273D">
        <w:t xml:space="preserve">the </w:t>
      </w:r>
      <w:r w:rsidR="003E3289" w:rsidRPr="00680758">
        <w:t>coordination of the Ministry of Foreign Affairs and International Cooperation.</w:t>
      </w:r>
      <w:r w:rsidR="0013153C">
        <w:t xml:space="preserve"> </w:t>
      </w:r>
      <w:r w:rsidR="0013153C" w:rsidRPr="0013153C">
        <w:t>National implementation modality will be applied for projects</w:t>
      </w:r>
      <w:r w:rsidR="0028273D">
        <w:t>,</w:t>
      </w:r>
      <w:r w:rsidR="0013153C" w:rsidRPr="0013153C">
        <w:t xml:space="preserve"> with UNDP providing management support as needed</w:t>
      </w:r>
      <w:r w:rsidR="006F0427">
        <w:t>.</w:t>
      </w:r>
      <w:r w:rsidR="006E740F" w:rsidRPr="00680758">
        <w:t xml:space="preserve"> </w:t>
      </w:r>
      <w:r w:rsidR="00BD3952" w:rsidRPr="00680758">
        <w:t>Othe</w:t>
      </w:r>
      <w:r w:rsidR="006E740F" w:rsidRPr="00680758">
        <w:t>r modalities will be considered</w:t>
      </w:r>
      <w:r w:rsidR="001B797B">
        <w:t>,</w:t>
      </w:r>
      <w:r w:rsidR="006E740F" w:rsidRPr="00680758">
        <w:t xml:space="preserve"> </w:t>
      </w:r>
      <w:r w:rsidR="00B44B42">
        <w:t xml:space="preserve">such as </w:t>
      </w:r>
      <w:r w:rsidR="006E740F" w:rsidRPr="00680758">
        <w:t>U</w:t>
      </w:r>
      <w:r w:rsidR="001C14A4">
        <w:t xml:space="preserve">nited </w:t>
      </w:r>
      <w:r w:rsidR="006E740F" w:rsidRPr="00680758">
        <w:t>N</w:t>
      </w:r>
      <w:r w:rsidR="001C14A4">
        <w:t>ations</w:t>
      </w:r>
      <w:r w:rsidR="006E740F" w:rsidRPr="00680758">
        <w:t xml:space="preserve"> </w:t>
      </w:r>
      <w:r w:rsidR="00BD3952" w:rsidRPr="00680758">
        <w:t xml:space="preserve">joint </w:t>
      </w:r>
      <w:r w:rsidR="001C14A4">
        <w:t>p</w:t>
      </w:r>
      <w:r w:rsidR="00AE4D2C" w:rsidRPr="00680758">
        <w:t>rogramm</w:t>
      </w:r>
      <w:r w:rsidR="00BD3952" w:rsidRPr="00680758">
        <w:t xml:space="preserve">ing and </w:t>
      </w:r>
      <w:r w:rsidR="00C26946" w:rsidRPr="00680758">
        <w:t>NGO implementation</w:t>
      </w:r>
      <w:r w:rsidR="00BD3952" w:rsidRPr="00680758">
        <w:t xml:space="preserve">. </w:t>
      </w:r>
      <w:r w:rsidR="006E740F" w:rsidRPr="00680758">
        <w:t xml:space="preserve">UNDP </w:t>
      </w:r>
      <w:r w:rsidR="001C14A4">
        <w:t>d</w:t>
      </w:r>
      <w:r w:rsidR="00BD3952" w:rsidRPr="00680758">
        <w:t xml:space="preserve">irect implementation may be </w:t>
      </w:r>
      <w:r w:rsidR="00D87BC5" w:rsidRPr="00680758">
        <w:t>applied</w:t>
      </w:r>
      <w:r w:rsidR="00BD3952" w:rsidRPr="00680758">
        <w:t xml:space="preserve"> depending on context and urgency. The </w:t>
      </w:r>
      <w:r w:rsidR="00DB094D">
        <w:t xml:space="preserve">Country </w:t>
      </w:r>
      <w:r w:rsidR="00AE4D2C" w:rsidRPr="00680758">
        <w:t>Programme</w:t>
      </w:r>
      <w:r w:rsidR="00BD3952" w:rsidRPr="00680758">
        <w:t xml:space="preserve"> will be implemented according to principles of transparency and results-based management in line with UNDP’s commitment to the International </w:t>
      </w:r>
      <w:r w:rsidR="006E740F" w:rsidRPr="00680758">
        <w:t xml:space="preserve">Aid Transparency Initiative. </w:t>
      </w:r>
      <w:r w:rsidR="00A5602F" w:rsidRPr="00680758">
        <w:t>F</w:t>
      </w:r>
      <w:r w:rsidR="00D87BC5" w:rsidRPr="00680758">
        <w:t xml:space="preserve">ast-track procedures for response to emergencies may be requested as </w:t>
      </w:r>
      <w:r w:rsidR="000A45E9">
        <w:t>needed</w:t>
      </w:r>
      <w:r w:rsidR="00D87BC5" w:rsidRPr="00680758">
        <w:t>, taking into account the country’s vulnerability to natural events and epidemics (Dengue, Zika, etc</w:t>
      </w:r>
      <w:r w:rsidR="0064388A">
        <w:t>.</w:t>
      </w:r>
      <w:r w:rsidR="00D87BC5" w:rsidRPr="00680758">
        <w:t xml:space="preserve">). The </w:t>
      </w:r>
      <w:r w:rsidR="00572E24">
        <w:t>O</w:t>
      </w:r>
      <w:r w:rsidR="00C41ECD" w:rsidRPr="00680758">
        <w:t xml:space="preserve">ffice has </w:t>
      </w:r>
      <w:r w:rsidR="00D87BC5" w:rsidRPr="00680758">
        <w:t xml:space="preserve">recently completed a restructuring process to ensure </w:t>
      </w:r>
      <w:r w:rsidR="00D730DD">
        <w:t xml:space="preserve">a </w:t>
      </w:r>
      <w:r w:rsidR="00D87BC5" w:rsidRPr="00680758">
        <w:t>relevant, cost-effective and efficient structure.</w:t>
      </w:r>
    </w:p>
    <w:p w14:paraId="1232330C" w14:textId="77777777" w:rsidR="008201AC" w:rsidRPr="00680758" w:rsidRDefault="008201AC" w:rsidP="008201AC">
      <w:pPr>
        <w:ind w:left="1276" w:right="1210"/>
        <w:jc w:val="both"/>
      </w:pPr>
    </w:p>
    <w:p w14:paraId="2ADD0317" w14:textId="0AD40D7F" w:rsidR="008201AC" w:rsidRPr="00680758" w:rsidRDefault="00D87BC5" w:rsidP="00C173F9">
      <w:pPr>
        <w:pStyle w:val="Heading1"/>
        <w:numPr>
          <w:ilvl w:val="0"/>
          <w:numId w:val="44"/>
        </w:numPr>
        <w:tabs>
          <w:tab w:val="left" w:pos="1260"/>
          <w:tab w:val="left" w:pos="1710"/>
          <w:tab w:val="left" w:pos="1800"/>
        </w:tabs>
        <w:ind w:right="1267" w:hanging="3456"/>
        <w:jc w:val="both"/>
        <w:rPr>
          <w:rFonts w:ascii="Times New Roman" w:hAnsi="Times New Roman"/>
          <w:color w:val="000000"/>
          <w:sz w:val="24"/>
          <w:szCs w:val="24"/>
          <w:lang w:val="en-US"/>
        </w:rPr>
      </w:pPr>
      <w:r w:rsidRPr="00680758">
        <w:rPr>
          <w:rFonts w:ascii="Times New Roman" w:hAnsi="Times New Roman"/>
          <w:color w:val="000000"/>
          <w:sz w:val="24"/>
          <w:szCs w:val="24"/>
          <w:lang w:val="en-US"/>
        </w:rPr>
        <w:t xml:space="preserve">Monitoring and </w:t>
      </w:r>
      <w:r w:rsidR="00A8785D">
        <w:rPr>
          <w:rFonts w:ascii="Times New Roman" w:hAnsi="Times New Roman"/>
          <w:color w:val="000000"/>
          <w:sz w:val="24"/>
          <w:szCs w:val="24"/>
          <w:lang w:val="en-US"/>
        </w:rPr>
        <w:t>e</w:t>
      </w:r>
      <w:r w:rsidRPr="00680758">
        <w:rPr>
          <w:rFonts w:ascii="Times New Roman" w:hAnsi="Times New Roman"/>
          <w:color w:val="000000"/>
          <w:sz w:val="24"/>
          <w:szCs w:val="24"/>
          <w:lang w:val="en-US"/>
        </w:rPr>
        <w:t>valuation</w:t>
      </w:r>
    </w:p>
    <w:p w14:paraId="7BCC57E1" w14:textId="77777777" w:rsidR="008201AC" w:rsidRPr="00680758" w:rsidRDefault="008201AC" w:rsidP="00A8785D">
      <w:pPr>
        <w:ind w:right="1210"/>
        <w:jc w:val="both"/>
      </w:pPr>
    </w:p>
    <w:p w14:paraId="69543A5D" w14:textId="3F74FE45" w:rsidR="00674616" w:rsidRPr="00680758" w:rsidRDefault="008201AC" w:rsidP="00A8785D">
      <w:pPr>
        <w:spacing w:after="120"/>
        <w:ind w:left="1276" w:right="1210"/>
        <w:jc w:val="both"/>
      </w:pPr>
      <w:r w:rsidRPr="00680758">
        <w:t xml:space="preserve">28. </w:t>
      </w:r>
      <w:r w:rsidR="00674616" w:rsidRPr="00680758">
        <w:t xml:space="preserve">The </w:t>
      </w:r>
      <w:r w:rsidR="00DB094D">
        <w:t xml:space="preserve">Country </w:t>
      </w:r>
      <w:r w:rsidR="006C0E9C" w:rsidRPr="00680758">
        <w:t>Programme</w:t>
      </w:r>
      <w:r w:rsidR="0055169C" w:rsidRPr="00680758">
        <w:t xml:space="preserve"> </w:t>
      </w:r>
      <w:r w:rsidR="00DB0B56" w:rsidRPr="00680758">
        <w:t>monitoring and e</w:t>
      </w:r>
      <w:r w:rsidR="009B727A" w:rsidRPr="00680758">
        <w:t xml:space="preserve">valuation </w:t>
      </w:r>
      <w:r w:rsidR="00DB0B56" w:rsidRPr="00680758">
        <w:t>strategy</w:t>
      </w:r>
      <w:r w:rsidR="009B727A" w:rsidRPr="00680758">
        <w:t xml:space="preserve"> </w:t>
      </w:r>
      <w:r w:rsidR="0055169C" w:rsidRPr="00680758">
        <w:t>reflects</w:t>
      </w:r>
      <w:r w:rsidR="00674616" w:rsidRPr="00680758">
        <w:t xml:space="preserve"> the guidelines of the </w:t>
      </w:r>
      <w:r w:rsidR="006E4975" w:rsidRPr="00680758">
        <w:t>UNDP Strategic Plan, UNDP Evaluation P</w:t>
      </w:r>
      <w:r w:rsidR="00674616" w:rsidRPr="00680758">
        <w:t xml:space="preserve">olicy and </w:t>
      </w:r>
      <w:r w:rsidR="006E4975" w:rsidRPr="00680758">
        <w:t xml:space="preserve">is in line with </w:t>
      </w:r>
      <w:r w:rsidR="00674616" w:rsidRPr="00680758">
        <w:t xml:space="preserve">results-based management </w:t>
      </w:r>
      <w:r w:rsidR="006E4975" w:rsidRPr="00680758">
        <w:t>requirement</w:t>
      </w:r>
      <w:r w:rsidR="00B87A6B">
        <w:t>s</w:t>
      </w:r>
      <w:r w:rsidR="00674616" w:rsidRPr="00680758">
        <w:t>.</w:t>
      </w:r>
      <w:r w:rsidR="0055169C" w:rsidRPr="00680758">
        <w:t xml:space="preserve"> </w:t>
      </w:r>
      <w:r w:rsidR="005174EB">
        <w:t xml:space="preserve">The </w:t>
      </w:r>
      <w:r w:rsidR="00A211ED">
        <w:t>strategy</w:t>
      </w:r>
      <w:r w:rsidR="005174EB" w:rsidRPr="00680758">
        <w:t xml:space="preserve"> </w:t>
      </w:r>
      <w:r w:rsidR="0055169C" w:rsidRPr="00680758">
        <w:t xml:space="preserve">will focus on </w:t>
      </w:r>
      <w:r w:rsidR="005174EB">
        <w:t>four</w:t>
      </w:r>
      <w:r w:rsidR="005174EB" w:rsidRPr="00680758">
        <w:t xml:space="preserve"> </w:t>
      </w:r>
      <w:r w:rsidR="0055169C" w:rsidRPr="00680758">
        <w:t xml:space="preserve">areas: i) development of organizational and operational capacities; ii) design and </w:t>
      </w:r>
      <w:r w:rsidR="00102358">
        <w:t>customization</w:t>
      </w:r>
      <w:r w:rsidR="00102358" w:rsidRPr="00680758">
        <w:t xml:space="preserve"> </w:t>
      </w:r>
      <w:r w:rsidR="0055169C" w:rsidRPr="00680758">
        <w:t xml:space="preserve">of </w:t>
      </w:r>
      <w:r w:rsidR="00B87A6B">
        <w:t>M&amp;E</w:t>
      </w:r>
      <w:r w:rsidR="0055169C" w:rsidRPr="00680758">
        <w:t xml:space="preserve"> tools and </w:t>
      </w:r>
      <w:r w:rsidR="00996ADF">
        <w:t>mechanism</w:t>
      </w:r>
      <w:r w:rsidR="0055169C" w:rsidRPr="00680758">
        <w:t>s</w:t>
      </w:r>
      <w:r w:rsidR="006674C1">
        <w:t>;</w:t>
      </w:r>
      <w:r w:rsidR="0055169C" w:rsidRPr="00680758">
        <w:t xml:space="preserve"> </w:t>
      </w:r>
      <w:r w:rsidR="00AD547F" w:rsidRPr="00680758">
        <w:t>iii) allocation</w:t>
      </w:r>
      <w:r w:rsidR="0055169C" w:rsidRPr="00680758">
        <w:t xml:space="preserve"> </w:t>
      </w:r>
      <w:r w:rsidR="00AD547F" w:rsidRPr="00680758">
        <w:t xml:space="preserve">of at least </w:t>
      </w:r>
      <w:r w:rsidR="005174EB">
        <w:t>two</w:t>
      </w:r>
      <w:r w:rsidR="001C14A4">
        <w:t xml:space="preserve"> per cent</w:t>
      </w:r>
      <w:r w:rsidR="00AD547F" w:rsidRPr="00680758">
        <w:t xml:space="preserve"> of the </w:t>
      </w:r>
      <w:r w:rsidR="0055169C" w:rsidRPr="00680758">
        <w:t xml:space="preserve">budget to </w:t>
      </w:r>
      <w:r w:rsidR="00B87A6B">
        <w:t>M&amp;E</w:t>
      </w:r>
      <w:r w:rsidR="006674C1">
        <w:t>;</w:t>
      </w:r>
      <w:r w:rsidR="00AD547F" w:rsidRPr="00680758">
        <w:t xml:space="preserve"> </w:t>
      </w:r>
      <w:r w:rsidR="006674C1">
        <w:t xml:space="preserve">and </w:t>
      </w:r>
      <w:r w:rsidR="00AD547F" w:rsidRPr="00680758">
        <w:t>iv</w:t>
      </w:r>
      <w:r w:rsidR="0055169C" w:rsidRPr="00680758">
        <w:t xml:space="preserve">) </w:t>
      </w:r>
      <w:r w:rsidR="003638D3">
        <w:t>knowledge</w:t>
      </w:r>
      <w:r w:rsidR="0055169C" w:rsidRPr="00680758">
        <w:t xml:space="preserve"> management </w:t>
      </w:r>
      <w:r w:rsidR="003638D3">
        <w:t>for</w:t>
      </w:r>
      <w:r w:rsidR="0055169C" w:rsidRPr="00680758">
        <w:t xml:space="preserve"> effective and efficient interventions and improved communication.</w:t>
      </w:r>
    </w:p>
    <w:p w14:paraId="16DFCCD5" w14:textId="23634082" w:rsidR="0055169C" w:rsidRPr="00680758" w:rsidRDefault="008201AC" w:rsidP="00A8785D">
      <w:pPr>
        <w:spacing w:after="120"/>
        <w:ind w:left="1276" w:right="1210"/>
        <w:jc w:val="both"/>
      </w:pPr>
      <w:r w:rsidRPr="00680758">
        <w:t xml:space="preserve">29. </w:t>
      </w:r>
      <w:r w:rsidR="00E33242">
        <w:t xml:space="preserve">The </w:t>
      </w:r>
      <w:r w:rsidR="00DB094D">
        <w:t xml:space="preserve">Country </w:t>
      </w:r>
      <w:r w:rsidR="006C0E9C" w:rsidRPr="00680758">
        <w:t>Programme</w:t>
      </w:r>
      <w:r w:rsidR="00AF6F67" w:rsidRPr="00680758">
        <w:t xml:space="preserve"> monitoring will take place </w:t>
      </w:r>
      <w:r w:rsidR="00544DE9">
        <w:t>via</w:t>
      </w:r>
      <w:r w:rsidR="00544DE9" w:rsidRPr="00680758">
        <w:t xml:space="preserve"> </w:t>
      </w:r>
      <w:r w:rsidR="00102358">
        <w:t xml:space="preserve">the </w:t>
      </w:r>
      <w:r w:rsidR="00102358" w:rsidRPr="00680758">
        <w:t>Results Framework</w:t>
      </w:r>
      <w:r w:rsidR="00AF6F67" w:rsidRPr="00680758">
        <w:t xml:space="preserve">. Indicators will be disaggregated by </w:t>
      </w:r>
      <w:r w:rsidR="000333E1">
        <w:t>gender</w:t>
      </w:r>
      <w:r w:rsidR="000333E1" w:rsidRPr="00680758">
        <w:t xml:space="preserve"> </w:t>
      </w:r>
      <w:r w:rsidR="00AF6F67" w:rsidRPr="00680758">
        <w:t>and priority target group</w:t>
      </w:r>
      <w:r w:rsidR="001677E5" w:rsidRPr="00680758">
        <w:t>s</w:t>
      </w:r>
      <w:r w:rsidR="00AF6F67" w:rsidRPr="00680758">
        <w:t>. The use of the Gender Marker will reflect</w:t>
      </w:r>
      <w:r w:rsidR="001677E5" w:rsidRPr="00680758">
        <w:t xml:space="preserve"> </w:t>
      </w:r>
      <w:r w:rsidR="00AF6F67" w:rsidRPr="00680758">
        <w:t>budget allocation</w:t>
      </w:r>
      <w:r w:rsidR="001677E5" w:rsidRPr="00680758">
        <w:t>s for gender-related interventions</w:t>
      </w:r>
      <w:r w:rsidR="00AF6F67" w:rsidRPr="00680758">
        <w:t xml:space="preserve">. </w:t>
      </w:r>
      <w:r w:rsidR="00102358">
        <w:t>N</w:t>
      </w:r>
      <w:r w:rsidR="00AF6F67" w:rsidRPr="00680758">
        <w:t>ational information sources</w:t>
      </w:r>
      <w:r w:rsidR="00606C17">
        <w:t>,</w:t>
      </w:r>
      <w:r w:rsidR="00AF6F67" w:rsidRPr="00680758">
        <w:t xml:space="preserve"> such as the National Autonomous University of Honduras</w:t>
      </w:r>
      <w:r w:rsidR="00797519" w:rsidRPr="00680758">
        <w:t xml:space="preserve">, Bureau of Statistics </w:t>
      </w:r>
      <w:r w:rsidR="00AF6F67" w:rsidRPr="00680758">
        <w:t xml:space="preserve">and </w:t>
      </w:r>
      <w:r w:rsidR="00797519" w:rsidRPr="00680758">
        <w:t xml:space="preserve">Secretariat of </w:t>
      </w:r>
      <w:r w:rsidR="00AF6F67" w:rsidRPr="00680758">
        <w:t xml:space="preserve">Environment </w:t>
      </w:r>
      <w:r w:rsidR="00797519" w:rsidRPr="00680758">
        <w:t xml:space="preserve">and Natural Resources, </w:t>
      </w:r>
      <w:r w:rsidR="00606C17">
        <w:t>and</w:t>
      </w:r>
      <w:r w:rsidR="00AF6F67" w:rsidRPr="00680758">
        <w:t xml:space="preserve"> global sources</w:t>
      </w:r>
      <w:r w:rsidR="00606C17">
        <w:t>,</w:t>
      </w:r>
      <w:r w:rsidR="00AF6F67" w:rsidRPr="00680758">
        <w:t xml:space="preserve"> such as the World Bank, U</w:t>
      </w:r>
      <w:r w:rsidR="001C14A4">
        <w:t xml:space="preserve">nited </w:t>
      </w:r>
      <w:r w:rsidR="00AF6F67" w:rsidRPr="00680758">
        <w:t>N</w:t>
      </w:r>
      <w:r w:rsidR="001C14A4">
        <w:t>ations</w:t>
      </w:r>
      <w:r w:rsidR="00AF6F67" w:rsidRPr="00680758">
        <w:t xml:space="preserve"> Stats and U</w:t>
      </w:r>
      <w:r w:rsidR="001C14A4">
        <w:t xml:space="preserve">nited </w:t>
      </w:r>
      <w:r w:rsidR="00AF6F67" w:rsidRPr="00680758">
        <w:t>N</w:t>
      </w:r>
      <w:r w:rsidR="001C14A4">
        <w:t>ations</w:t>
      </w:r>
      <w:r w:rsidR="00AF6F67" w:rsidRPr="00680758">
        <w:t xml:space="preserve"> Council on Human Rights</w:t>
      </w:r>
      <w:r w:rsidR="00102358">
        <w:t xml:space="preserve"> will be used</w:t>
      </w:r>
      <w:r w:rsidR="00AF6F67" w:rsidRPr="00680758">
        <w:t xml:space="preserve">. UNDP will support development </w:t>
      </w:r>
      <w:r w:rsidR="00F76213" w:rsidRPr="00680758">
        <w:t>and updat</w:t>
      </w:r>
      <w:r w:rsidR="00A211ED">
        <w:t>ing</w:t>
      </w:r>
      <w:r w:rsidR="00F76213" w:rsidRPr="00680758">
        <w:t xml:space="preserve"> </w:t>
      </w:r>
      <w:r w:rsidR="00AF6F67" w:rsidRPr="00680758">
        <w:t xml:space="preserve">of </w:t>
      </w:r>
      <w:r w:rsidR="00F6018E">
        <w:t xml:space="preserve">the country’s </w:t>
      </w:r>
      <w:r w:rsidR="00A211ED" w:rsidRPr="00A211ED">
        <w:t>Multidimensional Poverty</w:t>
      </w:r>
      <w:r w:rsidR="00BA7D12">
        <w:t xml:space="preserve"> Index</w:t>
      </w:r>
      <w:r w:rsidR="00AF6F67" w:rsidRPr="00680758">
        <w:t xml:space="preserve">. </w:t>
      </w:r>
      <w:r w:rsidR="00797519" w:rsidRPr="00680758">
        <w:t>UNDP will establish collaborative partnerships with academic institutions and think</w:t>
      </w:r>
      <w:r w:rsidR="00A211ED">
        <w:t xml:space="preserve"> </w:t>
      </w:r>
      <w:r w:rsidR="00797519" w:rsidRPr="00680758">
        <w:t xml:space="preserve">tanks to </w:t>
      </w:r>
      <w:r w:rsidR="00F6018E">
        <w:t xml:space="preserve">create </w:t>
      </w:r>
      <w:r w:rsidR="00797519" w:rsidRPr="00680758">
        <w:t xml:space="preserve">a research agenda that will guide </w:t>
      </w:r>
      <w:r w:rsidR="00DB094D">
        <w:t xml:space="preserve">Country </w:t>
      </w:r>
      <w:r w:rsidR="006C0E9C" w:rsidRPr="00680758">
        <w:t>Programme</w:t>
      </w:r>
      <w:r w:rsidR="00786A47" w:rsidRPr="00680758">
        <w:t xml:space="preserve"> implementation, </w:t>
      </w:r>
      <w:r w:rsidR="00391E48" w:rsidRPr="00680758">
        <w:t>monitoring</w:t>
      </w:r>
      <w:r w:rsidR="00786A47" w:rsidRPr="00680758">
        <w:t xml:space="preserve"> and </w:t>
      </w:r>
      <w:r w:rsidR="001503BA" w:rsidRPr="00680758">
        <w:t>evaluation</w:t>
      </w:r>
      <w:r w:rsidR="00391E48" w:rsidRPr="00680758">
        <w:t xml:space="preserve">. </w:t>
      </w:r>
      <w:r w:rsidR="00AF6F67" w:rsidRPr="00680758">
        <w:t xml:space="preserve">The Evaluation Plan includes an annual review of the </w:t>
      </w:r>
      <w:r w:rsidR="001532BB" w:rsidRPr="00680758">
        <w:t xml:space="preserve">Results Framework </w:t>
      </w:r>
      <w:r w:rsidR="00A211ED">
        <w:t>and</w:t>
      </w:r>
      <w:r w:rsidR="005F7DD5" w:rsidRPr="00680758">
        <w:t xml:space="preserve"> </w:t>
      </w:r>
      <w:r w:rsidR="00A211ED">
        <w:t>an</w:t>
      </w:r>
      <w:r w:rsidR="00A211ED" w:rsidRPr="00680758">
        <w:t xml:space="preserve"> </w:t>
      </w:r>
      <w:r w:rsidR="005F7DD5" w:rsidRPr="00680758">
        <w:t>evaluation</w:t>
      </w:r>
      <w:r w:rsidR="001532BB" w:rsidRPr="00680758">
        <w:t xml:space="preserve"> of UND</w:t>
      </w:r>
      <w:r w:rsidR="005F7DD5" w:rsidRPr="00680758">
        <w:t>P contributions</w:t>
      </w:r>
      <w:r w:rsidR="001532BB" w:rsidRPr="00680758">
        <w:t>. UNDP will conduct interim</w:t>
      </w:r>
      <w:r w:rsidR="005F7DD5" w:rsidRPr="00680758">
        <w:t xml:space="preserve"> and final evaluations of</w:t>
      </w:r>
      <w:r w:rsidR="001532BB" w:rsidRPr="00680758">
        <w:t xml:space="preserve"> the </w:t>
      </w:r>
      <w:r w:rsidR="005F7DD5" w:rsidRPr="00680758">
        <w:t xml:space="preserve">GEF-funded </w:t>
      </w:r>
      <w:r w:rsidR="00F6018E">
        <w:t xml:space="preserve">project </w:t>
      </w:r>
      <w:r w:rsidR="001532BB" w:rsidRPr="00680758">
        <w:t>portf</w:t>
      </w:r>
      <w:r w:rsidR="005F7DD5" w:rsidRPr="00680758">
        <w:t>olio</w:t>
      </w:r>
      <w:r w:rsidR="00DB094D">
        <w:t>,</w:t>
      </w:r>
      <w:r w:rsidR="005F7DD5" w:rsidRPr="00680758">
        <w:t xml:space="preserve"> the World Bank</w:t>
      </w:r>
      <w:r w:rsidR="001532BB" w:rsidRPr="00680758">
        <w:t xml:space="preserve"> Forest Carbon Partnership Facility</w:t>
      </w:r>
      <w:r w:rsidR="00147576">
        <w:t>,</w:t>
      </w:r>
      <w:r w:rsidR="001532BB" w:rsidRPr="00680758">
        <w:t xml:space="preserve"> the </w:t>
      </w:r>
      <w:r w:rsidR="00713287" w:rsidRPr="00680758">
        <w:t xml:space="preserve">SDG Fund </w:t>
      </w:r>
      <w:r w:rsidR="005F7DD5" w:rsidRPr="00680758">
        <w:t xml:space="preserve">and </w:t>
      </w:r>
      <w:r w:rsidR="00713287" w:rsidRPr="00680758">
        <w:t xml:space="preserve">the </w:t>
      </w:r>
      <w:r w:rsidR="005F7DD5" w:rsidRPr="00680758">
        <w:t xml:space="preserve">UN-REDD </w:t>
      </w:r>
      <w:r w:rsidR="001532BB" w:rsidRPr="00680758">
        <w:t xml:space="preserve">Joint </w:t>
      </w:r>
      <w:r w:rsidR="006C0E9C" w:rsidRPr="00680758">
        <w:t>Programme</w:t>
      </w:r>
      <w:r w:rsidR="001532BB" w:rsidRPr="00680758">
        <w:t>.</w:t>
      </w:r>
    </w:p>
    <w:p w14:paraId="21BED82D" w14:textId="26D92B03" w:rsidR="008201AC" w:rsidRPr="00680758" w:rsidRDefault="008201AC" w:rsidP="00943E5C">
      <w:pPr>
        <w:ind w:left="1276" w:right="1210"/>
        <w:jc w:val="both"/>
        <w:sectPr w:rsidR="008201AC" w:rsidRPr="00680758"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680758">
        <w:t xml:space="preserve">30. </w:t>
      </w:r>
      <w:r w:rsidR="00DB0B56" w:rsidRPr="00680758">
        <w:t xml:space="preserve">The </w:t>
      </w:r>
      <w:r w:rsidR="00F6018E">
        <w:t>M&amp;E</w:t>
      </w:r>
      <w:r w:rsidR="001532BB" w:rsidRPr="00680758">
        <w:t xml:space="preserve"> strategy will serve as the basis for knowledge management and communication </w:t>
      </w:r>
      <w:r w:rsidR="00E7277A" w:rsidRPr="00680758">
        <w:t xml:space="preserve">on </w:t>
      </w:r>
      <w:r w:rsidR="00A92E32" w:rsidRPr="00680758">
        <w:t xml:space="preserve">UNDP results. </w:t>
      </w:r>
      <w:r w:rsidR="00E81AC9" w:rsidRPr="00680758">
        <w:t xml:space="preserve">An effective communication and outreach </w:t>
      </w:r>
      <w:r w:rsidR="00B6391D">
        <w:t>strategy</w:t>
      </w:r>
      <w:r w:rsidR="00B6391D" w:rsidRPr="00680758">
        <w:t xml:space="preserve"> </w:t>
      </w:r>
      <w:r w:rsidR="00E81AC9" w:rsidRPr="00680758">
        <w:t xml:space="preserve">will be </w:t>
      </w:r>
      <w:r w:rsidR="00B6391D">
        <w:t>devised</w:t>
      </w:r>
      <w:r w:rsidR="00B6391D" w:rsidRPr="00680758">
        <w:t xml:space="preserve"> </w:t>
      </w:r>
      <w:r w:rsidR="00E81AC9" w:rsidRPr="00680758">
        <w:t xml:space="preserve">for this purpose. </w:t>
      </w:r>
    </w:p>
    <w:p w14:paraId="3178021A" w14:textId="77777777" w:rsidR="008201AC" w:rsidRPr="00680758" w:rsidRDefault="008201AC" w:rsidP="00967213">
      <w:pPr>
        <w:ind w:right="1210"/>
        <w:jc w:val="both"/>
        <w:sectPr w:rsidR="008201AC" w:rsidRPr="00680758" w:rsidSect="00677A8F">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3F56B6C" w14:textId="77777777" w:rsidR="00565E1C" w:rsidRPr="00680758" w:rsidRDefault="00565E1C">
      <w:pPr>
        <w:rPr>
          <w:rFonts w:ascii="Arial" w:hAnsi="Arial"/>
          <w:b/>
          <w:bCs/>
          <w:color w:val="000000"/>
          <w:sz w:val="22"/>
        </w:rPr>
      </w:pPr>
      <w:r w:rsidRPr="00680758">
        <w:rPr>
          <w:bCs/>
          <w:color w:val="000000"/>
        </w:rPr>
        <w:br w:type="page"/>
      </w:r>
    </w:p>
    <w:p w14:paraId="3D21D1E4" w14:textId="7BCE8AE4" w:rsidR="00146229" w:rsidRPr="00836938" w:rsidRDefault="00146229" w:rsidP="00146229">
      <w:pPr>
        <w:pStyle w:val="Heading4"/>
        <w:spacing w:after="120"/>
        <w:rPr>
          <w:rFonts w:ascii="Times New Roman" w:hAnsi="Times New Roman"/>
          <w:bCs/>
          <w:i/>
          <w:sz w:val="24"/>
          <w:szCs w:val="24"/>
        </w:rPr>
      </w:pPr>
      <w:r w:rsidRPr="00836938">
        <w:rPr>
          <w:rFonts w:ascii="Times New Roman" w:hAnsi="Times New Roman"/>
          <w:bCs/>
          <w:sz w:val="24"/>
          <w:szCs w:val="24"/>
        </w:rPr>
        <w:lastRenderedPageBreak/>
        <w:t>Annex</w:t>
      </w:r>
      <w:r w:rsidR="003E482A">
        <w:rPr>
          <w:rFonts w:ascii="Times New Roman" w:hAnsi="Times New Roman"/>
          <w:bCs/>
          <w:sz w:val="24"/>
          <w:szCs w:val="24"/>
        </w:rPr>
        <w:t>:</w:t>
      </w:r>
      <w:r w:rsidRPr="00836938">
        <w:rPr>
          <w:rFonts w:ascii="Times New Roman" w:hAnsi="Times New Roman"/>
          <w:bCs/>
          <w:sz w:val="24"/>
          <w:szCs w:val="24"/>
        </w:rPr>
        <w:t xml:space="preserve"> Results and resources framework for</w:t>
      </w:r>
      <w:r>
        <w:rPr>
          <w:rFonts w:ascii="Times New Roman" w:hAnsi="Times New Roman"/>
          <w:bCs/>
          <w:sz w:val="24"/>
          <w:szCs w:val="24"/>
        </w:rPr>
        <w:t xml:space="preserve"> Honduras</w:t>
      </w:r>
      <w:r w:rsidRPr="00836938">
        <w:rPr>
          <w:rFonts w:ascii="Times New Roman" w:hAnsi="Times New Roman"/>
          <w:bCs/>
          <w:sz w:val="24"/>
          <w:szCs w:val="24"/>
        </w:rPr>
        <w:t xml:space="preserve"> (2017-2021)</w:t>
      </w:r>
    </w:p>
    <w:tbl>
      <w:tblPr>
        <w:tblW w:w="5000" w:type="pct"/>
        <w:tblLayout w:type="fixed"/>
        <w:tblCellMar>
          <w:left w:w="29" w:type="dxa"/>
          <w:right w:w="29" w:type="dxa"/>
        </w:tblCellMar>
        <w:tblLook w:val="00A0" w:firstRow="1" w:lastRow="0" w:firstColumn="1" w:lastColumn="0" w:noHBand="0" w:noVBand="0"/>
      </w:tblPr>
      <w:tblGrid>
        <w:gridCol w:w="2329"/>
        <w:gridCol w:w="1883"/>
        <w:gridCol w:w="2623"/>
        <w:gridCol w:w="1522"/>
        <w:gridCol w:w="1473"/>
      </w:tblGrid>
      <w:tr w:rsidR="00565E1C" w:rsidRPr="00680758" w14:paraId="5AED0F08"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BEAC84" w14:textId="09818177" w:rsidR="00565E1C" w:rsidRPr="00680758" w:rsidRDefault="00565E1C" w:rsidP="0033588E">
            <w:pPr>
              <w:jc w:val="both"/>
              <w:rPr>
                <w:color w:val="000000"/>
                <w:sz w:val="16"/>
                <w:szCs w:val="16"/>
              </w:rPr>
            </w:pPr>
            <w:r w:rsidRPr="00680758">
              <w:rPr>
                <w:b/>
                <w:bCs/>
                <w:color w:val="000000"/>
                <w:sz w:val="16"/>
                <w:szCs w:val="16"/>
              </w:rPr>
              <w:t>NATIONAL PRIORITY OR OBJECTIVE</w:t>
            </w:r>
            <w:r w:rsidR="006065AA" w:rsidRPr="00680758">
              <w:rPr>
                <w:rStyle w:val="FootnoteReference"/>
                <w:b/>
                <w:bCs/>
                <w:color w:val="000000"/>
                <w:sz w:val="16"/>
                <w:szCs w:val="16"/>
              </w:rPr>
              <w:footnoteReference w:id="35"/>
            </w:r>
            <w:r w:rsidRPr="00680758">
              <w:rPr>
                <w:b/>
                <w:bCs/>
                <w:color w:val="000000"/>
                <w:sz w:val="16"/>
                <w:szCs w:val="16"/>
              </w:rPr>
              <w:t xml:space="preserve">: </w:t>
            </w:r>
            <w:r w:rsidRPr="00680758">
              <w:rPr>
                <w:bCs/>
                <w:color w:val="000000"/>
                <w:sz w:val="16"/>
                <w:szCs w:val="16"/>
              </w:rPr>
              <w:t xml:space="preserve">A modern, transparent, accountable, effective and competitive State. </w:t>
            </w:r>
          </w:p>
        </w:tc>
      </w:tr>
      <w:tr w:rsidR="00565E1C" w:rsidRPr="00680758" w14:paraId="1E4553CD"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667FE5" w14:textId="77777777" w:rsidR="00565E1C" w:rsidRPr="00680758" w:rsidRDefault="00565E1C" w:rsidP="0033588E">
            <w:pPr>
              <w:jc w:val="both"/>
              <w:rPr>
                <w:b/>
                <w:bCs/>
                <w:color w:val="000000"/>
                <w:sz w:val="16"/>
                <w:szCs w:val="16"/>
              </w:rPr>
            </w:pPr>
            <w:r w:rsidRPr="00680758">
              <w:rPr>
                <w:b/>
                <w:bCs/>
                <w:color w:val="000000"/>
                <w:sz w:val="16"/>
                <w:szCs w:val="16"/>
              </w:rPr>
              <w:t xml:space="preserve">SDG: </w:t>
            </w:r>
            <w:r w:rsidRPr="00680758">
              <w:rPr>
                <w:bCs/>
                <w:color w:val="000000"/>
                <w:sz w:val="16"/>
                <w:szCs w:val="16"/>
              </w:rPr>
              <w:t>5. Gender Equality;</w:t>
            </w:r>
            <w:r w:rsidRPr="00680758">
              <w:rPr>
                <w:b/>
                <w:bCs/>
                <w:color w:val="000000"/>
                <w:sz w:val="16"/>
                <w:szCs w:val="16"/>
              </w:rPr>
              <w:t xml:space="preserve"> </w:t>
            </w:r>
            <w:r w:rsidRPr="00680758">
              <w:rPr>
                <w:bCs/>
                <w:color w:val="000000"/>
                <w:sz w:val="16"/>
                <w:szCs w:val="16"/>
              </w:rPr>
              <w:t xml:space="preserve">10. Reduced Inequalities; 11. Sustainable Cities and Communities; 16. Peace, Justice and Strong Institutions and 17. Partnerships for the Goals. </w:t>
            </w:r>
          </w:p>
        </w:tc>
      </w:tr>
      <w:tr w:rsidR="00565E1C" w:rsidRPr="00680758" w14:paraId="410A215F"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B09E" w14:textId="77777777" w:rsidR="00565E1C" w:rsidRPr="00680758" w:rsidRDefault="00565E1C" w:rsidP="0033588E">
            <w:pPr>
              <w:rPr>
                <w:b/>
                <w:bCs/>
                <w:color w:val="000000"/>
                <w:sz w:val="16"/>
                <w:szCs w:val="16"/>
              </w:rPr>
            </w:pPr>
            <w:r w:rsidRPr="00680758">
              <w:rPr>
                <w:b/>
                <w:bCs/>
                <w:color w:val="000000"/>
                <w:sz w:val="16"/>
                <w:szCs w:val="16"/>
              </w:rPr>
              <w:t xml:space="preserve">UNDAF OUTCOME (OR EQUIVILENT) INVOLVING UNDP: </w:t>
            </w:r>
          </w:p>
          <w:p w14:paraId="500092BC" w14:textId="14DAD8BC" w:rsidR="00565E1C" w:rsidRPr="00680758" w:rsidRDefault="00CA1725" w:rsidP="00CA1725">
            <w:pPr>
              <w:jc w:val="both"/>
              <w:rPr>
                <w:bCs/>
                <w:color w:val="000000"/>
                <w:sz w:val="16"/>
                <w:szCs w:val="16"/>
              </w:rPr>
            </w:pPr>
            <w:r>
              <w:rPr>
                <w:bCs/>
                <w:color w:val="000000"/>
                <w:sz w:val="16"/>
                <w:szCs w:val="16"/>
              </w:rPr>
              <w:t>V</w:t>
            </w:r>
            <w:r w:rsidR="00565E1C" w:rsidRPr="00680758">
              <w:rPr>
                <w:bCs/>
                <w:color w:val="000000"/>
                <w:sz w:val="16"/>
                <w:szCs w:val="16"/>
              </w:rPr>
              <w:t>ulnerable Honduran</w:t>
            </w:r>
            <w:r>
              <w:rPr>
                <w:bCs/>
                <w:color w:val="000000"/>
                <w:sz w:val="16"/>
                <w:szCs w:val="16"/>
              </w:rPr>
              <w:t>s</w:t>
            </w:r>
            <w:r w:rsidR="00565E1C" w:rsidRPr="00680758">
              <w:rPr>
                <w:bCs/>
                <w:color w:val="000000"/>
                <w:sz w:val="16"/>
                <w:szCs w:val="16"/>
              </w:rPr>
              <w:t xml:space="preserve"> in target communities have improved the exercise of their rights, with more effective, inclusive and transparent institutions, through broad and effective citizen participation.</w:t>
            </w:r>
          </w:p>
        </w:tc>
      </w:tr>
      <w:tr w:rsidR="00565E1C" w:rsidRPr="00680758" w14:paraId="5F63F2EB"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AF02A4" w14:textId="77777777" w:rsidR="00565E1C" w:rsidRPr="00680758" w:rsidRDefault="00565E1C" w:rsidP="0033588E">
            <w:pPr>
              <w:rPr>
                <w:b/>
                <w:iCs/>
                <w:sz w:val="16"/>
                <w:szCs w:val="16"/>
              </w:rPr>
            </w:pPr>
            <w:r w:rsidRPr="00680758">
              <w:rPr>
                <w:b/>
                <w:bCs/>
                <w:color w:val="000000"/>
                <w:sz w:val="16"/>
                <w:szCs w:val="16"/>
              </w:rPr>
              <w:t xml:space="preserve">RELATED 2014-2017 STRATEGIC PLAN OUTCOME: </w:t>
            </w:r>
          </w:p>
          <w:p w14:paraId="21053236" w14:textId="77777777" w:rsidR="00565E1C" w:rsidRPr="00680758" w:rsidRDefault="00565E1C" w:rsidP="0033588E">
            <w:pPr>
              <w:jc w:val="both"/>
              <w:rPr>
                <w:color w:val="000000"/>
                <w:sz w:val="16"/>
                <w:szCs w:val="16"/>
              </w:rPr>
            </w:pPr>
            <w:r w:rsidRPr="00680758">
              <w:rPr>
                <w:color w:val="000000"/>
                <w:sz w:val="16"/>
                <w:szCs w:val="16"/>
              </w:rPr>
              <w:t>O2: Citizen expectations for voice, development, the rule of law and accountability are met by stronger systems of democratic governance.</w:t>
            </w:r>
          </w:p>
        </w:tc>
      </w:tr>
      <w:tr w:rsidR="00565E1C" w:rsidRPr="00680758" w14:paraId="37D7B31C" w14:textId="77777777" w:rsidTr="00C173F9">
        <w:tc>
          <w:tcPr>
            <w:tcW w:w="1185" w:type="pct"/>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tcPr>
          <w:p w14:paraId="186B0F25" w14:textId="77777777" w:rsidR="00565E1C" w:rsidRPr="00341459" w:rsidRDefault="00565E1C" w:rsidP="0033588E">
            <w:pPr>
              <w:jc w:val="center"/>
              <w:rPr>
                <w:b/>
                <w:bCs/>
                <w:color w:val="000000"/>
                <w:sz w:val="16"/>
                <w:szCs w:val="16"/>
              </w:rPr>
            </w:pPr>
            <w:r w:rsidRPr="00341459">
              <w:rPr>
                <w:b/>
                <w:bCs/>
                <w:color w:val="000000"/>
                <w:sz w:val="16"/>
                <w:szCs w:val="16"/>
              </w:rPr>
              <w:t>INDICATOR(S) OF UNDAF OUTCOME, BASELINES, TARGET(S)</w:t>
            </w:r>
          </w:p>
        </w:tc>
        <w:tc>
          <w:tcPr>
            <w:tcW w:w="958" w:type="pct"/>
            <w:tcBorders>
              <w:top w:val="single" w:sz="8" w:space="0" w:color="000000"/>
              <w:left w:val="single" w:sz="4" w:space="0" w:color="auto"/>
              <w:bottom w:val="single" w:sz="4" w:space="0" w:color="auto"/>
              <w:right w:val="single" w:sz="8" w:space="0" w:color="000000"/>
            </w:tcBorders>
            <w:shd w:val="clear" w:color="auto" w:fill="auto"/>
            <w:vAlign w:val="center"/>
          </w:tcPr>
          <w:p w14:paraId="5E30B5E3" w14:textId="1D62A6DD" w:rsidR="00565E1C" w:rsidRPr="00341459" w:rsidRDefault="00565E1C" w:rsidP="005A3164">
            <w:pPr>
              <w:jc w:val="center"/>
              <w:rPr>
                <w:b/>
                <w:color w:val="000000"/>
                <w:sz w:val="16"/>
                <w:szCs w:val="16"/>
              </w:rPr>
            </w:pPr>
            <w:r w:rsidRPr="00341459">
              <w:rPr>
                <w:b/>
                <w:color w:val="000000"/>
                <w:sz w:val="16"/>
                <w:szCs w:val="16"/>
              </w:rPr>
              <w:t>DATA SOURCE</w:t>
            </w:r>
            <w:r w:rsidR="005A3164" w:rsidRPr="00341459">
              <w:rPr>
                <w:b/>
                <w:color w:val="000000"/>
                <w:sz w:val="16"/>
                <w:szCs w:val="16"/>
              </w:rPr>
              <w:t>,</w:t>
            </w:r>
            <w:r w:rsidRPr="00341459">
              <w:rPr>
                <w:b/>
                <w:color w:val="000000"/>
                <w:sz w:val="16"/>
                <w:szCs w:val="16"/>
              </w:rPr>
              <w:t xml:space="preserve"> FREQUENCY</w:t>
            </w:r>
            <w:r w:rsidR="005A3164" w:rsidRPr="00341459">
              <w:rPr>
                <w:b/>
                <w:color w:val="000000"/>
                <w:sz w:val="16"/>
                <w:szCs w:val="16"/>
              </w:rPr>
              <w:t>,</w:t>
            </w:r>
            <w:r w:rsidRPr="00341459">
              <w:rPr>
                <w:b/>
                <w:color w:val="000000"/>
                <w:sz w:val="16"/>
                <w:szCs w:val="16"/>
              </w:rPr>
              <w:t xml:space="preserve"> RESPONSIBLE AGENCY </w:t>
            </w:r>
            <w:r w:rsidR="006601A1" w:rsidRPr="00341459">
              <w:rPr>
                <w:rStyle w:val="FootnoteReference"/>
                <w:b/>
                <w:color w:val="000000"/>
                <w:sz w:val="16"/>
                <w:szCs w:val="16"/>
              </w:rPr>
              <w:footnoteReference w:id="36"/>
            </w:r>
          </w:p>
        </w:tc>
        <w:tc>
          <w:tcPr>
            <w:tcW w:w="1334"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0DBEAF31" w14:textId="27AEEB71" w:rsidR="00565E1C" w:rsidRPr="00A84B49" w:rsidRDefault="00565E1C" w:rsidP="0033588E">
            <w:pPr>
              <w:jc w:val="center"/>
              <w:rPr>
                <w:color w:val="000000"/>
                <w:sz w:val="16"/>
                <w:szCs w:val="16"/>
              </w:rPr>
            </w:pPr>
            <w:r w:rsidRPr="00A84B49">
              <w:rPr>
                <w:b/>
                <w:bCs/>
                <w:color w:val="000000"/>
                <w:sz w:val="16"/>
                <w:szCs w:val="16"/>
              </w:rPr>
              <w:t xml:space="preserve">INDICATIVE PRODUCTS OF THE COUNTRY </w:t>
            </w:r>
            <w:r w:rsidR="006C0E9C" w:rsidRPr="00A84B49">
              <w:rPr>
                <w:b/>
                <w:bCs/>
                <w:color w:val="000000"/>
                <w:sz w:val="16"/>
                <w:szCs w:val="16"/>
              </w:rPr>
              <w:t>PROGRAMME</w:t>
            </w:r>
            <w:r w:rsidRPr="00A84B49">
              <w:rPr>
                <w:b/>
                <w:bCs/>
                <w:color w:val="000000"/>
                <w:sz w:val="16"/>
                <w:szCs w:val="16"/>
              </w:rPr>
              <w:t xml:space="preserve"> </w:t>
            </w:r>
          </w:p>
        </w:tc>
        <w:tc>
          <w:tcPr>
            <w:tcW w:w="774" w:type="pct"/>
            <w:tcBorders>
              <w:top w:val="single" w:sz="8" w:space="0" w:color="000000"/>
              <w:left w:val="single" w:sz="8" w:space="0" w:color="000000"/>
              <w:bottom w:val="single" w:sz="4" w:space="0" w:color="auto"/>
              <w:right w:val="single" w:sz="8" w:space="0" w:color="000000"/>
            </w:tcBorders>
            <w:shd w:val="clear" w:color="auto" w:fill="auto"/>
          </w:tcPr>
          <w:p w14:paraId="6753A997" w14:textId="452876C1" w:rsidR="00565E1C" w:rsidRPr="00341459" w:rsidRDefault="00565E1C" w:rsidP="00CA1725">
            <w:pPr>
              <w:jc w:val="center"/>
              <w:rPr>
                <w:b/>
                <w:bCs/>
                <w:color w:val="000000"/>
                <w:sz w:val="16"/>
                <w:szCs w:val="16"/>
              </w:rPr>
            </w:pPr>
            <w:r w:rsidRPr="00A84B49">
              <w:rPr>
                <w:b/>
                <w:bCs/>
                <w:color w:val="000000"/>
                <w:sz w:val="16"/>
                <w:szCs w:val="16"/>
              </w:rPr>
              <w:t>MAIN PARTNER AND COUNTERPART</w:t>
            </w:r>
            <w:r w:rsidR="00CA1725" w:rsidRPr="00A84B49">
              <w:rPr>
                <w:b/>
                <w:bCs/>
                <w:color w:val="000000"/>
                <w:sz w:val="16"/>
                <w:szCs w:val="16"/>
              </w:rPr>
              <w:t xml:space="preserve"> FRAMEWORK</w:t>
            </w:r>
            <w:r w:rsidR="006D7F7D" w:rsidRPr="00341459">
              <w:rPr>
                <w:rStyle w:val="FootnoteReference"/>
                <w:b/>
                <w:bCs/>
                <w:color w:val="000000"/>
                <w:sz w:val="16"/>
                <w:szCs w:val="16"/>
              </w:rPr>
              <w:footnoteReference w:id="37"/>
            </w:r>
            <w:r w:rsidRPr="00341459">
              <w:rPr>
                <w:b/>
                <w:bCs/>
                <w:color w:val="000000"/>
                <w:sz w:val="16"/>
                <w:szCs w:val="16"/>
              </w:rPr>
              <w:t xml:space="preserve"> </w:t>
            </w:r>
          </w:p>
        </w:tc>
        <w:tc>
          <w:tcPr>
            <w:tcW w:w="74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0F9DE7F1" w14:textId="676FA3F3" w:rsidR="00565E1C" w:rsidRPr="00A84B49" w:rsidRDefault="00565E1C" w:rsidP="00146229">
            <w:pPr>
              <w:jc w:val="center"/>
              <w:rPr>
                <w:b/>
                <w:bCs/>
                <w:color w:val="000000"/>
                <w:sz w:val="16"/>
                <w:szCs w:val="16"/>
              </w:rPr>
            </w:pPr>
            <w:r w:rsidRPr="00A84B49">
              <w:rPr>
                <w:b/>
                <w:bCs/>
                <w:color w:val="000000"/>
                <w:sz w:val="16"/>
                <w:szCs w:val="16"/>
              </w:rPr>
              <w:t>IN</w:t>
            </w:r>
            <w:r w:rsidR="00146229" w:rsidRPr="00A84B49">
              <w:rPr>
                <w:b/>
                <w:bCs/>
                <w:color w:val="000000"/>
                <w:sz w:val="16"/>
                <w:szCs w:val="16"/>
              </w:rPr>
              <w:t>DICATIVE RESOURCES BY OUTCOME (</w:t>
            </w:r>
            <w:r w:rsidRPr="00A84B49">
              <w:rPr>
                <w:b/>
                <w:bCs/>
                <w:color w:val="000000"/>
                <w:sz w:val="16"/>
                <w:szCs w:val="16"/>
              </w:rPr>
              <w:t>$)</w:t>
            </w:r>
          </w:p>
        </w:tc>
      </w:tr>
      <w:tr w:rsidR="00565E1C" w:rsidRPr="00680758" w14:paraId="75D280DD" w14:textId="77777777" w:rsidTr="00C173F9">
        <w:tc>
          <w:tcPr>
            <w:tcW w:w="1185" w:type="pct"/>
            <w:vMerge w:val="restart"/>
            <w:tcBorders>
              <w:top w:val="single" w:sz="4" w:space="0" w:color="auto"/>
              <w:left w:val="single" w:sz="8" w:space="0" w:color="000000"/>
              <w:right w:val="single" w:sz="4" w:space="0" w:color="auto"/>
            </w:tcBorders>
            <w:tcMar>
              <w:top w:w="72" w:type="dxa"/>
              <w:left w:w="144" w:type="dxa"/>
              <w:bottom w:w="72" w:type="dxa"/>
              <w:right w:w="144" w:type="dxa"/>
            </w:tcMar>
          </w:tcPr>
          <w:p w14:paraId="68FF199A" w14:textId="6C793273" w:rsidR="00565E1C" w:rsidRPr="00341459" w:rsidRDefault="00565E1C" w:rsidP="0033588E">
            <w:pPr>
              <w:rPr>
                <w:bCs/>
                <w:sz w:val="16"/>
                <w:szCs w:val="16"/>
              </w:rPr>
            </w:pPr>
            <w:r w:rsidRPr="00341459">
              <w:rPr>
                <w:bCs/>
                <w:sz w:val="16"/>
                <w:szCs w:val="16"/>
              </w:rPr>
              <w:t>Indicator: % fulfillment of the recommendations of the United Nations Universal System issued by agencies of Treaties/Conventions,</w:t>
            </w:r>
            <w:r w:rsidR="00AF3BD0">
              <w:rPr>
                <w:bCs/>
                <w:sz w:val="16"/>
                <w:szCs w:val="16"/>
              </w:rPr>
              <w:t xml:space="preserve"> and </w:t>
            </w:r>
            <w:r w:rsidRPr="00341459">
              <w:rPr>
                <w:bCs/>
                <w:sz w:val="16"/>
                <w:szCs w:val="16"/>
              </w:rPr>
              <w:t xml:space="preserve">Rapporteurs </w:t>
            </w:r>
            <w:r w:rsidR="000A1DB1">
              <w:rPr>
                <w:bCs/>
                <w:sz w:val="16"/>
                <w:szCs w:val="16"/>
              </w:rPr>
              <w:t>on Human Rights.</w:t>
            </w:r>
          </w:p>
          <w:p w14:paraId="5A17FE45" w14:textId="77777777" w:rsidR="00124EC9" w:rsidRPr="00A84B49" w:rsidRDefault="00124EC9" w:rsidP="0033588E">
            <w:pPr>
              <w:rPr>
                <w:bCs/>
                <w:sz w:val="16"/>
                <w:szCs w:val="16"/>
              </w:rPr>
            </w:pPr>
          </w:p>
          <w:p w14:paraId="3D95179C" w14:textId="68613A0F" w:rsidR="00565E1C" w:rsidRPr="00A84B49" w:rsidRDefault="00E33242" w:rsidP="00E33242">
            <w:pPr>
              <w:rPr>
                <w:bCs/>
                <w:sz w:val="16"/>
                <w:szCs w:val="16"/>
              </w:rPr>
            </w:pPr>
            <w:r w:rsidRPr="00A84B49">
              <w:rPr>
                <w:bCs/>
                <w:sz w:val="16"/>
                <w:szCs w:val="16"/>
              </w:rPr>
              <w:t>Baseline a</w:t>
            </w:r>
            <w:r w:rsidR="0064388A" w:rsidRPr="00A84B49">
              <w:rPr>
                <w:bCs/>
                <w:sz w:val="16"/>
                <w:szCs w:val="16"/>
              </w:rPr>
              <w:t>nd</w:t>
            </w:r>
            <w:r w:rsidR="00AA0269" w:rsidRPr="00A84B49">
              <w:rPr>
                <w:bCs/>
                <w:sz w:val="16"/>
                <w:szCs w:val="16"/>
              </w:rPr>
              <w:t xml:space="preserve"> Target: TBD </w:t>
            </w:r>
          </w:p>
        </w:tc>
        <w:tc>
          <w:tcPr>
            <w:tcW w:w="958" w:type="pct"/>
            <w:vMerge w:val="restart"/>
            <w:tcBorders>
              <w:top w:val="single" w:sz="4" w:space="0" w:color="auto"/>
              <w:left w:val="single" w:sz="4" w:space="0" w:color="auto"/>
              <w:right w:val="single" w:sz="8" w:space="0" w:color="000000"/>
            </w:tcBorders>
          </w:tcPr>
          <w:p w14:paraId="1BB78481" w14:textId="7ED2D69C" w:rsidR="00565E1C" w:rsidRPr="00A84B49" w:rsidRDefault="00565E1C" w:rsidP="0033588E">
            <w:pPr>
              <w:rPr>
                <w:bCs/>
                <w:color w:val="000000"/>
                <w:sz w:val="16"/>
                <w:szCs w:val="16"/>
              </w:rPr>
            </w:pPr>
            <w:r w:rsidRPr="00A84B49">
              <w:rPr>
                <w:bCs/>
                <w:color w:val="000000"/>
                <w:sz w:val="16"/>
                <w:szCs w:val="16"/>
              </w:rPr>
              <w:t>Source: U</w:t>
            </w:r>
            <w:r w:rsidR="001C14A4" w:rsidRPr="00A84B49">
              <w:rPr>
                <w:bCs/>
                <w:color w:val="000000"/>
                <w:sz w:val="16"/>
                <w:szCs w:val="16"/>
              </w:rPr>
              <w:t xml:space="preserve">nited </w:t>
            </w:r>
            <w:r w:rsidRPr="00A84B49">
              <w:rPr>
                <w:bCs/>
                <w:color w:val="000000"/>
                <w:sz w:val="16"/>
                <w:szCs w:val="16"/>
              </w:rPr>
              <w:t>N</w:t>
            </w:r>
            <w:r w:rsidR="001C14A4" w:rsidRPr="00A84B49">
              <w:rPr>
                <w:bCs/>
                <w:color w:val="000000"/>
                <w:sz w:val="16"/>
                <w:szCs w:val="16"/>
              </w:rPr>
              <w:t>ations</w:t>
            </w:r>
            <w:r w:rsidR="00AA0269" w:rsidRPr="00A84B49">
              <w:rPr>
                <w:bCs/>
                <w:color w:val="000000"/>
                <w:sz w:val="16"/>
                <w:szCs w:val="16"/>
              </w:rPr>
              <w:t xml:space="preserve"> </w:t>
            </w:r>
            <w:r w:rsidRPr="00A84B49">
              <w:rPr>
                <w:bCs/>
                <w:color w:val="000000"/>
                <w:sz w:val="16"/>
                <w:szCs w:val="16"/>
              </w:rPr>
              <w:t>S</w:t>
            </w:r>
            <w:r w:rsidR="00AA0269" w:rsidRPr="00A84B49">
              <w:rPr>
                <w:bCs/>
                <w:color w:val="000000"/>
                <w:sz w:val="16"/>
                <w:szCs w:val="16"/>
              </w:rPr>
              <w:t>ystem, OHCHR Reports;</w:t>
            </w:r>
            <w:r w:rsidRPr="00A84B49">
              <w:rPr>
                <w:bCs/>
                <w:color w:val="000000"/>
                <w:sz w:val="16"/>
                <w:szCs w:val="16"/>
              </w:rPr>
              <w:t xml:space="preserve"> </w:t>
            </w:r>
            <w:r w:rsidR="00AA0269" w:rsidRPr="00A84B49">
              <w:rPr>
                <w:bCs/>
                <w:color w:val="000000"/>
                <w:sz w:val="16"/>
                <w:szCs w:val="16"/>
              </w:rPr>
              <w:t>and UPR</w:t>
            </w:r>
            <w:r w:rsidRPr="00A84B49">
              <w:rPr>
                <w:bCs/>
                <w:color w:val="000000"/>
                <w:sz w:val="16"/>
                <w:szCs w:val="16"/>
              </w:rPr>
              <w:t xml:space="preserve"> Reports.</w:t>
            </w:r>
          </w:p>
          <w:p w14:paraId="12D2BBD3" w14:textId="77777777" w:rsidR="00124EC9" w:rsidRPr="00A84B49" w:rsidRDefault="00124EC9" w:rsidP="0033588E">
            <w:pPr>
              <w:rPr>
                <w:bCs/>
                <w:color w:val="000000"/>
                <w:sz w:val="16"/>
                <w:szCs w:val="16"/>
              </w:rPr>
            </w:pPr>
          </w:p>
          <w:p w14:paraId="68BD9E47" w14:textId="77777777" w:rsidR="00124EC9" w:rsidRPr="00A84B49" w:rsidRDefault="00124EC9" w:rsidP="0033588E">
            <w:pPr>
              <w:rPr>
                <w:bCs/>
                <w:color w:val="000000"/>
                <w:sz w:val="16"/>
                <w:szCs w:val="16"/>
              </w:rPr>
            </w:pPr>
          </w:p>
          <w:p w14:paraId="6A63119E" w14:textId="77777777" w:rsidR="00565E1C" w:rsidRPr="00A84B49" w:rsidRDefault="00565E1C" w:rsidP="0033588E">
            <w:pPr>
              <w:rPr>
                <w:bCs/>
                <w:color w:val="000000"/>
                <w:sz w:val="16"/>
                <w:szCs w:val="16"/>
              </w:rPr>
            </w:pPr>
            <w:r w:rsidRPr="00A84B49">
              <w:rPr>
                <w:bCs/>
                <w:color w:val="000000"/>
                <w:sz w:val="16"/>
                <w:szCs w:val="16"/>
              </w:rPr>
              <w:t>Frequency: Annual</w:t>
            </w:r>
          </w:p>
          <w:p w14:paraId="342AFDA2" w14:textId="77777777" w:rsidR="00124EC9" w:rsidRPr="00A84B49" w:rsidRDefault="00124EC9" w:rsidP="0033588E">
            <w:pPr>
              <w:rPr>
                <w:bCs/>
                <w:color w:val="000000"/>
                <w:sz w:val="16"/>
                <w:szCs w:val="16"/>
              </w:rPr>
            </w:pPr>
          </w:p>
          <w:p w14:paraId="75A7C28C" w14:textId="2D33F71B" w:rsidR="00565E1C" w:rsidRPr="00A84B49" w:rsidRDefault="00565E1C" w:rsidP="0033588E">
            <w:pPr>
              <w:rPr>
                <w:bCs/>
                <w:color w:val="000000"/>
                <w:sz w:val="16"/>
                <w:szCs w:val="16"/>
              </w:rPr>
            </w:pPr>
            <w:r w:rsidRPr="00A84B49">
              <w:rPr>
                <w:bCs/>
                <w:color w:val="000000"/>
                <w:sz w:val="16"/>
                <w:szCs w:val="16"/>
              </w:rPr>
              <w:t>Responsible Agency: Rapporteur/Secretariat</w:t>
            </w:r>
            <w:r w:rsidR="0064388A" w:rsidRPr="00A84B49">
              <w:rPr>
                <w:bCs/>
                <w:color w:val="000000"/>
                <w:sz w:val="16"/>
                <w:szCs w:val="16"/>
              </w:rPr>
              <w:t xml:space="preserve"> </w:t>
            </w:r>
            <w:r w:rsidRPr="00A84B49">
              <w:rPr>
                <w:bCs/>
                <w:color w:val="000000"/>
                <w:sz w:val="16"/>
                <w:szCs w:val="16"/>
              </w:rPr>
              <w:t>for Human Rights</w:t>
            </w:r>
          </w:p>
          <w:p w14:paraId="3FDF6122" w14:textId="3987DDED" w:rsidR="00565E1C" w:rsidRPr="00A84B49" w:rsidRDefault="0083151F" w:rsidP="0033588E">
            <w:pPr>
              <w:rPr>
                <w:bCs/>
                <w:color w:val="000000"/>
                <w:sz w:val="16"/>
                <w:szCs w:val="16"/>
              </w:rPr>
            </w:pPr>
            <w:r w:rsidRPr="00A84B49">
              <w:rPr>
                <w:bCs/>
                <w:color w:val="000000"/>
                <w:sz w:val="16"/>
                <w:szCs w:val="16"/>
              </w:rPr>
              <w:t xml:space="preserve"> </w:t>
            </w:r>
          </w:p>
        </w:tc>
        <w:tc>
          <w:tcPr>
            <w:tcW w:w="1334"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779E1AF5" w14:textId="15F61769" w:rsidR="00565E1C" w:rsidRPr="00A84B49" w:rsidRDefault="00565E1C" w:rsidP="002927E7">
            <w:pPr>
              <w:rPr>
                <w:b/>
                <w:iCs/>
                <w:color w:val="000000"/>
                <w:sz w:val="16"/>
                <w:szCs w:val="16"/>
              </w:rPr>
            </w:pPr>
            <w:r w:rsidRPr="00A84B49">
              <w:rPr>
                <w:b/>
                <w:iCs/>
                <w:color w:val="000000"/>
                <w:sz w:val="16"/>
                <w:szCs w:val="16"/>
              </w:rPr>
              <w:t>P1: Institutions of the political-electoral system supported to implement regulatory and institutional reforms to strengthen participation, representation and exercise of human rights.</w:t>
            </w:r>
          </w:p>
          <w:p w14:paraId="077D1F65" w14:textId="77777777" w:rsidR="00565E1C" w:rsidRPr="00A84B49" w:rsidRDefault="00565E1C" w:rsidP="002927E7">
            <w:pPr>
              <w:rPr>
                <w:iCs/>
                <w:color w:val="000000"/>
                <w:sz w:val="16"/>
                <w:szCs w:val="16"/>
              </w:rPr>
            </w:pPr>
          </w:p>
          <w:p w14:paraId="662A18DE" w14:textId="2B2BC9A8" w:rsidR="00565E1C" w:rsidRPr="00A84B49" w:rsidRDefault="00565E1C" w:rsidP="002927E7">
            <w:pPr>
              <w:rPr>
                <w:bCs/>
                <w:sz w:val="16"/>
                <w:szCs w:val="16"/>
              </w:rPr>
            </w:pPr>
            <w:r w:rsidRPr="00A84B49">
              <w:rPr>
                <w:bCs/>
                <w:sz w:val="16"/>
                <w:szCs w:val="16"/>
              </w:rPr>
              <w:t>Indicator 1: Number of citizen participation mechanisms used in decision-making</w:t>
            </w:r>
            <w:r w:rsidR="0083151F" w:rsidRPr="00A84B49">
              <w:rPr>
                <w:bCs/>
                <w:sz w:val="16"/>
                <w:szCs w:val="16"/>
              </w:rPr>
              <w:t xml:space="preserve"> (disaggregated by type, impact on inclusion of women and other vulnerable/ target group).</w:t>
            </w:r>
          </w:p>
          <w:p w14:paraId="7808D8CF" w14:textId="4605E653" w:rsidR="00565E1C" w:rsidRPr="00A84B49" w:rsidRDefault="00565E1C" w:rsidP="002927E7">
            <w:pPr>
              <w:rPr>
                <w:bCs/>
                <w:sz w:val="16"/>
                <w:szCs w:val="16"/>
              </w:rPr>
            </w:pPr>
            <w:r w:rsidRPr="00A84B49">
              <w:rPr>
                <w:bCs/>
                <w:sz w:val="16"/>
                <w:szCs w:val="16"/>
              </w:rPr>
              <w:t xml:space="preserve">Baseline (2016): 3 (Inter-party </w:t>
            </w:r>
            <w:r w:rsidR="00AA0269" w:rsidRPr="00A84B49">
              <w:rPr>
                <w:bCs/>
                <w:sz w:val="16"/>
                <w:szCs w:val="16"/>
              </w:rPr>
              <w:t>dialogue</w:t>
            </w:r>
            <w:r w:rsidRPr="00A84B49">
              <w:rPr>
                <w:bCs/>
                <w:sz w:val="16"/>
                <w:szCs w:val="16"/>
              </w:rPr>
              <w:t xml:space="preserve">, Academy of Parliamentarians, </w:t>
            </w:r>
            <w:r w:rsidR="00536B56" w:rsidRPr="00A84B49">
              <w:rPr>
                <w:bCs/>
                <w:sz w:val="16"/>
                <w:szCs w:val="16"/>
              </w:rPr>
              <w:t>c</w:t>
            </w:r>
            <w:r w:rsidRPr="00A84B49">
              <w:rPr>
                <w:bCs/>
                <w:sz w:val="16"/>
                <w:szCs w:val="16"/>
              </w:rPr>
              <w:t xml:space="preserve">ivil </w:t>
            </w:r>
            <w:r w:rsidR="00536B56" w:rsidRPr="00A84B49">
              <w:rPr>
                <w:bCs/>
                <w:sz w:val="16"/>
                <w:szCs w:val="16"/>
              </w:rPr>
              <w:t>s</w:t>
            </w:r>
            <w:r w:rsidRPr="00A84B49">
              <w:rPr>
                <w:bCs/>
                <w:sz w:val="16"/>
                <w:szCs w:val="16"/>
              </w:rPr>
              <w:t>ociety</w:t>
            </w:r>
            <w:r w:rsidR="00AA0269" w:rsidRPr="00A84B49">
              <w:rPr>
                <w:bCs/>
                <w:sz w:val="16"/>
                <w:szCs w:val="16"/>
              </w:rPr>
              <w:t xml:space="preserve"> dialogue</w:t>
            </w:r>
            <w:r w:rsidRPr="00A84B49">
              <w:rPr>
                <w:bCs/>
                <w:sz w:val="16"/>
                <w:szCs w:val="16"/>
              </w:rPr>
              <w:t xml:space="preserve">) </w:t>
            </w:r>
          </w:p>
          <w:p w14:paraId="06726714" w14:textId="77777777" w:rsidR="00565E1C" w:rsidRPr="00A84B49" w:rsidRDefault="00565E1C" w:rsidP="002927E7">
            <w:pPr>
              <w:rPr>
                <w:bCs/>
                <w:sz w:val="16"/>
                <w:szCs w:val="16"/>
              </w:rPr>
            </w:pPr>
            <w:r w:rsidRPr="00A84B49">
              <w:rPr>
                <w:bCs/>
                <w:sz w:val="16"/>
                <w:szCs w:val="16"/>
              </w:rPr>
              <w:t xml:space="preserve">Target: 8 </w:t>
            </w:r>
          </w:p>
          <w:p w14:paraId="6DE910B4" w14:textId="77777777" w:rsidR="00565E1C" w:rsidRPr="00A84B49" w:rsidRDefault="00565E1C" w:rsidP="002927E7">
            <w:pPr>
              <w:rPr>
                <w:bCs/>
                <w:sz w:val="16"/>
                <w:szCs w:val="16"/>
              </w:rPr>
            </w:pPr>
            <w:r w:rsidRPr="00A84B49">
              <w:rPr>
                <w:bCs/>
                <w:sz w:val="16"/>
                <w:szCs w:val="16"/>
              </w:rPr>
              <w:t xml:space="preserve">Source: Annual reports of agencies supported. </w:t>
            </w:r>
          </w:p>
          <w:p w14:paraId="2132AA33" w14:textId="77777777" w:rsidR="00565E1C" w:rsidRPr="00A84B49" w:rsidRDefault="00565E1C" w:rsidP="002927E7">
            <w:pPr>
              <w:rPr>
                <w:bCs/>
                <w:sz w:val="16"/>
                <w:szCs w:val="16"/>
              </w:rPr>
            </w:pPr>
            <w:r w:rsidRPr="00A84B49">
              <w:rPr>
                <w:bCs/>
                <w:sz w:val="16"/>
                <w:szCs w:val="16"/>
              </w:rPr>
              <w:t>Frequency: Annual</w:t>
            </w:r>
          </w:p>
          <w:p w14:paraId="2FB83414" w14:textId="77777777" w:rsidR="00565E1C" w:rsidRPr="00A84B49" w:rsidRDefault="00565E1C" w:rsidP="002927E7">
            <w:pPr>
              <w:rPr>
                <w:bCs/>
                <w:color w:val="000000"/>
                <w:sz w:val="16"/>
                <w:szCs w:val="16"/>
              </w:rPr>
            </w:pPr>
          </w:p>
          <w:p w14:paraId="48B2BD08" w14:textId="66A8F54E" w:rsidR="00565E1C" w:rsidRPr="00341459" w:rsidRDefault="00565E1C" w:rsidP="002927E7">
            <w:pPr>
              <w:rPr>
                <w:bCs/>
                <w:color w:val="000000"/>
                <w:sz w:val="16"/>
                <w:szCs w:val="16"/>
              </w:rPr>
            </w:pPr>
            <w:r w:rsidRPr="00A84B49">
              <w:rPr>
                <w:bCs/>
                <w:color w:val="000000"/>
                <w:sz w:val="16"/>
                <w:szCs w:val="16"/>
              </w:rPr>
              <w:t>Indicator 2:</w:t>
            </w:r>
            <w:r w:rsidRPr="00A84B49">
              <w:t xml:space="preserve"> </w:t>
            </w:r>
            <w:r w:rsidRPr="00A84B49">
              <w:rPr>
                <w:bCs/>
                <w:color w:val="000000"/>
                <w:sz w:val="16"/>
                <w:szCs w:val="16"/>
              </w:rPr>
              <w:t>Extent to which capacity of the</w:t>
            </w:r>
            <w:r w:rsidR="00AA0269" w:rsidRPr="00A84B49">
              <w:rPr>
                <w:bCs/>
                <w:color w:val="000000"/>
                <w:sz w:val="16"/>
                <w:szCs w:val="16"/>
              </w:rPr>
              <w:t xml:space="preserve"> Electoral Management Body</w:t>
            </w:r>
            <w:r w:rsidRPr="00A84B49">
              <w:rPr>
                <w:bCs/>
                <w:color w:val="000000"/>
                <w:sz w:val="16"/>
                <w:szCs w:val="16"/>
              </w:rPr>
              <w:t xml:space="preserve"> to perform its functions has improved.</w:t>
            </w:r>
            <w:r w:rsidRPr="00341459">
              <w:rPr>
                <w:rStyle w:val="FootnoteReference"/>
                <w:bCs/>
                <w:color w:val="000000"/>
                <w:sz w:val="16"/>
                <w:szCs w:val="16"/>
              </w:rPr>
              <w:footnoteReference w:id="38"/>
            </w:r>
          </w:p>
          <w:p w14:paraId="0C0AA69D" w14:textId="77777777" w:rsidR="00565E1C" w:rsidRPr="00A84B49" w:rsidRDefault="00565E1C" w:rsidP="002927E7">
            <w:pPr>
              <w:rPr>
                <w:bCs/>
                <w:color w:val="000000"/>
                <w:sz w:val="16"/>
                <w:szCs w:val="16"/>
              </w:rPr>
            </w:pPr>
            <w:r w:rsidRPr="00A84B49">
              <w:rPr>
                <w:bCs/>
                <w:color w:val="000000"/>
                <w:sz w:val="16"/>
                <w:szCs w:val="16"/>
              </w:rPr>
              <w:t>Baseline (2016): Capacity partially improved (3)</w:t>
            </w:r>
          </w:p>
          <w:p w14:paraId="0FA68C30" w14:textId="77777777" w:rsidR="00565E1C" w:rsidRPr="00A84B49" w:rsidRDefault="00565E1C" w:rsidP="002927E7">
            <w:pPr>
              <w:rPr>
                <w:bCs/>
                <w:color w:val="000000"/>
                <w:sz w:val="16"/>
                <w:szCs w:val="16"/>
              </w:rPr>
            </w:pPr>
            <w:r w:rsidRPr="00A84B49">
              <w:rPr>
                <w:bCs/>
                <w:color w:val="000000"/>
                <w:sz w:val="16"/>
                <w:szCs w:val="16"/>
              </w:rPr>
              <w:t>Target: Capacity largely improved (4)</w:t>
            </w:r>
          </w:p>
          <w:p w14:paraId="035CB4EE" w14:textId="7EB2A5EB" w:rsidR="00565E1C" w:rsidRPr="00A84B49" w:rsidRDefault="00565E1C" w:rsidP="002927E7">
            <w:pPr>
              <w:rPr>
                <w:bCs/>
                <w:color w:val="000000"/>
                <w:sz w:val="16"/>
                <w:szCs w:val="16"/>
              </w:rPr>
            </w:pPr>
            <w:r w:rsidRPr="00A84B49">
              <w:rPr>
                <w:bCs/>
                <w:color w:val="000000"/>
                <w:sz w:val="16"/>
                <w:szCs w:val="16"/>
              </w:rPr>
              <w:t>S</w:t>
            </w:r>
            <w:r w:rsidR="00AA0269" w:rsidRPr="00A84B49">
              <w:rPr>
                <w:bCs/>
                <w:color w:val="000000"/>
                <w:sz w:val="16"/>
                <w:szCs w:val="16"/>
              </w:rPr>
              <w:t>ource: Supreme Electoral Court</w:t>
            </w:r>
          </w:p>
          <w:p w14:paraId="1695B760" w14:textId="77777777" w:rsidR="00565E1C" w:rsidRPr="00A84B49" w:rsidRDefault="00565E1C" w:rsidP="002927E7">
            <w:pPr>
              <w:rPr>
                <w:bCs/>
                <w:sz w:val="16"/>
                <w:szCs w:val="16"/>
              </w:rPr>
            </w:pPr>
            <w:r w:rsidRPr="00A84B49">
              <w:rPr>
                <w:bCs/>
                <w:sz w:val="16"/>
                <w:szCs w:val="16"/>
              </w:rPr>
              <w:t>Frequency: Annual</w:t>
            </w:r>
          </w:p>
          <w:p w14:paraId="08A89819" w14:textId="77777777" w:rsidR="00565E1C" w:rsidRPr="00A84B49" w:rsidRDefault="00565E1C" w:rsidP="002927E7">
            <w:pPr>
              <w:rPr>
                <w:bCs/>
                <w:color w:val="000000"/>
                <w:sz w:val="16"/>
                <w:szCs w:val="16"/>
              </w:rPr>
            </w:pPr>
          </w:p>
          <w:p w14:paraId="46DFAFBA" w14:textId="6B61EAB9" w:rsidR="00565E1C" w:rsidRPr="00A84B49" w:rsidRDefault="00565E1C" w:rsidP="002927E7">
            <w:pPr>
              <w:rPr>
                <w:bCs/>
                <w:color w:val="000000"/>
                <w:sz w:val="16"/>
                <w:szCs w:val="16"/>
              </w:rPr>
            </w:pPr>
            <w:r w:rsidRPr="00A84B49">
              <w:rPr>
                <w:bCs/>
                <w:color w:val="000000"/>
                <w:sz w:val="16"/>
                <w:szCs w:val="16"/>
              </w:rPr>
              <w:t>Indicator 3: Level of trust</w:t>
            </w:r>
            <w:r w:rsidR="00AA0269" w:rsidRPr="00A84B49">
              <w:rPr>
                <w:bCs/>
                <w:color w:val="000000"/>
                <w:sz w:val="16"/>
                <w:szCs w:val="16"/>
              </w:rPr>
              <w:t xml:space="preserve"> in the Supreme Electoral Court</w:t>
            </w:r>
            <w:r w:rsidR="0083151F" w:rsidRPr="00A84B49">
              <w:rPr>
                <w:bCs/>
                <w:color w:val="000000"/>
                <w:sz w:val="16"/>
                <w:szCs w:val="16"/>
              </w:rPr>
              <w:t xml:space="preserve"> </w:t>
            </w:r>
            <w:r w:rsidR="0083151F" w:rsidRPr="00A84B49">
              <w:rPr>
                <w:bCs/>
                <w:color w:val="000000"/>
                <w:sz w:val="16"/>
                <w:szCs w:val="16"/>
              </w:rPr>
              <w:lastRenderedPageBreak/>
              <w:t xml:space="preserve">(disaggregated by </w:t>
            </w:r>
            <w:r w:rsidR="000333E1" w:rsidRPr="00A84B49">
              <w:rPr>
                <w:bCs/>
                <w:color w:val="000000"/>
                <w:sz w:val="16"/>
                <w:szCs w:val="16"/>
              </w:rPr>
              <w:t>gender</w:t>
            </w:r>
            <w:r w:rsidR="0083151F" w:rsidRPr="00A84B49">
              <w:rPr>
                <w:bCs/>
                <w:color w:val="000000"/>
                <w:sz w:val="16"/>
                <w:szCs w:val="16"/>
              </w:rPr>
              <w:t>, age and target group)</w:t>
            </w:r>
          </w:p>
          <w:p w14:paraId="0E6558B3" w14:textId="77777777" w:rsidR="00565E1C" w:rsidRPr="00A84B49" w:rsidRDefault="00565E1C" w:rsidP="002927E7">
            <w:pPr>
              <w:rPr>
                <w:bCs/>
                <w:color w:val="000000"/>
                <w:sz w:val="16"/>
                <w:szCs w:val="16"/>
              </w:rPr>
            </w:pPr>
            <w:r w:rsidRPr="00A84B49">
              <w:rPr>
                <w:bCs/>
                <w:color w:val="000000"/>
                <w:sz w:val="16"/>
                <w:szCs w:val="16"/>
              </w:rPr>
              <w:t>Baseline (2014): 42.5/100</w:t>
            </w:r>
          </w:p>
          <w:p w14:paraId="6108949B" w14:textId="77777777" w:rsidR="00565E1C" w:rsidRPr="00A84B49" w:rsidRDefault="00565E1C" w:rsidP="002927E7">
            <w:pPr>
              <w:rPr>
                <w:bCs/>
                <w:color w:val="000000"/>
                <w:sz w:val="16"/>
                <w:szCs w:val="16"/>
              </w:rPr>
            </w:pPr>
            <w:r w:rsidRPr="00A84B49">
              <w:rPr>
                <w:bCs/>
                <w:color w:val="000000"/>
                <w:sz w:val="16"/>
                <w:szCs w:val="16"/>
              </w:rPr>
              <w:t>Target: 48/100</w:t>
            </w:r>
          </w:p>
          <w:p w14:paraId="2139E663" w14:textId="77777777" w:rsidR="00565E1C" w:rsidRPr="00A84B49" w:rsidRDefault="00565E1C" w:rsidP="002927E7">
            <w:pPr>
              <w:rPr>
                <w:bCs/>
                <w:color w:val="000000"/>
                <w:sz w:val="16"/>
                <w:szCs w:val="16"/>
              </w:rPr>
            </w:pPr>
            <w:r w:rsidRPr="00A84B49">
              <w:rPr>
                <w:bCs/>
                <w:color w:val="000000"/>
                <w:sz w:val="16"/>
                <w:szCs w:val="16"/>
              </w:rPr>
              <w:t>Source: LAPOP’s Barometer of the Americas</w:t>
            </w:r>
          </w:p>
          <w:p w14:paraId="454822E8" w14:textId="77777777" w:rsidR="00565E1C" w:rsidRPr="00A84B49" w:rsidRDefault="00565E1C" w:rsidP="002927E7">
            <w:pPr>
              <w:rPr>
                <w:bCs/>
                <w:color w:val="000000"/>
                <w:sz w:val="16"/>
                <w:szCs w:val="16"/>
              </w:rPr>
            </w:pPr>
            <w:r w:rsidRPr="00A84B49">
              <w:rPr>
                <w:bCs/>
                <w:color w:val="000000"/>
                <w:sz w:val="16"/>
                <w:szCs w:val="16"/>
              </w:rPr>
              <w:t>Frequency: every two years</w:t>
            </w:r>
          </w:p>
          <w:p w14:paraId="7B6FE7EF" w14:textId="77777777" w:rsidR="00565E1C" w:rsidRPr="00A84B49" w:rsidRDefault="00565E1C" w:rsidP="002927E7">
            <w:pPr>
              <w:rPr>
                <w:bCs/>
                <w:color w:val="000000"/>
                <w:sz w:val="16"/>
                <w:szCs w:val="16"/>
              </w:rPr>
            </w:pPr>
          </w:p>
          <w:p w14:paraId="0F21AADF" w14:textId="0E55ABA2" w:rsidR="00565E1C" w:rsidRPr="00A84B49" w:rsidRDefault="00565E1C" w:rsidP="002927E7">
            <w:pPr>
              <w:rPr>
                <w:b/>
                <w:bCs/>
                <w:color w:val="000000"/>
                <w:sz w:val="16"/>
                <w:szCs w:val="16"/>
              </w:rPr>
            </w:pPr>
            <w:r w:rsidRPr="00A84B49">
              <w:rPr>
                <w:b/>
                <w:bCs/>
                <w:color w:val="000000"/>
                <w:sz w:val="16"/>
                <w:szCs w:val="16"/>
              </w:rPr>
              <w:t xml:space="preserve">P2: Implementation of </w:t>
            </w:r>
            <w:r w:rsidR="00A92E32" w:rsidRPr="00A84B49">
              <w:rPr>
                <w:b/>
                <w:bCs/>
                <w:color w:val="000000"/>
                <w:sz w:val="16"/>
                <w:szCs w:val="16"/>
              </w:rPr>
              <w:t xml:space="preserve">the </w:t>
            </w:r>
            <w:r w:rsidR="00AA0269" w:rsidRPr="00A84B49">
              <w:rPr>
                <w:b/>
                <w:bCs/>
                <w:color w:val="000000"/>
                <w:sz w:val="16"/>
                <w:szCs w:val="16"/>
              </w:rPr>
              <w:t>U</w:t>
            </w:r>
            <w:r w:rsidR="00A92E32" w:rsidRPr="00A84B49">
              <w:rPr>
                <w:b/>
                <w:bCs/>
                <w:color w:val="000000"/>
                <w:sz w:val="16"/>
                <w:szCs w:val="16"/>
              </w:rPr>
              <w:t xml:space="preserve">niversal </w:t>
            </w:r>
            <w:r w:rsidR="00AA0269" w:rsidRPr="00A84B49">
              <w:rPr>
                <w:b/>
                <w:bCs/>
                <w:color w:val="000000"/>
                <w:sz w:val="16"/>
                <w:szCs w:val="16"/>
              </w:rPr>
              <w:t>P</w:t>
            </w:r>
            <w:r w:rsidR="00A92E32" w:rsidRPr="00A84B49">
              <w:rPr>
                <w:b/>
                <w:bCs/>
                <w:color w:val="000000"/>
                <w:sz w:val="16"/>
                <w:szCs w:val="16"/>
              </w:rPr>
              <w:t xml:space="preserve">eriodic </w:t>
            </w:r>
            <w:r w:rsidR="00AA0269" w:rsidRPr="00A84B49">
              <w:rPr>
                <w:b/>
                <w:bCs/>
                <w:color w:val="000000"/>
                <w:sz w:val="16"/>
                <w:szCs w:val="16"/>
              </w:rPr>
              <w:t>R</w:t>
            </w:r>
            <w:r w:rsidR="00A92E32" w:rsidRPr="00A84B49">
              <w:rPr>
                <w:b/>
                <w:bCs/>
                <w:color w:val="000000"/>
                <w:sz w:val="16"/>
                <w:szCs w:val="16"/>
              </w:rPr>
              <w:t xml:space="preserve">eview (UPR) </w:t>
            </w:r>
            <w:r w:rsidRPr="00A84B49">
              <w:rPr>
                <w:b/>
                <w:bCs/>
                <w:color w:val="000000"/>
                <w:sz w:val="16"/>
                <w:szCs w:val="16"/>
              </w:rPr>
              <w:t xml:space="preserve">recommendations supported. </w:t>
            </w:r>
          </w:p>
          <w:p w14:paraId="19A4E7FC" w14:textId="77777777" w:rsidR="00565E1C" w:rsidRPr="00A84B49" w:rsidRDefault="00565E1C" w:rsidP="002927E7">
            <w:pPr>
              <w:rPr>
                <w:bCs/>
                <w:color w:val="000000"/>
                <w:sz w:val="16"/>
                <w:szCs w:val="16"/>
              </w:rPr>
            </w:pPr>
          </w:p>
          <w:p w14:paraId="66646026" w14:textId="2F6311F8" w:rsidR="00565E1C" w:rsidRPr="00A84B49" w:rsidRDefault="00565E1C" w:rsidP="002927E7">
            <w:pPr>
              <w:rPr>
                <w:bCs/>
                <w:color w:val="000000"/>
                <w:sz w:val="16"/>
                <w:szCs w:val="16"/>
              </w:rPr>
            </w:pPr>
            <w:r w:rsidRPr="00A84B49">
              <w:rPr>
                <w:bCs/>
                <w:color w:val="000000"/>
                <w:sz w:val="16"/>
                <w:szCs w:val="16"/>
              </w:rPr>
              <w:t xml:space="preserve">Indicator: % fulfillment of </w:t>
            </w:r>
            <w:r w:rsidR="00AA0269" w:rsidRPr="00A84B49">
              <w:rPr>
                <w:bCs/>
                <w:color w:val="000000"/>
                <w:sz w:val="16"/>
                <w:szCs w:val="16"/>
              </w:rPr>
              <w:t xml:space="preserve">UPR recommendations </w:t>
            </w:r>
            <w:r w:rsidRPr="00A84B49">
              <w:rPr>
                <w:bCs/>
                <w:color w:val="000000"/>
                <w:sz w:val="16"/>
                <w:szCs w:val="16"/>
              </w:rPr>
              <w:t>supported by UNDP</w:t>
            </w:r>
            <w:r w:rsidR="00E25434" w:rsidRPr="00A84B49">
              <w:rPr>
                <w:bCs/>
                <w:color w:val="000000"/>
                <w:sz w:val="16"/>
                <w:szCs w:val="16"/>
              </w:rPr>
              <w:t xml:space="preserve"> (disaggregated </w:t>
            </w:r>
            <w:r w:rsidR="00E844E5" w:rsidRPr="00A84B49">
              <w:rPr>
                <w:bCs/>
                <w:color w:val="000000"/>
                <w:sz w:val="16"/>
                <w:szCs w:val="16"/>
              </w:rPr>
              <w:t>depending on relevan</w:t>
            </w:r>
            <w:r w:rsidR="001251A6" w:rsidRPr="00A84B49">
              <w:rPr>
                <w:bCs/>
                <w:color w:val="000000"/>
                <w:sz w:val="16"/>
                <w:szCs w:val="16"/>
              </w:rPr>
              <w:t>ce</w:t>
            </w:r>
            <w:r w:rsidR="00E844E5" w:rsidRPr="00A84B49">
              <w:rPr>
                <w:bCs/>
                <w:color w:val="000000"/>
                <w:sz w:val="16"/>
                <w:szCs w:val="16"/>
              </w:rPr>
              <w:t xml:space="preserve"> </w:t>
            </w:r>
            <w:r w:rsidR="00D84B32" w:rsidRPr="00A84B49">
              <w:rPr>
                <w:bCs/>
                <w:color w:val="000000"/>
                <w:sz w:val="16"/>
                <w:szCs w:val="16"/>
              </w:rPr>
              <w:t xml:space="preserve">by </w:t>
            </w:r>
            <w:r w:rsidR="000333E1" w:rsidRPr="00A84B49">
              <w:rPr>
                <w:bCs/>
                <w:color w:val="000000"/>
                <w:sz w:val="16"/>
                <w:szCs w:val="16"/>
              </w:rPr>
              <w:t>gender</w:t>
            </w:r>
            <w:r w:rsidR="00D84B32" w:rsidRPr="00A84B49">
              <w:rPr>
                <w:bCs/>
                <w:color w:val="000000"/>
                <w:sz w:val="16"/>
                <w:szCs w:val="16"/>
              </w:rPr>
              <w:t>, ethnic</w:t>
            </w:r>
            <w:r w:rsidR="002D38D7" w:rsidRPr="00A84B49">
              <w:rPr>
                <w:bCs/>
                <w:color w:val="000000"/>
                <w:sz w:val="16"/>
                <w:szCs w:val="16"/>
              </w:rPr>
              <w:t xml:space="preserve"> and other target groups</w:t>
            </w:r>
            <w:r w:rsidR="00E25434" w:rsidRPr="00A84B49">
              <w:rPr>
                <w:bCs/>
                <w:color w:val="000000"/>
                <w:sz w:val="16"/>
                <w:szCs w:val="16"/>
              </w:rPr>
              <w:t>)</w:t>
            </w:r>
            <w:r w:rsidRPr="00A84B49">
              <w:rPr>
                <w:bCs/>
                <w:color w:val="000000"/>
                <w:sz w:val="16"/>
                <w:szCs w:val="16"/>
              </w:rPr>
              <w:t>.</w:t>
            </w:r>
          </w:p>
          <w:p w14:paraId="33C97516" w14:textId="77777777" w:rsidR="00565E1C" w:rsidRPr="00A84B49" w:rsidRDefault="00565E1C" w:rsidP="002927E7">
            <w:pPr>
              <w:rPr>
                <w:bCs/>
                <w:color w:val="000000"/>
                <w:sz w:val="16"/>
                <w:szCs w:val="16"/>
              </w:rPr>
            </w:pPr>
            <w:r w:rsidRPr="00A84B49">
              <w:rPr>
                <w:bCs/>
                <w:color w:val="000000"/>
                <w:sz w:val="16"/>
                <w:szCs w:val="16"/>
              </w:rPr>
              <w:t xml:space="preserve">Baseline (2015): 11% (16) </w:t>
            </w:r>
          </w:p>
          <w:p w14:paraId="529D9A51" w14:textId="77777777" w:rsidR="00565E1C" w:rsidRPr="00A84B49" w:rsidRDefault="00565E1C" w:rsidP="002927E7">
            <w:pPr>
              <w:rPr>
                <w:bCs/>
                <w:color w:val="000000"/>
                <w:sz w:val="16"/>
                <w:szCs w:val="16"/>
              </w:rPr>
            </w:pPr>
            <w:r w:rsidRPr="00A84B49">
              <w:rPr>
                <w:bCs/>
                <w:color w:val="000000"/>
                <w:sz w:val="16"/>
                <w:szCs w:val="16"/>
              </w:rPr>
              <w:t>Target:  20% (30)</w:t>
            </w:r>
          </w:p>
          <w:p w14:paraId="033600A7" w14:textId="12953CF3" w:rsidR="00565E1C" w:rsidRPr="00A84B49" w:rsidRDefault="00565E1C" w:rsidP="002927E7">
            <w:pPr>
              <w:rPr>
                <w:bCs/>
                <w:color w:val="000000"/>
                <w:sz w:val="16"/>
                <w:szCs w:val="16"/>
              </w:rPr>
            </w:pPr>
            <w:r w:rsidRPr="00A84B49">
              <w:rPr>
                <w:bCs/>
                <w:color w:val="000000"/>
                <w:sz w:val="16"/>
                <w:szCs w:val="16"/>
              </w:rPr>
              <w:t>Source: Under-Secretary for Human R</w:t>
            </w:r>
            <w:r w:rsidR="00AA0269" w:rsidRPr="00A84B49">
              <w:rPr>
                <w:bCs/>
                <w:color w:val="000000"/>
                <w:sz w:val="16"/>
                <w:szCs w:val="16"/>
              </w:rPr>
              <w:t>ights/UPR</w:t>
            </w:r>
            <w:r w:rsidRPr="00A84B49">
              <w:rPr>
                <w:bCs/>
                <w:color w:val="000000"/>
                <w:sz w:val="16"/>
                <w:szCs w:val="16"/>
              </w:rPr>
              <w:t xml:space="preserve"> – Mid-term Report</w:t>
            </w:r>
            <w:r w:rsidR="00AA0269" w:rsidRPr="00A84B49">
              <w:rPr>
                <w:bCs/>
                <w:color w:val="000000"/>
                <w:sz w:val="16"/>
                <w:szCs w:val="16"/>
              </w:rPr>
              <w:t>; Next UPR</w:t>
            </w:r>
            <w:r w:rsidRPr="00A84B49">
              <w:rPr>
                <w:bCs/>
                <w:color w:val="000000"/>
                <w:sz w:val="16"/>
                <w:szCs w:val="16"/>
              </w:rPr>
              <w:t xml:space="preserve"> 2020</w:t>
            </w:r>
          </w:p>
          <w:p w14:paraId="49C3B75F" w14:textId="06B53642" w:rsidR="00565E1C" w:rsidRPr="00A84B49" w:rsidRDefault="00565E1C" w:rsidP="002927E7">
            <w:pPr>
              <w:rPr>
                <w:bCs/>
                <w:color w:val="000000"/>
                <w:sz w:val="16"/>
                <w:szCs w:val="16"/>
              </w:rPr>
            </w:pPr>
            <w:r w:rsidRPr="00A84B49">
              <w:rPr>
                <w:bCs/>
                <w:color w:val="000000"/>
                <w:sz w:val="16"/>
                <w:szCs w:val="16"/>
              </w:rPr>
              <w:t xml:space="preserve">Frequency: Every </w:t>
            </w:r>
            <w:r w:rsidR="003B37C9" w:rsidRPr="00A84B49">
              <w:rPr>
                <w:bCs/>
                <w:color w:val="000000"/>
                <w:sz w:val="16"/>
                <w:szCs w:val="16"/>
              </w:rPr>
              <w:t>five</w:t>
            </w:r>
            <w:r w:rsidRPr="00A84B49">
              <w:rPr>
                <w:bCs/>
                <w:color w:val="000000"/>
                <w:sz w:val="16"/>
                <w:szCs w:val="16"/>
              </w:rPr>
              <w:t xml:space="preserve"> years </w:t>
            </w:r>
          </w:p>
          <w:p w14:paraId="745E93E6" w14:textId="77777777" w:rsidR="00565E1C" w:rsidRPr="00A84B49" w:rsidRDefault="00565E1C" w:rsidP="002927E7">
            <w:pPr>
              <w:rPr>
                <w:b/>
                <w:bCs/>
                <w:color w:val="000000"/>
                <w:sz w:val="16"/>
                <w:szCs w:val="16"/>
              </w:rPr>
            </w:pPr>
          </w:p>
          <w:p w14:paraId="6B5CCDF9" w14:textId="2210C9C4" w:rsidR="00565E1C" w:rsidRPr="00A84B49" w:rsidRDefault="00565E1C" w:rsidP="002927E7">
            <w:pPr>
              <w:rPr>
                <w:b/>
                <w:bCs/>
                <w:color w:val="000000"/>
                <w:sz w:val="16"/>
                <w:szCs w:val="16"/>
              </w:rPr>
            </w:pPr>
            <w:r w:rsidRPr="00A84B49">
              <w:rPr>
                <w:b/>
                <w:bCs/>
                <w:color w:val="000000"/>
                <w:sz w:val="16"/>
                <w:szCs w:val="16"/>
              </w:rPr>
              <w:t xml:space="preserve">P3: Institutions supported for more transparent and efficient management of </w:t>
            </w:r>
            <w:r w:rsidR="00536B56" w:rsidRPr="00A84B49">
              <w:rPr>
                <w:b/>
                <w:bCs/>
                <w:color w:val="000000"/>
                <w:sz w:val="16"/>
                <w:szCs w:val="16"/>
              </w:rPr>
              <w:t xml:space="preserve">basic services </w:t>
            </w:r>
            <w:r w:rsidRPr="00A84B49">
              <w:rPr>
                <w:b/>
                <w:bCs/>
                <w:color w:val="000000"/>
                <w:sz w:val="16"/>
                <w:szCs w:val="16"/>
              </w:rPr>
              <w:t xml:space="preserve">delivery. </w:t>
            </w:r>
          </w:p>
          <w:p w14:paraId="6256A731" w14:textId="77777777" w:rsidR="00565E1C" w:rsidRPr="00A84B49" w:rsidRDefault="00565E1C" w:rsidP="002927E7">
            <w:pPr>
              <w:rPr>
                <w:bCs/>
                <w:color w:val="000000"/>
                <w:sz w:val="16"/>
                <w:szCs w:val="16"/>
              </w:rPr>
            </w:pPr>
          </w:p>
          <w:p w14:paraId="3158E5A2" w14:textId="791926A9" w:rsidR="00565E1C" w:rsidRPr="00A84B49" w:rsidRDefault="00565E1C" w:rsidP="002927E7">
            <w:pPr>
              <w:rPr>
                <w:bCs/>
                <w:color w:val="000000"/>
                <w:sz w:val="16"/>
                <w:szCs w:val="16"/>
              </w:rPr>
            </w:pPr>
            <w:r w:rsidRPr="00A84B49">
              <w:rPr>
                <w:bCs/>
                <w:color w:val="000000"/>
                <w:sz w:val="16"/>
                <w:szCs w:val="16"/>
              </w:rPr>
              <w:t xml:space="preserve">Indicator 1: Number of institutions </w:t>
            </w:r>
            <w:r w:rsidR="00DD59B7" w:rsidRPr="00A84B49">
              <w:rPr>
                <w:bCs/>
                <w:color w:val="000000"/>
                <w:sz w:val="16"/>
                <w:szCs w:val="16"/>
              </w:rPr>
              <w:t>using</w:t>
            </w:r>
            <w:r w:rsidRPr="00A84B49">
              <w:rPr>
                <w:bCs/>
                <w:color w:val="000000"/>
                <w:sz w:val="16"/>
                <w:szCs w:val="16"/>
              </w:rPr>
              <w:t xml:space="preserve"> transparent administration mecha</w:t>
            </w:r>
            <w:r w:rsidR="00AA0269" w:rsidRPr="00A84B49">
              <w:rPr>
                <w:bCs/>
                <w:color w:val="000000"/>
                <w:sz w:val="16"/>
                <w:szCs w:val="16"/>
              </w:rPr>
              <w:t>nisms</w:t>
            </w:r>
            <w:r w:rsidRPr="00A84B49">
              <w:rPr>
                <w:bCs/>
                <w:color w:val="000000"/>
                <w:sz w:val="16"/>
                <w:szCs w:val="16"/>
              </w:rPr>
              <w:t xml:space="preserve"> supported by UNDP.</w:t>
            </w:r>
          </w:p>
          <w:p w14:paraId="3A6E41BB" w14:textId="75AE9AEF" w:rsidR="00565E1C" w:rsidRPr="00A84B49" w:rsidRDefault="00565E1C" w:rsidP="002927E7">
            <w:pPr>
              <w:rPr>
                <w:bCs/>
                <w:color w:val="000000"/>
                <w:sz w:val="16"/>
                <w:szCs w:val="16"/>
                <w:lang w:val="es-HN"/>
              </w:rPr>
            </w:pPr>
            <w:r w:rsidRPr="00A84B49">
              <w:rPr>
                <w:bCs/>
                <w:color w:val="000000"/>
                <w:sz w:val="16"/>
                <w:szCs w:val="16"/>
                <w:lang w:val="es-HN"/>
              </w:rPr>
              <w:t xml:space="preserve">Baseline (2016): 2 (Hondutel, </w:t>
            </w:r>
            <w:r w:rsidR="00AA0269" w:rsidRPr="00A84B49">
              <w:rPr>
                <w:bCs/>
                <w:color w:val="000000"/>
                <w:sz w:val="16"/>
                <w:szCs w:val="16"/>
                <w:lang w:val="es-HN"/>
              </w:rPr>
              <w:t>Instituto de Previsión Militar</w:t>
            </w:r>
            <w:r w:rsidRPr="00A84B49">
              <w:rPr>
                <w:bCs/>
                <w:color w:val="000000"/>
                <w:sz w:val="16"/>
                <w:szCs w:val="16"/>
                <w:lang w:val="es-HN"/>
              </w:rPr>
              <w:t>)</w:t>
            </w:r>
          </w:p>
          <w:p w14:paraId="32DC8085" w14:textId="77777777" w:rsidR="00565E1C" w:rsidRPr="00A84B49" w:rsidRDefault="00565E1C" w:rsidP="002927E7">
            <w:pPr>
              <w:rPr>
                <w:bCs/>
                <w:color w:val="000000"/>
                <w:sz w:val="16"/>
                <w:szCs w:val="16"/>
              </w:rPr>
            </w:pPr>
            <w:r w:rsidRPr="00A84B49">
              <w:rPr>
                <w:bCs/>
                <w:color w:val="000000"/>
                <w:sz w:val="16"/>
                <w:szCs w:val="16"/>
              </w:rPr>
              <w:t>Target: 3 Public Institutions</w:t>
            </w:r>
          </w:p>
          <w:p w14:paraId="503B4322" w14:textId="77777777" w:rsidR="00565E1C" w:rsidRPr="00A84B49" w:rsidRDefault="00565E1C" w:rsidP="002927E7">
            <w:pPr>
              <w:rPr>
                <w:bCs/>
                <w:color w:val="000000"/>
                <w:sz w:val="16"/>
                <w:szCs w:val="16"/>
              </w:rPr>
            </w:pPr>
            <w:r w:rsidRPr="00A84B49">
              <w:rPr>
                <w:bCs/>
                <w:color w:val="000000"/>
                <w:sz w:val="16"/>
                <w:szCs w:val="16"/>
              </w:rPr>
              <w:t xml:space="preserve">Source: Hondutel/IPM </w:t>
            </w:r>
          </w:p>
          <w:p w14:paraId="0C8B60DF" w14:textId="77777777" w:rsidR="00565E1C" w:rsidRPr="00A84B49" w:rsidRDefault="00565E1C" w:rsidP="002927E7">
            <w:pPr>
              <w:rPr>
                <w:bCs/>
                <w:color w:val="000000"/>
                <w:sz w:val="16"/>
                <w:szCs w:val="16"/>
              </w:rPr>
            </w:pPr>
            <w:r w:rsidRPr="00A84B49">
              <w:rPr>
                <w:bCs/>
                <w:color w:val="000000"/>
                <w:sz w:val="16"/>
                <w:szCs w:val="16"/>
              </w:rPr>
              <w:t>Frequency: Annual</w:t>
            </w:r>
          </w:p>
        </w:tc>
        <w:tc>
          <w:tcPr>
            <w:tcW w:w="774" w:type="pct"/>
            <w:vMerge w:val="restart"/>
            <w:tcBorders>
              <w:top w:val="single" w:sz="4" w:space="0" w:color="auto"/>
              <w:left w:val="single" w:sz="8" w:space="0" w:color="000000"/>
              <w:right w:val="single" w:sz="8" w:space="0" w:color="000000"/>
            </w:tcBorders>
          </w:tcPr>
          <w:p w14:paraId="5A10059B" w14:textId="79810E9E" w:rsidR="00565E1C" w:rsidRPr="00341459" w:rsidRDefault="00565E1C" w:rsidP="0033588E">
            <w:pPr>
              <w:rPr>
                <w:iCs/>
                <w:color w:val="000000"/>
                <w:sz w:val="16"/>
                <w:szCs w:val="16"/>
              </w:rPr>
            </w:pPr>
            <w:r w:rsidRPr="00A84B49">
              <w:rPr>
                <w:iCs/>
                <w:color w:val="000000"/>
                <w:sz w:val="16"/>
                <w:szCs w:val="16"/>
              </w:rPr>
              <w:lastRenderedPageBreak/>
              <w:t>CONADEH, SJDHGD,</w:t>
            </w:r>
            <w:r w:rsidR="00A84B49">
              <w:rPr>
                <w:iCs/>
                <w:color w:val="000000"/>
                <w:sz w:val="16"/>
                <w:szCs w:val="16"/>
              </w:rPr>
              <w:t xml:space="preserve"> </w:t>
            </w:r>
            <w:r w:rsidRPr="00A84B49">
              <w:rPr>
                <w:iCs/>
                <w:color w:val="000000"/>
                <w:sz w:val="16"/>
                <w:szCs w:val="16"/>
              </w:rPr>
              <w:t>CONAPREV</w:t>
            </w:r>
            <w:r w:rsidRPr="00341459">
              <w:rPr>
                <w:iCs/>
                <w:color w:val="000000"/>
                <w:sz w:val="16"/>
                <w:szCs w:val="16"/>
              </w:rPr>
              <w:t xml:space="preserve">, Public Ministry, </w:t>
            </w:r>
            <w:r w:rsidR="008D4AE8" w:rsidRPr="00A84B49">
              <w:rPr>
                <w:iCs/>
                <w:color w:val="000000"/>
                <w:sz w:val="16"/>
                <w:szCs w:val="16"/>
              </w:rPr>
              <w:t>CSOs</w:t>
            </w:r>
            <w:r w:rsidRPr="00A84B49">
              <w:rPr>
                <w:iCs/>
                <w:color w:val="000000"/>
                <w:sz w:val="16"/>
                <w:szCs w:val="16"/>
              </w:rPr>
              <w:t>, TSE, RNP, IPM</w:t>
            </w:r>
            <w:r w:rsidRPr="00341459">
              <w:rPr>
                <w:iCs/>
                <w:color w:val="000000"/>
                <w:sz w:val="16"/>
                <w:szCs w:val="16"/>
              </w:rPr>
              <w:t xml:space="preserve">, Hondutel, </w:t>
            </w:r>
            <w:r w:rsidR="00DD59B7" w:rsidRPr="00341459">
              <w:rPr>
                <w:iCs/>
                <w:color w:val="000000"/>
                <w:sz w:val="16"/>
                <w:szCs w:val="16"/>
              </w:rPr>
              <w:t>m</w:t>
            </w:r>
            <w:r w:rsidRPr="00341459">
              <w:rPr>
                <w:iCs/>
                <w:color w:val="000000"/>
                <w:sz w:val="16"/>
                <w:szCs w:val="16"/>
              </w:rPr>
              <w:t xml:space="preserve">unicipalities, </w:t>
            </w:r>
            <w:r w:rsidRPr="00A84B49">
              <w:rPr>
                <w:iCs/>
                <w:color w:val="000000"/>
                <w:sz w:val="16"/>
                <w:szCs w:val="16"/>
              </w:rPr>
              <w:t>INAM, SCGG, AMHON</w:t>
            </w:r>
          </w:p>
          <w:p w14:paraId="33B3E6CC" w14:textId="77777777" w:rsidR="00565E1C" w:rsidRPr="00A84B49" w:rsidRDefault="00565E1C" w:rsidP="0033588E">
            <w:pPr>
              <w:rPr>
                <w:iCs/>
                <w:color w:val="000000"/>
                <w:sz w:val="16"/>
                <w:szCs w:val="16"/>
              </w:rPr>
            </w:pPr>
          </w:p>
          <w:p w14:paraId="17A9F1A2" w14:textId="37751A3E" w:rsidR="00565E1C" w:rsidRPr="00A84B49" w:rsidRDefault="008E2130" w:rsidP="0033588E">
            <w:pPr>
              <w:rPr>
                <w:iCs/>
                <w:color w:val="000000"/>
                <w:sz w:val="16"/>
                <w:szCs w:val="16"/>
              </w:rPr>
            </w:pPr>
            <w:r w:rsidRPr="00A84B49">
              <w:rPr>
                <w:iCs/>
                <w:color w:val="000000"/>
                <w:sz w:val="16"/>
                <w:szCs w:val="16"/>
              </w:rPr>
              <w:t>OHCHR,</w:t>
            </w:r>
            <w:r w:rsidR="00565E1C" w:rsidRPr="00A84B49">
              <w:rPr>
                <w:iCs/>
                <w:color w:val="000000"/>
                <w:sz w:val="16"/>
                <w:szCs w:val="16"/>
              </w:rPr>
              <w:t xml:space="preserve"> UNV, UN Women,</w:t>
            </w:r>
            <w:r w:rsidR="00955B2E" w:rsidRPr="00A84B49">
              <w:rPr>
                <w:iCs/>
                <w:color w:val="000000"/>
                <w:sz w:val="16"/>
                <w:szCs w:val="16"/>
              </w:rPr>
              <w:t xml:space="preserve"> ILO</w:t>
            </w:r>
            <w:r w:rsidR="00565E1C" w:rsidRPr="00A84B49">
              <w:rPr>
                <w:iCs/>
                <w:color w:val="000000"/>
                <w:sz w:val="16"/>
                <w:szCs w:val="16"/>
              </w:rPr>
              <w:t xml:space="preserve"> </w:t>
            </w:r>
          </w:p>
          <w:p w14:paraId="441DD7FA" w14:textId="77777777" w:rsidR="00882B34" w:rsidRPr="00A84B49" w:rsidRDefault="00882B34" w:rsidP="008E2130">
            <w:pPr>
              <w:rPr>
                <w:iCs/>
                <w:color w:val="000000"/>
                <w:sz w:val="16"/>
                <w:szCs w:val="16"/>
              </w:rPr>
            </w:pPr>
          </w:p>
          <w:p w14:paraId="55FD5AF0" w14:textId="77777777" w:rsidR="00882B34" w:rsidRPr="00A84B49" w:rsidRDefault="00882B34" w:rsidP="008E2130">
            <w:pPr>
              <w:rPr>
                <w:iCs/>
                <w:color w:val="000000"/>
                <w:sz w:val="16"/>
                <w:szCs w:val="16"/>
              </w:rPr>
            </w:pPr>
          </w:p>
          <w:p w14:paraId="59A483E8" w14:textId="65015766" w:rsidR="00565E1C" w:rsidRPr="00341459" w:rsidRDefault="00882B34" w:rsidP="008E2130">
            <w:pPr>
              <w:rPr>
                <w:iCs/>
                <w:color w:val="000000"/>
                <w:sz w:val="16"/>
                <w:szCs w:val="16"/>
              </w:rPr>
            </w:pPr>
            <w:r w:rsidRPr="00A84B49">
              <w:rPr>
                <w:iCs/>
                <w:color w:val="000000"/>
                <w:sz w:val="16"/>
                <w:szCs w:val="16"/>
              </w:rPr>
              <w:t xml:space="preserve">EU, </w:t>
            </w:r>
            <w:r w:rsidR="008E2130" w:rsidRPr="00A84B49">
              <w:rPr>
                <w:iCs/>
                <w:color w:val="000000"/>
                <w:sz w:val="16"/>
                <w:szCs w:val="16"/>
              </w:rPr>
              <w:t>SDC</w:t>
            </w:r>
            <w:r w:rsidR="00565E1C" w:rsidRPr="00341459">
              <w:rPr>
                <w:iCs/>
                <w:color w:val="000000"/>
                <w:sz w:val="16"/>
                <w:szCs w:val="16"/>
              </w:rPr>
              <w:t>, USAID</w:t>
            </w:r>
          </w:p>
          <w:p w14:paraId="03CA0793" w14:textId="77777777" w:rsidR="00882B34" w:rsidRPr="00A84B49" w:rsidRDefault="00882B34" w:rsidP="008E2130">
            <w:pPr>
              <w:rPr>
                <w:iCs/>
                <w:color w:val="000000"/>
                <w:sz w:val="16"/>
                <w:szCs w:val="16"/>
              </w:rPr>
            </w:pPr>
          </w:p>
          <w:p w14:paraId="529749CD" w14:textId="599351D6" w:rsidR="00882B34" w:rsidRPr="00A84B49" w:rsidRDefault="00882B34" w:rsidP="008E2130">
            <w:pPr>
              <w:rPr>
                <w:iCs/>
                <w:color w:val="000000"/>
                <w:sz w:val="16"/>
                <w:szCs w:val="16"/>
              </w:rPr>
            </w:pPr>
            <w:r w:rsidRPr="00A84B49">
              <w:rPr>
                <w:iCs/>
                <w:color w:val="000000"/>
                <w:sz w:val="16"/>
                <w:szCs w:val="16"/>
              </w:rPr>
              <w:t>South-South Cooperation</w:t>
            </w:r>
            <w:r w:rsidR="00D35310" w:rsidRPr="00A84B49">
              <w:rPr>
                <w:iCs/>
                <w:color w:val="000000"/>
                <w:sz w:val="16"/>
                <w:szCs w:val="16"/>
              </w:rPr>
              <w:t xml:space="preserve"> (Electoral issues/ political participation)</w:t>
            </w:r>
          </w:p>
        </w:tc>
        <w:tc>
          <w:tcPr>
            <w:tcW w:w="749"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10F72EFE" w14:textId="77777777" w:rsidR="00565E1C" w:rsidRPr="00A84B49" w:rsidRDefault="00565E1C" w:rsidP="0033588E">
            <w:pPr>
              <w:rPr>
                <w:b/>
                <w:color w:val="000000"/>
                <w:sz w:val="16"/>
                <w:szCs w:val="16"/>
                <w:lang w:val="es-ES"/>
              </w:rPr>
            </w:pPr>
            <w:r w:rsidRPr="00A84B49">
              <w:rPr>
                <w:b/>
                <w:color w:val="000000"/>
                <w:sz w:val="16"/>
                <w:szCs w:val="16"/>
                <w:lang w:val="es-ES"/>
              </w:rPr>
              <w:t>Regular 550,000</w:t>
            </w:r>
          </w:p>
        </w:tc>
      </w:tr>
      <w:tr w:rsidR="00565E1C" w:rsidRPr="00680758" w14:paraId="24611231" w14:textId="77777777" w:rsidTr="00C173F9">
        <w:tc>
          <w:tcPr>
            <w:tcW w:w="1185" w:type="pct"/>
            <w:vMerge/>
            <w:tcBorders>
              <w:left w:val="single" w:sz="8" w:space="0" w:color="000000"/>
              <w:bottom w:val="single" w:sz="8" w:space="0" w:color="000000"/>
              <w:right w:val="single" w:sz="4" w:space="0" w:color="auto"/>
            </w:tcBorders>
            <w:tcMar>
              <w:top w:w="72" w:type="dxa"/>
              <w:left w:w="144" w:type="dxa"/>
              <w:bottom w:w="72" w:type="dxa"/>
              <w:right w:w="144" w:type="dxa"/>
            </w:tcMar>
          </w:tcPr>
          <w:p w14:paraId="27A6A023" w14:textId="77777777" w:rsidR="00565E1C" w:rsidRPr="00A84B49" w:rsidRDefault="00565E1C" w:rsidP="0033588E">
            <w:pPr>
              <w:rPr>
                <w:i/>
                <w:iCs/>
                <w:color w:val="000000"/>
                <w:sz w:val="16"/>
                <w:szCs w:val="16"/>
                <w:lang w:val="es-ES"/>
              </w:rPr>
            </w:pPr>
          </w:p>
        </w:tc>
        <w:tc>
          <w:tcPr>
            <w:tcW w:w="958" w:type="pct"/>
            <w:vMerge/>
            <w:tcBorders>
              <w:left w:val="single" w:sz="4" w:space="0" w:color="auto"/>
              <w:bottom w:val="single" w:sz="8" w:space="0" w:color="000000"/>
              <w:right w:val="single" w:sz="8" w:space="0" w:color="000000"/>
            </w:tcBorders>
          </w:tcPr>
          <w:p w14:paraId="3E5A3050" w14:textId="77777777" w:rsidR="00565E1C" w:rsidRPr="00A84B49" w:rsidRDefault="00565E1C" w:rsidP="0033588E">
            <w:pPr>
              <w:rPr>
                <w:i/>
                <w:iCs/>
                <w:color w:val="000000"/>
                <w:sz w:val="16"/>
                <w:szCs w:val="16"/>
                <w:lang w:val="es-ES"/>
              </w:rPr>
            </w:pPr>
          </w:p>
        </w:tc>
        <w:tc>
          <w:tcPr>
            <w:tcW w:w="1334"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24FC3F7C" w14:textId="77777777" w:rsidR="00565E1C" w:rsidRPr="00A84B49" w:rsidRDefault="00565E1C" w:rsidP="002927E7">
            <w:pPr>
              <w:rPr>
                <w:i/>
                <w:iCs/>
                <w:color w:val="000000"/>
                <w:sz w:val="16"/>
                <w:szCs w:val="16"/>
                <w:lang w:val="es-ES"/>
              </w:rPr>
            </w:pPr>
          </w:p>
        </w:tc>
        <w:tc>
          <w:tcPr>
            <w:tcW w:w="774" w:type="pct"/>
            <w:vMerge/>
            <w:tcBorders>
              <w:left w:val="single" w:sz="8" w:space="0" w:color="000000"/>
              <w:bottom w:val="single" w:sz="8" w:space="0" w:color="000000"/>
              <w:right w:val="single" w:sz="8" w:space="0" w:color="000000"/>
            </w:tcBorders>
          </w:tcPr>
          <w:p w14:paraId="7C1C4A64" w14:textId="77777777" w:rsidR="00565E1C" w:rsidRPr="00A84B49" w:rsidRDefault="00565E1C" w:rsidP="0033588E">
            <w:pPr>
              <w:rPr>
                <w:i/>
                <w:iCs/>
                <w:color w:val="000000"/>
                <w:sz w:val="16"/>
                <w:szCs w:val="16"/>
                <w:lang w:val="es-ES"/>
              </w:rPr>
            </w:pPr>
          </w:p>
        </w:tc>
        <w:tc>
          <w:tcPr>
            <w:tcW w:w="749" w:type="pct"/>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14:paraId="645ED011" w14:textId="36B9FA74" w:rsidR="00565E1C" w:rsidRPr="00A84B49" w:rsidRDefault="00565E1C" w:rsidP="0033588E">
            <w:pPr>
              <w:rPr>
                <w:b/>
                <w:color w:val="000000"/>
                <w:sz w:val="16"/>
                <w:szCs w:val="16"/>
                <w:lang w:val="es-ES"/>
              </w:rPr>
            </w:pPr>
            <w:r w:rsidRPr="00A84B49">
              <w:rPr>
                <w:b/>
                <w:color w:val="000000"/>
                <w:sz w:val="16"/>
                <w:szCs w:val="16"/>
                <w:lang w:val="es-ES"/>
              </w:rPr>
              <w:t xml:space="preserve">Other </w:t>
            </w:r>
            <w:r w:rsidR="001C3F91" w:rsidRPr="00A84B49">
              <w:rPr>
                <w:b/>
                <w:color w:val="000000"/>
                <w:sz w:val="16"/>
                <w:szCs w:val="16"/>
                <w:lang w:val="es-ES"/>
              </w:rPr>
              <w:t>22,214,22</w:t>
            </w:r>
            <w:r w:rsidRPr="00A84B49">
              <w:rPr>
                <w:b/>
                <w:color w:val="000000"/>
                <w:sz w:val="16"/>
                <w:szCs w:val="16"/>
                <w:lang w:val="es-ES"/>
              </w:rPr>
              <w:t>0</w:t>
            </w:r>
          </w:p>
        </w:tc>
      </w:tr>
      <w:tr w:rsidR="00565E1C" w:rsidRPr="00680758" w14:paraId="13FE30E8"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039880" w14:textId="353C9D86" w:rsidR="00565E1C" w:rsidRPr="00341459" w:rsidRDefault="00565E1C" w:rsidP="00DD59B7">
            <w:pPr>
              <w:rPr>
                <w:color w:val="000000"/>
                <w:sz w:val="16"/>
                <w:szCs w:val="16"/>
              </w:rPr>
            </w:pPr>
            <w:r w:rsidRPr="00341459">
              <w:rPr>
                <w:b/>
                <w:bCs/>
                <w:color w:val="000000"/>
                <w:sz w:val="16"/>
                <w:szCs w:val="16"/>
              </w:rPr>
              <w:t>NATIONAL PRIORITY OR OBJECTIVE</w:t>
            </w:r>
            <w:r w:rsidR="00CA7F1C" w:rsidRPr="00341459">
              <w:rPr>
                <w:rStyle w:val="FootnoteReference"/>
                <w:b/>
                <w:bCs/>
                <w:color w:val="000000"/>
                <w:sz w:val="16"/>
                <w:szCs w:val="16"/>
              </w:rPr>
              <w:footnoteReference w:id="39"/>
            </w:r>
            <w:r w:rsidRPr="00341459">
              <w:rPr>
                <w:b/>
                <w:bCs/>
                <w:color w:val="000000"/>
                <w:sz w:val="16"/>
                <w:szCs w:val="16"/>
              </w:rPr>
              <w:t xml:space="preserve">: </w:t>
            </w:r>
            <w:r w:rsidRPr="00341459">
              <w:rPr>
                <w:bCs/>
                <w:color w:val="000000"/>
                <w:sz w:val="16"/>
                <w:szCs w:val="16"/>
              </w:rPr>
              <w:t xml:space="preserve">Honduras is developed in democracy, with security and without violence. </w:t>
            </w:r>
            <w:r w:rsidRPr="00341459">
              <w:rPr>
                <w:b/>
                <w:bCs/>
                <w:color w:val="000000"/>
                <w:sz w:val="16"/>
                <w:szCs w:val="16"/>
              </w:rPr>
              <w:t xml:space="preserve"> </w:t>
            </w:r>
          </w:p>
        </w:tc>
      </w:tr>
      <w:tr w:rsidR="00565E1C" w:rsidRPr="00680758" w14:paraId="353516B5"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A6F5EC" w14:textId="77777777" w:rsidR="00565E1C" w:rsidRPr="00341459" w:rsidRDefault="00565E1C" w:rsidP="002927E7">
            <w:pPr>
              <w:rPr>
                <w:b/>
                <w:bCs/>
                <w:color w:val="000000"/>
                <w:sz w:val="16"/>
                <w:szCs w:val="16"/>
              </w:rPr>
            </w:pPr>
            <w:r w:rsidRPr="00341459">
              <w:rPr>
                <w:b/>
                <w:bCs/>
                <w:color w:val="000000"/>
                <w:sz w:val="16"/>
                <w:szCs w:val="16"/>
              </w:rPr>
              <w:t xml:space="preserve">SDG: </w:t>
            </w:r>
            <w:r w:rsidRPr="00341459">
              <w:rPr>
                <w:bCs/>
                <w:color w:val="000000"/>
                <w:sz w:val="16"/>
                <w:szCs w:val="16"/>
              </w:rPr>
              <w:t>5. Gender Equality;</w:t>
            </w:r>
            <w:r w:rsidRPr="00341459">
              <w:rPr>
                <w:b/>
                <w:bCs/>
                <w:color w:val="000000"/>
                <w:sz w:val="16"/>
                <w:szCs w:val="16"/>
              </w:rPr>
              <w:t xml:space="preserve"> </w:t>
            </w:r>
            <w:r w:rsidRPr="00341459">
              <w:rPr>
                <w:bCs/>
                <w:color w:val="000000"/>
                <w:sz w:val="16"/>
                <w:szCs w:val="16"/>
              </w:rPr>
              <w:t>10. Reduced Inequalities; 16. Peace, Justice and Strong Institutions and 17. Partnerships for the Goals.</w:t>
            </w:r>
          </w:p>
        </w:tc>
      </w:tr>
      <w:tr w:rsidR="00565E1C" w:rsidRPr="00680758" w14:paraId="26D592D3"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B930BB" w14:textId="77777777" w:rsidR="00124128" w:rsidRPr="00341459" w:rsidRDefault="00565E1C" w:rsidP="002927E7">
            <w:pPr>
              <w:rPr>
                <w:b/>
                <w:bCs/>
                <w:color w:val="000000"/>
                <w:sz w:val="16"/>
                <w:szCs w:val="16"/>
              </w:rPr>
            </w:pPr>
            <w:r w:rsidRPr="00341459">
              <w:rPr>
                <w:b/>
                <w:bCs/>
                <w:color w:val="000000"/>
                <w:sz w:val="16"/>
                <w:szCs w:val="16"/>
              </w:rPr>
              <w:t>UNDAF OUTCOME (OR EQUIVILENT) INVOLVING UNDP:</w:t>
            </w:r>
          </w:p>
          <w:p w14:paraId="47BC88B6" w14:textId="798F4342" w:rsidR="00565E1C" w:rsidRPr="00A84B49" w:rsidRDefault="00124128" w:rsidP="002927E7">
            <w:pPr>
              <w:rPr>
                <w:b/>
                <w:bCs/>
                <w:color w:val="000000"/>
                <w:sz w:val="16"/>
                <w:szCs w:val="16"/>
              </w:rPr>
            </w:pPr>
            <w:r w:rsidRPr="00A84B49">
              <w:rPr>
                <w:color w:val="000000"/>
                <w:sz w:val="16"/>
                <w:szCs w:val="16"/>
              </w:rPr>
              <w:t>The Honduran population, particularly those in vulnerable situations in municipalities experiencing high levels of violence and crime, improve their conditions of living, citizen security and access to protection mechanisms, with broad citizen participation</w:t>
            </w:r>
          </w:p>
        </w:tc>
      </w:tr>
      <w:tr w:rsidR="00565E1C" w:rsidRPr="00680758" w14:paraId="53B8B8C9" w14:textId="77777777" w:rsidTr="004B495A">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6E60EC" w14:textId="77777777" w:rsidR="00565E1C" w:rsidRPr="00341459" w:rsidRDefault="00565E1C" w:rsidP="002927E7">
            <w:pPr>
              <w:rPr>
                <w:b/>
                <w:iCs/>
                <w:sz w:val="16"/>
                <w:szCs w:val="16"/>
              </w:rPr>
            </w:pPr>
            <w:r w:rsidRPr="00341459">
              <w:rPr>
                <w:b/>
                <w:bCs/>
                <w:color w:val="000000"/>
                <w:sz w:val="16"/>
                <w:szCs w:val="16"/>
              </w:rPr>
              <w:t xml:space="preserve">RELATED 2014-2017 STRATEGIC PLAN OUTCOME: </w:t>
            </w:r>
          </w:p>
          <w:p w14:paraId="27892763" w14:textId="77777777" w:rsidR="00565E1C" w:rsidRPr="00A84B49" w:rsidRDefault="00565E1C" w:rsidP="002927E7">
            <w:pPr>
              <w:rPr>
                <w:b/>
                <w:bCs/>
                <w:color w:val="000000"/>
                <w:sz w:val="16"/>
                <w:szCs w:val="16"/>
              </w:rPr>
            </w:pPr>
            <w:r w:rsidRPr="00A84B49">
              <w:rPr>
                <w:color w:val="000000"/>
                <w:sz w:val="16"/>
                <w:szCs w:val="16"/>
              </w:rPr>
              <w:t>O3: Countries have strengthened institutions to progressively deliver universal access to basic services.</w:t>
            </w:r>
          </w:p>
        </w:tc>
      </w:tr>
      <w:tr w:rsidR="00565E1C" w:rsidRPr="00680758" w14:paraId="42394BE3" w14:textId="77777777" w:rsidTr="00C173F9">
        <w:tc>
          <w:tcPr>
            <w:tcW w:w="1185" w:type="pct"/>
            <w:vMerge w:val="restart"/>
            <w:tcBorders>
              <w:top w:val="single" w:sz="4" w:space="0" w:color="auto"/>
              <w:left w:val="single" w:sz="8" w:space="0" w:color="000000"/>
              <w:right w:val="single" w:sz="4" w:space="0" w:color="auto"/>
            </w:tcBorders>
            <w:tcMar>
              <w:top w:w="72" w:type="dxa"/>
              <w:left w:w="144" w:type="dxa"/>
              <w:bottom w:w="72" w:type="dxa"/>
              <w:right w:w="144" w:type="dxa"/>
            </w:tcMar>
          </w:tcPr>
          <w:p w14:paraId="1173DE96" w14:textId="1A61BFF8" w:rsidR="00565E1C" w:rsidRPr="00A84B49" w:rsidRDefault="00565E1C" w:rsidP="0033588E">
            <w:pPr>
              <w:rPr>
                <w:bCs/>
                <w:color w:val="000000"/>
                <w:sz w:val="16"/>
                <w:szCs w:val="16"/>
              </w:rPr>
            </w:pPr>
            <w:r w:rsidRPr="00341459">
              <w:rPr>
                <w:bCs/>
                <w:color w:val="000000"/>
                <w:sz w:val="16"/>
                <w:szCs w:val="16"/>
              </w:rPr>
              <w:t xml:space="preserve">Indicator 1. Number of victims of intentional homicides per 100,000 inhabitants, disaggregated by </w:t>
            </w:r>
            <w:r w:rsidR="000333E1" w:rsidRPr="00341459">
              <w:rPr>
                <w:bCs/>
                <w:color w:val="000000"/>
                <w:sz w:val="16"/>
                <w:szCs w:val="16"/>
              </w:rPr>
              <w:t xml:space="preserve">gender </w:t>
            </w:r>
            <w:r w:rsidRPr="00341459">
              <w:rPr>
                <w:bCs/>
                <w:color w:val="000000"/>
                <w:sz w:val="16"/>
                <w:szCs w:val="16"/>
              </w:rPr>
              <w:t xml:space="preserve">and age. </w:t>
            </w:r>
          </w:p>
          <w:p w14:paraId="252EEAAC" w14:textId="77777777" w:rsidR="00565E1C" w:rsidRPr="00A84B49" w:rsidRDefault="00565E1C" w:rsidP="0033588E">
            <w:pPr>
              <w:rPr>
                <w:bCs/>
                <w:color w:val="000000"/>
                <w:sz w:val="16"/>
                <w:szCs w:val="16"/>
              </w:rPr>
            </w:pPr>
          </w:p>
          <w:p w14:paraId="13ED9B95" w14:textId="77777777" w:rsidR="00565E1C" w:rsidRPr="00A84B49" w:rsidRDefault="00565E1C" w:rsidP="0033588E">
            <w:pPr>
              <w:rPr>
                <w:bCs/>
                <w:color w:val="000000"/>
                <w:sz w:val="16"/>
                <w:szCs w:val="16"/>
                <w:lang w:val="es-ES"/>
              </w:rPr>
            </w:pPr>
            <w:r w:rsidRPr="00A84B49">
              <w:rPr>
                <w:bCs/>
                <w:color w:val="000000"/>
                <w:sz w:val="16"/>
                <w:szCs w:val="16"/>
                <w:lang w:val="es-ES"/>
              </w:rPr>
              <w:t>BL: 2015 = 60.0 homicides/100 mil hab.</w:t>
            </w:r>
          </w:p>
          <w:p w14:paraId="1D766777" w14:textId="77777777" w:rsidR="00565E1C" w:rsidRPr="00341459" w:rsidRDefault="00565E1C" w:rsidP="0033588E">
            <w:pPr>
              <w:rPr>
                <w:bCs/>
                <w:color w:val="000000"/>
                <w:sz w:val="16"/>
                <w:szCs w:val="16"/>
                <w:lang w:val="es-ES"/>
              </w:rPr>
            </w:pPr>
            <w:r w:rsidRPr="00A84B49">
              <w:rPr>
                <w:bCs/>
                <w:color w:val="000000"/>
                <w:sz w:val="16"/>
                <w:szCs w:val="16"/>
                <w:lang w:val="es-ES"/>
              </w:rPr>
              <w:t>Target: 33 (2021)</w:t>
            </w:r>
            <w:r w:rsidRPr="00341459">
              <w:rPr>
                <w:rStyle w:val="FootnoteReference"/>
                <w:bCs/>
                <w:color w:val="000000"/>
                <w:sz w:val="16"/>
                <w:szCs w:val="16"/>
                <w:lang w:val="es-ES"/>
              </w:rPr>
              <w:footnoteReference w:id="40"/>
            </w:r>
          </w:p>
          <w:p w14:paraId="626C0CE1" w14:textId="77777777" w:rsidR="00565E1C" w:rsidRPr="00A84B49" w:rsidRDefault="00565E1C" w:rsidP="0033588E">
            <w:pPr>
              <w:rPr>
                <w:bCs/>
                <w:color w:val="000000"/>
                <w:sz w:val="16"/>
                <w:szCs w:val="16"/>
                <w:lang w:val="es-ES"/>
              </w:rPr>
            </w:pPr>
          </w:p>
          <w:p w14:paraId="6297B318" w14:textId="77777777" w:rsidR="00124EC9" w:rsidRPr="00A84B49" w:rsidRDefault="00124EC9" w:rsidP="0033588E">
            <w:pPr>
              <w:pStyle w:val="CommentText"/>
              <w:rPr>
                <w:bCs/>
                <w:color w:val="000000"/>
                <w:sz w:val="16"/>
                <w:szCs w:val="16"/>
                <w:lang w:val="es-HN"/>
              </w:rPr>
            </w:pPr>
          </w:p>
          <w:p w14:paraId="2DB4683D" w14:textId="77777777" w:rsidR="00124EC9" w:rsidRPr="00A84B49" w:rsidRDefault="00124EC9" w:rsidP="0033588E">
            <w:pPr>
              <w:pStyle w:val="CommentText"/>
              <w:rPr>
                <w:bCs/>
                <w:color w:val="000000"/>
                <w:sz w:val="16"/>
                <w:szCs w:val="16"/>
                <w:lang w:val="es-HN"/>
              </w:rPr>
            </w:pPr>
          </w:p>
          <w:p w14:paraId="66370CF8" w14:textId="489B8700" w:rsidR="00565E1C" w:rsidRPr="00A84B49" w:rsidRDefault="00565E1C" w:rsidP="0033588E">
            <w:pPr>
              <w:pStyle w:val="CommentText"/>
              <w:rPr>
                <w:bCs/>
                <w:color w:val="000000"/>
                <w:sz w:val="16"/>
                <w:szCs w:val="16"/>
              </w:rPr>
            </w:pPr>
            <w:r w:rsidRPr="00A84B49">
              <w:rPr>
                <w:bCs/>
                <w:color w:val="000000"/>
                <w:sz w:val="16"/>
                <w:szCs w:val="16"/>
              </w:rPr>
              <w:t>Indicator 2. % of population considers insecurit</w:t>
            </w:r>
            <w:r w:rsidR="008C4C89" w:rsidRPr="00A84B49">
              <w:rPr>
                <w:bCs/>
                <w:color w:val="000000"/>
                <w:sz w:val="16"/>
                <w:szCs w:val="16"/>
              </w:rPr>
              <w:t>y the country’s main problem</w:t>
            </w:r>
            <w:r w:rsidRPr="00A84B49">
              <w:rPr>
                <w:bCs/>
                <w:color w:val="000000"/>
                <w:sz w:val="16"/>
                <w:szCs w:val="16"/>
              </w:rPr>
              <w:t xml:space="preserve">. </w:t>
            </w:r>
          </w:p>
          <w:p w14:paraId="68F9823F" w14:textId="77777777" w:rsidR="00565E1C" w:rsidRPr="00A84B49" w:rsidRDefault="00565E1C" w:rsidP="0033588E">
            <w:pPr>
              <w:rPr>
                <w:bCs/>
                <w:color w:val="000000"/>
                <w:sz w:val="16"/>
                <w:szCs w:val="16"/>
              </w:rPr>
            </w:pPr>
          </w:p>
          <w:p w14:paraId="4706AA44" w14:textId="77777777" w:rsidR="00565E1C" w:rsidRPr="00A84B49" w:rsidRDefault="00565E1C" w:rsidP="0033588E">
            <w:pPr>
              <w:rPr>
                <w:bCs/>
                <w:color w:val="000000"/>
                <w:sz w:val="16"/>
                <w:szCs w:val="16"/>
              </w:rPr>
            </w:pPr>
            <w:r w:rsidRPr="00A84B49">
              <w:rPr>
                <w:bCs/>
                <w:color w:val="000000"/>
                <w:sz w:val="16"/>
                <w:szCs w:val="16"/>
              </w:rPr>
              <w:lastRenderedPageBreak/>
              <w:t>Baseline (2014): 7 of every 10 citizens.</w:t>
            </w:r>
          </w:p>
          <w:p w14:paraId="65BEC473" w14:textId="77777777" w:rsidR="00565E1C" w:rsidRPr="00341459" w:rsidRDefault="00565E1C" w:rsidP="0033588E">
            <w:pPr>
              <w:rPr>
                <w:bCs/>
                <w:color w:val="000000"/>
                <w:sz w:val="16"/>
                <w:szCs w:val="16"/>
              </w:rPr>
            </w:pPr>
            <w:r w:rsidRPr="00A84B49">
              <w:rPr>
                <w:bCs/>
                <w:color w:val="000000"/>
                <w:sz w:val="16"/>
                <w:szCs w:val="16"/>
              </w:rPr>
              <w:t>Target: 5 of every 10</w:t>
            </w:r>
            <w:r w:rsidRPr="00341459">
              <w:rPr>
                <w:rStyle w:val="FootnoteReference"/>
                <w:bCs/>
                <w:color w:val="000000"/>
                <w:sz w:val="16"/>
                <w:szCs w:val="16"/>
                <w:lang w:val="es-HN"/>
              </w:rPr>
              <w:footnoteReference w:id="41"/>
            </w:r>
            <w:r w:rsidRPr="00341459">
              <w:rPr>
                <w:bCs/>
                <w:color w:val="000000"/>
                <w:sz w:val="16"/>
                <w:szCs w:val="16"/>
              </w:rPr>
              <w:t xml:space="preserve"> </w:t>
            </w:r>
          </w:p>
          <w:p w14:paraId="62835022" w14:textId="77777777" w:rsidR="00565E1C" w:rsidRPr="00A84B49" w:rsidRDefault="00565E1C" w:rsidP="0033588E">
            <w:pPr>
              <w:rPr>
                <w:bCs/>
                <w:color w:val="000000"/>
                <w:sz w:val="16"/>
                <w:szCs w:val="16"/>
              </w:rPr>
            </w:pPr>
          </w:p>
        </w:tc>
        <w:tc>
          <w:tcPr>
            <w:tcW w:w="958" w:type="pct"/>
            <w:vMerge w:val="restart"/>
            <w:tcBorders>
              <w:top w:val="single" w:sz="4" w:space="0" w:color="auto"/>
              <w:left w:val="single" w:sz="4" w:space="0" w:color="auto"/>
              <w:right w:val="single" w:sz="8" w:space="0" w:color="000000"/>
            </w:tcBorders>
          </w:tcPr>
          <w:p w14:paraId="62A618D1" w14:textId="3BDD9F68" w:rsidR="00565E1C" w:rsidRPr="00A84B49" w:rsidRDefault="00565E1C" w:rsidP="0033588E">
            <w:pPr>
              <w:rPr>
                <w:bCs/>
                <w:color w:val="000000"/>
                <w:sz w:val="16"/>
                <w:szCs w:val="16"/>
              </w:rPr>
            </w:pPr>
            <w:r w:rsidRPr="00A84B49">
              <w:rPr>
                <w:bCs/>
                <w:color w:val="000000"/>
                <w:sz w:val="16"/>
                <w:szCs w:val="16"/>
              </w:rPr>
              <w:lastRenderedPageBreak/>
              <w:t>Source: Ministry of Security, Observatories</w:t>
            </w:r>
            <w:r w:rsidR="00891A4A" w:rsidRPr="00A84B49">
              <w:rPr>
                <w:bCs/>
                <w:color w:val="000000"/>
                <w:sz w:val="16"/>
                <w:szCs w:val="16"/>
              </w:rPr>
              <w:t xml:space="preserve"> of Violence</w:t>
            </w:r>
            <w:r w:rsidRPr="00A84B49">
              <w:rPr>
                <w:bCs/>
                <w:color w:val="000000"/>
                <w:sz w:val="16"/>
                <w:szCs w:val="16"/>
              </w:rPr>
              <w:t xml:space="preserve">, </w:t>
            </w:r>
          </w:p>
          <w:p w14:paraId="1912FC6B" w14:textId="7F82C47C" w:rsidR="00565E1C" w:rsidRPr="00341459" w:rsidRDefault="00565E1C" w:rsidP="0033588E">
            <w:pPr>
              <w:rPr>
                <w:bCs/>
                <w:color w:val="000000"/>
                <w:sz w:val="16"/>
                <w:szCs w:val="16"/>
              </w:rPr>
            </w:pPr>
            <w:r w:rsidRPr="00A84B49">
              <w:rPr>
                <w:bCs/>
                <w:color w:val="000000"/>
                <w:sz w:val="16"/>
                <w:szCs w:val="16"/>
              </w:rPr>
              <w:t>IUDPAS</w:t>
            </w:r>
            <w:r w:rsidRPr="00341459">
              <w:rPr>
                <w:bCs/>
                <w:color w:val="000000"/>
                <w:sz w:val="16"/>
                <w:szCs w:val="16"/>
              </w:rPr>
              <w:t xml:space="preserve">/UNAH </w:t>
            </w:r>
          </w:p>
          <w:p w14:paraId="10E7C5A3" w14:textId="77777777" w:rsidR="00124EC9" w:rsidRPr="00A84B49" w:rsidRDefault="00124EC9" w:rsidP="0033588E">
            <w:pPr>
              <w:rPr>
                <w:bCs/>
                <w:color w:val="000000"/>
                <w:sz w:val="16"/>
                <w:szCs w:val="16"/>
              </w:rPr>
            </w:pPr>
          </w:p>
          <w:p w14:paraId="086A5D55" w14:textId="77777777" w:rsidR="00565E1C" w:rsidRPr="00A84B49" w:rsidRDefault="00565E1C" w:rsidP="0033588E">
            <w:pPr>
              <w:rPr>
                <w:bCs/>
                <w:color w:val="000000"/>
                <w:sz w:val="16"/>
                <w:szCs w:val="16"/>
              </w:rPr>
            </w:pPr>
            <w:r w:rsidRPr="00A84B49">
              <w:rPr>
                <w:bCs/>
                <w:color w:val="000000"/>
                <w:sz w:val="16"/>
                <w:szCs w:val="16"/>
              </w:rPr>
              <w:t>Frequency: Annual</w:t>
            </w:r>
          </w:p>
          <w:p w14:paraId="03833478" w14:textId="77777777" w:rsidR="00124EC9" w:rsidRPr="00A84B49" w:rsidRDefault="00124EC9" w:rsidP="0033588E">
            <w:pPr>
              <w:rPr>
                <w:bCs/>
                <w:color w:val="000000"/>
                <w:sz w:val="16"/>
                <w:szCs w:val="16"/>
              </w:rPr>
            </w:pPr>
          </w:p>
          <w:p w14:paraId="738B2BCA" w14:textId="6DB6AB2A" w:rsidR="00565E1C" w:rsidRPr="00A84B49" w:rsidRDefault="00891A4A" w:rsidP="0033588E">
            <w:pPr>
              <w:rPr>
                <w:bCs/>
                <w:color w:val="000000"/>
                <w:sz w:val="16"/>
                <w:szCs w:val="16"/>
              </w:rPr>
            </w:pPr>
            <w:r w:rsidRPr="00A84B49">
              <w:rPr>
                <w:bCs/>
                <w:color w:val="000000"/>
                <w:sz w:val="16"/>
                <w:szCs w:val="16"/>
              </w:rPr>
              <w:t>Responsible</w:t>
            </w:r>
            <w:r w:rsidR="00565E1C" w:rsidRPr="00A84B49">
              <w:rPr>
                <w:bCs/>
                <w:color w:val="000000"/>
                <w:sz w:val="16"/>
                <w:szCs w:val="16"/>
              </w:rPr>
              <w:t xml:space="preserve"> Agency: Ministry of Security</w:t>
            </w:r>
          </w:p>
          <w:p w14:paraId="3D1BE124" w14:textId="77777777" w:rsidR="00565E1C" w:rsidRPr="00A84B49" w:rsidRDefault="00565E1C" w:rsidP="0033588E">
            <w:pPr>
              <w:rPr>
                <w:bCs/>
                <w:color w:val="000000"/>
                <w:sz w:val="16"/>
                <w:szCs w:val="16"/>
              </w:rPr>
            </w:pPr>
          </w:p>
          <w:p w14:paraId="7198E62F" w14:textId="77777777" w:rsidR="00565E1C" w:rsidRPr="00A84B49" w:rsidRDefault="00565E1C" w:rsidP="0033588E">
            <w:pPr>
              <w:rPr>
                <w:bCs/>
                <w:color w:val="000000"/>
                <w:sz w:val="16"/>
                <w:szCs w:val="16"/>
              </w:rPr>
            </w:pPr>
          </w:p>
          <w:p w14:paraId="4508F866" w14:textId="77777777" w:rsidR="00124EC9" w:rsidRPr="00A84B49" w:rsidRDefault="00124EC9" w:rsidP="0033588E">
            <w:pPr>
              <w:rPr>
                <w:bCs/>
                <w:color w:val="000000"/>
                <w:sz w:val="16"/>
                <w:szCs w:val="16"/>
              </w:rPr>
            </w:pPr>
          </w:p>
          <w:p w14:paraId="11C39D8D" w14:textId="77777777" w:rsidR="00565E1C" w:rsidRPr="00A84B49" w:rsidRDefault="00565E1C" w:rsidP="0033588E">
            <w:pPr>
              <w:rPr>
                <w:bCs/>
                <w:color w:val="000000"/>
                <w:sz w:val="16"/>
                <w:szCs w:val="16"/>
              </w:rPr>
            </w:pPr>
            <w:r w:rsidRPr="00A84B49">
              <w:rPr>
                <w:bCs/>
                <w:color w:val="000000"/>
                <w:sz w:val="16"/>
                <w:szCs w:val="16"/>
              </w:rPr>
              <w:t xml:space="preserve">Source: IUDPAS Survey on victimization and violence perception </w:t>
            </w:r>
          </w:p>
          <w:p w14:paraId="03A1166F" w14:textId="77777777" w:rsidR="00124EC9" w:rsidRPr="00A84B49" w:rsidRDefault="00124EC9" w:rsidP="0033588E">
            <w:pPr>
              <w:rPr>
                <w:bCs/>
                <w:color w:val="000000"/>
                <w:sz w:val="16"/>
                <w:szCs w:val="16"/>
              </w:rPr>
            </w:pPr>
          </w:p>
          <w:p w14:paraId="187FE319" w14:textId="7F6B1654" w:rsidR="00565E1C" w:rsidRPr="00A84B49" w:rsidRDefault="00565E1C" w:rsidP="0033588E">
            <w:pPr>
              <w:rPr>
                <w:bCs/>
                <w:color w:val="000000"/>
                <w:sz w:val="16"/>
                <w:szCs w:val="16"/>
              </w:rPr>
            </w:pPr>
            <w:r w:rsidRPr="00A84B49">
              <w:rPr>
                <w:bCs/>
                <w:color w:val="000000"/>
                <w:sz w:val="16"/>
                <w:szCs w:val="16"/>
              </w:rPr>
              <w:t xml:space="preserve">Frequency: Every </w:t>
            </w:r>
            <w:r w:rsidR="003B37C9" w:rsidRPr="00A84B49">
              <w:rPr>
                <w:bCs/>
                <w:color w:val="000000"/>
                <w:sz w:val="16"/>
                <w:szCs w:val="16"/>
              </w:rPr>
              <w:t>two</w:t>
            </w:r>
            <w:r w:rsidRPr="00A84B49">
              <w:rPr>
                <w:bCs/>
                <w:color w:val="000000"/>
                <w:sz w:val="16"/>
                <w:szCs w:val="16"/>
              </w:rPr>
              <w:t xml:space="preserve"> years</w:t>
            </w:r>
          </w:p>
          <w:p w14:paraId="0D3712BA" w14:textId="77777777" w:rsidR="00124EC9" w:rsidRPr="00A84B49" w:rsidRDefault="00124EC9" w:rsidP="0033588E">
            <w:pPr>
              <w:rPr>
                <w:bCs/>
                <w:color w:val="000000"/>
                <w:sz w:val="16"/>
                <w:szCs w:val="16"/>
              </w:rPr>
            </w:pPr>
          </w:p>
          <w:p w14:paraId="7D37E462" w14:textId="60BAC78C" w:rsidR="00565E1C" w:rsidRPr="00A84B49" w:rsidRDefault="00891A4A" w:rsidP="0033588E">
            <w:pPr>
              <w:rPr>
                <w:bCs/>
                <w:color w:val="000000"/>
                <w:sz w:val="16"/>
                <w:szCs w:val="16"/>
              </w:rPr>
            </w:pPr>
            <w:r w:rsidRPr="00A84B49">
              <w:rPr>
                <w:bCs/>
                <w:color w:val="000000"/>
                <w:sz w:val="16"/>
                <w:szCs w:val="16"/>
              </w:rPr>
              <w:t>Responsible</w:t>
            </w:r>
            <w:r w:rsidR="00565E1C" w:rsidRPr="00A84B49">
              <w:rPr>
                <w:bCs/>
                <w:color w:val="000000"/>
                <w:sz w:val="16"/>
                <w:szCs w:val="16"/>
              </w:rPr>
              <w:t xml:space="preserve"> Agency: IUDPAS</w:t>
            </w:r>
          </w:p>
          <w:p w14:paraId="38B2BBDD" w14:textId="77777777" w:rsidR="00565E1C" w:rsidRPr="00A84B49" w:rsidRDefault="00565E1C" w:rsidP="004B495A">
            <w:pPr>
              <w:rPr>
                <w:bCs/>
                <w:color w:val="000000"/>
                <w:sz w:val="16"/>
                <w:szCs w:val="16"/>
              </w:rPr>
            </w:pPr>
          </w:p>
        </w:tc>
        <w:tc>
          <w:tcPr>
            <w:tcW w:w="1334"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3BDDE39A" w14:textId="77777777" w:rsidR="00565E1C" w:rsidRPr="00A84B49" w:rsidRDefault="00565E1C" w:rsidP="002927E7">
            <w:pPr>
              <w:rPr>
                <w:iCs/>
                <w:color w:val="000000"/>
                <w:sz w:val="16"/>
                <w:szCs w:val="16"/>
              </w:rPr>
            </w:pPr>
            <w:r w:rsidRPr="00A84B49">
              <w:rPr>
                <w:b/>
                <w:iCs/>
                <w:color w:val="000000"/>
                <w:sz w:val="16"/>
                <w:szCs w:val="16"/>
              </w:rPr>
              <w:lastRenderedPageBreak/>
              <w:t>P1: Strengthened capacity to prevent violence in 10 of the country’s 30 most violent municipalities.</w:t>
            </w:r>
          </w:p>
          <w:p w14:paraId="4A716E60" w14:textId="77777777" w:rsidR="00565E1C" w:rsidRPr="00A84B49" w:rsidRDefault="00565E1C" w:rsidP="002927E7">
            <w:pPr>
              <w:rPr>
                <w:b/>
                <w:iCs/>
                <w:color w:val="000000"/>
                <w:sz w:val="16"/>
                <w:szCs w:val="16"/>
              </w:rPr>
            </w:pPr>
          </w:p>
          <w:p w14:paraId="7CA43422" w14:textId="4A449DC9" w:rsidR="00565E1C" w:rsidRPr="00A84B49" w:rsidRDefault="00565E1C" w:rsidP="002927E7">
            <w:pPr>
              <w:rPr>
                <w:bCs/>
                <w:color w:val="000000"/>
                <w:sz w:val="16"/>
                <w:szCs w:val="16"/>
              </w:rPr>
            </w:pPr>
            <w:r w:rsidRPr="00A84B49">
              <w:rPr>
                <w:iCs/>
                <w:color w:val="000000"/>
                <w:sz w:val="16"/>
                <w:szCs w:val="16"/>
              </w:rPr>
              <w:t xml:space="preserve">Indicator 1: </w:t>
            </w:r>
            <w:r w:rsidRPr="00A84B49">
              <w:rPr>
                <w:bCs/>
                <w:color w:val="000000"/>
                <w:sz w:val="16"/>
                <w:szCs w:val="16"/>
              </w:rPr>
              <w:t xml:space="preserve">% change in violence levels in priority municipalities </w:t>
            </w:r>
            <w:r w:rsidR="00C56C56" w:rsidRPr="00A84B49">
              <w:rPr>
                <w:bCs/>
                <w:color w:val="000000"/>
                <w:sz w:val="16"/>
                <w:szCs w:val="16"/>
              </w:rPr>
              <w:t>(</w:t>
            </w:r>
            <w:r w:rsidRPr="00A84B49">
              <w:rPr>
                <w:bCs/>
                <w:color w:val="000000"/>
                <w:sz w:val="16"/>
                <w:szCs w:val="16"/>
              </w:rPr>
              <w:t>disaggregated by type of violence</w:t>
            </w:r>
            <w:r w:rsidR="0022763B" w:rsidRPr="00A84B49">
              <w:rPr>
                <w:bCs/>
                <w:color w:val="000000"/>
                <w:sz w:val="16"/>
                <w:szCs w:val="16"/>
              </w:rPr>
              <w:t xml:space="preserve">, vulnerable group, </w:t>
            </w:r>
            <w:r w:rsidR="000333E1" w:rsidRPr="00A84B49">
              <w:rPr>
                <w:bCs/>
                <w:color w:val="000000"/>
                <w:sz w:val="16"/>
                <w:szCs w:val="16"/>
              </w:rPr>
              <w:t xml:space="preserve">gender </w:t>
            </w:r>
            <w:r w:rsidR="0022763B" w:rsidRPr="00A84B49">
              <w:rPr>
                <w:bCs/>
                <w:color w:val="000000"/>
                <w:sz w:val="16"/>
                <w:szCs w:val="16"/>
              </w:rPr>
              <w:t>and age</w:t>
            </w:r>
            <w:r w:rsidR="00C56C56" w:rsidRPr="00A84B49">
              <w:rPr>
                <w:bCs/>
                <w:color w:val="000000"/>
                <w:sz w:val="16"/>
                <w:szCs w:val="16"/>
              </w:rPr>
              <w:t>)</w:t>
            </w:r>
            <w:r w:rsidR="0022763B" w:rsidRPr="00A84B49">
              <w:rPr>
                <w:bCs/>
                <w:color w:val="000000"/>
                <w:sz w:val="16"/>
                <w:szCs w:val="16"/>
              </w:rPr>
              <w:t xml:space="preserve">. </w:t>
            </w:r>
          </w:p>
          <w:p w14:paraId="427105B2" w14:textId="77777777" w:rsidR="00565E1C" w:rsidRPr="00A84B49" w:rsidRDefault="00565E1C" w:rsidP="002927E7">
            <w:pPr>
              <w:rPr>
                <w:bCs/>
                <w:color w:val="000000"/>
                <w:sz w:val="16"/>
                <w:szCs w:val="16"/>
              </w:rPr>
            </w:pPr>
            <w:r w:rsidRPr="00A84B49">
              <w:rPr>
                <w:bCs/>
                <w:color w:val="000000"/>
                <w:sz w:val="16"/>
                <w:szCs w:val="16"/>
              </w:rPr>
              <w:t>Baseline (2016): -6.45% average in 5 municipalities</w:t>
            </w:r>
          </w:p>
          <w:p w14:paraId="04F4558F" w14:textId="0271FA96" w:rsidR="00565E1C" w:rsidRPr="00A84B49" w:rsidRDefault="00565E1C" w:rsidP="002927E7">
            <w:pPr>
              <w:rPr>
                <w:bCs/>
                <w:color w:val="000000"/>
                <w:sz w:val="16"/>
                <w:szCs w:val="16"/>
              </w:rPr>
            </w:pPr>
            <w:r w:rsidRPr="00A84B49">
              <w:rPr>
                <w:bCs/>
                <w:color w:val="000000"/>
                <w:sz w:val="16"/>
                <w:szCs w:val="16"/>
              </w:rPr>
              <w:t>Target (2022): 25% average</w:t>
            </w:r>
            <w:r w:rsidR="00FF1299" w:rsidRPr="00A84B49">
              <w:rPr>
                <w:bCs/>
                <w:color w:val="000000"/>
                <w:sz w:val="16"/>
                <w:szCs w:val="16"/>
              </w:rPr>
              <w:t xml:space="preserve"> reduction</w:t>
            </w:r>
            <w:r w:rsidRPr="00A84B49">
              <w:rPr>
                <w:bCs/>
                <w:color w:val="000000"/>
                <w:sz w:val="16"/>
                <w:szCs w:val="16"/>
              </w:rPr>
              <w:t xml:space="preserve"> in 10 municipalities </w:t>
            </w:r>
          </w:p>
          <w:p w14:paraId="2C8304E6" w14:textId="56B8C07B" w:rsidR="00565E1C" w:rsidRPr="00341459" w:rsidRDefault="00565E1C" w:rsidP="002927E7">
            <w:pPr>
              <w:rPr>
                <w:bCs/>
                <w:color w:val="000000"/>
                <w:sz w:val="16"/>
                <w:szCs w:val="16"/>
              </w:rPr>
            </w:pPr>
            <w:r w:rsidRPr="00A84B49">
              <w:rPr>
                <w:bCs/>
                <w:color w:val="000000"/>
                <w:sz w:val="16"/>
                <w:szCs w:val="16"/>
              </w:rPr>
              <w:t>Source: Observatories</w:t>
            </w:r>
            <w:r w:rsidR="00FF1299" w:rsidRPr="00A84B49">
              <w:rPr>
                <w:bCs/>
                <w:color w:val="000000"/>
                <w:sz w:val="16"/>
                <w:szCs w:val="16"/>
              </w:rPr>
              <w:t xml:space="preserve"> of Violence</w:t>
            </w:r>
            <w:r w:rsidR="000848FD" w:rsidRPr="00A84B49">
              <w:rPr>
                <w:bCs/>
                <w:color w:val="000000"/>
                <w:sz w:val="16"/>
                <w:szCs w:val="16"/>
              </w:rPr>
              <w:t>, SEPOL</w:t>
            </w:r>
            <w:r w:rsidR="000848FD" w:rsidRPr="00341459">
              <w:rPr>
                <w:bCs/>
                <w:color w:val="000000"/>
                <w:sz w:val="16"/>
                <w:szCs w:val="16"/>
              </w:rPr>
              <w:t>.</w:t>
            </w:r>
          </w:p>
          <w:p w14:paraId="395FBD01" w14:textId="77777777" w:rsidR="00565E1C" w:rsidRPr="00A84B49" w:rsidRDefault="00565E1C" w:rsidP="002927E7">
            <w:pPr>
              <w:rPr>
                <w:bCs/>
                <w:color w:val="000000"/>
                <w:sz w:val="16"/>
                <w:szCs w:val="16"/>
              </w:rPr>
            </w:pPr>
            <w:r w:rsidRPr="00A84B49">
              <w:rPr>
                <w:bCs/>
                <w:color w:val="000000"/>
                <w:sz w:val="16"/>
                <w:szCs w:val="16"/>
              </w:rPr>
              <w:t xml:space="preserve">Frequency: Biannual </w:t>
            </w:r>
          </w:p>
          <w:p w14:paraId="28E293D9" w14:textId="77777777" w:rsidR="00565E1C" w:rsidRPr="00A84B49" w:rsidRDefault="00565E1C" w:rsidP="002927E7">
            <w:pPr>
              <w:rPr>
                <w:bCs/>
                <w:color w:val="000000"/>
                <w:sz w:val="16"/>
                <w:szCs w:val="16"/>
              </w:rPr>
            </w:pPr>
          </w:p>
          <w:p w14:paraId="174EC66C" w14:textId="4565F8DE" w:rsidR="00565E1C" w:rsidRPr="00A84B49" w:rsidRDefault="00565E1C" w:rsidP="002927E7">
            <w:pPr>
              <w:rPr>
                <w:bCs/>
                <w:color w:val="000000"/>
                <w:sz w:val="16"/>
                <w:szCs w:val="16"/>
              </w:rPr>
            </w:pPr>
            <w:r w:rsidRPr="00A84B49">
              <w:rPr>
                <w:bCs/>
                <w:color w:val="000000"/>
                <w:sz w:val="16"/>
                <w:szCs w:val="16"/>
              </w:rPr>
              <w:lastRenderedPageBreak/>
              <w:t xml:space="preserve">Indicator 2: Number of cases resolved using alternative conflict resolution mechanisms, disaggregated by type of conflict, </w:t>
            </w:r>
            <w:r w:rsidR="000333E1" w:rsidRPr="00A84B49">
              <w:rPr>
                <w:bCs/>
                <w:color w:val="000000"/>
                <w:sz w:val="16"/>
                <w:szCs w:val="16"/>
              </w:rPr>
              <w:t>gender</w:t>
            </w:r>
            <w:r w:rsidR="00C56C56" w:rsidRPr="00A84B49">
              <w:rPr>
                <w:bCs/>
                <w:color w:val="000000"/>
                <w:sz w:val="16"/>
                <w:szCs w:val="16"/>
              </w:rPr>
              <w:t xml:space="preserve">, age, </w:t>
            </w:r>
            <w:r w:rsidRPr="00A84B49">
              <w:rPr>
                <w:bCs/>
                <w:color w:val="000000"/>
                <w:sz w:val="16"/>
                <w:szCs w:val="16"/>
              </w:rPr>
              <w:t>actors and target groups.</w:t>
            </w:r>
          </w:p>
          <w:p w14:paraId="441EE7DD" w14:textId="3FAD2944" w:rsidR="00565E1C" w:rsidRPr="00A84B49" w:rsidRDefault="00565E1C" w:rsidP="002927E7">
            <w:pPr>
              <w:rPr>
                <w:bCs/>
                <w:color w:val="000000"/>
                <w:sz w:val="16"/>
                <w:szCs w:val="16"/>
              </w:rPr>
            </w:pPr>
            <w:r w:rsidRPr="00A84B49">
              <w:rPr>
                <w:bCs/>
                <w:color w:val="000000"/>
                <w:sz w:val="16"/>
                <w:szCs w:val="16"/>
              </w:rPr>
              <w:t>Baseline (2015): 564</w:t>
            </w:r>
            <w:r w:rsidR="00775095" w:rsidRPr="00A84B49">
              <w:rPr>
                <w:bCs/>
                <w:color w:val="000000"/>
                <w:sz w:val="16"/>
                <w:szCs w:val="16"/>
              </w:rPr>
              <w:t xml:space="preserve"> cases</w:t>
            </w:r>
            <w:r w:rsidR="00D4543B" w:rsidRPr="00A84B49">
              <w:rPr>
                <w:bCs/>
                <w:color w:val="000000"/>
                <w:sz w:val="16"/>
                <w:szCs w:val="16"/>
              </w:rPr>
              <w:t>.</w:t>
            </w:r>
          </w:p>
          <w:p w14:paraId="70B1DFD3" w14:textId="1A18FD72" w:rsidR="00565E1C" w:rsidRPr="00A84B49" w:rsidRDefault="00565E1C" w:rsidP="002927E7">
            <w:pPr>
              <w:rPr>
                <w:bCs/>
                <w:color w:val="000000"/>
                <w:sz w:val="16"/>
                <w:szCs w:val="16"/>
              </w:rPr>
            </w:pPr>
            <w:r w:rsidRPr="00A84B49">
              <w:rPr>
                <w:bCs/>
                <w:color w:val="000000"/>
                <w:sz w:val="16"/>
                <w:szCs w:val="16"/>
              </w:rPr>
              <w:t xml:space="preserve">Target: 2,500 </w:t>
            </w:r>
            <w:r w:rsidR="00775095" w:rsidRPr="00A84B49">
              <w:rPr>
                <w:bCs/>
                <w:color w:val="000000"/>
                <w:sz w:val="16"/>
                <w:szCs w:val="16"/>
              </w:rPr>
              <w:t>cases</w:t>
            </w:r>
            <w:r w:rsidR="00D4543B" w:rsidRPr="00A84B49">
              <w:rPr>
                <w:bCs/>
                <w:color w:val="000000"/>
                <w:sz w:val="16"/>
                <w:szCs w:val="16"/>
              </w:rPr>
              <w:t>.</w:t>
            </w:r>
          </w:p>
          <w:p w14:paraId="72E499FC" w14:textId="77777777" w:rsidR="00565E1C" w:rsidRPr="00A84B49" w:rsidRDefault="00565E1C" w:rsidP="002927E7">
            <w:pPr>
              <w:rPr>
                <w:bCs/>
                <w:color w:val="000000"/>
                <w:sz w:val="16"/>
                <w:szCs w:val="16"/>
              </w:rPr>
            </w:pPr>
            <w:r w:rsidRPr="00A84B49">
              <w:rPr>
                <w:bCs/>
                <w:color w:val="000000"/>
                <w:sz w:val="16"/>
                <w:szCs w:val="16"/>
              </w:rPr>
              <w:t xml:space="preserve">Source: Municipalities, Municipal Mediation Units </w:t>
            </w:r>
          </w:p>
          <w:p w14:paraId="46F44DF6" w14:textId="77777777" w:rsidR="00565E1C" w:rsidRPr="00A84B49" w:rsidRDefault="00565E1C" w:rsidP="002927E7">
            <w:pPr>
              <w:rPr>
                <w:bCs/>
                <w:color w:val="000000"/>
                <w:sz w:val="16"/>
                <w:szCs w:val="16"/>
              </w:rPr>
            </w:pPr>
            <w:r w:rsidRPr="00A84B49">
              <w:rPr>
                <w:bCs/>
                <w:color w:val="000000"/>
                <w:sz w:val="16"/>
                <w:szCs w:val="16"/>
              </w:rPr>
              <w:t xml:space="preserve">Frequency: Biannual </w:t>
            </w:r>
          </w:p>
          <w:p w14:paraId="255FA21F" w14:textId="77777777" w:rsidR="00565E1C" w:rsidRPr="00A84B49" w:rsidRDefault="00565E1C" w:rsidP="002927E7">
            <w:pPr>
              <w:rPr>
                <w:bCs/>
                <w:color w:val="000000"/>
                <w:sz w:val="16"/>
                <w:szCs w:val="16"/>
              </w:rPr>
            </w:pPr>
          </w:p>
          <w:p w14:paraId="60DB4B3D" w14:textId="5E339232" w:rsidR="00565E1C" w:rsidRPr="00A84B49" w:rsidRDefault="00565E1C" w:rsidP="002927E7">
            <w:pPr>
              <w:rPr>
                <w:b/>
                <w:bCs/>
                <w:color w:val="000000"/>
                <w:sz w:val="16"/>
                <w:szCs w:val="16"/>
              </w:rPr>
            </w:pPr>
            <w:r w:rsidRPr="00A84B49">
              <w:rPr>
                <w:b/>
                <w:bCs/>
                <w:color w:val="000000"/>
                <w:sz w:val="16"/>
                <w:szCs w:val="16"/>
              </w:rPr>
              <w:t xml:space="preserve">P2: Improved </w:t>
            </w:r>
            <w:r w:rsidR="00710338" w:rsidRPr="00A84B49">
              <w:rPr>
                <w:b/>
                <w:bCs/>
                <w:color w:val="000000"/>
                <w:sz w:val="16"/>
                <w:szCs w:val="16"/>
              </w:rPr>
              <w:t xml:space="preserve">municipal </w:t>
            </w:r>
            <w:r w:rsidRPr="00A84B49">
              <w:rPr>
                <w:b/>
                <w:bCs/>
                <w:color w:val="000000"/>
                <w:sz w:val="16"/>
                <w:szCs w:val="16"/>
              </w:rPr>
              <w:t>c</w:t>
            </w:r>
            <w:r w:rsidR="00FF1299" w:rsidRPr="00A84B49">
              <w:rPr>
                <w:b/>
                <w:bCs/>
                <w:color w:val="000000"/>
                <w:sz w:val="16"/>
                <w:szCs w:val="16"/>
              </w:rPr>
              <w:t>apacity for citizen security management</w:t>
            </w:r>
            <w:r w:rsidRPr="00A84B49">
              <w:rPr>
                <w:b/>
                <w:bCs/>
                <w:color w:val="000000"/>
                <w:sz w:val="16"/>
                <w:szCs w:val="16"/>
              </w:rPr>
              <w:t xml:space="preserve"> (</w:t>
            </w:r>
            <w:r w:rsidR="00FF1299" w:rsidRPr="00A84B49">
              <w:rPr>
                <w:b/>
                <w:bCs/>
                <w:color w:val="000000"/>
                <w:sz w:val="16"/>
                <w:szCs w:val="16"/>
              </w:rPr>
              <w:t xml:space="preserve">incl. </w:t>
            </w:r>
            <w:r w:rsidRPr="00A84B49">
              <w:rPr>
                <w:b/>
                <w:bCs/>
                <w:color w:val="000000"/>
                <w:sz w:val="16"/>
                <w:szCs w:val="16"/>
              </w:rPr>
              <w:t>assessment, planning, monitoring and evaluation)</w:t>
            </w:r>
          </w:p>
          <w:p w14:paraId="57E2440B" w14:textId="77777777" w:rsidR="00565E1C" w:rsidRPr="00A84B49" w:rsidRDefault="00565E1C" w:rsidP="002927E7">
            <w:pPr>
              <w:rPr>
                <w:bCs/>
                <w:color w:val="000000"/>
                <w:sz w:val="16"/>
                <w:szCs w:val="16"/>
              </w:rPr>
            </w:pPr>
          </w:p>
          <w:p w14:paraId="1E592E85" w14:textId="7409361C" w:rsidR="00565E1C" w:rsidRPr="00A84B49" w:rsidRDefault="00565E1C" w:rsidP="002927E7">
            <w:pPr>
              <w:rPr>
                <w:bCs/>
                <w:color w:val="000000"/>
                <w:sz w:val="16"/>
                <w:szCs w:val="16"/>
              </w:rPr>
            </w:pPr>
            <w:r w:rsidRPr="00A84B49">
              <w:rPr>
                <w:bCs/>
                <w:color w:val="000000"/>
                <w:sz w:val="16"/>
                <w:szCs w:val="16"/>
              </w:rPr>
              <w:t>Indicator 1:</w:t>
            </w:r>
            <w:r w:rsidRPr="00A84B49">
              <w:t xml:space="preserve"> </w:t>
            </w:r>
            <w:r w:rsidRPr="00A84B49">
              <w:rPr>
                <w:bCs/>
                <w:color w:val="000000"/>
                <w:sz w:val="16"/>
                <w:szCs w:val="16"/>
              </w:rPr>
              <w:t>Number of target municipalities that implement evidence-based municipal security plans</w:t>
            </w:r>
            <w:r w:rsidR="00FF1299" w:rsidRPr="00A84B49">
              <w:rPr>
                <w:bCs/>
                <w:color w:val="000000"/>
                <w:sz w:val="16"/>
                <w:szCs w:val="16"/>
              </w:rPr>
              <w:t xml:space="preserve"> with reduced levels of violence</w:t>
            </w:r>
            <w:r w:rsidR="007071C7" w:rsidRPr="00A84B49">
              <w:rPr>
                <w:bCs/>
                <w:color w:val="000000"/>
                <w:sz w:val="16"/>
                <w:szCs w:val="16"/>
              </w:rPr>
              <w:t xml:space="preserve"> (disaggregated by type of violence, </w:t>
            </w:r>
            <w:r w:rsidR="000333E1" w:rsidRPr="00A84B49">
              <w:rPr>
                <w:bCs/>
                <w:color w:val="000000"/>
                <w:sz w:val="16"/>
                <w:szCs w:val="16"/>
              </w:rPr>
              <w:t>gender</w:t>
            </w:r>
            <w:r w:rsidR="007071C7" w:rsidRPr="00A84B49">
              <w:rPr>
                <w:bCs/>
                <w:color w:val="000000"/>
                <w:sz w:val="16"/>
                <w:szCs w:val="16"/>
              </w:rPr>
              <w:t>, age and other target groups).</w:t>
            </w:r>
          </w:p>
          <w:p w14:paraId="5E5A5398" w14:textId="77777777" w:rsidR="00565E1C" w:rsidRPr="00A84B49" w:rsidRDefault="00565E1C" w:rsidP="002927E7">
            <w:pPr>
              <w:rPr>
                <w:bCs/>
                <w:color w:val="000000"/>
                <w:sz w:val="16"/>
                <w:szCs w:val="16"/>
                <w:lang w:val="es-ES"/>
              </w:rPr>
            </w:pPr>
            <w:r w:rsidRPr="00A84B49">
              <w:rPr>
                <w:bCs/>
                <w:color w:val="000000"/>
                <w:sz w:val="16"/>
                <w:szCs w:val="16"/>
                <w:lang w:val="es-ES"/>
              </w:rPr>
              <w:t xml:space="preserve">Baseline (2016): 5 (Tela, Choloma, La Ceiba, San Pedro Sula and Tegucigalpa) </w:t>
            </w:r>
          </w:p>
          <w:p w14:paraId="4A45DFA9" w14:textId="77777777" w:rsidR="00565E1C" w:rsidRPr="00A84B49" w:rsidRDefault="00565E1C" w:rsidP="002927E7">
            <w:pPr>
              <w:rPr>
                <w:bCs/>
                <w:color w:val="000000"/>
                <w:sz w:val="16"/>
                <w:szCs w:val="16"/>
              </w:rPr>
            </w:pPr>
            <w:r w:rsidRPr="00A84B49">
              <w:rPr>
                <w:bCs/>
                <w:color w:val="000000"/>
                <w:sz w:val="16"/>
                <w:szCs w:val="16"/>
              </w:rPr>
              <w:t xml:space="preserve">Target: 12 </w:t>
            </w:r>
          </w:p>
          <w:p w14:paraId="75A23061" w14:textId="77777777" w:rsidR="00565E1C" w:rsidRPr="00A84B49" w:rsidRDefault="00565E1C" w:rsidP="002927E7">
            <w:pPr>
              <w:rPr>
                <w:bCs/>
                <w:color w:val="000000"/>
                <w:sz w:val="16"/>
                <w:szCs w:val="16"/>
              </w:rPr>
            </w:pPr>
            <w:r w:rsidRPr="00A84B49">
              <w:rPr>
                <w:bCs/>
                <w:color w:val="000000"/>
                <w:sz w:val="16"/>
                <w:szCs w:val="16"/>
              </w:rPr>
              <w:t xml:space="preserve">Source: Municipalities/Ministry of Security </w:t>
            </w:r>
          </w:p>
          <w:p w14:paraId="75198BC3" w14:textId="03B768C5" w:rsidR="00565E1C" w:rsidRPr="00A84B49" w:rsidRDefault="00565E1C" w:rsidP="002927E7">
            <w:pPr>
              <w:rPr>
                <w:bCs/>
                <w:color w:val="000000"/>
                <w:sz w:val="16"/>
                <w:szCs w:val="16"/>
                <w:lang w:val="es-HN"/>
              </w:rPr>
            </w:pPr>
            <w:r w:rsidRPr="00A84B49">
              <w:rPr>
                <w:bCs/>
                <w:color w:val="000000"/>
                <w:sz w:val="16"/>
                <w:szCs w:val="16"/>
                <w:lang w:val="es-HN"/>
              </w:rPr>
              <w:t>Frequency: Annual</w:t>
            </w:r>
          </w:p>
        </w:tc>
        <w:tc>
          <w:tcPr>
            <w:tcW w:w="774" w:type="pct"/>
            <w:vMerge w:val="restart"/>
            <w:tcBorders>
              <w:top w:val="single" w:sz="4" w:space="0" w:color="auto"/>
              <w:left w:val="single" w:sz="8" w:space="0" w:color="000000"/>
              <w:right w:val="single" w:sz="8" w:space="0" w:color="000000"/>
            </w:tcBorders>
          </w:tcPr>
          <w:p w14:paraId="7013AD2D" w14:textId="17CA0E0F" w:rsidR="00565E1C" w:rsidRPr="00341459" w:rsidRDefault="00565E1C" w:rsidP="00E33242">
            <w:pPr>
              <w:rPr>
                <w:iCs/>
                <w:color w:val="000000"/>
                <w:sz w:val="16"/>
                <w:szCs w:val="16"/>
              </w:rPr>
            </w:pPr>
            <w:r w:rsidRPr="00A84B49">
              <w:rPr>
                <w:iCs/>
                <w:color w:val="000000"/>
                <w:sz w:val="16"/>
                <w:szCs w:val="16"/>
              </w:rPr>
              <w:lastRenderedPageBreak/>
              <w:t xml:space="preserve">Ministry of Security, </w:t>
            </w:r>
            <w:r w:rsidR="00DD59B7" w:rsidRPr="00A84B49">
              <w:rPr>
                <w:iCs/>
                <w:color w:val="000000"/>
                <w:sz w:val="16"/>
                <w:szCs w:val="16"/>
              </w:rPr>
              <w:t>m</w:t>
            </w:r>
            <w:r w:rsidRPr="00A84B49">
              <w:rPr>
                <w:iCs/>
                <w:color w:val="000000"/>
                <w:sz w:val="16"/>
                <w:szCs w:val="16"/>
              </w:rPr>
              <w:t xml:space="preserve">unicipalities, UNAH, </w:t>
            </w:r>
            <w:r w:rsidR="00124EC9" w:rsidRPr="00A84B49">
              <w:rPr>
                <w:iCs/>
                <w:color w:val="000000"/>
                <w:sz w:val="16"/>
                <w:szCs w:val="16"/>
              </w:rPr>
              <w:t>j</w:t>
            </w:r>
            <w:r w:rsidRPr="00A84B49">
              <w:rPr>
                <w:iCs/>
                <w:color w:val="000000"/>
                <w:sz w:val="16"/>
                <w:szCs w:val="16"/>
              </w:rPr>
              <w:t xml:space="preserve">udiciary, private </w:t>
            </w:r>
            <w:r w:rsidR="00882B34" w:rsidRPr="00A84B49">
              <w:rPr>
                <w:iCs/>
                <w:color w:val="000000"/>
                <w:sz w:val="16"/>
                <w:szCs w:val="16"/>
              </w:rPr>
              <w:t>sector</w:t>
            </w:r>
            <w:r w:rsidRPr="00A84B49">
              <w:rPr>
                <w:iCs/>
                <w:color w:val="000000"/>
                <w:sz w:val="16"/>
                <w:szCs w:val="16"/>
              </w:rPr>
              <w:t xml:space="preserve">, </w:t>
            </w:r>
            <w:r w:rsidR="008D4C7C" w:rsidRPr="00A84B49">
              <w:rPr>
                <w:iCs/>
                <w:color w:val="000000"/>
                <w:sz w:val="16"/>
                <w:szCs w:val="16"/>
              </w:rPr>
              <w:t>COHEP</w:t>
            </w:r>
            <w:r w:rsidR="008D4C7C" w:rsidRPr="00341459">
              <w:rPr>
                <w:iCs/>
                <w:color w:val="000000"/>
                <w:sz w:val="16"/>
                <w:szCs w:val="16"/>
              </w:rPr>
              <w:t xml:space="preserve">, Chambers of Commerce, </w:t>
            </w:r>
            <w:r w:rsidR="00F43E8F">
              <w:rPr>
                <w:iCs/>
                <w:color w:val="000000"/>
                <w:sz w:val="16"/>
                <w:szCs w:val="16"/>
              </w:rPr>
              <w:t xml:space="preserve"> </w:t>
            </w:r>
            <w:r w:rsidRPr="00A84B49">
              <w:rPr>
                <w:iCs/>
                <w:color w:val="000000"/>
                <w:sz w:val="16"/>
                <w:szCs w:val="16"/>
              </w:rPr>
              <w:t>IDECOAS-FHIS</w:t>
            </w:r>
            <w:r w:rsidRPr="00341459">
              <w:rPr>
                <w:iCs/>
                <w:color w:val="000000"/>
                <w:sz w:val="16"/>
                <w:szCs w:val="16"/>
              </w:rPr>
              <w:t>, AMHON</w:t>
            </w:r>
          </w:p>
          <w:p w14:paraId="3DE78292" w14:textId="77777777" w:rsidR="00565E1C" w:rsidRPr="00A84B49" w:rsidRDefault="00565E1C" w:rsidP="0033588E">
            <w:pPr>
              <w:jc w:val="both"/>
              <w:rPr>
                <w:iCs/>
                <w:color w:val="000000"/>
                <w:sz w:val="16"/>
                <w:szCs w:val="16"/>
              </w:rPr>
            </w:pPr>
          </w:p>
          <w:p w14:paraId="7588F22D" w14:textId="6CF5BB1B" w:rsidR="00565E1C" w:rsidRPr="00A84B49" w:rsidRDefault="00565E1C" w:rsidP="00E33242">
            <w:pPr>
              <w:rPr>
                <w:iCs/>
                <w:color w:val="000000"/>
                <w:sz w:val="16"/>
                <w:szCs w:val="16"/>
              </w:rPr>
            </w:pPr>
            <w:r w:rsidRPr="00A84B49">
              <w:rPr>
                <w:iCs/>
                <w:color w:val="000000"/>
                <w:sz w:val="16"/>
                <w:szCs w:val="16"/>
              </w:rPr>
              <w:t>UN Women, UNV, UNFPA</w:t>
            </w:r>
            <w:r w:rsidR="00717790" w:rsidRPr="00A84B49">
              <w:rPr>
                <w:iCs/>
                <w:color w:val="000000"/>
                <w:sz w:val="16"/>
                <w:szCs w:val="16"/>
              </w:rPr>
              <w:t>, UNICEF, UNAIDS</w:t>
            </w:r>
            <w:r w:rsidR="001335E8" w:rsidRPr="00A84B49">
              <w:rPr>
                <w:iCs/>
                <w:color w:val="000000"/>
                <w:sz w:val="16"/>
                <w:szCs w:val="16"/>
              </w:rPr>
              <w:t>, UNHCR</w:t>
            </w:r>
          </w:p>
          <w:p w14:paraId="21BFB211" w14:textId="77777777" w:rsidR="00565E1C" w:rsidRPr="00A84B49" w:rsidRDefault="00565E1C" w:rsidP="00E33242">
            <w:pPr>
              <w:rPr>
                <w:iCs/>
                <w:color w:val="000000"/>
                <w:sz w:val="16"/>
                <w:szCs w:val="16"/>
              </w:rPr>
            </w:pPr>
          </w:p>
          <w:p w14:paraId="7A51470A" w14:textId="1F6F55E9" w:rsidR="00565E1C" w:rsidRPr="00341459" w:rsidRDefault="00565E1C" w:rsidP="00E33242">
            <w:pPr>
              <w:rPr>
                <w:iCs/>
                <w:color w:val="000000"/>
                <w:sz w:val="16"/>
                <w:szCs w:val="16"/>
              </w:rPr>
            </w:pPr>
            <w:r w:rsidRPr="00A84B49">
              <w:rPr>
                <w:iCs/>
                <w:color w:val="000000"/>
                <w:sz w:val="16"/>
                <w:szCs w:val="16"/>
              </w:rPr>
              <w:t>USAID, World Bank, EU, AECID</w:t>
            </w:r>
            <w:r w:rsidR="00882B34" w:rsidRPr="00A84B49">
              <w:rPr>
                <w:iCs/>
                <w:color w:val="000000"/>
                <w:sz w:val="16"/>
                <w:szCs w:val="16"/>
              </w:rPr>
              <w:t>, SICA</w:t>
            </w:r>
          </w:p>
          <w:p w14:paraId="70511CAA" w14:textId="77777777" w:rsidR="00882B34" w:rsidRPr="00A84B49" w:rsidRDefault="00882B34" w:rsidP="00E33242">
            <w:pPr>
              <w:rPr>
                <w:iCs/>
                <w:color w:val="000000"/>
                <w:sz w:val="16"/>
                <w:szCs w:val="16"/>
              </w:rPr>
            </w:pPr>
          </w:p>
          <w:p w14:paraId="521F0A9F" w14:textId="0E53063B" w:rsidR="00882B34" w:rsidRPr="00A84B49" w:rsidRDefault="00882B34" w:rsidP="00E33242">
            <w:pPr>
              <w:rPr>
                <w:iCs/>
                <w:color w:val="000000"/>
                <w:sz w:val="16"/>
                <w:szCs w:val="16"/>
              </w:rPr>
            </w:pPr>
            <w:r w:rsidRPr="00A84B49">
              <w:rPr>
                <w:iCs/>
                <w:color w:val="000000"/>
                <w:sz w:val="16"/>
                <w:szCs w:val="16"/>
              </w:rPr>
              <w:lastRenderedPageBreak/>
              <w:t>South-South Cooperation</w:t>
            </w:r>
            <w:r w:rsidR="00D35310" w:rsidRPr="00A84B49">
              <w:rPr>
                <w:iCs/>
                <w:color w:val="000000"/>
                <w:sz w:val="16"/>
                <w:szCs w:val="16"/>
              </w:rPr>
              <w:t xml:space="preserve"> (Citizen security)</w:t>
            </w:r>
          </w:p>
        </w:tc>
        <w:tc>
          <w:tcPr>
            <w:tcW w:w="749"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0BE74471" w14:textId="4B6B1A95" w:rsidR="00565E1C" w:rsidRPr="00A84B49" w:rsidRDefault="00565E1C" w:rsidP="0033588E">
            <w:pPr>
              <w:rPr>
                <w:b/>
                <w:color w:val="000000"/>
                <w:sz w:val="16"/>
                <w:szCs w:val="16"/>
                <w:lang w:val="es-ES"/>
              </w:rPr>
            </w:pPr>
            <w:r w:rsidRPr="00A84B49">
              <w:rPr>
                <w:b/>
                <w:color w:val="000000"/>
                <w:sz w:val="16"/>
                <w:szCs w:val="16"/>
                <w:lang w:val="es-ES"/>
              </w:rPr>
              <w:lastRenderedPageBreak/>
              <w:t xml:space="preserve">Regular </w:t>
            </w:r>
            <w:r w:rsidR="001C3F91" w:rsidRPr="00A84B49">
              <w:rPr>
                <w:b/>
                <w:color w:val="000000"/>
                <w:sz w:val="16"/>
                <w:szCs w:val="16"/>
                <w:lang w:val="es-ES"/>
              </w:rPr>
              <w:t>20</w:t>
            </w:r>
            <w:r w:rsidRPr="00A84B49">
              <w:rPr>
                <w:b/>
                <w:color w:val="000000"/>
                <w:sz w:val="16"/>
                <w:szCs w:val="16"/>
                <w:lang w:val="es-ES"/>
              </w:rPr>
              <w:t>0,000</w:t>
            </w:r>
          </w:p>
        </w:tc>
      </w:tr>
      <w:tr w:rsidR="00565E1C" w:rsidRPr="00680758" w14:paraId="7C5A957E" w14:textId="77777777" w:rsidTr="00C173F9">
        <w:tc>
          <w:tcPr>
            <w:tcW w:w="1185" w:type="pct"/>
            <w:vMerge/>
            <w:tcBorders>
              <w:left w:val="single" w:sz="8" w:space="0" w:color="000000"/>
              <w:bottom w:val="single" w:sz="8" w:space="0" w:color="000000"/>
              <w:right w:val="single" w:sz="4" w:space="0" w:color="auto"/>
            </w:tcBorders>
            <w:tcMar>
              <w:top w:w="72" w:type="dxa"/>
              <w:left w:w="144" w:type="dxa"/>
              <w:bottom w:w="72" w:type="dxa"/>
              <w:right w:w="144" w:type="dxa"/>
            </w:tcMar>
          </w:tcPr>
          <w:p w14:paraId="2B211D15" w14:textId="77777777" w:rsidR="00565E1C" w:rsidRPr="00A84B49" w:rsidRDefault="00565E1C" w:rsidP="0033588E">
            <w:pPr>
              <w:rPr>
                <w:i/>
                <w:iCs/>
                <w:color w:val="000000"/>
                <w:sz w:val="16"/>
                <w:szCs w:val="16"/>
                <w:lang w:val="es-ES"/>
              </w:rPr>
            </w:pPr>
          </w:p>
        </w:tc>
        <w:tc>
          <w:tcPr>
            <w:tcW w:w="958" w:type="pct"/>
            <w:vMerge/>
            <w:tcBorders>
              <w:left w:val="single" w:sz="4" w:space="0" w:color="auto"/>
              <w:bottom w:val="single" w:sz="8" w:space="0" w:color="000000"/>
              <w:right w:val="single" w:sz="8" w:space="0" w:color="000000"/>
            </w:tcBorders>
          </w:tcPr>
          <w:p w14:paraId="30656B66" w14:textId="77777777" w:rsidR="00565E1C" w:rsidRPr="00A84B49" w:rsidRDefault="00565E1C" w:rsidP="0033588E">
            <w:pPr>
              <w:rPr>
                <w:i/>
                <w:iCs/>
                <w:color w:val="000000"/>
                <w:sz w:val="16"/>
                <w:szCs w:val="16"/>
                <w:lang w:val="es-ES"/>
              </w:rPr>
            </w:pPr>
          </w:p>
        </w:tc>
        <w:tc>
          <w:tcPr>
            <w:tcW w:w="1334" w:type="pct"/>
            <w:vMerge/>
            <w:tcBorders>
              <w:left w:val="single" w:sz="8" w:space="0" w:color="000000"/>
              <w:bottom w:val="single" w:sz="8" w:space="0" w:color="000000"/>
              <w:right w:val="single" w:sz="8" w:space="0" w:color="000000"/>
            </w:tcBorders>
            <w:tcMar>
              <w:top w:w="72" w:type="dxa"/>
              <w:left w:w="144" w:type="dxa"/>
              <w:bottom w:w="72" w:type="dxa"/>
              <w:right w:w="144" w:type="dxa"/>
            </w:tcMar>
          </w:tcPr>
          <w:p w14:paraId="3DD5E772" w14:textId="77777777" w:rsidR="00565E1C" w:rsidRPr="00A84B49" w:rsidRDefault="00565E1C" w:rsidP="0033588E">
            <w:pPr>
              <w:rPr>
                <w:i/>
                <w:iCs/>
                <w:color w:val="000000"/>
                <w:sz w:val="16"/>
                <w:szCs w:val="16"/>
                <w:lang w:val="es-ES"/>
              </w:rPr>
            </w:pPr>
          </w:p>
        </w:tc>
        <w:tc>
          <w:tcPr>
            <w:tcW w:w="774" w:type="pct"/>
            <w:vMerge/>
            <w:tcBorders>
              <w:left w:val="single" w:sz="8" w:space="0" w:color="000000"/>
              <w:bottom w:val="single" w:sz="8" w:space="0" w:color="000000"/>
              <w:right w:val="single" w:sz="8" w:space="0" w:color="000000"/>
            </w:tcBorders>
          </w:tcPr>
          <w:p w14:paraId="521CCD84" w14:textId="77777777" w:rsidR="00565E1C" w:rsidRPr="00A84B49" w:rsidRDefault="00565E1C" w:rsidP="0033588E">
            <w:pPr>
              <w:rPr>
                <w:i/>
                <w:iCs/>
                <w:color w:val="000000"/>
                <w:sz w:val="16"/>
                <w:szCs w:val="16"/>
                <w:lang w:val="es-ES"/>
              </w:rPr>
            </w:pPr>
          </w:p>
        </w:tc>
        <w:tc>
          <w:tcPr>
            <w:tcW w:w="749" w:type="pct"/>
            <w:tcBorders>
              <w:top w:val="single" w:sz="4" w:space="0" w:color="auto"/>
              <w:left w:val="single" w:sz="8" w:space="0" w:color="000000"/>
              <w:bottom w:val="single" w:sz="8" w:space="0" w:color="000000"/>
              <w:right w:val="single" w:sz="8" w:space="0" w:color="000000"/>
            </w:tcBorders>
            <w:tcMar>
              <w:top w:w="15" w:type="dxa"/>
              <w:left w:w="108" w:type="dxa"/>
              <w:bottom w:w="0" w:type="dxa"/>
              <w:right w:w="108" w:type="dxa"/>
            </w:tcMar>
          </w:tcPr>
          <w:p w14:paraId="36051745" w14:textId="3D8A07BA" w:rsidR="00565E1C" w:rsidRPr="00A84B49" w:rsidRDefault="00565E1C" w:rsidP="0064388A">
            <w:pPr>
              <w:rPr>
                <w:b/>
                <w:color w:val="000000"/>
                <w:sz w:val="16"/>
                <w:szCs w:val="16"/>
                <w:lang w:val="es-ES"/>
              </w:rPr>
            </w:pPr>
            <w:r w:rsidRPr="00A84B49">
              <w:rPr>
                <w:b/>
                <w:color w:val="000000"/>
                <w:sz w:val="16"/>
                <w:szCs w:val="16"/>
                <w:lang w:val="es-ES"/>
              </w:rPr>
              <w:t>Other</w:t>
            </w:r>
            <w:r w:rsidR="001C3F91" w:rsidRPr="00A84B49">
              <w:rPr>
                <w:b/>
                <w:color w:val="000000"/>
                <w:sz w:val="16"/>
                <w:szCs w:val="16"/>
                <w:lang w:val="es-ES"/>
              </w:rPr>
              <w:t xml:space="preserve"> 10,62</w:t>
            </w:r>
            <w:r w:rsidRPr="00A84B49">
              <w:rPr>
                <w:b/>
                <w:color w:val="000000"/>
                <w:sz w:val="16"/>
                <w:szCs w:val="16"/>
                <w:lang w:val="es-ES"/>
              </w:rPr>
              <w:t>4,</w:t>
            </w:r>
            <w:r w:rsidR="001C3F91" w:rsidRPr="00A84B49">
              <w:rPr>
                <w:b/>
                <w:color w:val="000000"/>
                <w:sz w:val="16"/>
                <w:szCs w:val="16"/>
                <w:lang w:val="es-ES"/>
              </w:rPr>
              <w:t>116</w:t>
            </w:r>
          </w:p>
        </w:tc>
      </w:tr>
      <w:tr w:rsidR="00565E1C" w:rsidRPr="00680758" w14:paraId="5F83A02F" w14:textId="77777777" w:rsidTr="002927E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260466" w14:textId="27119042" w:rsidR="00565E1C" w:rsidRPr="00A84B49" w:rsidRDefault="00565E1C" w:rsidP="0033588E">
            <w:pPr>
              <w:rPr>
                <w:bCs/>
                <w:color w:val="000000"/>
                <w:sz w:val="16"/>
                <w:szCs w:val="16"/>
              </w:rPr>
            </w:pPr>
            <w:r w:rsidRPr="00341459">
              <w:rPr>
                <w:b/>
                <w:bCs/>
                <w:color w:val="000000"/>
                <w:sz w:val="16"/>
                <w:szCs w:val="16"/>
              </w:rPr>
              <w:t>NATIONAL PRIORITY OR OBJECTIVE</w:t>
            </w:r>
            <w:r w:rsidR="00CA7F1C" w:rsidRPr="00341459">
              <w:rPr>
                <w:rStyle w:val="FootnoteReference"/>
                <w:b/>
                <w:bCs/>
                <w:color w:val="000000"/>
                <w:sz w:val="16"/>
                <w:szCs w:val="16"/>
              </w:rPr>
              <w:footnoteReference w:id="42"/>
            </w:r>
            <w:r w:rsidRPr="00341459">
              <w:rPr>
                <w:b/>
                <w:bCs/>
                <w:color w:val="000000"/>
                <w:sz w:val="16"/>
                <w:szCs w:val="16"/>
              </w:rPr>
              <w:t xml:space="preserve">:  </w:t>
            </w:r>
            <w:r w:rsidRPr="00341459">
              <w:rPr>
                <w:bCs/>
                <w:color w:val="000000"/>
                <w:sz w:val="16"/>
                <w:szCs w:val="16"/>
              </w:rPr>
              <w:t xml:space="preserve">A productive Honduras, generating opportunities and decent employment, which uses its natural </w:t>
            </w:r>
            <w:r w:rsidRPr="00A84B49">
              <w:rPr>
                <w:bCs/>
                <w:color w:val="000000"/>
                <w:sz w:val="16"/>
                <w:szCs w:val="16"/>
              </w:rPr>
              <w:t>resources in a sustainable manner and reduces environmental vulnerability.</w:t>
            </w:r>
          </w:p>
        </w:tc>
      </w:tr>
      <w:tr w:rsidR="00565E1C" w:rsidRPr="00680758" w14:paraId="7283621D" w14:textId="77777777" w:rsidTr="002927E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A510D3" w14:textId="77777777" w:rsidR="00565E1C" w:rsidRPr="00A84B49" w:rsidRDefault="00565E1C" w:rsidP="0033588E">
            <w:pPr>
              <w:rPr>
                <w:bCs/>
                <w:color w:val="000000"/>
                <w:sz w:val="16"/>
                <w:szCs w:val="16"/>
              </w:rPr>
            </w:pPr>
            <w:r w:rsidRPr="00341459">
              <w:rPr>
                <w:b/>
                <w:bCs/>
                <w:color w:val="000000"/>
                <w:sz w:val="16"/>
                <w:szCs w:val="16"/>
              </w:rPr>
              <w:t>SDG</w:t>
            </w:r>
            <w:r w:rsidRPr="00341459">
              <w:rPr>
                <w:bCs/>
                <w:color w:val="000000"/>
                <w:sz w:val="16"/>
                <w:szCs w:val="16"/>
              </w:rPr>
              <w:t>: 1. No Poverty, 2. Zero Hunger, 4. Quality Education, 5. Gender Equality, 6. Clean water and sanitation; 7. Affordable and Clean Energy, 8. Decent Work and Economic Growth, 9. Industry, Innovation and Infrastructure, 10. Reduced Inequality, 11. Sustainabl</w:t>
            </w:r>
            <w:r w:rsidRPr="00A84B49">
              <w:rPr>
                <w:bCs/>
                <w:color w:val="000000"/>
                <w:sz w:val="16"/>
                <w:szCs w:val="16"/>
              </w:rPr>
              <w:t xml:space="preserve">e Cities and Communities, 12. Responsible Production and Consumption, 13. Climate Action, 14. Life Below Water, 15. Life on Land and 17. Partnerships for the Goals. </w:t>
            </w:r>
          </w:p>
        </w:tc>
      </w:tr>
      <w:tr w:rsidR="00565E1C" w:rsidRPr="00680758" w14:paraId="332D3B69" w14:textId="77777777" w:rsidTr="002927E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57EF38" w14:textId="77777777" w:rsidR="00565E1C" w:rsidRPr="00341459" w:rsidRDefault="00565E1C" w:rsidP="00FF1299">
            <w:pPr>
              <w:jc w:val="both"/>
              <w:rPr>
                <w:color w:val="000000"/>
                <w:sz w:val="16"/>
                <w:szCs w:val="16"/>
              </w:rPr>
            </w:pPr>
            <w:r w:rsidRPr="00341459">
              <w:rPr>
                <w:color w:val="000000"/>
                <w:sz w:val="16"/>
                <w:szCs w:val="16"/>
              </w:rPr>
              <w:t>UNDAF OUTCOME (OR EQUIVILENT) INVOLVING UNDP:</w:t>
            </w:r>
          </w:p>
          <w:p w14:paraId="0980F46A" w14:textId="2E7B7952" w:rsidR="00565E1C" w:rsidRPr="00A84B49" w:rsidRDefault="00536B56" w:rsidP="00536B56">
            <w:pPr>
              <w:jc w:val="both"/>
              <w:rPr>
                <w:color w:val="000000"/>
                <w:sz w:val="16"/>
                <w:szCs w:val="16"/>
              </w:rPr>
            </w:pPr>
            <w:r w:rsidRPr="00A84B49">
              <w:rPr>
                <w:color w:val="000000"/>
                <w:sz w:val="16"/>
                <w:szCs w:val="16"/>
              </w:rPr>
              <w:t>P</w:t>
            </w:r>
            <w:r w:rsidR="00FF1299" w:rsidRPr="00A84B49">
              <w:rPr>
                <w:color w:val="000000"/>
                <w:sz w:val="16"/>
                <w:szCs w:val="16"/>
              </w:rPr>
              <w:t>opulation</w:t>
            </w:r>
            <w:r w:rsidRPr="00A84B49">
              <w:rPr>
                <w:color w:val="000000"/>
                <w:sz w:val="16"/>
                <w:szCs w:val="16"/>
              </w:rPr>
              <w:t>s</w:t>
            </w:r>
            <w:r w:rsidR="00FF1299" w:rsidRPr="00A84B49">
              <w:rPr>
                <w:color w:val="000000"/>
                <w:sz w:val="16"/>
                <w:szCs w:val="16"/>
              </w:rPr>
              <w:t xml:space="preserve"> in conditions of poverty and vulnerability to food insecurity in prioritized regions </w:t>
            </w:r>
            <w:r w:rsidRPr="00A84B49">
              <w:rPr>
                <w:color w:val="000000"/>
                <w:sz w:val="16"/>
                <w:szCs w:val="16"/>
              </w:rPr>
              <w:t>e</w:t>
            </w:r>
            <w:r w:rsidR="00FF1299" w:rsidRPr="00A84B49">
              <w:rPr>
                <w:color w:val="000000"/>
                <w:sz w:val="16"/>
                <w:szCs w:val="16"/>
              </w:rPr>
              <w:t xml:space="preserve"> increase production and productivity, </w:t>
            </w:r>
            <w:r w:rsidRPr="00A84B49">
              <w:rPr>
                <w:color w:val="000000"/>
                <w:sz w:val="16"/>
                <w:szCs w:val="16"/>
              </w:rPr>
              <w:t xml:space="preserve">gain </w:t>
            </w:r>
            <w:r w:rsidR="00FF1299" w:rsidRPr="00A84B49">
              <w:rPr>
                <w:color w:val="000000"/>
                <w:sz w:val="16"/>
                <w:szCs w:val="16"/>
              </w:rPr>
              <w:t xml:space="preserve">access to decent work, </w:t>
            </w:r>
            <w:r w:rsidRPr="00A84B49">
              <w:rPr>
                <w:color w:val="000000"/>
                <w:sz w:val="16"/>
                <w:szCs w:val="16"/>
              </w:rPr>
              <w:t xml:space="preserve">increase </w:t>
            </w:r>
            <w:r w:rsidR="00FF1299" w:rsidRPr="00A84B49">
              <w:rPr>
                <w:color w:val="000000"/>
                <w:sz w:val="16"/>
                <w:szCs w:val="16"/>
              </w:rPr>
              <w:t xml:space="preserve">income and responsible consumption, </w:t>
            </w:r>
            <w:r w:rsidRPr="00A84B49">
              <w:rPr>
                <w:color w:val="000000"/>
                <w:sz w:val="16"/>
                <w:szCs w:val="16"/>
              </w:rPr>
              <w:t xml:space="preserve">while </w:t>
            </w:r>
            <w:r w:rsidR="00FF1299" w:rsidRPr="00A84B49">
              <w:rPr>
                <w:color w:val="000000"/>
                <w:sz w:val="16"/>
                <w:szCs w:val="16"/>
              </w:rPr>
              <w:t>taking into account climate change</w:t>
            </w:r>
            <w:r w:rsidRPr="00A84B49">
              <w:rPr>
                <w:color w:val="000000"/>
                <w:sz w:val="16"/>
                <w:szCs w:val="16"/>
              </w:rPr>
              <w:t>,</w:t>
            </w:r>
            <w:r w:rsidR="00FF1299" w:rsidRPr="00A84B49">
              <w:rPr>
                <w:color w:val="000000"/>
                <w:sz w:val="16"/>
                <w:szCs w:val="16"/>
              </w:rPr>
              <w:t xml:space="preserve"> conservation and sustainable management of eco-systems</w:t>
            </w:r>
            <w:r w:rsidR="001974DE" w:rsidRPr="00A84B49">
              <w:rPr>
                <w:color w:val="000000"/>
                <w:sz w:val="16"/>
                <w:szCs w:val="16"/>
              </w:rPr>
              <w:t>.</w:t>
            </w:r>
          </w:p>
        </w:tc>
      </w:tr>
      <w:tr w:rsidR="00565E1C" w:rsidRPr="00680758" w14:paraId="04BA3161" w14:textId="77777777" w:rsidTr="002927E7">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4CE7C2" w14:textId="77777777" w:rsidR="00565E1C" w:rsidRPr="00341459" w:rsidRDefault="00565E1C" w:rsidP="0033588E">
            <w:pPr>
              <w:rPr>
                <w:b/>
                <w:iCs/>
                <w:sz w:val="16"/>
                <w:szCs w:val="16"/>
              </w:rPr>
            </w:pPr>
            <w:r w:rsidRPr="00341459">
              <w:rPr>
                <w:b/>
                <w:bCs/>
                <w:color w:val="000000"/>
                <w:sz w:val="16"/>
                <w:szCs w:val="16"/>
              </w:rPr>
              <w:t xml:space="preserve">RELATED 2014-2017 STRATEGIC PLAN OUTCOME:  </w:t>
            </w:r>
          </w:p>
          <w:p w14:paraId="4663FBA8" w14:textId="77777777" w:rsidR="00565E1C" w:rsidRPr="00A84B49" w:rsidRDefault="00565E1C" w:rsidP="0033588E">
            <w:pPr>
              <w:jc w:val="both"/>
              <w:rPr>
                <w:color w:val="000000"/>
                <w:sz w:val="16"/>
                <w:szCs w:val="16"/>
              </w:rPr>
            </w:pPr>
            <w:r w:rsidRPr="00A84B49">
              <w:rPr>
                <w:color w:val="000000"/>
                <w:sz w:val="16"/>
                <w:szCs w:val="16"/>
              </w:rPr>
              <w:t>O1: Growth is inclusive and sustainable, incorporating productive capacities that create employment and livelihoods for the poor and excluded.</w:t>
            </w:r>
          </w:p>
        </w:tc>
      </w:tr>
      <w:tr w:rsidR="00565E1C" w:rsidRPr="00680758" w14:paraId="22E8B680" w14:textId="77777777" w:rsidTr="00C173F9">
        <w:tc>
          <w:tcPr>
            <w:tcW w:w="1185" w:type="pct"/>
            <w:vMerge w:val="restart"/>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tcPr>
          <w:p w14:paraId="494D998D" w14:textId="405A5622" w:rsidR="00565E1C" w:rsidRPr="00A84B49" w:rsidRDefault="00565E1C" w:rsidP="00DD59B7">
            <w:pPr>
              <w:rPr>
                <w:bCs/>
                <w:color w:val="000000"/>
                <w:sz w:val="16"/>
                <w:szCs w:val="16"/>
              </w:rPr>
            </w:pPr>
            <w:r w:rsidRPr="00341459">
              <w:rPr>
                <w:bCs/>
                <w:color w:val="000000"/>
                <w:sz w:val="16"/>
                <w:szCs w:val="16"/>
              </w:rPr>
              <w:t xml:space="preserve">Indicator 1: Percentage change of annual household income disaggregated by </w:t>
            </w:r>
            <w:r w:rsidR="000333E1" w:rsidRPr="00A84B49">
              <w:rPr>
                <w:bCs/>
                <w:color w:val="000000"/>
                <w:sz w:val="16"/>
                <w:szCs w:val="16"/>
              </w:rPr>
              <w:t xml:space="preserve">gender </w:t>
            </w:r>
            <w:r w:rsidRPr="00A84B49">
              <w:rPr>
                <w:bCs/>
                <w:color w:val="000000"/>
                <w:sz w:val="16"/>
                <w:szCs w:val="16"/>
              </w:rPr>
              <w:t xml:space="preserve">and economic activity. Sum of </w:t>
            </w:r>
            <w:r w:rsidR="0091350F" w:rsidRPr="00A84B49">
              <w:rPr>
                <w:bCs/>
                <w:color w:val="000000"/>
                <w:sz w:val="16"/>
                <w:szCs w:val="16"/>
              </w:rPr>
              <w:t>s</w:t>
            </w:r>
            <w:r w:rsidRPr="00A84B49">
              <w:rPr>
                <w:bCs/>
                <w:color w:val="000000"/>
                <w:sz w:val="16"/>
                <w:szCs w:val="16"/>
              </w:rPr>
              <w:t xml:space="preserve">econdary </w:t>
            </w:r>
            <w:r w:rsidR="0091350F" w:rsidRPr="00A84B49">
              <w:rPr>
                <w:bCs/>
                <w:color w:val="000000"/>
                <w:sz w:val="16"/>
                <w:szCs w:val="16"/>
              </w:rPr>
              <w:t>p</w:t>
            </w:r>
            <w:r w:rsidRPr="00A84B49">
              <w:rPr>
                <w:bCs/>
                <w:color w:val="000000"/>
                <w:sz w:val="16"/>
                <w:szCs w:val="16"/>
              </w:rPr>
              <w:t xml:space="preserve">rincipal </w:t>
            </w:r>
            <w:r w:rsidR="0091350F" w:rsidRPr="00A84B49">
              <w:rPr>
                <w:bCs/>
                <w:color w:val="000000"/>
                <w:sz w:val="16"/>
                <w:szCs w:val="16"/>
              </w:rPr>
              <w:t>i</w:t>
            </w:r>
            <w:r w:rsidRPr="00A84B49">
              <w:rPr>
                <w:bCs/>
                <w:color w:val="000000"/>
                <w:sz w:val="16"/>
                <w:szCs w:val="16"/>
              </w:rPr>
              <w:t>ncome</w:t>
            </w:r>
          </w:p>
          <w:p w14:paraId="41089E99" w14:textId="20BE8D31" w:rsidR="00565E1C" w:rsidRPr="00A84B49" w:rsidRDefault="00565E1C" w:rsidP="00DD59B7">
            <w:pPr>
              <w:rPr>
                <w:bCs/>
                <w:color w:val="000000"/>
                <w:sz w:val="16"/>
                <w:szCs w:val="16"/>
              </w:rPr>
            </w:pPr>
            <w:r w:rsidRPr="00A84B49">
              <w:rPr>
                <w:bCs/>
                <w:color w:val="000000"/>
                <w:sz w:val="16"/>
                <w:szCs w:val="16"/>
              </w:rPr>
              <w:t xml:space="preserve">BL: </w:t>
            </w:r>
            <w:r w:rsidR="00D1214A" w:rsidRPr="00A84B49">
              <w:rPr>
                <w:bCs/>
                <w:color w:val="000000"/>
                <w:sz w:val="16"/>
                <w:szCs w:val="16"/>
              </w:rPr>
              <w:t>TBD</w:t>
            </w:r>
          </w:p>
          <w:p w14:paraId="02B92E66" w14:textId="77777777" w:rsidR="00565E1C" w:rsidRPr="00A84B49" w:rsidRDefault="00565E1C" w:rsidP="00DD59B7">
            <w:pPr>
              <w:rPr>
                <w:bCs/>
                <w:color w:val="000000"/>
                <w:sz w:val="16"/>
                <w:szCs w:val="16"/>
              </w:rPr>
            </w:pPr>
            <w:r w:rsidRPr="00A84B49">
              <w:rPr>
                <w:bCs/>
                <w:color w:val="000000"/>
                <w:sz w:val="16"/>
                <w:szCs w:val="16"/>
              </w:rPr>
              <w:t>Target: Increase of 7%.</w:t>
            </w:r>
          </w:p>
          <w:p w14:paraId="1535B83A" w14:textId="77777777" w:rsidR="00565E1C" w:rsidRPr="00A84B49" w:rsidRDefault="00565E1C" w:rsidP="009724C2">
            <w:pPr>
              <w:rPr>
                <w:bCs/>
                <w:color w:val="000000"/>
                <w:sz w:val="16"/>
                <w:szCs w:val="16"/>
              </w:rPr>
            </w:pPr>
          </w:p>
          <w:p w14:paraId="48E95340" w14:textId="77777777" w:rsidR="00565E1C" w:rsidRPr="00A84B49" w:rsidRDefault="00565E1C" w:rsidP="00E33242">
            <w:pPr>
              <w:rPr>
                <w:bCs/>
                <w:color w:val="000000"/>
                <w:sz w:val="16"/>
                <w:szCs w:val="16"/>
              </w:rPr>
            </w:pPr>
          </w:p>
          <w:p w14:paraId="3A2BA859" w14:textId="64A73B21" w:rsidR="00565E1C" w:rsidRPr="00A84B49" w:rsidRDefault="00565E1C" w:rsidP="00E33242">
            <w:pPr>
              <w:rPr>
                <w:bCs/>
                <w:color w:val="000000"/>
                <w:sz w:val="16"/>
                <w:szCs w:val="16"/>
              </w:rPr>
            </w:pPr>
            <w:r w:rsidRPr="00A84B49">
              <w:rPr>
                <w:bCs/>
                <w:color w:val="000000"/>
                <w:sz w:val="16"/>
                <w:szCs w:val="16"/>
              </w:rPr>
              <w:t>Indicator 2:</w:t>
            </w:r>
            <w:r w:rsidRPr="00A84B49">
              <w:t xml:space="preserve"> </w:t>
            </w:r>
            <w:r w:rsidRPr="00A84B49">
              <w:rPr>
                <w:bCs/>
                <w:color w:val="000000"/>
                <w:sz w:val="16"/>
                <w:szCs w:val="16"/>
              </w:rPr>
              <w:t>Hectares of land managed sustainably under a conservation, sustainable use or access and benefits sharing regime.</w:t>
            </w:r>
          </w:p>
          <w:p w14:paraId="37E63FF7" w14:textId="77777777" w:rsidR="00565E1C" w:rsidRPr="00A84B49" w:rsidRDefault="00565E1C" w:rsidP="00DD59B7">
            <w:pPr>
              <w:rPr>
                <w:bCs/>
                <w:color w:val="000000"/>
                <w:sz w:val="16"/>
                <w:szCs w:val="16"/>
                <w:lang w:val="es-ES"/>
              </w:rPr>
            </w:pPr>
            <w:r w:rsidRPr="00A84B49">
              <w:rPr>
                <w:bCs/>
                <w:color w:val="000000"/>
                <w:sz w:val="16"/>
                <w:szCs w:val="16"/>
                <w:lang w:val="es-ES"/>
              </w:rPr>
              <w:t>Baseline: 0</w:t>
            </w:r>
          </w:p>
          <w:p w14:paraId="50B95CFF" w14:textId="2AA58EC5" w:rsidR="00565E1C" w:rsidRPr="00A84B49" w:rsidRDefault="00565E1C" w:rsidP="00DD59B7">
            <w:pPr>
              <w:rPr>
                <w:bCs/>
                <w:color w:val="000000"/>
                <w:sz w:val="16"/>
                <w:szCs w:val="16"/>
                <w:lang w:val="es-ES"/>
              </w:rPr>
            </w:pPr>
            <w:r w:rsidRPr="00A84B49">
              <w:rPr>
                <w:bCs/>
                <w:color w:val="000000"/>
                <w:sz w:val="16"/>
                <w:szCs w:val="16"/>
                <w:lang w:val="es-ES"/>
              </w:rPr>
              <w:t>Target: 450,000</w:t>
            </w:r>
          </w:p>
        </w:tc>
        <w:tc>
          <w:tcPr>
            <w:tcW w:w="958" w:type="pct"/>
            <w:vMerge w:val="restart"/>
            <w:tcBorders>
              <w:top w:val="single" w:sz="4" w:space="0" w:color="auto"/>
              <w:left w:val="single" w:sz="4" w:space="0" w:color="auto"/>
              <w:bottom w:val="single" w:sz="4" w:space="0" w:color="auto"/>
              <w:right w:val="single" w:sz="8" w:space="0" w:color="000000"/>
            </w:tcBorders>
          </w:tcPr>
          <w:p w14:paraId="72317415" w14:textId="0D3F8E2F" w:rsidR="00565E1C" w:rsidRPr="00341459" w:rsidRDefault="00565E1C" w:rsidP="00DD59B7">
            <w:pPr>
              <w:rPr>
                <w:bCs/>
                <w:color w:val="000000"/>
                <w:sz w:val="16"/>
                <w:szCs w:val="16"/>
              </w:rPr>
            </w:pPr>
            <w:r w:rsidRPr="00A84B49">
              <w:rPr>
                <w:bCs/>
                <w:color w:val="000000"/>
                <w:sz w:val="16"/>
                <w:szCs w:val="16"/>
              </w:rPr>
              <w:t xml:space="preserve">Source: </w:t>
            </w:r>
            <w:r w:rsidR="00536B56" w:rsidRPr="00A84B49">
              <w:rPr>
                <w:bCs/>
                <w:color w:val="000000"/>
                <w:sz w:val="16"/>
                <w:szCs w:val="16"/>
              </w:rPr>
              <w:t>INE</w:t>
            </w:r>
            <w:r w:rsidR="00903A63" w:rsidRPr="00A84B49">
              <w:rPr>
                <w:bCs/>
                <w:color w:val="000000"/>
                <w:sz w:val="16"/>
                <w:szCs w:val="16"/>
              </w:rPr>
              <w:t>, EPHPM</w:t>
            </w:r>
            <w:r w:rsidRPr="00341459">
              <w:rPr>
                <w:bCs/>
                <w:color w:val="000000"/>
                <w:sz w:val="16"/>
                <w:szCs w:val="16"/>
              </w:rPr>
              <w:t xml:space="preserve"> </w:t>
            </w:r>
          </w:p>
          <w:p w14:paraId="1823F0EF" w14:textId="77777777" w:rsidR="00124EC9" w:rsidRPr="00A84B49" w:rsidRDefault="00124EC9" w:rsidP="009724C2">
            <w:pPr>
              <w:rPr>
                <w:bCs/>
                <w:color w:val="000000"/>
                <w:sz w:val="16"/>
                <w:szCs w:val="16"/>
              </w:rPr>
            </w:pPr>
          </w:p>
          <w:p w14:paraId="6E3F3479" w14:textId="77777777" w:rsidR="00565E1C" w:rsidRPr="00A84B49" w:rsidRDefault="00565E1C" w:rsidP="009724C2">
            <w:pPr>
              <w:rPr>
                <w:bCs/>
                <w:color w:val="000000"/>
                <w:sz w:val="16"/>
                <w:szCs w:val="16"/>
              </w:rPr>
            </w:pPr>
            <w:r w:rsidRPr="00A84B49">
              <w:rPr>
                <w:bCs/>
                <w:color w:val="000000"/>
                <w:sz w:val="16"/>
                <w:szCs w:val="16"/>
              </w:rPr>
              <w:t>Frequency: Annual</w:t>
            </w:r>
          </w:p>
          <w:p w14:paraId="2FC19FC5" w14:textId="77777777" w:rsidR="00124EC9" w:rsidRPr="00A84B49" w:rsidRDefault="00124EC9" w:rsidP="00606C17">
            <w:pPr>
              <w:rPr>
                <w:bCs/>
                <w:color w:val="000000"/>
                <w:sz w:val="16"/>
                <w:szCs w:val="16"/>
              </w:rPr>
            </w:pPr>
          </w:p>
          <w:p w14:paraId="09CD0710" w14:textId="0F941173" w:rsidR="00565E1C" w:rsidRPr="00A84B49" w:rsidRDefault="00565E1C" w:rsidP="00606C17">
            <w:pPr>
              <w:rPr>
                <w:bCs/>
                <w:color w:val="000000"/>
                <w:sz w:val="16"/>
                <w:szCs w:val="16"/>
              </w:rPr>
            </w:pPr>
            <w:r w:rsidRPr="00A84B49">
              <w:rPr>
                <w:bCs/>
                <w:color w:val="000000"/>
                <w:sz w:val="16"/>
                <w:szCs w:val="16"/>
              </w:rPr>
              <w:t xml:space="preserve">Responsible Agency: </w:t>
            </w:r>
            <w:r w:rsidR="00536B56" w:rsidRPr="00A84B49">
              <w:rPr>
                <w:bCs/>
                <w:color w:val="000000"/>
                <w:sz w:val="16"/>
                <w:szCs w:val="16"/>
              </w:rPr>
              <w:t>INE</w:t>
            </w:r>
          </w:p>
          <w:p w14:paraId="1994A318" w14:textId="77777777" w:rsidR="00565E1C" w:rsidRPr="00A84B49" w:rsidRDefault="00565E1C" w:rsidP="00606C17">
            <w:pPr>
              <w:rPr>
                <w:bCs/>
                <w:color w:val="000000"/>
                <w:sz w:val="16"/>
                <w:szCs w:val="16"/>
              </w:rPr>
            </w:pPr>
          </w:p>
          <w:p w14:paraId="76417E9F" w14:textId="77777777" w:rsidR="00565E1C" w:rsidRPr="00A84B49" w:rsidRDefault="00565E1C" w:rsidP="00606C17">
            <w:pPr>
              <w:rPr>
                <w:bCs/>
                <w:color w:val="000000"/>
                <w:sz w:val="16"/>
                <w:szCs w:val="16"/>
              </w:rPr>
            </w:pPr>
          </w:p>
          <w:p w14:paraId="49A38EB9" w14:textId="77777777" w:rsidR="00565E1C" w:rsidRPr="00A84B49" w:rsidRDefault="00565E1C" w:rsidP="000B1B26">
            <w:pPr>
              <w:rPr>
                <w:bCs/>
                <w:color w:val="000000"/>
                <w:sz w:val="16"/>
                <w:szCs w:val="16"/>
              </w:rPr>
            </w:pPr>
          </w:p>
          <w:p w14:paraId="5C097E47" w14:textId="77777777" w:rsidR="00124EC9" w:rsidRPr="00A84B49" w:rsidRDefault="00124EC9" w:rsidP="000B1B26">
            <w:pPr>
              <w:rPr>
                <w:bCs/>
                <w:color w:val="000000"/>
                <w:sz w:val="16"/>
                <w:szCs w:val="16"/>
              </w:rPr>
            </w:pPr>
          </w:p>
          <w:p w14:paraId="3C6FE187" w14:textId="77777777" w:rsidR="00124EC9" w:rsidRPr="00A84B49" w:rsidRDefault="00124EC9" w:rsidP="000B1B26">
            <w:pPr>
              <w:rPr>
                <w:bCs/>
                <w:color w:val="000000"/>
                <w:sz w:val="16"/>
                <w:szCs w:val="16"/>
              </w:rPr>
            </w:pPr>
          </w:p>
          <w:p w14:paraId="22A73DE1" w14:textId="5A3E5FF0" w:rsidR="00565E1C" w:rsidRPr="00341459" w:rsidRDefault="00565E1C" w:rsidP="000B1B26">
            <w:pPr>
              <w:rPr>
                <w:bCs/>
                <w:color w:val="000000"/>
                <w:sz w:val="16"/>
                <w:szCs w:val="16"/>
              </w:rPr>
            </w:pPr>
            <w:r w:rsidRPr="00A84B49">
              <w:rPr>
                <w:bCs/>
                <w:color w:val="000000"/>
                <w:sz w:val="16"/>
                <w:szCs w:val="16"/>
              </w:rPr>
              <w:t>Source: MiAmbiente (ICF, SAG)</w:t>
            </w:r>
          </w:p>
          <w:p w14:paraId="34C9A6F3" w14:textId="77777777" w:rsidR="00124EC9" w:rsidRPr="00A84B49" w:rsidRDefault="00124EC9" w:rsidP="00C01778">
            <w:pPr>
              <w:rPr>
                <w:bCs/>
                <w:color w:val="000000"/>
                <w:sz w:val="16"/>
                <w:szCs w:val="16"/>
              </w:rPr>
            </w:pPr>
          </w:p>
          <w:p w14:paraId="04FD9F15" w14:textId="77777777" w:rsidR="00565E1C" w:rsidRPr="00A84B49" w:rsidRDefault="00565E1C" w:rsidP="00C01778">
            <w:pPr>
              <w:rPr>
                <w:bCs/>
                <w:color w:val="000000"/>
                <w:sz w:val="16"/>
                <w:szCs w:val="16"/>
              </w:rPr>
            </w:pPr>
            <w:r w:rsidRPr="00A84B49">
              <w:rPr>
                <w:bCs/>
                <w:color w:val="000000"/>
                <w:sz w:val="16"/>
                <w:szCs w:val="16"/>
              </w:rPr>
              <w:t>Frequency: Annual</w:t>
            </w:r>
          </w:p>
          <w:p w14:paraId="23AFDF24" w14:textId="77777777" w:rsidR="00124EC9" w:rsidRPr="00A84B49" w:rsidRDefault="00124EC9" w:rsidP="00C01778">
            <w:pPr>
              <w:rPr>
                <w:bCs/>
                <w:color w:val="000000"/>
                <w:sz w:val="16"/>
                <w:szCs w:val="16"/>
              </w:rPr>
            </w:pPr>
          </w:p>
          <w:p w14:paraId="6B44755B" w14:textId="0CE790AA" w:rsidR="00565E1C" w:rsidRPr="00A84B49" w:rsidRDefault="00565E1C" w:rsidP="00C01778">
            <w:pPr>
              <w:rPr>
                <w:bCs/>
                <w:color w:val="000000"/>
                <w:sz w:val="16"/>
                <w:szCs w:val="16"/>
                <w:lang w:val="es-ES"/>
              </w:rPr>
            </w:pPr>
            <w:r w:rsidRPr="00A84B49">
              <w:rPr>
                <w:bCs/>
                <w:color w:val="000000"/>
                <w:sz w:val="16"/>
                <w:szCs w:val="16"/>
              </w:rPr>
              <w:t xml:space="preserve">Responsible Agency: </w:t>
            </w:r>
            <w:r w:rsidRPr="00A84B49">
              <w:rPr>
                <w:bCs/>
                <w:color w:val="000000"/>
                <w:sz w:val="16"/>
                <w:szCs w:val="16"/>
                <w:lang w:val="es-ES"/>
              </w:rPr>
              <w:t xml:space="preserve"> MiAmbiente</w:t>
            </w:r>
          </w:p>
        </w:tc>
        <w:tc>
          <w:tcPr>
            <w:tcW w:w="1334" w:type="pct"/>
            <w:vMerge w:val="restar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3C570803" w14:textId="77777777" w:rsidR="00565E1C" w:rsidRPr="00A84B49" w:rsidRDefault="00565E1C" w:rsidP="00C01778">
            <w:pPr>
              <w:rPr>
                <w:b/>
                <w:iCs/>
                <w:color w:val="000000"/>
                <w:sz w:val="16"/>
                <w:szCs w:val="16"/>
              </w:rPr>
            </w:pPr>
            <w:r w:rsidRPr="00A84B49">
              <w:rPr>
                <w:b/>
                <w:iCs/>
                <w:color w:val="000000"/>
                <w:sz w:val="16"/>
                <w:szCs w:val="16"/>
              </w:rPr>
              <w:t>P1: Sustainable and resilient practices incorporated into the livelihoods of groups in extreme poverty.</w:t>
            </w:r>
          </w:p>
          <w:p w14:paraId="71DB40EA" w14:textId="77777777" w:rsidR="00565E1C" w:rsidRPr="00A84B49" w:rsidRDefault="00565E1C" w:rsidP="00AC3954">
            <w:pPr>
              <w:rPr>
                <w:iCs/>
                <w:color w:val="000000"/>
                <w:sz w:val="16"/>
                <w:szCs w:val="16"/>
              </w:rPr>
            </w:pPr>
          </w:p>
          <w:p w14:paraId="03564B72" w14:textId="21E573C9" w:rsidR="00565E1C" w:rsidRPr="00A84B49" w:rsidRDefault="00565E1C" w:rsidP="00AC3954">
            <w:pPr>
              <w:rPr>
                <w:bCs/>
                <w:color w:val="000000"/>
                <w:sz w:val="16"/>
                <w:szCs w:val="16"/>
              </w:rPr>
            </w:pPr>
            <w:r w:rsidRPr="00A84B49">
              <w:rPr>
                <w:bCs/>
                <w:color w:val="000000"/>
                <w:sz w:val="16"/>
                <w:szCs w:val="16"/>
              </w:rPr>
              <w:t>Indicator 1:</w:t>
            </w:r>
            <w:r w:rsidRPr="00A84B49">
              <w:t xml:space="preserve"> </w:t>
            </w:r>
            <w:r w:rsidRPr="00A84B49">
              <w:rPr>
                <w:bCs/>
                <w:color w:val="000000"/>
                <w:sz w:val="16"/>
                <w:szCs w:val="16"/>
              </w:rPr>
              <w:t xml:space="preserve">Number of households in extreme poverty </w:t>
            </w:r>
            <w:r w:rsidR="00FA7F2E" w:rsidRPr="00A84B49">
              <w:rPr>
                <w:bCs/>
                <w:color w:val="000000"/>
                <w:sz w:val="16"/>
                <w:szCs w:val="16"/>
              </w:rPr>
              <w:t xml:space="preserve">having access to new diversified livelihoods </w:t>
            </w:r>
            <w:r w:rsidR="005D6655" w:rsidRPr="00A84B49">
              <w:rPr>
                <w:bCs/>
                <w:color w:val="000000"/>
                <w:sz w:val="16"/>
                <w:szCs w:val="16"/>
              </w:rPr>
              <w:t>to w</w:t>
            </w:r>
            <w:r w:rsidR="0073083E" w:rsidRPr="00A84B49">
              <w:rPr>
                <w:bCs/>
                <w:color w:val="000000"/>
                <w:sz w:val="16"/>
                <w:szCs w:val="16"/>
              </w:rPr>
              <w:t>ithstand s</w:t>
            </w:r>
            <w:r w:rsidR="005D6655" w:rsidRPr="00A84B49">
              <w:rPr>
                <w:bCs/>
                <w:color w:val="000000"/>
                <w:sz w:val="16"/>
                <w:szCs w:val="16"/>
              </w:rPr>
              <w:t>hocks</w:t>
            </w:r>
            <w:r w:rsidR="0073083E" w:rsidRPr="00A84B49">
              <w:rPr>
                <w:bCs/>
                <w:color w:val="000000"/>
                <w:sz w:val="16"/>
                <w:szCs w:val="16"/>
              </w:rPr>
              <w:t xml:space="preserve"> </w:t>
            </w:r>
            <w:r w:rsidRPr="00A84B49">
              <w:rPr>
                <w:bCs/>
                <w:color w:val="000000"/>
                <w:sz w:val="16"/>
                <w:szCs w:val="16"/>
              </w:rPr>
              <w:t xml:space="preserve">(data disaggregated </w:t>
            </w:r>
            <w:r w:rsidR="007071C7" w:rsidRPr="00A84B49">
              <w:rPr>
                <w:bCs/>
                <w:color w:val="000000"/>
                <w:sz w:val="16"/>
                <w:szCs w:val="16"/>
              </w:rPr>
              <w:t xml:space="preserve">by </w:t>
            </w:r>
            <w:r w:rsidRPr="00A84B49">
              <w:rPr>
                <w:bCs/>
                <w:color w:val="000000"/>
                <w:sz w:val="16"/>
                <w:szCs w:val="16"/>
              </w:rPr>
              <w:t xml:space="preserve">single parent </w:t>
            </w:r>
            <w:r w:rsidR="007071C7" w:rsidRPr="00A84B49">
              <w:rPr>
                <w:bCs/>
                <w:color w:val="000000"/>
                <w:sz w:val="16"/>
                <w:szCs w:val="16"/>
              </w:rPr>
              <w:t xml:space="preserve">headed </w:t>
            </w:r>
            <w:r w:rsidRPr="00A84B49">
              <w:rPr>
                <w:bCs/>
                <w:color w:val="000000"/>
                <w:sz w:val="16"/>
                <w:szCs w:val="16"/>
              </w:rPr>
              <w:t>h</w:t>
            </w:r>
            <w:r w:rsidR="007071C7" w:rsidRPr="00A84B49">
              <w:rPr>
                <w:bCs/>
                <w:color w:val="000000"/>
                <w:sz w:val="16"/>
                <w:szCs w:val="16"/>
              </w:rPr>
              <w:t xml:space="preserve">ouseholds, </w:t>
            </w:r>
            <w:r w:rsidR="000333E1" w:rsidRPr="00A84B49">
              <w:rPr>
                <w:bCs/>
                <w:color w:val="000000"/>
                <w:sz w:val="16"/>
                <w:szCs w:val="16"/>
              </w:rPr>
              <w:t xml:space="preserve">gender </w:t>
            </w:r>
            <w:r w:rsidR="002E2712" w:rsidRPr="00A84B49">
              <w:rPr>
                <w:bCs/>
                <w:color w:val="000000"/>
                <w:sz w:val="16"/>
                <w:szCs w:val="16"/>
              </w:rPr>
              <w:t>and other vulnerability criteria</w:t>
            </w:r>
            <w:r w:rsidRPr="00A84B49">
              <w:rPr>
                <w:bCs/>
                <w:color w:val="000000"/>
                <w:sz w:val="16"/>
                <w:szCs w:val="16"/>
              </w:rPr>
              <w:t>).</w:t>
            </w:r>
          </w:p>
          <w:p w14:paraId="20990066" w14:textId="77777777" w:rsidR="00565E1C" w:rsidRPr="00A84B49" w:rsidRDefault="00565E1C" w:rsidP="00AC3954">
            <w:pPr>
              <w:rPr>
                <w:bCs/>
                <w:color w:val="000000"/>
                <w:sz w:val="16"/>
                <w:szCs w:val="16"/>
              </w:rPr>
            </w:pPr>
            <w:r w:rsidRPr="00A84B49">
              <w:rPr>
                <w:bCs/>
                <w:color w:val="000000"/>
                <w:sz w:val="16"/>
                <w:szCs w:val="16"/>
              </w:rPr>
              <w:t xml:space="preserve">Baseline (2015): 1,784 (1040 women and 744 men) </w:t>
            </w:r>
          </w:p>
          <w:p w14:paraId="28B1146F" w14:textId="77777777" w:rsidR="00565E1C" w:rsidRPr="00A84B49" w:rsidRDefault="00565E1C" w:rsidP="00AC3954">
            <w:pPr>
              <w:rPr>
                <w:bCs/>
                <w:color w:val="000000"/>
                <w:sz w:val="16"/>
                <w:szCs w:val="16"/>
              </w:rPr>
            </w:pPr>
            <w:r w:rsidRPr="00A84B49">
              <w:rPr>
                <w:bCs/>
                <w:color w:val="000000"/>
                <w:sz w:val="16"/>
                <w:szCs w:val="16"/>
              </w:rPr>
              <w:t>Target: 20,000 households</w:t>
            </w:r>
          </w:p>
          <w:p w14:paraId="2C69B5D3" w14:textId="77777777" w:rsidR="00565E1C" w:rsidRPr="00A84B49" w:rsidRDefault="00565E1C" w:rsidP="00AC3954">
            <w:pPr>
              <w:rPr>
                <w:bCs/>
                <w:color w:val="000000"/>
                <w:sz w:val="16"/>
                <w:szCs w:val="16"/>
              </w:rPr>
            </w:pPr>
          </w:p>
          <w:p w14:paraId="07B46160" w14:textId="226AC17F" w:rsidR="00536B56" w:rsidRPr="00A84B49" w:rsidRDefault="00565E1C" w:rsidP="00AC3954">
            <w:pPr>
              <w:rPr>
                <w:iCs/>
                <w:color w:val="000000"/>
                <w:sz w:val="16"/>
                <w:szCs w:val="16"/>
              </w:rPr>
            </w:pPr>
            <w:r w:rsidRPr="00A84B49">
              <w:rPr>
                <w:bCs/>
                <w:color w:val="000000"/>
                <w:sz w:val="16"/>
                <w:szCs w:val="16"/>
              </w:rPr>
              <w:t>Source: INE</w:t>
            </w:r>
            <w:r w:rsidR="00536B56" w:rsidRPr="00A84B49">
              <w:rPr>
                <w:bCs/>
                <w:color w:val="000000"/>
                <w:sz w:val="16"/>
                <w:szCs w:val="16"/>
              </w:rPr>
              <w:t>,</w:t>
            </w:r>
            <w:r w:rsidRPr="00A84B49">
              <w:rPr>
                <w:bCs/>
                <w:color w:val="000000"/>
                <w:sz w:val="16"/>
                <w:szCs w:val="16"/>
              </w:rPr>
              <w:t xml:space="preserve"> EPHPM/</w:t>
            </w:r>
            <w:r w:rsidRPr="00A84B49">
              <w:rPr>
                <w:iCs/>
                <w:color w:val="000000"/>
                <w:sz w:val="16"/>
                <w:szCs w:val="16"/>
              </w:rPr>
              <w:t xml:space="preserve"> Partnership for the Dry Corridor</w:t>
            </w:r>
          </w:p>
          <w:p w14:paraId="6E712EC6" w14:textId="0532E7F7" w:rsidR="00565E1C" w:rsidRPr="00341459" w:rsidRDefault="00565E1C" w:rsidP="00AC3954">
            <w:pPr>
              <w:rPr>
                <w:bCs/>
                <w:color w:val="000000"/>
                <w:sz w:val="16"/>
                <w:szCs w:val="16"/>
              </w:rPr>
            </w:pPr>
            <w:r w:rsidRPr="00A84B49">
              <w:rPr>
                <w:bCs/>
                <w:color w:val="000000"/>
                <w:sz w:val="16"/>
                <w:szCs w:val="16"/>
              </w:rPr>
              <w:lastRenderedPageBreak/>
              <w:t>/FAO/</w:t>
            </w:r>
            <w:r w:rsidR="00C76D84" w:rsidRPr="00A84B49">
              <w:rPr>
                <w:bCs/>
                <w:color w:val="000000"/>
                <w:sz w:val="16"/>
                <w:szCs w:val="16"/>
              </w:rPr>
              <w:t>WFP</w:t>
            </w:r>
            <w:r w:rsidRPr="00A84B49">
              <w:rPr>
                <w:bCs/>
                <w:color w:val="000000"/>
                <w:sz w:val="16"/>
                <w:szCs w:val="16"/>
              </w:rPr>
              <w:t>/CENIS</w:t>
            </w:r>
          </w:p>
          <w:p w14:paraId="071C5AF1" w14:textId="77777777" w:rsidR="00565E1C" w:rsidRPr="00A84B49" w:rsidRDefault="00565E1C" w:rsidP="00AC3954">
            <w:pPr>
              <w:rPr>
                <w:bCs/>
                <w:color w:val="000000"/>
                <w:sz w:val="16"/>
                <w:szCs w:val="16"/>
              </w:rPr>
            </w:pPr>
            <w:r w:rsidRPr="00A84B49">
              <w:rPr>
                <w:bCs/>
                <w:color w:val="000000"/>
                <w:sz w:val="16"/>
                <w:szCs w:val="16"/>
              </w:rPr>
              <w:t>Frequency: Annual</w:t>
            </w:r>
          </w:p>
          <w:p w14:paraId="65D99083" w14:textId="77777777" w:rsidR="00565E1C" w:rsidRPr="00A84B49" w:rsidRDefault="00565E1C" w:rsidP="00AC3954">
            <w:pPr>
              <w:rPr>
                <w:bCs/>
                <w:color w:val="000000"/>
                <w:sz w:val="16"/>
                <w:szCs w:val="16"/>
              </w:rPr>
            </w:pPr>
          </w:p>
          <w:p w14:paraId="52140CB0" w14:textId="2F405834" w:rsidR="00565E1C" w:rsidRPr="00A84B49" w:rsidRDefault="00565E1C" w:rsidP="00AC3954">
            <w:pPr>
              <w:rPr>
                <w:bCs/>
                <w:color w:val="000000"/>
                <w:sz w:val="16"/>
                <w:szCs w:val="16"/>
              </w:rPr>
            </w:pPr>
            <w:r w:rsidRPr="00A84B49">
              <w:rPr>
                <w:bCs/>
                <w:color w:val="000000"/>
                <w:sz w:val="16"/>
                <w:szCs w:val="16"/>
              </w:rPr>
              <w:t>Indicator 2: Number of households with small and medium irrigation and water works (</w:t>
            </w:r>
            <w:r w:rsidR="0094657C">
              <w:rPr>
                <w:bCs/>
                <w:color w:val="000000"/>
                <w:sz w:val="16"/>
                <w:szCs w:val="16"/>
              </w:rPr>
              <w:t>D</w:t>
            </w:r>
            <w:r w:rsidRPr="00A84B49">
              <w:rPr>
                <w:bCs/>
                <w:color w:val="000000"/>
                <w:sz w:val="16"/>
                <w:szCs w:val="16"/>
              </w:rPr>
              <w:t xml:space="preserve">ata disaggregated </w:t>
            </w:r>
            <w:r w:rsidR="002E2712" w:rsidRPr="00A84B49">
              <w:rPr>
                <w:bCs/>
                <w:color w:val="000000"/>
                <w:sz w:val="16"/>
                <w:szCs w:val="16"/>
              </w:rPr>
              <w:t xml:space="preserve">by </w:t>
            </w:r>
            <w:r w:rsidRPr="00A84B49">
              <w:rPr>
                <w:bCs/>
                <w:color w:val="000000"/>
                <w:sz w:val="16"/>
                <w:szCs w:val="16"/>
              </w:rPr>
              <w:t xml:space="preserve">single </w:t>
            </w:r>
            <w:r w:rsidR="002E2712" w:rsidRPr="00A84B49">
              <w:rPr>
                <w:bCs/>
                <w:color w:val="000000"/>
                <w:sz w:val="16"/>
                <w:szCs w:val="16"/>
              </w:rPr>
              <w:t xml:space="preserve">headed households, </w:t>
            </w:r>
            <w:r w:rsidR="000333E1" w:rsidRPr="00A84B49">
              <w:rPr>
                <w:bCs/>
                <w:color w:val="000000"/>
                <w:sz w:val="16"/>
                <w:szCs w:val="16"/>
              </w:rPr>
              <w:t>gender</w:t>
            </w:r>
            <w:r w:rsidR="002E2712" w:rsidRPr="00A84B49">
              <w:rPr>
                <w:bCs/>
                <w:color w:val="000000"/>
                <w:sz w:val="16"/>
                <w:szCs w:val="16"/>
              </w:rPr>
              <w:t xml:space="preserve"> and other vulnerability criteria</w:t>
            </w:r>
            <w:r w:rsidRPr="00A84B49">
              <w:rPr>
                <w:bCs/>
                <w:color w:val="000000"/>
                <w:sz w:val="16"/>
                <w:szCs w:val="16"/>
              </w:rPr>
              <w:t>).</w:t>
            </w:r>
          </w:p>
          <w:p w14:paraId="6637A73C" w14:textId="77777777" w:rsidR="00565E1C" w:rsidRPr="00A84B49" w:rsidRDefault="00565E1C" w:rsidP="00AC3954">
            <w:pPr>
              <w:rPr>
                <w:bCs/>
                <w:color w:val="000000"/>
                <w:sz w:val="16"/>
                <w:szCs w:val="16"/>
              </w:rPr>
            </w:pPr>
            <w:r w:rsidRPr="00A84B49">
              <w:rPr>
                <w:bCs/>
                <w:color w:val="000000"/>
                <w:sz w:val="16"/>
                <w:szCs w:val="16"/>
              </w:rPr>
              <w:t xml:space="preserve">Baseline (2015): 8,397 (Disaggregated data not available) </w:t>
            </w:r>
          </w:p>
          <w:p w14:paraId="001786D6" w14:textId="77777777" w:rsidR="00565E1C" w:rsidRPr="00A84B49" w:rsidRDefault="00565E1C" w:rsidP="00AC3954">
            <w:pPr>
              <w:rPr>
                <w:bCs/>
                <w:color w:val="000000"/>
                <w:sz w:val="16"/>
                <w:szCs w:val="16"/>
              </w:rPr>
            </w:pPr>
            <w:r w:rsidRPr="00A84B49">
              <w:rPr>
                <w:bCs/>
                <w:color w:val="000000"/>
                <w:sz w:val="16"/>
                <w:szCs w:val="16"/>
              </w:rPr>
              <w:t>Target: 30,000</w:t>
            </w:r>
          </w:p>
          <w:p w14:paraId="219C71A6" w14:textId="7B3DF1FD" w:rsidR="00565E1C" w:rsidRPr="00A84B49" w:rsidRDefault="00565E1C" w:rsidP="00AC3954">
            <w:pPr>
              <w:rPr>
                <w:bCs/>
                <w:color w:val="000000"/>
                <w:sz w:val="16"/>
                <w:szCs w:val="16"/>
              </w:rPr>
            </w:pPr>
            <w:r w:rsidRPr="00A84B49">
              <w:rPr>
                <w:bCs/>
                <w:color w:val="000000"/>
                <w:sz w:val="16"/>
                <w:szCs w:val="16"/>
              </w:rPr>
              <w:t>Source INE</w:t>
            </w:r>
            <w:r w:rsidR="00536B56" w:rsidRPr="00A84B49">
              <w:rPr>
                <w:bCs/>
                <w:color w:val="000000"/>
                <w:sz w:val="16"/>
                <w:szCs w:val="16"/>
              </w:rPr>
              <w:t xml:space="preserve">, </w:t>
            </w:r>
            <w:r w:rsidRPr="00A84B49">
              <w:rPr>
                <w:bCs/>
                <w:color w:val="000000"/>
                <w:sz w:val="16"/>
                <w:szCs w:val="16"/>
              </w:rPr>
              <w:t>EPHPM/</w:t>
            </w:r>
            <w:r w:rsidRPr="00A84B49">
              <w:rPr>
                <w:iCs/>
                <w:color w:val="000000"/>
                <w:sz w:val="16"/>
                <w:szCs w:val="16"/>
              </w:rPr>
              <w:t xml:space="preserve"> Partnership for the Dry Corridor</w:t>
            </w:r>
            <w:r w:rsidRPr="00A84B49">
              <w:rPr>
                <w:bCs/>
                <w:color w:val="000000"/>
                <w:sz w:val="16"/>
                <w:szCs w:val="16"/>
              </w:rPr>
              <w:t>/FAO/PMA/CENIS</w:t>
            </w:r>
          </w:p>
          <w:p w14:paraId="09C09FBD" w14:textId="77777777" w:rsidR="00565E1C" w:rsidRPr="00A84B49" w:rsidRDefault="00565E1C" w:rsidP="00AC3954">
            <w:pPr>
              <w:rPr>
                <w:bCs/>
                <w:color w:val="000000"/>
                <w:sz w:val="16"/>
                <w:szCs w:val="16"/>
              </w:rPr>
            </w:pPr>
            <w:r w:rsidRPr="00A84B49">
              <w:rPr>
                <w:bCs/>
                <w:color w:val="000000"/>
                <w:sz w:val="16"/>
                <w:szCs w:val="16"/>
              </w:rPr>
              <w:t>Frequency: Annual</w:t>
            </w:r>
          </w:p>
          <w:p w14:paraId="3DBCB9C7" w14:textId="77777777" w:rsidR="00565E1C" w:rsidRPr="00A84B49" w:rsidRDefault="00565E1C" w:rsidP="00AC3954">
            <w:pPr>
              <w:rPr>
                <w:bCs/>
                <w:color w:val="000000"/>
                <w:sz w:val="16"/>
                <w:szCs w:val="16"/>
              </w:rPr>
            </w:pPr>
          </w:p>
          <w:p w14:paraId="0C2FCFE7" w14:textId="77777777" w:rsidR="00565E1C" w:rsidRPr="00A84B49" w:rsidRDefault="00565E1C" w:rsidP="00AC3954">
            <w:pPr>
              <w:rPr>
                <w:bCs/>
                <w:color w:val="000000"/>
                <w:sz w:val="16"/>
                <w:szCs w:val="16"/>
              </w:rPr>
            </w:pPr>
          </w:p>
          <w:p w14:paraId="214784C5" w14:textId="73A65C18" w:rsidR="00565E1C" w:rsidRPr="00A84B49" w:rsidRDefault="00565E1C" w:rsidP="00AC3954">
            <w:pPr>
              <w:rPr>
                <w:b/>
                <w:bCs/>
                <w:color w:val="000000"/>
                <w:sz w:val="16"/>
                <w:szCs w:val="16"/>
              </w:rPr>
            </w:pPr>
            <w:r w:rsidRPr="00A84B49">
              <w:rPr>
                <w:b/>
                <w:bCs/>
                <w:color w:val="000000"/>
                <w:sz w:val="16"/>
                <w:szCs w:val="16"/>
              </w:rPr>
              <w:t xml:space="preserve">P2: Vulnerable communities, including women and youth, access environmentally friendly </w:t>
            </w:r>
            <w:r w:rsidR="00903A63" w:rsidRPr="00A84B49">
              <w:rPr>
                <w:b/>
                <w:bCs/>
                <w:color w:val="000000"/>
                <w:sz w:val="16"/>
                <w:szCs w:val="16"/>
              </w:rPr>
              <w:t xml:space="preserve">value </w:t>
            </w:r>
            <w:r w:rsidRPr="00A84B49">
              <w:rPr>
                <w:b/>
                <w:bCs/>
                <w:color w:val="000000"/>
                <w:sz w:val="16"/>
                <w:szCs w:val="16"/>
              </w:rPr>
              <w:t>chains and markets incorporating sustainable management practices for productive land</w:t>
            </w:r>
            <w:r w:rsidR="00903A63" w:rsidRPr="00A84B49">
              <w:rPr>
                <w:b/>
                <w:bCs/>
                <w:color w:val="000000"/>
                <w:sz w:val="16"/>
                <w:szCs w:val="16"/>
              </w:rPr>
              <w:t>scapes</w:t>
            </w:r>
            <w:r w:rsidRPr="00A84B49">
              <w:rPr>
                <w:b/>
                <w:bCs/>
                <w:color w:val="000000"/>
                <w:sz w:val="16"/>
                <w:szCs w:val="16"/>
              </w:rPr>
              <w:t>.</w:t>
            </w:r>
          </w:p>
          <w:p w14:paraId="4FBD47B7" w14:textId="77777777" w:rsidR="00565E1C" w:rsidRPr="00A84B49" w:rsidRDefault="00565E1C" w:rsidP="00AC3954">
            <w:pPr>
              <w:rPr>
                <w:b/>
                <w:bCs/>
                <w:color w:val="000000"/>
                <w:sz w:val="16"/>
                <w:szCs w:val="16"/>
              </w:rPr>
            </w:pPr>
          </w:p>
          <w:p w14:paraId="2B7522A1" w14:textId="7F2BCD0D" w:rsidR="00565E1C" w:rsidRPr="00A84B49" w:rsidRDefault="00565E1C" w:rsidP="00AC3954">
            <w:pPr>
              <w:rPr>
                <w:bCs/>
                <w:color w:val="000000"/>
                <w:sz w:val="16"/>
                <w:szCs w:val="16"/>
              </w:rPr>
            </w:pPr>
            <w:r w:rsidRPr="00A84B49">
              <w:rPr>
                <w:bCs/>
                <w:color w:val="000000"/>
                <w:sz w:val="16"/>
                <w:szCs w:val="16"/>
              </w:rPr>
              <w:t xml:space="preserve">Indicator 1: Number of people accessing income </w:t>
            </w:r>
            <w:r w:rsidR="00CA1725" w:rsidRPr="00A84B49">
              <w:rPr>
                <w:bCs/>
                <w:color w:val="000000"/>
                <w:sz w:val="16"/>
                <w:szCs w:val="16"/>
              </w:rPr>
              <w:t xml:space="preserve">sources </w:t>
            </w:r>
            <w:r w:rsidRPr="00A84B49">
              <w:rPr>
                <w:bCs/>
                <w:color w:val="000000"/>
                <w:sz w:val="16"/>
                <w:szCs w:val="16"/>
              </w:rPr>
              <w:t>linked to sustainable climate change management initiatives (</w:t>
            </w:r>
            <w:r w:rsidR="0094657C">
              <w:rPr>
                <w:bCs/>
                <w:color w:val="000000"/>
                <w:sz w:val="16"/>
                <w:szCs w:val="16"/>
              </w:rPr>
              <w:t>D</w:t>
            </w:r>
            <w:r w:rsidRPr="00A84B49">
              <w:rPr>
                <w:bCs/>
                <w:color w:val="000000"/>
                <w:sz w:val="16"/>
                <w:szCs w:val="16"/>
              </w:rPr>
              <w:t xml:space="preserve">isaggregated by </w:t>
            </w:r>
            <w:r w:rsidR="000333E1" w:rsidRPr="00A84B49">
              <w:rPr>
                <w:bCs/>
                <w:color w:val="000000"/>
                <w:sz w:val="16"/>
                <w:szCs w:val="16"/>
              </w:rPr>
              <w:t>gender</w:t>
            </w:r>
            <w:r w:rsidRPr="00A84B49">
              <w:rPr>
                <w:bCs/>
                <w:color w:val="000000"/>
                <w:sz w:val="16"/>
                <w:szCs w:val="16"/>
              </w:rPr>
              <w:t xml:space="preserve">, age, </w:t>
            </w:r>
            <w:r w:rsidR="002E2712" w:rsidRPr="00A84B49">
              <w:rPr>
                <w:bCs/>
                <w:color w:val="000000"/>
                <w:sz w:val="16"/>
                <w:szCs w:val="16"/>
              </w:rPr>
              <w:t>other vulnerability criteria</w:t>
            </w:r>
            <w:r w:rsidR="0032697D" w:rsidRPr="00A84B49">
              <w:rPr>
                <w:bCs/>
                <w:color w:val="000000"/>
                <w:sz w:val="16"/>
                <w:szCs w:val="16"/>
              </w:rPr>
              <w:t xml:space="preserve"> and type of intervention; i.e., </w:t>
            </w:r>
            <w:r w:rsidRPr="00A84B49">
              <w:rPr>
                <w:bCs/>
                <w:color w:val="000000"/>
                <w:sz w:val="16"/>
                <w:szCs w:val="16"/>
              </w:rPr>
              <w:t>adaptation or mitigation to climate change or natural resource management).</w:t>
            </w:r>
          </w:p>
          <w:p w14:paraId="47BE4A96" w14:textId="77777777" w:rsidR="00565E1C" w:rsidRPr="00A84B49" w:rsidRDefault="00565E1C" w:rsidP="00AC3954">
            <w:pPr>
              <w:rPr>
                <w:bCs/>
                <w:color w:val="000000"/>
                <w:sz w:val="16"/>
                <w:szCs w:val="16"/>
              </w:rPr>
            </w:pPr>
            <w:r w:rsidRPr="00A84B49">
              <w:rPr>
                <w:bCs/>
                <w:color w:val="000000"/>
                <w:sz w:val="16"/>
                <w:szCs w:val="16"/>
              </w:rPr>
              <w:t xml:space="preserve">Baseline (2015): 1,670 (570 women, 1,100 men) </w:t>
            </w:r>
          </w:p>
          <w:p w14:paraId="6A403CFF" w14:textId="77777777" w:rsidR="00565E1C" w:rsidRPr="00A84B49" w:rsidRDefault="00565E1C" w:rsidP="00DD59B7">
            <w:pPr>
              <w:rPr>
                <w:bCs/>
                <w:color w:val="000000"/>
                <w:sz w:val="16"/>
                <w:szCs w:val="16"/>
              </w:rPr>
            </w:pPr>
            <w:r w:rsidRPr="00A84B49">
              <w:rPr>
                <w:bCs/>
                <w:color w:val="000000"/>
                <w:sz w:val="16"/>
                <w:szCs w:val="16"/>
              </w:rPr>
              <w:t>Target: 20,000 (50% women)</w:t>
            </w:r>
          </w:p>
          <w:p w14:paraId="3D71010B" w14:textId="715C8D1F" w:rsidR="00565E1C" w:rsidRPr="00A84B49" w:rsidRDefault="0032697D" w:rsidP="00DD59B7">
            <w:pPr>
              <w:rPr>
                <w:bCs/>
                <w:color w:val="000000"/>
                <w:sz w:val="16"/>
                <w:szCs w:val="16"/>
              </w:rPr>
            </w:pPr>
            <w:r w:rsidRPr="00A84B49">
              <w:rPr>
                <w:bCs/>
                <w:color w:val="000000"/>
                <w:sz w:val="16"/>
                <w:szCs w:val="16"/>
              </w:rPr>
              <w:t xml:space="preserve">Source: </w:t>
            </w:r>
            <w:r w:rsidR="0064388A" w:rsidRPr="00A84B49">
              <w:rPr>
                <w:bCs/>
                <w:color w:val="000000"/>
                <w:sz w:val="16"/>
                <w:szCs w:val="16"/>
              </w:rPr>
              <w:t>SERNA</w:t>
            </w:r>
          </w:p>
          <w:p w14:paraId="3341C6E2" w14:textId="77777777" w:rsidR="00565E1C" w:rsidRPr="00A84B49" w:rsidRDefault="00565E1C" w:rsidP="00DD59B7">
            <w:pPr>
              <w:rPr>
                <w:bCs/>
                <w:color w:val="000000"/>
                <w:sz w:val="16"/>
                <w:szCs w:val="16"/>
              </w:rPr>
            </w:pPr>
            <w:r w:rsidRPr="00A84B49">
              <w:rPr>
                <w:bCs/>
                <w:color w:val="000000"/>
                <w:sz w:val="16"/>
                <w:szCs w:val="16"/>
              </w:rPr>
              <w:t>Frequency: Annual</w:t>
            </w:r>
          </w:p>
          <w:p w14:paraId="7D77954E" w14:textId="77777777" w:rsidR="00565E1C" w:rsidRPr="00A84B49" w:rsidRDefault="00565E1C" w:rsidP="009724C2">
            <w:pPr>
              <w:rPr>
                <w:bCs/>
                <w:color w:val="000000"/>
                <w:sz w:val="16"/>
                <w:szCs w:val="16"/>
              </w:rPr>
            </w:pPr>
          </w:p>
          <w:p w14:paraId="6FA7BCEE" w14:textId="77777777" w:rsidR="00565E1C" w:rsidRPr="00A84B49" w:rsidRDefault="00565E1C" w:rsidP="00606C17">
            <w:pPr>
              <w:rPr>
                <w:bCs/>
                <w:color w:val="000000"/>
                <w:sz w:val="16"/>
                <w:szCs w:val="16"/>
              </w:rPr>
            </w:pPr>
          </w:p>
          <w:p w14:paraId="1107F05F" w14:textId="069EC5E4" w:rsidR="00565E1C" w:rsidRPr="00341459" w:rsidRDefault="00565E1C" w:rsidP="00606C17">
            <w:pPr>
              <w:rPr>
                <w:bCs/>
                <w:color w:val="000000"/>
                <w:sz w:val="16"/>
                <w:szCs w:val="16"/>
              </w:rPr>
            </w:pPr>
            <w:r w:rsidRPr="00A84B49">
              <w:rPr>
                <w:bCs/>
                <w:color w:val="000000"/>
                <w:sz w:val="16"/>
                <w:szCs w:val="16"/>
              </w:rPr>
              <w:t>Indicator 2: Extent to which the enabling environment</w:t>
            </w:r>
            <w:r w:rsidR="00CA1725" w:rsidRPr="00A84B49">
              <w:rPr>
                <w:bCs/>
                <w:color w:val="000000"/>
                <w:sz w:val="16"/>
                <w:szCs w:val="16"/>
              </w:rPr>
              <w:t>,</w:t>
            </w:r>
            <w:r w:rsidRPr="00A84B49">
              <w:rPr>
                <w:bCs/>
                <w:color w:val="000000"/>
                <w:sz w:val="16"/>
                <w:szCs w:val="16"/>
              </w:rPr>
              <w:t xml:space="preserve"> disaggregated in legal, policy and institutional </w:t>
            </w:r>
            <w:r w:rsidR="00CA1725" w:rsidRPr="00A84B49">
              <w:rPr>
                <w:bCs/>
                <w:color w:val="000000"/>
                <w:sz w:val="16"/>
                <w:szCs w:val="16"/>
              </w:rPr>
              <w:t xml:space="preserve">framework, </w:t>
            </w:r>
            <w:r w:rsidRPr="00A84B49">
              <w:rPr>
                <w:bCs/>
                <w:color w:val="000000"/>
                <w:sz w:val="16"/>
                <w:szCs w:val="16"/>
              </w:rPr>
              <w:t>are in place for conservation, sustainable u</w:t>
            </w:r>
            <w:r w:rsidR="0032697D" w:rsidRPr="00A84B49">
              <w:rPr>
                <w:bCs/>
                <w:color w:val="000000"/>
                <w:sz w:val="16"/>
                <w:szCs w:val="16"/>
              </w:rPr>
              <w:t xml:space="preserve">se, </w:t>
            </w:r>
            <w:r w:rsidRPr="00A84B49">
              <w:rPr>
                <w:bCs/>
                <w:color w:val="000000"/>
                <w:sz w:val="16"/>
                <w:szCs w:val="16"/>
              </w:rPr>
              <w:t xml:space="preserve"> access and benefit sharing of natural resources, biodiversity and ecosystems </w:t>
            </w:r>
            <w:r w:rsidRPr="00341459">
              <w:rPr>
                <w:rStyle w:val="FootnoteReference"/>
                <w:bCs/>
                <w:color w:val="000000"/>
                <w:sz w:val="16"/>
                <w:szCs w:val="16"/>
              </w:rPr>
              <w:footnoteReference w:id="43"/>
            </w:r>
            <w:r w:rsidRPr="00341459">
              <w:rPr>
                <w:bCs/>
                <w:color w:val="000000"/>
                <w:sz w:val="16"/>
                <w:szCs w:val="16"/>
              </w:rPr>
              <w:t xml:space="preserve"> </w:t>
            </w:r>
          </w:p>
          <w:p w14:paraId="789D345D" w14:textId="77777777" w:rsidR="00565E1C" w:rsidRPr="00A84B49" w:rsidRDefault="00565E1C" w:rsidP="00606C17">
            <w:pPr>
              <w:rPr>
                <w:bCs/>
                <w:color w:val="000000"/>
                <w:sz w:val="16"/>
                <w:szCs w:val="16"/>
              </w:rPr>
            </w:pPr>
            <w:r w:rsidRPr="00A84B49">
              <w:rPr>
                <w:bCs/>
                <w:color w:val="000000"/>
                <w:sz w:val="16"/>
                <w:szCs w:val="16"/>
              </w:rPr>
              <w:t>Baseline (2015):  Not adequately (1)</w:t>
            </w:r>
          </w:p>
          <w:p w14:paraId="41EEDB68" w14:textId="77777777" w:rsidR="00565E1C" w:rsidRPr="00A84B49" w:rsidRDefault="00565E1C" w:rsidP="000B1B26">
            <w:pPr>
              <w:rPr>
                <w:bCs/>
                <w:color w:val="000000"/>
                <w:sz w:val="16"/>
                <w:szCs w:val="16"/>
              </w:rPr>
            </w:pPr>
            <w:r w:rsidRPr="00A84B49">
              <w:rPr>
                <w:bCs/>
                <w:color w:val="000000"/>
                <w:sz w:val="16"/>
                <w:szCs w:val="16"/>
              </w:rPr>
              <w:t>Target: Partially (3)</w:t>
            </w:r>
          </w:p>
          <w:p w14:paraId="20CD4EDE" w14:textId="39A9334F" w:rsidR="0032697D" w:rsidRPr="00A84B49" w:rsidRDefault="00565E1C" w:rsidP="000B1B26">
            <w:pPr>
              <w:rPr>
                <w:bCs/>
                <w:color w:val="000000"/>
                <w:sz w:val="16"/>
                <w:szCs w:val="16"/>
              </w:rPr>
            </w:pPr>
            <w:r w:rsidRPr="00A84B49">
              <w:rPr>
                <w:bCs/>
                <w:color w:val="000000"/>
                <w:sz w:val="16"/>
                <w:szCs w:val="16"/>
              </w:rPr>
              <w:t xml:space="preserve">Source: </w:t>
            </w:r>
            <w:r w:rsidR="0064388A" w:rsidRPr="00A84B49">
              <w:rPr>
                <w:bCs/>
                <w:color w:val="000000"/>
                <w:sz w:val="16"/>
                <w:szCs w:val="16"/>
              </w:rPr>
              <w:t>SERNA</w:t>
            </w:r>
            <w:r w:rsidR="0032697D" w:rsidRPr="00A84B49">
              <w:rPr>
                <w:bCs/>
                <w:color w:val="000000"/>
                <w:sz w:val="16"/>
                <w:szCs w:val="16"/>
              </w:rPr>
              <w:t>, Official Gazette</w:t>
            </w:r>
          </w:p>
          <w:p w14:paraId="2CDE7A70" w14:textId="4988D12C" w:rsidR="00565E1C" w:rsidRPr="00A84B49" w:rsidRDefault="00565E1C" w:rsidP="00C01778">
            <w:pPr>
              <w:rPr>
                <w:bCs/>
                <w:color w:val="000000"/>
                <w:sz w:val="16"/>
                <w:szCs w:val="16"/>
              </w:rPr>
            </w:pPr>
            <w:r w:rsidRPr="00A84B49">
              <w:rPr>
                <w:bCs/>
                <w:color w:val="000000"/>
                <w:sz w:val="16"/>
                <w:szCs w:val="16"/>
              </w:rPr>
              <w:t>Frequency: Annual</w:t>
            </w:r>
          </w:p>
          <w:p w14:paraId="6E0BDF65" w14:textId="77777777" w:rsidR="00565E1C" w:rsidRPr="00A84B49" w:rsidRDefault="00565E1C" w:rsidP="00C01778">
            <w:pPr>
              <w:rPr>
                <w:bCs/>
                <w:color w:val="000000"/>
                <w:sz w:val="16"/>
                <w:szCs w:val="16"/>
              </w:rPr>
            </w:pPr>
          </w:p>
          <w:p w14:paraId="5886152F" w14:textId="77777777" w:rsidR="00565E1C" w:rsidRPr="00A84B49" w:rsidRDefault="00565E1C" w:rsidP="00C01778">
            <w:pPr>
              <w:rPr>
                <w:bCs/>
                <w:color w:val="000000"/>
                <w:sz w:val="16"/>
                <w:szCs w:val="16"/>
              </w:rPr>
            </w:pPr>
          </w:p>
          <w:p w14:paraId="2AE790B4" w14:textId="7A39E98D" w:rsidR="00565E1C" w:rsidRPr="00A84B49" w:rsidRDefault="00565E1C" w:rsidP="00AC3954">
            <w:pPr>
              <w:rPr>
                <w:b/>
                <w:bCs/>
                <w:color w:val="000000"/>
                <w:sz w:val="16"/>
                <w:szCs w:val="16"/>
              </w:rPr>
            </w:pPr>
            <w:r w:rsidRPr="00A84B49">
              <w:rPr>
                <w:b/>
                <w:bCs/>
                <w:color w:val="000000"/>
                <w:sz w:val="16"/>
                <w:szCs w:val="16"/>
              </w:rPr>
              <w:t>P3: Improved national and local capacities for disaster risk and climate change management</w:t>
            </w:r>
            <w:r w:rsidR="002E2712" w:rsidRPr="00A84B49">
              <w:rPr>
                <w:b/>
                <w:bCs/>
                <w:color w:val="000000"/>
                <w:sz w:val="16"/>
                <w:szCs w:val="16"/>
              </w:rPr>
              <w:t xml:space="preserve"> with special attention to the contribution of women</w:t>
            </w:r>
            <w:r w:rsidRPr="00A84B49">
              <w:rPr>
                <w:b/>
                <w:bCs/>
                <w:color w:val="000000"/>
                <w:sz w:val="16"/>
                <w:szCs w:val="16"/>
              </w:rPr>
              <w:t>.</w:t>
            </w:r>
          </w:p>
          <w:p w14:paraId="10A7210F" w14:textId="77777777" w:rsidR="00565E1C" w:rsidRPr="00A84B49" w:rsidRDefault="00565E1C" w:rsidP="00AC3954">
            <w:pPr>
              <w:rPr>
                <w:bCs/>
                <w:color w:val="000000"/>
                <w:sz w:val="16"/>
                <w:szCs w:val="16"/>
              </w:rPr>
            </w:pPr>
          </w:p>
          <w:p w14:paraId="76AC03DA" w14:textId="7538E9B4" w:rsidR="00565E1C" w:rsidRPr="00341459" w:rsidRDefault="00565E1C" w:rsidP="00AC3954">
            <w:pPr>
              <w:rPr>
                <w:bCs/>
                <w:color w:val="000000"/>
                <w:sz w:val="16"/>
                <w:szCs w:val="16"/>
              </w:rPr>
            </w:pPr>
            <w:r w:rsidRPr="00A84B49">
              <w:rPr>
                <w:bCs/>
                <w:color w:val="000000"/>
                <w:sz w:val="16"/>
                <w:szCs w:val="16"/>
              </w:rPr>
              <w:t xml:space="preserve">Indicator 1: Extent to which the enabling environment legal, policy, institutional and </w:t>
            </w:r>
            <w:r w:rsidR="00D1214A" w:rsidRPr="00A84B49">
              <w:rPr>
                <w:bCs/>
                <w:color w:val="000000"/>
                <w:sz w:val="16"/>
                <w:szCs w:val="16"/>
              </w:rPr>
              <w:t>financial</w:t>
            </w:r>
            <w:r w:rsidRPr="00A84B49">
              <w:rPr>
                <w:bCs/>
                <w:color w:val="000000"/>
                <w:sz w:val="16"/>
                <w:szCs w:val="16"/>
              </w:rPr>
              <w:t xml:space="preserve"> frameworks are in place for </w:t>
            </w:r>
            <w:r w:rsidR="00F43E8F">
              <w:rPr>
                <w:bCs/>
                <w:color w:val="000000"/>
                <w:sz w:val="16"/>
                <w:szCs w:val="16"/>
              </w:rPr>
              <w:t xml:space="preserve">Risk </w:t>
            </w:r>
            <w:r w:rsidR="00F43E8F">
              <w:rPr>
                <w:bCs/>
                <w:color w:val="000000"/>
                <w:sz w:val="16"/>
                <w:szCs w:val="16"/>
              </w:rPr>
              <w:lastRenderedPageBreak/>
              <w:t>Management</w:t>
            </w:r>
            <w:r w:rsidRPr="00341459">
              <w:rPr>
                <w:bCs/>
                <w:color w:val="000000"/>
                <w:sz w:val="16"/>
                <w:szCs w:val="16"/>
              </w:rPr>
              <w:t xml:space="preserve"> associated with C</w:t>
            </w:r>
            <w:r w:rsidR="00124EC9" w:rsidRPr="00341459">
              <w:rPr>
                <w:bCs/>
                <w:color w:val="000000"/>
                <w:sz w:val="16"/>
                <w:szCs w:val="16"/>
              </w:rPr>
              <w:t xml:space="preserve">limate </w:t>
            </w:r>
            <w:r w:rsidRPr="00341459">
              <w:rPr>
                <w:bCs/>
                <w:color w:val="000000"/>
                <w:sz w:val="16"/>
                <w:szCs w:val="16"/>
              </w:rPr>
              <w:t>C</w:t>
            </w:r>
            <w:r w:rsidR="00124EC9" w:rsidRPr="00341459">
              <w:rPr>
                <w:bCs/>
                <w:color w:val="000000"/>
                <w:sz w:val="16"/>
                <w:szCs w:val="16"/>
              </w:rPr>
              <w:t>hange</w:t>
            </w:r>
            <w:r w:rsidRPr="00341459">
              <w:rPr>
                <w:rStyle w:val="FootnoteReference"/>
                <w:bCs/>
                <w:color w:val="000000"/>
                <w:sz w:val="16"/>
                <w:szCs w:val="16"/>
              </w:rPr>
              <w:footnoteReference w:id="44"/>
            </w:r>
            <w:r w:rsidRPr="00341459">
              <w:rPr>
                <w:bCs/>
                <w:color w:val="000000"/>
                <w:sz w:val="16"/>
                <w:szCs w:val="16"/>
              </w:rPr>
              <w:t xml:space="preserve"> </w:t>
            </w:r>
          </w:p>
          <w:p w14:paraId="401CC65E" w14:textId="77777777" w:rsidR="00565E1C" w:rsidRPr="00A84B49" w:rsidRDefault="00565E1C" w:rsidP="00AC3954">
            <w:pPr>
              <w:rPr>
                <w:bCs/>
                <w:color w:val="000000"/>
                <w:sz w:val="16"/>
                <w:szCs w:val="16"/>
              </w:rPr>
            </w:pPr>
            <w:r w:rsidRPr="00A84B49">
              <w:rPr>
                <w:bCs/>
                <w:color w:val="000000"/>
                <w:sz w:val="16"/>
                <w:szCs w:val="16"/>
              </w:rPr>
              <w:t>Baseline (2016): Not Adequately (1)</w:t>
            </w:r>
          </w:p>
          <w:p w14:paraId="2AF2EDE0" w14:textId="77777777" w:rsidR="00565E1C" w:rsidRPr="00A84B49" w:rsidRDefault="00565E1C" w:rsidP="00AC3954">
            <w:pPr>
              <w:rPr>
                <w:bCs/>
                <w:color w:val="000000"/>
                <w:sz w:val="16"/>
                <w:szCs w:val="16"/>
              </w:rPr>
            </w:pPr>
            <w:r w:rsidRPr="00A84B49">
              <w:rPr>
                <w:bCs/>
                <w:color w:val="000000"/>
                <w:sz w:val="16"/>
                <w:szCs w:val="16"/>
              </w:rPr>
              <w:t>Target:  Partially (3)</w:t>
            </w:r>
          </w:p>
          <w:p w14:paraId="449C692A" w14:textId="236A8D10" w:rsidR="00565E1C" w:rsidRPr="00341459" w:rsidRDefault="00565E1C" w:rsidP="00AC3954">
            <w:pPr>
              <w:rPr>
                <w:bCs/>
                <w:color w:val="000000"/>
                <w:sz w:val="16"/>
                <w:szCs w:val="16"/>
              </w:rPr>
            </w:pPr>
            <w:r w:rsidRPr="00A84B49">
              <w:rPr>
                <w:bCs/>
                <w:color w:val="000000"/>
                <w:sz w:val="16"/>
                <w:szCs w:val="16"/>
              </w:rPr>
              <w:t xml:space="preserve">Source: Ministry for General Coordination </w:t>
            </w:r>
            <w:r w:rsidR="00D1214A" w:rsidRPr="00A84B49">
              <w:rPr>
                <w:bCs/>
                <w:color w:val="000000"/>
                <w:sz w:val="16"/>
                <w:szCs w:val="16"/>
              </w:rPr>
              <w:t xml:space="preserve">of </w:t>
            </w:r>
            <w:r w:rsidRPr="00A84B49">
              <w:rPr>
                <w:bCs/>
                <w:color w:val="000000"/>
                <w:sz w:val="16"/>
                <w:szCs w:val="16"/>
              </w:rPr>
              <w:t>Government/COPECO</w:t>
            </w:r>
          </w:p>
          <w:p w14:paraId="3F7B5257" w14:textId="77777777" w:rsidR="00565E1C" w:rsidRPr="00A84B49" w:rsidRDefault="00565E1C" w:rsidP="00AC3954">
            <w:pPr>
              <w:rPr>
                <w:bCs/>
                <w:color w:val="000000"/>
                <w:sz w:val="16"/>
                <w:szCs w:val="16"/>
              </w:rPr>
            </w:pPr>
            <w:r w:rsidRPr="00A84B49">
              <w:rPr>
                <w:bCs/>
                <w:color w:val="000000"/>
                <w:sz w:val="16"/>
                <w:szCs w:val="16"/>
              </w:rPr>
              <w:t>Frequency: Annual</w:t>
            </w:r>
          </w:p>
          <w:p w14:paraId="7912A486" w14:textId="77777777" w:rsidR="00565E1C" w:rsidRPr="00A84B49" w:rsidRDefault="00565E1C" w:rsidP="00AC3954">
            <w:pPr>
              <w:rPr>
                <w:bCs/>
                <w:color w:val="000000"/>
                <w:sz w:val="16"/>
                <w:szCs w:val="16"/>
              </w:rPr>
            </w:pPr>
          </w:p>
          <w:p w14:paraId="5B3EAF79" w14:textId="5A71D176" w:rsidR="00565E1C" w:rsidRPr="00A84B49" w:rsidRDefault="00565E1C" w:rsidP="00AC3954">
            <w:pPr>
              <w:rPr>
                <w:bCs/>
                <w:color w:val="000000"/>
                <w:sz w:val="16"/>
                <w:szCs w:val="16"/>
              </w:rPr>
            </w:pPr>
            <w:r w:rsidRPr="00A84B49">
              <w:rPr>
                <w:bCs/>
                <w:color w:val="000000"/>
                <w:sz w:val="16"/>
                <w:szCs w:val="16"/>
              </w:rPr>
              <w:t>Indicator 2: Number of municipalities incorporating actions to reduce disaster risk and adapt</w:t>
            </w:r>
            <w:r w:rsidR="00D1214A" w:rsidRPr="00A84B49">
              <w:rPr>
                <w:bCs/>
                <w:color w:val="000000"/>
                <w:sz w:val="16"/>
                <w:szCs w:val="16"/>
              </w:rPr>
              <w:t>ation</w:t>
            </w:r>
            <w:r w:rsidRPr="00A84B49">
              <w:rPr>
                <w:bCs/>
                <w:color w:val="000000"/>
                <w:sz w:val="16"/>
                <w:szCs w:val="16"/>
              </w:rPr>
              <w:t xml:space="preserve"> to climate change in their municipal investment plans.</w:t>
            </w:r>
          </w:p>
          <w:p w14:paraId="0EDEAC79" w14:textId="77777777" w:rsidR="00565E1C" w:rsidRPr="00A84B49" w:rsidRDefault="00565E1C" w:rsidP="00AC3954">
            <w:pPr>
              <w:rPr>
                <w:bCs/>
                <w:color w:val="000000"/>
                <w:sz w:val="16"/>
                <w:szCs w:val="16"/>
                <w:lang w:val="fr-FR"/>
              </w:rPr>
            </w:pPr>
            <w:r w:rsidRPr="00A84B49">
              <w:rPr>
                <w:bCs/>
                <w:color w:val="000000"/>
                <w:sz w:val="16"/>
                <w:szCs w:val="16"/>
                <w:lang w:val="fr-FR"/>
              </w:rPr>
              <w:t>Baseline (2016): 6</w:t>
            </w:r>
          </w:p>
          <w:p w14:paraId="0F8B4692" w14:textId="77777777" w:rsidR="00565E1C" w:rsidRPr="00A84B49" w:rsidRDefault="00565E1C" w:rsidP="00AC3954">
            <w:pPr>
              <w:rPr>
                <w:bCs/>
                <w:color w:val="000000"/>
                <w:sz w:val="16"/>
                <w:szCs w:val="16"/>
                <w:lang w:val="fr-FR"/>
              </w:rPr>
            </w:pPr>
            <w:r w:rsidRPr="00A84B49">
              <w:rPr>
                <w:bCs/>
                <w:color w:val="000000"/>
                <w:sz w:val="16"/>
                <w:szCs w:val="16"/>
                <w:lang w:val="fr-FR"/>
              </w:rPr>
              <w:t>Target: 15</w:t>
            </w:r>
          </w:p>
          <w:p w14:paraId="6D1F13BF" w14:textId="7637A302" w:rsidR="00565E1C" w:rsidRPr="00A84B49" w:rsidRDefault="00565E1C" w:rsidP="00AC3954">
            <w:pPr>
              <w:rPr>
                <w:bCs/>
                <w:color w:val="000000"/>
                <w:sz w:val="16"/>
                <w:szCs w:val="16"/>
                <w:lang w:val="fr-FR"/>
              </w:rPr>
            </w:pPr>
            <w:r w:rsidRPr="00A84B49">
              <w:rPr>
                <w:bCs/>
                <w:color w:val="000000"/>
                <w:sz w:val="16"/>
                <w:szCs w:val="16"/>
                <w:lang w:val="fr-FR"/>
              </w:rPr>
              <w:t xml:space="preserve">Source: </w:t>
            </w:r>
            <w:r w:rsidR="0064388A" w:rsidRPr="00A84B49">
              <w:rPr>
                <w:bCs/>
                <w:color w:val="000000"/>
                <w:sz w:val="16"/>
                <w:szCs w:val="16"/>
                <w:lang w:val="fr-FR"/>
              </w:rPr>
              <w:t>SERNA</w:t>
            </w:r>
            <w:r w:rsidR="00D1214A" w:rsidRPr="00A84B49">
              <w:rPr>
                <w:bCs/>
                <w:color w:val="000000"/>
                <w:sz w:val="16"/>
                <w:szCs w:val="16"/>
                <w:lang w:val="fr-FR"/>
              </w:rPr>
              <w:t xml:space="preserve">, AMHON, </w:t>
            </w:r>
            <w:r w:rsidR="00654C2C">
              <w:rPr>
                <w:bCs/>
                <w:color w:val="000000"/>
                <w:sz w:val="16"/>
                <w:szCs w:val="16"/>
                <w:lang w:val="fr-FR"/>
              </w:rPr>
              <w:t xml:space="preserve"> </w:t>
            </w:r>
            <w:r w:rsidR="00DD59B7" w:rsidRPr="00A84B49">
              <w:rPr>
                <w:bCs/>
                <w:color w:val="000000"/>
                <w:sz w:val="16"/>
                <w:szCs w:val="16"/>
                <w:lang w:val="fr-FR"/>
              </w:rPr>
              <w:t>m</w:t>
            </w:r>
            <w:r w:rsidRPr="00A84B49">
              <w:rPr>
                <w:bCs/>
                <w:color w:val="000000"/>
                <w:sz w:val="16"/>
                <w:szCs w:val="16"/>
                <w:lang w:val="fr-FR"/>
              </w:rPr>
              <w:t>unicipalities</w:t>
            </w:r>
          </w:p>
          <w:p w14:paraId="5C4575E1" w14:textId="77777777" w:rsidR="00565E1C" w:rsidRPr="00A84B49" w:rsidRDefault="00565E1C" w:rsidP="00AC3954">
            <w:pPr>
              <w:rPr>
                <w:bCs/>
                <w:color w:val="000000"/>
                <w:sz w:val="16"/>
                <w:szCs w:val="16"/>
              </w:rPr>
            </w:pPr>
            <w:r w:rsidRPr="00A84B49">
              <w:rPr>
                <w:bCs/>
                <w:color w:val="000000"/>
                <w:sz w:val="16"/>
                <w:szCs w:val="16"/>
              </w:rPr>
              <w:t>Frequency: Annual</w:t>
            </w:r>
          </w:p>
          <w:p w14:paraId="6FC81D5D" w14:textId="77777777" w:rsidR="00565E1C" w:rsidRPr="00A84B49" w:rsidRDefault="00565E1C" w:rsidP="00AC3954">
            <w:pPr>
              <w:rPr>
                <w:bCs/>
                <w:color w:val="000000"/>
                <w:sz w:val="16"/>
                <w:szCs w:val="16"/>
              </w:rPr>
            </w:pPr>
          </w:p>
          <w:p w14:paraId="17A9F77C" w14:textId="5B7D7B79" w:rsidR="00565E1C" w:rsidRPr="00A84B49" w:rsidRDefault="00565E1C" w:rsidP="00AC3954">
            <w:pPr>
              <w:rPr>
                <w:b/>
                <w:bCs/>
                <w:sz w:val="16"/>
                <w:szCs w:val="16"/>
              </w:rPr>
            </w:pPr>
            <w:r w:rsidRPr="00A84B49">
              <w:rPr>
                <w:b/>
                <w:bCs/>
                <w:sz w:val="16"/>
                <w:szCs w:val="16"/>
              </w:rPr>
              <w:t xml:space="preserve">P4: Improved </w:t>
            </w:r>
            <w:r w:rsidR="007724D1" w:rsidRPr="00A84B49">
              <w:rPr>
                <w:b/>
                <w:bCs/>
                <w:sz w:val="16"/>
                <w:szCs w:val="16"/>
              </w:rPr>
              <w:t xml:space="preserve">opportunities for economic development of women and youth. </w:t>
            </w:r>
          </w:p>
          <w:p w14:paraId="6E881581" w14:textId="77777777" w:rsidR="00565E1C" w:rsidRPr="00A84B49" w:rsidRDefault="00565E1C" w:rsidP="00AC3954">
            <w:pPr>
              <w:rPr>
                <w:bCs/>
                <w:color w:val="000000"/>
                <w:sz w:val="16"/>
                <w:szCs w:val="16"/>
              </w:rPr>
            </w:pPr>
          </w:p>
          <w:p w14:paraId="75ADDE4F" w14:textId="4BE386A5" w:rsidR="00565E1C" w:rsidRPr="00A84B49" w:rsidRDefault="00565E1C" w:rsidP="00AC3954">
            <w:pPr>
              <w:rPr>
                <w:bCs/>
                <w:color w:val="000000"/>
                <w:sz w:val="16"/>
                <w:szCs w:val="16"/>
              </w:rPr>
            </w:pPr>
            <w:r w:rsidRPr="00A84B49">
              <w:rPr>
                <w:bCs/>
                <w:color w:val="000000"/>
                <w:sz w:val="16"/>
                <w:szCs w:val="16"/>
              </w:rPr>
              <w:t xml:space="preserve">Indicator 1: Number of </w:t>
            </w:r>
            <w:r w:rsidR="00E57C43" w:rsidRPr="00A84B49">
              <w:rPr>
                <w:bCs/>
                <w:color w:val="000000"/>
                <w:sz w:val="16"/>
                <w:szCs w:val="16"/>
              </w:rPr>
              <w:t>persons</w:t>
            </w:r>
            <w:r w:rsidRPr="00A84B49">
              <w:rPr>
                <w:bCs/>
                <w:color w:val="000000"/>
                <w:sz w:val="16"/>
                <w:szCs w:val="16"/>
              </w:rPr>
              <w:t xml:space="preserve"> inserted in the labo</w:t>
            </w:r>
            <w:r w:rsidR="006E6CC5" w:rsidRPr="00A84B49">
              <w:rPr>
                <w:bCs/>
                <w:color w:val="000000"/>
                <w:sz w:val="16"/>
                <w:szCs w:val="16"/>
              </w:rPr>
              <w:t>u</w:t>
            </w:r>
            <w:r w:rsidRPr="00A84B49">
              <w:rPr>
                <w:bCs/>
                <w:color w:val="000000"/>
                <w:sz w:val="16"/>
                <w:szCs w:val="16"/>
              </w:rPr>
              <w:t xml:space="preserve">r market (disaggregated by supply chains, </w:t>
            </w:r>
            <w:r w:rsidR="00D1214A" w:rsidRPr="00A84B49">
              <w:rPr>
                <w:bCs/>
                <w:color w:val="000000"/>
                <w:sz w:val="16"/>
                <w:szCs w:val="16"/>
              </w:rPr>
              <w:t>type of support received</w:t>
            </w:r>
            <w:r w:rsidRPr="00A84B49">
              <w:rPr>
                <w:bCs/>
                <w:color w:val="000000"/>
                <w:sz w:val="16"/>
                <w:szCs w:val="16"/>
              </w:rPr>
              <w:t xml:space="preserve">, </w:t>
            </w:r>
            <w:r w:rsidR="003F732E" w:rsidRPr="00A84B49">
              <w:rPr>
                <w:bCs/>
                <w:color w:val="000000"/>
                <w:sz w:val="16"/>
                <w:szCs w:val="16"/>
              </w:rPr>
              <w:t xml:space="preserve">target/ vulnerable group, </w:t>
            </w:r>
            <w:r w:rsidR="00E57C43" w:rsidRPr="00A84B49">
              <w:rPr>
                <w:bCs/>
                <w:color w:val="000000"/>
                <w:sz w:val="16"/>
                <w:szCs w:val="16"/>
              </w:rPr>
              <w:t>age</w:t>
            </w:r>
            <w:r w:rsidR="003F732E" w:rsidRPr="00A84B49">
              <w:rPr>
                <w:bCs/>
                <w:color w:val="000000"/>
                <w:sz w:val="16"/>
                <w:szCs w:val="16"/>
              </w:rPr>
              <w:t xml:space="preserve"> </w:t>
            </w:r>
            <w:r w:rsidRPr="00A84B49">
              <w:rPr>
                <w:bCs/>
                <w:color w:val="000000"/>
                <w:sz w:val="16"/>
                <w:szCs w:val="16"/>
              </w:rPr>
              <w:t xml:space="preserve">and </w:t>
            </w:r>
            <w:r w:rsidR="000333E1" w:rsidRPr="00A84B49">
              <w:rPr>
                <w:bCs/>
                <w:color w:val="000000"/>
                <w:sz w:val="16"/>
                <w:szCs w:val="16"/>
              </w:rPr>
              <w:t>gender</w:t>
            </w:r>
            <w:r w:rsidR="009D0113" w:rsidRPr="00A84B49">
              <w:rPr>
                <w:bCs/>
                <w:color w:val="000000"/>
                <w:sz w:val="16"/>
                <w:szCs w:val="16"/>
              </w:rPr>
              <w:t>, namely youth and women</w:t>
            </w:r>
            <w:r w:rsidRPr="00A84B49">
              <w:rPr>
                <w:bCs/>
                <w:color w:val="000000"/>
                <w:sz w:val="16"/>
                <w:szCs w:val="16"/>
              </w:rPr>
              <w:t>).</w:t>
            </w:r>
          </w:p>
          <w:p w14:paraId="2A3684FF" w14:textId="77777777" w:rsidR="00565E1C" w:rsidRPr="00A84B49" w:rsidRDefault="00565E1C" w:rsidP="00AC3954">
            <w:pPr>
              <w:rPr>
                <w:bCs/>
                <w:color w:val="000000"/>
                <w:sz w:val="16"/>
                <w:szCs w:val="16"/>
              </w:rPr>
            </w:pPr>
            <w:r w:rsidRPr="00A84B49">
              <w:rPr>
                <w:bCs/>
                <w:color w:val="000000"/>
                <w:sz w:val="16"/>
                <w:szCs w:val="16"/>
              </w:rPr>
              <w:t xml:space="preserve">Baseline (2015): 1,600 (No disaggregated data available) </w:t>
            </w:r>
          </w:p>
          <w:p w14:paraId="0898EDB4" w14:textId="77777777" w:rsidR="00565E1C" w:rsidRPr="00A84B49" w:rsidRDefault="00565E1C" w:rsidP="00AC3954">
            <w:pPr>
              <w:rPr>
                <w:bCs/>
                <w:color w:val="000000"/>
                <w:sz w:val="16"/>
                <w:szCs w:val="16"/>
              </w:rPr>
            </w:pPr>
            <w:r w:rsidRPr="00A84B49">
              <w:rPr>
                <w:bCs/>
                <w:color w:val="000000"/>
                <w:sz w:val="16"/>
                <w:szCs w:val="16"/>
              </w:rPr>
              <w:t xml:space="preserve">Target: 10,000 (50% women) </w:t>
            </w:r>
          </w:p>
          <w:p w14:paraId="6DE3B54E" w14:textId="3BFA38D3" w:rsidR="00565E1C" w:rsidRPr="00A84B49" w:rsidRDefault="00565E1C" w:rsidP="00AC3954">
            <w:pPr>
              <w:rPr>
                <w:bCs/>
                <w:color w:val="000000"/>
                <w:sz w:val="16"/>
                <w:szCs w:val="16"/>
              </w:rPr>
            </w:pPr>
            <w:r w:rsidRPr="00A84B49">
              <w:rPr>
                <w:bCs/>
                <w:color w:val="000000"/>
                <w:sz w:val="16"/>
                <w:szCs w:val="16"/>
              </w:rPr>
              <w:t>Source: Labo</w:t>
            </w:r>
            <w:r w:rsidR="006E6CC5" w:rsidRPr="00A84B49">
              <w:rPr>
                <w:bCs/>
                <w:color w:val="000000"/>
                <w:sz w:val="16"/>
                <w:szCs w:val="16"/>
              </w:rPr>
              <w:t>u</w:t>
            </w:r>
            <w:r w:rsidRPr="00A84B49">
              <w:rPr>
                <w:bCs/>
                <w:color w:val="000000"/>
                <w:sz w:val="16"/>
                <w:szCs w:val="16"/>
              </w:rPr>
              <w:t>r Ministry/COHEP/Chamber</w:t>
            </w:r>
            <w:r w:rsidR="00D1214A" w:rsidRPr="00A84B49">
              <w:rPr>
                <w:bCs/>
                <w:color w:val="000000"/>
                <w:sz w:val="16"/>
                <w:szCs w:val="16"/>
              </w:rPr>
              <w:t>s</w:t>
            </w:r>
            <w:r w:rsidRPr="00A84B49">
              <w:rPr>
                <w:bCs/>
                <w:color w:val="000000"/>
                <w:sz w:val="16"/>
                <w:szCs w:val="16"/>
              </w:rPr>
              <w:t xml:space="preserve"> of Commerce </w:t>
            </w:r>
          </w:p>
          <w:p w14:paraId="53AF63E7" w14:textId="77777777" w:rsidR="00565E1C" w:rsidRPr="00A84B49" w:rsidRDefault="00565E1C" w:rsidP="00AC3954">
            <w:pPr>
              <w:rPr>
                <w:bCs/>
                <w:color w:val="000000"/>
                <w:sz w:val="16"/>
                <w:szCs w:val="16"/>
              </w:rPr>
            </w:pPr>
            <w:r w:rsidRPr="00A84B49">
              <w:rPr>
                <w:bCs/>
                <w:color w:val="000000"/>
                <w:sz w:val="16"/>
                <w:szCs w:val="16"/>
              </w:rPr>
              <w:t>Frequency: Annual</w:t>
            </w:r>
          </w:p>
          <w:p w14:paraId="0A98646C" w14:textId="77777777" w:rsidR="00565E1C" w:rsidRPr="00A84B49" w:rsidRDefault="00565E1C" w:rsidP="00AC3954">
            <w:pPr>
              <w:rPr>
                <w:bCs/>
                <w:color w:val="000000"/>
                <w:sz w:val="16"/>
                <w:szCs w:val="16"/>
              </w:rPr>
            </w:pPr>
          </w:p>
          <w:p w14:paraId="71E2B028" w14:textId="72B1412E" w:rsidR="00565E1C" w:rsidRPr="00A84B49" w:rsidRDefault="00565E1C" w:rsidP="00AC3954">
            <w:pPr>
              <w:rPr>
                <w:bCs/>
                <w:color w:val="000000"/>
                <w:sz w:val="16"/>
                <w:szCs w:val="16"/>
              </w:rPr>
            </w:pPr>
            <w:r w:rsidRPr="00A84B49">
              <w:rPr>
                <w:bCs/>
                <w:color w:val="000000"/>
                <w:sz w:val="16"/>
                <w:szCs w:val="16"/>
              </w:rPr>
              <w:t xml:space="preserve">Indicator </w:t>
            </w:r>
            <w:r w:rsidR="007724D1" w:rsidRPr="00A84B49">
              <w:rPr>
                <w:bCs/>
                <w:color w:val="000000"/>
                <w:sz w:val="16"/>
                <w:szCs w:val="16"/>
              </w:rPr>
              <w:t>2</w:t>
            </w:r>
            <w:r w:rsidRPr="00A84B49">
              <w:rPr>
                <w:bCs/>
                <w:color w:val="000000"/>
                <w:sz w:val="16"/>
                <w:szCs w:val="16"/>
              </w:rPr>
              <w:t xml:space="preserve">: Number of </w:t>
            </w:r>
            <w:r w:rsidR="009D0113" w:rsidRPr="00A84B49">
              <w:rPr>
                <w:bCs/>
                <w:color w:val="000000"/>
                <w:sz w:val="16"/>
                <w:szCs w:val="16"/>
              </w:rPr>
              <w:t xml:space="preserve">persons </w:t>
            </w:r>
            <w:r w:rsidRPr="00A84B49">
              <w:rPr>
                <w:bCs/>
                <w:color w:val="000000"/>
                <w:sz w:val="16"/>
                <w:szCs w:val="16"/>
              </w:rPr>
              <w:t>accessing business development services for establishing micro and small businesses articulated with sustainable supply chains and markets</w:t>
            </w:r>
            <w:r w:rsidR="009D0113" w:rsidRPr="00A84B49">
              <w:rPr>
                <w:bCs/>
                <w:color w:val="000000"/>
                <w:sz w:val="16"/>
                <w:szCs w:val="16"/>
              </w:rPr>
              <w:t xml:space="preserve"> (disaggregated by type of support, sector, </w:t>
            </w:r>
            <w:r w:rsidR="006065AA" w:rsidRPr="00A84B49">
              <w:rPr>
                <w:bCs/>
                <w:color w:val="000000"/>
                <w:sz w:val="16"/>
                <w:szCs w:val="16"/>
              </w:rPr>
              <w:t xml:space="preserve">youth and women per </w:t>
            </w:r>
            <w:r w:rsidR="00442D2E" w:rsidRPr="00A84B49">
              <w:rPr>
                <w:bCs/>
                <w:color w:val="000000"/>
                <w:sz w:val="16"/>
                <w:szCs w:val="16"/>
              </w:rPr>
              <w:t>target/vulnerable group</w:t>
            </w:r>
            <w:r w:rsidR="009D0113" w:rsidRPr="00A84B49">
              <w:rPr>
                <w:bCs/>
                <w:color w:val="000000"/>
                <w:sz w:val="16"/>
                <w:szCs w:val="16"/>
              </w:rPr>
              <w:t xml:space="preserve">) </w:t>
            </w:r>
          </w:p>
          <w:p w14:paraId="208CE585" w14:textId="173703BF" w:rsidR="00565E1C" w:rsidRPr="00A84B49" w:rsidRDefault="00565E1C" w:rsidP="00AC3954">
            <w:pPr>
              <w:rPr>
                <w:bCs/>
                <w:color w:val="000000"/>
                <w:sz w:val="16"/>
                <w:szCs w:val="16"/>
              </w:rPr>
            </w:pPr>
            <w:r w:rsidRPr="00A84B49">
              <w:rPr>
                <w:bCs/>
                <w:color w:val="000000"/>
                <w:sz w:val="16"/>
                <w:szCs w:val="16"/>
              </w:rPr>
              <w:t xml:space="preserve">Baseline (2015): 1,600 (No disaggregated data available) </w:t>
            </w:r>
          </w:p>
          <w:p w14:paraId="584DE3E0" w14:textId="77777777" w:rsidR="00565E1C" w:rsidRPr="00A84B49" w:rsidRDefault="00565E1C" w:rsidP="00AC3954">
            <w:pPr>
              <w:rPr>
                <w:bCs/>
                <w:color w:val="000000"/>
                <w:sz w:val="16"/>
                <w:szCs w:val="16"/>
              </w:rPr>
            </w:pPr>
            <w:r w:rsidRPr="00A84B49">
              <w:rPr>
                <w:bCs/>
                <w:color w:val="000000"/>
                <w:sz w:val="16"/>
                <w:szCs w:val="16"/>
              </w:rPr>
              <w:t>Target: 20,000 (50% women)</w:t>
            </w:r>
          </w:p>
          <w:p w14:paraId="3F2BE9EF" w14:textId="027C4D11" w:rsidR="00565E1C" w:rsidRPr="00341459" w:rsidRDefault="00565E1C" w:rsidP="00AC3954">
            <w:pPr>
              <w:rPr>
                <w:bCs/>
                <w:color w:val="000000"/>
                <w:sz w:val="16"/>
                <w:szCs w:val="16"/>
              </w:rPr>
            </w:pPr>
            <w:r w:rsidRPr="00A84B49">
              <w:rPr>
                <w:bCs/>
                <w:color w:val="000000"/>
                <w:sz w:val="16"/>
                <w:szCs w:val="16"/>
              </w:rPr>
              <w:t xml:space="preserve">Source: </w:t>
            </w:r>
            <w:r w:rsidR="00DD59B7" w:rsidRPr="00A84B49">
              <w:rPr>
                <w:bCs/>
                <w:color w:val="000000"/>
                <w:sz w:val="16"/>
                <w:szCs w:val="16"/>
              </w:rPr>
              <w:t>m</w:t>
            </w:r>
            <w:r w:rsidRPr="00A84B49">
              <w:rPr>
                <w:bCs/>
                <w:color w:val="000000"/>
                <w:sz w:val="16"/>
                <w:szCs w:val="16"/>
              </w:rPr>
              <w:t>unicipalities, Labo</w:t>
            </w:r>
            <w:r w:rsidR="006E6CC5" w:rsidRPr="00A84B49">
              <w:rPr>
                <w:bCs/>
                <w:color w:val="000000"/>
                <w:sz w:val="16"/>
                <w:szCs w:val="16"/>
              </w:rPr>
              <w:t>u</w:t>
            </w:r>
            <w:r w:rsidRPr="00A84B49">
              <w:rPr>
                <w:bCs/>
                <w:color w:val="000000"/>
                <w:sz w:val="16"/>
                <w:szCs w:val="16"/>
              </w:rPr>
              <w:t>r Ministry, financial institutions</w:t>
            </w:r>
            <w:r w:rsidR="006065AA" w:rsidRPr="00A84B49">
              <w:rPr>
                <w:bCs/>
                <w:color w:val="000000"/>
                <w:sz w:val="16"/>
                <w:szCs w:val="16"/>
              </w:rPr>
              <w:t>, SAG, S</w:t>
            </w:r>
            <w:r w:rsidR="00C76D84" w:rsidRPr="00A84B49">
              <w:rPr>
                <w:bCs/>
                <w:color w:val="000000"/>
                <w:sz w:val="16"/>
                <w:szCs w:val="16"/>
              </w:rPr>
              <w:t>E</w:t>
            </w:r>
            <w:r w:rsidR="006065AA" w:rsidRPr="00A84B49">
              <w:rPr>
                <w:bCs/>
                <w:color w:val="000000"/>
                <w:sz w:val="16"/>
                <w:szCs w:val="16"/>
              </w:rPr>
              <w:t>DE</w:t>
            </w:r>
            <w:r w:rsidR="00C76D84" w:rsidRPr="00341459">
              <w:rPr>
                <w:bCs/>
                <w:color w:val="000000"/>
                <w:sz w:val="16"/>
                <w:szCs w:val="16"/>
              </w:rPr>
              <w:t>C</w:t>
            </w:r>
          </w:p>
          <w:p w14:paraId="0DA95FCD" w14:textId="2ABBEDD0" w:rsidR="00565E1C" w:rsidRPr="00A84B49" w:rsidRDefault="00565E1C" w:rsidP="00AC3954">
            <w:pPr>
              <w:rPr>
                <w:bCs/>
                <w:color w:val="000000"/>
                <w:sz w:val="16"/>
                <w:szCs w:val="16"/>
              </w:rPr>
            </w:pPr>
            <w:r w:rsidRPr="00A84B49">
              <w:rPr>
                <w:bCs/>
                <w:color w:val="000000"/>
                <w:sz w:val="16"/>
                <w:szCs w:val="16"/>
              </w:rPr>
              <w:t>Frequency: Annual</w:t>
            </w:r>
          </w:p>
        </w:tc>
        <w:tc>
          <w:tcPr>
            <w:tcW w:w="774" w:type="pct"/>
            <w:vMerge w:val="restart"/>
            <w:tcBorders>
              <w:top w:val="single" w:sz="4" w:space="0" w:color="auto"/>
              <w:left w:val="single" w:sz="8" w:space="0" w:color="000000"/>
              <w:bottom w:val="single" w:sz="4" w:space="0" w:color="auto"/>
              <w:right w:val="single" w:sz="8" w:space="0" w:color="000000"/>
            </w:tcBorders>
          </w:tcPr>
          <w:p w14:paraId="35CCE38F" w14:textId="70B58151" w:rsidR="00565E1C" w:rsidRPr="00A84B49" w:rsidRDefault="00565E1C" w:rsidP="00E33242">
            <w:pPr>
              <w:rPr>
                <w:iCs/>
                <w:color w:val="000000"/>
                <w:sz w:val="16"/>
                <w:szCs w:val="16"/>
              </w:rPr>
            </w:pPr>
            <w:r w:rsidRPr="00A84B49">
              <w:rPr>
                <w:iCs/>
                <w:color w:val="000000"/>
                <w:sz w:val="16"/>
                <w:szCs w:val="16"/>
              </w:rPr>
              <w:lastRenderedPageBreak/>
              <w:t xml:space="preserve">MiAmbiente, SAG, </w:t>
            </w:r>
            <w:r w:rsidRPr="00341459">
              <w:rPr>
                <w:iCs/>
                <w:color w:val="000000"/>
                <w:sz w:val="16"/>
                <w:szCs w:val="16"/>
              </w:rPr>
              <w:t xml:space="preserve">SCGG, </w:t>
            </w:r>
            <w:r w:rsidRPr="00A84B49">
              <w:rPr>
                <w:iCs/>
                <w:color w:val="000000"/>
                <w:sz w:val="16"/>
                <w:szCs w:val="16"/>
              </w:rPr>
              <w:t>SEDIS, SEDEC,</w:t>
            </w:r>
            <w:r w:rsidRPr="00341459">
              <w:rPr>
                <w:iCs/>
                <w:color w:val="000000"/>
                <w:sz w:val="16"/>
                <w:szCs w:val="16"/>
              </w:rPr>
              <w:t xml:space="preserve"> </w:t>
            </w:r>
            <w:r w:rsidR="00536B56" w:rsidRPr="00A84B49">
              <w:rPr>
                <w:iCs/>
                <w:color w:val="000000"/>
                <w:sz w:val="16"/>
                <w:szCs w:val="16"/>
              </w:rPr>
              <w:t>m</w:t>
            </w:r>
            <w:r w:rsidRPr="00A84B49">
              <w:rPr>
                <w:iCs/>
                <w:color w:val="000000"/>
                <w:sz w:val="16"/>
                <w:szCs w:val="16"/>
              </w:rPr>
              <w:t xml:space="preserve">unicipalities, </w:t>
            </w:r>
            <w:r w:rsidR="00536B56" w:rsidRPr="00A84B49">
              <w:rPr>
                <w:iCs/>
                <w:color w:val="000000"/>
                <w:sz w:val="16"/>
                <w:szCs w:val="16"/>
              </w:rPr>
              <w:t>CSOs</w:t>
            </w:r>
            <w:r w:rsidR="00C0555D" w:rsidRPr="00A84B49">
              <w:rPr>
                <w:iCs/>
                <w:color w:val="000000"/>
                <w:sz w:val="16"/>
                <w:szCs w:val="16"/>
              </w:rPr>
              <w:t>, AMHON, COHEP/ private sector</w:t>
            </w:r>
          </w:p>
          <w:p w14:paraId="1042C59C" w14:textId="77777777" w:rsidR="00565E1C" w:rsidRPr="00A84B49" w:rsidRDefault="00565E1C" w:rsidP="00E33242">
            <w:pPr>
              <w:rPr>
                <w:iCs/>
                <w:color w:val="000000"/>
                <w:sz w:val="16"/>
                <w:szCs w:val="16"/>
              </w:rPr>
            </w:pPr>
          </w:p>
          <w:p w14:paraId="1EF2140E" w14:textId="4982C6BD" w:rsidR="00C0555D" w:rsidRPr="00A84B49" w:rsidRDefault="00565E1C" w:rsidP="00E33242">
            <w:pPr>
              <w:rPr>
                <w:iCs/>
                <w:color w:val="000000"/>
                <w:sz w:val="16"/>
                <w:szCs w:val="16"/>
              </w:rPr>
            </w:pPr>
            <w:r w:rsidRPr="00A84B49">
              <w:rPr>
                <w:iCs/>
                <w:color w:val="000000"/>
                <w:sz w:val="16"/>
                <w:szCs w:val="16"/>
              </w:rPr>
              <w:t>FAO,</w:t>
            </w:r>
            <w:r w:rsidR="003717D8" w:rsidRPr="00A84B49">
              <w:rPr>
                <w:iCs/>
                <w:color w:val="000000"/>
                <w:sz w:val="16"/>
                <w:szCs w:val="16"/>
              </w:rPr>
              <w:t xml:space="preserve"> ILO</w:t>
            </w:r>
            <w:r w:rsidR="00717790" w:rsidRPr="00A84B49">
              <w:rPr>
                <w:iCs/>
                <w:color w:val="000000"/>
                <w:sz w:val="16"/>
                <w:szCs w:val="16"/>
              </w:rPr>
              <w:t>, UNICEF</w:t>
            </w:r>
            <w:r w:rsidR="00AD1B19" w:rsidRPr="00A84B49">
              <w:rPr>
                <w:iCs/>
                <w:color w:val="000000"/>
                <w:sz w:val="16"/>
                <w:szCs w:val="16"/>
              </w:rPr>
              <w:t>, UN Women</w:t>
            </w:r>
            <w:r w:rsidR="001335E8" w:rsidRPr="00A84B49">
              <w:rPr>
                <w:iCs/>
                <w:color w:val="000000"/>
                <w:sz w:val="16"/>
                <w:szCs w:val="16"/>
              </w:rPr>
              <w:t xml:space="preserve">, UNHCR </w:t>
            </w:r>
          </w:p>
          <w:p w14:paraId="53A6F780" w14:textId="77777777" w:rsidR="00C0555D" w:rsidRPr="00A84B49" w:rsidRDefault="00C0555D" w:rsidP="00E33242">
            <w:pPr>
              <w:rPr>
                <w:iCs/>
                <w:color w:val="000000"/>
                <w:sz w:val="16"/>
                <w:szCs w:val="16"/>
              </w:rPr>
            </w:pPr>
          </w:p>
          <w:p w14:paraId="6CA3B149" w14:textId="35C53A51" w:rsidR="00565E1C" w:rsidRPr="00341459" w:rsidRDefault="00C76D84" w:rsidP="00E33242">
            <w:pPr>
              <w:rPr>
                <w:iCs/>
                <w:color w:val="000000"/>
                <w:sz w:val="16"/>
                <w:szCs w:val="16"/>
              </w:rPr>
            </w:pPr>
            <w:r w:rsidRPr="00341459">
              <w:rPr>
                <w:iCs/>
                <w:color w:val="000000"/>
                <w:sz w:val="16"/>
                <w:szCs w:val="16"/>
              </w:rPr>
              <w:t>SDC</w:t>
            </w:r>
            <w:r w:rsidR="00D35310" w:rsidRPr="00341459">
              <w:rPr>
                <w:iCs/>
                <w:color w:val="000000"/>
                <w:sz w:val="16"/>
                <w:szCs w:val="16"/>
              </w:rPr>
              <w:t xml:space="preserve">, EU, </w:t>
            </w:r>
            <w:r w:rsidRPr="00341459">
              <w:rPr>
                <w:iCs/>
                <w:color w:val="000000"/>
                <w:sz w:val="16"/>
                <w:szCs w:val="16"/>
              </w:rPr>
              <w:t>CABEI</w:t>
            </w:r>
            <w:r w:rsidR="00565E1C" w:rsidRPr="00341459">
              <w:rPr>
                <w:iCs/>
                <w:color w:val="000000"/>
                <w:sz w:val="16"/>
                <w:szCs w:val="16"/>
              </w:rPr>
              <w:t>, GEF</w:t>
            </w:r>
            <w:r w:rsidR="00D35310" w:rsidRPr="00341459">
              <w:rPr>
                <w:iCs/>
                <w:color w:val="000000"/>
                <w:sz w:val="16"/>
                <w:szCs w:val="16"/>
              </w:rPr>
              <w:t xml:space="preserve">, </w:t>
            </w:r>
            <w:r w:rsidRPr="00A84B49">
              <w:rPr>
                <w:iCs/>
                <w:color w:val="000000"/>
                <w:sz w:val="16"/>
                <w:szCs w:val="16"/>
              </w:rPr>
              <w:t>IDB</w:t>
            </w:r>
            <w:r w:rsidR="00D35310" w:rsidRPr="00341459">
              <w:rPr>
                <w:iCs/>
                <w:color w:val="000000"/>
                <w:sz w:val="16"/>
                <w:szCs w:val="16"/>
              </w:rPr>
              <w:t>, W</w:t>
            </w:r>
            <w:r w:rsidR="00C0555D" w:rsidRPr="00341459">
              <w:rPr>
                <w:iCs/>
                <w:color w:val="000000"/>
                <w:sz w:val="16"/>
                <w:szCs w:val="16"/>
              </w:rPr>
              <w:t>orld Bank</w:t>
            </w:r>
          </w:p>
          <w:p w14:paraId="5ED51F86" w14:textId="5EB4DADF" w:rsidR="00565E1C" w:rsidRPr="00A84B49" w:rsidRDefault="00565E1C" w:rsidP="00E33242">
            <w:pPr>
              <w:rPr>
                <w:iCs/>
                <w:color w:val="000000"/>
                <w:sz w:val="16"/>
                <w:szCs w:val="16"/>
              </w:rPr>
            </w:pPr>
          </w:p>
          <w:p w14:paraId="5B3D78DF" w14:textId="5CC7BBE6" w:rsidR="00D35310" w:rsidRPr="00A84B49" w:rsidRDefault="00D35310" w:rsidP="00E33242">
            <w:pPr>
              <w:rPr>
                <w:iCs/>
                <w:color w:val="000000"/>
                <w:sz w:val="16"/>
                <w:szCs w:val="16"/>
              </w:rPr>
            </w:pPr>
            <w:r w:rsidRPr="00A84B49">
              <w:rPr>
                <w:iCs/>
                <w:color w:val="000000"/>
                <w:sz w:val="16"/>
                <w:szCs w:val="16"/>
              </w:rPr>
              <w:t xml:space="preserve">South-South </w:t>
            </w:r>
            <w:r w:rsidR="00536B56" w:rsidRPr="00A84B49">
              <w:rPr>
                <w:iCs/>
                <w:color w:val="000000"/>
                <w:sz w:val="16"/>
                <w:szCs w:val="16"/>
              </w:rPr>
              <w:t>c</w:t>
            </w:r>
            <w:r w:rsidRPr="00A84B49">
              <w:rPr>
                <w:iCs/>
                <w:color w:val="000000"/>
                <w:sz w:val="16"/>
                <w:szCs w:val="16"/>
              </w:rPr>
              <w:t>ooperation (Climate Change/private sector development)</w:t>
            </w:r>
          </w:p>
          <w:p w14:paraId="31274800" w14:textId="77777777" w:rsidR="00565E1C" w:rsidRPr="00A84B49" w:rsidRDefault="00565E1C" w:rsidP="00E33242">
            <w:pPr>
              <w:rPr>
                <w:iCs/>
                <w:color w:val="000000"/>
                <w:sz w:val="16"/>
                <w:szCs w:val="16"/>
              </w:rPr>
            </w:pPr>
          </w:p>
        </w:tc>
        <w:tc>
          <w:tcPr>
            <w:tcW w:w="749"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4B01E631" w14:textId="77777777" w:rsidR="00565E1C" w:rsidRPr="00A84B49" w:rsidRDefault="00565E1C" w:rsidP="00DD59B7">
            <w:pPr>
              <w:rPr>
                <w:b/>
                <w:color w:val="000000"/>
                <w:sz w:val="16"/>
                <w:szCs w:val="16"/>
                <w:lang w:val="es-ES"/>
              </w:rPr>
            </w:pPr>
            <w:r w:rsidRPr="00A84B49">
              <w:rPr>
                <w:b/>
                <w:color w:val="000000"/>
                <w:sz w:val="16"/>
                <w:szCs w:val="16"/>
                <w:lang w:val="es-ES"/>
              </w:rPr>
              <w:lastRenderedPageBreak/>
              <w:t>Regular 1,000,000</w:t>
            </w:r>
          </w:p>
        </w:tc>
      </w:tr>
      <w:tr w:rsidR="00565E1C" w:rsidRPr="00F376BA" w14:paraId="48F98322" w14:textId="77777777" w:rsidTr="00C173F9">
        <w:tc>
          <w:tcPr>
            <w:tcW w:w="1185" w:type="pct"/>
            <w:vMerge/>
            <w:tcBorders>
              <w:left w:val="single" w:sz="8" w:space="0" w:color="000000"/>
              <w:bottom w:val="single" w:sz="4" w:space="0" w:color="auto"/>
              <w:right w:val="single" w:sz="4" w:space="0" w:color="auto"/>
            </w:tcBorders>
            <w:tcMar>
              <w:top w:w="72" w:type="dxa"/>
              <w:left w:w="144" w:type="dxa"/>
              <w:bottom w:w="72" w:type="dxa"/>
              <w:right w:w="144" w:type="dxa"/>
            </w:tcMar>
          </w:tcPr>
          <w:p w14:paraId="54AE1807" w14:textId="77777777" w:rsidR="00565E1C" w:rsidRPr="00A84B49" w:rsidRDefault="00565E1C" w:rsidP="00AC3954">
            <w:pPr>
              <w:rPr>
                <w:i/>
                <w:iCs/>
                <w:color w:val="000000"/>
                <w:sz w:val="16"/>
                <w:szCs w:val="16"/>
                <w:lang w:val="es-ES"/>
              </w:rPr>
            </w:pPr>
          </w:p>
        </w:tc>
        <w:tc>
          <w:tcPr>
            <w:tcW w:w="958" w:type="pct"/>
            <w:vMerge/>
            <w:tcBorders>
              <w:left w:val="single" w:sz="4" w:space="0" w:color="auto"/>
              <w:bottom w:val="single" w:sz="4" w:space="0" w:color="auto"/>
              <w:right w:val="single" w:sz="8" w:space="0" w:color="000000"/>
            </w:tcBorders>
          </w:tcPr>
          <w:p w14:paraId="35DCA1FB" w14:textId="77777777" w:rsidR="00565E1C" w:rsidRPr="00A84B49" w:rsidRDefault="00565E1C" w:rsidP="00AC3954">
            <w:pPr>
              <w:rPr>
                <w:i/>
                <w:iCs/>
                <w:color w:val="000000"/>
                <w:sz w:val="16"/>
                <w:szCs w:val="16"/>
                <w:lang w:val="es-ES"/>
              </w:rPr>
            </w:pPr>
          </w:p>
        </w:tc>
        <w:tc>
          <w:tcPr>
            <w:tcW w:w="1334" w:type="pct"/>
            <w:vMerge/>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6C3EE110" w14:textId="77777777" w:rsidR="00565E1C" w:rsidRPr="00A84B49" w:rsidRDefault="00565E1C" w:rsidP="00AC3954">
            <w:pPr>
              <w:rPr>
                <w:i/>
                <w:iCs/>
                <w:color w:val="000000"/>
                <w:sz w:val="16"/>
                <w:szCs w:val="16"/>
                <w:lang w:val="es-ES"/>
              </w:rPr>
            </w:pPr>
          </w:p>
        </w:tc>
        <w:tc>
          <w:tcPr>
            <w:tcW w:w="774" w:type="pct"/>
            <w:vMerge/>
            <w:tcBorders>
              <w:left w:val="single" w:sz="8" w:space="0" w:color="000000"/>
              <w:bottom w:val="single" w:sz="4" w:space="0" w:color="auto"/>
              <w:right w:val="single" w:sz="8" w:space="0" w:color="000000"/>
            </w:tcBorders>
          </w:tcPr>
          <w:p w14:paraId="434D1C92" w14:textId="77777777" w:rsidR="00565E1C" w:rsidRPr="00A84B49" w:rsidRDefault="00565E1C" w:rsidP="00AC3954">
            <w:pPr>
              <w:rPr>
                <w:i/>
                <w:iCs/>
                <w:color w:val="000000"/>
                <w:sz w:val="16"/>
                <w:szCs w:val="16"/>
                <w:lang w:val="es-ES"/>
              </w:rPr>
            </w:pPr>
          </w:p>
        </w:tc>
        <w:tc>
          <w:tcPr>
            <w:tcW w:w="749" w:type="pct"/>
            <w:tcBorders>
              <w:top w:val="single" w:sz="4" w:space="0" w:color="auto"/>
              <w:left w:val="single" w:sz="8" w:space="0" w:color="000000"/>
              <w:right w:val="single" w:sz="8" w:space="0" w:color="000000"/>
            </w:tcBorders>
            <w:tcMar>
              <w:top w:w="15" w:type="dxa"/>
              <w:left w:w="108" w:type="dxa"/>
              <w:bottom w:w="0" w:type="dxa"/>
              <w:right w:w="108" w:type="dxa"/>
            </w:tcMar>
          </w:tcPr>
          <w:p w14:paraId="48964C4A" w14:textId="49B25D3A" w:rsidR="00565E1C" w:rsidRPr="00A84B49" w:rsidRDefault="00565E1C" w:rsidP="00F43E8F">
            <w:pPr>
              <w:rPr>
                <w:b/>
                <w:color w:val="000000"/>
                <w:sz w:val="16"/>
                <w:szCs w:val="16"/>
                <w:lang w:val="es-ES"/>
              </w:rPr>
            </w:pPr>
            <w:r w:rsidRPr="00A84B49">
              <w:rPr>
                <w:b/>
                <w:color w:val="000000"/>
                <w:sz w:val="16"/>
                <w:szCs w:val="16"/>
                <w:lang w:val="es-ES"/>
              </w:rPr>
              <w:t>Other 57,382,</w:t>
            </w:r>
            <w:r w:rsidR="001C3F91" w:rsidRPr="00A84B49">
              <w:rPr>
                <w:b/>
                <w:color w:val="000000"/>
                <w:sz w:val="16"/>
                <w:szCs w:val="16"/>
                <w:lang w:val="es-ES"/>
              </w:rPr>
              <w:t>284</w:t>
            </w:r>
          </w:p>
        </w:tc>
      </w:tr>
    </w:tbl>
    <w:p w14:paraId="1D549617" w14:textId="77777777" w:rsidR="00B10DBE" w:rsidRPr="00B10DBE" w:rsidRDefault="00B10DBE" w:rsidP="00B10DBE">
      <w:pPr>
        <w:pStyle w:val="Heading4"/>
        <w:jc w:val="center"/>
        <w:rPr>
          <w:b w:val="0"/>
          <w:bCs/>
          <w:color w:val="000000"/>
          <w:sz w:val="16"/>
          <w:szCs w:val="16"/>
        </w:rPr>
      </w:pPr>
    </w:p>
    <w:p w14:paraId="272885D2" w14:textId="23F99841" w:rsidR="0015665A" w:rsidRDefault="00A8785D" w:rsidP="00A8785D">
      <w:pPr>
        <w:pStyle w:val="Heading4"/>
        <w:spacing w:after="120"/>
        <w:jc w:val="center"/>
        <w:rPr>
          <w:bCs/>
          <w:color w:val="000000"/>
        </w:rPr>
      </w:pPr>
      <w:r>
        <w:rPr>
          <w:rFonts w:eastAsiaTheme="minorEastAsia"/>
          <w:bCs/>
          <w:noProof/>
          <w:sz w:val="18"/>
          <w:szCs w:val="18"/>
        </w:rPr>
        <w:drawing>
          <wp:inline distT="0" distB="0" distL="0" distR="0" wp14:anchorId="3952B215" wp14:editId="34869982">
            <wp:extent cx="944880" cy="30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15665A" w:rsidSect="008201AC">
      <w:headerReference w:type="even" r:id="rId18"/>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6101" w14:textId="77777777" w:rsidR="003E2221" w:rsidRDefault="003E2221" w:rsidP="00441061">
      <w:r>
        <w:separator/>
      </w:r>
    </w:p>
  </w:endnote>
  <w:endnote w:type="continuationSeparator" w:id="0">
    <w:p w14:paraId="439372C2" w14:textId="77777777" w:rsidR="003E2221" w:rsidRDefault="003E2221" w:rsidP="00441061">
      <w:r>
        <w:continuationSeparator/>
      </w:r>
    </w:p>
  </w:endnote>
  <w:endnote w:type="continuationNotice" w:id="1">
    <w:p w14:paraId="275914FC" w14:textId="77777777" w:rsidR="003E2221" w:rsidRDefault="003E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15720"/>
      <w:docPartObj>
        <w:docPartGallery w:val="Page Numbers (Bottom of Page)"/>
        <w:docPartUnique/>
      </w:docPartObj>
    </w:sdtPr>
    <w:sdtEndPr>
      <w:rPr>
        <w:noProof/>
      </w:rPr>
    </w:sdtEndPr>
    <w:sdtContent>
      <w:p w14:paraId="76148CA1" w14:textId="31A55489" w:rsidR="00341459" w:rsidRPr="0033000C" w:rsidRDefault="00341459" w:rsidP="0033000C">
        <w:pPr>
          <w:pStyle w:val="Footer"/>
        </w:pPr>
        <w:r w:rsidRPr="00A04A4C">
          <w:rPr>
            <w:b/>
            <w:sz w:val="17"/>
            <w:szCs w:val="17"/>
          </w:rPr>
          <w:fldChar w:fldCharType="begin"/>
        </w:r>
        <w:r w:rsidRPr="00A04A4C">
          <w:rPr>
            <w:b/>
            <w:sz w:val="17"/>
            <w:szCs w:val="17"/>
          </w:rPr>
          <w:instrText xml:space="preserve"> PAGE   \* MERGEFORMAT </w:instrText>
        </w:r>
        <w:r w:rsidRPr="00A04A4C">
          <w:rPr>
            <w:b/>
            <w:sz w:val="17"/>
            <w:szCs w:val="17"/>
          </w:rPr>
          <w:fldChar w:fldCharType="separate"/>
        </w:r>
        <w:r w:rsidR="00363532">
          <w:rPr>
            <w:b/>
            <w:noProof/>
            <w:sz w:val="17"/>
            <w:szCs w:val="17"/>
          </w:rPr>
          <w:t>8</w:t>
        </w:r>
        <w:r w:rsidRPr="00A04A4C">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203723"/>
      <w:docPartObj>
        <w:docPartGallery w:val="Page Numbers (Bottom of Page)"/>
        <w:docPartUnique/>
      </w:docPartObj>
    </w:sdtPr>
    <w:sdtEndPr>
      <w:rPr>
        <w:b/>
        <w:noProof/>
        <w:sz w:val="17"/>
        <w:szCs w:val="17"/>
      </w:rPr>
    </w:sdtEndPr>
    <w:sdtContent>
      <w:p w14:paraId="422572D5" w14:textId="63CDE9A2" w:rsidR="00341459" w:rsidRPr="00542341" w:rsidRDefault="00542341" w:rsidP="00542341">
        <w:pPr>
          <w:pStyle w:val="Footer"/>
          <w:jc w:val="right"/>
          <w:rPr>
            <w:b/>
            <w:sz w:val="17"/>
            <w:szCs w:val="17"/>
          </w:rPr>
        </w:pPr>
        <w:r w:rsidRPr="00542341">
          <w:rPr>
            <w:b/>
            <w:sz w:val="17"/>
            <w:szCs w:val="17"/>
          </w:rPr>
          <w:fldChar w:fldCharType="begin"/>
        </w:r>
        <w:r w:rsidRPr="00542341">
          <w:rPr>
            <w:b/>
            <w:sz w:val="17"/>
            <w:szCs w:val="17"/>
          </w:rPr>
          <w:instrText xml:space="preserve"> PAGE   \* MERGEFORMAT </w:instrText>
        </w:r>
        <w:r w:rsidRPr="00542341">
          <w:rPr>
            <w:b/>
            <w:sz w:val="17"/>
            <w:szCs w:val="17"/>
          </w:rPr>
          <w:fldChar w:fldCharType="separate"/>
        </w:r>
        <w:r w:rsidR="00363532">
          <w:rPr>
            <w:b/>
            <w:noProof/>
            <w:sz w:val="17"/>
            <w:szCs w:val="17"/>
          </w:rPr>
          <w:t>7</w:t>
        </w:r>
        <w:r w:rsidRPr="00542341">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2525" w14:textId="77777777" w:rsidR="003E2221" w:rsidRDefault="003E2221" w:rsidP="00441061">
      <w:r>
        <w:separator/>
      </w:r>
    </w:p>
  </w:footnote>
  <w:footnote w:type="continuationSeparator" w:id="0">
    <w:p w14:paraId="785F5585" w14:textId="77777777" w:rsidR="003E2221" w:rsidRDefault="003E2221" w:rsidP="00441061">
      <w:r>
        <w:continuationSeparator/>
      </w:r>
    </w:p>
  </w:footnote>
  <w:footnote w:type="continuationNotice" w:id="1">
    <w:p w14:paraId="2796039E" w14:textId="77777777" w:rsidR="003E2221" w:rsidRDefault="003E2221"/>
  </w:footnote>
  <w:footnote w:id="2">
    <w:p w14:paraId="4ED35C90" w14:textId="77777777" w:rsidR="00341459" w:rsidRPr="00B10DBE" w:rsidRDefault="00341459" w:rsidP="00D95D80">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Central Bank of Honduras (2015) Main Economic Indicators.</w:t>
      </w:r>
    </w:p>
  </w:footnote>
  <w:footnote w:id="3">
    <w:p w14:paraId="1D92E9BD" w14:textId="2B79A719" w:rsidR="00341459" w:rsidRPr="00B10DBE" w:rsidRDefault="00341459" w:rsidP="00D95D80">
      <w:pPr>
        <w:pStyle w:val="FootnoteText"/>
        <w:jc w:val="both"/>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sz w:val="14"/>
          <w:szCs w:val="14"/>
        </w:rPr>
        <w:t xml:space="preserve"> UNDP (2015) Human Development Report 2015.</w:t>
      </w:r>
    </w:p>
  </w:footnote>
  <w:footnote w:id="4">
    <w:p w14:paraId="4E708620" w14:textId="756EB523" w:rsidR="00341459" w:rsidRPr="00B10DBE" w:rsidRDefault="00341459" w:rsidP="00B9515F">
      <w:pPr>
        <w:autoSpaceDE w:val="0"/>
        <w:autoSpaceDN w:val="0"/>
        <w:jc w:val="both"/>
        <w:rPr>
          <w:sz w:val="14"/>
          <w:szCs w:val="14"/>
        </w:rPr>
      </w:pPr>
      <w:r w:rsidRPr="00B10DBE">
        <w:rPr>
          <w:rStyle w:val="FootnoteReference"/>
        </w:rPr>
        <w:footnoteRef/>
      </w:r>
      <w:r w:rsidRPr="00B10DBE">
        <w:t xml:space="preserve"> </w:t>
      </w:r>
      <w:r w:rsidRPr="00B10DBE">
        <w:rPr>
          <w:sz w:val="14"/>
          <w:szCs w:val="14"/>
        </w:rPr>
        <w:t xml:space="preserve">INE (2013). National population and housing census. </w:t>
      </w:r>
      <w:r>
        <w:rPr>
          <w:sz w:val="14"/>
          <w:szCs w:val="14"/>
        </w:rPr>
        <w:t>Honduras has</w:t>
      </w:r>
      <w:r w:rsidRPr="00B10DBE">
        <w:rPr>
          <w:sz w:val="14"/>
          <w:szCs w:val="14"/>
        </w:rPr>
        <w:t xml:space="preserve"> </w:t>
      </w:r>
      <w:r>
        <w:rPr>
          <w:sz w:val="14"/>
          <w:szCs w:val="14"/>
        </w:rPr>
        <w:t>seven</w:t>
      </w:r>
      <w:r w:rsidRPr="00B10DBE">
        <w:rPr>
          <w:sz w:val="14"/>
          <w:szCs w:val="14"/>
        </w:rPr>
        <w:t xml:space="preserve"> Indigenous groups (Lenca, Maya Chortí, Miskito, Nahua, Pech, Tawahka and Tolupán), and </w:t>
      </w:r>
      <w:r>
        <w:rPr>
          <w:sz w:val="14"/>
          <w:szCs w:val="14"/>
        </w:rPr>
        <w:t>two</w:t>
      </w:r>
      <w:r w:rsidRPr="00B10DBE">
        <w:rPr>
          <w:sz w:val="14"/>
          <w:szCs w:val="14"/>
        </w:rPr>
        <w:t xml:space="preserve"> Afro- descendants (Garifunas and English-speaking creoles).   </w:t>
      </w:r>
    </w:p>
  </w:footnote>
  <w:footnote w:id="5">
    <w:p w14:paraId="4DD647C6" w14:textId="77777777" w:rsidR="00341459" w:rsidRPr="00B10DBE" w:rsidRDefault="00341459" w:rsidP="00B9515F">
      <w:pPr>
        <w:autoSpaceDE w:val="0"/>
        <w:autoSpaceDN w:val="0"/>
        <w:jc w:val="both"/>
        <w:rPr>
          <w:sz w:val="14"/>
          <w:szCs w:val="14"/>
        </w:rPr>
      </w:pPr>
      <w:r w:rsidRPr="00B10DBE">
        <w:rPr>
          <w:rStyle w:val="FootnoteReference"/>
        </w:rPr>
        <w:footnoteRef/>
      </w:r>
      <w:r w:rsidRPr="00B10DBE">
        <w:t xml:space="preserve"> </w:t>
      </w:r>
      <w:r w:rsidRPr="00B10DBE">
        <w:rPr>
          <w:sz w:val="14"/>
          <w:szCs w:val="14"/>
        </w:rPr>
        <w:t>IDB (2007). Strategic Plan for the integral development of autochthonous people, December 2007.</w:t>
      </w:r>
    </w:p>
  </w:footnote>
  <w:footnote w:id="6">
    <w:p w14:paraId="308C6214" w14:textId="33280085" w:rsidR="00341459" w:rsidRPr="00B10DBE" w:rsidRDefault="00341459" w:rsidP="00B9515F">
      <w:pPr>
        <w:autoSpaceDE w:val="0"/>
        <w:autoSpaceDN w:val="0"/>
        <w:jc w:val="both"/>
        <w:rPr>
          <w:sz w:val="14"/>
          <w:szCs w:val="14"/>
        </w:rPr>
      </w:pPr>
      <w:r w:rsidRPr="00B10DBE">
        <w:rPr>
          <w:rStyle w:val="FootnoteReference"/>
        </w:rPr>
        <w:footnoteRef/>
      </w:r>
      <w:r w:rsidRPr="00B10DBE">
        <w:rPr>
          <w:lang w:val="es-HN"/>
        </w:rPr>
        <w:t xml:space="preserve"> </w:t>
      </w:r>
      <w:r w:rsidRPr="00B10DBE">
        <w:rPr>
          <w:sz w:val="14"/>
          <w:szCs w:val="14"/>
          <w:lang w:val="es-HN"/>
        </w:rPr>
        <w:t xml:space="preserve">Alejandra Faúndez </w:t>
      </w:r>
      <w:r>
        <w:rPr>
          <w:sz w:val="14"/>
          <w:szCs w:val="14"/>
          <w:lang w:val="es-HN"/>
        </w:rPr>
        <w:t>and</w:t>
      </w:r>
      <w:r w:rsidRPr="00B10DBE">
        <w:rPr>
          <w:sz w:val="14"/>
          <w:szCs w:val="14"/>
          <w:lang w:val="es-HN"/>
        </w:rPr>
        <w:t xml:space="preserve"> Marcos Valdes (2011). </w:t>
      </w:r>
      <w:r w:rsidRPr="00B10DBE">
        <w:rPr>
          <w:sz w:val="14"/>
          <w:szCs w:val="14"/>
        </w:rPr>
        <w:t>Characterization of the indigenous and afro-descent population in Hondurans.</w:t>
      </w:r>
    </w:p>
  </w:footnote>
  <w:footnote w:id="7">
    <w:p w14:paraId="1E9DE9A9" w14:textId="62BA9A17" w:rsidR="00341459" w:rsidRPr="00B10DBE" w:rsidRDefault="00341459" w:rsidP="00B9515F">
      <w:pPr>
        <w:pStyle w:val="FootnoteText"/>
        <w:jc w:val="both"/>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rPr>
        <w:t xml:space="preserve"> </w:t>
      </w:r>
      <w:r w:rsidRPr="00B10DBE">
        <w:rPr>
          <w:rFonts w:ascii="Times New Roman" w:hAnsi="Times New Roman"/>
          <w:sz w:val="14"/>
          <w:szCs w:val="14"/>
        </w:rPr>
        <w:t>KUKULCAN Association (2016) National Consultation on the Honduran LGBTI population rights, February 2016.</w:t>
      </w:r>
    </w:p>
  </w:footnote>
  <w:footnote w:id="8">
    <w:p w14:paraId="4AC6721D" w14:textId="198BD42F" w:rsidR="00341459" w:rsidRPr="00B10DBE" w:rsidRDefault="00341459" w:rsidP="00B9515F">
      <w:pPr>
        <w:pStyle w:val="FootnoteText"/>
        <w:jc w:val="both"/>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rPr>
        <w:t xml:space="preserve"> </w:t>
      </w:r>
      <w:r w:rsidRPr="00B10DBE">
        <w:rPr>
          <w:rFonts w:ascii="Times New Roman" w:hAnsi="Times New Roman"/>
          <w:sz w:val="14"/>
          <w:szCs w:val="14"/>
        </w:rPr>
        <w:t>National Commissioner of Human Rights (2015) Annual report to the National Congress, April 2016.</w:t>
      </w:r>
    </w:p>
  </w:footnote>
  <w:footnote w:id="9">
    <w:p w14:paraId="281DC0F1" w14:textId="77777777" w:rsidR="00341459" w:rsidRPr="00B10DBE" w:rsidRDefault="00341459" w:rsidP="00B9515F">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UNDP (2014) Regional Report on Human Development 2013-2014 “Citizen Security with a human face: assessment and proposals for Latin America,” p.4.</w:t>
      </w:r>
    </w:p>
  </w:footnote>
  <w:footnote w:id="10">
    <w:p w14:paraId="75963296" w14:textId="77777777" w:rsidR="005C057A" w:rsidRPr="00B10DBE" w:rsidRDefault="005C057A" w:rsidP="005C057A">
      <w:pPr>
        <w:pStyle w:val="FootnoteText"/>
        <w:jc w:val="both"/>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rPr>
        <w:t xml:space="preserve"> </w:t>
      </w:r>
      <w:r w:rsidRPr="00B10DBE">
        <w:rPr>
          <w:rFonts w:ascii="Times New Roman" w:hAnsi="Times New Roman"/>
          <w:sz w:val="14"/>
          <w:szCs w:val="14"/>
        </w:rPr>
        <w:t>World Bank (2011). Crime and Violence.</w:t>
      </w:r>
    </w:p>
  </w:footnote>
  <w:footnote w:id="11">
    <w:p w14:paraId="1FB109BA" w14:textId="24FEBD6F" w:rsidR="00341459" w:rsidRPr="00B10DBE" w:rsidRDefault="00341459" w:rsidP="00AC3BEF">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IUDPAS</w:t>
      </w:r>
      <w:r>
        <w:rPr>
          <w:rFonts w:ascii="Times New Roman" w:hAnsi="Times New Roman"/>
          <w:sz w:val="14"/>
          <w:szCs w:val="14"/>
        </w:rPr>
        <w:t xml:space="preserve"> </w:t>
      </w:r>
      <w:r w:rsidRPr="00B10DBE">
        <w:rPr>
          <w:rFonts w:ascii="Times New Roman" w:hAnsi="Times New Roman"/>
          <w:sz w:val="14"/>
          <w:szCs w:val="14"/>
        </w:rPr>
        <w:t>(2015)</w:t>
      </w:r>
      <w:r>
        <w:rPr>
          <w:rFonts w:ascii="Times New Roman" w:hAnsi="Times New Roman"/>
          <w:sz w:val="14"/>
          <w:szCs w:val="14"/>
        </w:rPr>
        <w:t xml:space="preserve"> </w:t>
      </w:r>
      <w:r w:rsidRPr="00B10DBE">
        <w:rPr>
          <w:rFonts w:ascii="Times New Roman" w:hAnsi="Times New Roman"/>
          <w:sz w:val="14"/>
          <w:szCs w:val="14"/>
        </w:rPr>
        <w:t>National Bulletin Number. 40</w:t>
      </w:r>
    </w:p>
  </w:footnote>
  <w:footnote w:id="12">
    <w:p w14:paraId="65CEE11C" w14:textId="77777777" w:rsidR="00341459" w:rsidRPr="00B10DBE" w:rsidRDefault="00341459" w:rsidP="00AC3BEF">
      <w:pPr>
        <w:pStyle w:val="FootnoteText"/>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CEPAL (2014) Observatory on Gender Equality in Latin America and the Caribbean. </w:t>
      </w:r>
    </w:p>
  </w:footnote>
  <w:footnote w:id="13">
    <w:p w14:paraId="116F5448" w14:textId="4E29646E" w:rsidR="00341459" w:rsidRPr="00B10DBE" w:rsidRDefault="00341459" w:rsidP="006F011B">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IUDPAS (2014) Citizen perception of insecurity and victimization in Honduras, Executive Report, p.</w:t>
      </w:r>
      <w:r>
        <w:rPr>
          <w:rFonts w:ascii="Times New Roman" w:hAnsi="Times New Roman"/>
          <w:sz w:val="14"/>
          <w:szCs w:val="14"/>
        </w:rPr>
        <w:t xml:space="preserve"> </w:t>
      </w:r>
      <w:r w:rsidRPr="00B10DBE">
        <w:rPr>
          <w:rFonts w:ascii="Times New Roman" w:hAnsi="Times New Roman"/>
          <w:sz w:val="14"/>
          <w:szCs w:val="14"/>
        </w:rPr>
        <w:t>7.</w:t>
      </w:r>
    </w:p>
  </w:footnote>
  <w:footnote w:id="14">
    <w:p w14:paraId="77010B5F" w14:textId="77777777" w:rsidR="00341459" w:rsidRPr="00B10DBE" w:rsidRDefault="00341459" w:rsidP="006F011B">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Government of Honduras (2010) Vision for the Country 2010-2038 and National Plan 2010-2020.</w:t>
      </w:r>
    </w:p>
  </w:footnote>
  <w:footnote w:id="15">
    <w:p w14:paraId="01B9A678" w14:textId="15B3C748" w:rsidR="00341459" w:rsidRPr="00B10DBE" w:rsidRDefault="00341459" w:rsidP="00E0390C">
      <w:pPr>
        <w:pStyle w:val="FootnoteText"/>
        <w:jc w:val="both"/>
        <w:rPr>
          <w:rFonts w:ascii="Times New Roman" w:hAnsi="Times New Roman"/>
          <w:sz w:val="14"/>
          <w:szCs w:val="14"/>
        </w:rPr>
      </w:pPr>
      <w:r w:rsidRPr="005921B5">
        <w:rPr>
          <w:rStyle w:val="FootnoteReference"/>
          <w:rFonts w:ascii="Times New Roman" w:hAnsi="Times New Roman"/>
          <w:sz w:val="14"/>
          <w:szCs w:val="14"/>
        </w:rPr>
        <w:footnoteRef/>
      </w:r>
      <w:r w:rsidRPr="005921B5">
        <w:rPr>
          <w:rStyle w:val="FootnoteReference"/>
          <w:sz w:val="14"/>
          <w:szCs w:val="14"/>
        </w:rPr>
        <w:t xml:space="preserve"> </w:t>
      </w:r>
      <w:r w:rsidRPr="00B10DBE">
        <w:rPr>
          <w:rFonts w:ascii="Times New Roman" w:hAnsi="Times New Roman"/>
          <w:sz w:val="14"/>
          <w:szCs w:val="14"/>
        </w:rPr>
        <w:t>CIPPDV, INE, UNHCR, JIPS and ERIC-SJ (2015) Characterization of internal displacement in Honduras, November 2015. Forced displacement is an emerging yet invisible problems, which explains the scarcity of data. A survey undertaken in 20 municipalities showed 41,000 households were displaced by violence and insecurity between 2004-2014; i.e. about 4</w:t>
      </w:r>
      <w:r>
        <w:rPr>
          <w:rFonts w:ascii="Times New Roman" w:hAnsi="Times New Roman"/>
          <w:sz w:val="14"/>
          <w:szCs w:val="14"/>
        </w:rPr>
        <w:t xml:space="preserve"> per cent</w:t>
      </w:r>
      <w:r w:rsidRPr="00B10DBE">
        <w:rPr>
          <w:rFonts w:ascii="Times New Roman" w:hAnsi="Times New Roman"/>
          <w:sz w:val="14"/>
          <w:szCs w:val="14"/>
        </w:rPr>
        <w:t xml:space="preserve"> of the population in these municipalities. Some were displaced more than once (about 10</w:t>
      </w:r>
      <w:r>
        <w:rPr>
          <w:rFonts w:ascii="Times New Roman" w:hAnsi="Times New Roman"/>
          <w:sz w:val="14"/>
          <w:szCs w:val="14"/>
        </w:rPr>
        <w:t xml:space="preserve"> per cent</w:t>
      </w:r>
      <w:r w:rsidRPr="00B10DBE">
        <w:rPr>
          <w:rFonts w:ascii="Times New Roman" w:hAnsi="Times New Roman"/>
          <w:sz w:val="14"/>
          <w:szCs w:val="14"/>
        </w:rPr>
        <w:t xml:space="preserve">). </w:t>
      </w:r>
    </w:p>
  </w:footnote>
  <w:footnote w:id="16">
    <w:p w14:paraId="4A340CE1" w14:textId="77777777" w:rsidR="00341459" w:rsidRPr="00B10DBE" w:rsidRDefault="00341459" w:rsidP="00E0390C">
      <w:pPr>
        <w:pStyle w:val="FootnoteText"/>
        <w:jc w:val="both"/>
        <w:rPr>
          <w:rFonts w:ascii="Times New Roman" w:hAnsi="Times New Roman"/>
        </w:rPr>
      </w:pPr>
      <w:r w:rsidRPr="00B10DBE">
        <w:rPr>
          <w:rStyle w:val="FootnoteReference"/>
          <w:rFonts w:ascii="Times New Roman" w:hAnsi="Times New Roman"/>
          <w:sz w:val="14"/>
          <w:szCs w:val="14"/>
        </w:rPr>
        <w:footnoteRef/>
      </w:r>
      <w:r w:rsidRPr="00B10DBE">
        <w:rPr>
          <w:rStyle w:val="FootnoteReference"/>
          <w:rFonts w:ascii="Times New Roman" w:hAnsi="Times New Roman"/>
          <w:sz w:val="14"/>
          <w:szCs w:val="14"/>
        </w:rPr>
        <w:t xml:space="preserve"> </w:t>
      </w:r>
      <w:r w:rsidRPr="00B10DBE">
        <w:rPr>
          <w:rFonts w:ascii="Times New Roman" w:hAnsi="Times New Roman"/>
          <w:sz w:val="14"/>
          <w:szCs w:val="14"/>
        </w:rPr>
        <w:t xml:space="preserve">Republic of Honduras (2013) Executive Decree no. PCM-053-2013. </w:t>
      </w:r>
    </w:p>
  </w:footnote>
  <w:footnote w:id="17">
    <w:p w14:paraId="4B8C060D" w14:textId="77777777" w:rsidR="00341459" w:rsidRPr="00B10DBE" w:rsidRDefault="00341459" w:rsidP="00E0390C">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UNDP (2015) Mid-term Evaluation of the Project Strengthening the Rule of Law for the Protection and Promotion of Human Rights in Honduras. </w:t>
      </w:r>
    </w:p>
  </w:footnote>
  <w:footnote w:id="18">
    <w:p w14:paraId="55D10580" w14:textId="17E067DC" w:rsidR="00341459" w:rsidRPr="00B10DBE" w:rsidRDefault="00341459" w:rsidP="00E0390C">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UNDP (2015) Human Development Report 2015.</w:t>
      </w:r>
    </w:p>
  </w:footnote>
  <w:footnote w:id="19">
    <w:p w14:paraId="4ECCE51A" w14:textId="77777777" w:rsidR="00341459" w:rsidRPr="00B10DBE" w:rsidRDefault="00341459" w:rsidP="00E0390C">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Style w:val="FootnoteReference"/>
          <w:rFonts w:ascii="Times New Roman" w:hAnsi="Times New Roman"/>
          <w:sz w:val="14"/>
          <w:szCs w:val="14"/>
        </w:rPr>
        <w:t xml:space="preserve"> </w:t>
      </w:r>
      <w:r w:rsidRPr="00B10DBE">
        <w:rPr>
          <w:rFonts w:ascii="Times New Roman" w:hAnsi="Times New Roman"/>
          <w:sz w:val="14"/>
          <w:szCs w:val="14"/>
        </w:rPr>
        <w:t>INE (2015) Permanent Survey of Multiple Households, 2014.</w:t>
      </w:r>
    </w:p>
  </w:footnote>
  <w:footnote w:id="20">
    <w:p w14:paraId="257DFBFA" w14:textId="2C3101D1" w:rsidR="00341459" w:rsidRPr="00B10DBE" w:rsidRDefault="00341459" w:rsidP="00E0390C">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Government of Honduras</w:t>
      </w:r>
      <w:r>
        <w:rPr>
          <w:rFonts w:ascii="Times New Roman" w:hAnsi="Times New Roman"/>
          <w:sz w:val="14"/>
          <w:szCs w:val="14"/>
        </w:rPr>
        <w:t>,</w:t>
      </w:r>
      <w:r w:rsidRPr="00B10DBE">
        <w:rPr>
          <w:rFonts w:ascii="Times New Roman" w:hAnsi="Times New Roman"/>
          <w:sz w:val="14"/>
          <w:szCs w:val="14"/>
        </w:rPr>
        <w:t xml:space="preserve"> 2015</w:t>
      </w:r>
      <w:r>
        <w:rPr>
          <w:rFonts w:ascii="Times New Roman" w:hAnsi="Times New Roman"/>
          <w:sz w:val="14"/>
          <w:szCs w:val="14"/>
        </w:rPr>
        <w:t xml:space="preserve"> MDG</w:t>
      </w:r>
      <w:r w:rsidRPr="00B10DBE">
        <w:rPr>
          <w:rFonts w:ascii="Times New Roman" w:hAnsi="Times New Roman"/>
          <w:sz w:val="14"/>
          <w:szCs w:val="14"/>
        </w:rPr>
        <w:t xml:space="preserve"> Report.</w:t>
      </w:r>
    </w:p>
  </w:footnote>
  <w:footnote w:id="21">
    <w:p w14:paraId="18034BC2" w14:textId="6F1F8B29" w:rsidR="00341459" w:rsidRPr="00B10DBE" w:rsidRDefault="00341459" w:rsidP="00E0390C">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Style w:val="FootnoteReference"/>
          <w:rFonts w:ascii="Times New Roman" w:hAnsi="Times New Roman"/>
          <w:sz w:val="14"/>
          <w:szCs w:val="14"/>
        </w:rPr>
        <w:t xml:space="preserve"> </w:t>
      </w:r>
      <w:r w:rsidRPr="00B10DBE">
        <w:rPr>
          <w:rFonts w:ascii="Times New Roman" w:hAnsi="Times New Roman"/>
          <w:sz w:val="14"/>
          <w:szCs w:val="14"/>
        </w:rPr>
        <w:t xml:space="preserve">Internal </w:t>
      </w:r>
      <w:r>
        <w:rPr>
          <w:rFonts w:ascii="Times New Roman" w:hAnsi="Times New Roman"/>
          <w:sz w:val="14"/>
          <w:szCs w:val="14"/>
        </w:rPr>
        <w:t>and</w:t>
      </w:r>
      <w:r w:rsidRPr="00B10DBE">
        <w:rPr>
          <w:rFonts w:ascii="Times New Roman" w:hAnsi="Times New Roman"/>
          <w:sz w:val="14"/>
          <w:szCs w:val="14"/>
        </w:rPr>
        <w:t xml:space="preserve"> international migration has been historically associated with economic reasons and more lately with high levels of violence and criminality. Source: CIPPDV, INE, UNHCR, JIPS and ERIC-SJ (2015) Characterization of internal displacement in Honduras, November 2015. </w:t>
      </w:r>
    </w:p>
  </w:footnote>
  <w:footnote w:id="22">
    <w:p w14:paraId="05155043" w14:textId="00A154F3" w:rsidR="00341459" w:rsidRPr="00A264A2" w:rsidRDefault="00341459" w:rsidP="00E0390C">
      <w:pPr>
        <w:autoSpaceDE w:val="0"/>
        <w:autoSpaceDN w:val="0"/>
        <w:adjustRightInd w:val="0"/>
        <w:jc w:val="both"/>
        <w:rPr>
          <w:sz w:val="14"/>
          <w:szCs w:val="14"/>
        </w:rPr>
      </w:pPr>
      <w:r w:rsidRPr="00A264A2">
        <w:rPr>
          <w:rStyle w:val="FootnoteReference"/>
          <w:sz w:val="14"/>
          <w:szCs w:val="14"/>
        </w:rPr>
        <w:footnoteRef/>
      </w:r>
      <w:r w:rsidRPr="00A264A2">
        <w:rPr>
          <w:rStyle w:val="FootnoteReference"/>
          <w:sz w:val="14"/>
          <w:szCs w:val="14"/>
        </w:rPr>
        <w:t xml:space="preserve"> </w:t>
      </w:r>
      <w:r w:rsidRPr="00A264A2">
        <w:rPr>
          <w:sz w:val="14"/>
          <w:szCs w:val="14"/>
        </w:rPr>
        <w:t xml:space="preserve">Marc Hanson (2016). </w:t>
      </w:r>
      <w:r>
        <w:rPr>
          <w:sz w:val="14"/>
          <w:szCs w:val="14"/>
        </w:rPr>
        <w:t>M</w:t>
      </w:r>
      <w:r w:rsidRPr="00A264A2">
        <w:rPr>
          <w:sz w:val="14"/>
          <w:szCs w:val="14"/>
        </w:rPr>
        <w:t xml:space="preserve">igration, </w:t>
      </w:r>
      <w:r>
        <w:rPr>
          <w:sz w:val="14"/>
          <w:szCs w:val="14"/>
        </w:rPr>
        <w:t>U.S.</w:t>
      </w:r>
      <w:r w:rsidRPr="00A264A2">
        <w:rPr>
          <w:sz w:val="14"/>
          <w:szCs w:val="14"/>
        </w:rPr>
        <w:t xml:space="preserve"> assistance, and youth opportunities in central </w:t>
      </w:r>
      <w:r>
        <w:rPr>
          <w:sz w:val="14"/>
          <w:szCs w:val="14"/>
        </w:rPr>
        <w:t xml:space="preserve">America. Washington Office on Latin America: </w:t>
      </w:r>
      <w:r w:rsidRPr="00A264A2">
        <w:rPr>
          <w:sz w:val="14"/>
          <w:szCs w:val="14"/>
        </w:rPr>
        <w:t>Advocacy of Human Rights in the Americas</w:t>
      </w:r>
      <w:r>
        <w:rPr>
          <w:sz w:val="14"/>
          <w:szCs w:val="14"/>
        </w:rPr>
        <w:t xml:space="preserve">, February 2016. </w:t>
      </w:r>
      <w:r w:rsidRPr="00A264A2">
        <w:rPr>
          <w:sz w:val="14"/>
          <w:szCs w:val="14"/>
        </w:rPr>
        <w:t xml:space="preserve"> </w:t>
      </w:r>
    </w:p>
  </w:footnote>
  <w:footnote w:id="23">
    <w:p w14:paraId="6D385E04" w14:textId="112A60BF" w:rsidR="00341459" w:rsidRPr="00B10DBE" w:rsidRDefault="00341459" w:rsidP="006D5B1F">
      <w:pPr>
        <w:pStyle w:val="FootnoteText"/>
        <w:jc w:val="both"/>
        <w:rPr>
          <w:rFonts w:ascii="Times New Roman" w:hAnsi="Times New Roman"/>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w:t>
      </w:r>
      <w:r w:rsidRPr="00B10DBE">
        <w:rPr>
          <w:rStyle w:val="FootnoteReference"/>
          <w:rFonts w:ascii="Times New Roman" w:hAnsi="Times New Roman"/>
          <w:sz w:val="14"/>
          <w:szCs w:val="14"/>
          <w:vertAlign w:val="baseline"/>
        </w:rPr>
        <w:t>FODM (2014)</w:t>
      </w:r>
      <w:r>
        <w:rPr>
          <w:rFonts w:ascii="Times New Roman" w:hAnsi="Times New Roman"/>
          <w:sz w:val="14"/>
          <w:szCs w:val="14"/>
        </w:rPr>
        <w:t xml:space="preserve"> </w:t>
      </w:r>
      <w:r w:rsidRPr="00B10DBE">
        <w:rPr>
          <w:rFonts w:ascii="Times New Roman" w:hAnsi="Times New Roman"/>
          <w:sz w:val="14"/>
          <w:szCs w:val="14"/>
        </w:rPr>
        <w:t>Final Evaluation of the Joint Programme on Human Development, Youth, Employment and Migration.</w:t>
      </w:r>
    </w:p>
  </w:footnote>
  <w:footnote w:id="24">
    <w:p w14:paraId="267BA223" w14:textId="77777777" w:rsidR="00341459" w:rsidRPr="00B10DBE" w:rsidRDefault="00341459" w:rsidP="00783BFB">
      <w:pPr>
        <w:pStyle w:val="FootnoteText"/>
        <w:jc w:val="both"/>
        <w:rPr>
          <w:rFonts w:ascii="Times New Roman" w:hAnsi="Times New Roman"/>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Germanwatch (2015) Index of Global Climate Risk.</w:t>
      </w:r>
    </w:p>
  </w:footnote>
  <w:footnote w:id="25">
    <w:p w14:paraId="264B47D7" w14:textId="77777777" w:rsidR="00341459" w:rsidRPr="00B10DBE" w:rsidRDefault="00341459" w:rsidP="002E79D8">
      <w:pPr>
        <w:autoSpaceDE w:val="0"/>
        <w:autoSpaceDN w:val="0"/>
        <w:rPr>
          <w:sz w:val="14"/>
          <w:szCs w:val="14"/>
        </w:rPr>
      </w:pPr>
      <w:r w:rsidRPr="00B10DBE">
        <w:rPr>
          <w:rStyle w:val="FootnoteReference"/>
          <w:sz w:val="14"/>
          <w:szCs w:val="14"/>
        </w:rPr>
        <w:footnoteRef/>
      </w:r>
      <w:r w:rsidRPr="00B10DBE">
        <w:rPr>
          <w:rStyle w:val="FootnoteReference"/>
          <w:sz w:val="14"/>
          <w:szCs w:val="14"/>
        </w:rPr>
        <w:t xml:space="preserve"> </w:t>
      </w:r>
      <w:r w:rsidRPr="00B10DBE">
        <w:rPr>
          <w:sz w:val="14"/>
          <w:szCs w:val="14"/>
        </w:rPr>
        <w:t>COPECO (2012) Estimation of vulnerable municipalities and municipal vulnerability index.</w:t>
      </w:r>
    </w:p>
  </w:footnote>
  <w:footnote w:id="26">
    <w:p w14:paraId="7007D4BB" w14:textId="4FEA6183" w:rsidR="00341459" w:rsidRPr="00B10DBE" w:rsidRDefault="00341459" w:rsidP="00E01672">
      <w:pPr>
        <w:pStyle w:val="FootnoteText"/>
        <w:jc w:val="both"/>
        <w:rPr>
          <w:rStyle w:val="FootnoteReference"/>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w:t>
      </w:r>
      <w:r>
        <w:rPr>
          <w:rFonts w:ascii="Times New Roman" w:hAnsi="Times New Roman"/>
          <w:sz w:val="14"/>
          <w:szCs w:val="14"/>
        </w:rPr>
        <w:t xml:space="preserve">Observatory of the Labour Market, </w:t>
      </w:r>
      <w:r w:rsidRPr="00B10DBE">
        <w:rPr>
          <w:rFonts w:ascii="Times New Roman" w:hAnsi="Times New Roman"/>
          <w:sz w:val="14"/>
          <w:szCs w:val="14"/>
        </w:rPr>
        <w:t>Ministry of Labo</w:t>
      </w:r>
      <w:r>
        <w:rPr>
          <w:rFonts w:ascii="Times New Roman" w:hAnsi="Times New Roman"/>
          <w:sz w:val="14"/>
          <w:szCs w:val="14"/>
        </w:rPr>
        <w:t>u</w:t>
      </w:r>
      <w:r w:rsidRPr="00B10DBE">
        <w:rPr>
          <w:rFonts w:ascii="Times New Roman" w:hAnsi="Times New Roman"/>
          <w:sz w:val="14"/>
          <w:szCs w:val="14"/>
        </w:rPr>
        <w:t>r and Social Security (2010).</w:t>
      </w:r>
    </w:p>
  </w:footnote>
  <w:footnote w:id="27">
    <w:p w14:paraId="7778F6BA" w14:textId="77777777" w:rsidR="00341459" w:rsidRPr="00B10DBE" w:rsidRDefault="00341459" w:rsidP="00275172">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UTSAN (2015)</w:t>
      </w:r>
    </w:p>
  </w:footnote>
  <w:footnote w:id="28">
    <w:p w14:paraId="769E33E1" w14:textId="77777777" w:rsidR="00341459" w:rsidRPr="00B10DBE" w:rsidRDefault="00341459" w:rsidP="00275172">
      <w:pPr>
        <w:pStyle w:val="FootnoteText"/>
        <w:jc w:val="both"/>
        <w:rPr>
          <w:rFonts w:ascii="Times New Roman" w:hAnsi="Times New Roman"/>
        </w:rPr>
      </w:pPr>
      <w:r w:rsidRPr="00B10DBE">
        <w:rPr>
          <w:rStyle w:val="FootnoteReference"/>
          <w:rFonts w:ascii="Times New Roman" w:hAnsi="Times New Roman"/>
          <w:sz w:val="14"/>
          <w:szCs w:val="14"/>
        </w:rPr>
        <w:footnoteRef/>
      </w:r>
      <w:r w:rsidRPr="00B10DBE">
        <w:rPr>
          <w:rStyle w:val="FootnoteReference"/>
          <w:rFonts w:ascii="Times New Roman" w:hAnsi="Times New Roman"/>
          <w:sz w:val="14"/>
          <w:szCs w:val="14"/>
        </w:rPr>
        <w:t xml:space="preserve"> </w:t>
      </w:r>
      <w:r w:rsidRPr="00B10DBE">
        <w:rPr>
          <w:rFonts w:ascii="Times New Roman" w:hAnsi="Times New Roman"/>
          <w:sz w:val="14"/>
          <w:szCs w:val="14"/>
        </w:rPr>
        <w:t>ICF/CONAPROFOR (2015) National Emergency Plan to control the Southern Pine Beetle infestation.</w:t>
      </w:r>
    </w:p>
  </w:footnote>
  <w:footnote w:id="29">
    <w:p w14:paraId="2E3937C0" w14:textId="77777777" w:rsidR="00341459" w:rsidRPr="00B10DBE" w:rsidRDefault="00341459" w:rsidP="00335B5A">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Style w:val="FootnoteReference"/>
          <w:rFonts w:ascii="Times New Roman" w:hAnsi="Times New Roman"/>
          <w:sz w:val="14"/>
          <w:szCs w:val="14"/>
        </w:rPr>
        <w:t xml:space="preserve"> </w:t>
      </w:r>
      <w:r w:rsidRPr="00B10DBE">
        <w:rPr>
          <w:rFonts w:ascii="Times New Roman" w:hAnsi="Times New Roman"/>
          <w:sz w:val="14"/>
          <w:szCs w:val="14"/>
        </w:rPr>
        <w:t xml:space="preserve">UNDP (2013) Final Evaluation of the Project Implementing Early Recovery/Resilience/Response Policy in Honduras. </w:t>
      </w:r>
    </w:p>
  </w:footnote>
  <w:footnote w:id="30">
    <w:p w14:paraId="641C81B6" w14:textId="77777777" w:rsidR="00341459" w:rsidRPr="00B10DBE" w:rsidRDefault="00341459" w:rsidP="0050612F">
      <w:pPr>
        <w:pStyle w:val="FootnoteText"/>
        <w:jc w:val="both"/>
        <w:rPr>
          <w:rFonts w:ascii="Times New Roman" w:hAnsi="Times New Roman"/>
          <w:sz w:val="14"/>
          <w:szCs w:val="14"/>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UNDP (2014) Final Evaluation of the Project Promotion Integrated Management of Eco-Systems and Natural Resources in Honduras. </w:t>
      </w:r>
    </w:p>
  </w:footnote>
  <w:footnote w:id="31">
    <w:p w14:paraId="34A90F77" w14:textId="77777777" w:rsidR="00341459" w:rsidRPr="00B10DBE" w:rsidRDefault="00341459" w:rsidP="0050612F">
      <w:pPr>
        <w:pStyle w:val="FootnoteText"/>
        <w:jc w:val="both"/>
        <w:rPr>
          <w:rFonts w:ascii="Times New Roman" w:hAnsi="Times New Roman"/>
        </w:rPr>
      </w:pPr>
      <w:r w:rsidRPr="00B10DBE">
        <w:rPr>
          <w:rStyle w:val="FootnoteReference"/>
          <w:rFonts w:ascii="Times New Roman" w:hAnsi="Times New Roman"/>
          <w:sz w:val="14"/>
          <w:szCs w:val="14"/>
        </w:rPr>
        <w:footnoteRef/>
      </w:r>
      <w:r w:rsidRPr="00B10DBE">
        <w:rPr>
          <w:rFonts w:ascii="Times New Roman" w:hAnsi="Times New Roman"/>
          <w:sz w:val="14"/>
          <w:szCs w:val="14"/>
        </w:rPr>
        <w:t xml:space="preserve"> UNDP (2016) Final Evaluation of the Project Conservation of biodiversity in the productive lands of indigenous peoples in the Mosquitia. Final Evaluation of the Project Incorporating the conservation of bio-diversity in pine and oak forest management. </w:t>
      </w:r>
    </w:p>
  </w:footnote>
  <w:footnote w:id="32">
    <w:p w14:paraId="512BB8C3" w14:textId="0E3DBC8C" w:rsidR="00341459" w:rsidRPr="00B10DBE" w:rsidRDefault="00341459" w:rsidP="0050612F">
      <w:pPr>
        <w:jc w:val="both"/>
        <w:rPr>
          <w:sz w:val="14"/>
          <w:szCs w:val="14"/>
        </w:rPr>
      </w:pPr>
      <w:r w:rsidRPr="00B10DBE">
        <w:rPr>
          <w:rStyle w:val="FootnoteReference"/>
          <w:sz w:val="14"/>
          <w:szCs w:val="14"/>
        </w:rPr>
        <w:footnoteRef/>
      </w:r>
      <w:r w:rsidRPr="00B10DBE">
        <w:rPr>
          <w:rStyle w:val="FootnoteReference"/>
          <w:sz w:val="14"/>
          <w:szCs w:val="14"/>
        </w:rPr>
        <w:t xml:space="preserve"> </w:t>
      </w:r>
      <w:r w:rsidRPr="00B10DBE">
        <w:rPr>
          <w:sz w:val="14"/>
          <w:szCs w:val="14"/>
        </w:rPr>
        <w:t xml:space="preserve">National priorities are identified in key national planning documents, namely, Visión País (2010-2038), Plan de Nación (2010-2022), Government Strategic Plan (2014-2018) and sectoral cabinets´ plans. </w:t>
      </w:r>
    </w:p>
  </w:footnote>
  <w:footnote w:id="33">
    <w:p w14:paraId="54C314BB" w14:textId="025F52EF" w:rsidR="00341459" w:rsidRPr="00B10DBE" w:rsidRDefault="00341459" w:rsidP="00996322">
      <w:pPr>
        <w:pStyle w:val="FootnoteText"/>
        <w:jc w:val="both"/>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rPr>
        <w:t xml:space="preserve"> </w:t>
      </w:r>
      <w:r w:rsidRPr="00B10DBE">
        <w:rPr>
          <w:rFonts w:ascii="Times New Roman" w:hAnsi="Times New Roman"/>
          <w:sz w:val="14"/>
          <w:szCs w:val="14"/>
        </w:rPr>
        <w:t xml:space="preserve">Honduras 20/20 is an initiative promoted by the Government with the support of private enterprise to generate 600,000 employment opportunities in the next five years with a $13 billion investment. </w:t>
      </w:r>
    </w:p>
  </w:footnote>
  <w:footnote w:id="34">
    <w:p w14:paraId="68F698B7" w14:textId="4609FCF8" w:rsidR="00341459" w:rsidRPr="00B10DBE" w:rsidRDefault="00341459">
      <w:pPr>
        <w:pStyle w:val="FootnoteText"/>
        <w:rPr>
          <w:rFonts w:ascii="Times New Roman" w:hAnsi="Times New Roman"/>
          <w:sz w:val="14"/>
          <w:szCs w:val="14"/>
        </w:rPr>
      </w:pPr>
      <w:r w:rsidRPr="00A87F4E">
        <w:rPr>
          <w:rStyle w:val="FootnoteReference"/>
          <w:rFonts w:ascii="Times New Roman" w:hAnsi="Times New Roman"/>
          <w:sz w:val="14"/>
          <w:szCs w:val="14"/>
        </w:rPr>
        <w:footnoteRef/>
      </w:r>
      <w:r w:rsidRPr="00A87F4E">
        <w:rPr>
          <w:rFonts w:ascii="Times New Roman" w:hAnsi="Times New Roman"/>
          <w:sz w:val="14"/>
          <w:szCs w:val="14"/>
        </w:rPr>
        <w:t xml:space="preserve"> </w:t>
      </w:r>
      <w:r w:rsidRPr="00B10DBE">
        <w:rPr>
          <w:rFonts w:ascii="Times New Roman" w:hAnsi="Times New Roman"/>
          <w:sz w:val="14"/>
          <w:szCs w:val="14"/>
        </w:rPr>
        <w:t>ILO</w:t>
      </w:r>
      <w:r>
        <w:rPr>
          <w:rFonts w:ascii="Times New Roman" w:hAnsi="Times New Roman"/>
          <w:sz w:val="14"/>
          <w:szCs w:val="14"/>
        </w:rPr>
        <w:t>,</w:t>
      </w:r>
      <w:r w:rsidRPr="00B10DBE">
        <w:rPr>
          <w:rFonts w:ascii="Times New Roman" w:hAnsi="Times New Roman"/>
          <w:sz w:val="14"/>
          <w:szCs w:val="14"/>
        </w:rPr>
        <w:t xml:space="preserve"> Indigenous and Tribal Peoples Convention (No. 169), 1989.</w:t>
      </w:r>
    </w:p>
  </w:footnote>
  <w:footnote w:id="35">
    <w:p w14:paraId="48507AE9" w14:textId="0174F0AC" w:rsidR="00341459" w:rsidRPr="00E33242" w:rsidRDefault="00341459" w:rsidP="00E33242">
      <w:pPr>
        <w:pStyle w:val="FootnoteText"/>
        <w:rPr>
          <w:rFonts w:ascii="Times New Roman" w:hAnsi="Times New Roman"/>
          <w:sz w:val="14"/>
          <w:szCs w:val="14"/>
          <w:lang w:val="es-HN"/>
        </w:rPr>
      </w:pPr>
      <w:r w:rsidRPr="00A84B49">
        <w:rPr>
          <w:rStyle w:val="FootnoteReference"/>
          <w:rFonts w:ascii="Times New Roman" w:hAnsi="Times New Roman"/>
          <w:sz w:val="14"/>
          <w:szCs w:val="14"/>
        </w:rPr>
        <w:footnoteRef/>
      </w:r>
      <w:r w:rsidRPr="00A84B49">
        <w:rPr>
          <w:rStyle w:val="FootnoteReference"/>
          <w:sz w:val="14"/>
          <w:szCs w:val="14"/>
          <w:lang w:val="es-HN"/>
        </w:rPr>
        <w:t xml:space="preserve"> </w:t>
      </w:r>
      <w:r w:rsidRPr="00B10DBE">
        <w:rPr>
          <w:rFonts w:ascii="Times New Roman" w:hAnsi="Times New Roman"/>
          <w:sz w:val="14"/>
          <w:szCs w:val="14"/>
          <w:lang w:val="es-HN"/>
        </w:rPr>
        <w:t>Ley para Establecimiento de una Visión de País y la Adopción de un Plan de Nación para Honduras, Decrees no. 286-2009 and 182-210</w:t>
      </w:r>
      <w:r>
        <w:rPr>
          <w:rFonts w:ascii="Times New Roman" w:hAnsi="Times New Roman"/>
          <w:sz w:val="14"/>
          <w:szCs w:val="14"/>
          <w:lang w:val="es-HN"/>
        </w:rPr>
        <w:t>;</w:t>
      </w:r>
      <w:r w:rsidRPr="00B10DBE">
        <w:rPr>
          <w:rFonts w:ascii="Times New Roman" w:hAnsi="Times New Roman"/>
          <w:sz w:val="14"/>
          <w:szCs w:val="14"/>
          <w:lang w:val="es-HN"/>
        </w:rPr>
        <w:t xml:space="preserve"> </w:t>
      </w:r>
      <w:hyperlink r:id="rId1" w:history="1">
        <w:r w:rsidRPr="00E33242">
          <w:rPr>
            <w:rFonts w:ascii="Times New Roman" w:hAnsi="Times New Roman"/>
            <w:sz w:val="14"/>
            <w:szCs w:val="14"/>
            <w:lang w:val="es-HN"/>
          </w:rPr>
          <w:t>www.tsc.gob.hn/biblioteca/index.php/leyes/128-ley-para-establecimiento-de-una-vision-de-pais-y-la-adpcion-de-un-plan-de-nacion-para-honduras</w:t>
        </w:r>
      </w:hyperlink>
      <w:r w:rsidRPr="00E33242">
        <w:rPr>
          <w:rFonts w:ascii="Times New Roman" w:hAnsi="Times New Roman"/>
          <w:sz w:val="14"/>
          <w:szCs w:val="14"/>
          <w:lang w:val="es-HN"/>
        </w:rPr>
        <w:t xml:space="preserve">. </w:t>
      </w:r>
    </w:p>
  </w:footnote>
  <w:footnote w:id="36">
    <w:p w14:paraId="6CA83244" w14:textId="34516204" w:rsidR="00341459" w:rsidRPr="00A84B49" w:rsidRDefault="00341459" w:rsidP="00F43E8F">
      <w:pPr>
        <w:jc w:val="both"/>
        <w:rPr>
          <w:sz w:val="14"/>
          <w:szCs w:val="14"/>
        </w:rPr>
      </w:pPr>
      <w:r w:rsidRPr="00F43E8F">
        <w:rPr>
          <w:rStyle w:val="FootnoteReference"/>
          <w:sz w:val="14"/>
          <w:szCs w:val="14"/>
        </w:rPr>
        <w:footnoteRef/>
      </w:r>
      <w:r>
        <w:rPr>
          <w:sz w:val="14"/>
          <w:szCs w:val="14"/>
        </w:rPr>
        <w:t xml:space="preserve"> </w:t>
      </w:r>
      <w:r w:rsidR="00F43E8F" w:rsidRPr="006F57EE">
        <w:rPr>
          <w:sz w:val="14"/>
          <w:szCs w:val="14"/>
        </w:rPr>
        <w:t>Acronyms for:</w:t>
      </w:r>
      <w:r w:rsidR="00F43E8F">
        <w:rPr>
          <w:sz w:val="14"/>
          <w:szCs w:val="14"/>
        </w:rPr>
        <w:t xml:space="preserve"> </w:t>
      </w:r>
      <w:r w:rsidR="00F43E8F" w:rsidRPr="004C2142">
        <w:rPr>
          <w:b/>
          <w:sz w:val="14"/>
          <w:szCs w:val="14"/>
        </w:rPr>
        <w:t>IUDPAS/UNAH</w:t>
      </w:r>
      <w:r w:rsidR="00F43E8F">
        <w:rPr>
          <w:sz w:val="14"/>
          <w:szCs w:val="14"/>
        </w:rPr>
        <w:t xml:space="preserve">: </w:t>
      </w:r>
      <w:r w:rsidR="00F43E8F" w:rsidRPr="006F57EE">
        <w:rPr>
          <w:sz w:val="14"/>
          <w:szCs w:val="14"/>
        </w:rPr>
        <w:t xml:space="preserve">Institute for Democracy, Peace and Security </w:t>
      </w:r>
      <w:r w:rsidR="00F43E8F" w:rsidRPr="000E27E6">
        <w:rPr>
          <w:sz w:val="14"/>
          <w:szCs w:val="14"/>
        </w:rPr>
        <w:t>of the National Au</w:t>
      </w:r>
      <w:r w:rsidR="00F43E8F">
        <w:rPr>
          <w:sz w:val="14"/>
          <w:szCs w:val="14"/>
        </w:rPr>
        <w:t>tonomous University of Honduras</w:t>
      </w:r>
      <w:r w:rsidR="00F43E8F" w:rsidRPr="006F57EE">
        <w:rPr>
          <w:sz w:val="14"/>
          <w:szCs w:val="14"/>
        </w:rPr>
        <w:t>;</w:t>
      </w:r>
      <w:r w:rsidR="00F43E8F">
        <w:rPr>
          <w:sz w:val="14"/>
          <w:szCs w:val="14"/>
        </w:rPr>
        <w:t xml:space="preserve"> </w:t>
      </w:r>
      <w:r w:rsidR="00F43E8F" w:rsidRPr="004C2142">
        <w:rPr>
          <w:b/>
          <w:sz w:val="14"/>
          <w:szCs w:val="14"/>
        </w:rPr>
        <w:t>EPHPM</w:t>
      </w:r>
      <w:r w:rsidR="00F43E8F">
        <w:rPr>
          <w:sz w:val="14"/>
          <w:szCs w:val="14"/>
        </w:rPr>
        <w:t>: Multi-Purpose Household Survey</w:t>
      </w:r>
      <w:r w:rsidR="00F43E8F" w:rsidRPr="006601A1">
        <w:rPr>
          <w:sz w:val="14"/>
          <w:szCs w:val="14"/>
        </w:rPr>
        <w:t>;</w:t>
      </w:r>
      <w:r w:rsidR="00F43E8F">
        <w:rPr>
          <w:sz w:val="14"/>
          <w:szCs w:val="14"/>
        </w:rPr>
        <w:t xml:space="preserve"> </w:t>
      </w:r>
      <w:r w:rsidR="00F43E8F" w:rsidRPr="004C2142">
        <w:rPr>
          <w:b/>
          <w:sz w:val="14"/>
          <w:szCs w:val="14"/>
        </w:rPr>
        <w:t>ICF</w:t>
      </w:r>
      <w:r w:rsidR="00F43E8F">
        <w:rPr>
          <w:sz w:val="14"/>
          <w:szCs w:val="14"/>
        </w:rPr>
        <w:t xml:space="preserve">: </w:t>
      </w:r>
      <w:r w:rsidR="00F43E8F" w:rsidRPr="006601A1">
        <w:rPr>
          <w:sz w:val="14"/>
          <w:szCs w:val="14"/>
        </w:rPr>
        <w:t>For</w:t>
      </w:r>
      <w:r w:rsidR="00F43E8F">
        <w:rPr>
          <w:sz w:val="14"/>
          <w:szCs w:val="14"/>
        </w:rPr>
        <w:t>est Conservation Institute</w:t>
      </w:r>
      <w:r w:rsidR="00F43E8F" w:rsidRPr="006601A1">
        <w:rPr>
          <w:sz w:val="14"/>
          <w:szCs w:val="14"/>
        </w:rPr>
        <w:t>;</w:t>
      </w:r>
      <w:r w:rsidR="00F43E8F">
        <w:rPr>
          <w:sz w:val="14"/>
          <w:szCs w:val="14"/>
        </w:rPr>
        <w:t xml:space="preserve"> </w:t>
      </w:r>
      <w:r w:rsidR="00F43E8F" w:rsidRPr="004C2142">
        <w:rPr>
          <w:b/>
          <w:sz w:val="14"/>
          <w:szCs w:val="14"/>
        </w:rPr>
        <w:t>SAG</w:t>
      </w:r>
      <w:r w:rsidR="00F43E8F">
        <w:rPr>
          <w:sz w:val="14"/>
          <w:szCs w:val="14"/>
        </w:rPr>
        <w:t xml:space="preserve">: </w:t>
      </w:r>
      <w:r w:rsidR="00F43E8F" w:rsidRPr="006601A1">
        <w:rPr>
          <w:sz w:val="14"/>
          <w:szCs w:val="14"/>
        </w:rPr>
        <w:t>Ministry of A</w:t>
      </w:r>
      <w:r w:rsidR="00F43E8F">
        <w:rPr>
          <w:sz w:val="14"/>
          <w:szCs w:val="14"/>
        </w:rPr>
        <w:t>griculture and Livestock.</w:t>
      </w:r>
    </w:p>
  </w:footnote>
  <w:footnote w:id="37">
    <w:p w14:paraId="3C60B317" w14:textId="7B0805C9" w:rsidR="00341459" w:rsidRPr="00A84B49" w:rsidRDefault="00341459" w:rsidP="00932013">
      <w:pPr>
        <w:pStyle w:val="HTMLPreformatted"/>
        <w:jc w:val="both"/>
        <w:rPr>
          <w:rFonts w:ascii="Times New Roman" w:hAnsi="Times New Roman"/>
          <w:sz w:val="14"/>
          <w:szCs w:val="14"/>
        </w:rPr>
      </w:pPr>
      <w:r w:rsidRPr="00A84B49">
        <w:rPr>
          <w:rStyle w:val="FootnoteReference"/>
          <w:rFonts w:ascii="Times New Roman" w:hAnsi="Times New Roman"/>
          <w:sz w:val="14"/>
          <w:szCs w:val="14"/>
        </w:rPr>
        <w:footnoteRef/>
      </w:r>
      <w:r w:rsidRPr="00A84B49">
        <w:rPr>
          <w:rStyle w:val="FootnoteReference"/>
        </w:rPr>
        <w:t xml:space="preserve"> </w:t>
      </w:r>
      <w:r w:rsidRPr="006F57EE">
        <w:rPr>
          <w:rFonts w:ascii="Times New Roman" w:hAnsi="Times New Roman"/>
          <w:sz w:val="14"/>
          <w:szCs w:val="14"/>
        </w:rPr>
        <w:t xml:space="preserve">Acronyms for: </w:t>
      </w:r>
      <w:r w:rsidR="00A84B49" w:rsidRPr="004C2142">
        <w:rPr>
          <w:rFonts w:ascii="Times New Roman" w:hAnsi="Times New Roman"/>
          <w:b/>
          <w:sz w:val="14"/>
          <w:szCs w:val="14"/>
        </w:rPr>
        <w:t>AECID</w:t>
      </w:r>
      <w:r w:rsidR="00A84B49">
        <w:rPr>
          <w:rFonts w:ascii="Times New Roman" w:hAnsi="Times New Roman"/>
          <w:sz w:val="14"/>
          <w:szCs w:val="14"/>
        </w:rPr>
        <w:t xml:space="preserve">: </w:t>
      </w:r>
      <w:r w:rsidR="00A84B49" w:rsidRPr="00A84B49">
        <w:rPr>
          <w:rFonts w:ascii="Times New Roman" w:hAnsi="Times New Roman"/>
          <w:sz w:val="14"/>
          <w:szCs w:val="14"/>
        </w:rPr>
        <w:t>Spanish Agency for International Cooperation for Development</w:t>
      </w:r>
      <w:r w:rsidR="00A84B49">
        <w:rPr>
          <w:rFonts w:ascii="Times New Roman" w:hAnsi="Times New Roman"/>
          <w:sz w:val="14"/>
          <w:szCs w:val="14"/>
        </w:rPr>
        <w:t xml:space="preserve">; </w:t>
      </w:r>
      <w:r w:rsidR="00A84B49" w:rsidRPr="004C2142">
        <w:rPr>
          <w:rFonts w:ascii="Times New Roman" w:hAnsi="Times New Roman"/>
          <w:b/>
          <w:sz w:val="14"/>
          <w:szCs w:val="14"/>
        </w:rPr>
        <w:t>AMHON</w:t>
      </w:r>
      <w:r w:rsidR="00A84B49">
        <w:rPr>
          <w:rFonts w:ascii="Times New Roman" w:hAnsi="Times New Roman"/>
          <w:sz w:val="14"/>
          <w:szCs w:val="14"/>
        </w:rPr>
        <w:t xml:space="preserve">: </w:t>
      </w:r>
      <w:r w:rsidR="00A84B49" w:rsidRPr="0018598B">
        <w:rPr>
          <w:rFonts w:ascii="Times New Roman" w:hAnsi="Times New Roman"/>
          <w:sz w:val="14"/>
          <w:szCs w:val="14"/>
        </w:rPr>
        <w:t xml:space="preserve">Association of Municipalities of </w:t>
      </w:r>
      <w:r w:rsidR="00A84B49" w:rsidRPr="006F57EE">
        <w:rPr>
          <w:rFonts w:ascii="Times New Roman" w:hAnsi="Times New Roman"/>
          <w:sz w:val="14"/>
          <w:szCs w:val="14"/>
        </w:rPr>
        <w:t xml:space="preserve">Honduras; </w:t>
      </w:r>
      <w:r w:rsidR="00A84B49" w:rsidRPr="004C2142">
        <w:rPr>
          <w:rFonts w:ascii="Times New Roman" w:hAnsi="Times New Roman"/>
          <w:b/>
          <w:sz w:val="14"/>
          <w:szCs w:val="14"/>
        </w:rPr>
        <w:t>CABEI</w:t>
      </w:r>
      <w:r w:rsidR="00A84B49">
        <w:rPr>
          <w:rFonts w:ascii="Times New Roman" w:hAnsi="Times New Roman"/>
          <w:sz w:val="14"/>
          <w:szCs w:val="14"/>
        </w:rPr>
        <w:t xml:space="preserve">: </w:t>
      </w:r>
      <w:r w:rsidR="00A84B49" w:rsidRPr="00A84B49">
        <w:rPr>
          <w:rFonts w:ascii="Times New Roman" w:hAnsi="Times New Roman"/>
          <w:bCs/>
          <w:sz w:val="14"/>
          <w:szCs w:val="14"/>
        </w:rPr>
        <w:t>Central American Bank for Economic Integration</w:t>
      </w:r>
      <w:r w:rsidR="00A84B49" w:rsidRPr="00A84B49">
        <w:rPr>
          <w:rFonts w:ascii="Times New Roman" w:hAnsi="Times New Roman"/>
          <w:sz w:val="14"/>
          <w:szCs w:val="14"/>
        </w:rPr>
        <w:t>;</w:t>
      </w:r>
      <w:r w:rsidR="00A84B49">
        <w:rPr>
          <w:rFonts w:ascii="Times New Roman" w:hAnsi="Times New Roman"/>
          <w:sz w:val="14"/>
          <w:szCs w:val="14"/>
        </w:rPr>
        <w:t xml:space="preserve"> </w:t>
      </w:r>
      <w:r w:rsidR="00A84B49" w:rsidRPr="004C2142">
        <w:rPr>
          <w:rFonts w:ascii="Times New Roman" w:hAnsi="Times New Roman"/>
          <w:b/>
          <w:sz w:val="14"/>
          <w:szCs w:val="14"/>
        </w:rPr>
        <w:t>CENIS</w:t>
      </w:r>
      <w:r w:rsidR="00A84B49" w:rsidRPr="004C2142">
        <w:rPr>
          <w:rFonts w:ascii="Times New Roman" w:hAnsi="Times New Roman"/>
          <w:sz w:val="14"/>
          <w:szCs w:val="14"/>
        </w:rPr>
        <w:t xml:space="preserve">: National Social Information Centre; </w:t>
      </w:r>
      <w:r w:rsidR="00A84B49" w:rsidRPr="004C2142">
        <w:rPr>
          <w:rFonts w:ascii="Times New Roman" w:hAnsi="Times New Roman"/>
          <w:b/>
          <w:sz w:val="14"/>
          <w:szCs w:val="14"/>
        </w:rPr>
        <w:t>COHEP</w:t>
      </w:r>
      <w:r w:rsidR="00A84B49">
        <w:rPr>
          <w:rFonts w:ascii="Times New Roman" w:hAnsi="Times New Roman"/>
          <w:sz w:val="14"/>
          <w:szCs w:val="14"/>
        </w:rPr>
        <w:t xml:space="preserve">: </w:t>
      </w:r>
      <w:r w:rsidR="00A84B49" w:rsidRPr="006F57EE">
        <w:rPr>
          <w:rFonts w:ascii="Times New Roman" w:hAnsi="Times New Roman"/>
          <w:sz w:val="14"/>
          <w:szCs w:val="14"/>
        </w:rPr>
        <w:t xml:space="preserve">Honduran Council of Private Enterprise; </w:t>
      </w:r>
      <w:r w:rsidR="00A84B49" w:rsidRPr="004C2142">
        <w:rPr>
          <w:rFonts w:ascii="Times New Roman" w:hAnsi="Times New Roman"/>
          <w:b/>
          <w:sz w:val="14"/>
          <w:szCs w:val="14"/>
        </w:rPr>
        <w:t>CONADEH</w:t>
      </w:r>
      <w:r w:rsidR="00A84B49">
        <w:rPr>
          <w:rFonts w:ascii="Times New Roman" w:hAnsi="Times New Roman"/>
          <w:sz w:val="14"/>
          <w:szCs w:val="14"/>
        </w:rPr>
        <w:t xml:space="preserve">: </w:t>
      </w:r>
      <w:r w:rsidR="00A84B49" w:rsidRPr="006F57EE">
        <w:rPr>
          <w:rFonts w:ascii="Times New Roman" w:hAnsi="Times New Roman"/>
          <w:sz w:val="14"/>
          <w:szCs w:val="14"/>
        </w:rPr>
        <w:t xml:space="preserve">National Commission for Human Rights; </w:t>
      </w:r>
      <w:r w:rsidR="00A84B49" w:rsidRPr="004C2142">
        <w:rPr>
          <w:rFonts w:ascii="Times New Roman" w:hAnsi="Times New Roman"/>
          <w:b/>
          <w:sz w:val="14"/>
          <w:szCs w:val="14"/>
        </w:rPr>
        <w:t>CONAPREV</w:t>
      </w:r>
      <w:r w:rsidR="00A84B49">
        <w:rPr>
          <w:rFonts w:ascii="Times New Roman" w:hAnsi="Times New Roman"/>
          <w:sz w:val="14"/>
          <w:szCs w:val="14"/>
        </w:rPr>
        <w:t xml:space="preserve">: </w:t>
      </w:r>
      <w:r w:rsidR="00A84B49" w:rsidRPr="006F57EE">
        <w:rPr>
          <w:rFonts w:ascii="Times New Roman" w:hAnsi="Times New Roman"/>
          <w:sz w:val="14"/>
          <w:szCs w:val="14"/>
        </w:rPr>
        <w:t xml:space="preserve">National Mechanism for Prevention of Torture; </w:t>
      </w:r>
      <w:r w:rsidR="00A84B49" w:rsidRPr="004C2142">
        <w:rPr>
          <w:rFonts w:ascii="Times New Roman" w:hAnsi="Times New Roman"/>
          <w:b/>
          <w:sz w:val="14"/>
          <w:szCs w:val="14"/>
        </w:rPr>
        <w:t>COPECO</w:t>
      </w:r>
      <w:r w:rsidR="00A84B49">
        <w:rPr>
          <w:rFonts w:ascii="Times New Roman" w:hAnsi="Times New Roman"/>
          <w:sz w:val="14"/>
          <w:szCs w:val="14"/>
        </w:rPr>
        <w:t xml:space="preserve">: </w:t>
      </w:r>
      <w:r w:rsidR="00A84B49" w:rsidRPr="006601A1">
        <w:rPr>
          <w:rFonts w:ascii="Times New Roman" w:hAnsi="Times New Roman"/>
          <w:sz w:val="14"/>
          <w:szCs w:val="14"/>
        </w:rPr>
        <w:t>Permanent Cooperation for contingencies</w:t>
      </w:r>
      <w:r w:rsidR="00A84B49">
        <w:rPr>
          <w:rFonts w:ascii="Times New Roman" w:hAnsi="Times New Roman"/>
          <w:sz w:val="14"/>
          <w:szCs w:val="14"/>
        </w:rPr>
        <w:t xml:space="preserve">; </w:t>
      </w:r>
      <w:r w:rsidR="00A84B49" w:rsidRPr="004C2142">
        <w:rPr>
          <w:rFonts w:ascii="Times New Roman" w:hAnsi="Times New Roman"/>
          <w:b/>
          <w:sz w:val="14"/>
          <w:szCs w:val="14"/>
        </w:rPr>
        <w:t>ICF</w:t>
      </w:r>
      <w:r w:rsidR="00A84B49">
        <w:rPr>
          <w:rFonts w:ascii="Times New Roman" w:hAnsi="Times New Roman"/>
          <w:sz w:val="14"/>
          <w:szCs w:val="14"/>
        </w:rPr>
        <w:t xml:space="preserve">: </w:t>
      </w:r>
      <w:r w:rsidR="00A84B49" w:rsidRPr="006601A1">
        <w:rPr>
          <w:rFonts w:ascii="Times New Roman" w:hAnsi="Times New Roman"/>
          <w:sz w:val="14"/>
          <w:szCs w:val="14"/>
        </w:rPr>
        <w:t xml:space="preserve">Forest Conservation Institute; </w:t>
      </w:r>
      <w:r w:rsidR="00A84B49" w:rsidRPr="004C2142">
        <w:rPr>
          <w:rFonts w:ascii="Times New Roman" w:hAnsi="Times New Roman"/>
          <w:b/>
          <w:sz w:val="14"/>
          <w:szCs w:val="14"/>
        </w:rPr>
        <w:t>IDB</w:t>
      </w:r>
      <w:r w:rsidR="00A84B49">
        <w:rPr>
          <w:rFonts w:ascii="Times New Roman" w:hAnsi="Times New Roman"/>
          <w:sz w:val="14"/>
          <w:szCs w:val="14"/>
        </w:rPr>
        <w:t xml:space="preserve">: </w:t>
      </w:r>
      <w:r w:rsidR="00A84B49" w:rsidRPr="004C2142">
        <w:rPr>
          <w:rFonts w:ascii="Times New Roman" w:hAnsi="Times New Roman"/>
          <w:bCs/>
          <w:sz w:val="14"/>
          <w:szCs w:val="14"/>
        </w:rPr>
        <w:t>Inter</w:t>
      </w:r>
      <w:r w:rsidR="00A84B49" w:rsidRPr="00A84B49">
        <w:rPr>
          <w:rFonts w:ascii="Times New Roman" w:hAnsi="Times New Roman"/>
          <w:bCs/>
          <w:sz w:val="14"/>
          <w:szCs w:val="14"/>
        </w:rPr>
        <w:t>-American Development Bank</w:t>
      </w:r>
      <w:r w:rsidR="00A84B49" w:rsidRPr="00341459">
        <w:rPr>
          <w:rFonts w:ascii="Times New Roman" w:hAnsi="Times New Roman"/>
          <w:sz w:val="14"/>
          <w:szCs w:val="14"/>
        </w:rPr>
        <w:t>;</w:t>
      </w:r>
      <w:r w:rsidR="00A84B49">
        <w:rPr>
          <w:rFonts w:ascii="Times New Roman" w:hAnsi="Times New Roman"/>
          <w:sz w:val="14"/>
          <w:szCs w:val="14"/>
        </w:rPr>
        <w:t xml:space="preserve"> </w:t>
      </w:r>
      <w:r w:rsidR="00A84B49" w:rsidRPr="004C2142">
        <w:rPr>
          <w:rFonts w:ascii="Times New Roman" w:hAnsi="Times New Roman"/>
          <w:b/>
          <w:sz w:val="14"/>
          <w:szCs w:val="14"/>
        </w:rPr>
        <w:t>IDECOAS-FHIS</w:t>
      </w:r>
      <w:r w:rsidR="00A84B49">
        <w:rPr>
          <w:rFonts w:ascii="Times New Roman" w:hAnsi="Times New Roman"/>
          <w:sz w:val="14"/>
          <w:szCs w:val="14"/>
        </w:rPr>
        <w:t xml:space="preserve">: </w:t>
      </w:r>
      <w:r w:rsidR="00A84B49" w:rsidRPr="006F57EE">
        <w:rPr>
          <w:rFonts w:ascii="Times New Roman" w:hAnsi="Times New Roman"/>
          <w:sz w:val="14"/>
          <w:szCs w:val="14"/>
        </w:rPr>
        <w:t xml:space="preserve">Community Development, Water and Sanitation Institute - Honduran Social Investment Fund; </w:t>
      </w:r>
      <w:r w:rsidR="00A84B49" w:rsidRPr="004C2142">
        <w:rPr>
          <w:rFonts w:ascii="Times New Roman" w:hAnsi="Times New Roman"/>
          <w:b/>
          <w:sz w:val="14"/>
          <w:szCs w:val="14"/>
        </w:rPr>
        <w:t>INAM</w:t>
      </w:r>
      <w:r w:rsidR="00A84B49">
        <w:rPr>
          <w:rFonts w:ascii="Times New Roman" w:hAnsi="Times New Roman"/>
          <w:sz w:val="14"/>
          <w:szCs w:val="14"/>
        </w:rPr>
        <w:t xml:space="preserve">: </w:t>
      </w:r>
      <w:r w:rsidR="00A84B49" w:rsidRPr="006F57EE">
        <w:rPr>
          <w:rFonts w:ascii="Times New Roman" w:hAnsi="Times New Roman"/>
          <w:sz w:val="14"/>
          <w:szCs w:val="14"/>
        </w:rPr>
        <w:t>National Institute for Women</w:t>
      </w:r>
      <w:r w:rsidR="00A84B49">
        <w:rPr>
          <w:rFonts w:ascii="Times New Roman" w:hAnsi="Times New Roman"/>
          <w:sz w:val="14"/>
          <w:szCs w:val="14"/>
        </w:rPr>
        <w:t xml:space="preserve">; </w:t>
      </w:r>
      <w:r w:rsidR="00A84B49" w:rsidRPr="004C2142">
        <w:rPr>
          <w:rFonts w:ascii="Times New Roman" w:hAnsi="Times New Roman"/>
          <w:b/>
          <w:sz w:val="14"/>
          <w:szCs w:val="14"/>
        </w:rPr>
        <w:t>IPM</w:t>
      </w:r>
      <w:r w:rsidR="00A84B49">
        <w:rPr>
          <w:rFonts w:ascii="Times New Roman" w:hAnsi="Times New Roman"/>
          <w:sz w:val="14"/>
          <w:szCs w:val="14"/>
        </w:rPr>
        <w:t xml:space="preserve">: Military Pension Institute; </w:t>
      </w:r>
      <w:r w:rsidR="00A84B49" w:rsidRPr="004C2142">
        <w:rPr>
          <w:rFonts w:ascii="Times New Roman" w:hAnsi="Times New Roman"/>
          <w:b/>
          <w:sz w:val="14"/>
          <w:szCs w:val="14"/>
        </w:rPr>
        <w:t>IUDPAS/UNAH</w:t>
      </w:r>
      <w:r w:rsidR="00A84B49">
        <w:rPr>
          <w:rFonts w:ascii="Times New Roman" w:hAnsi="Times New Roman"/>
          <w:sz w:val="14"/>
          <w:szCs w:val="14"/>
        </w:rPr>
        <w:t>: I</w:t>
      </w:r>
      <w:r w:rsidR="00A84B49" w:rsidRPr="006F57EE">
        <w:rPr>
          <w:rFonts w:ascii="Times New Roman" w:hAnsi="Times New Roman"/>
          <w:sz w:val="14"/>
          <w:szCs w:val="14"/>
        </w:rPr>
        <w:t xml:space="preserve">nstitute for Democracy, Peace and Security </w:t>
      </w:r>
      <w:r w:rsidR="00A84B49">
        <w:rPr>
          <w:rFonts w:ascii="Times New Roman" w:hAnsi="Times New Roman"/>
          <w:sz w:val="14"/>
          <w:szCs w:val="14"/>
        </w:rPr>
        <w:t>of the National Autonomous University of Honduras</w:t>
      </w:r>
      <w:r w:rsidR="00A84B49" w:rsidRPr="006F57EE">
        <w:rPr>
          <w:rFonts w:ascii="Times New Roman" w:hAnsi="Times New Roman"/>
          <w:sz w:val="14"/>
          <w:szCs w:val="14"/>
        </w:rPr>
        <w:t xml:space="preserve">; </w:t>
      </w:r>
      <w:r w:rsidR="00A84B49" w:rsidRPr="004C2142">
        <w:rPr>
          <w:rFonts w:ascii="Times New Roman" w:hAnsi="Times New Roman"/>
          <w:b/>
          <w:sz w:val="14"/>
          <w:szCs w:val="14"/>
        </w:rPr>
        <w:t>RNP</w:t>
      </w:r>
      <w:r w:rsidR="00A84B49">
        <w:rPr>
          <w:rFonts w:ascii="Times New Roman" w:hAnsi="Times New Roman"/>
          <w:sz w:val="14"/>
          <w:szCs w:val="14"/>
        </w:rPr>
        <w:t xml:space="preserve">: </w:t>
      </w:r>
      <w:r w:rsidR="00A84B49" w:rsidRPr="0018598B">
        <w:rPr>
          <w:rFonts w:ascii="Times New Roman" w:hAnsi="Times New Roman"/>
          <w:sz w:val="14"/>
          <w:szCs w:val="14"/>
        </w:rPr>
        <w:t>National Population Register;</w:t>
      </w:r>
      <w:r w:rsidR="00A84B49">
        <w:rPr>
          <w:rFonts w:ascii="Times New Roman" w:hAnsi="Times New Roman"/>
          <w:sz w:val="14"/>
          <w:szCs w:val="14"/>
        </w:rPr>
        <w:t xml:space="preserve"> </w:t>
      </w:r>
      <w:r w:rsidR="00A84B49" w:rsidRPr="004C2142">
        <w:rPr>
          <w:rFonts w:ascii="Times New Roman" w:hAnsi="Times New Roman"/>
          <w:b/>
          <w:sz w:val="14"/>
          <w:szCs w:val="14"/>
        </w:rPr>
        <w:t>SAG</w:t>
      </w:r>
      <w:r w:rsidR="00A84B49">
        <w:rPr>
          <w:rFonts w:ascii="Times New Roman" w:hAnsi="Times New Roman"/>
          <w:sz w:val="14"/>
          <w:szCs w:val="14"/>
        </w:rPr>
        <w:t xml:space="preserve">: </w:t>
      </w:r>
      <w:r w:rsidR="00A84B49" w:rsidRPr="006601A1">
        <w:rPr>
          <w:rFonts w:ascii="Times New Roman" w:hAnsi="Times New Roman"/>
          <w:sz w:val="14"/>
          <w:szCs w:val="14"/>
        </w:rPr>
        <w:t xml:space="preserve">Ministry of Agriculture and Livestock; </w:t>
      </w:r>
      <w:r w:rsidR="00A84B49" w:rsidRPr="004C2142">
        <w:rPr>
          <w:rFonts w:ascii="Times New Roman" w:hAnsi="Times New Roman"/>
          <w:b/>
          <w:sz w:val="14"/>
          <w:szCs w:val="14"/>
        </w:rPr>
        <w:t>SCGG</w:t>
      </w:r>
      <w:r w:rsidR="00A84B49">
        <w:rPr>
          <w:rFonts w:ascii="Times New Roman" w:hAnsi="Times New Roman"/>
          <w:sz w:val="14"/>
          <w:szCs w:val="14"/>
        </w:rPr>
        <w:t xml:space="preserve">: </w:t>
      </w:r>
      <w:r w:rsidR="00A84B49" w:rsidRPr="0018598B">
        <w:rPr>
          <w:rFonts w:ascii="Times New Roman" w:hAnsi="Times New Roman"/>
          <w:sz w:val="14"/>
          <w:szCs w:val="14"/>
        </w:rPr>
        <w:t xml:space="preserve">Ministry of General Coordination of the Government of Honduras; </w:t>
      </w:r>
      <w:r w:rsidR="00A84B49" w:rsidRPr="004C2142">
        <w:rPr>
          <w:rFonts w:ascii="Times New Roman" w:hAnsi="Times New Roman"/>
          <w:b/>
          <w:sz w:val="14"/>
          <w:szCs w:val="14"/>
        </w:rPr>
        <w:t>SDC</w:t>
      </w:r>
      <w:r w:rsidR="00A84B49">
        <w:rPr>
          <w:rFonts w:ascii="Times New Roman" w:hAnsi="Times New Roman"/>
          <w:sz w:val="14"/>
          <w:szCs w:val="14"/>
        </w:rPr>
        <w:t xml:space="preserve">: </w:t>
      </w:r>
      <w:r w:rsidR="00A84B49" w:rsidRPr="00341459">
        <w:rPr>
          <w:rFonts w:ascii="Times New Roman" w:hAnsi="Times New Roman"/>
          <w:sz w:val="14"/>
          <w:szCs w:val="14"/>
        </w:rPr>
        <w:t>Swiss</w:t>
      </w:r>
      <w:r w:rsidR="00A84B49" w:rsidRPr="006F57EE">
        <w:rPr>
          <w:rFonts w:ascii="Times New Roman" w:hAnsi="Times New Roman"/>
          <w:sz w:val="14"/>
          <w:szCs w:val="14"/>
        </w:rPr>
        <w:t xml:space="preserve"> Agency for Development Cooperation; </w:t>
      </w:r>
      <w:r w:rsidR="00A84B49" w:rsidRPr="004C2142">
        <w:rPr>
          <w:rFonts w:ascii="Times New Roman" w:hAnsi="Times New Roman"/>
          <w:b/>
          <w:sz w:val="14"/>
          <w:szCs w:val="14"/>
        </w:rPr>
        <w:t>SEDEC</w:t>
      </w:r>
      <w:r w:rsidR="00A84B49">
        <w:rPr>
          <w:rFonts w:ascii="Times New Roman" w:hAnsi="Times New Roman"/>
          <w:sz w:val="14"/>
          <w:szCs w:val="14"/>
        </w:rPr>
        <w:t xml:space="preserve">: </w:t>
      </w:r>
      <w:r w:rsidR="00A84B49" w:rsidRPr="006601A1">
        <w:rPr>
          <w:rFonts w:ascii="Times New Roman" w:hAnsi="Times New Roman"/>
          <w:sz w:val="14"/>
          <w:szCs w:val="14"/>
        </w:rPr>
        <w:t xml:space="preserve">Ministry of Economic Development; </w:t>
      </w:r>
      <w:r w:rsidR="00A84B49" w:rsidRPr="004C2142">
        <w:rPr>
          <w:rFonts w:ascii="Times New Roman" w:hAnsi="Times New Roman"/>
          <w:b/>
          <w:sz w:val="14"/>
          <w:szCs w:val="14"/>
        </w:rPr>
        <w:t>SEDIS</w:t>
      </w:r>
      <w:r w:rsidR="00A84B49">
        <w:rPr>
          <w:rFonts w:ascii="Times New Roman" w:hAnsi="Times New Roman"/>
          <w:sz w:val="14"/>
          <w:szCs w:val="14"/>
        </w:rPr>
        <w:t xml:space="preserve">: </w:t>
      </w:r>
      <w:r w:rsidR="00A84B49" w:rsidRPr="006601A1">
        <w:rPr>
          <w:rFonts w:ascii="Times New Roman" w:hAnsi="Times New Roman"/>
          <w:sz w:val="14"/>
          <w:szCs w:val="14"/>
        </w:rPr>
        <w:t>Ministry of Development and Social Inclusion;</w:t>
      </w:r>
      <w:r w:rsidR="00A84B49">
        <w:rPr>
          <w:rFonts w:ascii="Times New Roman" w:hAnsi="Times New Roman"/>
          <w:sz w:val="14"/>
          <w:szCs w:val="14"/>
        </w:rPr>
        <w:t xml:space="preserve"> </w:t>
      </w:r>
      <w:r w:rsidR="00A84B49" w:rsidRPr="004C2142">
        <w:rPr>
          <w:rFonts w:ascii="Times New Roman" w:hAnsi="Times New Roman"/>
          <w:b/>
          <w:sz w:val="14"/>
          <w:szCs w:val="14"/>
        </w:rPr>
        <w:t>SEPOL</w:t>
      </w:r>
      <w:r w:rsidR="00A84B49">
        <w:rPr>
          <w:rFonts w:ascii="Times New Roman" w:hAnsi="Times New Roman"/>
          <w:sz w:val="14"/>
          <w:szCs w:val="14"/>
        </w:rPr>
        <w:t xml:space="preserve">: </w:t>
      </w:r>
      <w:r w:rsidR="00A84B49" w:rsidRPr="006F57EE">
        <w:rPr>
          <w:rFonts w:ascii="Times New Roman" w:hAnsi="Times New Roman"/>
          <w:sz w:val="14"/>
          <w:szCs w:val="14"/>
        </w:rPr>
        <w:t xml:space="preserve">Police Online Statistical System; </w:t>
      </w:r>
      <w:r w:rsidR="00A84B49" w:rsidRPr="004C2142">
        <w:rPr>
          <w:rFonts w:ascii="Times New Roman" w:hAnsi="Times New Roman"/>
          <w:b/>
          <w:sz w:val="14"/>
          <w:szCs w:val="14"/>
        </w:rPr>
        <w:t>SICA</w:t>
      </w:r>
      <w:r w:rsidR="00A84B49">
        <w:rPr>
          <w:rFonts w:ascii="Times New Roman" w:hAnsi="Times New Roman"/>
          <w:sz w:val="14"/>
          <w:szCs w:val="14"/>
        </w:rPr>
        <w:t xml:space="preserve">: </w:t>
      </w:r>
      <w:r w:rsidR="00A84B49" w:rsidRPr="00932013">
        <w:rPr>
          <w:rFonts w:ascii="Times New Roman" w:hAnsi="Times New Roman"/>
          <w:sz w:val="14"/>
          <w:szCs w:val="14"/>
        </w:rPr>
        <w:t>Central American Integration System</w:t>
      </w:r>
      <w:r w:rsidR="00A84B49" w:rsidRPr="008B366A">
        <w:rPr>
          <w:rFonts w:ascii="Times New Roman" w:hAnsi="Times New Roman"/>
          <w:sz w:val="14"/>
          <w:szCs w:val="14"/>
        </w:rPr>
        <w:t>;</w:t>
      </w:r>
      <w:r w:rsidR="00A84B49">
        <w:rPr>
          <w:rFonts w:ascii="Times New Roman" w:hAnsi="Times New Roman"/>
          <w:sz w:val="14"/>
          <w:szCs w:val="14"/>
        </w:rPr>
        <w:t xml:space="preserve"> </w:t>
      </w:r>
      <w:r w:rsidR="00A84B49" w:rsidRPr="004C2142">
        <w:rPr>
          <w:rFonts w:ascii="Times New Roman" w:hAnsi="Times New Roman"/>
          <w:b/>
          <w:sz w:val="14"/>
          <w:szCs w:val="14"/>
        </w:rPr>
        <w:t>SJDHGD</w:t>
      </w:r>
      <w:r w:rsidR="00A84B49">
        <w:rPr>
          <w:rFonts w:ascii="Times New Roman" w:hAnsi="Times New Roman"/>
          <w:sz w:val="14"/>
          <w:szCs w:val="14"/>
        </w:rPr>
        <w:t xml:space="preserve">; </w:t>
      </w:r>
      <w:r w:rsidR="00A84B49" w:rsidRPr="006F57EE">
        <w:rPr>
          <w:rFonts w:ascii="Times New Roman" w:hAnsi="Times New Roman"/>
          <w:sz w:val="14"/>
          <w:szCs w:val="14"/>
        </w:rPr>
        <w:t xml:space="preserve">Ministry of Justice, Human Rights, Governance and </w:t>
      </w:r>
      <w:r w:rsidR="00A84B49" w:rsidRPr="008D4AE8">
        <w:rPr>
          <w:rFonts w:ascii="Times New Roman" w:hAnsi="Times New Roman"/>
          <w:sz w:val="14"/>
          <w:szCs w:val="14"/>
        </w:rPr>
        <w:t>D</w:t>
      </w:r>
      <w:r w:rsidR="00A84B49">
        <w:rPr>
          <w:rFonts w:ascii="Times New Roman" w:hAnsi="Times New Roman"/>
          <w:sz w:val="14"/>
          <w:szCs w:val="14"/>
        </w:rPr>
        <w:t>e</w:t>
      </w:r>
      <w:r w:rsidR="00A84B49" w:rsidRPr="006F57EE">
        <w:rPr>
          <w:rFonts w:ascii="Times New Roman" w:hAnsi="Times New Roman"/>
          <w:sz w:val="14"/>
          <w:szCs w:val="14"/>
        </w:rPr>
        <w:t xml:space="preserve">centralization; </w:t>
      </w:r>
      <w:r w:rsidR="00A84B49" w:rsidRPr="004C2142">
        <w:rPr>
          <w:rFonts w:ascii="Times New Roman" w:hAnsi="Times New Roman"/>
          <w:b/>
          <w:sz w:val="14"/>
          <w:szCs w:val="14"/>
        </w:rPr>
        <w:t>TSE</w:t>
      </w:r>
      <w:r w:rsidR="00A84B49">
        <w:rPr>
          <w:rFonts w:ascii="Times New Roman" w:hAnsi="Times New Roman"/>
          <w:sz w:val="14"/>
          <w:szCs w:val="14"/>
        </w:rPr>
        <w:t xml:space="preserve">: </w:t>
      </w:r>
      <w:r w:rsidR="00A84B49" w:rsidRPr="0018598B">
        <w:rPr>
          <w:rFonts w:ascii="Times New Roman" w:hAnsi="Times New Roman"/>
          <w:sz w:val="14"/>
          <w:szCs w:val="14"/>
        </w:rPr>
        <w:t>Supreme Electoral Court</w:t>
      </w:r>
      <w:r w:rsidR="00A84B49">
        <w:rPr>
          <w:rFonts w:ascii="Times New Roman" w:hAnsi="Times New Roman"/>
          <w:sz w:val="14"/>
          <w:szCs w:val="14"/>
        </w:rPr>
        <w:t xml:space="preserve">. </w:t>
      </w:r>
    </w:p>
  </w:footnote>
  <w:footnote w:id="38">
    <w:p w14:paraId="0BA9F679" w14:textId="07E72D03" w:rsidR="00341459" w:rsidRPr="00B10DBE" w:rsidRDefault="00341459" w:rsidP="006F57EE">
      <w:r w:rsidRPr="00A84B49">
        <w:rPr>
          <w:rStyle w:val="FootnoteReference"/>
        </w:rPr>
        <w:footnoteRef/>
      </w:r>
      <w:r w:rsidRPr="00A84B49">
        <w:rPr>
          <w:rStyle w:val="FootnoteReference"/>
        </w:rPr>
        <w:t xml:space="preserve"> </w:t>
      </w:r>
      <w:r w:rsidRPr="0018598B">
        <w:rPr>
          <w:sz w:val="14"/>
          <w:szCs w:val="14"/>
        </w:rPr>
        <w:t>0= UNDP is not building capacity of EMB; 1= Capacity has not</w:t>
      </w:r>
      <w:r w:rsidRPr="00B10DBE">
        <w:rPr>
          <w:sz w:val="14"/>
          <w:szCs w:val="14"/>
        </w:rPr>
        <w:t xml:space="preserve"> improved; 2= Capacity very partially improved; 3= Capacity partially improved; and 4= Capacity largely improved.</w:t>
      </w:r>
    </w:p>
  </w:footnote>
  <w:footnote w:id="39">
    <w:p w14:paraId="5F01DC92" w14:textId="25A7FDE9" w:rsidR="00341459" w:rsidRPr="00B10DBE" w:rsidRDefault="00341459">
      <w:pPr>
        <w:pStyle w:val="FootnoteText"/>
        <w:rPr>
          <w:rFonts w:ascii="Times New Roman" w:hAnsi="Times New Roman"/>
          <w:sz w:val="14"/>
          <w:szCs w:val="14"/>
          <w:lang w:val="es-HN"/>
        </w:rPr>
      </w:pPr>
      <w:r w:rsidRPr="00B10DBE">
        <w:rPr>
          <w:rStyle w:val="FootnoteReference"/>
          <w:rFonts w:ascii="Times New Roman" w:hAnsi="Times New Roman"/>
        </w:rPr>
        <w:footnoteRef/>
      </w:r>
      <w:r w:rsidRPr="00B10DBE">
        <w:rPr>
          <w:rFonts w:ascii="Times New Roman" w:hAnsi="Times New Roman"/>
          <w:lang w:val="es-HN"/>
        </w:rPr>
        <w:t xml:space="preserve"> </w:t>
      </w:r>
      <w:r w:rsidRPr="00B10DBE">
        <w:rPr>
          <w:rFonts w:ascii="Times New Roman" w:hAnsi="Times New Roman"/>
          <w:sz w:val="14"/>
          <w:szCs w:val="14"/>
          <w:lang w:val="es-HN"/>
        </w:rPr>
        <w:t xml:space="preserve">Ibid. </w:t>
      </w:r>
    </w:p>
  </w:footnote>
  <w:footnote w:id="40">
    <w:p w14:paraId="126131DD" w14:textId="4EB9AC4E" w:rsidR="00341459" w:rsidRPr="00B10DBE" w:rsidRDefault="00341459" w:rsidP="00565E1C">
      <w:pPr>
        <w:pStyle w:val="CommentText"/>
        <w:rPr>
          <w:sz w:val="14"/>
          <w:szCs w:val="14"/>
          <w:lang w:val="es-HN"/>
        </w:rPr>
      </w:pPr>
      <w:r w:rsidRPr="00B10DBE">
        <w:rPr>
          <w:rStyle w:val="FootnoteReference"/>
        </w:rPr>
        <w:footnoteRef/>
      </w:r>
      <w:r w:rsidRPr="00B10DBE">
        <w:rPr>
          <w:lang w:val="es-HN"/>
        </w:rPr>
        <w:t xml:space="preserve"> </w:t>
      </w:r>
      <w:r w:rsidRPr="00B10DBE">
        <w:rPr>
          <w:sz w:val="14"/>
          <w:szCs w:val="14"/>
          <w:lang w:val="es-HN"/>
        </w:rPr>
        <w:t xml:space="preserve">Visión de País: </w:t>
      </w:r>
      <w:hyperlink r:id="rId2" w:history="1">
        <w:r w:rsidRPr="00B05B0B">
          <w:rPr>
            <w:rStyle w:val="Hyperlink"/>
            <w:sz w:val="14"/>
            <w:szCs w:val="14"/>
            <w:lang w:val="es-HN"/>
          </w:rPr>
          <w:t>www.se.gob.hn/media/files/leyes/LC_10.pdf</w:t>
        </w:r>
      </w:hyperlink>
      <w:r w:rsidRPr="00B10DBE">
        <w:rPr>
          <w:sz w:val="14"/>
          <w:szCs w:val="14"/>
          <w:lang w:val="es-HN"/>
        </w:rPr>
        <w:t xml:space="preserve">, pg. 145. </w:t>
      </w:r>
    </w:p>
  </w:footnote>
  <w:footnote w:id="41">
    <w:p w14:paraId="35C29DB6" w14:textId="40AC4451" w:rsidR="00341459" w:rsidRPr="00B10DBE" w:rsidRDefault="00341459" w:rsidP="00565E1C">
      <w:pPr>
        <w:pStyle w:val="FootnoteText"/>
        <w:rPr>
          <w:rFonts w:ascii="Times New Roman" w:hAnsi="Times New Roman"/>
          <w:sz w:val="14"/>
          <w:szCs w:val="14"/>
        </w:rPr>
      </w:pPr>
      <w:r w:rsidRPr="00B10DBE">
        <w:rPr>
          <w:rStyle w:val="FootnoteReference"/>
          <w:rFonts w:ascii="Times New Roman" w:hAnsi="Times New Roman"/>
        </w:rPr>
        <w:footnoteRef/>
      </w:r>
      <w:r w:rsidRPr="00B10DBE">
        <w:rPr>
          <w:rFonts w:ascii="Times New Roman" w:hAnsi="Times New Roman"/>
        </w:rPr>
        <w:t xml:space="preserve"> </w:t>
      </w:r>
      <w:r>
        <w:rPr>
          <w:rFonts w:ascii="Times New Roman" w:hAnsi="Times New Roman"/>
        </w:rPr>
        <w:t xml:space="preserve"> </w:t>
      </w:r>
      <w:r w:rsidRPr="00B10DBE">
        <w:rPr>
          <w:rFonts w:ascii="Times New Roman" w:hAnsi="Times New Roman"/>
          <w:sz w:val="14"/>
        </w:rPr>
        <w:t>No official target has been determined by the government, this is an estimation based on the average of 50</w:t>
      </w:r>
      <w:r>
        <w:rPr>
          <w:rFonts w:ascii="Times New Roman" w:hAnsi="Times New Roman"/>
          <w:sz w:val="14"/>
        </w:rPr>
        <w:t xml:space="preserve"> per cent </w:t>
      </w:r>
      <w:r w:rsidRPr="00B10DBE">
        <w:rPr>
          <w:rFonts w:ascii="Times New Roman" w:hAnsi="Times New Roman"/>
          <w:sz w:val="14"/>
        </w:rPr>
        <w:t xml:space="preserve">reduction of violence and on the Plan de Nación target.  </w:t>
      </w:r>
    </w:p>
  </w:footnote>
  <w:footnote w:id="42">
    <w:p w14:paraId="67D7E9B3" w14:textId="3D3B8F45" w:rsidR="00341459" w:rsidRPr="00F43E8F" w:rsidRDefault="00341459">
      <w:pPr>
        <w:pStyle w:val="FootnoteText"/>
        <w:rPr>
          <w:rFonts w:ascii="Times New Roman" w:hAnsi="Times New Roman"/>
          <w:sz w:val="14"/>
          <w:szCs w:val="14"/>
        </w:rPr>
      </w:pPr>
      <w:r w:rsidRPr="00B10DBE">
        <w:rPr>
          <w:rStyle w:val="FootnoteReference"/>
          <w:rFonts w:ascii="Times New Roman" w:hAnsi="Times New Roman"/>
        </w:rPr>
        <w:footnoteRef/>
      </w:r>
      <w:r w:rsidRPr="00F43E8F">
        <w:rPr>
          <w:rFonts w:ascii="Times New Roman" w:hAnsi="Times New Roman"/>
        </w:rPr>
        <w:t xml:space="preserve">  </w:t>
      </w:r>
      <w:r w:rsidRPr="00F43E8F">
        <w:rPr>
          <w:rFonts w:ascii="Times New Roman" w:hAnsi="Times New Roman"/>
          <w:sz w:val="14"/>
          <w:szCs w:val="14"/>
        </w:rPr>
        <w:t xml:space="preserve">Ibid. </w:t>
      </w:r>
    </w:p>
  </w:footnote>
  <w:footnote w:id="43">
    <w:p w14:paraId="06293253" w14:textId="364E4584" w:rsidR="00341459" w:rsidRPr="00A84B49" w:rsidRDefault="00341459" w:rsidP="00565E1C">
      <w:pPr>
        <w:jc w:val="both"/>
        <w:rPr>
          <w:sz w:val="14"/>
          <w:szCs w:val="14"/>
        </w:rPr>
      </w:pPr>
      <w:r w:rsidRPr="00A84B49">
        <w:rPr>
          <w:sz w:val="14"/>
          <w:szCs w:val="14"/>
        </w:rPr>
        <w:footnoteRef/>
      </w:r>
      <w:r w:rsidRPr="00A84B49">
        <w:rPr>
          <w:sz w:val="14"/>
          <w:szCs w:val="14"/>
        </w:rPr>
        <w:t xml:space="preserve"> </w:t>
      </w:r>
      <w:r w:rsidRPr="00B10DBE">
        <w:rPr>
          <w:sz w:val="14"/>
          <w:szCs w:val="14"/>
        </w:rPr>
        <w:t>1= Not adequately; 2= Very partially; 3= Partially and 4= Largely.</w:t>
      </w:r>
    </w:p>
  </w:footnote>
  <w:footnote w:id="44">
    <w:p w14:paraId="3F8F4A92" w14:textId="73CDAF0B" w:rsidR="00341459" w:rsidRPr="00B10DBE" w:rsidRDefault="00341459" w:rsidP="002927E7">
      <w:pPr>
        <w:jc w:val="both"/>
        <w:rPr>
          <w:sz w:val="14"/>
          <w:szCs w:val="14"/>
        </w:rPr>
      </w:pPr>
      <w:r w:rsidRPr="00B10DBE">
        <w:rPr>
          <w:rStyle w:val="FootnoteReference"/>
        </w:rPr>
        <w:footnoteRef/>
      </w:r>
      <w:r w:rsidRPr="00B10DBE">
        <w:t xml:space="preserve"> </w:t>
      </w:r>
      <w:r w:rsidRPr="00B10DBE">
        <w:rPr>
          <w:sz w:val="14"/>
          <w:szCs w:val="14"/>
        </w:rPr>
        <w:t>1= Not adequately; 2= Very partially; 3= Partially and 4 = Largely.</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41459" w:rsidRPr="00407FEE" w14:paraId="67560A9A" w14:textId="77777777" w:rsidTr="00147576">
      <w:trPr>
        <w:trHeight w:hRule="exact" w:val="864"/>
      </w:trPr>
      <w:tc>
        <w:tcPr>
          <w:tcW w:w="4838" w:type="dxa"/>
          <w:shd w:val="clear" w:color="auto" w:fill="auto"/>
          <w:vAlign w:val="bottom"/>
        </w:tcPr>
        <w:p w14:paraId="5ED453DB" w14:textId="0A80C710" w:rsidR="00341459" w:rsidRPr="00407FEE" w:rsidRDefault="00341459" w:rsidP="00A04A4C">
          <w:pPr>
            <w:tabs>
              <w:tab w:val="center" w:pos="4320"/>
              <w:tab w:val="right" w:pos="8640"/>
            </w:tabs>
            <w:spacing w:after="80"/>
            <w:rPr>
              <w:b/>
              <w:noProof/>
              <w:sz w:val="17"/>
            </w:rPr>
          </w:pPr>
          <w:r w:rsidRPr="00407FEE">
            <w:rPr>
              <w:b/>
              <w:noProof/>
              <w:sz w:val="17"/>
            </w:rPr>
            <w:t>D</w:t>
          </w:r>
          <w:r>
            <w:rPr>
              <w:b/>
              <w:noProof/>
              <w:sz w:val="17"/>
            </w:rPr>
            <w:t>P/DCP/HND/3</w:t>
          </w:r>
        </w:p>
      </w:tc>
      <w:tc>
        <w:tcPr>
          <w:tcW w:w="5033" w:type="dxa"/>
          <w:shd w:val="clear" w:color="auto" w:fill="auto"/>
          <w:vAlign w:val="bottom"/>
        </w:tcPr>
        <w:p w14:paraId="12A1E189" w14:textId="77777777" w:rsidR="00341459" w:rsidRPr="00407FEE" w:rsidRDefault="00341459" w:rsidP="00A04A4C">
          <w:pPr>
            <w:tabs>
              <w:tab w:val="center" w:pos="4320"/>
              <w:tab w:val="right" w:pos="8640"/>
            </w:tabs>
            <w:jc w:val="right"/>
            <w:rPr>
              <w:noProof/>
              <w:sz w:val="17"/>
            </w:rPr>
          </w:pPr>
        </w:p>
      </w:tc>
    </w:tr>
  </w:tbl>
  <w:p w14:paraId="7585D23A" w14:textId="77777777" w:rsidR="00341459" w:rsidRPr="0033000C" w:rsidRDefault="00341459" w:rsidP="00330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41459" w:rsidRPr="00D64B78" w14:paraId="544C706A" w14:textId="77777777" w:rsidTr="00147576">
      <w:trPr>
        <w:trHeight w:hRule="exact" w:val="864"/>
      </w:trPr>
      <w:tc>
        <w:tcPr>
          <w:tcW w:w="4838" w:type="dxa"/>
          <w:tcBorders>
            <w:bottom w:val="single" w:sz="4" w:space="0" w:color="auto"/>
          </w:tcBorders>
          <w:vAlign w:val="bottom"/>
        </w:tcPr>
        <w:p w14:paraId="559B7641" w14:textId="77777777" w:rsidR="00341459" w:rsidRPr="00D64B78" w:rsidRDefault="00341459" w:rsidP="00A04A4C">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8147800" w14:textId="571F3974" w:rsidR="00341459" w:rsidRPr="00D64B78" w:rsidRDefault="00341459" w:rsidP="00146229">
          <w:pPr>
            <w:widowControl w:val="0"/>
            <w:tabs>
              <w:tab w:val="center" w:pos="4320"/>
              <w:tab w:val="right" w:pos="8640"/>
            </w:tabs>
            <w:jc w:val="right"/>
            <w:rPr>
              <w:sz w:val="17"/>
              <w:szCs w:val="17"/>
            </w:rPr>
          </w:pPr>
          <w:r w:rsidRPr="00D64B78">
            <w:rPr>
              <w:b/>
              <w:sz w:val="17"/>
              <w:szCs w:val="17"/>
            </w:rPr>
            <w:t>DP/DCP/</w:t>
          </w:r>
          <w:r>
            <w:rPr>
              <w:b/>
              <w:sz w:val="17"/>
              <w:szCs w:val="17"/>
            </w:rPr>
            <w:t>HND</w:t>
          </w:r>
          <w:r w:rsidRPr="00D64B78">
            <w:rPr>
              <w:b/>
              <w:sz w:val="17"/>
              <w:szCs w:val="17"/>
            </w:rPr>
            <w:t>/</w:t>
          </w:r>
          <w:r>
            <w:rPr>
              <w:b/>
              <w:sz w:val="17"/>
              <w:szCs w:val="17"/>
            </w:rPr>
            <w:t>3</w:t>
          </w:r>
        </w:p>
      </w:tc>
    </w:tr>
  </w:tbl>
  <w:p w14:paraId="10ACF930" w14:textId="501F1D7D" w:rsidR="00341459" w:rsidRPr="00916E69" w:rsidRDefault="00341459" w:rsidP="0014622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41459" w:rsidRPr="006A7669" w14:paraId="68F38EFE" w14:textId="77777777" w:rsidTr="00147576">
      <w:trPr>
        <w:trHeight w:hRule="exact" w:val="864"/>
      </w:trPr>
      <w:tc>
        <w:tcPr>
          <w:tcW w:w="1267" w:type="dxa"/>
          <w:tcBorders>
            <w:bottom w:val="single" w:sz="4" w:space="0" w:color="auto"/>
          </w:tcBorders>
          <w:shd w:val="clear" w:color="auto" w:fill="auto"/>
          <w:vAlign w:val="bottom"/>
        </w:tcPr>
        <w:p w14:paraId="11944BD4" w14:textId="77777777" w:rsidR="00341459" w:rsidRPr="006A7669" w:rsidRDefault="00341459" w:rsidP="00A04A4C">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12DC43C" w14:textId="77777777" w:rsidR="00341459" w:rsidRPr="006A7669" w:rsidRDefault="00341459" w:rsidP="00A04A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53CDD876" w14:textId="77777777" w:rsidR="00341459" w:rsidRPr="006A7669" w:rsidRDefault="00341459" w:rsidP="00A04A4C">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AF5F638" w14:textId="151A8567" w:rsidR="00341459" w:rsidRPr="006A7669" w:rsidRDefault="00341459" w:rsidP="00A04A4C">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HND</w:t>
          </w:r>
          <w:r w:rsidRPr="006A7669">
            <w:rPr>
              <w:spacing w:val="4"/>
              <w:w w:val="103"/>
              <w:kern w:val="14"/>
              <w:position w:val="-4"/>
              <w:lang w:val="en-GB"/>
            </w:rPr>
            <w:t>/</w:t>
          </w:r>
          <w:r>
            <w:rPr>
              <w:spacing w:val="4"/>
              <w:w w:val="103"/>
              <w:kern w:val="14"/>
              <w:position w:val="-4"/>
              <w:lang w:val="en-GB"/>
            </w:rPr>
            <w:t>3</w:t>
          </w:r>
        </w:p>
      </w:tc>
    </w:tr>
    <w:tr w:rsidR="00341459" w:rsidRPr="006A7669" w14:paraId="7FDF0B4D" w14:textId="77777777" w:rsidTr="00147576">
      <w:trPr>
        <w:gridAfter w:val="1"/>
        <w:wAfter w:w="28" w:type="dxa"/>
        <w:trHeight w:hRule="exact" w:val="2880"/>
      </w:trPr>
      <w:tc>
        <w:tcPr>
          <w:tcW w:w="1267" w:type="dxa"/>
          <w:tcBorders>
            <w:top w:val="single" w:sz="4" w:space="0" w:color="auto"/>
            <w:bottom w:val="single" w:sz="12" w:space="0" w:color="auto"/>
          </w:tcBorders>
          <w:shd w:val="clear" w:color="auto" w:fill="auto"/>
        </w:tcPr>
        <w:p w14:paraId="62C19F81" w14:textId="77777777" w:rsidR="00341459" w:rsidRPr="006A7669" w:rsidRDefault="00341459" w:rsidP="00A04A4C">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2AC1867B" wp14:editId="5D50D9C0">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9111405" w14:textId="77777777" w:rsidR="00341459" w:rsidRPr="006A7669" w:rsidRDefault="00341459" w:rsidP="00A04A4C">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F39DCD4" w14:textId="77777777" w:rsidR="00341459" w:rsidRDefault="00341459" w:rsidP="00A04A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49D9A920" w14:textId="77777777" w:rsidR="00341459" w:rsidRDefault="00341459" w:rsidP="00A04A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3E3A10FC" w14:textId="77777777" w:rsidR="00341459" w:rsidRPr="006A7669" w:rsidRDefault="00341459" w:rsidP="00A04A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14:paraId="54AA5DA6" w14:textId="77777777" w:rsidR="00341459" w:rsidRPr="006A7669" w:rsidRDefault="00341459" w:rsidP="00A04A4C">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6D79BCC" w14:textId="77777777" w:rsidR="00341459" w:rsidRPr="006A7669" w:rsidRDefault="00341459" w:rsidP="00A04A4C">
          <w:pPr>
            <w:suppressAutoHyphens/>
            <w:spacing w:before="240" w:line="240" w:lineRule="exact"/>
            <w:rPr>
              <w:spacing w:val="4"/>
              <w:w w:val="103"/>
              <w:kern w:val="14"/>
              <w:lang w:val="en-GB"/>
            </w:rPr>
          </w:pPr>
          <w:r w:rsidRPr="006A7669">
            <w:rPr>
              <w:spacing w:val="4"/>
              <w:w w:val="103"/>
              <w:kern w:val="14"/>
              <w:lang w:val="en-GB"/>
            </w:rPr>
            <w:t>Distr.: General</w:t>
          </w:r>
        </w:p>
        <w:p w14:paraId="3880A991" w14:textId="1ACB77FC" w:rsidR="00341459" w:rsidRPr="006A7669" w:rsidRDefault="00341459" w:rsidP="00A04A4C">
          <w:pPr>
            <w:suppressAutoHyphens/>
            <w:spacing w:line="240" w:lineRule="exact"/>
            <w:rPr>
              <w:spacing w:val="4"/>
              <w:w w:val="103"/>
              <w:kern w:val="14"/>
              <w:lang w:val="en-GB"/>
            </w:rPr>
          </w:pPr>
          <w:r>
            <w:rPr>
              <w:spacing w:val="4"/>
              <w:w w:val="103"/>
              <w:kern w:val="14"/>
              <w:lang w:val="en-GB"/>
            </w:rPr>
            <w:t>1</w:t>
          </w:r>
          <w:r w:rsidR="00605756">
            <w:rPr>
              <w:spacing w:val="4"/>
              <w:w w:val="103"/>
              <w:kern w:val="14"/>
              <w:lang w:val="en-GB"/>
            </w:rPr>
            <w:t>4</w:t>
          </w:r>
          <w:r>
            <w:rPr>
              <w:spacing w:val="4"/>
              <w:w w:val="103"/>
              <w:kern w:val="14"/>
              <w:lang w:val="en-GB"/>
            </w:rPr>
            <w:t xml:space="preserve"> June 2016</w:t>
          </w:r>
        </w:p>
        <w:p w14:paraId="3AF5EBF4" w14:textId="77777777" w:rsidR="00341459" w:rsidRPr="006A7669" w:rsidRDefault="00341459" w:rsidP="00A04A4C">
          <w:pPr>
            <w:suppressAutoHyphens/>
            <w:spacing w:line="240" w:lineRule="exact"/>
            <w:rPr>
              <w:spacing w:val="4"/>
              <w:w w:val="103"/>
              <w:kern w:val="14"/>
              <w:lang w:val="en-GB"/>
            </w:rPr>
          </w:pPr>
        </w:p>
        <w:p w14:paraId="0769C609" w14:textId="77777777" w:rsidR="00341459" w:rsidRPr="006A7669" w:rsidRDefault="00341459" w:rsidP="00A04A4C">
          <w:pPr>
            <w:suppressAutoHyphens/>
            <w:spacing w:line="240" w:lineRule="exact"/>
            <w:rPr>
              <w:spacing w:val="4"/>
              <w:w w:val="103"/>
              <w:kern w:val="14"/>
              <w:lang w:val="en-GB"/>
            </w:rPr>
          </w:pPr>
          <w:r w:rsidRPr="006A7669">
            <w:rPr>
              <w:spacing w:val="4"/>
              <w:w w:val="103"/>
              <w:kern w:val="14"/>
              <w:lang w:val="en-GB"/>
            </w:rPr>
            <w:t>Original: English</w:t>
          </w:r>
        </w:p>
      </w:tc>
    </w:tr>
  </w:tbl>
  <w:p w14:paraId="4C35AA01" w14:textId="77777777" w:rsidR="00341459" w:rsidRPr="00A04A4C" w:rsidRDefault="00341459">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EAAB" w14:textId="114EA1BB" w:rsidR="00341459" w:rsidRDefault="00341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1F901A5D"/>
    <w:multiLevelType w:val="hybridMultilevel"/>
    <w:tmpl w:val="F5D6D128"/>
    <w:lvl w:ilvl="0" w:tplc="951E25E4">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6C1636C"/>
    <w:multiLevelType w:val="hybridMultilevel"/>
    <w:tmpl w:val="85B01BAE"/>
    <w:lvl w:ilvl="0" w:tplc="0C0A000F">
      <w:start w:val="11"/>
      <w:numFmt w:val="decimal"/>
      <w:lvlText w:val="%1."/>
      <w:lvlJc w:val="left"/>
      <w:pPr>
        <w:ind w:left="1627" w:hanging="36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10"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E07B7D"/>
    <w:multiLevelType w:val="hybridMultilevel"/>
    <w:tmpl w:val="48A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6375E0F"/>
    <w:multiLevelType w:val="multilevel"/>
    <w:tmpl w:val="8620EF4A"/>
    <w:name w:val="TOC3"/>
    <w:lvl w:ilvl="0">
      <w:start w:val="1"/>
      <w:numFmt w:val="upperRoman"/>
      <w:lvlText w:val="%1."/>
      <w:lvlJc w:val="right"/>
      <w:pPr>
        <w:tabs>
          <w:tab w:val="num" w:pos="4536"/>
        </w:tabs>
        <w:ind w:left="453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53547"/>
    <w:multiLevelType w:val="hybridMultilevel"/>
    <w:tmpl w:val="22E6386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5" w15:restartNumberingAfterBreak="0">
    <w:nsid w:val="58602FDB"/>
    <w:multiLevelType w:val="hybridMultilevel"/>
    <w:tmpl w:val="7C320756"/>
    <w:lvl w:ilvl="0" w:tplc="A6105E70">
      <w:start w:val="1"/>
      <w:numFmt w:val="decimal"/>
      <w:lvlText w:val="%1."/>
      <w:lvlJc w:val="left"/>
      <w:pPr>
        <w:ind w:left="2520" w:hanging="360"/>
      </w:pPr>
      <w:rPr>
        <w:rFonts w:hint="default"/>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0138C"/>
    <w:multiLevelType w:val="multilevel"/>
    <w:tmpl w:val="6D5275DA"/>
    <w:name w:val="TOC32"/>
    <w:lvl w:ilvl="0">
      <w:start w:val="4"/>
      <w:numFmt w:val="upperRoman"/>
      <w:lvlText w:val="%1."/>
      <w:lvlJc w:val="right"/>
      <w:pPr>
        <w:tabs>
          <w:tab w:val="num" w:pos="4536"/>
        </w:tabs>
        <w:ind w:left="453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B0348CF"/>
    <w:multiLevelType w:val="hybridMultilevel"/>
    <w:tmpl w:val="E37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7"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4B7F0A"/>
    <w:multiLevelType w:val="hybridMultilevel"/>
    <w:tmpl w:val="042A050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7"/>
  </w:num>
  <w:num w:numId="2">
    <w:abstractNumId w:val="31"/>
  </w:num>
  <w:num w:numId="3">
    <w:abstractNumId w:val="22"/>
  </w:num>
  <w:num w:numId="4">
    <w:abstractNumId w:val="35"/>
  </w:num>
  <w:num w:numId="5">
    <w:abstractNumId w:val="23"/>
  </w:num>
  <w:num w:numId="6">
    <w:abstractNumId w:val="0"/>
  </w:num>
  <w:num w:numId="7">
    <w:abstractNumId w:val="14"/>
  </w:num>
  <w:num w:numId="8">
    <w:abstractNumId w:val="32"/>
  </w:num>
  <w:num w:numId="9">
    <w:abstractNumId w:val="41"/>
  </w:num>
  <w:num w:numId="10">
    <w:abstractNumId w:val="34"/>
  </w:num>
  <w:num w:numId="11">
    <w:abstractNumId w:val="40"/>
  </w:num>
  <w:num w:numId="12">
    <w:abstractNumId w:val="20"/>
  </w:num>
  <w:num w:numId="13">
    <w:abstractNumId w:val="4"/>
  </w:num>
  <w:num w:numId="14">
    <w:abstractNumId w:val="13"/>
  </w:num>
  <w:num w:numId="15">
    <w:abstractNumId w:val="37"/>
  </w:num>
  <w:num w:numId="16">
    <w:abstractNumId w:val="8"/>
  </w:num>
  <w:num w:numId="17">
    <w:abstractNumId w:val="11"/>
  </w:num>
  <w:num w:numId="18">
    <w:abstractNumId w:val="16"/>
  </w:num>
  <w:num w:numId="19">
    <w:abstractNumId w:val="39"/>
  </w:num>
  <w:num w:numId="20">
    <w:abstractNumId w:val="7"/>
  </w:num>
  <w:num w:numId="21">
    <w:abstractNumId w:val="6"/>
  </w:num>
  <w:num w:numId="22">
    <w:abstractNumId w:val="38"/>
  </w:num>
  <w:num w:numId="23">
    <w:abstractNumId w:val="12"/>
  </w:num>
  <w:num w:numId="24">
    <w:abstractNumId w:val="2"/>
  </w:num>
  <w:num w:numId="25">
    <w:abstractNumId w:val="36"/>
  </w:num>
  <w:num w:numId="26">
    <w:abstractNumId w:val="33"/>
  </w:num>
  <w:num w:numId="27">
    <w:abstractNumId w:val="29"/>
  </w:num>
  <w:num w:numId="28">
    <w:abstractNumId w:val="1"/>
  </w:num>
  <w:num w:numId="29">
    <w:abstractNumId w:val="21"/>
  </w:num>
  <w:num w:numId="30">
    <w:abstractNumId w:val="26"/>
  </w:num>
  <w:num w:numId="31">
    <w:abstractNumId w:val="10"/>
  </w:num>
  <w:num w:numId="32">
    <w:abstractNumId w:val="3"/>
  </w:num>
  <w:num w:numId="33">
    <w:abstractNumId w:val="19"/>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5"/>
  </w:num>
  <w:num w:numId="38">
    <w:abstractNumId w:val="9"/>
  </w:num>
  <w:num w:numId="39">
    <w:abstractNumId w:val="5"/>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5"/>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C07"/>
    <w:rsid w:val="00000C0C"/>
    <w:rsid w:val="00000E7A"/>
    <w:rsid w:val="000010B5"/>
    <w:rsid w:val="000011E8"/>
    <w:rsid w:val="00001624"/>
    <w:rsid w:val="000020A6"/>
    <w:rsid w:val="000027D2"/>
    <w:rsid w:val="000027FF"/>
    <w:rsid w:val="0000286C"/>
    <w:rsid w:val="00002F93"/>
    <w:rsid w:val="000032BD"/>
    <w:rsid w:val="000037E3"/>
    <w:rsid w:val="000042CC"/>
    <w:rsid w:val="00004B54"/>
    <w:rsid w:val="00005520"/>
    <w:rsid w:val="00005E26"/>
    <w:rsid w:val="00006121"/>
    <w:rsid w:val="000072EF"/>
    <w:rsid w:val="00007E03"/>
    <w:rsid w:val="00011884"/>
    <w:rsid w:val="000119B4"/>
    <w:rsid w:val="00011F2B"/>
    <w:rsid w:val="000120FF"/>
    <w:rsid w:val="00012145"/>
    <w:rsid w:val="000121D9"/>
    <w:rsid w:val="00013576"/>
    <w:rsid w:val="00014903"/>
    <w:rsid w:val="00015FDE"/>
    <w:rsid w:val="000160DF"/>
    <w:rsid w:val="0001618A"/>
    <w:rsid w:val="00016217"/>
    <w:rsid w:val="00016861"/>
    <w:rsid w:val="0001786B"/>
    <w:rsid w:val="00017E37"/>
    <w:rsid w:val="000200CF"/>
    <w:rsid w:val="000205F1"/>
    <w:rsid w:val="00020A3C"/>
    <w:rsid w:val="00020A57"/>
    <w:rsid w:val="00020A62"/>
    <w:rsid w:val="0002172C"/>
    <w:rsid w:val="00022047"/>
    <w:rsid w:val="00023A6C"/>
    <w:rsid w:val="00023C06"/>
    <w:rsid w:val="0002557D"/>
    <w:rsid w:val="000257DE"/>
    <w:rsid w:val="000272B4"/>
    <w:rsid w:val="000274B9"/>
    <w:rsid w:val="0002758B"/>
    <w:rsid w:val="000276A0"/>
    <w:rsid w:val="000279C8"/>
    <w:rsid w:val="00030C38"/>
    <w:rsid w:val="00030F32"/>
    <w:rsid w:val="00032A07"/>
    <w:rsid w:val="000330DB"/>
    <w:rsid w:val="000333E1"/>
    <w:rsid w:val="00033550"/>
    <w:rsid w:val="00033D71"/>
    <w:rsid w:val="0003429F"/>
    <w:rsid w:val="00034F3C"/>
    <w:rsid w:val="0003562A"/>
    <w:rsid w:val="00035B5B"/>
    <w:rsid w:val="00036095"/>
    <w:rsid w:val="00036AF4"/>
    <w:rsid w:val="00036E68"/>
    <w:rsid w:val="00037679"/>
    <w:rsid w:val="0004064C"/>
    <w:rsid w:val="00040BA9"/>
    <w:rsid w:val="00041499"/>
    <w:rsid w:val="00041BAD"/>
    <w:rsid w:val="00041C10"/>
    <w:rsid w:val="0004334E"/>
    <w:rsid w:val="00043804"/>
    <w:rsid w:val="00044172"/>
    <w:rsid w:val="000441A1"/>
    <w:rsid w:val="000441EC"/>
    <w:rsid w:val="000443C1"/>
    <w:rsid w:val="0004489B"/>
    <w:rsid w:val="00045AED"/>
    <w:rsid w:val="00045E8E"/>
    <w:rsid w:val="00046485"/>
    <w:rsid w:val="00047D98"/>
    <w:rsid w:val="00050869"/>
    <w:rsid w:val="00050D3F"/>
    <w:rsid w:val="00051AF0"/>
    <w:rsid w:val="000520EB"/>
    <w:rsid w:val="000527E4"/>
    <w:rsid w:val="0005308B"/>
    <w:rsid w:val="00053B5D"/>
    <w:rsid w:val="00053B96"/>
    <w:rsid w:val="00054479"/>
    <w:rsid w:val="00054EA6"/>
    <w:rsid w:val="000561C1"/>
    <w:rsid w:val="00056204"/>
    <w:rsid w:val="00056B05"/>
    <w:rsid w:val="00056E59"/>
    <w:rsid w:val="000570D1"/>
    <w:rsid w:val="000571A9"/>
    <w:rsid w:val="00060290"/>
    <w:rsid w:val="000622CC"/>
    <w:rsid w:val="0006265C"/>
    <w:rsid w:val="00063053"/>
    <w:rsid w:val="00063E24"/>
    <w:rsid w:val="0006469D"/>
    <w:rsid w:val="00064975"/>
    <w:rsid w:val="00064BEE"/>
    <w:rsid w:val="00065084"/>
    <w:rsid w:val="00066AB7"/>
    <w:rsid w:val="0006733C"/>
    <w:rsid w:val="00072229"/>
    <w:rsid w:val="00072B92"/>
    <w:rsid w:val="00072E86"/>
    <w:rsid w:val="0007332E"/>
    <w:rsid w:val="00073CF1"/>
    <w:rsid w:val="00074BD0"/>
    <w:rsid w:val="00074D9A"/>
    <w:rsid w:val="00074DB9"/>
    <w:rsid w:val="000751A6"/>
    <w:rsid w:val="000753C4"/>
    <w:rsid w:val="000755AB"/>
    <w:rsid w:val="00075DF0"/>
    <w:rsid w:val="000762CA"/>
    <w:rsid w:val="0007641E"/>
    <w:rsid w:val="00077CE9"/>
    <w:rsid w:val="000803A4"/>
    <w:rsid w:val="000806E3"/>
    <w:rsid w:val="0008336F"/>
    <w:rsid w:val="0008339E"/>
    <w:rsid w:val="000848FD"/>
    <w:rsid w:val="00085336"/>
    <w:rsid w:val="00086971"/>
    <w:rsid w:val="000869A5"/>
    <w:rsid w:val="000873D1"/>
    <w:rsid w:val="00090AD1"/>
    <w:rsid w:val="00090F4F"/>
    <w:rsid w:val="00091074"/>
    <w:rsid w:val="000912D0"/>
    <w:rsid w:val="00091476"/>
    <w:rsid w:val="00091EDC"/>
    <w:rsid w:val="00092879"/>
    <w:rsid w:val="00092A46"/>
    <w:rsid w:val="00094E87"/>
    <w:rsid w:val="00095F13"/>
    <w:rsid w:val="000968A6"/>
    <w:rsid w:val="0009776B"/>
    <w:rsid w:val="00097FB2"/>
    <w:rsid w:val="000A0FD0"/>
    <w:rsid w:val="000A118B"/>
    <w:rsid w:val="000A151D"/>
    <w:rsid w:val="000A1DB1"/>
    <w:rsid w:val="000A24C5"/>
    <w:rsid w:val="000A3383"/>
    <w:rsid w:val="000A38D7"/>
    <w:rsid w:val="000A3BC5"/>
    <w:rsid w:val="000A3F7F"/>
    <w:rsid w:val="000A45E9"/>
    <w:rsid w:val="000A6110"/>
    <w:rsid w:val="000B002F"/>
    <w:rsid w:val="000B0902"/>
    <w:rsid w:val="000B0D3E"/>
    <w:rsid w:val="000B1B26"/>
    <w:rsid w:val="000B226B"/>
    <w:rsid w:val="000B2CF9"/>
    <w:rsid w:val="000B3A13"/>
    <w:rsid w:val="000B3A3F"/>
    <w:rsid w:val="000B45FC"/>
    <w:rsid w:val="000B4BB2"/>
    <w:rsid w:val="000B6203"/>
    <w:rsid w:val="000B7670"/>
    <w:rsid w:val="000B7B79"/>
    <w:rsid w:val="000C2DE6"/>
    <w:rsid w:val="000C4685"/>
    <w:rsid w:val="000C6DB4"/>
    <w:rsid w:val="000C7308"/>
    <w:rsid w:val="000C76B0"/>
    <w:rsid w:val="000C7BBE"/>
    <w:rsid w:val="000D17FD"/>
    <w:rsid w:val="000D1E23"/>
    <w:rsid w:val="000D2145"/>
    <w:rsid w:val="000D2475"/>
    <w:rsid w:val="000D2964"/>
    <w:rsid w:val="000D3257"/>
    <w:rsid w:val="000D3C7B"/>
    <w:rsid w:val="000D40A4"/>
    <w:rsid w:val="000D442C"/>
    <w:rsid w:val="000D4DC4"/>
    <w:rsid w:val="000D4FCB"/>
    <w:rsid w:val="000D5823"/>
    <w:rsid w:val="000D71D8"/>
    <w:rsid w:val="000E0CDE"/>
    <w:rsid w:val="000E1ACB"/>
    <w:rsid w:val="000E2AB8"/>
    <w:rsid w:val="000E5854"/>
    <w:rsid w:val="000E5A87"/>
    <w:rsid w:val="000E5EBD"/>
    <w:rsid w:val="000E612D"/>
    <w:rsid w:val="000E6404"/>
    <w:rsid w:val="000E6700"/>
    <w:rsid w:val="000E6FC9"/>
    <w:rsid w:val="000E745A"/>
    <w:rsid w:val="000E7840"/>
    <w:rsid w:val="000E7B89"/>
    <w:rsid w:val="000E7D7B"/>
    <w:rsid w:val="000E7E12"/>
    <w:rsid w:val="000E7E9E"/>
    <w:rsid w:val="000F0044"/>
    <w:rsid w:val="000F244B"/>
    <w:rsid w:val="000F385A"/>
    <w:rsid w:val="000F40E9"/>
    <w:rsid w:val="000F6FB5"/>
    <w:rsid w:val="000F703B"/>
    <w:rsid w:val="000F74B8"/>
    <w:rsid w:val="0010048A"/>
    <w:rsid w:val="00101092"/>
    <w:rsid w:val="0010166D"/>
    <w:rsid w:val="001016C8"/>
    <w:rsid w:val="001016FF"/>
    <w:rsid w:val="00102358"/>
    <w:rsid w:val="00102C69"/>
    <w:rsid w:val="00105D7E"/>
    <w:rsid w:val="00105FE8"/>
    <w:rsid w:val="00106EF8"/>
    <w:rsid w:val="001101A2"/>
    <w:rsid w:val="00110646"/>
    <w:rsid w:val="0011072B"/>
    <w:rsid w:val="00111489"/>
    <w:rsid w:val="00111797"/>
    <w:rsid w:val="0011184F"/>
    <w:rsid w:val="00111B19"/>
    <w:rsid w:val="00112346"/>
    <w:rsid w:val="0011245F"/>
    <w:rsid w:val="00114A59"/>
    <w:rsid w:val="00114A64"/>
    <w:rsid w:val="00114BAC"/>
    <w:rsid w:val="00114C88"/>
    <w:rsid w:val="00115F59"/>
    <w:rsid w:val="00116C1A"/>
    <w:rsid w:val="0011701D"/>
    <w:rsid w:val="00120AD9"/>
    <w:rsid w:val="00121F3E"/>
    <w:rsid w:val="0012229E"/>
    <w:rsid w:val="00123849"/>
    <w:rsid w:val="001239E5"/>
    <w:rsid w:val="00123A5E"/>
    <w:rsid w:val="0012406F"/>
    <w:rsid w:val="00124128"/>
    <w:rsid w:val="00124EC9"/>
    <w:rsid w:val="00124EDA"/>
    <w:rsid w:val="00125010"/>
    <w:rsid w:val="001251A6"/>
    <w:rsid w:val="00125266"/>
    <w:rsid w:val="001253FA"/>
    <w:rsid w:val="00125B82"/>
    <w:rsid w:val="00126AAC"/>
    <w:rsid w:val="00127093"/>
    <w:rsid w:val="001305E6"/>
    <w:rsid w:val="0013153C"/>
    <w:rsid w:val="0013239A"/>
    <w:rsid w:val="00132DB1"/>
    <w:rsid w:val="001335E8"/>
    <w:rsid w:val="0013439A"/>
    <w:rsid w:val="00134902"/>
    <w:rsid w:val="001369F2"/>
    <w:rsid w:val="0013761A"/>
    <w:rsid w:val="00137FAE"/>
    <w:rsid w:val="0014123F"/>
    <w:rsid w:val="0014352A"/>
    <w:rsid w:val="0014400B"/>
    <w:rsid w:val="0014423A"/>
    <w:rsid w:val="001447E2"/>
    <w:rsid w:val="00144E44"/>
    <w:rsid w:val="00145D2B"/>
    <w:rsid w:val="00146229"/>
    <w:rsid w:val="00146A05"/>
    <w:rsid w:val="00147042"/>
    <w:rsid w:val="001471A7"/>
    <w:rsid w:val="00147576"/>
    <w:rsid w:val="00147696"/>
    <w:rsid w:val="00147E52"/>
    <w:rsid w:val="00147E72"/>
    <w:rsid w:val="00147F02"/>
    <w:rsid w:val="00147FF2"/>
    <w:rsid w:val="001503BA"/>
    <w:rsid w:val="001506F6"/>
    <w:rsid w:val="00150DC7"/>
    <w:rsid w:val="0015158F"/>
    <w:rsid w:val="00151814"/>
    <w:rsid w:val="0015198C"/>
    <w:rsid w:val="00151E17"/>
    <w:rsid w:val="00152B50"/>
    <w:rsid w:val="001532BB"/>
    <w:rsid w:val="00154032"/>
    <w:rsid w:val="001547D3"/>
    <w:rsid w:val="001550A2"/>
    <w:rsid w:val="001559BD"/>
    <w:rsid w:val="00156472"/>
    <w:rsid w:val="001564C5"/>
    <w:rsid w:val="0015665A"/>
    <w:rsid w:val="0015671B"/>
    <w:rsid w:val="001567F1"/>
    <w:rsid w:val="00157F79"/>
    <w:rsid w:val="0016269C"/>
    <w:rsid w:val="00162EBF"/>
    <w:rsid w:val="00163E84"/>
    <w:rsid w:val="00164CA0"/>
    <w:rsid w:val="001656E3"/>
    <w:rsid w:val="001657C0"/>
    <w:rsid w:val="00165B96"/>
    <w:rsid w:val="001668AA"/>
    <w:rsid w:val="001675B1"/>
    <w:rsid w:val="001677E5"/>
    <w:rsid w:val="0016789D"/>
    <w:rsid w:val="00167C87"/>
    <w:rsid w:val="001718A3"/>
    <w:rsid w:val="00171E6D"/>
    <w:rsid w:val="00172EE3"/>
    <w:rsid w:val="00173881"/>
    <w:rsid w:val="00173A9A"/>
    <w:rsid w:val="00173CBA"/>
    <w:rsid w:val="001752BE"/>
    <w:rsid w:val="00177E7E"/>
    <w:rsid w:val="0018011A"/>
    <w:rsid w:val="001818A8"/>
    <w:rsid w:val="00181E56"/>
    <w:rsid w:val="0018294E"/>
    <w:rsid w:val="00183274"/>
    <w:rsid w:val="0018356F"/>
    <w:rsid w:val="00185653"/>
    <w:rsid w:val="0018598B"/>
    <w:rsid w:val="00185D3B"/>
    <w:rsid w:val="001867A3"/>
    <w:rsid w:val="00186E58"/>
    <w:rsid w:val="001876C5"/>
    <w:rsid w:val="00187D68"/>
    <w:rsid w:val="00190155"/>
    <w:rsid w:val="001901AC"/>
    <w:rsid w:val="001906B5"/>
    <w:rsid w:val="00193B33"/>
    <w:rsid w:val="00194163"/>
    <w:rsid w:val="00194FEB"/>
    <w:rsid w:val="00196599"/>
    <w:rsid w:val="001970A4"/>
    <w:rsid w:val="0019718B"/>
    <w:rsid w:val="001974DE"/>
    <w:rsid w:val="00197AD1"/>
    <w:rsid w:val="001A1B8B"/>
    <w:rsid w:val="001A23C0"/>
    <w:rsid w:val="001A2554"/>
    <w:rsid w:val="001A3009"/>
    <w:rsid w:val="001A3383"/>
    <w:rsid w:val="001A415A"/>
    <w:rsid w:val="001A4611"/>
    <w:rsid w:val="001A57A8"/>
    <w:rsid w:val="001A63A6"/>
    <w:rsid w:val="001A7116"/>
    <w:rsid w:val="001A7835"/>
    <w:rsid w:val="001A7F11"/>
    <w:rsid w:val="001B0020"/>
    <w:rsid w:val="001B159A"/>
    <w:rsid w:val="001B3F87"/>
    <w:rsid w:val="001B4026"/>
    <w:rsid w:val="001B598C"/>
    <w:rsid w:val="001B75C6"/>
    <w:rsid w:val="001B76A6"/>
    <w:rsid w:val="001B797B"/>
    <w:rsid w:val="001C07F8"/>
    <w:rsid w:val="001C0EB9"/>
    <w:rsid w:val="001C1316"/>
    <w:rsid w:val="001C14A4"/>
    <w:rsid w:val="001C1B8F"/>
    <w:rsid w:val="001C2410"/>
    <w:rsid w:val="001C2867"/>
    <w:rsid w:val="001C2B78"/>
    <w:rsid w:val="001C2F59"/>
    <w:rsid w:val="001C3F91"/>
    <w:rsid w:val="001C4C0C"/>
    <w:rsid w:val="001C50C0"/>
    <w:rsid w:val="001C5300"/>
    <w:rsid w:val="001C6B8F"/>
    <w:rsid w:val="001C6C08"/>
    <w:rsid w:val="001D2056"/>
    <w:rsid w:val="001D2927"/>
    <w:rsid w:val="001D3CE4"/>
    <w:rsid w:val="001D405E"/>
    <w:rsid w:val="001D42D1"/>
    <w:rsid w:val="001D4DD9"/>
    <w:rsid w:val="001D5319"/>
    <w:rsid w:val="001D64E5"/>
    <w:rsid w:val="001D6E90"/>
    <w:rsid w:val="001D6EB8"/>
    <w:rsid w:val="001D73ED"/>
    <w:rsid w:val="001D7ACE"/>
    <w:rsid w:val="001D7C47"/>
    <w:rsid w:val="001E0485"/>
    <w:rsid w:val="001E05EC"/>
    <w:rsid w:val="001E0B72"/>
    <w:rsid w:val="001E1530"/>
    <w:rsid w:val="001E2533"/>
    <w:rsid w:val="001E2A82"/>
    <w:rsid w:val="001E2D25"/>
    <w:rsid w:val="001E3772"/>
    <w:rsid w:val="001E38F4"/>
    <w:rsid w:val="001E3B03"/>
    <w:rsid w:val="001E4809"/>
    <w:rsid w:val="001E4F4F"/>
    <w:rsid w:val="001E63CF"/>
    <w:rsid w:val="001E68AC"/>
    <w:rsid w:val="001E6917"/>
    <w:rsid w:val="001E702E"/>
    <w:rsid w:val="001F01C8"/>
    <w:rsid w:val="001F14DE"/>
    <w:rsid w:val="001F2739"/>
    <w:rsid w:val="001F27F4"/>
    <w:rsid w:val="001F3DC0"/>
    <w:rsid w:val="001F4C5A"/>
    <w:rsid w:val="001F4EA9"/>
    <w:rsid w:val="001F4F73"/>
    <w:rsid w:val="001F6425"/>
    <w:rsid w:val="001F6772"/>
    <w:rsid w:val="001F6F0D"/>
    <w:rsid w:val="001F7247"/>
    <w:rsid w:val="001F7421"/>
    <w:rsid w:val="00200195"/>
    <w:rsid w:val="00200341"/>
    <w:rsid w:val="00200B5F"/>
    <w:rsid w:val="00200CCB"/>
    <w:rsid w:val="0020131C"/>
    <w:rsid w:val="00201EEF"/>
    <w:rsid w:val="002023D8"/>
    <w:rsid w:val="0020335A"/>
    <w:rsid w:val="002047C8"/>
    <w:rsid w:val="002052B3"/>
    <w:rsid w:val="002058F9"/>
    <w:rsid w:val="00205EEE"/>
    <w:rsid w:val="00205F4A"/>
    <w:rsid w:val="00206A9A"/>
    <w:rsid w:val="00207336"/>
    <w:rsid w:val="00211499"/>
    <w:rsid w:val="002125D5"/>
    <w:rsid w:val="002128A5"/>
    <w:rsid w:val="00212ACD"/>
    <w:rsid w:val="00212B1F"/>
    <w:rsid w:val="00213D7C"/>
    <w:rsid w:val="00214513"/>
    <w:rsid w:val="00214EDD"/>
    <w:rsid w:val="002153D4"/>
    <w:rsid w:val="002155B7"/>
    <w:rsid w:val="002159F9"/>
    <w:rsid w:val="00215A5F"/>
    <w:rsid w:val="0021766A"/>
    <w:rsid w:val="00220C7A"/>
    <w:rsid w:val="00220E27"/>
    <w:rsid w:val="002225D3"/>
    <w:rsid w:val="00222A35"/>
    <w:rsid w:val="00222C17"/>
    <w:rsid w:val="0022301D"/>
    <w:rsid w:val="002236E1"/>
    <w:rsid w:val="00223E7D"/>
    <w:rsid w:val="00224B2C"/>
    <w:rsid w:val="00224BDB"/>
    <w:rsid w:val="00225F5B"/>
    <w:rsid w:val="0022763B"/>
    <w:rsid w:val="00227E55"/>
    <w:rsid w:val="00230149"/>
    <w:rsid w:val="00230150"/>
    <w:rsid w:val="002305C0"/>
    <w:rsid w:val="002315EE"/>
    <w:rsid w:val="002318DD"/>
    <w:rsid w:val="002321CA"/>
    <w:rsid w:val="00232AA0"/>
    <w:rsid w:val="00233879"/>
    <w:rsid w:val="0023394D"/>
    <w:rsid w:val="002346AB"/>
    <w:rsid w:val="00234CDF"/>
    <w:rsid w:val="00235451"/>
    <w:rsid w:val="00236B91"/>
    <w:rsid w:val="00236B9D"/>
    <w:rsid w:val="00237B20"/>
    <w:rsid w:val="00241411"/>
    <w:rsid w:val="002414C8"/>
    <w:rsid w:val="002424C0"/>
    <w:rsid w:val="002427EE"/>
    <w:rsid w:val="00242C6C"/>
    <w:rsid w:val="00242CAA"/>
    <w:rsid w:val="00244376"/>
    <w:rsid w:val="00244E07"/>
    <w:rsid w:val="00245D74"/>
    <w:rsid w:val="00246D03"/>
    <w:rsid w:val="00246DDF"/>
    <w:rsid w:val="002477E0"/>
    <w:rsid w:val="002512D8"/>
    <w:rsid w:val="00251DB3"/>
    <w:rsid w:val="00252354"/>
    <w:rsid w:val="00253E2B"/>
    <w:rsid w:val="002540B5"/>
    <w:rsid w:val="00255937"/>
    <w:rsid w:val="00255CB3"/>
    <w:rsid w:val="00256218"/>
    <w:rsid w:val="00256634"/>
    <w:rsid w:val="0025688C"/>
    <w:rsid w:val="002573CC"/>
    <w:rsid w:val="00257660"/>
    <w:rsid w:val="00260FAA"/>
    <w:rsid w:val="0026231B"/>
    <w:rsid w:val="00262338"/>
    <w:rsid w:val="00263938"/>
    <w:rsid w:val="0026418B"/>
    <w:rsid w:val="00264686"/>
    <w:rsid w:val="002646D7"/>
    <w:rsid w:val="00264F6F"/>
    <w:rsid w:val="00265262"/>
    <w:rsid w:val="002671D7"/>
    <w:rsid w:val="00271C00"/>
    <w:rsid w:val="0027259C"/>
    <w:rsid w:val="00272F03"/>
    <w:rsid w:val="00273543"/>
    <w:rsid w:val="00273EDC"/>
    <w:rsid w:val="00274C82"/>
    <w:rsid w:val="00274ED3"/>
    <w:rsid w:val="00275172"/>
    <w:rsid w:val="002752F3"/>
    <w:rsid w:val="0027654D"/>
    <w:rsid w:val="002768B2"/>
    <w:rsid w:val="00277B40"/>
    <w:rsid w:val="002802B2"/>
    <w:rsid w:val="0028067D"/>
    <w:rsid w:val="00281034"/>
    <w:rsid w:val="002810DF"/>
    <w:rsid w:val="002812AB"/>
    <w:rsid w:val="002816D8"/>
    <w:rsid w:val="002817C2"/>
    <w:rsid w:val="002817C4"/>
    <w:rsid w:val="00281FA1"/>
    <w:rsid w:val="0028273D"/>
    <w:rsid w:val="00282A8C"/>
    <w:rsid w:val="00282FD6"/>
    <w:rsid w:val="00285432"/>
    <w:rsid w:val="002854EE"/>
    <w:rsid w:val="0028565C"/>
    <w:rsid w:val="0028626F"/>
    <w:rsid w:val="0028680F"/>
    <w:rsid w:val="002869B0"/>
    <w:rsid w:val="002875DE"/>
    <w:rsid w:val="00287882"/>
    <w:rsid w:val="00287E07"/>
    <w:rsid w:val="0029094A"/>
    <w:rsid w:val="00290EB3"/>
    <w:rsid w:val="00290FBA"/>
    <w:rsid w:val="00292217"/>
    <w:rsid w:val="002927E7"/>
    <w:rsid w:val="00292846"/>
    <w:rsid w:val="00292A90"/>
    <w:rsid w:val="00293023"/>
    <w:rsid w:val="00293068"/>
    <w:rsid w:val="00293727"/>
    <w:rsid w:val="00293EE9"/>
    <w:rsid w:val="00294C05"/>
    <w:rsid w:val="00295558"/>
    <w:rsid w:val="00297130"/>
    <w:rsid w:val="002971D6"/>
    <w:rsid w:val="002A13BD"/>
    <w:rsid w:val="002A13FE"/>
    <w:rsid w:val="002A17B6"/>
    <w:rsid w:val="002A1918"/>
    <w:rsid w:val="002A1C85"/>
    <w:rsid w:val="002A2E31"/>
    <w:rsid w:val="002A2F08"/>
    <w:rsid w:val="002A3641"/>
    <w:rsid w:val="002A3C13"/>
    <w:rsid w:val="002A3E6F"/>
    <w:rsid w:val="002A495F"/>
    <w:rsid w:val="002A4AD3"/>
    <w:rsid w:val="002A4F95"/>
    <w:rsid w:val="002A5947"/>
    <w:rsid w:val="002A5CE3"/>
    <w:rsid w:val="002A6B4B"/>
    <w:rsid w:val="002A706F"/>
    <w:rsid w:val="002A70EA"/>
    <w:rsid w:val="002A7363"/>
    <w:rsid w:val="002A7F43"/>
    <w:rsid w:val="002B0508"/>
    <w:rsid w:val="002B0AF6"/>
    <w:rsid w:val="002B0BB7"/>
    <w:rsid w:val="002B109F"/>
    <w:rsid w:val="002B2433"/>
    <w:rsid w:val="002B3229"/>
    <w:rsid w:val="002B365E"/>
    <w:rsid w:val="002B44DD"/>
    <w:rsid w:val="002B489A"/>
    <w:rsid w:val="002B5189"/>
    <w:rsid w:val="002B567F"/>
    <w:rsid w:val="002B5726"/>
    <w:rsid w:val="002B5C1A"/>
    <w:rsid w:val="002B6341"/>
    <w:rsid w:val="002B65DA"/>
    <w:rsid w:val="002B66EB"/>
    <w:rsid w:val="002B7495"/>
    <w:rsid w:val="002C0526"/>
    <w:rsid w:val="002C0673"/>
    <w:rsid w:val="002C1717"/>
    <w:rsid w:val="002C17F3"/>
    <w:rsid w:val="002C27A8"/>
    <w:rsid w:val="002C29FF"/>
    <w:rsid w:val="002C302C"/>
    <w:rsid w:val="002C333E"/>
    <w:rsid w:val="002C36C8"/>
    <w:rsid w:val="002C399F"/>
    <w:rsid w:val="002C408E"/>
    <w:rsid w:val="002C4CC5"/>
    <w:rsid w:val="002C51A0"/>
    <w:rsid w:val="002C63D2"/>
    <w:rsid w:val="002C6ED3"/>
    <w:rsid w:val="002C74E7"/>
    <w:rsid w:val="002C7971"/>
    <w:rsid w:val="002D04AD"/>
    <w:rsid w:val="002D0584"/>
    <w:rsid w:val="002D06F7"/>
    <w:rsid w:val="002D077E"/>
    <w:rsid w:val="002D09A1"/>
    <w:rsid w:val="002D0D9E"/>
    <w:rsid w:val="002D1762"/>
    <w:rsid w:val="002D295B"/>
    <w:rsid w:val="002D2E2A"/>
    <w:rsid w:val="002D2F78"/>
    <w:rsid w:val="002D340D"/>
    <w:rsid w:val="002D38D7"/>
    <w:rsid w:val="002D4274"/>
    <w:rsid w:val="002D5295"/>
    <w:rsid w:val="002D52BF"/>
    <w:rsid w:val="002D5F27"/>
    <w:rsid w:val="002D68FA"/>
    <w:rsid w:val="002D6A3B"/>
    <w:rsid w:val="002D6B9F"/>
    <w:rsid w:val="002D747F"/>
    <w:rsid w:val="002D765A"/>
    <w:rsid w:val="002D7ECA"/>
    <w:rsid w:val="002E0141"/>
    <w:rsid w:val="002E09DD"/>
    <w:rsid w:val="002E0B5D"/>
    <w:rsid w:val="002E0B76"/>
    <w:rsid w:val="002E1495"/>
    <w:rsid w:val="002E158C"/>
    <w:rsid w:val="002E1B26"/>
    <w:rsid w:val="002E2712"/>
    <w:rsid w:val="002E2900"/>
    <w:rsid w:val="002E38EC"/>
    <w:rsid w:val="002E3C0D"/>
    <w:rsid w:val="002E43EC"/>
    <w:rsid w:val="002E4727"/>
    <w:rsid w:val="002E5B3C"/>
    <w:rsid w:val="002E672B"/>
    <w:rsid w:val="002E79D8"/>
    <w:rsid w:val="002E7A79"/>
    <w:rsid w:val="002F037B"/>
    <w:rsid w:val="002F18FB"/>
    <w:rsid w:val="002F194A"/>
    <w:rsid w:val="002F19F3"/>
    <w:rsid w:val="002F1CBE"/>
    <w:rsid w:val="002F20CE"/>
    <w:rsid w:val="002F22D0"/>
    <w:rsid w:val="002F2C6E"/>
    <w:rsid w:val="002F3C88"/>
    <w:rsid w:val="002F4067"/>
    <w:rsid w:val="002F4217"/>
    <w:rsid w:val="002F47EB"/>
    <w:rsid w:val="002F69A6"/>
    <w:rsid w:val="002F7339"/>
    <w:rsid w:val="002F7461"/>
    <w:rsid w:val="00300337"/>
    <w:rsid w:val="0030069A"/>
    <w:rsid w:val="00301A16"/>
    <w:rsid w:val="003025E2"/>
    <w:rsid w:val="00305BC8"/>
    <w:rsid w:val="00306684"/>
    <w:rsid w:val="00306D24"/>
    <w:rsid w:val="003075E3"/>
    <w:rsid w:val="00307712"/>
    <w:rsid w:val="00307CCF"/>
    <w:rsid w:val="00310292"/>
    <w:rsid w:val="003106F7"/>
    <w:rsid w:val="00310E4D"/>
    <w:rsid w:val="0031404A"/>
    <w:rsid w:val="00314B7C"/>
    <w:rsid w:val="00314E49"/>
    <w:rsid w:val="00315445"/>
    <w:rsid w:val="003160C0"/>
    <w:rsid w:val="00316EA2"/>
    <w:rsid w:val="00317183"/>
    <w:rsid w:val="00317352"/>
    <w:rsid w:val="003204AE"/>
    <w:rsid w:val="003208EF"/>
    <w:rsid w:val="00320DB6"/>
    <w:rsid w:val="0032213D"/>
    <w:rsid w:val="003230D0"/>
    <w:rsid w:val="00323F34"/>
    <w:rsid w:val="00324249"/>
    <w:rsid w:val="00324846"/>
    <w:rsid w:val="003249FC"/>
    <w:rsid w:val="00324ABD"/>
    <w:rsid w:val="00324BC8"/>
    <w:rsid w:val="00324D9B"/>
    <w:rsid w:val="00325DED"/>
    <w:rsid w:val="003261F3"/>
    <w:rsid w:val="0032697D"/>
    <w:rsid w:val="00327222"/>
    <w:rsid w:val="003272A6"/>
    <w:rsid w:val="003273CB"/>
    <w:rsid w:val="0033000C"/>
    <w:rsid w:val="0033009C"/>
    <w:rsid w:val="00330848"/>
    <w:rsid w:val="0033125E"/>
    <w:rsid w:val="003324FF"/>
    <w:rsid w:val="0033290B"/>
    <w:rsid w:val="00333B22"/>
    <w:rsid w:val="00333D62"/>
    <w:rsid w:val="00334F59"/>
    <w:rsid w:val="0033588E"/>
    <w:rsid w:val="00335B5A"/>
    <w:rsid w:val="00336913"/>
    <w:rsid w:val="0033718C"/>
    <w:rsid w:val="00337407"/>
    <w:rsid w:val="003404EB"/>
    <w:rsid w:val="00340E02"/>
    <w:rsid w:val="00340FDD"/>
    <w:rsid w:val="003410DD"/>
    <w:rsid w:val="00341459"/>
    <w:rsid w:val="003414FC"/>
    <w:rsid w:val="0034192A"/>
    <w:rsid w:val="00342D55"/>
    <w:rsid w:val="00342F3E"/>
    <w:rsid w:val="00343169"/>
    <w:rsid w:val="003434C7"/>
    <w:rsid w:val="00343E6E"/>
    <w:rsid w:val="003450C8"/>
    <w:rsid w:val="0034537D"/>
    <w:rsid w:val="003453B9"/>
    <w:rsid w:val="003462F9"/>
    <w:rsid w:val="00346395"/>
    <w:rsid w:val="00346459"/>
    <w:rsid w:val="0034782B"/>
    <w:rsid w:val="00351E5C"/>
    <w:rsid w:val="003526DB"/>
    <w:rsid w:val="00352839"/>
    <w:rsid w:val="00354615"/>
    <w:rsid w:val="00355284"/>
    <w:rsid w:val="0035580F"/>
    <w:rsid w:val="00355B59"/>
    <w:rsid w:val="00355EEE"/>
    <w:rsid w:val="00356190"/>
    <w:rsid w:val="00356366"/>
    <w:rsid w:val="0035703D"/>
    <w:rsid w:val="00357CB4"/>
    <w:rsid w:val="003604EE"/>
    <w:rsid w:val="0036111E"/>
    <w:rsid w:val="003618D5"/>
    <w:rsid w:val="0036286B"/>
    <w:rsid w:val="00363371"/>
    <w:rsid w:val="00363532"/>
    <w:rsid w:val="00363706"/>
    <w:rsid w:val="003638D3"/>
    <w:rsid w:val="00363C08"/>
    <w:rsid w:val="00363E71"/>
    <w:rsid w:val="0036468F"/>
    <w:rsid w:val="00364989"/>
    <w:rsid w:val="00364E9A"/>
    <w:rsid w:val="00365C2E"/>
    <w:rsid w:val="00366038"/>
    <w:rsid w:val="003664C0"/>
    <w:rsid w:val="00366769"/>
    <w:rsid w:val="00367110"/>
    <w:rsid w:val="00367113"/>
    <w:rsid w:val="0036775B"/>
    <w:rsid w:val="00367E04"/>
    <w:rsid w:val="003717D8"/>
    <w:rsid w:val="00372C3E"/>
    <w:rsid w:val="00372F00"/>
    <w:rsid w:val="00374031"/>
    <w:rsid w:val="00374569"/>
    <w:rsid w:val="003761F2"/>
    <w:rsid w:val="00376927"/>
    <w:rsid w:val="00376A05"/>
    <w:rsid w:val="003774FE"/>
    <w:rsid w:val="00377B25"/>
    <w:rsid w:val="00377D83"/>
    <w:rsid w:val="003808B7"/>
    <w:rsid w:val="00380F1D"/>
    <w:rsid w:val="0038140C"/>
    <w:rsid w:val="00381872"/>
    <w:rsid w:val="0038387D"/>
    <w:rsid w:val="00384432"/>
    <w:rsid w:val="00384A06"/>
    <w:rsid w:val="003850C6"/>
    <w:rsid w:val="00385C10"/>
    <w:rsid w:val="00385C74"/>
    <w:rsid w:val="00385F3E"/>
    <w:rsid w:val="00386468"/>
    <w:rsid w:val="00386CE2"/>
    <w:rsid w:val="0038707D"/>
    <w:rsid w:val="003874E2"/>
    <w:rsid w:val="00387FC4"/>
    <w:rsid w:val="00390E30"/>
    <w:rsid w:val="00390EBF"/>
    <w:rsid w:val="00391C13"/>
    <w:rsid w:val="00391E48"/>
    <w:rsid w:val="00393ABE"/>
    <w:rsid w:val="0039458D"/>
    <w:rsid w:val="00394AF8"/>
    <w:rsid w:val="00394D61"/>
    <w:rsid w:val="00395416"/>
    <w:rsid w:val="00395444"/>
    <w:rsid w:val="00395AE7"/>
    <w:rsid w:val="003976DD"/>
    <w:rsid w:val="003A064B"/>
    <w:rsid w:val="003A128F"/>
    <w:rsid w:val="003A163C"/>
    <w:rsid w:val="003A1949"/>
    <w:rsid w:val="003A1D9D"/>
    <w:rsid w:val="003A1F5A"/>
    <w:rsid w:val="003A241A"/>
    <w:rsid w:val="003A2ECE"/>
    <w:rsid w:val="003A37C3"/>
    <w:rsid w:val="003A4252"/>
    <w:rsid w:val="003A43D5"/>
    <w:rsid w:val="003A4A71"/>
    <w:rsid w:val="003A4ADA"/>
    <w:rsid w:val="003A50B8"/>
    <w:rsid w:val="003A513F"/>
    <w:rsid w:val="003A539A"/>
    <w:rsid w:val="003A62A4"/>
    <w:rsid w:val="003A6536"/>
    <w:rsid w:val="003A70D5"/>
    <w:rsid w:val="003A7299"/>
    <w:rsid w:val="003A7476"/>
    <w:rsid w:val="003A7D86"/>
    <w:rsid w:val="003A7E15"/>
    <w:rsid w:val="003B0AA1"/>
    <w:rsid w:val="003B243D"/>
    <w:rsid w:val="003B304F"/>
    <w:rsid w:val="003B37C9"/>
    <w:rsid w:val="003B5164"/>
    <w:rsid w:val="003B569E"/>
    <w:rsid w:val="003B5D18"/>
    <w:rsid w:val="003B6B8E"/>
    <w:rsid w:val="003B6DFB"/>
    <w:rsid w:val="003B7651"/>
    <w:rsid w:val="003B795D"/>
    <w:rsid w:val="003B7B61"/>
    <w:rsid w:val="003C0647"/>
    <w:rsid w:val="003C26A6"/>
    <w:rsid w:val="003C26C1"/>
    <w:rsid w:val="003C2B5E"/>
    <w:rsid w:val="003C4094"/>
    <w:rsid w:val="003C45EA"/>
    <w:rsid w:val="003C5C11"/>
    <w:rsid w:val="003C6A5A"/>
    <w:rsid w:val="003C6AAD"/>
    <w:rsid w:val="003C6B77"/>
    <w:rsid w:val="003C70E0"/>
    <w:rsid w:val="003D0938"/>
    <w:rsid w:val="003D1B3C"/>
    <w:rsid w:val="003D1D4D"/>
    <w:rsid w:val="003D3644"/>
    <w:rsid w:val="003D37DD"/>
    <w:rsid w:val="003D3871"/>
    <w:rsid w:val="003D45DF"/>
    <w:rsid w:val="003D473F"/>
    <w:rsid w:val="003D47C6"/>
    <w:rsid w:val="003D5EB6"/>
    <w:rsid w:val="003D6487"/>
    <w:rsid w:val="003D669A"/>
    <w:rsid w:val="003D7E38"/>
    <w:rsid w:val="003D7EAC"/>
    <w:rsid w:val="003E068B"/>
    <w:rsid w:val="003E116D"/>
    <w:rsid w:val="003E21DD"/>
    <w:rsid w:val="003E2221"/>
    <w:rsid w:val="003E28F6"/>
    <w:rsid w:val="003E2A29"/>
    <w:rsid w:val="003E3289"/>
    <w:rsid w:val="003E379A"/>
    <w:rsid w:val="003E4824"/>
    <w:rsid w:val="003E482A"/>
    <w:rsid w:val="003E5063"/>
    <w:rsid w:val="003E52B0"/>
    <w:rsid w:val="003E64DC"/>
    <w:rsid w:val="003E6953"/>
    <w:rsid w:val="003E6B73"/>
    <w:rsid w:val="003E7A43"/>
    <w:rsid w:val="003F0B58"/>
    <w:rsid w:val="003F0D40"/>
    <w:rsid w:val="003F1E8B"/>
    <w:rsid w:val="003F2079"/>
    <w:rsid w:val="003F2236"/>
    <w:rsid w:val="003F27B7"/>
    <w:rsid w:val="003F2D02"/>
    <w:rsid w:val="003F391A"/>
    <w:rsid w:val="003F4051"/>
    <w:rsid w:val="003F4BD6"/>
    <w:rsid w:val="003F5812"/>
    <w:rsid w:val="003F64AC"/>
    <w:rsid w:val="003F6AA4"/>
    <w:rsid w:val="003F6EA1"/>
    <w:rsid w:val="003F732E"/>
    <w:rsid w:val="003F7A7C"/>
    <w:rsid w:val="0040007D"/>
    <w:rsid w:val="00400E4A"/>
    <w:rsid w:val="00402E9A"/>
    <w:rsid w:val="00403FA8"/>
    <w:rsid w:val="00404040"/>
    <w:rsid w:val="004041EE"/>
    <w:rsid w:val="00404213"/>
    <w:rsid w:val="004048AC"/>
    <w:rsid w:val="00404B8E"/>
    <w:rsid w:val="004068C2"/>
    <w:rsid w:val="00411B84"/>
    <w:rsid w:val="004121A1"/>
    <w:rsid w:val="0041313A"/>
    <w:rsid w:val="0041548E"/>
    <w:rsid w:val="00415E7F"/>
    <w:rsid w:val="00416C2A"/>
    <w:rsid w:val="00416CEC"/>
    <w:rsid w:val="0041787B"/>
    <w:rsid w:val="00420288"/>
    <w:rsid w:val="004214CA"/>
    <w:rsid w:val="00421C78"/>
    <w:rsid w:val="004224CE"/>
    <w:rsid w:val="004227CC"/>
    <w:rsid w:val="0042317D"/>
    <w:rsid w:val="00424715"/>
    <w:rsid w:val="00424A78"/>
    <w:rsid w:val="004252EC"/>
    <w:rsid w:val="004254DB"/>
    <w:rsid w:val="0042564E"/>
    <w:rsid w:val="00425C32"/>
    <w:rsid w:val="00427EEA"/>
    <w:rsid w:val="00431836"/>
    <w:rsid w:val="004321E6"/>
    <w:rsid w:val="00432338"/>
    <w:rsid w:val="0043278E"/>
    <w:rsid w:val="004336CB"/>
    <w:rsid w:val="00434A9B"/>
    <w:rsid w:val="004360AC"/>
    <w:rsid w:val="00436699"/>
    <w:rsid w:val="00436765"/>
    <w:rsid w:val="00436B83"/>
    <w:rsid w:val="00437B3F"/>
    <w:rsid w:val="00437F20"/>
    <w:rsid w:val="00440445"/>
    <w:rsid w:val="00441061"/>
    <w:rsid w:val="00441438"/>
    <w:rsid w:val="004414DF"/>
    <w:rsid w:val="00442D2E"/>
    <w:rsid w:val="00443891"/>
    <w:rsid w:val="004443B1"/>
    <w:rsid w:val="00444516"/>
    <w:rsid w:val="00444583"/>
    <w:rsid w:val="004445E0"/>
    <w:rsid w:val="004449F6"/>
    <w:rsid w:val="00444B6B"/>
    <w:rsid w:val="00444F7A"/>
    <w:rsid w:val="00445519"/>
    <w:rsid w:val="00446137"/>
    <w:rsid w:val="004467F5"/>
    <w:rsid w:val="004504A2"/>
    <w:rsid w:val="00450C70"/>
    <w:rsid w:val="00451A5E"/>
    <w:rsid w:val="004524F4"/>
    <w:rsid w:val="00453344"/>
    <w:rsid w:val="00454A5B"/>
    <w:rsid w:val="00454E76"/>
    <w:rsid w:val="00455602"/>
    <w:rsid w:val="00456BAE"/>
    <w:rsid w:val="00457080"/>
    <w:rsid w:val="00457319"/>
    <w:rsid w:val="00460891"/>
    <w:rsid w:val="00463045"/>
    <w:rsid w:val="0046307A"/>
    <w:rsid w:val="0046310A"/>
    <w:rsid w:val="004634ED"/>
    <w:rsid w:val="00463969"/>
    <w:rsid w:val="004643D8"/>
    <w:rsid w:val="00464E8B"/>
    <w:rsid w:val="00464FB2"/>
    <w:rsid w:val="00465C75"/>
    <w:rsid w:val="00466106"/>
    <w:rsid w:val="00466370"/>
    <w:rsid w:val="00466A16"/>
    <w:rsid w:val="00466CDC"/>
    <w:rsid w:val="0046745E"/>
    <w:rsid w:val="00467AC4"/>
    <w:rsid w:val="00471448"/>
    <w:rsid w:val="004725BC"/>
    <w:rsid w:val="00473078"/>
    <w:rsid w:val="004736BE"/>
    <w:rsid w:val="00473772"/>
    <w:rsid w:val="00474CE9"/>
    <w:rsid w:val="0047556D"/>
    <w:rsid w:val="00475789"/>
    <w:rsid w:val="00475DFE"/>
    <w:rsid w:val="00475FAB"/>
    <w:rsid w:val="00476170"/>
    <w:rsid w:val="004820B0"/>
    <w:rsid w:val="00482E2F"/>
    <w:rsid w:val="00483506"/>
    <w:rsid w:val="00483F18"/>
    <w:rsid w:val="004847FA"/>
    <w:rsid w:val="004848AF"/>
    <w:rsid w:val="00484FC6"/>
    <w:rsid w:val="00485481"/>
    <w:rsid w:val="004859B4"/>
    <w:rsid w:val="00485DD1"/>
    <w:rsid w:val="00486421"/>
    <w:rsid w:val="00486ACD"/>
    <w:rsid w:val="00487478"/>
    <w:rsid w:val="00487F2C"/>
    <w:rsid w:val="00490B9E"/>
    <w:rsid w:val="00492C65"/>
    <w:rsid w:val="00492E37"/>
    <w:rsid w:val="00493450"/>
    <w:rsid w:val="0049403F"/>
    <w:rsid w:val="00494323"/>
    <w:rsid w:val="00494349"/>
    <w:rsid w:val="00494444"/>
    <w:rsid w:val="00494485"/>
    <w:rsid w:val="00495B01"/>
    <w:rsid w:val="00495B4D"/>
    <w:rsid w:val="00495F1B"/>
    <w:rsid w:val="00496427"/>
    <w:rsid w:val="00496C95"/>
    <w:rsid w:val="00497C34"/>
    <w:rsid w:val="004A0211"/>
    <w:rsid w:val="004A0493"/>
    <w:rsid w:val="004A0F27"/>
    <w:rsid w:val="004A0F37"/>
    <w:rsid w:val="004A0F68"/>
    <w:rsid w:val="004A2EDE"/>
    <w:rsid w:val="004A3608"/>
    <w:rsid w:val="004A4473"/>
    <w:rsid w:val="004A4FBD"/>
    <w:rsid w:val="004A547B"/>
    <w:rsid w:val="004A7810"/>
    <w:rsid w:val="004A7E93"/>
    <w:rsid w:val="004B0BD4"/>
    <w:rsid w:val="004B19A7"/>
    <w:rsid w:val="004B1C7F"/>
    <w:rsid w:val="004B3187"/>
    <w:rsid w:val="004B3590"/>
    <w:rsid w:val="004B3853"/>
    <w:rsid w:val="004B3CFB"/>
    <w:rsid w:val="004B48DE"/>
    <w:rsid w:val="004B495A"/>
    <w:rsid w:val="004B52F6"/>
    <w:rsid w:val="004B5D6B"/>
    <w:rsid w:val="004B72B4"/>
    <w:rsid w:val="004B76F8"/>
    <w:rsid w:val="004B788E"/>
    <w:rsid w:val="004C0C39"/>
    <w:rsid w:val="004C1134"/>
    <w:rsid w:val="004C178D"/>
    <w:rsid w:val="004C1FA6"/>
    <w:rsid w:val="004C26CE"/>
    <w:rsid w:val="004C3AB5"/>
    <w:rsid w:val="004C4AAC"/>
    <w:rsid w:val="004C50E1"/>
    <w:rsid w:val="004C5216"/>
    <w:rsid w:val="004C53E0"/>
    <w:rsid w:val="004C5CFD"/>
    <w:rsid w:val="004C6FAF"/>
    <w:rsid w:val="004D12C0"/>
    <w:rsid w:val="004D1345"/>
    <w:rsid w:val="004D16B5"/>
    <w:rsid w:val="004D18EA"/>
    <w:rsid w:val="004D3231"/>
    <w:rsid w:val="004D3713"/>
    <w:rsid w:val="004D3C9C"/>
    <w:rsid w:val="004D43F6"/>
    <w:rsid w:val="004D4665"/>
    <w:rsid w:val="004D4D47"/>
    <w:rsid w:val="004D5485"/>
    <w:rsid w:val="004D55E2"/>
    <w:rsid w:val="004D55F6"/>
    <w:rsid w:val="004D6254"/>
    <w:rsid w:val="004D7B33"/>
    <w:rsid w:val="004D7C1E"/>
    <w:rsid w:val="004D7E99"/>
    <w:rsid w:val="004E00CE"/>
    <w:rsid w:val="004E0F00"/>
    <w:rsid w:val="004E2AFF"/>
    <w:rsid w:val="004E2BDB"/>
    <w:rsid w:val="004E32BB"/>
    <w:rsid w:val="004E62C8"/>
    <w:rsid w:val="004E6477"/>
    <w:rsid w:val="004E6C18"/>
    <w:rsid w:val="004E70FE"/>
    <w:rsid w:val="004E728E"/>
    <w:rsid w:val="004F1D49"/>
    <w:rsid w:val="004F20BA"/>
    <w:rsid w:val="004F2546"/>
    <w:rsid w:val="004F2ACD"/>
    <w:rsid w:val="004F340A"/>
    <w:rsid w:val="004F3F34"/>
    <w:rsid w:val="004F4353"/>
    <w:rsid w:val="004F50AF"/>
    <w:rsid w:val="004F681D"/>
    <w:rsid w:val="004F6E14"/>
    <w:rsid w:val="005005F8"/>
    <w:rsid w:val="00500EBD"/>
    <w:rsid w:val="0050228C"/>
    <w:rsid w:val="00502857"/>
    <w:rsid w:val="00502F1E"/>
    <w:rsid w:val="00503F94"/>
    <w:rsid w:val="0050428A"/>
    <w:rsid w:val="005044A9"/>
    <w:rsid w:val="00505082"/>
    <w:rsid w:val="00505994"/>
    <w:rsid w:val="005059CA"/>
    <w:rsid w:val="00505FD4"/>
    <w:rsid w:val="0050612F"/>
    <w:rsid w:val="00506E25"/>
    <w:rsid w:val="005071D9"/>
    <w:rsid w:val="00507574"/>
    <w:rsid w:val="005109A7"/>
    <w:rsid w:val="00510C0E"/>
    <w:rsid w:val="0051132C"/>
    <w:rsid w:val="00511D7A"/>
    <w:rsid w:val="00511D8E"/>
    <w:rsid w:val="00513483"/>
    <w:rsid w:val="00514A55"/>
    <w:rsid w:val="00514C15"/>
    <w:rsid w:val="00514EF5"/>
    <w:rsid w:val="00515278"/>
    <w:rsid w:val="0051532E"/>
    <w:rsid w:val="00516389"/>
    <w:rsid w:val="005174EB"/>
    <w:rsid w:val="0051782D"/>
    <w:rsid w:val="0052087E"/>
    <w:rsid w:val="005209CF"/>
    <w:rsid w:val="00520F8D"/>
    <w:rsid w:val="005210AD"/>
    <w:rsid w:val="00521C70"/>
    <w:rsid w:val="005220E3"/>
    <w:rsid w:val="0052315E"/>
    <w:rsid w:val="00523E8B"/>
    <w:rsid w:val="005246CB"/>
    <w:rsid w:val="00525219"/>
    <w:rsid w:val="00525AAC"/>
    <w:rsid w:val="0052616E"/>
    <w:rsid w:val="00526910"/>
    <w:rsid w:val="00526C0E"/>
    <w:rsid w:val="00530ED3"/>
    <w:rsid w:val="005317B1"/>
    <w:rsid w:val="00531F42"/>
    <w:rsid w:val="005324D1"/>
    <w:rsid w:val="00532FCC"/>
    <w:rsid w:val="005333A2"/>
    <w:rsid w:val="0053372F"/>
    <w:rsid w:val="0053438E"/>
    <w:rsid w:val="005355EE"/>
    <w:rsid w:val="005357B0"/>
    <w:rsid w:val="00535B16"/>
    <w:rsid w:val="005366D0"/>
    <w:rsid w:val="00536B56"/>
    <w:rsid w:val="00537E27"/>
    <w:rsid w:val="00537F0E"/>
    <w:rsid w:val="00540A1B"/>
    <w:rsid w:val="00540B4D"/>
    <w:rsid w:val="00540FFA"/>
    <w:rsid w:val="00541985"/>
    <w:rsid w:val="005422AE"/>
    <w:rsid w:val="00542341"/>
    <w:rsid w:val="00542930"/>
    <w:rsid w:val="00542F6A"/>
    <w:rsid w:val="005435B3"/>
    <w:rsid w:val="00543DB0"/>
    <w:rsid w:val="0054470E"/>
    <w:rsid w:val="00544DE9"/>
    <w:rsid w:val="00545020"/>
    <w:rsid w:val="0054562F"/>
    <w:rsid w:val="005466F8"/>
    <w:rsid w:val="00550849"/>
    <w:rsid w:val="00550A57"/>
    <w:rsid w:val="00550D49"/>
    <w:rsid w:val="00550E6C"/>
    <w:rsid w:val="0055169C"/>
    <w:rsid w:val="00552183"/>
    <w:rsid w:val="005526B4"/>
    <w:rsid w:val="00552FE5"/>
    <w:rsid w:val="00553C8D"/>
    <w:rsid w:val="00554BF3"/>
    <w:rsid w:val="0055599B"/>
    <w:rsid w:val="00555F93"/>
    <w:rsid w:val="0055655F"/>
    <w:rsid w:val="0055657D"/>
    <w:rsid w:val="00556AA1"/>
    <w:rsid w:val="005571E0"/>
    <w:rsid w:val="00557B08"/>
    <w:rsid w:val="00557C40"/>
    <w:rsid w:val="00557E88"/>
    <w:rsid w:val="00560699"/>
    <w:rsid w:val="005607B1"/>
    <w:rsid w:val="00560D0D"/>
    <w:rsid w:val="00562101"/>
    <w:rsid w:val="00562768"/>
    <w:rsid w:val="00563060"/>
    <w:rsid w:val="00563D86"/>
    <w:rsid w:val="00564962"/>
    <w:rsid w:val="0056534E"/>
    <w:rsid w:val="00565622"/>
    <w:rsid w:val="00565E1C"/>
    <w:rsid w:val="00565FB1"/>
    <w:rsid w:val="005662FB"/>
    <w:rsid w:val="00567384"/>
    <w:rsid w:val="0056745D"/>
    <w:rsid w:val="00567781"/>
    <w:rsid w:val="00567933"/>
    <w:rsid w:val="00567A93"/>
    <w:rsid w:val="00567ECC"/>
    <w:rsid w:val="0057019D"/>
    <w:rsid w:val="00570CA7"/>
    <w:rsid w:val="00571220"/>
    <w:rsid w:val="005713B1"/>
    <w:rsid w:val="005726F9"/>
    <w:rsid w:val="00572E24"/>
    <w:rsid w:val="0057325A"/>
    <w:rsid w:val="0057387A"/>
    <w:rsid w:val="005742EF"/>
    <w:rsid w:val="005753F4"/>
    <w:rsid w:val="00575494"/>
    <w:rsid w:val="005760B0"/>
    <w:rsid w:val="00576289"/>
    <w:rsid w:val="0057658B"/>
    <w:rsid w:val="00577E5E"/>
    <w:rsid w:val="005809DD"/>
    <w:rsid w:val="00581A99"/>
    <w:rsid w:val="005829D9"/>
    <w:rsid w:val="00583090"/>
    <w:rsid w:val="005835F4"/>
    <w:rsid w:val="00583C37"/>
    <w:rsid w:val="00583EFE"/>
    <w:rsid w:val="005841A3"/>
    <w:rsid w:val="0058465A"/>
    <w:rsid w:val="005850F5"/>
    <w:rsid w:val="0058547C"/>
    <w:rsid w:val="0058638C"/>
    <w:rsid w:val="00590EAE"/>
    <w:rsid w:val="0059112A"/>
    <w:rsid w:val="005913EA"/>
    <w:rsid w:val="005921B5"/>
    <w:rsid w:val="00593216"/>
    <w:rsid w:val="005949F8"/>
    <w:rsid w:val="00594BC3"/>
    <w:rsid w:val="00595E02"/>
    <w:rsid w:val="00596CA7"/>
    <w:rsid w:val="00596DC8"/>
    <w:rsid w:val="00596E16"/>
    <w:rsid w:val="00597DA2"/>
    <w:rsid w:val="005A08B0"/>
    <w:rsid w:val="005A0E16"/>
    <w:rsid w:val="005A16A3"/>
    <w:rsid w:val="005A1C48"/>
    <w:rsid w:val="005A1D2B"/>
    <w:rsid w:val="005A215F"/>
    <w:rsid w:val="005A253A"/>
    <w:rsid w:val="005A3164"/>
    <w:rsid w:val="005A3E11"/>
    <w:rsid w:val="005A3E6A"/>
    <w:rsid w:val="005A4F19"/>
    <w:rsid w:val="005A5195"/>
    <w:rsid w:val="005A6008"/>
    <w:rsid w:val="005A690E"/>
    <w:rsid w:val="005A72DE"/>
    <w:rsid w:val="005B0FFC"/>
    <w:rsid w:val="005B2F5E"/>
    <w:rsid w:val="005B4421"/>
    <w:rsid w:val="005B607E"/>
    <w:rsid w:val="005B63B8"/>
    <w:rsid w:val="005B69E0"/>
    <w:rsid w:val="005B7929"/>
    <w:rsid w:val="005C04BC"/>
    <w:rsid w:val="005C057A"/>
    <w:rsid w:val="005C0B97"/>
    <w:rsid w:val="005C0C23"/>
    <w:rsid w:val="005C1FDC"/>
    <w:rsid w:val="005C2343"/>
    <w:rsid w:val="005C25D1"/>
    <w:rsid w:val="005C3340"/>
    <w:rsid w:val="005C35A9"/>
    <w:rsid w:val="005C464B"/>
    <w:rsid w:val="005C5090"/>
    <w:rsid w:val="005C539A"/>
    <w:rsid w:val="005C59F9"/>
    <w:rsid w:val="005C5FCB"/>
    <w:rsid w:val="005C6044"/>
    <w:rsid w:val="005C661C"/>
    <w:rsid w:val="005C727F"/>
    <w:rsid w:val="005C7284"/>
    <w:rsid w:val="005C74A0"/>
    <w:rsid w:val="005D052C"/>
    <w:rsid w:val="005D1668"/>
    <w:rsid w:val="005D16FE"/>
    <w:rsid w:val="005D1957"/>
    <w:rsid w:val="005D1997"/>
    <w:rsid w:val="005D1A3C"/>
    <w:rsid w:val="005D1D7B"/>
    <w:rsid w:val="005D1FB4"/>
    <w:rsid w:val="005D22C5"/>
    <w:rsid w:val="005D2689"/>
    <w:rsid w:val="005D2BAD"/>
    <w:rsid w:val="005D3455"/>
    <w:rsid w:val="005D34B9"/>
    <w:rsid w:val="005D38CA"/>
    <w:rsid w:val="005D4084"/>
    <w:rsid w:val="005D44AF"/>
    <w:rsid w:val="005D4777"/>
    <w:rsid w:val="005D4C2B"/>
    <w:rsid w:val="005D518C"/>
    <w:rsid w:val="005D5584"/>
    <w:rsid w:val="005D57DE"/>
    <w:rsid w:val="005D6655"/>
    <w:rsid w:val="005D6873"/>
    <w:rsid w:val="005D6C75"/>
    <w:rsid w:val="005D7878"/>
    <w:rsid w:val="005E0F09"/>
    <w:rsid w:val="005E1161"/>
    <w:rsid w:val="005E17D7"/>
    <w:rsid w:val="005E33B8"/>
    <w:rsid w:val="005E43A0"/>
    <w:rsid w:val="005E5A17"/>
    <w:rsid w:val="005E5E62"/>
    <w:rsid w:val="005E762E"/>
    <w:rsid w:val="005E7953"/>
    <w:rsid w:val="005E7AD3"/>
    <w:rsid w:val="005E7E82"/>
    <w:rsid w:val="005E7F43"/>
    <w:rsid w:val="005F1620"/>
    <w:rsid w:val="005F2976"/>
    <w:rsid w:val="005F3051"/>
    <w:rsid w:val="005F3164"/>
    <w:rsid w:val="005F31FC"/>
    <w:rsid w:val="005F3E4D"/>
    <w:rsid w:val="005F4943"/>
    <w:rsid w:val="005F497E"/>
    <w:rsid w:val="005F57F0"/>
    <w:rsid w:val="005F5C96"/>
    <w:rsid w:val="005F6C28"/>
    <w:rsid w:val="005F6FAF"/>
    <w:rsid w:val="005F7052"/>
    <w:rsid w:val="005F7170"/>
    <w:rsid w:val="005F7AB6"/>
    <w:rsid w:val="005F7DD5"/>
    <w:rsid w:val="005F7E3C"/>
    <w:rsid w:val="00600FA8"/>
    <w:rsid w:val="00601986"/>
    <w:rsid w:val="006047C9"/>
    <w:rsid w:val="00605756"/>
    <w:rsid w:val="006060F6"/>
    <w:rsid w:val="006063DA"/>
    <w:rsid w:val="006065AA"/>
    <w:rsid w:val="00606C17"/>
    <w:rsid w:val="00606CE3"/>
    <w:rsid w:val="00607C68"/>
    <w:rsid w:val="00610BE8"/>
    <w:rsid w:val="00610F45"/>
    <w:rsid w:val="00611747"/>
    <w:rsid w:val="00611DD3"/>
    <w:rsid w:val="00611EF0"/>
    <w:rsid w:val="00612219"/>
    <w:rsid w:val="00612E04"/>
    <w:rsid w:val="00613A47"/>
    <w:rsid w:val="0061632A"/>
    <w:rsid w:val="006173A4"/>
    <w:rsid w:val="00617C44"/>
    <w:rsid w:val="00617EBA"/>
    <w:rsid w:val="00620139"/>
    <w:rsid w:val="006207F0"/>
    <w:rsid w:val="00622CE4"/>
    <w:rsid w:val="006234A7"/>
    <w:rsid w:val="00624AF9"/>
    <w:rsid w:val="0062537F"/>
    <w:rsid w:val="0062575F"/>
    <w:rsid w:val="00625917"/>
    <w:rsid w:val="00626AB7"/>
    <w:rsid w:val="00626D85"/>
    <w:rsid w:val="0062789F"/>
    <w:rsid w:val="006301BE"/>
    <w:rsid w:val="0063096E"/>
    <w:rsid w:val="00630A7F"/>
    <w:rsid w:val="006317BE"/>
    <w:rsid w:val="0063186B"/>
    <w:rsid w:val="00633349"/>
    <w:rsid w:val="006335C1"/>
    <w:rsid w:val="00633D61"/>
    <w:rsid w:val="0063402B"/>
    <w:rsid w:val="00634461"/>
    <w:rsid w:val="00636570"/>
    <w:rsid w:val="006371D7"/>
    <w:rsid w:val="006374FB"/>
    <w:rsid w:val="00637901"/>
    <w:rsid w:val="00637E1B"/>
    <w:rsid w:val="006402DF"/>
    <w:rsid w:val="00640A21"/>
    <w:rsid w:val="006414B6"/>
    <w:rsid w:val="0064164B"/>
    <w:rsid w:val="00641CFE"/>
    <w:rsid w:val="00641E1C"/>
    <w:rsid w:val="00642306"/>
    <w:rsid w:val="00643302"/>
    <w:rsid w:val="0064388A"/>
    <w:rsid w:val="00643B40"/>
    <w:rsid w:val="00644468"/>
    <w:rsid w:val="006449EB"/>
    <w:rsid w:val="006457EB"/>
    <w:rsid w:val="00645F5E"/>
    <w:rsid w:val="006460FC"/>
    <w:rsid w:val="006465A4"/>
    <w:rsid w:val="0064713B"/>
    <w:rsid w:val="006471D7"/>
    <w:rsid w:val="00647B1E"/>
    <w:rsid w:val="00647C55"/>
    <w:rsid w:val="0065008B"/>
    <w:rsid w:val="00653A3B"/>
    <w:rsid w:val="00653A95"/>
    <w:rsid w:val="00653FD9"/>
    <w:rsid w:val="00654C2C"/>
    <w:rsid w:val="00654D42"/>
    <w:rsid w:val="00655D1D"/>
    <w:rsid w:val="00656328"/>
    <w:rsid w:val="006601A1"/>
    <w:rsid w:val="00660279"/>
    <w:rsid w:val="006611C0"/>
    <w:rsid w:val="00661657"/>
    <w:rsid w:val="006622B9"/>
    <w:rsid w:val="0066281D"/>
    <w:rsid w:val="00662E1E"/>
    <w:rsid w:val="006632C1"/>
    <w:rsid w:val="0066371E"/>
    <w:rsid w:val="00664947"/>
    <w:rsid w:val="00665433"/>
    <w:rsid w:val="0066609B"/>
    <w:rsid w:val="0066633C"/>
    <w:rsid w:val="006674C1"/>
    <w:rsid w:val="0066750A"/>
    <w:rsid w:val="006679B3"/>
    <w:rsid w:val="00671C34"/>
    <w:rsid w:val="006724AD"/>
    <w:rsid w:val="00672BAB"/>
    <w:rsid w:val="0067314A"/>
    <w:rsid w:val="0067353C"/>
    <w:rsid w:val="00673D1E"/>
    <w:rsid w:val="00674616"/>
    <w:rsid w:val="00676048"/>
    <w:rsid w:val="00676B14"/>
    <w:rsid w:val="00676BEC"/>
    <w:rsid w:val="00676FBB"/>
    <w:rsid w:val="006779CF"/>
    <w:rsid w:val="00677A8F"/>
    <w:rsid w:val="00677F8A"/>
    <w:rsid w:val="00680758"/>
    <w:rsid w:val="00681A8E"/>
    <w:rsid w:val="006821E3"/>
    <w:rsid w:val="0068267E"/>
    <w:rsid w:val="0068310C"/>
    <w:rsid w:val="006838E8"/>
    <w:rsid w:val="00683AD6"/>
    <w:rsid w:val="006842AE"/>
    <w:rsid w:val="00684568"/>
    <w:rsid w:val="006858A1"/>
    <w:rsid w:val="00686A8B"/>
    <w:rsid w:val="00686DE0"/>
    <w:rsid w:val="00687396"/>
    <w:rsid w:val="00687ACE"/>
    <w:rsid w:val="0069012B"/>
    <w:rsid w:val="0069097D"/>
    <w:rsid w:val="00690D29"/>
    <w:rsid w:val="00691A4A"/>
    <w:rsid w:val="00691E2D"/>
    <w:rsid w:val="00691FF2"/>
    <w:rsid w:val="00692523"/>
    <w:rsid w:val="006953E1"/>
    <w:rsid w:val="0069551D"/>
    <w:rsid w:val="00695895"/>
    <w:rsid w:val="00695D5D"/>
    <w:rsid w:val="00695D5E"/>
    <w:rsid w:val="00697E44"/>
    <w:rsid w:val="006A074E"/>
    <w:rsid w:val="006A07B1"/>
    <w:rsid w:val="006A0D94"/>
    <w:rsid w:val="006A247C"/>
    <w:rsid w:val="006A3BCC"/>
    <w:rsid w:val="006A4FFE"/>
    <w:rsid w:val="006A5773"/>
    <w:rsid w:val="006A5804"/>
    <w:rsid w:val="006A58F0"/>
    <w:rsid w:val="006A622F"/>
    <w:rsid w:val="006A66DB"/>
    <w:rsid w:val="006A6715"/>
    <w:rsid w:val="006A7C3E"/>
    <w:rsid w:val="006B00AA"/>
    <w:rsid w:val="006B0372"/>
    <w:rsid w:val="006B0764"/>
    <w:rsid w:val="006B27E8"/>
    <w:rsid w:val="006B367D"/>
    <w:rsid w:val="006B3969"/>
    <w:rsid w:val="006B4467"/>
    <w:rsid w:val="006B4F40"/>
    <w:rsid w:val="006B5595"/>
    <w:rsid w:val="006B6C46"/>
    <w:rsid w:val="006B6E78"/>
    <w:rsid w:val="006B7467"/>
    <w:rsid w:val="006C0039"/>
    <w:rsid w:val="006C02AF"/>
    <w:rsid w:val="006C03AC"/>
    <w:rsid w:val="006C0A6A"/>
    <w:rsid w:val="006C0E9C"/>
    <w:rsid w:val="006C0E9E"/>
    <w:rsid w:val="006C1411"/>
    <w:rsid w:val="006C1518"/>
    <w:rsid w:val="006C1927"/>
    <w:rsid w:val="006C1C9E"/>
    <w:rsid w:val="006C223E"/>
    <w:rsid w:val="006C2585"/>
    <w:rsid w:val="006C3C4E"/>
    <w:rsid w:val="006C4008"/>
    <w:rsid w:val="006C452B"/>
    <w:rsid w:val="006C5931"/>
    <w:rsid w:val="006C73EF"/>
    <w:rsid w:val="006D1723"/>
    <w:rsid w:val="006D40DC"/>
    <w:rsid w:val="006D4BD7"/>
    <w:rsid w:val="006D5B1F"/>
    <w:rsid w:val="006D5D3F"/>
    <w:rsid w:val="006D60ED"/>
    <w:rsid w:val="006D63A7"/>
    <w:rsid w:val="006D68F8"/>
    <w:rsid w:val="006D7B67"/>
    <w:rsid w:val="006D7F7D"/>
    <w:rsid w:val="006E1166"/>
    <w:rsid w:val="006E23DF"/>
    <w:rsid w:val="006E2794"/>
    <w:rsid w:val="006E3483"/>
    <w:rsid w:val="006E4975"/>
    <w:rsid w:val="006E596E"/>
    <w:rsid w:val="006E5E8B"/>
    <w:rsid w:val="006E5EAA"/>
    <w:rsid w:val="006E602A"/>
    <w:rsid w:val="006E62D7"/>
    <w:rsid w:val="006E6648"/>
    <w:rsid w:val="006E6CB6"/>
    <w:rsid w:val="006E6CC5"/>
    <w:rsid w:val="006E740F"/>
    <w:rsid w:val="006E789E"/>
    <w:rsid w:val="006F0116"/>
    <w:rsid w:val="006F011B"/>
    <w:rsid w:val="006F033F"/>
    <w:rsid w:val="006F0427"/>
    <w:rsid w:val="006F1C29"/>
    <w:rsid w:val="006F24D8"/>
    <w:rsid w:val="006F2D4D"/>
    <w:rsid w:val="006F33B8"/>
    <w:rsid w:val="006F4046"/>
    <w:rsid w:val="006F4C9C"/>
    <w:rsid w:val="006F515F"/>
    <w:rsid w:val="006F57EE"/>
    <w:rsid w:val="006F5805"/>
    <w:rsid w:val="006F640F"/>
    <w:rsid w:val="006F7379"/>
    <w:rsid w:val="006F762A"/>
    <w:rsid w:val="006F7DAF"/>
    <w:rsid w:val="0070160F"/>
    <w:rsid w:val="00701B6B"/>
    <w:rsid w:val="0070384F"/>
    <w:rsid w:val="00703A9E"/>
    <w:rsid w:val="00703D6D"/>
    <w:rsid w:val="00704152"/>
    <w:rsid w:val="00704FB5"/>
    <w:rsid w:val="00705D8E"/>
    <w:rsid w:val="00705DC6"/>
    <w:rsid w:val="00705E8B"/>
    <w:rsid w:val="007068F3"/>
    <w:rsid w:val="00706B71"/>
    <w:rsid w:val="007071C7"/>
    <w:rsid w:val="007079BA"/>
    <w:rsid w:val="00707F48"/>
    <w:rsid w:val="007101FD"/>
    <w:rsid w:val="00710338"/>
    <w:rsid w:val="007124B1"/>
    <w:rsid w:val="0071277A"/>
    <w:rsid w:val="0071288A"/>
    <w:rsid w:val="00712EE5"/>
    <w:rsid w:val="00713287"/>
    <w:rsid w:val="007133FA"/>
    <w:rsid w:val="00713493"/>
    <w:rsid w:val="00713494"/>
    <w:rsid w:val="00714031"/>
    <w:rsid w:val="0071466E"/>
    <w:rsid w:val="00714A6C"/>
    <w:rsid w:val="00714CD3"/>
    <w:rsid w:val="00717125"/>
    <w:rsid w:val="00717705"/>
    <w:rsid w:val="00717706"/>
    <w:rsid w:val="00717790"/>
    <w:rsid w:val="007206A8"/>
    <w:rsid w:val="0072116D"/>
    <w:rsid w:val="0072226F"/>
    <w:rsid w:val="00723A8D"/>
    <w:rsid w:val="0072414B"/>
    <w:rsid w:val="00725B78"/>
    <w:rsid w:val="0072640E"/>
    <w:rsid w:val="00727082"/>
    <w:rsid w:val="00727345"/>
    <w:rsid w:val="007304A7"/>
    <w:rsid w:val="0073083E"/>
    <w:rsid w:val="00730966"/>
    <w:rsid w:val="00730B51"/>
    <w:rsid w:val="00730CEF"/>
    <w:rsid w:val="00730E7B"/>
    <w:rsid w:val="0073233C"/>
    <w:rsid w:val="00732D0C"/>
    <w:rsid w:val="00733EAD"/>
    <w:rsid w:val="00734F54"/>
    <w:rsid w:val="00735299"/>
    <w:rsid w:val="007369B1"/>
    <w:rsid w:val="00736E97"/>
    <w:rsid w:val="0073724E"/>
    <w:rsid w:val="00737AB0"/>
    <w:rsid w:val="00737C04"/>
    <w:rsid w:val="00741069"/>
    <w:rsid w:val="007412F4"/>
    <w:rsid w:val="0074245A"/>
    <w:rsid w:val="00742D5A"/>
    <w:rsid w:val="00743070"/>
    <w:rsid w:val="00743C36"/>
    <w:rsid w:val="00744110"/>
    <w:rsid w:val="00744595"/>
    <w:rsid w:val="00744842"/>
    <w:rsid w:val="00744CD2"/>
    <w:rsid w:val="00745151"/>
    <w:rsid w:val="00745D8B"/>
    <w:rsid w:val="00747A52"/>
    <w:rsid w:val="00750149"/>
    <w:rsid w:val="00750F1E"/>
    <w:rsid w:val="00751C12"/>
    <w:rsid w:val="007520EC"/>
    <w:rsid w:val="00752691"/>
    <w:rsid w:val="007528F2"/>
    <w:rsid w:val="00753BA8"/>
    <w:rsid w:val="00753D96"/>
    <w:rsid w:val="00754552"/>
    <w:rsid w:val="0075691B"/>
    <w:rsid w:val="00757187"/>
    <w:rsid w:val="007575C4"/>
    <w:rsid w:val="007604FA"/>
    <w:rsid w:val="007605DD"/>
    <w:rsid w:val="00761786"/>
    <w:rsid w:val="0076312D"/>
    <w:rsid w:val="007632C7"/>
    <w:rsid w:val="00763700"/>
    <w:rsid w:val="007639FF"/>
    <w:rsid w:val="0076427C"/>
    <w:rsid w:val="0076459D"/>
    <w:rsid w:val="00764772"/>
    <w:rsid w:val="00765217"/>
    <w:rsid w:val="0076534C"/>
    <w:rsid w:val="007659AA"/>
    <w:rsid w:val="00766E15"/>
    <w:rsid w:val="00770C60"/>
    <w:rsid w:val="007716D9"/>
    <w:rsid w:val="00771EDA"/>
    <w:rsid w:val="00771FA6"/>
    <w:rsid w:val="007724D1"/>
    <w:rsid w:val="0077266C"/>
    <w:rsid w:val="00772802"/>
    <w:rsid w:val="00773E4D"/>
    <w:rsid w:val="00775066"/>
    <w:rsid w:val="00775095"/>
    <w:rsid w:val="00775DD5"/>
    <w:rsid w:val="00776406"/>
    <w:rsid w:val="00776788"/>
    <w:rsid w:val="00776F95"/>
    <w:rsid w:val="0078005A"/>
    <w:rsid w:val="007817AF"/>
    <w:rsid w:val="00781859"/>
    <w:rsid w:val="00781B6F"/>
    <w:rsid w:val="00781D2D"/>
    <w:rsid w:val="00781F9C"/>
    <w:rsid w:val="00782DFD"/>
    <w:rsid w:val="00783673"/>
    <w:rsid w:val="00783BFB"/>
    <w:rsid w:val="00784424"/>
    <w:rsid w:val="00784F37"/>
    <w:rsid w:val="00785474"/>
    <w:rsid w:val="007858E3"/>
    <w:rsid w:val="00785E4C"/>
    <w:rsid w:val="00786688"/>
    <w:rsid w:val="00786A47"/>
    <w:rsid w:val="00786B39"/>
    <w:rsid w:val="00787B99"/>
    <w:rsid w:val="00787D2E"/>
    <w:rsid w:val="007900BC"/>
    <w:rsid w:val="00790BA8"/>
    <w:rsid w:val="00790F04"/>
    <w:rsid w:val="0079100C"/>
    <w:rsid w:val="007918A5"/>
    <w:rsid w:val="00792C8D"/>
    <w:rsid w:val="00793009"/>
    <w:rsid w:val="0079421C"/>
    <w:rsid w:val="00794F24"/>
    <w:rsid w:val="0079526D"/>
    <w:rsid w:val="00795A2C"/>
    <w:rsid w:val="007963DB"/>
    <w:rsid w:val="007972EB"/>
    <w:rsid w:val="00797390"/>
    <w:rsid w:val="00797519"/>
    <w:rsid w:val="007977C1"/>
    <w:rsid w:val="00797D8F"/>
    <w:rsid w:val="007A05B6"/>
    <w:rsid w:val="007A1C0A"/>
    <w:rsid w:val="007A1C59"/>
    <w:rsid w:val="007A2E45"/>
    <w:rsid w:val="007A2F91"/>
    <w:rsid w:val="007A45FB"/>
    <w:rsid w:val="007A5173"/>
    <w:rsid w:val="007A580E"/>
    <w:rsid w:val="007A5B41"/>
    <w:rsid w:val="007A630E"/>
    <w:rsid w:val="007A6D38"/>
    <w:rsid w:val="007B01A3"/>
    <w:rsid w:val="007B0620"/>
    <w:rsid w:val="007B0E1D"/>
    <w:rsid w:val="007B2281"/>
    <w:rsid w:val="007B23BB"/>
    <w:rsid w:val="007B30F2"/>
    <w:rsid w:val="007B3754"/>
    <w:rsid w:val="007B41DB"/>
    <w:rsid w:val="007B5792"/>
    <w:rsid w:val="007B58A1"/>
    <w:rsid w:val="007B58C9"/>
    <w:rsid w:val="007C102F"/>
    <w:rsid w:val="007C1922"/>
    <w:rsid w:val="007C1B71"/>
    <w:rsid w:val="007C21BC"/>
    <w:rsid w:val="007C21CE"/>
    <w:rsid w:val="007C29DB"/>
    <w:rsid w:val="007C2D9F"/>
    <w:rsid w:val="007C31E2"/>
    <w:rsid w:val="007C32E1"/>
    <w:rsid w:val="007C4979"/>
    <w:rsid w:val="007C4DB7"/>
    <w:rsid w:val="007C4DC0"/>
    <w:rsid w:val="007C4E65"/>
    <w:rsid w:val="007C5CE1"/>
    <w:rsid w:val="007C5E8B"/>
    <w:rsid w:val="007C6702"/>
    <w:rsid w:val="007C6924"/>
    <w:rsid w:val="007C6F85"/>
    <w:rsid w:val="007C7A3C"/>
    <w:rsid w:val="007D0569"/>
    <w:rsid w:val="007D1000"/>
    <w:rsid w:val="007D16B1"/>
    <w:rsid w:val="007D19E4"/>
    <w:rsid w:val="007D2707"/>
    <w:rsid w:val="007D2897"/>
    <w:rsid w:val="007D2926"/>
    <w:rsid w:val="007D2BA1"/>
    <w:rsid w:val="007D3539"/>
    <w:rsid w:val="007D3FB4"/>
    <w:rsid w:val="007D485C"/>
    <w:rsid w:val="007D7400"/>
    <w:rsid w:val="007D7761"/>
    <w:rsid w:val="007D79FF"/>
    <w:rsid w:val="007E00A9"/>
    <w:rsid w:val="007E02A7"/>
    <w:rsid w:val="007E090D"/>
    <w:rsid w:val="007E25B5"/>
    <w:rsid w:val="007E2A6D"/>
    <w:rsid w:val="007E2BAB"/>
    <w:rsid w:val="007E3BCA"/>
    <w:rsid w:val="007E468A"/>
    <w:rsid w:val="007E4F68"/>
    <w:rsid w:val="007E51A5"/>
    <w:rsid w:val="007E5512"/>
    <w:rsid w:val="007E5B0F"/>
    <w:rsid w:val="007E623B"/>
    <w:rsid w:val="007E67AB"/>
    <w:rsid w:val="007E75ED"/>
    <w:rsid w:val="007E7964"/>
    <w:rsid w:val="007E7F4C"/>
    <w:rsid w:val="007E7FE4"/>
    <w:rsid w:val="007F0DE4"/>
    <w:rsid w:val="007F1273"/>
    <w:rsid w:val="007F1496"/>
    <w:rsid w:val="007F3018"/>
    <w:rsid w:val="007F3F7F"/>
    <w:rsid w:val="007F6178"/>
    <w:rsid w:val="007F7EE2"/>
    <w:rsid w:val="00800290"/>
    <w:rsid w:val="00801DFA"/>
    <w:rsid w:val="00803F83"/>
    <w:rsid w:val="0080409E"/>
    <w:rsid w:val="00804191"/>
    <w:rsid w:val="008042F8"/>
    <w:rsid w:val="00804412"/>
    <w:rsid w:val="008060C3"/>
    <w:rsid w:val="008063A1"/>
    <w:rsid w:val="00806BAA"/>
    <w:rsid w:val="00806F06"/>
    <w:rsid w:val="00807F00"/>
    <w:rsid w:val="00810781"/>
    <w:rsid w:val="008109DE"/>
    <w:rsid w:val="00811B74"/>
    <w:rsid w:val="00812095"/>
    <w:rsid w:val="00812292"/>
    <w:rsid w:val="008126DB"/>
    <w:rsid w:val="008134BD"/>
    <w:rsid w:val="00814656"/>
    <w:rsid w:val="008163ED"/>
    <w:rsid w:val="00816A0A"/>
    <w:rsid w:val="008201AC"/>
    <w:rsid w:val="00820250"/>
    <w:rsid w:val="00820633"/>
    <w:rsid w:val="00820E45"/>
    <w:rsid w:val="0082103F"/>
    <w:rsid w:val="008212C9"/>
    <w:rsid w:val="008214F4"/>
    <w:rsid w:val="00821E2C"/>
    <w:rsid w:val="00821FB4"/>
    <w:rsid w:val="00822835"/>
    <w:rsid w:val="00823C38"/>
    <w:rsid w:val="00824281"/>
    <w:rsid w:val="00826758"/>
    <w:rsid w:val="0082776C"/>
    <w:rsid w:val="00827CE5"/>
    <w:rsid w:val="008303E5"/>
    <w:rsid w:val="00831309"/>
    <w:rsid w:val="0083151F"/>
    <w:rsid w:val="00831525"/>
    <w:rsid w:val="008325B6"/>
    <w:rsid w:val="008332C2"/>
    <w:rsid w:val="008332C4"/>
    <w:rsid w:val="0083486B"/>
    <w:rsid w:val="008353E0"/>
    <w:rsid w:val="008358AD"/>
    <w:rsid w:val="00835F70"/>
    <w:rsid w:val="008365F0"/>
    <w:rsid w:val="0083755E"/>
    <w:rsid w:val="00837575"/>
    <w:rsid w:val="00837896"/>
    <w:rsid w:val="0084076D"/>
    <w:rsid w:val="00841534"/>
    <w:rsid w:val="00841969"/>
    <w:rsid w:val="0084382C"/>
    <w:rsid w:val="008443ED"/>
    <w:rsid w:val="0084471D"/>
    <w:rsid w:val="00845E82"/>
    <w:rsid w:val="008462F1"/>
    <w:rsid w:val="0084642A"/>
    <w:rsid w:val="00846930"/>
    <w:rsid w:val="00847283"/>
    <w:rsid w:val="00847DFC"/>
    <w:rsid w:val="00850130"/>
    <w:rsid w:val="00850ACF"/>
    <w:rsid w:val="00850F53"/>
    <w:rsid w:val="00850FDE"/>
    <w:rsid w:val="0085129C"/>
    <w:rsid w:val="00851DFE"/>
    <w:rsid w:val="00851EDF"/>
    <w:rsid w:val="00851FA4"/>
    <w:rsid w:val="0085274B"/>
    <w:rsid w:val="008527F0"/>
    <w:rsid w:val="00852876"/>
    <w:rsid w:val="00853266"/>
    <w:rsid w:val="008543F5"/>
    <w:rsid w:val="00854DC5"/>
    <w:rsid w:val="00855004"/>
    <w:rsid w:val="008572C4"/>
    <w:rsid w:val="0085733E"/>
    <w:rsid w:val="008604A8"/>
    <w:rsid w:val="00860B3F"/>
    <w:rsid w:val="00861673"/>
    <w:rsid w:val="008616B8"/>
    <w:rsid w:val="00861AFA"/>
    <w:rsid w:val="00863C61"/>
    <w:rsid w:val="00864072"/>
    <w:rsid w:val="00865078"/>
    <w:rsid w:val="00865522"/>
    <w:rsid w:val="00865ADF"/>
    <w:rsid w:val="0086644C"/>
    <w:rsid w:val="008666B5"/>
    <w:rsid w:val="00866711"/>
    <w:rsid w:val="0086729B"/>
    <w:rsid w:val="008703B3"/>
    <w:rsid w:val="0087173E"/>
    <w:rsid w:val="00872696"/>
    <w:rsid w:val="008740F3"/>
    <w:rsid w:val="00875A9A"/>
    <w:rsid w:val="00875EF6"/>
    <w:rsid w:val="00876239"/>
    <w:rsid w:val="00876985"/>
    <w:rsid w:val="008800D4"/>
    <w:rsid w:val="0088060F"/>
    <w:rsid w:val="0088105B"/>
    <w:rsid w:val="00881130"/>
    <w:rsid w:val="00881600"/>
    <w:rsid w:val="0088208E"/>
    <w:rsid w:val="008823FE"/>
    <w:rsid w:val="00882A92"/>
    <w:rsid w:val="00882B34"/>
    <w:rsid w:val="00883780"/>
    <w:rsid w:val="00883B99"/>
    <w:rsid w:val="008845F2"/>
    <w:rsid w:val="00885066"/>
    <w:rsid w:val="008852AA"/>
    <w:rsid w:val="00885F85"/>
    <w:rsid w:val="008864B3"/>
    <w:rsid w:val="008865AB"/>
    <w:rsid w:val="0088665E"/>
    <w:rsid w:val="00887A52"/>
    <w:rsid w:val="00891A4A"/>
    <w:rsid w:val="008923C8"/>
    <w:rsid w:val="00893260"/>
    <w:rsid w:val="008932A8"/>
    <w:rsid w:val="00893320"/>
    <w:rsid w:val="00893640"/>
    <w:rsid w:val="008936CC"/>
    <w:rsid w:val="00893756"/>
    <w:rsid w:val="00894A9E"/>
    <w:rsid w:val="008950F6"/>
    <w:rsid w:val="00895307"/>
    <w:rsid w:val="00896815"/>
    <w:rsid w:val="00896E46"/>
    <w:rsid w:val="008A0744"/>
    <w:rsid w:val="008A0A6E"/>
    <w:rsid w:val="008A0D0F"/>
    <w:rsid w:val="008A26D7"/>
    <w:rsid w:val="008A2FB3"/>
    <w:rsid w:val="008A3047"/>
    <w:rsid w:val="008A3229"/>
    <w:rsid w:val="008A398B"/>
    <w:rsid w:val="008A3D98"/>
    <w:rsid w:val="008A4E16"/>
    <w:rsid w:val="008A5601"/>
    <w:rsid w:val="008A59AD"/>
    <w:rsid w:val="008A600B"/>
    <w:rsid w:val="008A60AA"/>
    <w:rsid w:val="008A7851"/>
    <w:rsid w:val="008B049D"/>
    <w:rsid w:val="008B0EEB"/>
    <w:rsid w:val="008B211B"/>
    <w:rsid w:val="008B42AB"/>
    <w:rsid w:val="008B431D"/>
    <w:rsid w:val="008B51FD"/>
    <w:rsid w:val="008B559F"/>
    <w:rsid w:val="008B7186"/>
    <w:rsid w:val="008B7599"/>
    <w:rsid w:val="008C0EA7"/>
    <w:rsid w:val="008C1663"/>
    <w:rsid w:val="008C1939"/>
    <w:rsid w:val="008C3396"/>
    <w:rsid w:val="008C4C89"/>
    <w:rsid w:val="008C4FC1"/>
    <w:rsid w:val="008C621C"/>
    <w:rsid w:val="008C697C"/>
    <w:rsid w:val="008C6B07"/>
    <w:rsid w:val="008C72BF"/>
    <w:rsid w:val="008C7464"/>
    <w:rsid w:val="008C75ED"/>
    <w:rsid w:val="008C7649"/>
    <w:rsid w:val="008C7B32"/>
    <w:rsid w:val="008D14CA"/>
    <w:rsid w:val="008D411E"/>
    <w:rsid w:val="008D4AE8"/>
    <w:rsid w:val="008D4C7C"/>
    <w:rsid w:val="008D6D25"/>
    <w:rsid w:val="008D76D2"/>
    <w:rsid w:val="008D7779"/>
    <w:rsid w:val="008E0944"/>
    <w:rsid w:val="008E0991"/>
    <w:rsid w:val="008E0D92"/>
    <w:rsid w:val="008E199D"/>
    <w:rsid w:val="008E2130"/>
    <w:rsid w:val="008E213A"/>
    <w:rsid w:val="008E338E"/>
    <w:rsid w:val="008E4018"/>
    <w:rsid w:val="008E412D"/>
    <w:rsid w:val="008E57FE"/>
    <w:rsid w:val="008E6655"/>
    <w:rsid w:val="008E7A40"/>
    <w:rsid w:val="008F092B"/>
    <w:rsid w:val="008F1089"/>
    <w:rsid w:val="008F13FD"/>
    <w:rsid w:val="008F2216"/>
    <w:rsid w:val="008F22EC"/>
    <w:rsid w:val="008F2665"/>
    <w:rsid w:val="008F41D3"/>
    <w:rsid w:val="008F507E"/>
    <w:rsid w:val="008F54AB"/>
    <w:rsid w:val="008F550B"/>
    <w:rsid w:val="008F5BCD"/>
    <w:rsid w:val="008F6376"/>
    <w:rsid w:val="008F63E8"/>
    <w:rsid w:val="008F79DB"/>
    <w:rsid w:val="00900996"/>
    <w:rsid w:val="00900CC2"/>
    <w:rsid w:val="00900FBD"/>
    <w:rsid w:val="009019FB"/>
    <w:rsid w:val="00903A63"/>
    <w:rsid w:val="00903B39"/>
    <w:rsid w:val="0090569C"/>
    <w:rsid w:val="00905B05"/>
    <w:rsid w:val="00906E56"/>
    <w:rsid w:val="0090753C"/>
    <w:rsid w:val="00907F44"/>
    <w:rsid w:val="009103D9"/>
    <w:rsid w:val="00910838"/>
    <w:rsid w:val="00911B66"/>
    <w:rsid w:val="00912A7E"/>
    <w:rsid w:val="0091350F"/>
    <w:rsid w:val="00914593"/>
    <w:rsid w:val="00915330"/>
    <w:rsid w:val="00915571"/>
    <w:rsid w:val="00915FEB"/>
    <w:rsid w:val="00916E69"/>
    <w:rsid w:val="00917525"/>
    <w:rsid w:val="0091777D"/>
    <w:rsid w:val="0092018E"/>
    <w:rsid w:val="0092057D"/>
    <w:rsid w:val="009209F5"/>
    <w:rsid w:val="00920D3F"/>
    <w:rsid w:val="009210CA"/>
    <w:rsid w:val="0092155F"/>
    <w:rsid w:val="009218DE"/>
    <w:rsid w:val="00922D00"/>
    <w:rsid w:val="00922F43"/>
    <w:rsid w:val="00923216"/>
    <w:rsid w:val="0092388E"/>
    <w:rsid w:val="00923F00"/>
    <w:rsid w:val="00923F17"/>
    <w:rsid w:val="009246DF"/>
    <w:rsid w:val="00924C91"/>
    <w:rsid w:val="00925348"/>
    <w:rsid w:val="009266DA"/>
    <w:rsid w:val="00927186"/>
    <w:rsid w:val="00927ECF"/>
    <w:rsid w:val="00930DE8"/>
    <w:rsid w:val="00931411"/>
    <w:rsid w:val="009318DD"/>
    <w:rsid w:val="00932013"/>
    <w:rsid w:val="00933012"/>
    <w:rsid w:val="00933981"/>
    <w:rsid w:val="00933B3A"/>
    <w:rsid w:val="00934437"/>
    <w:rsid w:val="00934B7E"/>
    <w:rsid w:val="00934D0F"/>
    <w:rsid w:val="00935413"/>
    <w:rsid w:val="00935AD4"/>
    <w:rsid w:val="00935F5D"/>
    <w:rsid w:val="00936597"/>
    <w:rsid w:val="009368E0"/>
    <w:rsid w:val="009373C9"/>
    <w:rsid w:val="009374D0"/>
    <w:rsid w:val="0094260B"/>
    <w:rsid w:val="00942661"/>
    <w:rsid w:val="00943ABE"/>
    <w:rsid w:val="00943E5C"/>
    <w:rsid w:val="009441BA"/>
    <w:rsid w:val="0094455F"/>
    <w:rsid w:val="00944576"/>
    <w:rsid w:val="00945307"/>
    <w:rsid w:val="0094558D"/>
    <w:rsid w:val="00945792"/>
    <w:rsid w:val="0094626D"/>
    <w:rsid w:val="0094657C"/>
    <w:rsid w:val="00946F2F"/>
    <w:rsid w:val="00946FCE"/>
    <w:rsid w:val="00947314"/>
    <w:rsid w:val="0094758C"/>
    <w:rsid w:val="009514CD"/>
    <w:rsid w:val="009515BC"/>
    <w:rsid w:val="00951F2C"/>
    <w:rsid w:val="00953ED0"/>
    <w:rsid w:val="0095492E"/>
    <w:rsid w:val="00955B2E"/>
    <w:rsid w:val="00955F7D"/>
    <w:rsid w:val="00956960"/>
    <w:rsid w:val="00956E51"/>
    <w:rsid w:val="00956EA6"/>
    <w:rsid w:val="0096034E"/>
    <w:rsid w:val="0096158C"/>
    <w:rsid w:val="00961D25"/>
    <w:rsid w:val="0096242F"/>
    <w:rsid w:val="009627DE"/>
    <w:rsid w:val="00962E3B"/>
    <w:rsid w:val="00962FF5"/>
    <w:rsid w:val="00963D0E"/>
    <w:rsid w:val="00964A26"/>
    <w:rsid w:val="00964A4E"/>
    <w:rsid w:val="00965B02"/>
    <w:rsid w:val="00965C07"/>
    <w:rsid w:val="00965D2D"/>
    <w:rsid w:val="00966356"/>
    <w:rsid w:val="00967213"/>
    <w:rsid w:val="009703F4"/>
    <w:rsid w:val="00971847"/>
    <w:rsid w:val="0097191E"/>
    <w:rsid w:val="009724C2"/>
    <w:rsid w:val="00972964"/>
    <w:rsid w:val="00973E32"/>
    <w:rsid w:val="00975713"/>
    <w:rsid w:val="00975CF1"/>
    <w:rsid w:val="00976881"/>
    <w:rsid w:val="0097762F"/>
    <w:rsid w:val="009806F8"/>
    <w:rsid w:val="00980AE1"/>
    <w:rsid w:val="00980B51"/>
    <w:rsid w:val="009816B8"/>
    <w:rsid w:val="00982A51"/>
    <w:rsid w:val="00982C77"/>
    <w:rsid w:val="00983B45"/>
    <w:rsid w:val="00984A9E"/>
    <w:rsid w:val="0098766F"/>
    <w:rsid w:val="00992BAE"/>
    <w:rsid w:val="0099376F"/>
    <w:rsid w:val="00993912"/>
    <w:rsid w:val="00994050"/>
    <w:rsid w:val="0099428C"/>
    <w:rsid w:val="00995711"/>
    <w:rsid w:val="00995947"/>
    <w:rsid w:val="009962CF"/>
    <w:rsid w:val="00996322"/>
    <w:rsid w:val="009965BF"/>
    <w:rsid w:val="009969D6"/>
    <w:rsid w:val="00996ADF"/>
    <w:rsid w:val="009A051F"/>
    <w:rsid w:val="009A4543"/>
    <w:rsid w:val="009A5DB1"/>
    <w:rsid w:val="009A6A66"/>
    <w:rsid w:val="009A6EFC"/>
    <w:rsid w:val="009A78BA"/>
    <w:rsid w:val="009A79FD"/>
    <w:rsid w:val="009A7C5A"/>
    <w:rsid w:val="009A7CB0"/>
    <w:rsid w:val="009A7E51"/>
    <w:rsid w:val="009B0294"/>
    <w:rsid w:val="009B0CB8"/>
    <w:rsid w:val="009B21B9"/>
    <w:rsid w:val="009B2F7B"/>
    <w:rsid w:val="009B4806"/>
    <w:rsid w:val="009B4CD0"/>
    <w:rsid w:val="009B4DA7"/>
    <w:rsid w:val="009B55B5"/>
    <w:rsid w:val="009B6154"/>
    <w:rsid w:val="009B727A"/>
    <w:rsid w:val="009B768E"/>
    <w:rsid w:val="009B799B"/>
    <w:rsid w:val="009C07B6"/>
    <w:rsid w:val="009C0E4D"/>
    <w:rsid w:val="009C0FAD"/>
    <w:rsid w:val="009C17DE"/>
    <w:rsid w:val="009C1FD6"/>
    <w:rsid w:val="009C210F"/>
    <w:rsid w:val="009C21C6"/>
    <w:rsid w:val="009C335C"/>
    <w:rsid w:val="009C383B"/>
    <w:rsid w:val="009C3A80"/>
    <w:rsid w:val="009C461A"/>
    <w:rsid w:val="009C5238"/>
    <w:rsid w:val="009C54F6"/>
    <w:rsid w:val="009C5BE9"/>
    <w:rsid w:val="009C67E4"/>
    <w:rsid w:val="009C6CA4"/>
    <w:rsid w:val="009C70E6"/>
    <w:rsid w:val="009C7E22"/>
    <w:rsid w:val="009C7E30"/>
    <w:rsid w:val="009D0113"/>
    <w:rsid w:val="009D12B4"/>
    <w:rsid w:val="009D1511"/>
    <w:rsid w:val="009D1E70"/>
    <w:rsid w:val="009D2135"/>
    <w:rsid w:val="009D2FA7"/>
    <w:rsid w:val="009D30BE"/>
    <w:rsid w:val="009D3B1E"/>
    <w:rsid w:val="009D4CAE"/>
    <w:rsid w:val="009D55F9"/>
    <w:rsid w:val="009D5A11"/>
    <w:rsid w:val="009D5EA6"/>
    <w:rsid w:val="009D67C8"/>
    <w:rsid w:val="009D7760"/>
    <w:rsid w:val="009D7863"/>
    <w:rsid w:val="009E16E6"/>
    <w:rsid w:val="009E2953"/>
    <w:rsid w:val="009E2FD3"/>
    <w:rsid w:val="009E30CE"/>
    <w:rsid w:val="009E49C4"/>
    <w:rsid w:val="009E56EF"/>
    <w:rsid w:val="009E77A9"/>
    <w:rsid w:val="009F04C3"/>
    <w:rsid w:val="009F0760"/>
    <w:rsid w:val="009F0888"/>
    <w:rsid w:val="009F1021"/>
    <w:rsid w:val="009F20C8"/>
    <w:rsid w:val="009F2F91"/>
    <w:rsid w:val="009F373C"/>
    <w:rsid w:val="009F3B29"/>
    <w:rsid w:val="009F4860"/>
    <w:rsid w:val="009F4B4E"/>
    <w:rsid w:val="009F50E1"/>
    <w:rsid w:val="009F71A7"/>
    <w:rsid w:val="009F7251"/>
    <w:rsid w:val="00A00057"/>
    <w:rsid w:val="00A00485"/>
    <w:rsid w:val="00A01398"/>
    <w:rsid w:val="00A01A5F"/>
    <w:rsid w:val="00A0213C"/>
    <w:rsid w:val="00A022E9"/>
    <w:rsid w:val="00A025F7"/>
    <w:rsid w:val="00A02C96"/>
    <w:rsid w:val="00A02E65"/>
    <w:rsid w:val="00A0340A"/>
    <w:rsid w:val="00A0440C"/>
    <w:rsid w:val="00A04A4C"/>
    <w:rsid w:val="00A04C23"/>
    <w:rsid w:val="00A053CA"/>
    <w:rsid w:val="00A0585F"/>
    <w:rsid w:val="00A0694A"/>
    <w:rsid w:val="00A073B6"/>
    <w:rsid w:val="00A104DA"/>
    <w:rsid w:val="00A10983"/>
    <w:rsid w:val="00A10A30"/>
    <w:rsid w:val="00A1137C"/>
    <w:rsid w:val="00A113D7"/>
    <w:rsid w:val="00A117FF"/>
    <w:rsid w:val="00A11826"/>
    <w:rsid w:val="00A11F0F"/>
    <w:rsid w:val="00A124EE"/>
    <w:rsid w:val="00A125C1"/>
    <w:rsid w:val="00A138D2"/>
    <w:rsid w:val="00A139C8"/>
    <w:rsid w:val="00A14884"/>
    <w:rsid w:val="00A152FE"/>
    <w:rsid w:val="00A153BF"/>
    <w:rsid w:val="00A16050"/>
    <w:rsid w:val="00A16126"/>
    <w:rsid w:val="00A1699E"/>
    <w:rsid w:val="00A17D11"/>
    <w:rsid w:val="00A17D3A"/>
    <w:rsid w:val="00A17D71"/>
    <w:rsid w:val="00A201C6"/>
    <w:rsid w:val="00A20EFA"/>
    <w:rsid w:val="00A211ED"/>
    <w:rsid w:val="00A24133"/>
    <w:rsid w:val="00A2428F"/>
    <w:rsid w:val="00A24B12"/>
    <w:rsid w:val="00A24B3F"/>
    <w:rsid w:val="00A262BF"/>
    <w:rsid w:val="00A264A2"/>
    <w:rsid w:val="00A26F47"/>
    <w:rsid w:val="00A277C2"/>
    <w:rsid w:val="00A27809"/>
    <w:rsid w:val="00A30533"/>
    <w:rsid w:val="00A306C3"/>
    <w:rsid w:val="00A30E69"/>
    <w:rsid w:val="00A317B0"/>
    <w:rsid w:val="00A32AC6"/>
    <w:rsid w:val="00A33351"/>
    <w:rsid w:val="00A3386E"/>
    <w:rsid w:val="00A34591"/>
    <w:rsid w:val="00A348FB"/>
    <w:rsid w:val="00A349DF"/>
    <w:rsid w:val="00A34E44"/>
    <w:rsid w:val="00A36409"/>
    <w:rsid w:val="00A3640F"/>
    <w:rsid w:val="00A3734F"/>
    <w:rsid w:val="00A373E0"/>
    <w:rsid w:val="00A37FD2"/>
    <w:rsid w:val="00A40CE2"/>
    <w:rsid w:val="00A41A20"/>
    <w:rsid w:val="00A44C62"/>
    <w:rsid w:val="00A44F34"/>
    <w:rsid w:val="00A45FE5"/>
    <w:rsid w:val="00A46828"/>
    <w:rsid w:val="00A46AF3"/>
    <w:rsid w:val="00A47176"/>
    <w:rsid w:val="00A475C5"/>
    <w:rsid w:val="00A4768C"/>
    <w:rsid w:val="00A47DB3"/>
    <w:rsid w:val="00A50206"/>
    <w:rsid w:val="00A50356"/>
    <w:rsid w:val="00A50A68"/>
    <w:rsid w:val="00A50D3B"/>
    <w:rsid w:val="00A518AA"/>
    <w:rsid w:val="00A51E34"/>
    <w:rsid w:val="00A524B7"/>
    <w:rsid w:val="00A5344F"/>
    <w:rsid w:val="00A5466A"/>
    <w:rsid w:val="00A54CE2"/>
    <w:rsid w:val="00A5602F"/>
    <w:rsid w:val="00A56348"/>
    <w:rsid w:val="00A56C12"/>
    <w:rsid w:val="00A56E96"/>
    <w:rsid w:val="00A5703F"/>
    <w:rsid w:val="00A57A75"/>
    <w:rsid w:val="00A57B6A"/>
    <w:rsid w:val="00A57D0D"/>
    <w:rsid w:val="00A57D39"/>
    <w:rsid w:val="00A57FFA"/>
    <w:rsid w:val="00A6316B"/>
    <w:rsid w:val="00A636AF"/>
    <w:rsid w:val="00A65316"/>
    <w:rsid w:val="00A65556"/>
    <w:rsid w:val="00A655E0"/>
    <w:rsid w:val="00A674FF"/>
    <w:rsid w:val="00A67C10"/>
    <w:rsid w:val="00A7039A"/>
    <w:rsid w:val="00A70F69"/>
    <w:rsid w:val="00A724FE"/>
    <w:rsid w:val="00A72611"/>
    <w:rsid w:val="00A7331D"/>
    <w:rsid w:val="00A73ABB"/>
    <w:rsid w:val="00A76D2C"/>
    <w:rsid w:val="00A77746"/>
    <w:rsid w:val="00A7793A"/>
    <w:rsid w:val="00A8037C"/>
    <w:rsid w:val="00A806AA"/>
    <w:rsid w:val="00A81429"/>
    <w:rsid w:val="00A81B3A"/>
    <w:rsid w:val="00A82747"/>
    <w:rsid w:val="00A8281C"/>
    <w:rsid w:val="00A831B9"/>
    <w:rsid w:val="00A83BF6"/>
    <w:rsid w:val="00A84B49"/>
    <w:rsid w:val="00A86D79"/>
    <w:rsid w:val="00A87113"/>
    <w:rsid w:val="00A8785D"/>
    <w:rsid w:val="00A87A1A"/>
    <w:rsid w:val="00A87EC9"/>
    <w:rsid w:val="00A87F31"/>
    <w:rsid w:val="00A87F4E"/>
    <w:rsid w:val="00A90D27"/>
    <w:rsid w:val="00A9103B"/>
    <w:rsid w:val="00A91284"/>
    <w:rsid w:val="00A916E5"/>
    <w:rsid w:val="00A918A7"/>
    <w:rsid w:val="00A92871"/>
    <w:rsid w:val="00A92E32"/>
    <w:rsid w:val="00A93F89"/>
    <w:rsid w:val="00A945C9"/>
    <w:rsid w:val="00A950D8"/>
    <w:rsid w:val="00A955EB"/>
    <w:rsid w:val="00A962C7"/>
    <w:rsid w:val="00A96AD7"/>
    <w:rsid w:val="00A96CCA"/>
    <w:rsid w:val="00A96E03"/>
    <w:rsid w:val="00A971C9"/>
    <w:rsid w:val="00AA0269"/>
    <w:rsid w:val="00AA0C42"/>
    <w:rsid w:val="00AA1F49"/>
    <w:rsid w:val="00AA2879"/>
    <w:rsid w:val="00AA2C1E"/>
    <w:rsid w:val="00AA320D"/>
    <w:rsid w:val="00AA3A2E"/>
    <w:rsid w:val="00AA3E24"/>
    <w:rsid w:val="00AA4099"/>
    <w:rsid w:val="00AA4A50"/>
    <w:rsid w:val="00AA57C9"/>
    <w:rsid w:val="00AA59B8"/>
    <w:rsid w:val="00AA6913"/>
    <w:rsid w:val="00AA6D22"/>
    <w:rsid w:val="00AA6FB1"/>
    <w:rsid w:val="00AB023D"/>
    <w:rsid w:val="00AB17F1"/>
    <w:rsid w:val="00AB2190"/>
    <w:rsid w:val="00AB237C"/>
    <w:rsid w:val="00AB345C"/>
    <w:rsid w:val="00AB39EB"/>
    <w:rsid w:val="00AB3F27"/>
    <w:rsid w:val="00AB3FD9"/>
    <w:rsid w:val="00AB4135"/>
    <w:rsid w:val="00AB4A16"/>
    <w:rsid w:val="00AB5DD8"/>
    <w:rsid w:val="00AB76F9"/>
    <w:rsid w:val="00AB774D"/>
    <w:rsid w:val="00AB7DE7"/>
    <w:rsid w:val="00AC16E3"/>
    <w:rsid w:val="00AC1BE7"/>
    <w:rsid w:val="00AC1F2D"/>
    <w:rsid w:val="00AC2023"/>
    <w:rsid w:val="00AC20B4"/>
    <w:rsid w:val="00AC275F"/>
    <w:rsid w:val="00AC30AD"/>
    <w:rsid w:val="00AC3954"/>
    <w:rsid w:val="00AC3BEF"/>
    <w:rsid w:val="00AC3D0D"/>
    <w:rsid w:val="00AC4163"/>
    <w:rsid w:val="00AC46A7"/>
    <w:rsid w:val="00AC49C9"/>
    <w:rsid w:val="00AC4CE6"/>
    <w:rsid w:val="00AC50A4"/>
    <w:rsid w:val="00AC520C"/>
    <w:rsid w:val="00AC5568"/>
    <w:rsid w:val="00AC5688"/>
    <w:rsid w:val="00AC5A95"/>
    <w:rsid w:val="00AC6074"/>
    <w:rsid w:val="00AC6457"/>
    <w:rsid w:val="00AC6471"/>
    <w:rsid w:val="00AC6ED0"/>
    <w:rsid w:val="00AC73DC"/>
    <w:rsid w:val="00AC776B"/>
    <w:rsid w:val="00AD1635"/>
    <w:rsid w:val="00AD1751"/>
    <w:rsid w:val="00AD1B19"/>
    <w:rsid w:val="00AD2227"/>
    <w:rsid w:val="00AD2B6E"/>
    <w:rsid w:val="00AD3443"/>
    <w:rsid w:val="00AD4B3C"/>
    <w:rsid w:val="00AD535B"/>
    <w:rsid w:val="00AD547F"/>
    <w:rsid w:val="00AD5A8B"/>
    <w:rsid w:val="00AD68A5"/>
    <w:rsid w:val="00AD7279"/>
    <w:rsid w:val="00AD74D2"/>
    <w:rsid w:val="00AD77E4"/>
    <w:rsid w:val="00AD79B3"/>
    <w:rsid w:val="00AE0408"/>
    <w:rsid w:val="00AE0446"/>
    <w:rsid w:val="00AE0948"/>
    <w:rsid w:val="00AE185D"/>
    <w:rsid w:val="00AE1BFE"/>
    <w:rsid w:val="00AE22AE"/>
    <w:rsid w:val="00AE302D"/>
    <w:rsid w:val="00AE3842"/>
    <w:rsid w:val="00AE3D83"/>
    <w:rsid w:val="00AE4374"/>
    <w:rsid w:val="00AE45A9"/>
    <w:rsid w:val="00AE485C"/>
    <w:rsid w:val="00AE4D2C"/>
    <w:rsid w:val="00AE6A66"/>
    <w:rsid w:val="00AE6EB8"/>
    <w:rsid w:val="00AE7D4F"/>
    <w:rsid w:val="00AE7FE4"/>
    <w:rsid w:val="00AF03E9"/>
    <w:rsid w:val="00AF0833"/>
    <w:rsid w:val="00AF0C8C"/>
    <w:rsid w:val="00AF1719"/>
    <w:rsid w:val="00AF17D3"/>
    <w:rsid w:val="00AF1A99"/>
    <w:rsid w:val="00AF1D77"/>
    <w:rsid w:val="00AF20C3"/>
    <w:rsid w:val="00AF38BA"/>
    <w:rsid w:val="00AF3BD0"/>
    <w:rsid w:val="00AF3FB8"/>
    <w:rsid w:val="00AF4F44"/>
    <w:rsid w:val="00AF4F67"/>
    <w:rsid w:val="00AF5811"/>
    <w:rsid w:val="00AF6509"/>
    <w:rsid w:val="00AF6F67"/>
    <w:rsid w:val="00AF7363"/>
    <w:rsid w:val="00AF760C"/>
    <w:rsid w:val="00B008A8"/>
    <w:rsid w:val="00B00BBE"/>
    <w:rsid w:val="00B018A8"/>
    <w:rsid w:val="00B0220F"/>
    <w:rsid w:val="00B0262B"/>
    <w:rsid w:val="00B0274C"/>
    <w:rsid w:val="00B042D8"/>
    <w:rsid w:val="00B0456E"/>
    <w:rsid w:val="00B045CF"/>
    <w:rsid w:val="00B04A84"/>
    <w:rsid w:val="00B04C52"/>
    <w:rsid w:val="00B0564E"/>
    <w:rsid w:val="00B05E15"/>
    <w:rsid w:val="00B06A05"/>
    <w:rsid w:val="00B06BF6"/>
    <w:rsid w:val="00B06F7F"/>
    <w:rsid w:val="00B07171"/>
    <w:rsid w:val="00B07EEF"/>
    <w:rsid w:val="00B100F0"/>
    <w:rsid w:val="00B10287"/>
    <w:rsid w:val="00B10DBE"/>
    <w:rsid w:val="00B12383"/>
    <w:rsid w:val="00B134E7"/>
    <w:rsid w:val="00B1402E"/>
    <w:rsid w:val="00B14307"/>
    <w:rsid w:val="00B1476B"/>
    <w:rsid w:val="00B14865"/>
    <w:rsid w:val="00B15541"/>
    <w:rsid w:val="00B15FA8"/>
    <w:rsid w:val="00B175CD"/>
    <w:rsid w:val="00B2003F"/>
    <w:rsid w:val="00B2048C"/>
    <w:rsid w:val="00B21CC9"/>
    <w:rsid w:val="00B21D50"/>
    <w:rsid w:val="00B2205B"/>
    <w:rsid w:val="00B22F9B"/>
    <w:rsid w:val="00B23747"/>
    <w:rsid w:val="00B24090"/>
    <w:rsid w:val="00B249F0"/>
    <w:rsid w:val="00B25299"/>
    <w:rsid w:val="00B257E3"/>
    <w:rsid w:val="00B260C7"/>
    <w:rsid w:val="00B261C2"/>
    <w:rsid w:val="00B26623"/>
    <w:rsid w:val="00B266BA"/>
    <w:rsid w:val="00B27494"/>
    <w:rsid w:val="00B279B9"/>
    <w:rsid w:val="00B27BFD"/>
    <w:rsid w:val="00B30F8D"/>
    <w:rsid w:val="00B31770"/>
    <w:rsid w:val="00B321A9"/>
    <w:rsid w:val="00B33146"/>
    <w:rsid w:val="00B33738"/>
    <w:rsid w:val="00B33996"/>
    <w:rsid w:val="00B342D3"/>
    <w:rsid w:val="00B34493"/>
    <w:rsid w:val="00B349E7"/>
    <w:rsid w:val="00B34B6D"/>
    <w:rsid w:val="00B34F48"/>
    <w:rsid w:val="00B35AF4"/>
    <w:rsid w:val="00B35FBC"/>
    <w:rsid w:val="00B36113"/>
    <w:rsid w:val="00B36E47"/>
    <w:rsid w:val="00B407DA"/>
    <w:rsid w:val="00B40F4D"/>
    <w:rsid w:val="00B41163"/>
    <w:rsid w:val="00B4253B"/>
    <w:rsid w:val="00B44B42"/>
    <w:rsid w:val="00B45F23"/>
    <w:rsid w:val="00B47077"/>
    <w:rsid w:val="00B51BA0"/>
    <w:rsid w:val="00B52401"/>
    <w:rsid w:val="00B532F2"/>
    <w:rsid w:val="00B535BD"/>
    <w:rsid w:val="00B53701"/>
    <w:rsid w:val="00B54121"/>
    <w:rsid w:val="00B56A26"/>
    <w:rsid w:val="00B60023"/>
    <w:rsid w:val="00B6110A"/>
    <w:rsid w:val="00B6176A"/>
    <w:rsid w:val="00B62194"/>
    <w:rsid w:val="00B62A89"/>
    <w:rsid w:val="00B6301A"/>
    <w:rsid w:val="00B6391D"/>
    <w:rsid w:val="00B64547"/>
    <w:rsid w:val="00B64583"/>
    <w:rsid w:val="00B64CAD"/>
    <w:rsid w:val="00B650CD"/>
    <w:rsid w:val="00B660EE"/>
    <w:rsid w:val="00B66102"/>
    <w:rsid w:val="00B66751"/>
    <w:rsid w:val="00B66933"/>
    <w:rsid w:val="00B674B7"/>
    <w:rsid w:val="00B675E8"/>
    <w:rsid w:val="00B676C9"/>
    <w:rsid w:val="00B67751"/>
    <w:rsid w:val="00B67AA6"/>
    <w:rsid w:val="00B7066C"/>
    <w:rsid w:val="00B717D8"/>
    <w:rsid w:val="00B71E13"/>
    <w:rsid w:val="00B72DF3"/>
    <w:rsid w:val="00B73F97"/>
    <w:rsid w:val="00B74097"/>
    <w:rsid w:val="00B74146"/>
    <w:rsid w:val="00B7552D"/>
    <w:rsid w:val="00B75822"/>
    <w:rsid w:val="00B758E5"/>
    <w:rsid w:val="00B75A2A"/>
    <w:rsid w:val="00B75CD2"/>
    <w:rsid w:val="00B76AE1"/>
    <w:rsid w:val="00B76F6C"/>
    <w:rsid w:val="00B8080B"/>
    <w:rsid w:val="00B8080C"/>
    <w:rsid w:val="00B80CF6"/>
    <w:rsid w:val="00B811EF"/>
    <w:rsid w:val="00B8163E"/>
    <w:rsid w:val="00B82684"/>
    <w:rsid w:val="00B841B5"/>
    <w:rsid w:val="00B8489D"/>
    <w:rsid w:val="00B86EF1"/>
    <w:rsid w:val="00B87A6B"/>
    <w:rsid w:val="00B90674"/>
    <w:rsid w:val="00B918F8"/>
    <w:rsid w:val="00B91923"/>
    <w:rsid w:val="00B9296A"/>
    <w:rsid w:val="00B92C9B"/>
    <w:rsid w:val="00B934E3"/>
    <w:rsid w:val="00B93E8A"/>
    <w:rsid w:val="00B94323"/>
    <w:rsid w:val="00B9515F"/>
    <w:rsid w:val="00B9566B"/>
    <w:rsid w:val="00B95711"/>
    <w:rsid w:val="00B95742"/>
    <w:rsid w:val="00B961B7"/>
    <w:rsid w:val="00B963D4"/>
    <w:rsid w:val="00B96666"/>
    <w:rsid w:val="00B97307"/>
    <w:rsid w:val="00B9743A"/>
    <w:rsid w:val="00B9772B"/>
    <w:rsid w:val="00B97C27"/>
    <w:rsid w:val="00BA04A5"/>
    <w:rsid w:val="00BA0BEA"/>
    <w:rsid w:val="00BA23DF"/>
    <w:rsid w:val="00BA2697"/>
    <w:rsid w:val="00BA2DEF"/>
    <w:rsid w:val="00BA42FB"/>
    <w:rsid w:val="00BA4768"/>
    <w:rsid w:val="00BA516F"/>
    <w:rsid w:val="00BA55AC"/>
    <w:rsid w:val="00BA628C"/>
    <w:rsid w:val="00BA6855"/>
    <w:rsid w:val="00BA7059"/>
    <w:rsid w:val="00BA7D12"/>
    <w:rsid w:val="00BB0051"/>
    <w:rsid w:val="00BB00B9"/>
    <w:rsid w:val="00BB02C6"/>
    <w:rsid w:val="00BB1082"/>
    <w:rsid w:val="00BB177F"/>
    <w:rsid w:val="00BB2127"/>
    <w:rsid w:val="00BB36A3"/>
    <w:rsid w:val="00BB3805"/>
    <w:rsid w:val="00BB52A5"/>
    <w:rsid w:val="00BB6740"/>
    <w:rsid w:val="00BB68C7"/>
    <w:rsid w:val="00BB72EF"/>
    <w:rsid w:val="00BB7EA1"/>
    <w:rsid w:val="00BB7F81"/>
    <w:rsid w:val="00BC08A4"/>
    <w:rsid w:val="00BC1787"/>
    <w:rsid w:val="00BC269B"/>
    <w:rsid w:val="00BC27D2"/>
    <w:rsid w:val="00BC33B0"/>
    <w:rsid w:val="00BC468F"/>
    <w:rsid w:val="00BD0A4A"/>
    <w:rsid w:val="00BD0D55"/>
    <w:rsid w:val="00BD1FCA"/>
    <w:rsid w:val="00BD265C"/>
    <w:rsid w:val="00BD35E1"/>
    <w:rsid w:val="00BD36BC"/>
    <w:rsid w:val="00BD3845"/>
    <w:rsid w:val="00BD3952"/>
    <w:rsid w:val="00BD3A33"/>
    <w:rsid w:val="00BD3FD8"/>
    <w:rsid w:val="00BD4EE7"/>
    <w:rsid w:val="00BD54FC"/>
    <w:rsid w:val="00BD580F"/>
    <w:rsid w:val="00BD63C3"/>
    <w:rsid w:val="00BD67CE"/>
    <w:rsid w:val="00BD75A1"/>
    <w:rsid w:val="00BD76A4"/>
    <w:rsid w:val="00BD776F"/>
    <w:rsid w:val="00BD7B33"/>
    <w:rsid w:val="00BE04E2"/>
    <w:rsid w:val="00BE0983"/>
    <w:rsid w:val="00BE13CC"/>
    <w:rsid w:val="00BE1C8A"/>
    <w:rsid w:val="00BE1D1E"/>
    <w:rsid w:val="00BE204D"/>
    <w:rsid w:val="00BE4857"/>
    <w:rsid w:val="00BE500A"/>
    <w:rsid w:val="00BE54DD"/>
    <w:rsid w:val="00BE5601"/>
    <w:rsid w:val="00BE5847"/>
    <w:rsid w:val="00BE5BE0"/>
    <w:rsid w:val="00BE6034"/>
    <w:rsid w:val="00BE639D"/>
    <w:rsid w:val="00BE656A"/>
    <w:rsid w:val="00BE70E8"/>
    <w:rsid w:val="00BF0299"/>
    <w:rsid w:val="00BF099B"/>
    <w:rsid w:val="00BF0C6A"/>
    <w:rsid w:val="00BF0E76"/>
    <w:rsid w:val="00BF19DC"/>
    <w:rsid w:val="00BF1D6B"/>
    <w:rsid w:val="00BF2B3E"/>
    <w:rsid w:val="00BF2DAF"/>
    <w:rsid w:val="00BF47DC"/>
    <w:rsid w:val="00BF4E1B"/>
    <w:rsid w:val="00BF504E"/>
    <w:rsid w:val="00BF55B7"/>
    <w:rsid w:val="00BF5EFB"/>
    <w:rsid w:val="00BF6D29"/>
    <w:rsid w:val="00BF6F87"/>
    <w:rsid w:val="00BF7166"/>
    <w:rsid w:val="00C003E9"/>
    <w:rsid w:val="00C00970"/>
    <w:rsid w:val="00C0165C"/>
    <w:rsid w:val="00C01778"/>
    <w:rsid w:val="00C03682"/>
    <w:rsid w:val="00C0480F"/>
    <w:rsid w:val="00C049D8"/>
    <w:rsid w:val="00C0555D"/>
    <w:rsid w:val="00C1043C"/>
    <w:rsid w:val="00C10ACB"/>
    <w:rsid w:val="00C1279B"/>
    <w:rsid w:val="00C12A51"/>
    <w:rsid w:val="00C12CD1"/>
    <w:rsid w:val="00C13F0F"/>
    <w:rsid w:val="00C15739"/>
    <w:rsid w:val="00C1591E"/>
    <w:rsid w:val="00C16BE6"/>
    <w:rsid w:val="00C173F9"/>
    <w:rsid w:val="00C1789F"/>
    <w:rsid w:val="00C20D36"/>
    <w:rsid w:val="00C21038"/>
    <w:rsid w:val="00C21519"/>
    <w:rsid w:val="00C21E05"/>
    <w:rsid w:val="00C221F2"/>
    <w:rsid w:val="00C22987"/>
    <w:rsid w:val="00C2396B"/>
    <w:rsid w:val="00C24408"/>
    <w:rsid w:val="00C25563"/>
    <w:rsid w:val="00C25A86"/>
    <w:rsid w:val="00C26946"/>
    <w:rsid w:val="00C26AB1"/>
    <w:rsid w:val="00C2785F"/>
    <w:rsid w:val="00C30BA6"/>
    <w:rsid w:val="00C31467"/>
    <w:rsid w:val="00C3171E"/>
    <w:rsid w:val="00C32307"/>
    <w:rsid w:val="00C32E1D"/>
    <w:rsid w:val="00C332C2"/>
    <w:rsid w:val="00C337A0"/>
    <w:rsid w:val="00C3491A"/>
    <w:rsid w:val="00C34B6C"/>
    <w:rsid w:val="00C34CCB"/>
    <w:rsid w:val="00C34D57"/>
    <w:rsid w:val="00C34F78"/>
    <w:rsid w:val="00C35515"/>
    <w:rsid w:val="00C35807"/>
    <w:rsid w:val="00C35924"/>
    <w:rsid w:val="00C35A4B"/>
    <w:rsid w:val="00C36696"/>
    <w:rsid w:val="00C36720"/>
    <w:rsid w:val="00C36AAB"/>
    <w:rsid w:val="00C36CE9"/>
    <w:rsid w:val="00C37518"/>
    <w:rsid w:val="00C37F00"/>
    <w:rsid w:val="00C41B73"/>
    <w:rsid w:val="00C41ECD"/>
    <w:rsid w:val="00C421C9"/>
    <w:rsid w:val="00C42971"/>
    <w:rsid w:val="00C42A3A"/>
    <w:rsid w:val="00C43FE9"/>
    <w:rsid w:val="00C44552"/>
    <w:rsid w:val="00C44E43"/>
    <w:rsid w:val="00C4517F"/>
    <w:rsid w:val="00C45232"/>
    <w:rsid w:val="00C46E94"/>
    <w:rsid w:val="00C4712B"/>
    <w:rsid w:val="00C47EEF"/>
    <w:rsid w:val="00C517E8"/>
    <w:rsid w:val="00C52BA5"/>
    <w:rsid w:val="00C53323"/>
    <w:rsid w:val="00C534DA"/>
    <w:rsid w:val="00C53971"/>
    <w:rsid w:val="00C53EA6"/>
    <w:rsid w:val="00C543D8"/>
    <w:rsid w:val="00C54D8C"/>
    <w:rsid w:val="00C54DBD"/>
    <w:rsid w:val="00C55460"/>
    <w:rsid w:val="00C5656A"/>
    <w:rsid w:val="00C56A9F"/>
    <w:rsid w:val="00C56C56"/>
    <w:rsid w:val="00C60B16"/>
    <w:rsid w:val="00C61109"/>
    <w:rsid w:val="00C6146D"/>
    <w:rsid w:val="00C61B7E"/>
    <w:rsid w:val="00C62ECC"/>
    <w:rsid w:val="00C640CF"/>
    <w:rsid w:val="00C66A17"/>
    <w:rsid w:val="00C66CEF"/>
    <w:rsid w:val="00C670FE"/>
    <w:rsid w:val="00C67B75"/>
    <w:rsid w:val="00C71087"/>
    <w:rsid w:val="00C7110B"/>
    <w:rsid w:val="00C71E3C"/>
    <w:rsid w:val="00C71F64"/>
    <w:rsid w:val="00C728EB"/>
    <w:rsid w:val="00C7291E"/>
    <w:rsid w:val="00C73B2E"/>
    <w:rsid w:val="00C74C20"/>
    <w:rsid w:val="00C74CB7"/>
    <w:rsid w:val="00C75492"/>
    <w:rsid w:val="00C75645"/>
    <w:rsid w:val="00C756F8"/>
    <w:rsid w:val="00C75A1F"/>
    <w:rsid w:val="00C76D84"/>
    <w:rsid w:val="00C77C78"/>
    <w:rsid w:val="00C81393"/>
    <w:rsid w:val="00C8146C"/>
    <w:rsid w:val="00C83281"/>
    <w:rsid w:val="00C83F0F"/>
    <w:rsid w:val="00C84258"/>
    <w:rsid w:val="00C846DD"/>
    <w:rsid w:val="00C850C1"/>
    <w:rsid w:val="00C85BE6"/>
    <w:rsid w:val="00C85CA6"/>
    <w:rsid w:val="00C85F11"/>
    <w:rsid w:val="00C86490"/>
    <w:rsid w:val="00C86EA5"/>
    <w:rsid w:val="00C9028A"/>
    <w:rsid w:val="00C90461"/>
    <w:rsid w:val="00C9046C"/>
    <w:rsid w:val="00C90A3C"/>
    <w:rsid w:val="00C90ECD"/>
    <w:rsid w:val="00C9142C"/>
    <w:rsid w:val="00C9147E"/>
    <w:rsid w:val="00C91875"/>
    <w:rsid w:val="00C921C9"/>
    <w:rsid w:val="00C925ED"/>
    <w:rsid w:val="00C9339F"/>
    <w:rsid w:val="00C936A4"/>
    <w:rsid w:val="00C944BC"/>
    <w:rsid w:val="00C94D53"/>
    <w:rsid w:val="00C95281"/>
    <w:rsid w:val="00C95FE3"/>
    <w:rsid w:val="00C9602C"/>
    <w:rsid w:val="00C96A10"/>
    <w:rsid w:val="00C9753B"/>
    <w:rsid w:val="00CA0C87"/>
    <w:rsid w:val="00CA1078"/>
    <w:rsid w:val="00CA1725"/>
    <w:rsid w:val="00CA19CD"/>
    <w:rsid w:val="00CA2A91"/>
    <w:rsid w:val="00CA302A"/>
    <w:rsid w:val="00CA4A62"/>
    <w:rsid w:val="00CA561E"/>
    <w:rsid w:val="00CA659E"/>
    <w:rsid w:val="00CA7EE4"/>
    <w:rsid w:val="00CA7F1C"/>
    <w:rsid w:val="00CB1BAA"/>
    <w:rsid w:val="00CB1E56"/>
    <w:rsid w:val="00CB23DD"/>
    <w:rsid w:val="00CB2757"/>
    <w:rsid w:val="00CB2FE7"/>
    <w:rsid w:val="00CB3B57"/>
    <w:rsid w:val="00CB4140"/>
    <w:rsid w:val="00CB4141"/>
    <w:rsid w:val="00CB42AE"/>
    <w:rsid w:val="00CB5993"/>
    <w:rsid w:val="00CB5A97"/>
    <w:rsid w:val="00CB6768"/>
    <w:rsid w:val="00CB7795"/>
    <w:rsid w:val="00CC0429"/>
    <w:rsid w:val="00CC17DB"/>
    <w:rsid w:val="00CC17F1"/>
    <w:rsid w:val="00CC182A"/>
    <w:rsid w:val="00CC2A84"/>
    <w:rsid w:val="00CC2F01"/>
    <w:rsid w:val="00CC2FC8"/>
    <w:rsid w:val="00CC3906"/>
    <w:rsid w:val="00CC4974"/>
    <w:rsid w:val="00CC5063"/>
    <w:rsid w:val="00CC6453"/>
    <w:rsid w:val="00CC66FE"/>
    <w:rsid w:val="00CC697A"/>
    <w:rsid w:val="00CC7A40"/>
    <w:rsid w:val="00CD0551"/>
    <w:rsid w:val="00CD059C"/>
    <w:rsid w:val="00CD0A3E"/>
    <w:rsid w:val="00CD0D84"/>
    <w:rsid w:val="00CD1440"/>
    <w:rsid w:val="00CD2914"/>
    <w:rsid w:val="00CD2D8A"/>
    <w:rsid w:val="00CD31EA"/>
    <w:rsid w:val="00CD3B6A"/>
    <w:rsid w:val="00CD4290"/>
    <w:rsid w:val="00CD4504"/>
    <w:rsid w:val="00CD4520"/>
    <w:rsid w:val="00CD692F"/>
    <w:rsid w:val="00CD6981"/>
    <w:rsid w:val="00CD7DFB"/>
    <w:rsid w:val="00CE0392"/>
    <w:rsid w:val="00CE0FB8"/>
    <w:rsid w:val="00CE13AE"/>
    <w:rsid w:val="00CE2606"/>
    <w:rsid w:val="00CE319A"/>
    <w:rsid w:val="00CE3F96"/>
    <w:rsid w:val="00CE47AF"/>
    <w:rsid w:val="00CE5481"/>
    <w:rsid w:val="00CE55A5"/>
    <w:rsid w:val="00CE5866"/>
    <w:rsid w:val="00CE5925"/>
    <w:rsid w:val="00CE5CEC"/>
    <w:rsid w:val="00CF0045"/>
    <w:rsid w:val="00CF05E1"/>
    <w:rsid w:val="00CF1F55"/>
    <w:rsid w:val="00CF2469"/>
    <w:rsid w:val="00CF2659"/>
    <w:rsid w:val="00CF5533"/>
    <w:rsid w:val="00CF5866"/>
    <w:rsid w:val="00CF634D"/>
    <w:rsid w:val="00CF673D"/>
    <w:rsid w:val="00CF7194"/>
    <w:rsid w:val="00CF78A2"/>
    <w:rsid w:val="00CF7C90"/>
    <w:rsid w:val="00CF7EA0"/>
    <w:rsid w:val="00CF7EF3"/>
    <w:rsid w:val="00D00600"/>
    <w:rsid w:val="00D02889"/>
    <w:rsid w:val="00D03242"/>
    <w:rsid w:val="00D0329F"/>
    <w:rsid w:val="00D032A7"/>
    <w:rsid w:val="00D034C9"/>
    <w:rsid w:val="00D04FF0"/>
    <w:rsid w:val="00D06299"/>
    <w:rsid w:val="00D07AB8"/>
    <w:rsid w:val="00D1001A"/>
    <w:rsid w:val="00D1045D"/>
    <w:rsid w:val="00D10A16"/>
    <w:rsid w:val="00D11219"/>
    <w:rsid w:val="00D11E90"/>
    <w:rsid w:val="00D1214A"/>
    <w:rsid w:val="00D133AA"/>
    <w:rsid w:val="00D13724"/>
    <w:rsid w:val="00D13B0B"/>
    <w:rsid w:val="00D13CCF"/>
    <w:rsid w:val="00D14CF7"/>
    <w:rsid w:val="00D14D11"/>
    <w:rsid w:val="00D1564D"/>
    <w:rsid w:val="00D15E67"/>
    <w:rsid w:val="00D17023"/>
    <w:rsid w:val="00D1788B"/>
    <w:rsid w:val="00D205C4"/>
    <w:rsid w:val="00D20856"/>
    <w:rsid w:val="00D208D1"/>
    <w:rsid w:val="00D20ABB"/>
    <w:rsid w:val="00D2105A"/>
    <w:rsid w:val="00D22E03"/>
    <w:rsid w:val="00D23338"/>
    <w:rsid w:val="00D24A8F"/>
    <w:rsid w:val="00D24AEE"/>
    <w:rsid w:val="00D25A1F"/>
    <w:rsid w:val="00D26A33"/>
    <w:rsid w:val="00D2710D"/>
    <w:rsid w:val="00D2794D"/>
    <w:rsid w:val="00D30103"/>
    <w:rsid w:val="00D3073E"/>
    <w:rsid w:val="00D30FF7"/>
    <w:rsid w:val="00D31676"/>
    <w:rsid w:val="00D316C8"/>
    <w:rsid w:val="00D337B1"/>
    <w:rsid w:val="00D337D5"/>
    <w:rsid w:val="00D34817"/>
    <w:rsid w:val="00D34BF7"/>
    <w:rsid w:val="00D35068"/>
    <w:rsid w:val="00D35310"/>
    <w:rsid w:val="00D35683"/>
    <w:rsid w:val="00D35F30"/>
    <w:rsid w:val="00D36088"/>
    <w:rsid w:val="00D365BB"/>
    <w:rsid w:val="00D3795A"/>
    <w:rsid w:val="00D37AB5"/>
    <w:rsid w:val="00D37FC2"/>
    <w:rsid w:val="00D40C74"/>
    <w:rsid w:val="00D43282"/>
    <w:rsid w:val="00D43EA4"/>
    <w:rsid w:val="00D44508"/>
    <w:rsid w:val="00D4543B"/>
    <w:rsid w:val="00D45723"/>
    <w:rsid w:val="00D45B78"/>
    <w:rsid w:val="00D46629"/>
    <w:rsid w:val="00D4701A"/>
    <w:rsid w:val="00D47810"/>
    <w:rsid w:val="00D479FF"/>
    <w:rsid w:val="00D47B10"/>
    <w:rsid w:val="00D50320"/>
    <w:rsid w:val="00D5128E"/>
    <w:rsid w:val="00D52FD0"/>
    <w:rsid w:val="00D53CEB"/>
    <w:rsid w:val="00D53D08"/>
    <w:rsid w:val="00D54172"/>
    <w:rsid w:val="00D54385"/>
    <w:rsid w:val="00D56214"/>
    <w:rsid w:val="00D57374"/>
    <w:rsid w:val="00D577E9"/>
    <w:rsid w:val="00D5799A"/>
    <w:rsid w:val="00D60596"/>
    <w:rsid w:val="00D6066E"/>
    <w:rsid w:val="00D60930"/>
    <w:rsid w:val="00D61898"/>
    <w:rsid w:val="00D61A8D"/>
    <w:rsid w:val="00D6259C"/>
    <w:rsid w:val="00D63445"/>
    <w:rsid w:val="00D634F9"/>
    <w:rsid w:val="00D63B91"/>
    <w:rsid w:val="00D64A4A"/>
    <w:rsid w:val="00D64C34"/>
    <w:rsid w:val="00D65045"/>
    <w:rsid w:val="00D6679C"/>
    <w:rsid w:val="00D66A86"/>
    <w:rsid w:val="00D67A2D"/>
    <w:rsid w:val="00D710C6"/>
    <w:rsid w:val="00D730DD"/>
    <w:rsid w:val="00D73A47"/>
    <w:rsid w:val="00D73EE6"/>
    <w:rsid w:val="00D74050"/>
    <w:rsid w:val="00D742D2"/>
    <w:rsid w:val="00D744DC"/>
    <w:rsid w:val="00D74BA7"/>
    <w:rsid w:val="00D75CF7"/>
    <w:rsid w:val="00D75F59"/>
    <w:rsid w:val="00D76564"/>
    <w:rsid w:val="00D7669C"/>
    <w:rsid w:val="00D776C3"/>
    <w:rsid w:val="00D80153"/>
    <w:rsid w:val="00D81748"/>
    <w:rsid w:val="00D81AC7"/>
    <w:rsid w:val="00D83662"/>
    <w:rsid w:val="00D8495C"/>
    <w:rsid w:val="00D84B32"/>
    <w:rsid w:val="00D8536C"/>
    <w:rsid w:val="00D8544D"/>
    <w:rsid w:val="00D86737"/>
    <w:rsid w:val="00D8696A"/>
    <w:rsid w:val="00D87B17"/>
    <w:rsid w:val="00D87BC5"/>
    <w:rsid w:val="00D87C0F"/>
    <w:rsid w:val="00D87E0B"/>
    <w:rsid w:val="00D90378"/>
    <w:rsid w:val="00D905F1"/>
    <w:rsid w:val="00D9068C"/>
    <w:rsid w:val="00D9095E"/>
    <w:rsid w:val="00D90A4B"/>
    <w:rsid w:val="00D9153B"/>
    <w:rsid w:val="00D94FC2"/>
    <w:rsid w:val="00D95903"/>
    <w:rsid w:val="00D95D78"/>
    <w:rsid w:val="00D95D80"/>
    <w:rsid w:val="00D964F0"/>
    <w:rsid w:val="00D97C6D"/>
    <w:rsid w:val="00DA01E9"/>
    <w:rsid w:val="00DA026D"/>
    <w:rsid w:val="00DA02AA"/>
    <w:rsid w:val="00DA0810"/>
    <w:rsid w:val="00DA08CC"/>
    <w:rsid w:val="00DA105C"/>
    <w:rsid w:val="00DA1518"/>
    <w:rsid w:val="00DA2930"/>
    <w:rsid w:val="00DA3FCE"/>
    <w:rsid w:val="00DA5B63"/>
    <w:rsid w:val="00DA78B4"/>
    <w:rsid w:val="00DB094D"/>
    <w:rsid w:val="00DB0B56"/>
    <w:rsid w:val="00DB0EC2"/>
    <w:rsid w:val="00DB2286"/>
    <w:rsid w:val="00DB308D"/>
    <w:rsid w:val="00DB4203"/>
    <w:rsid w:val="00DB70D8"/>
    <w:rsid w:val="00DB74B5"/>
    <w:rsid w:val="00DB7CA1"/>
    <w:rsid w:val="00DC1F88"/>
    <w:rsid w:val="00DC206D"/>
    <w:rsid w:val="00DC24E8"/>
    <w:rsid w:val="00DC25DA"/>
    <w:rsid w:val="00DC30CC"/>
    <w:rsid w:val="00DC340E"/>
    <w:rsid w:val="00DC396B"/>
    <w:rsid w:val="00DC4103"/>
    <w:rsid w:val="00DC4374"/>
    <w:rsid w:val="00DC4683"/>
    <w:rsid w:val="00DC48CC"/>
    <w:rsid w:val="00DC4C59"/>
    <w:rsid w:val="00DC5149"/>
    <w:rsid w:val="00DC5867"/>
    <w:rsid w:val="00DC6CA2"/>
    <w:rsid w:val="00DC70C0"/>
    <w:rsid w:val="00DC7313"/>
    <w:rsid w:val="00DD0A1F"/>
    <w:rsid w:val="00DD0AD6"/>
    <w:rsid w:val="00DD1B88"/>
    <w:rsid w:val="00DD3850"/>
    <w:rsid w:val="00DD3993"/>
    <w:rsid w:val="00DD3C08"/>
    <w:rsid w:val="00DD3F57"/>
    <w:rsid w:val="00DD4A52"/>
    <w:rsid w:val="00DD59B7"/>
    <w:rsid w:val="00DD5E30"/>
    <w:rsid w:val="00DD5E6C"/>
    <w:rsid w:val="00DD6095"/>
    <w:rsid w:val="00DD637D"/>
    <w:rsid w:val="00DD7281"/>
    <w:rsid w:val="00DE0476"/>
    <w:rsid w:val="00DE2AAC"/>
    <w:rsid w:val="00DE621A"/>
    <w:rsid w:val="00DE785A"/>
    <w:rsid w:val="00DE7E2F"/>
    <w:rsid w:val="00DF0083"/>
    <w:rsid w:val="00DF0FD6"/>
    <w:rsid w:val="00DF1026"/>
    <w:rsid w:val="00DF1125"/>
    <w:rsid w:val="00DF24A2"/>
    <w:rsid w:val="00DF2560"/>
    <w:rsid w:val="00DF26F8"/>
    <w:rsid w:val="00DF27AC"/>
    <w:rsid w:val="00DF28E7"/>
    <w:rsid w:val="00DF2FFA"/>
    <w:rsid w:val="00DF399A"/>
    <w:rsid w:val="00DF3FC1"/>
    <w:rsid w:val="00DF6280"/>
    <w:rsid w:val="00DF7B14"/>
    <w:rsid w:val="00E00009"/>
    <w:rsid w:val="00E00EF6"/>
    <w:rsid w:val="00E01672"/>
    <w:rsid w:val="00E01BCE"/>
    <w:rsid w:val="00E01EF4"/>
    <w:rsid w:val="00E02CF2"/>
    <w:rsid w:val="00E0390C"/>
    <w:rsid w:val="00E04947"/>
    <w:rsid w:val="00E05255"/>
    <w:rsid w:val="00E05347"/>
    <w:rsid w:val="00E069F7"/>
    <w:rsid w:val="00E06C35"/>
    <w:rsid w:val="00E06FD7"/>
    <w:rsid w:val="00E0710D"/>
    <w:rsid w:val="00E07894"/>
    <w:rsid w:val="00E07F71"/>
    <w:rsid w:val="00E111B8"/>
    <w:rsid w:val="00E114D8"/>
    <w:rsid w:val="00E131E0"/>
    <w:rsid w:val="00E1347F"/>
    <w:rsid w:val="00E14A55"/>
    <w:rsid w:val="00E153C2"/>
    <w:rsid w:val="00E158A4"/>
    <w:rsid w:val="00E1621B"/>
    <w:rsid w:val="00E16EEA"/>
    <w:rsid w:val="00E21104"/>
    <w:rsid w:val="00E21114"/>
    <w:rsid w:val="00E2141F"/>
    <w:rsid w:val="00E222A7"/>
    <w:rsid w:val="00E22B84"/>
    <w:rsid w:val="00E23AAE"/>
    <w:rsid w:val="00E2502D"/>
    <w:rsid w:val="00E25247"/>
    <w:rsid w:val="00E25434"/>
    <w:rsid w:val="00E26045"/>
    <w:rsid w:val="00E260E6"/>
    <w:rsid w:val="00E26647"/>
    <w:rsid w:val="00E26BDB"/>
    <w:rsid w:val="00E27304"/>
    <w:rsid w:val="00E303EB"/>
    <w:rsid w:val="00E30AB4"/>
    <w:rsid w:val="00E31177"/>
    <w:rsid w:val="00E32C34"/>
    <w:rsid w:val="00E33242"/>
    <w:rsid w:val="00E336C7"/>
    <w:rsid w:val="00E337F5"/>
    <w:rsid w:val="00E339E4"/>
    <w:rsid w:val="00E34EBC"/>
    <w:rsid w:val="00E35F40"/>
    <w:rsid w:val="00E3657D"/>
    <w:rsid w:val="00E37211"/>
    <w:rsid w:val="00E377C4"/>
    <w:rsid w:val="00E37848"/>
    <w:rsid w:val="00E4034D"/>
    <w:rsid w:val="00E404B3"/>
    <w:rsid w:val="00E4157C"/>
    <w:rsid w:val="00E41EE7"/>
    <w:rsid w:val="00E42084"/>
    <w:rsid w:val="00E4239A"/>
    <w:rsid w:val="00E43CD4"/>
    <w:rsid w:val="00E44854"/>
    <w:rsid w:val="00E44CA9"/>
    <w:rsid w:val="00E46571"/>
    <w:rsid w:val="00E46C49"/>
    <w:rsid w:val="00E47194"/>
    <w:rsid w:val="00E47BCA"/>
    <w:rsid w:val="00E50087"/>
    <w:rsid w:val="00E52138"/>
    <w:rsid w:val="00E539C0"/>
    <w:rsid w:val="00E53DCC"/>
    <w:rsid w:val="00E54AF0"/>
    <w:rsid w:val="00E55808"/>
    <w:rsid w:val="00E559EA"/>
    <w:rsid w:val="00E560E5"/>
    <w:rsid w:val="00E5696D"/>
    <w:rsid w:val="00E56E45"/>
    <w:rsid w:val="00E57919"/>
    <w:rsid w:val="00E57C43"/>
    <w:rsid w:val="00E603DF"/>
    <w:rsid w:val="00E60FAC"/>
    <w:rsid w:val="00E6137C"/>
    <w:rsid w:val="00E6161C"/>
    <w:rsid w:val="00E62DEC"/>
    <w:rsid w:val="00E63233"/>
    <w:rsid w:val="00E65F8A"/>
    <w:rsid w:val="00E66ECB"/>
    <w:rsid w:val="00E67486"/>
    <w:rsid w:val="00E676C4"/>
    <w:rsid w:val="00E677A6"/>
    <w:rsid w:val="00E67EAC"/>
    <w:rsid w:val="00E7019B"/>
    <w:rsid w:val="00E70880"/>
    <w:rsid w:val="00E7277A"/>
    <w:rsid w:val="00E727CE"/>
    <w:rsid w:val="00E741EF"/>
    <w:rsid w:val="00E749E1"/>
    <w:rsid w:val="00E74C56"/>
    <w:rsid w:val="00E759ED"/>
    <w:rsid w:val="00E75B8D"/>
    <w:rsid w:val="00E76796"/>
    <w:rsid w:val="00E774D9"/>
    <w:rsid w:val="00E77E45"/>
    <w:rsid w:val="00E8007A"/>
    <w:rsid w:val="00E804EE"/>
    <w:rsid w:val="00E80578"/>
    <w:rsid w:val="00E80709"/>
    <w:rsid w:val="00E80B43"/>
    <w:rsid w:val="00E81AC9"/>
    <w:rsid w:val="00E81FAF"/>
    <w:rsid w:val="00E833CB"/>
    <w:rsid w:val="00E83995"/>
    <w:rsid w:val="00E83CBA"/>
    <w:rsid w:val="00E83D2E"/>
    <w:rsid w:val="00E83FB2"/>
    <w:rsid w:val="00E83FF9"/>
    <w:rsid w:val="00E844E5"/>
    <w:rsid w:val="00E8498F"/>
    <w:rsid w:val="00E84B54"/>
    <w:rsid w:val="00E86BBA"/>
    <w:rsid w:val="00E87339"/>
    <w:rsid w:val="00E87655"/>
    <w:rsid w:val="00E90615"/>
    <w:rsid w:val="00E90C99"/>
    <w:rsid w:val="00E91FE0"/>
    <w:rsid w:val="00E9319A"/>
    <w:rsid w:val="00E94F21"/>
    <w:rsid w:val="00E950CA"/>
    <w:rsid w:val="00E95A3C"/>
    <w:rsid w:val="00E95AC2"/>
    <w:rsid w:val="00E95D5E"/>
    <w:rsid w:val="00E95E2A"/>
    <w:rsid w:val="00E964E7"/>
    <w:rsid w:val="00E97167"/>
    <w:rsid w:val="00E9722D"/>
    <w:rsid w:val="00E973ED"/>
    <w:rsid w:val="00E97789"/>
    <w:rsid w:val="00E97DBB"/>
    <w:rsid w:val="00EA0169"/>
    <w:rsid w:val="00EA0A74"/>
    <w:rsid w:val="00EA1037"/>
    <w:rsid w:val="00EA2DE6"/>
    <w:rsid w:val="00EA3264"/>
    <w:rsid w:val="00EA3311"/>
    <w:rsid w:val="00EA3781"/>
    <w:rsid w:val="00EA3984"/>
    <w:rsid w:val="00EA5023"/>
    <w:rsid w:val="00EA6A59"/>
    <w:rsid w:val="00EA7061"/>
    <w:rsid w:val="00EA7CC3"/>
    <w:rsid w:val="00EB0158"/>
    <w:rsid w:val="00EB0265"/>
    <w:rsid w:val="00EB0714"/>
    <w:rsid w:val="00EB0BFF"/>
    <w:rsid w:val="00EB13FE"/>
    <w:rsid w:val="00EB254B"/>
    <w:rsid w:val="00EB2BAA"/>
    <w:rsid w:val="00EB2ED4"/>
    <w:rsid w:val="00EB39F1"/>
    <w:rsid w:val="00EB3F01"/>
    <w:rsid w:val="00EB472E"/>
    <w:rsid w:val="00EB4F22"/>
    <w:rsid w:val="00EB5434"/>
    <w:rsid w:val="00EB5D6C"/>
    <w:rsid w:val="00EB6A9B"/>
    <w:rsid w:val="00EB6C49"/>
    <w:rsid w:val="00EB747A"/>
    <w:rsid w:val="00EB7670"/>
    <w:rsid w:val="00EB76D6"/>
    <w:rsid w:val="00EB78A2"/>
    <w:rsid w:val="00EB79BC"/>
    <w:rsid w:val="00EB7A65"/>
    <w:rsid w:val="00EC0178"/>
    <w:rsid w:val="00EC049F"/>
    <w:rsid w:val="00EC0E8F"/>
    <w:rsid w:val="00EC14C5"/>
    <w:rsid w:val="00EC2032"/>
    <w:rsid w:val="00EC2981"/>
    <w:rsid w:val="00EC29D9"/>
    <w:rsid w:val="00EC4AE5"/>
    <w:rsid w:val="00EC4C8C"/>
    <w:rsid w:val="00EC5F26"/>
    <w:rsid w:val="00EC6600"/>
    <w:rsid w:val="00EC6CAD"/>
    <w:rsid w:val="00EC71FF"/>
    <w:rsid w:val="00EC7269"/>
    <w:rsid w:val="00EC7494"/>
    <w:rsid w:val="00ED024E"/>
    <w:rsid w:val="00ED070B"/>
    <w:rsid w:val="00ED194C"/>
    <w:rsid w:val="00ED2C26"/>
    <w:rsid w:val="00ED3898"/>
    <w:rsid w:val="00ED43D3"/>
    <w:rsid w:val="00ED509A"/>
    <w:rsid w:val="00ED5BE6"/>
    <w:rsid w:val="00ED5EC2"/>
    <w:rsid w:val="00ED7094"/>
    <w:rsid w:val="00EE092F"/>
    <w:rsid w:val="00EE0DF2"/>
    <w:rsid w:val="00EE1DB8"/>
    <w:rsid w:val="00EE21DD"/>
    <w:rsid w:val="00EE2465"/>
    <w:rsid w:val="00EE3334"/>
    <w:rsid w:val="00EE428C"/>
    <w:rsid w:val="00EE56DF"/>
    <w:rsid w:val="00EE6787"/>
    <w:rsid w:val="00EE6BD2"/>
    <w:rsid w:val="00EE701F"/>
    <w:rsid w:val="00EE7227"/>
    <w:rsid w:val="00EE7338"/>
    <w:rsid w:val="00EE7C1B"/>
    <w:rsid w:val="00EF0A62"/>
    <w:rsid w:val="00EF1A24"/>
    <w:rsid w:val="00EF1BF1"/>
    <w:rsid w:val="00EF2B03"/>
    <w:rsid w:val="00EF2D5B"/>
    <w:rsid w:val="00EF5EC8"/>
    <w:rsid w:val="00EF653B"/>
    <w:rsid w:val="00EF6A8C"/>
    <w:rsid w:val="00EF6C72"/>
    <w:rsid w:val="00EF6D1D"/>
    <w:rsid w:val="00EF6DB1"/>
    <w:rsid w:val="00EF70B4"/>
    <w:rsid w:val="00EF71E1"/>
    <w:rsid w:val="00F006D8"/>
    <w:rsid w:val="00F00EB5"/>
    <w:rsid w:val="00F01BD5"/>
    <w:rsid w:val="00F01C1E"/>
    <w:rsid w:val="00F01C7F"/>
    <w:rsid w:val="00F0250E"/>
    <w:rsid w:val="00F0262B"/>
    <w:rsid w:val="00F0264E"/>
    <w:rsid w:val="00F036C6"/>
    <w:rsid w:val="00F03E2E"/>
    <w:rsid w:val="00F04B48"/>
    <w:rsid w:val="00F05EAF"/>
    <w:rsid w:val="00F06037"/>
    <w:rsid w:val="00F061EC"/>
    <w:rsid w:val="00F06D7C"/>
    <w:rsid w:val="00F06DD8"/>
    <w:rsid w:val="00F07859"/>
    <w:rsid w:val="00F07918"/>
    <w:rsid w:val="00F1049D"/>
    <w:rsid w:val="00F119F0"/>
    <w:rsid w:val="00F12EE5"/>
    <w:rsid w:val="00F13AB8"/>
    <w:rsid w:val="00F147FD"/>
    <w:rsid w:val="00F15E6A"/>
    <w:rsid w:val="00F15FC1"/>
    <w:rsid w:val="00F174B1"/>
    <w:rsid w:val="00F17762"/>
    <w:rsid w:val="00F17820"/>
    <w:rsid w:val="00F217A8"/>
    <w:rsid w:val="00F217FE"/>
    <w:rsid w:val="00F21CD9"/>
    <w:rsid w:val="00F22397"/>
    <w:rsid w:val="00F2240D"/>
    <w:rsid w:val="00F231DA"/>
    <w:rsid w:val="00F23350"/>
    <w:rsid w:val="00F23586"/>
    <w:rsid w:val="00F239E2"/>
    <w:rsid w:val="00F23C5A"/>
    <w:rsid w:val="00F23E91"/>
    <w:rsid w:val="00F264D2"/>
    <w:rsid w:val="00F27679"/>
    <w:rsid w:val="00F277D4"/>
    <w:rsid w:val="00F30C23"/>
    <w:rsid w:val="00F30E61"/>
    <w:rsid w:val="00F31104"/>
    <w:rsid w:val="00F33E65"/>
    <w:rsid w:val="00F341BC"/>
    <w:rsid w:val="00F342DC"/>
    <w:rsid w:val="00F3454C"/>
    <w:rsid w:val="00F34E93"/>
    <w:rsid w:val="00F3516C"/>
    <w:rsid w:val="00F3619B"/>
    <w:rsid w:val="00F367F0"/>
    <w:rsid w:val="00F37C5A"/>
    <w:rsid w:val="00F402CB"/>
    <w:rsid w:val="00F41DD0"/>
    <w:rsid w:val="00F42035"/>
    <w:rsid w:val="00F43E8F"/>
    <w:rsid w:val="00F4474B"/>
    <w:rsid w:val="00F44F4E"/>
    <w:rsid w:val="00F44FA3"/>
    <w:rsid w:val="00F45AF5"/>
    <w:rsid w:val="00F46E8A"/>
    <w:rsid w:val="00F5074F"/>
    <w:rsid w:val="00F508ED"/>
    <w:rsid w:val="00F50A82"/>
    <w:rsid w:val="00F513E5"/>
    <w:rsid w:val="00F51888"/>
    <w:rsid w:val="00F5219B"/>
    <w:rsid w:val="00F52E58"/>
    <w:rsid w:val="00F53138"/>
    <w:rsid w:val="00F534C0"/>
    <w:rsid w:val="00F5378D"/>
    <w:rsid w:val="00F54930"/>
    <w:rsid w:val="00F5523B"/>
    <w:rsid w:val="00F55339"/>
    <w:rsid w:val="00F55BE6"/>
    <w:rsid w:val="00F55E71"/>
    <w:rsid w:val="00F56F76"/>
    <w:rsid w:val="00F5770D"/>
    <w:rsid w:val="00F57E34"/>
    <w:rsid w:val="00F6018E"/>
    <w:rsid w:val="00F60494"/>
    <w:rsid w:val="00F60B9B"/>
    <w:rsid w:val="00F61DFC"/>
    <w:rsid w:val="00F623B6"/>
    <w:rsid w:val="00F6280F"/>
    <w:rsid w:val="00F62819"/>
    <w:rsid w:val="00F62CB8"/>
    <w:rsid w:val="00F63350"/>
    <w:rsid w:val="00F6394B"/>
    <w:rsid w:val="00F654F5"/>
    <w:rsid w:val="00F659AC"/>
    <w:rsid w:val="00F6653B"/>
    <w:rsid w:val="00F67C81"/>
    <w:rsid w:val="00F70527"/>
    <w:rsid w:val="00F708D9"/>
    <w:rsid w:val="00F71464"/>
    <w:rsid w:val="00F71BD6"/>
    <w:rsid w:val="00F720FB"/>
    <w:rsid w:val="00F721C2"/>
    <w:rsid w:val="00F760B1"/>
    <w:rsid w:val="00F76213"/>
    <w:rsid w:val="00F7790C"/>
    <w:rsid w:val="00F80602"/>
    <w:rsid w:val="00F81376"/>
    <w:rsid w:val="00F826BE"/>
    <w:rsid w:val="00F82D99"/>
    <w:rsid w:val="00F8358D"/>
    <w:rsid w:val="00F84C20"/>
    <w:rsid w:val="00F84FF9"/>
    <w:rsid w:val="00F85F74"/>
    <w:rsid w:val="00F907C1"/>
    <w:rsid w:val="00F90B8A"/>
    <w:rsid w:val="00F92112"/>
    <w:rsid w:val="00F9230A"/>
    <w:rsid w:val="00F92366"/>
    <w:rsid w:val="00F92753"/>
    <w:rsid w:val="00F92A12"/>
    <w:rsid w:val="00F92B5D"/>
    <w:rsid w:val="00F9312D"/>
    <w:rsid w:val="00F93875"/>
    <w:rsid w:val="00F94033"/>
    <w:rsid w:val="00F9523D"/>
    <w:rsid w:val="00F9598E"/>
    <w:rsid w:val="00F95F66"/>
    <w:rsid w:val="00F96B32"/>
    <w:rsid w:val="00F971B0"/>
    <w:rsid w:val="00F9735A"/>
    <w:rsid w:val="00F978FE"/>
    <w:rsid w:val="00FA0783"/>
    <w:rsid w:val="00FA1717"/>
    <w:rsid w:val="00FA20CA"/>
    <w:rsid w:val="00FA2364"/>
    <w:rsid w:val="00FA35B0"/>
    <w:rsid w:val="00FA3858"/>
    <w:rsid w:val="00FA42F4"/>
    <w:rsid w:val="00FA6502"/>
    <w:rsid w:val="00FA71EF"/>
    <w:rsid w:val="00FA7834"/>
    <w:rsid w:val="00FA7F2E"/>
    <w:rsid w:val="00FB0730"/>
    <w:rsid w:val="00FB0BC1"/>
    <w:rsid w:val="00FB0D46"/>
    <w:rsid w:val="00FB1223"/>
    <w:rsid w:val="00FB14A0"/>
    <w:rsid w:val="00FB1A77"/>
    <w:rsid w:val="00FB1D96"/>
    <w:rsid w:val="00FB2724"/>
    <w:rsid w:val="00FB2B8F"/>
    <w:rsid w:val="00FB3962"/>
    <w:rsid w:val="00FB4A08"/>
    <w:rsid w:val="00FB4E4A"/>
    <w:rsid w:val="00FB50C3"/>
    <w:rsid w:val="00FB52C6"/>
    <w:rsid w:val="00FB5396"/>
    <w:rsid w:val="00FB5553"/>
    <w:rsid w:val="00FB6D3A"/>
    <w:rsid w:val="00FB7002"/>
    <w:rsid w:val="00FB7924"/>
    <w:rsid w:val="00FB7F35"/>
    <w:rsid w:val="00FC11D6"/>
    <w:rsid w:val="00FC147F"/>
    <w:rsid w:val="00FC1524"/>
    <w:rsid w:val="00FC2AFA"/>
    <w:rsid w:val="00FC4654"/>
    <w:rsid w:val="00FC48DD"/>
    <w:rsid w:val="00FC569E"/>
    <w:rsid w:val="00FC5D75"/>
    <w:rsid w:val="00FC67E5"/>
    <w:rsid w:val="00FC6801"/>
    <w:rsid w:val="00FC6BFF"/>
    <w:rsid w:val="00FC6D43"/>
    <w:rsid w:val="00FC7094"/>
    <w:rsid w:val="00FD04EB"/>
    <w:rsid w:val="00FD08F9"/>
    <w:rsid w:val="00FD1036"/>
    <w:rsid w:val="00FD131D"/>
    <w:rsid w:val="00FD16E2"/>
    <w:rsid w:val="00FD16E3"/>
    <w:rsid w:val="00FD2C6C"/>
    <w:rsid w:val="00FD31E7"/>
    <w:rsid w:val="00FD3E09"/>
    <w:rsid w:val="00FD3F30"/>
    <w:rsid w:val="00FD4641"/>
    <w:rsid w:val="00FD5177"/>
    <w:rsid w:val="00FD5BF4"/>
    <w:rsid w:val="00FD5D0C"/>
    <w:rsid w:val="00FD5DED"/>
    <w:rsid w:val="00FD7477"/>
    <w:rsid w:val="00FE05E4"/>
    <w:rsid w:val="00FE1DCB"/>
    <w:rsid w:val="00FE1DF0"/>
    <w:rsid w:val="00FE2172"/>
    <w:rsid w:val="00FE2DF8"/>
    <w:rsid w:val="00FE354A"/>
    <w:rsid w:val="00FE35E1"/>
    <w:rsid w:val="00FE5FE7"/>
    <w:rsid w:val="00FE6D86"/>
    <w:rsid w:val="00FE773E"/>
    <w:rsid w:val="00FF02E4"/>
    <w:rsid w:val="00FF045E"/>
    <w:rsid w:val="00FF0DA7"/>
    <w:rsid w:val="00FF1299"/>
    <w:rsid w:val="00FF1C45"/>
    <w:rsid w:val="00FF250C"/>
    <w:rsid w:val="00FF3276"/>
    <w:rsid w:val="00FF3445"/>
    <w:rsid w:val="00FF5B26"/>
    <w:rsid w:val="00FF69CB"/>
    <w:rsid w:val="19F8EE1D"/>
    <w:rsid w:val="1C9E1F98"/>
    <w:rsid w:val="419436B4"/>
    <w:rsid w:val="66D9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58BE31"/>
  <w15:docId w15:val="{A02CC588-EB20-4BAD-8B2A-DDC097A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E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WB Para Char,List Paragraph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Heading2Char">
    <w:name w:val="Heading 2 Char"/>
    <w:basedOn w:val="DefaultParagraphFont"/>
    <w:link w:val="Heading2"/>
    <w:rsid w:val="004A0211"/>
    <w:rPr>
      <w:rFonts w:ascii="Arial" w:hAnsi="Arial"/>
      <w:b/>
      <w:sz w:val="28"/>
      <w:lang w:val="en-US" w:eastAsia="en-US"/>
    </w:rPr>
  </w:style>
  <w:style w:type="paragraph" w:styleId="NoSpacing">
    <w:name w:val="No Spacing"/>
    <w:uiPriority w:val="1"/>
    <w:qFormat/>
    <w:rsid w:val="0076459D"/>
    <w:rPr>
      <w:rFonts w:asciiTheme="minorHAnsi" w:eastAsiaTheme="minorEastAsia" w:hAnsiTheme="minorHAnsi" w:cstheme="minorBidi"/>
      <w:sz w:val="22"/>
      <w:szCs w:val="22"/>
      <w:lang w:val="es-SV" w:eastAsia="es-SV"/>
    </w:rPr>
  </w:style>
  <w:style w:type="paragraph" w:styleId="HTMLPreformatted">
    <w:name w:val="HTML Preformatted"/>
    <w:basedOn w:val="Normal"/>
    <w:link w:val="HTMLPreformattedChar"/>
    <w:uiPriority w:val="99"/>
    <w:unhideWhenUsed/>
    <w:rsid w:val="002D077E"/>
    <w:rPr>
      <w:rFonts w:ascii="Consolas" w:hAnsi="Consolas"/>
    </w:rPr>
  </w:style>
  <w:style w:type="character" w:customStyle="1" w:styleId="HTMLPreformattedChar">
    <w:name w:val="HTML Preformatted Char"/>
    <w:basedOn w:val="DefaultParagraphFont"/>
    <w:link w:val="HTMLPreformatted"/>
    <w:uiPriority w:val="99"/>
    <w:rsid w:val="002D077E"/>
    <w:rPr>
      <w:rFonts w:ascii="Consolas" w:hAnsi="Consolas"/>
      <w:lang w:val="en-US" w:eastAsia="en-US"/>
    </w:rPr>
  </w:style>
  <w:style w:type="character" w:customStyle="1" w:styleId="PrrafodelistaCar">
    <w:name w:val="Párrafo de lista Car"/>
    <w:aliases w:val="List Paragraph (numbered (a)) Car"/>
    <w:basedOn w:val="DefaultParagraphFont"/>
    <w:uiPriority w:val="34"/>
    <w:locked/>
    <w:rsid w:val="008E4018"/>
  </w:style>
  <w:style w:type="paragraph" w:styleId="NormalWeb">
    <w:name w:val="Normal (Web)"/>
    <w:basedOn w:val="Normal"/>
    <w:uiPriority w:val="99"/>
    <w:unhideWhenUsed/>
    <w:rsid w:val="00CC17F1"/>
    <w:pPr>
      <w:spacing w:before="100" w:beforeAutospacing="1" w:after="100" w:afterAutospacing="1"/>
    </w:pPr>
    <w:rPr>
      <w:rFonts w:eastAsiaTheme="minorHAnsi"/>
      <w:sz w:val="24"/>
      <w:szCs w:val="24"/>
      <w:lang w:val="es-HN" w:eastAsia="es-HN"/>
    </w:rPr>
  </w:style>
  <w:style w:type="character" w:customStyle="1" w:styleId="EmailStyle24">
    <w:name w:val="EmailStyle24"/>
    <w:basedOn w:val="DefaultParagraphFont"/>
    <w:semiHidden/>
    <w:rsid w:val="00CE319A"/>
    <w:rPr>
      <w:rFonts w:ascii="Arial" w:hAnsi="Arial" w:cs="Arial" w:hint="default"/>
      <w:color w:val="000000"/>
    </w:rPr>
  </w:style>
  <w:style w:type="paragraph" w:styleId="EndnoteText">
    <w:name w:val="endnote text"/>
    <w:basedOn w:val="Normal"/>
    <w:link w:val="EndnoteTextChar"/>
    <w:semiHidden/>
    <w:unhideWhenUsed/>
    <w:rsid w:val="00E804EE"/>
  </w:style>
  <w:style w:type="character" w:customStyle="1" w:styleId="EndnoteTextChar">
    <w:name w:val="Endnote Text Char"/>
    <w:basedOn w:val="DefaultParagraphFont"/>
    <w:link w:val="EndnoteText"/>
    <w:semiHidden/>
    <w:rsid w:val="00E804EE"/>
    <w:rPr>
      <w:lang w:val="en-US" w:eastAsia="en-US"/>
    </w:rPr>
  </w:style>
  <w:style w:type="character" w:styleId="EndnoteReference">
    <w:name w:val="endnote reference"/>
    <w:basedOn w:val="DefaultParagraphFont"/>
    <w:semiHidden/>
    <w:unhideWhenUsed/>
    <w:rsid w:val="00E804EE"/>
    <w:rPr>
      <w:vertAlign w:val="superscript"/>
    </w:rPr>
  </w:style>
  <w:style w:type="character" w:styleId="Strong">
    <w:name w:val="Strong"/>
    <w:basedOn w:val="DefaultParagraphFont"/>
    <w:uiPriority w:val="22"/>
    <w:qFormat/>
    <w:locked/>
    <w:rsid w:val="000912D0"/>
    <w:rPr>
      <w:b/>
      <w:bCs/>
    </w:rPr>
  </w:style>
  <w:style w:type="character" w:styleId="Emphasis">
    <w:name w:val="Emphasis"/>
    <w:basedOn w:val="DefaultParagraphFont"/>
    <w:uiPriority w:val="20"/>
    <w:qFormat/>
    <w:locked/>
    <w:rsid w:val="008864B3"/>
    <w:rPr>
      <w:b/>
      <w:bCs/>
      <w:i w:val="0"/>
      <w:iCs w:val="0"/>
    </w:rPr>
  </w:style>
  <w:style w:type="character" w:customStyle="1" w:styleId="st1">
    <w:name w:val="st1"/>
    <w:basedOn w:val="DefaultParagraphFont"/>
    <w:rsid w:val="003D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4354664">
      <w:bodyDiv w:val="1"/>
      <w:marLeft w:val="0"/>
      <w:marRight w:val="0"/>
      <w:marTop w:val="0"/>
      <w:marBottom w:val="0"/>
      <w:divBdr>
        <w:top w:val="none" w:sz="0" w:space="0" w:color="auto"/>
        <w:left w:val="none" w:sz="0" w:space="0" w:color="auto"/>
        <w:bottom w:val="none" w:sz="0" w:space="0" w:color="auto"/>
        <w:right w:val="none" w:sz="0" w:space="0" w:color="auto"/>
      </w:divBdr>
    </w:div>
    <w:div w:id="97023891">
      <w:bodyDiv w:val="1"/>
      <w:marLeft w:val="0"/>
      <w:marRight w:val="0"/>
      <w:marTop w:val="0"/>
      <w:marBottom w:val="0"/>
      <w:divBdr>
        <w:top w:val="none" w:sz="0" w:space="0" w:color="auto"/>
        <w:left w:val="none" w:sz="0" w:space="0" w:color="auto"/>
        <w:bottom w:val="none" w:sz="0" w:space="0" w:color="auto"/>
        <w:right w:val="none" w:sz="0" w:space="0" w:color="auto"/>
      </w:divBdr>
    </w:div>
    <w:div w:id="217324874">
      <w:bodyDiv w:val="1"/>
      <w:marLeft w:val="0"/>
      <w:marRight w:val="0"/>
      <w:marTop w:val="0"/>
      <w:marBottom w:val="0"/>
      <w:divBdr>
        <w:top w:val="none" w:sz="0" w:space="0" w:color="auto"/>
        <w:left w:val="none" w:sz="0" w:space="0" w:color="auto"/>
        <w:bottom w:val="none" w:sz="0" w:space="0" w:color="auto"/>
        <w:right w:val="none" w:sz="0" w:space="0" w:color="auto"/>
      </w:divBdr>
    </w:div>
    <w:div w:id="359598135">
      <w:bodyDiv w:val="1"/>
      <w:marLeft w:val="0"/>
      <w:marRight w:val="0"/>
      <w:marTop w:val="0"/>
      <w:marBottom w:val="0"/>
      <w:divBdr>
        <w:top w:val="none" w:sz="0" w:space="0" w:color="auto"/>
        <w:left w:val="none" w:sz="0" w:space="0" w:color="auto"/>
        <w:bottom w:val="none" w:sz="0" w:space="0" w:color="auto"/>
        <w:right w:val="none" w:sz="0" w:space="0" w:color="auto"/>
      </w:divBdr>
    </w:div>
    <w:div w:id="383984763">
      <w:bodyDiv w:val="1"/>
      <w:marLeft w:val="0"/>
      <w:marRight w:val="0"/>
      <w:marTop w:val="0"/>
      <w:marBottom w:val="0"/>
      <w:divBdr>
        <w:top w:val="none" w:sz="0" w:space="0" w:color="auto"/>
        <w:left w:val="none" w:sz="0" w:space="0" w:color="auto"/>
        <w:bottom w:val="none" w:sz="0" w:space="0" w:color="auto"/>
        <w:right w:val="none" w:sz="0" w:space="0" w:color="auto"/>
      </w:divBdr>
    </w:div>
    <w:div w:id="680396027">
      <w:bodyDiv w:val="1"/>
      <w:marLeft w:val="0"/>
      <w:marRight w:val="0"/>
      <w:marTop w:val="0"/>
      <w:marBottom w:val="0"/>
      <w:divBdr>
        <w:top w:val="none" w:sz="0" w:space="0" w:color="auto"/>
        <w:left w:val="none" w:sz="0" w:space="0" w:color="auto"/>
        <w:bottom w:val="none" w:sz="0" w:space="0" w:color="auto"/>
        <w:right w:val="none" w:sz="0" w:space="0" w:color="auto"/>
      </w:divBdr>
    </w:div>
    <w:div w:id="868878402">
      <w:bodyDiv w:val="1"/>
      <w:marLeft w:val="0"/>
      <w:marRight w:val="0"/>
      <w:marTop w:val="0"/>
      <w:marBottom w:val="0"/>
      <w:divBdr>
        <w:top w:val="none" w:sz="0" w:space="0" w:color="auto"/>
        <w:left w:val="none" w:sz="0" w:space="0" w:color="auto"/>
        <w:bottom w:val="none" w:sz="0" w:space="0" w:color="auto"/>
        <w:right w:val="none" w:sz="0" w:space="0" w:color="auto"/>
      </w:divBdr>
    </w:div>
    <w:div w:id="1044259705">
      <w:bodyDiv w:val="1"/>
      <w:marLeft w:val="0"/>
      <w:marRight w:val="0"/>
      <w:marTop w:val="0"/>
      <w:marBottom w:val="0"/>
      <w:divBdr>
        <w:top w:val="none" w:sz="0" w:space="0" w:color="auto"/>
        <w:left w:val="none" w:sz="0" w:space="0" w:color="auto"/>
        <w:bottom w:val="none" w:sz="0" w:space="0" w:color="auto"/>
        <w:right w:val="none" w:sz="0" w:space="0" w:color="auto"/>
      </w:divBdr>
      <w:divsChild>
        <w:div w:id="1649092826">
          <w:marLeft w:val="0"/>
          <w:marRight w:val="0"/>
          <w:marTop w:val="0"/>
          <w:marBottom w:val="0"/>
          <w:divBdr>
            <w:top w:val="none" w:sz="0" w:space="0" w:color="auto"/>
            <w:left w:val="none" w:sz="0" w:space="0" w:color="auto"/>
            <w:bottom w:val="none" w:sz="0" w:space="0" w:color="auto"/>
            <w:right w:val="none" w:sz="0" w:space="0" w:color="auto"/>
          </w:divBdr>
          <w:divsChild>
            <w:div w:id="834807870">
              <w:marLeft w:val="0"/>
              <w:marRight w:val="0"/>
              <w:marTop w:val="0"/>
              <w:marBottom w:val="0"/>
              <w:divBdr>
                <w:top w:val="none" w:sz="0" w:space="0" w:color="auto"/>
                <w:left w:val="none" w:sz="0" w:space="0" w:color="auto"/>
                <w:bottom w:val="none" w:sz="0" w:space="0" w:color="auto"/>
                <w:right w:val="none" w:sz="0" w:space="0" w:color="auto"/>
              </w:divBdr>
              <w:divsChild>
                <w:div w:id="1948656534">
                  <w:marLeft w:val="0"/>
                  <w:marRight w:val="0"/>
                  <w:marTop w:val="0"/>
                  <w:marBottom w:val="0"/>
                  <w:divBdr>
                    <w:top w:val="none" w:sz="0" w:space="0" w:color="auto"/>
                    <w:left w:val="none" w:sz="0" w:space="0" w:color="auto"/>
                    <w:bottom w:val="none" w:sz="0" w:space="0" w:color="auto"/>
                    <w:right w:val="none" w:sz="0" w:space="0" w:color="auto"/>
                  </w:divBdr>
                  <w:divsChild>
                    <w:div w:id="804935869">
                      <w:marLeft w:val="0"/>
                      <w:marRight w:val="0"/>
                      <w:marTop w:val="0"/>
                      <w:marBottom w:val="0"/>
                      <w:divBdr>
                        <w:top w:val="none" w:sz="0" w:space="0" w:color="auto"/>
                        <w:left w:val="none" w:sz="0" w:space="0" w:color="auto"/>
                        <w:bottom w:val="none" w:sz="0" w:space="0" w:color="auto"/>
                        <w:right w:val="none" w:sz="0" w:space="0" w:color="auto"/>
                      </w:divBdr>
                      <w:divsChild>
                        <w:div w:id="1903176068">
                          <w:marLeft w:val="0"/>
                          <w:marRight w:val="0"/>
                          <w:marTop w:val="45"/>
                          <w:marBottom w:val="0"/>
                          <w:divBdr>
                            <w:top w:val="none" w:sz="0" w:space="0" w:color="auto"/>
                            <w:left w:val="none" w:sz="0" w:space="0" w:color="auto"/>
                            <w:bottom w:val="none" w:sz="0" w:space="0" w:color="auto"/>
                            <w:right w:val="none" w:sz="0" w:space="0" w:color="auto"/>
                          </w:divBdr>
                          <w:divsChild>
                            <w:div w:id="1132989857">
                              <w:marLeft w:val="0"/>
                              <w:marRight w:val="0"/>
                              <w:marTop w:val="0"/>
                              <w:marBottom w:val="0"/>
                              <w:divBdr>
                                <w:top w:val="none" w:sz="0" w:space="0" w:color="auto"/>
                                <w:left w:val="none" w:sz="0" w:space="0" w:color="auto"/>
                                <w:bottom w:val="none" w:sz="0" w:space="0" w:color="auto"/>
                                <w:right w:val="none" w:sz="0" w:space="0" w:color="auto"/>
                              </w:divBdr>
                              <w:divsChild>
                                <w:div w:id="1769693406">
                                  <w:marLeft w:val="2070"/>
                                  <w:marRight w:val="3810"/>
                                  <w:marTop w:val="0"/>
                                  <w:marBottom w:val="0"/>
                                  <w:divBdr>
                                    <w:top w:val="none" w:sz="0" w:space="0" w:color="auto"/>
                                    <w:left w:val="none" w:sz="0" w:space="0" w:color="auto"/>
                                    <w:bottom w:val="none" w:sz="0" w:space="0" w:color="auto"/>
                                    <w:right w:val="none" w:sz="0" w:space="0" w:color="auto"/>
                                  </w:divBdr>
                                  <w:divsChild>
                                    <w:div w:id="1542009345">
                                      <w:marLeft w:val="0"/>
                                      <w:marRight w:val="0"/>
                                      <w:marTop w:val="0"/>
                                      <w:marBottom w:val="0"/>
                                      <w:divBdr>
                                        <w:top w:val="none" w:sz="0" w:space="0" w:color="auto"/>
                                        <w:left w:val="none" w:sz="0" w:space="0" w:color="auto"/>
                                        <w:bottom w:val="none" w:sz="0" w:space="0" w:color="auto"/>
                                        <w:right w:val="none" w:sz="0" w:space="0" w:color="auto"/>
                                      </w:divBdr>
                                      <w:divsChild>
                                        <w:div w:id="1200626449">
                                          <w:marLeft w:val="0"/>
                                          <w:marRight w:val="0"/>
                                          <w:marTop w:val="0"/>
                                          <w:marBottom w:val="0"/>
                                          <w:divBdr>
                                            <w:top w:val="none" w:sz="0" w:space="0" w:color="auto"/>
                                            <w:left w:val="none" w:sz="0" w:space="0" w:color="auto"/>
                                            <w:bottom w:val="none" w:sz="0" w:space="0" w:color="auto"/>
                                            <w:right w:val="none" w:sz="0" w:space="0" w:color="auto"/>
                                          </w:divBdr>
                                          <w:divsChild>
                                            <w:div w:id="1664970531">
                                              <w:marLeft w:val="0"/>
                                              <w:marRight w:val="0"/>
                                              <w:marTop w:val="0"/>
                                              <w:marBottom w:val="0"/>
                                              <w:divBdr>
                                                <w:top w:val="none" w:sz="0" w:space="0" w:color="auto"/>
                                                <w:left w:val="none" w:sz="0" w:space="0" w:color="auto"/>
                                                <w:bottom w:val="none" w:sz="0" w:space="0" w:color="auto"/>
                                                <w:right w:val="none" w:sz="0" w:space="0" w:color="auto"/>
                                              </w:divBdr>
                                              <w:divsChild>
                                                <w:div w:id="1990593249">
                                                  <w:marLeft w:val="0"/>
                                                  <w:marRight w:val="0"/>
                                                  <w:marTop w:val="0"/>
                                                  <w:marBottom w:val="0"/>
                                                  <w:divBdr>
                                                    <w:top w:val="none" w:sz="0" w:space="0" w:color="auto"/>
                                                    <w:left w:val="none" w:sz="0" w:space="0" w:color="auto"/>
                                                    <w:bottom w:val="none" w:sz="0" w:space="0" w:color="auto"/>
                                                    <w:right w:val="none" w:sz="0" w:space="0" w:color="auto"/>
                                                  </w:divBdr>
                                                  <w:divsChild>
                                                    <w:div w:id="1220046058">
                                                      <w:marLeft w:val="0"/>
                                                      <w:marRight w:val="0"/>
                                                      <w:marTop w:val="0"/>
                                                      <w:marBottom w:val="0"/>
                                                      <w:divBdr>
                                                        <w:top w:val="none" w:sz="0" w:space="0" w:color="auto"/>
                                                        <w:left w:val="none" w:sz="0" w:space="0" w:color="auto"/>
                                                        <w:bottom w:val="none" w:sz="0" w:space="0" w:color="auto"/>
                                                        <w:right w:val="none" w:sz="0" w:space="0" w:color="auto"/>
                                                      </w:divBdr>
                                                      <w:divsChild>
                                                        <w:div w:id="1941327335">
                                                          <w:marLeft w:val="0"/>
                                                          <w:marRight w:val="0"/>
                                                          <w:marTop w:val="0"/>
                                                          <w:marBottom w:val="345"/>
                                                          <w:divBdr>
                                                            <w:top w:val="none" w:sz="0" w:space="0" w:color="auto"/>
                                                            <w:left w:val="none" w:sz="0" w:space="0" w:color="auto"/>
                                                            <w:bottom w:val="none" w:sz="0" w:space="0" w:color="auto"/>
                                                            <w:right w:val="none" w:sz="0" w:space="0" w:color="auto"/>
                                                          </w:divBdr>
                                                          <w:divsChild>
                                                            <w:div w:id="1660620867">
                                                              <w:marLeft w:val="0"/>
                                                              <w:marRight w:val="0"/>
                                                              <w:marTop w:val="0"/>
                                                              <w:marBottom w:val="0"/>
                                                              <w:divBdr>
                                                                <w:top w:val="none" w:sz="0" w:space="0" w:color="auto"/>
                                                                <w:left w:val="none" w:sz="0" w:space="0" w:color="auto"/>
                                                                <w:bottom w:val="none" w:sz="0" w:space="0" w:color="auto"/>
                                                                <w:right w:val="none" w:sz="0" w:space="0" w:color="auto"/>
                                                              </w:divBdr>
                                                              <w:divsChild>
                                                                <w:div w:id="704451691">
                                                                  <w:marLeft w:val="0"/>
                                                                  <w:marRight w:val="0"/>
                                                                  <w:marTop w:val="0"/>
                                                                  <w:marBottom w:val="0"/>
                                                                  <w:divBdr>
                                                                    <w:top w:val="none" w:sz="0" w:space="0" w:color="auto"/>
                                                                    <w:left w:val="none" w:sz="0" w:space="0" w:color="auto"/>
                                                                    <w:bottom w:val="none" w:sz="0" w:space="0" w:color="auto"/>
                                                                    <w:right w:val="none" w:sz="0" w:space="0" w:color="auto"/>
                                                                  </w:divBdr>
                                                                  <w:divsChild>
                                                                    <w:div w:id="1881546655">
                                                                      <w:marLeft w:val="0"/>
                                                                      <w:marRight w:val="0"/>
                                                                      <w:marTop w:val="0"/>
                                                                      <w:marBottom w:val="0"/>
                                                                      <w:divBdr>
                                                                        <w:top w:val="none" w:sz="0" w:space="0" w:color="auto"/>
                                                                        <w:left w:val="none" w:sz="0" w:space="0" w:color="auto"/>
                                                                        <w:bottom w:val="none" w:sz="0" w:space="0" w:color="auto"/>
                                                                        <w:right w:val="none" w:sz="0" w:space="0" w:color="auto"/>
                                                                      </w:divBdr>
                                                                      <w:divsChild>
                                                                        <w:div w:id="1678145017">
                                                                          <w:marLeft w:val="0"/>
                                                                          <w:marRight w:val="0"/>
                                                                          <w:marTop w:val="0"/>
                                                                          <w:marBottom w:val="0"/>
                                                                          <w:divBdr>
                                                                            <w:top w:val="none" w:sz="0" w:space="0" w:color="auto"/>
                                                                            <w:left w:val="none" w:sz="0" w:space="0" w:color="auto"/>
                                                                            <w:bottom w:val="none" w:sz="0" w:space="0" w:color="auto"/>
                                                                            <w:right w:val="none" w:sz="0" w:space="0" w:color="auto"/>
                                                                          </w:divBdr>
                                                                          <w:divsChild>
                                                                            <w:div w:id="1531913688">
                                                                              <w:marLeft w:val="0"/>
                                                                              <w:marRight w:val="0"/>
                                                                              <w:marTop w:val="0"/>
                                                                              <w:marBottom w:val="0"/>
                                                                              <w:divBdr>
                                                                                <w:top w:val="none" w:sz="0" w:space="0" w:color="auto"/>
                                                                                <w:left w:val="none" w:sz="0" w:space="0" w:color="auto"/>
                                                                                <w:bottom w:val="none" w:sz="0" w:space="0" w:color="auto"/>
                                                                                <w:right w:val="none" w:sz="0" w:space="0" w:color="auto"/>
                                                                              </w:divBdr>
                                                                              <w:divsChild>
                                                                                <w:div w:id="1623612388">
                                                                                  <w:marLeft w:val="0"/>
                                                                                  <w:marRight w:val="0"/>
                                                                                  <w:marTop w:val="0"/>
                                                                                  <w:marBottom w:val="0"/>
                                                                                  <w:divBdr>
                                                                                    <w:top w:val="none" w:sz="0" w:space="0" w:color="auto"/>
                                                                                    <w:left w:val="none" w:sz="0" w:space="0" w:color="auto"/>
                                                                                    <w:bottom w:val="none" w:sz="0" w:space="0" w:color="auto"/>
                                                                                    <w:right w:val="none" w:sz="0" w:space="0" w:color="auto"/>
                                                                                  </w:divBdr>
                                                                                  <w:divsChild>
                                                                                    <w:div w:id="1108282952">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88661">
      <w:bodyDiv w:val="1"/>
      <w:marLeft w:val="0"/>
      <w:marRight w:val="0"/>
      <w:marTop w:val="0"/>
      <w:marBottom w:val="0"/>
      <w:divBdr>
        <w:top w:val="none" w:sz="0" w:space="0" w:color="auto"/>
        <w:left w:val="none" w:sz="0" w:space="0" w:color="auto"/>
        <w:bottom w:val="none" w:sz="0" w:space="0" w:color="auto"/>
        <w:right w:val="none" w:sz="0" w:space="0" w:color="auto"/>
      </w:divBdr>
    </w:div>
    <w:div w:id="114835286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6082381">
      <w:bodyDiv w:val="1"/>
      <w:marLeft w:val="0"/>
      <w:marRight w:val="0"/>
      <w:marTop w:val="0"/>
      <w:marBottom w:val="0"/>
      <w:divBdr>
        <w:top w:val="none" w:sz="0" w:space="0" w:color="auto"/>
        <w:left w:val="none" w:sz="0" w:space="0" w:color="auto"/>
        <w:bottom w:val="none" w:sz="0" w:space="0" w:color="auto"/>
        <w:right w:val="none" w:sz="0" w:space="0" w:color="auto"/>
      </w:divBdr>
    </w:div>
    <w:div w:id="1896895691">
      <w:bodyDiv w:val="1"/>
      <w:marLeft w:val="0"/>
      <w:marRight w:val="0"/>
      <w:marTop w:val="0"/>
      <w:marBottom w:val="0"/>
      <w:divBdr>
        <w:top w:val="none" w:sz="0" w:space="0" w:color="auto"/>
        <w:left w:val="none" w:sz="0" w:space="0" w:color="auto"/>
        <w:bottom w:val="none" w:sz="0" w:space="0" w:color="auto"/>
        <w:right w:val="none" w:sz="0" w:space="0" w:color="auto"/>
      </w:divBdr>
      <w:divsChild>
        <w:div w:id="2061903414">
          <w:marLeft w:val="1080"/>
          <w:marRight w:val="0"/>
          <w:marTop w:val="100"/>
          <w:marBottom w:val="0"/>
          <w:divBdr>
            <w:top w:val="none" w:sz="0" w:space="0" w:color="auto"/>
            <w:left w:val="none" w:sz="0" w:space="0" w:color="auto"/>
            <w:bottom w:val="none" w:sz="0" w:space="0" w:color="auto"/>
            <w:right w:val="none" w:sz="0" w:space="0" w:color="auto"/>
          </w:divBdr>
        </w:div>
      </w:divsChild>
    </w:div>
    <w:div w:id="20478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gob.hn/media/files/leyes/LC_10.pdf" TargetMode="External"/><Relationship Id="rId1" Type="http://schemas.openxmlformats.org/officeDocument/2006/relationships/hyperlink" Target="http://www.tsc.gob.hn/biblioteca/index.php/leyes/128-ley-para-establecimiento-de-una-vision-de-pais-y-la-adpcion-de-un-plan-de-nacion-para-hondur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COUNTRYRC-282-129</_dlc_DocId>
    <_dlc_DocIdUrl xmlns="0ef20fb3-a26c-4caf-ac31-29a8d9579bf7">
      <Url>https://intranet.undp.org/country/rc/RSCLAC/coreteam/_layouts/DocIdRedir.aspx?ID=COUNTRYRC-282-129</Url>
      <Description>COUNTRYRC-282-129</Description>
    </_dlc_DocIdUrl>
    <CATEGORIA xmlns="91e6ed41-92ca-46fd-adf9-4b1d56630478" xsi:nil="true"/>
    <COUNTRY xmlns="91e6ed41-92ca-46fd-adf9-4b1d56630478" xsi:nil="true"/>
    <Region xmlns="91e6ed41-92ca-46fd-adf9-4b1d566304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24EDE281AD904BB4F66A8FC9DA3A59" ma:contentTypeVersion="5" ma:contentTypeDescription="Create a new document." ma:contentTypeScope="" ma:versionID="966bb39667dc325eb88569bb811a59d4">
  <xsd:schema xmlns:xsd="http://www.w3.org/2001/XMLSchema" xmlns:xs="http://www.w3.org/2001/XMLSchema" xmlns:p="http://schemas.microsoft.com/office/2006/metadata/properties" xmlns:ns2="0ef20fb3-a26c-4caf-ac31-29a8d9579bf7" xmlns:ns3="91e6ed41-92ca-46fd-adf9-4b1d56630478" targetNamespace="http://schemas.microsoft.com/office/2006/metadata/properties" ma:root="true" ma:fieldsID="94dc30ee3753ad1dd36cfd736cd8d3b8" ns2:_="" ns3:_="">
    <xsd:import namespace="0ef20fb3-a26c-4caf-ac31-29a8d9579bf7"/>
    <xsd:import namespace="91e6ed41-92ca-46fd-adf9-4b1d56630478"/>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CATEGORIA" minOccurs="0"/>
                <xsd:element ref="ns3: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e6ed41-92ca-46fd-adf9-4b1d56630478" elementFormDefault="qualified">
    <xsd:import namespace="http://schemas.microsoft.com/office/2006/documentManagement/types"/>
    <xsd:import namespace="http://schemas.microsoft.com/office/infopath/2007/PartnerControls"/>
    <xsd:element name="COUNTRY" ma:index="11" nillable="true" ma:displayName="COUNTRY" ma:format="Dropdown" ma:internalName="COUNTRY">
      <xsd:simpleType>
        <xsd:restriction base="dms:Choice">
          <xsd:enumeration value="Argentina"/>
          <xsd:enumeration value="Barbados"/>
          <xsd:enumeration value="Belize"/>
          <xsd:enumeration value="Bolivia"/>
          <xsd:enumeration value="Brazil"/>
          <xsd:enumeration value="Chile"/>
          <xsd:enumeration value="Colombia"/>
          <xsd:enumeration value="Costa Rica"/>
          <xsd:enumeration value="Cuba"/>
          <xsd:enumeration value="Dominican Republic"/>
          <xsd:enumeration value="Ecuador"/>
          <xsd:enumeration value="El Salvador"/>
          <xsd:enumeration value="Guatemala"/>
          <xsd:enumeration value="Guyana"/>
          <xsd:enumeration value="Haiti"/>
          <xsd:enumeration value="Honduras"/>
          <xsd:enumeration value="Jamaica"/>
          <xsd:enumeration value="Mexico"/>
          <xsd:enumeration value="Nicaragua"/>
          <xsd:enumeration value="Panama"/>
          <xsd:enumeration value="Paraguay"/>
          <xsd:enumeration value="Peru"/>
          <xsd:enumeration value="Suriname"/>
          <xsd:enumeration value="Trinidad &amp; Tobago"/>
          <xsd:enumeration value="Uruguay"/>
          <xsd:enumeration value="Venezuela"/>
        </xsd:restriction>
      </xsd:simpleType>
    </xsd:element>
    <xsd:element name="CATEGORIA" ma:index="12" nillable="true" ma:displayName="CATEGORIA" ma:format="Dropdown" ma:internalName="CATEGORIA">
      <xsd:simpleType>
        <xsd:restriction base="dms:Choice">
          <xsd:enumeration value="CPD"/>
          <xsd:enumeration value="IWP"/>
        </xsd:restriction>
      </xsd:simpleType>
    </xsd:element>
    <xsd:element name="Region" ma:index="13" nillable="true" ma:displayName="Region" ma:format="Dropdown" ma:internalName="Region">
      <xsd:simpleType>
        <xsd:restriction base="dms:Choice">
          <xsd:enumeration value="LAC"/>
          <xsd:enumeration value="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0ef20fb3-a26c-4caf-ac31-29a8d9579bf7"/>
    <ds:schemaRef ds:uri="91e6ed41-92ca-46fd-adf9-4b1d56630478"/>
  </ds:schemaRefs>
</ds:datastoreItem>
</file>

<file path=customXml/itemProps4.xml><?xml version="1.0" encoding="utf-8"?>
<ds:datastoreItem xmlns:ds="http://schemas.openxmlformats.org/officeDocument/2006/customXml" ds:itemID="{4CBB905B-B74C-4346-BD21-2082ED7B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91e6ed41-92ca-46fd-adf9-4b1d56630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098FE-CF79-438E-959D-15901C37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5187</Words>
  <Characters>32419</Characters>
  <Application>Microsoft Office Word</Application>
  <DocSecurity>0</DocSecurity>
  <Lines>831</Lines>
  <Paragraphs>252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37354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2016-03-28T18:24:00Z</cp:lastPrinted>
  <dcterms:created xsi:type="dcterms:W3CDTF">2016-06-14T15:13:00Z</dcterms:created>
  <dcterms:modified xsi:type="dcterms:W3CDTF">2016-06-14T15:13:00Z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0x0101002224EDE281AD904BB4F66A8FC9DA3A59</vt:lpwstr>
  </property>
  <property fmtid="{D5CDD505-2E9C-101B-9397-08002B2CF9AE}" pid="3" name="_dlc_DocIdItemGuid">
    <vt:lpwstr>97361144-64ae-4b02-b170-48c8d2ddccdd</vt:lpwstr>
  </property>
</Properties>
</file>