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4F1858" w:rsidRDefault="003B3AA5" w:rsidP="00D206A4">
      <w:pPr>
        <w:pStyle w:val="Heading3"/>
        <w:spacing w:before="0"/>
        <w:jc w:val="left"/>
        <w:rPr>
          <w:rFonts w:asciiTheme="minorHAnsi" w:hAnsiTheme="minorHAnsi"/>
          <w:b/>
        </w:rPr>
      </w:pPr>
      <w:bookmarkStart w:id="0" w:name="_GoBack"/>
      <w:bookmarkEnd w:id="0"/>
      <w:r w:rsidRPr="004F1858">
        <w:rPr>
          <w:rFonts w:asciiTheme="minorHAnsi" w:hAnsiTheme="minorHAnsi"/>
          <w:b/>
        </w:rPr>
        <w:t>Country:</w:t>
      </w:r>
      <w:r w:rsidRPr="004F1858">
        <w:rPr>
          <w:rFonts w:asciiTheme="minorHAnsi" w:hAnsiTheme="minorHAnsi"/>
          <w:b/>
        </w:rPr>
        <w:tab/>
      </w:r>
      <w:r w:rsidRPr="004F1858">
        <w:rPr>
          <w:rFonts w:asciiTheme="minorHAnsi" w:hAnsiTheme="minorHAnsi"/>
          <w:b/>
        </w:rPr>
        <w:tab/>
        <w:t>LEBANON</w:t>
      </w:r>
    </w:p>
    <w:p w:rsidR="005C6168" w:rsidRPr="004F1858" w:rsidRDefault="005C6168" w:rsidP="00D206A4">
      <w:pPr>
        <w:pStyle w:val="Heading3"/>
        <w:spacing w:before="0"/>
        <w:rPr>
          <w:rFonts w:asciiTheme="minorHAnsi" w:hAnsiTheme="minorHAnsi"/>
          <w:b/>
        </w:rPr>
      </w:pPr>
    </w:p>
    <w:p w:rsidR="005C6168" w:rsidRPr="004F1858" w:rsidRDefault="00BC38E0" w:rsidP="00D206A4">
      <w:pPr>
        <w:pStyle w:val="Heading3"/>
        <w:spacing w:before="0"/>
        <w:rPr>
          <w:rFonts w:asciiTheme="minorHAnsi" w:hAnsiTheme="minorHAnsi"/>
          <w:b/>
        </w:rPr>
      </w:pPr>
      <w:r w:rsidRPr="004F1858">
        <w:rPr>
          <w:rFonts w:asciiTheme="minorHAnsi" w:hAnsiTheme="minorHAnsi"/>
          <w:b/>
        </w:rPr>
        <w:t>COUNTRY PROGRAMME</w:t>
      </w:r>
      <w:r w:rsidR="00B32ADA" w:rsidRPr="004F1858">
        <w:rPr>
          <w:rFonts w:asciiTheme="minorHAnsi" w:hAnsiTheme="minorHAnsi"/>
          <w:b/>
        </w:rPr>
        <w:t xml:space="preserve"> PERFORMANCE SUMMARY</w:t>
      </w:r>
    </w:p>
    <w:p w:rsidR="005C6168" w:rsidRPr="004F1858" w:rsidRDefault="005C6168" w:rsidP="00D206A4">
      <w:pPr>
        <w:pStyle w:val="Heading3"/>
        <w:spacing w:before="0"/>
        <w:rPr>
          <w:rFonts w:asciiTheme="minorHAnsi" w:hAnsiTheme="minorHAnsi"/>
          <w:b/>
        </w:rPr>
      </w:pPr>
    </w:p>
    <w:p w:rsidR="005C6168" w:rsidRPr="004F1858" w:rsidRDefault="005C6168" w:rsidP="00D206A4">
      <w:pPr>
        <w:pStyle w:val="Heading3"/>
        <w:spacing w:before="0"/>
        <w:jc w:val="left"/>
        <w:rPr>
          <w:rFonts w:asciiTheme="minorHAnsi" w:hAnsiTheme="minorHAnsi"/>
          <w:b/>
        </w:rPr>
      </w:pPr>
      <w:r w:rsidRPr="004F1858">
        <w:rPr>
          <w:rFonts w:asciiTheme="minorHAnsi" w:hAnsiTheme="minorHAnsi"/>
          <w:b/>
        </w:rPr>
        <w:t xml:space="preserve">Reporting period: </w:t>
      </w:r>
      <w:r w:rsidRPr="004F1858">
        <w:rPr>
          <w:rFonts w:asciiTheme="minorHAnsi" w:hAnsiTheme="minorHAnsi"/>
          <w:b/>
        </w:rPr>
        <w:tab/>
      </w:r>
      <w:r w:rsidR="003B3AA5" w:rsidRPr="004F1858">
        <w:rPr>
          <w:rFonts w:asciiTheme="minorHAnsi" w:hAnsiTheme="minorHAnsi"/>
          <w:b/>
        </w:rPr>
        <w:t>2010-201</w:t>
      </w:r>
      <w:r w:rsidR="00F35B61" w:rsidRPr="004F1858">
        <w:rPr>
          <w:rFonts w:asciiTheme="minorHAnsi" w:hAnsiTheme="minorHAnsi"/>
          <w:b/>
        </w:rPr>
        <w:t>5</w:t>
      </w:r>
    </w:p>
    <w:p w:rsidR="005C6168" w:rsidRPr="004F1858" w:rsidRDefault="005C6168" w:rsidP="00D206A4">
      <w:pPr>
        <w:pStyle w:val="Heading3"/>
        <w:spacing w:before="0"/>
        <w:rPr>
          <w:rFonts w:asciiTheme="minorHAnsi" w:hAnsiTheme="minorHAnsi"/>
        </w:rPr>
      </w:pPr>
    </w:p>
    <w:p w:rsidR="005C6168" w:rsidRPr="004F1858" w:rsidRDefault="005C6168" w:rsidP="00D206A4">
      <w:pPr>
        <w:rPr>
          <w:rFonts w:asciiTheme="minorHAnsi" w:hAnsiTheme="minorHAnsi"/>
        </w:rPr>
      </w:pPr>
    </w:p>
    <w:p w:rsidR="005C6168" w:rsidRPr="004F1858" w:rsidRDefault="005C6168" w:rsidP="00D206A4">
      <w:pPr>
        <w:pStyle w:val="Heading3"/>
        <w:rPr>
          <w:rFonts w:asciiTheme="minorHAnsi" w:hAnsiTheme="minorHAnsi"/>
          <w:b/>
        </w:rPr>
      </w:pPr>
      <w:r w:rsidRPr="004F1858">
        <w:rPr>
          <w:rFonts w:asciiTheme="minorHAnsi" w:hAnsiTheme="minorHAnsi"/>
          <w:b/>
        </w:rPr>
        <w:t xml:space="preserve">I.  </w:t>
      </w:r>
      <w:r w:rsidR="0064746F" w:rsidRPr="004F1858">
        <w:rPr>
          <w:rFonts w:asciiTheme="minorHAnsi" w:hAnsiTheme="minorHAnsi"/>
          <w:b/>
        </w:rPr>
        <w:t>EXECUTIVE SUMMARY</w:t>
      </w:r>
    </w:p>
    <w:p w:rsidR="00F826EC" w:rsidRPr="004F1858" w:rsidRDefault="00346776" w:rsidP="00D206A4">
      <w:pPr>
        <w:rPr>
          <w:rFonts w:asciiTheme="minorHAnsi" w:hAnsiTheme="minorHAnsi"/>
        </w:rPr>
      </w:pPr>
      <w:r w:rsidRPr="004F1858">
        <w:rPr>
          <w:rFonts w:asciiTheme="minorHAnsi" w:hAnsiTheme="minorHAnsi"/>
        </w:rPr>
        <w:t>The UNDP Country Programme for Lebanon for 2010-2014 (extended to 2016 because of the Syrian crisis) focused on four areas, namely: (a) institutional development and democratic governance; (b) social development and regional disparities; (c) environmental sustainability; and (d) conflict prevention and peacebuilding, with national reconciliation and peacebuilding constituting important elements in the governance and socio-economic programmes.</w:t>
      </w:r>
    </w:p>
    <w:p w:rsidR="00D206A4" w:rsidRPr="004F1858" w:rsidRDefault="00521B0B" w:rsidP="00D206A4">
      <w:pPr>
        <w:rPr>
          <w:rFonts w:asciiTheme="minorHAnsi" w:hAnsiTheme="minorHAnsi"/>
        </w:rPr>
      </w:pPr>
      <w:r w:rsidRPr="004F1858">
        <w:rPr>
          <w:rFonts w:asciiTheme="minorHAnsi" w:hAnsiTheme="minorHAnsi"/>
        </w:rPr>
        <w:t>The main feature of the evolution of the situation in Lebanon since 2011 has been the increasingly negative impact on the security, governance, socio-economic and environmental situation in the country of a prolonged Syrian crisis, now in its sixth year.</w:t>
      </w:r>
      <w:r w:rsidR="00D206A4" w:rsidRPr="004F1858">
        <w:rPr>
          <w:rFonts w:asciiTheme="minorHAnsi" w:hAnsiTheme="minorHAnsi"/>
        </w:rPr>
        <w:t xml:space="preserve"> In the context of this crisis, </w:t>
      </w:r>
      <w:r w:rsidRPr="004F1858">
        <w:rPr>
          <w:rFonts w:asciiTheme="minorHAnsi" w:hAnsiTheme="minorHAnsi"/>
        </w:rPr>
        <w:t xml:space="preserve">UNDP was instrumental in bridging the humanitarian-development divide by steering the international response to the Syrian crisis towards resilience-based development programming and it was able to rapidly adapt and scale up its program to respond to the unfolding impacts of the crisis on the country. </w:t>
      </w:r>
    </w:p>
    <w:p w:rsidR="00521B0B" w:rsidRPr="004F1858" w:rsidRDefault="00521B0B" w:rsidP="00D206A4">
      <w:pPr>
        <w:rPr>
          <w:rFonts w:asciiTheme="minorHAnsi" w:hAnsiTheme="minorHAnsi"/>
        </w:rPr>
      </w:pPr>
      <w:r w:rsidRPr="004F1858">
        <w:rPr>
          <w:rFonts w:asciiTheme="minorHAnsi" w:hAnsiTheme="minorHAnsi"/>
        </w:rPr>
        <w:t xml:space="preserve">With funding increasing from 4 to 15 million, its local development program expanded from 50 to 146 communities, engaging municipalities and communities in improving livelihoods and service provision in a conflict sensitive manner through 300 projects benefiting 800,000 vulnerable women, men, girls and boys. This helped reduce tensions between Lebanese and refugee communities, develop trust between community and municipality, helped municipalities envision their role beyond infrastructure and service delivery toward addressing social issues and strengthen the Ministry of Social Affairs’ (MoSA) ownership, leadership and capacity to respond. The establishment of 4 Local Economic Development Agencies (LEDAs) also provides a solid foundation for expansion of economic activity.  </w:t>
      </w:r>
    </w:p>
    <w:p w:rsidR="00521B0B" w:rsidRPr="004F1858" w:rsidRDefault="00521B0B" w:rsidP="00D206A4">
      <w:pPr>
        <w:rPr>
          <w:rFonts w:asciiTheme="minorHAnsi" w:hAnsiTheme="minorHAnsi"/>
        </w:rPr>
      </w:pPr>
      <w:r w:rsidRPr="004F1858">
        <w:rPr>
          <w:rFonts w:asciiTheme="minorHAnsi" w:hAnsiTheme="minorHAnsi"/>
        </w:rPr>
        <w:t>Building on work focussed on recovering from previous conflicts and maintaining peace, such as supporting demining operations, addressing needs of Palestinian gatherings outside of UNRWA’s mandate, and national and local dialogues on Palestinian Refugee issues, with active media involvement, UNDP was able to integrate the Palestinian issue in the Syria crisis response, undertake rapid conflict risk analyses, expand the network of local peace structures and dialogues that contributed to the reduction of tensions. It has also begun supporting a national network of security cells and sensitive community policing.</w:t>
      </w:r>
    </w:p>
    <w:p w:rsidR="00521B0B" w:rsidRPr="004F1858" w:rsidRDefault="00521B0B" w:rsidP="00D206A4">
      <w:pPr>
        <w:rPr>
          <w:rFonts w:asciiTheme="minorHAnsi" w:hAnsiTheme="minorHAnsi"/>
        </w:rPr>
      </w:pPr>
      <w:r w:rsidRPr="004F1858">
        <w:rPr>
          <w:rFonts w:asciiTheme="minorHAnsi" w:hAnsiTheme="minorHAnsi"/>
        </w:rPr>
        <w:t xml:space="preserve">Long-standing support for reform and capacity development at the central level has allowed UNDP to: facilitate the elaboration and implementation of several national strategies, the adoption of 134 reforms and policies on administrative reform, anti-corruption, elections, economy and trade, and debt and fiscal management; support documentation and diffusion of knowledge through 215 publications; and strengthen the capacity of key government strands on DRR. In 2010, UNDP was awarded the UN Public Service Award for supporting the Ministry of Interior and Municipalities (MoIM) conduct parliamentary elections to international standards, and it is currently preparing for upcoming municipal and parliamentary elections. </w:t>
      </w:r>
    </w:p>
    <w:p w:rsidR="00521B0B" w:rsidRPr="004F1858" w:rsidRDefault="00521B0B" w:rsidP="00D206A4">
      <w:pPr>
        <w:rPr>
          <w:rFonts w:asciiTheme="minorHAnsi" w:hAnsiTheme="minorHAnsi"/>
        </w:rPr>
      </w:pPr>
      <w:r w:rsidRPr="004F1858">
        <w:rPr>
          <w:rFonts w:asciiTheme="minorHAnsi" w:hAnsiTheme="minorHAnsi"/>
        </w:rPr>
        <w:t xml:space="preserve">UNDP’s Environment and Energy program has supported the passing of environmental mainstreaming legislation, assisted the Government in meeting international environmental convention requirements, including phasing-out Ozone Depleting Substances and reporting to the UN Framework Convention on Climate Change and the UN Convention to Combat Desertification.  In the sustainable energy sector, the implementation of pilot renewable energy and energy efficiency projects, technical studies and capacity building activities contributed to the formulation in 2011of a National Electricity </w:t>
      </w:r>
      <w:r w:rsidRPr="004F1858">
        <w:rPr>
          <w:rFonts w:asciiTheme="minorHAnsi" w:hAnsiTheme="minorHAnsi"/>
        </w:rPr>
        <w:lastRenderedPageBreak/>
        <w:t xml:space="preserve">Sector Paper that included all these initiatives and policy recommendations, and commitment to a 12 percent renewable energy target by 2020. </w:t>
      </w:r>
    </w:p>
    <w:p w:rsidR="00D206A4" w:rsidRPr="004F1858" w:rsidRDefault="00521B0B" w:rsidP="00D206A4">
      <w:pPr>
        <w:rPr>
          <w:rFonts w:asciiTheme="minorHAnsi" w:hAnsiTheme="minorHAnsi"/>
        </w:rPr>
      </w:pPr>
      <w:r w:rsidRPr="004F1858">
        <w:rPr>
          <w:rFonts w:asciiTheme="minorHAnsi" w:hAnsiTheme="minorHAnsi"/>
        </w:rPr>
        <w:t xml:space="preserve">A recently completed CO Gender Strategy acknowledged increased participation of women in all stages of design and implementation of both local development and peace building interventions, and the targeting of women’s groups for economic and cultural development activities, that have contributed to reducing gender inequality, breaking traditional gender roles, and providing opportunities for them to demonstrate leadership and role model for younger women. It also notes lobbying for women’s representation and participation in national governance, despite obstacles faced at that level. </w:t>
      </w:r>
    </w:p>
    <w:p w:rsidR="00521B0B" w:rsidRPr="004F1858" w:rsidRDefault="00521B0B" w:rsidP="00D206A4">
      <w:pPr>
        <w:rPr>
          <w:rFonts w:asciiTheme="minorHAnsi" w:hAnsiTheme="minorHAnsi"/>
        </w:rPr>
      </w:pPr>
      <w:r w:rsidRPr="004F1858">
        <w:rPr>
          <w:rFonts w:asciiTheme="minorHAnsi" w:hAnsiTheme="minorHAnsi"/>
        </w:rPr>
        <w:t>During the past cycle, UNDP also refined its private sector strategy which calls for a systematization of work in this area through continued collaboration with the Ministry of Economy and Trade (MoET), entering into agreements with target enterprises and collective promotion of reform, research, coordination and corporate social responsibility. Experience and relationships developed through initiatives like Live Lebanon, support for the Investment Development Authority of Lebanon (IDAL) and private sector engagement in renewable energy provide foundations for continuing to strengthen partnerships with the private sector.</w:t>
      </w:r>
    </w:p>
    <w:p w:rsidR="00521B0B" w:rsidRPr="004F1858" w:rsidRDefault="00521B0B" w:rsidP="00D206A4">
      <w:pPr>
        <w:rPr>
          <w:rFonts w:asciiTheme="minorHAnsi" w:hAnsiTheme="minorHAnsi"/>
        </w:rPr>
      </w:pPr>
      <w:r w:rsidRPr="004F1858">
        <w:rPr>
          <w:rFonts w:asciiTheme="minorHAnsi" w:hAnsiTheme="minorHAnsi"/>
        </w:rPr>
        <w:t>The above achievements highlight UNDP’s close, trusting and wide-ranging relationship with Government, private sector and civil society at the national and sub-national levels, as well as its capacity to rapidly adapt and scale up programs in light of changing circumstances. It is uniquely placed, among sister UN and other international institutions, to provide a coordinating and integrating role at both national and sub-national levels and to facilitate linkages between these two levels. UNDP is the lead agency with regards the Resilience/Stabilization element of the Lebanon Crisis Response Plan (LCRP), an element of the Regional Refugee and Resilience Plan (3RP) in response to the Syrian crisis. In addition, UNDP also leads both the Social Stability and Livelihoods working groups, convening, negotiating and advancing the agenda on LCRP issues and ensuring an integrated response.</w:t>
      </w:r>
    </w:p>
    <w:p w:rsidR="0037523B" w:rsidRPr="004F1858" w:rsidRDefault="0037523B" w:rsidP="00D206A4">
      <w:pPr>
        <w:rPr>
          <w:rFonts w:asciiTheme="minorHAnsi" w:hAnsiTheme="minorHAnsi"/>
        </w:rPr>
      </w:pPr>
    </w:p>
    <w:p w:rsidR="0037523B" w:rsidRPr="004F1858" w:rsidRDefault="0037523B" w:rsidP="00D206A4">
      <w:pPr>
        <w:rPr>
          <w:rFonts w:asciiTheme="minorHAnsi" w:hAnsiTheme="minorHAnsi"/>
        </w:rPr>
      </w:pPr>
    </w:p>
    <w:p w:rsidR="0037523B" w:rsidRPr="004F1858" w:rsidRDefault="0037523B" w:rsidP="00D206A4">
      <w:pPr>
        <w:rPr>
          <w:rFonts w:asciiTheme="minorHAnsi" w:hAnsiTheme="minorHAnsi"/>
        </w:rPr>
        <w:sectPr w:rsidR="0037523B" w:rsidRPr="004F1858">
          <w:headerReference w:type="default" r:id="rId8"/>
          <w:footerReference w:type="default" r:id="rId9"/>
          <w:endnotePr>
            <w:numFmt w:val="decimal"/>
          </w:endnotePr>
          <w:pgSz w:w="11907" w:h="16840" w:code="9"/>
          <w:pgMar w:top="1440" w:right="1440" w:bottom="1440" w:left="1440" w:header="720" w:footer="720" w:gutter="0"/>
          <w:cols w:space="720"/>
        </w:sectPr>
      </w:pPr>
    </w:p>
    <w:p w:rsidR="00975566" w:rsidRPr="004F1858" w:rsidRDefault="006900FE" w:rsidP="00D206A4">
      <w:pPr>
        <w:pStyle w:val="Heading3"/>
        <w:rPr>
          <w:rFonts w:asciiTheme="minorHAnsi" w:hAnsiTheme="minorHAnsi"/>
          <w:b/>
        </w:rPr>
      </w:pPr>
      <w:r w:rsidRPr="004F1858">
        <w:rPr>
          <w:rFonts w:asciiTheme="minorHAnsi" w:hAnsiTheme="minorHAnsi"/>
          <w:b/>
        </w:rPr>
        <w:lastRenderedPageBreak/>
        <w:t>II</w:t>
      </w:r>
      <w:r w:rsidR="0081403B" w:rsidRPr="004F1858">
        <w:rPr>
          <w:rFonts w:asciiTheme="minorHAnsi" w:hAnsiTheme="minorHAnsi"/>
          <w:b/>
        </w:rPr>
        <w:t xml:space="preserve">: </w:t>
      </w:r>
      <w:r w:rsidR="000C09B4" w:rsidRPr="004F1858">
        <w:rPr>
          <w:rFonts w:asciiTheme="minorHAnsi" w:hAnsiTheme="minorHAnsi"/>
          <w:b/>
        </w:rPr>
        <w:t xml:space="preserve">Country Programme Performance </w:t>
      </w:r>
      <w:r w:rsidR="00975566" w:rsidRPr="004F1858">
        <w:rPr>
          <w:rFonts w:asciiTheme="minorHAnsi" w:hAnsiTheme="minorHAnsi"/>
          <w:b/>
        </w:rPr>
        <w:t>Summary</w:t>
      </w:r>
    </w:p>
    <w:p w:rsidR="00DC7354" w:rsidRPr="004F1858" w:rsidRDefault="00DC7354" w:rsidP="00D206A4">
      <w:pPr>
        <w:pStyle w:val="BodyText2"/>
        <w:rPr>
          <w:rFonts w:asciiTheme="minorHAnsi" w:hAnsiTheme="minorHAnsi"/>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5"/>
        <w:gridCol w:w="1434"/>
        <w:gridCol w:w="2977"/>
        <w:gridCol w:w="6844"/>
      </w:tblGrid>
      <w:tr w:rsidR="00CB647D" w:rsidRPr="004F1858" w:rsidTr="00EA7929">
        <w:tc>
          <w:tcPr>
            <w:tcW w:w="2660" w:type="dxa"/>
            <w:tcBorders>
              <w:right w:val="nil"/>
            </w:tcBorders>
            <w:shd w:val="clear" w:color="auto" w:fill="FFC000"/>
          </w:tcPr>
          <w:p w:rsidR="00CB647D" w:rsidRPr="004F1858" w:rsidRDefault="00CB647D" w:rsidP="001D72A4">
            <w:pPr>
              <w:pStyle w:val="BodyText2"/>
              <w:spacing w:before="0"/>
              <w:jc w:val="left"/>
              <w:rPr>
                <w:rFonts w:asciiTheme="minorHAnsi" w:hAnsiTheme="minorHAnsi"/>
                <w:b/>
                <w:sz w:val="18"/>
                <w:szCs w:val="18"/>
              </w:rPr>
            </w:pPr>
            <w:r w:rsidRPr="004F1858">
              <w:rPr>
                <w:rFonts w:asciiTheme="minorHAnsi" w:hAnsiTheme="minorHAnsi"/>
                <w:b/>
                <w:sz w:val="18"/>
                <w:szCs w:val="18"/>
              </w:rPr>
              <w:t>Country information</w:t>
            </w:r>
          </w:p>
        </w:tc>
        <w:tc>
          <w:tcPr>
            <w:tcW w:w="11380" w:type="dxa"/>
            <w:gridSpan w:val="4"/>
            <w:tcBorders>
              <w:left w:val="nil"/>
            </w:tcBorders>
            <w:shd w:val="clear" w:color="auto" w:fill="FFC000"/>
          </w:tcPr>
          <w:p w:rsidR="00CB647D" w:rsidRPr="004F1858" w:rsidRDefault="00CB647D" w:rsidP="001D72A4">
            <w:pPr>
              <w:pStyle w:val="BodyText2"/>
              <w:spacing w:before="0"/>
              <w:jc w:val="left"/>
              <w:rPr>
                <w:rFonts w:asciiTheme="minorHAnsi" w:hAnsiTheme="minorHAnsi"/>
                <w:b/>
                <w:sz w:val="18"/>
                <w:szCs w:val="18"/>
              </w:rPr>
            </w:pPr>
          </w:p>
        </w:tc>
      </w:tr>
      <w:tr w:rsidR="009B76A1" w:rsidRPr="004F1858" w:rsidTr="00EA7929">
        <w:tc>
          <w:tcPr>
            <w:tcW w:w="14040" w:type="dxa"/>
            <w:gridSpan w:val="5"/>
          </w:tcPr>
          <w:p w:rsidR="009B76A1" w:rsidRPr="004F1858" w:rsidRDefault="009B76A1" w:rsidP="001D72A4">
            <w:pPr>
              <w:pStyle w:val="BodyText2"/>
              <w:spacing w:before="0"/>
              <w:jc w:val="left"/>
              <w:rPr>
                <w:rFonts w:asciiTheme="minorHAnsi" w:hAnsiTheme="minorHAnsi"/>
                <w:b/>
                <w:sz w:val="18"/>
                <w:szCs w:val="18"/>
              </w:rPr>
            </w:pPr>
            <w:r w:rsidRPr="004F1858">
              <w:rPr>
                <w:rFonts w:asciiTheme="minorHAnsi" w:hAnsiTheme="minorHAnsi"/>
                <w:b/>
                <w:sz w:val="18"/>
                <w:szCs w:val="18"/>
              </w:rPr>
              <w:t>Country name:</w:t>
            </w:r>
            <w:r w:rsidR="00D6235D" w:rsidRPr="004F1858">
              <w:rPr>
                <w:rFonts w:asciiTheme="minorHAnsi" w:hAnsiTheme="minorHAnsi"/>
                <w:b/>
                <w:sz w:val="18"/>
                <w:szCs w:val="18"/>
              </w:rPr>
              <w:t xml:space="preserve"> LEBANON</w:t>
            </w:r>
          </w:p>
        </w:tc>
      </w:tr>
      <w:tr w:rsidR="009B76A1" w:rsidRPr="004F1858" w:rsidTr="00EA7929">
        <w:tc>
          <w:tcPr>
            <w:tcW w:w="14040" w:type="dxa"/>
            <w:gridSpan w:val="5"/>
          </w:tcPr>
          <w:p w:rsidR="009B76A1" w:rsidRPr="004F1858" w:rsidRDefault="009B76A1" w:rsidP="001D72A4">
            <w:pPr>
              <w:pStyle w:val="BodyText2"/>
              <w:spacing w:before="0"/>
              <w:jc w:val="left"/>
              <w:rPr>
                <w:rFonts w:asciiTheme="minorHAnsi" w:hAnsiTheme="minorHAnsi"/>
                <w:b/>
                <w:sz w:val="18"/>
                <w:szCs w:val="18"/>
              </w:rPr>
            </w:pPr>
            <w:r w:rsidRPr="004F1858">
              <w:rPr>
                <w:rFonts w:asciiTheme="minorHAnsi" w:hAnsiTheme="minorHAnsi"/>
                <w:b/>
                <w:sz w:val="18"/>
                <w:szCs w:val="18"/>
              </w:rPr>
              <w:t>Current country programme period:</w:t>
            </w:r>
            <w:r w:rsidR="00D6235D" w:rsidRPr="004F1858">
              <w:rPr>
                <w:rFonts w:asciiTheme="minorHAnsi" w:hAnsiTheme="minorHAnsi"/>
                <w:b/>
                <w:sz w:val="18"/>
                <w:szCs w:val="18"/>
              </w:rPr>
              <w:t xml:space="preserve"> 2009-2014 (extended to 2016)</w:t>
            </w:r>
            <w:r w:rsidR="00052804" w:rsidRPr="004F1858">
              <w:rPr>
                <w:rFonts w:asciiTheme="minorHAnsi" w:hAnsiTheme="minorHAnsi"/>
                <w:b/>
                <w:sz w:val="18"/>
                <w:szCs w:val="18"/>
              </w:rPr>
              <w:t xml:space="preserve"> (</w:t>
            </w:r>
            <w:r w:rsidR="00F35B61" w:rsidRPr="004F1858">
              <w:rPr>
                <w:rFonts w:asciiTheme="minorHAnsi" w:hAnsiTheme="minorHAnsi"/>
                <w:b/>
                <w:sz w:val="18"/>
                <w:szCs w:val="18"/>
              </w:rPr>
              <w:t xml:space="preserve">Reporting </w:t>
            </w:r>
            <w:r w:rsidR="00052804" w:rsidRPr="004F1858">
              <w:rPr>
                <w:rFonts w:asciiTheme="minorHAnsi" w:hAnsiTheme="minorHAnsi"/>
                <w:b/>
                <w:sz w:val="18"/>
                <w:szCs w:val="18"/>
              </w:rPr>
              <w:t>figures as of 2015)</w:t>
            </w:r>
          </w:p>
        </w:tc>
      </w:tr>
      <w:tr w:rsidR="003B037A" w:rsidRPr="004F1858" w:rsidTr="00EA7929">
        <w:tc>
          <w:tcPr>
            <w:tcW w:w="2660" w:type="dxa"/>
          </w:tcPr>
          <w:p w:rsidR="003B037A" w:rsidRPr="004F1858" w:rsidRDefault="003B037A" w:rsidP="001D72A4">
            <w:pPr>
              <w:pStyle w:val="BodyText2"/>
              <w:spacing w:before="0"/>
              <w:jc w:val="left"/>
              <w:rPr>
                <w:rFonts w:asciiTheme="minorHAnsi" w:hAnsiTheme="minorHAnsi"/>
                <w:b/>
                <w:sz w:val="18"/>
                <w:szCs w:val="18"/>
              </w:rPr>
            </w:pPr>
            <w:r w:rsidRPr="004F1858">
              <w:rPr>
                <w:rFonts w:asciiTheme="minorHAnsi" w:hAnsiTheme="minorHAnsi"/>
                <w:b/>
                <w:sz w:val="18"/>
                <w:szCs w:val="18"/>
              </w:rPr>
              <w:t>Outcome</w:t>
            </w:r>
            <w:r w:rsidR="00700521" w:rsidRPr="004F1858">
              <w:rPr>
                <w:rFonts w:asciiTheme="minorHAnsi" w:hAnsiTheme="minorHAnsi"/>
                <w:b/>
                <w:sz w:val="18"/>
                <w:szCs w:val="18"/>
              </w:rPr>
              <w:t>s</w:t>
            </w:r>
          </w:p>
        </w:tc>
        <w:tc>
          <w:tcPr>
            <w:tcW w:w="1559" w:type="dxa"/>
            <w:gridSpan w:val="2"/>
            <w:shd w:val="clear" w:color="auto" w:fill="auto"/>
          </w:tcPr>
          <w:p w:rsidR="003B037A" w:rsidRPr="004F1858" w:rsidRDefault="003B037A" w:rsidP="001D72A4">
            <w:pPr>
              <w:pStyle w:val="BodyText2"/>
              <w:spacing w:before="0"/>
              <w:jc w:val="left"/>
              <w:rPr>
                <w:rFonts w:asciiTheme="minorHAnsi" w:hAnsiTheme="minorHAnsi"/>
                <w:b/>
                <w:sz w:val="18"/>
                <w:szCs w:val="18"/>
              </w:rPr>
            </w:pPr>
            <w:r w:rsidRPr="004F1858">
              <w:rPr>
                <w:rFonts w:asciiTheme="minorHAnsi" w:hAnsiTheme="minorHAnsi"/>
                <w:b/>
                <w:sz w:val="18"/>
                <w:szCs w:val="18"/>
              </w:rPr>
              <w:t>Total Expenditure</w:t>
            </w:r>
          </w:p>
        </w:tc>
        <w:tc>
          <w:tcPr>
            <w:tcW w:w="2977" w:type="dxa"/>
            <w:tcBorders>
              <w:left w:val="single" w:sz="4" w:space="0" w:color="auto"/>
            </w:tcBorders>
          </w:tcPr>
          <w:p w:rsidR="003B037A" w:rsidRPr="004F1858" w:rsidRDefault="003B037A" w:rsidP="001D72A4">
            <w:pPr>
              <w:pStyle w:val="BodyText2"/>
              <w:spacing w:before="0"/>
              <w:jc w:val="left"/>
              <w:rPr>
                <w:rFonts w:asciiTheme="minorHAnsi" w:hAnsiTheme="minorHAnsi"/>
                <w:b/>
                <w:sz w:val="18"/>
                <w:szCs w:val="18"/>
              </w:rPr>
            </w:pPr>
            <w:r w:rsidRPr="004F1858">
              <w:rPr>
                <w:rFonts w:asciiTheme="minorHAnsi" w:hAnsiTheme="minorHAnsi"/>
                <w:b/>
                <w:sz w:val="18"/>
                <w:szCs w:val="18"/>
              </w:rPr>
              <w:t>Key Indicators of outcome (1-4 per outcome)</w:t>
            </w:r>
          </w:p>
        </w:tc>
        <w:tc>
          <w:tcPr>
            <w:tcW w:w="6844" w:type="dxa"/>
          </w:tcPr>
          <w:p w:rsidR="003B037A" w:rsidRPr="004F1858" w:rsidRDefault="003B037A" w:rsidP="001D72A4">
            <w:pPr>
              <w:pStyle w:val="BodyText2"/>
              <w:spacing w:before="0"/>
              <w:jc w:val="left"/>
              <w:rPr>
                <w:rFonts w:asciiTheme="minorHAnsi" w:hAnsiTheme="minorHAnsi"/>
                <w:b/>
                <w:sz w:val="18"/>
                <w:szCs w:val="18"/>
              </w:rPr>
            </w:pPr>
            <w:r w:rsidRPr="004F1858">
              <w:rPr>
                <w:rFonts w:asciiTheme="minorHAnsi" w:hAnsiTheme="minorHAnsi"/>
                <w:b/>
                <w:sz w:val="18"/>
                <w:szCs w:val="18"/>
              </w:rPr>
              <w:t>Progress made against key indicators</w:t>
            </w:r>
          </w:p>
        </w:tc>
      </w:tr>
      <w:tr w:rsidR="000823AC" w:rsidRPr="004F1858" w:rsidTr="00EA7929">
        <w:tc>
          <w:tcPr>
            <w:tcW w:w="2660" w:type="dxa"/>
            <w:tcBorders>
              <w:bottom w:val="single" w:sz="4" w:space="0" w:color="auto"/>
            </w:tcBorders>
            <w:shd w:val="clear" w:color="auto" w:fill="95B3D7"/>
          </w:tcPr>
          <w:p w:rsidR="003B037A" w:rsidRPr="004F1858" w:rsidRDefault="00052804" w:rsidP="001D72A4">
            <w:pPr>
              <w:pStyle w:val="BodyText2"/>
              <w:spacing w:before="0"/>
              <w:jc w:val="left"/>
              <w:rPr>
                <w:rFonts w:asciiTheme="minorHAnsi" w:hAnsiTheme="minorHAnsi"/>
                <w:b/>
                <w:sz w:val="18"/>
                <w:szCs w:val="18"/>
              </w:rPr>
            </w:pPr>
            <w:r w:rsidRPr="004F1858">
              <w:rPr>
                <w:rFonts w:asciiTheme="minorHAnsi" w:hAnsiTheme="minorHAnsi"/>
                <w:b/>
                <w:sz w:val="18"/>
                <w:szCs w:val="18"/>
              </w:rPr>
              <w:t>01 - Performance of public institutions enhanced; public administration modernized</w:t>
            </w:r>
            <w:r w:rsidR="003B037A" w:rsidRPr="004F1858">
              <w:rPr>
                <w:rFonts w:asciiTheme="minorHAnsi" w:hAnsiTheme="minorHAnsi"/>
                <w:b/>
                <w:sz w:val="18"/>
                <w:szCs w:val="18"/>
              </w:rPr>
              <w:t>.</w:t>
            </w:r>
          </w:p>
        </w:tc>
        <w:tc>
          <w:tcPr>
            <w:tcW w:w="1559" w:type="dxa"/>
            <w:gridSpan w:val="2"/>
            <w:tcBorders>
              <w:bottom w:val="single" w:sz="4" w:space="0" w:color="auto"/>
            </w:tcBorders>
            <w:shd w:val="clear" w:color="auto" w:fill="auto"/>
          </w:tcPr>
          <w:p w:rsidR="003B037A" w:rsidRPr="004F1858" w:rsidRDefault="003B037A" w:rsidP="0059499D">
            <w:pPr>
              <w:pStyle w:val="BodyText2"/>
              <w:spacing w:before="0"/>
              <w:jc w:val="left"/>
              <w:rPr>
                <w:rFonts w:asciiTheme="minorHAnsi" w:hAnsiTheme="minorHAnsi"/>
                <w:sz w:val="18"/>
                <w:szCs w:val="18"/>
              </w:rPr>
            </w:pPr>
            <w:r w:rsidRPr="00A86FBF">
              <w:rPr>
                <w:rFonts w:asciiTheme="minorHAnsi" w:hAnsiTheme="minorHAnsi"/>
                <w:sz w:val="18"/>
                <w:szCs w:val="18"/>
              </w:rPr>
              <w:t>$</w:t>
            </w:r>
            <w:r w:rsidR="0059499D" w:rsidRPr="00A86FBF">
              <w:rPr>
                <w:rFonts w:asciiTheme="minorHAnsi" w:hAnsiTheme="minorHAnsi"/>
                <w:sz w:val="18"/>
                <w:szCs w:val="18"/>
              </w:rPr>
              <w:t>40,000,000</w:t>
            </w:r>
          </w:p>
        </w:tc>
        <w:tc>
          <w:tcPr>
            <w:tcW w:w="2977" w:type="dxa"/>
            <w:tcBorders>
              <w:left w:val="single" w:sz="4" w:space="0" w:color="auto"/>
              <w:bottom w:val="single" w:sz="4" w:space="0" w:color="auto"/>
            </w:tcBorders>
          </w:tcPr>
          <w:p w:rsidR="001D72A4" w:rsidRPr="004F1858" w:rsidRDefault="00B54668" w:rsidP="00C26970">
            <w:pPr>
              <w:spacing w:before="60"/>
              <w:ind w:left="318" w:hanging="318"/>
              <w:jc w:val="left"/>
              <w:rPr>
                <w:rFonts w:asciiTheme="minorHAnsi" w:hAnsiTheme="minorHAnsi"/>
                <w:i/>
                <w:sz w:val="18"/>
                <w:szCs w:val="18"/>
              </w:rPr>
            </w:pPr>
            <w:r w:rsidRPr="004F1858">
              <w:rPr>
                <w:rFonts w:asciiTheme="minorHAnsi" w:hAnsiTheme="minorHAnsi"/>
                <w:i/>
                <w:sz w:val="18"/>
                <w:szCs w:val="18"/>
              </w:rPr>
              <w:t xml:space="preserve">1.1 </w:t>
            </w:r>
            <w:r w:rsidR="00C26970" w:rsidRPr="004F1858">
              <w:rPr>
                <w:rFonts w:asciiTheme="minorHAnsi" w:hAnsiTheme="minorHAnsi"/>
                <w:i/>
                <w:sz w:val="18"/>
                <w:szCs w:val="18"/>
              </w:rPr>
              <w:tab/>
            </w:r>
            <w:r w:rsidR="009548D7" w:rsidRPr="004F1858">
              <w:rPr>
                <w:rFonts w:asciiTheme="minorHAnsi" w:hAnsiTheme="minorHAnsi"/>
                <w:i/>
                <w:sz w:val="18"/>
                <w:szCs w:val="18"/>
              </w:rPr>
              <w:t>Number of Reforms formulated and percentage of implementation</w:t>
            </w:r>
          </w:p>
        </w:tc>
        <w:tc>
          <w:tcPr>
            <w:tcW w:w="6844" w:type="dxa"/>
            <w:tcBorders>
              <w:bottom w:val="single" w:sz="4" w:space="0" w:color="auto"/>
            </w:tcBorders>
            <w:shd w:val="clear" w:color="auto" w:fill="auto"/>
          </w:tcPr>
          <w:p w:rsidR="003B037A" w:rsidRPr="004F1858" w:rsidRDefault="00F741DB" w:rsidP="00836696">
            <w:pPr>
              <w:pStyle w:val="BodyText2"/>
              <w:numPr>
                <w:ilvl w:val="0"/>
                <w:numId w:val="23"/>
              </w:numPr>
              <w:spacing w:before="0"/>
              <w:jc w:val="left"/>
              <w:rPr>
                <w:rFonts w:asciiTheme="minorHAnsi" w:hAnsiTheme="minorHAnsi"/>
                <w:sz w:val="18"/>
                <w:szCs w:val="18"/>
              </w:rPr>
            </w:pPr>
            <w:r w:rsidRPr="004F1858">
              <w:rPr>
                <w:rFonts w:asciiTheme="minorHAnsi" w:hAnsiTheme="minorHAnsi"/>
                <w:sz w:val="18"/>
                <w:szCs w:val="18"/>
              </w:rPr>
              <w:t>Development and implementation of national strategies including the National Sustainable Development Strategy, the investment strategy, as well as the Administrative reform and development strategy</w:t>
            </w:r>
          </w:p>
          <w:p w:rsidR="00F741DB" w:rsidRPr="004F1858" w:rsidRDefault="00F741DB" w:rsidP="00836696">
            <w:pPr>
              <w:numPr>
                <w:ilvl w:val="0"/>
                <w:numId w:val="23"/>
              </w:numPr>
              <w:spacing w:before="0"/>
              <w:ind w:right="-23"/>
              <w:rPr>
                <w:rFonts w:asciiTheme="minorHAnsi" w:hAnsiTheme="minorHAnsi"/>
                <w:sz w:val="18"/>
                <w:szCs w:val="18"/>
              </w:rPr>
            </w:pPr>
            <w:r w:rsidRPr="004F1858">
              <w:rPr>
                <w:rFonts w:asciiTheme="minorHAnsi" w:hAnsiTheme="minorHAnsi"/>
                <w:sz w:val="18"/>
                <w:szCs w:val="18"/>
              </w:rPr>
              <w:t>Comprehensive National Human Rights Action Plan developed in partnership with OHCHR and the Human Rights Parliamentary Committee.</w:t>
            </w:r>
          </w:p>
          <w:p w:rsidR="00ED7890" w:rsidRPr="004F1858" w:rsidRDefault="00ED7890" w:rsidP="00836696">
            <w:pPr>
              <w:numPr>
                <w:ilvl w:val="0"/>
                <w:numId w:val="23"/>
              </w:numPr>
              <w:spacing w:before="0"/>
              <w:ind w:right="-23"/>
              <w:rPr>
                <w:rFonts w:asciiTheme="minorHAnsi" w:hAnsiTheme="minorHAnsi"/>
                <w:sz w:val="18"/>
                <w:szCs w:val="18"/>
              </w:rPr>
            </w:pPr>
            <w:r w:rsidRPr="004F1858">
              <w:rPr>
                <w:rFonts w:asciiTheme="minorHAnsi" w:hAnsiTheme="minorHAnsi"/>
                <w:sz w:val="18"/>
                <w:szCs w:val="18"/>
              </w:rPr>
              <w:t xml:space="preserve">Draft decentralization law was published.  </w:t>
            </w:r>
          </w:p>
          <w:p w:rsidR="00F741DB" w:rsidRPr="004F1858" w:rsidRDefault="00836696" w:rsidP="00836696">
            <w:pPr>
              <w:numPr>
                <w:ilvl w:val="0"/>
                <w:numId w:val="23"/>
              </w:numPr>
              <w:spacing w:before="0"/>
              <w:ind w:right="-23"/>
              <w:rPr>
                <w:rFonts w:asciiTheme="minorHAnsi" w:hAnsiTheme="minorHAnsi"/>
                <w:sz w:val="18"/>
                <w:szCs w:val="18"/>
              </w:rPr>
            </w:pPr>
            <w:r w:rsidRPr="004F1858">
              <w:rPr>
                <w:rFonts w:asciiTheme="minorHAnsi" w:hAnsiTheme="minorHAnsi"/>
                <w:sz w:val="18"/>
                <w:szCs w:val="18"/>
              </w:rPr>
              <w:t>134 public reforms and policies developed on administrative reform, anti-corruption, electoral reform, economic and trade reform, and Debt and fiscal management</w:t>
            </w:r>
          </w:p>
        </w:tc>
      </w:tr>
      <w:tr w:rsidR="00530FDE" w:rsidRPr="004F1858" w:rsidTr="00EA7929">
        <w:tc>
          <w:tcPr>
            <w:tcW w:w="14040" w:type="dxa"/>
            <w:gridSpan w:val="5"/>
          </w:tcPr>
          <w:p w:rsidR="00843006" w:rsidRPr="004F1858" w:rsidRDefault="00837C4B" w:rsidP="001D72A4">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B00E5C" w:rsidRPr="004F1858" w:rsidRDefault="00B00E5C" w:rsidP="001D72A4">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CP Outputs</w:t>
            </w:r>
            <w:r w:rsidR="00845340" w:rsidRPr="004F1858">
              <w:rPr>
                <w:rFonts w:asciiTheme="minorHAnsi" w:hAnsiTheme="minorHAnsi"/>
                <w:sz w:val="18"/>
                <w:szCs w:val="18"/>
                <w:u w:val="single"/>
              </w:rPr>
              <w:t>:</w:t>
            </w:r>
          </w:p>
          <w:p w:rsidR="00B00E5C" w:rsidRPr="004F1858" w:rsidRDefault="009548D7" w:rsidP="00365820">
            <w:pPr>
              <w:numPr>
                <w:ilvl w:val="0"/>
                <w:numId w:val="22"/>
              </w:numPr>
              <w:spacing w:before="0"/>
              <w:ind w:right="-23"/>
              <w:rPr>
                <w:rFonts w:asciiTheme="minorHAnsi" w:hAnsiTheme="minorHAnsi"/>
                <w:sz w:val="18"/>
                <w:szCs w:val="18"/>
              </w:rPr>
            </w:pPr>
            <w:r w:rsidRPr="004F1858">
              <w:rPr>
                <w:rFonts w:asciiTheme="minorHAnsi" w:hAnsiTheme="minorHAnsi"/>
                <w:sz w:val="18"/>
                <w:szCs w:val="18"/>
              </w:rPr>
              <w:t>Capacities of key public institutions</w:t>
            </w:r>
            <w:r w:rsidRPr="004F1858">
              <w:rPr>
                <w:rFonts w:asciiTheme="minorHAnsi" w:hAnsiTheme="minorHAnsi"/>
                <w:spacing w:val="2"/>
                <w:sz w:val="18"/>
                <w:szCs w:val="18"/>
              </w:rPr>
              <w:t xml:space="preserve"> </w:t>
            </w:r>
            <w:r w:rsidRPr="004F1858">
              <w:rPr>
                <w:rFonts w:asciiTheme="minorHAnsi" w:hAnsiTheme="minorHAnsi"/>
                <w:sz w:val="18"/>
                <w:szCs w:val="18"/>
              </w:rPr>
              <w:t>strengthened to</w:t>
            </w:r>
            <w:r w:rsidRPr="004F1858">
              <w:rPr>
                <w:rFonts w:asciiTheme="minorHAnsi" w:hAnsiTheme="minorHAnsi"/>
                <w:spacing w:val="1"/>
                <w:sz w:val="18"/>
                <w:szCs w:val="18"/>
              </w:rPr>
              <w:t xml:space="preserve"> </w:t>
            </w:r>
            <w:r w:rsidRPr="004F1858">
              <w:rPr>
                <w:rFonts w:asciiTheme="minorHAnsi" w:hAnsiTheme="minorHAnsi"/>
                <w:sz w:val="18"/>
                <w:szCs w:val="18"/>
              </w:rPr>
              <w:t>formulate,</w:t>
            </w:r>
            <w:r w:rsidRPr="004F1858">
              <w:rPr>
                <w:rFonts w:asciiTheme="minorHAnsi" w:hAnsiTheme="minorHAnsi"/>
                <w:spacing w:val="1"/>
                <w:sz w:val="18"/>
                <w:szCs w:val="18"/>
              </w:rPr>
              <w:t xml:space="preserve"> </w:t>
            </w:r>
            <w:r w:rsidRPr="004F1858">
              <w:rPr>
                <w:rFonts w:asciiTheme="minorHAnsi" w:hAnsiTheme="minorHAnsi"/>
                <w:sz w:val="18"/>
                <w:szCs w:val="18"/>
              </w:rPr>
              <w:t>coo</w:t>
            </w:r>
            <w:r w:rsidRPr="004F1858">
              <w:rPr>
                <w:rFonts w:asciiTheme="minorHAnsi" w:hAnsiTheme="minorHAnsi"/>
                <w:spacing w:val="-2"/>
                <w:sz w:val="18"/>
                <w:szCs w:val="18"/>
              </w:rPr>
              <w:t>r</w:t>
            </w:r>
            <w:r w:rsidRPr="004F1858">
              <w:rPr>
                <w:rFonts w:asciiTheme="minorHAnsi" w:hAnsiTheme="minorHAnsi"/>
                <w:sz w:val="18"/>
                <w:szCs w:val="18"/>
              </w:rPr>
              <w:t>dinate</w:t>
            </w:r>
            <w:r w:rsidRPr="004F1858">
              <w:rPr>
                <w:rFonts w:asciiTheme="minorHAnsi" w:hAnsiTheme="minorHAnsi"/>
                <w:spacing w:val="1"/>
                <w:sz w:val="18"/>
                <w:szCs w:val="18"/>
              </w:rPr>
              <w:t xml:space="preserve"> </w:t>
            </w:r>
            <w:r w:rsidRPr="004F1858">
              <w:rPr>
                <w:rFonts w:asciiTheme="minorHAnsi" w:hAnsiTheme="minorHAnsi"/>
                <w:sz w:val="18"/>
                <w:szCs w:val="18"/>
              </w:rPr>
              <w:t>and implement economic reforms and aid</w:t>
            </w:r>
            <w:r w:rsidRPr="004F1858">
              <w:rPr>
                <w:rFonts w:asciiTheme="minorHAnsi" w:hAnsiTheme="minorHAnsi"/>
                <w:spacing w:val="1"/>
                <w:sz w:val="18"/>
                <w:szCs w:val="18"/>
              </w:rPr>
              <w:t xml:space="preserve"> </w:t>
            </w:r>
            <w:r w:rsidRPr="004F1858">
              <w:rPr>
                <w:rFonts w:asciiTheme="minorHAnsi" w:hAnsiTheme="minorHAnsi"/>
                <w:sz w:val="18"/>
                <w:szCs w:val="18"/>
              </w:rPr>
              <w:t>management.</w:t>
            </w:r>
          </w:p>
          <w:p w:rsidR="00B00E5C" w:rsidRPr="004F1858" w:rsidRDefault="009548D7" w:rsidP="00365820">
            <w:pPr>
              <w:numPr>
                <w:ilvl w:val="0"/>
                <w:numId w:val="22"/>
              </w:numPr>
              <w:spacing w:before="0"/>
              <w:ind w:right="-23"/>
              <w:rPr>
                <w:rFonts w:asciiTheme="minorHAnsi" w:hAnsiTheme="minorHAnsi"/>
                <w:sz w:val="18"/>
                <w:szCs w:val="18"/>
              </w:rPr>
            </w:pPr>
            <w:r w:rsidRPr="004F1858">
              <w:rPr>
                <w:rFonts w:asciiTheme="minorHAnsi" w:hAnsiTheme="minorHAnsi"/>
                <w:spacing w:val="-1"/>
                <w:sz w:val="18"/>
                <w:szCs w:val="18"/>
              </w:rPr>
              <w:t>P</w:t>
            </w:r>
            <w:r w:rsidRPr="004F1858">
              <w:rPr>
                <w:rFonts w:asciiTheme="minorHAnsi" w:hAnsiTheme="minorHAnsi"/>
                <w:sz w:val="18"/>
                <w:szCs w:val="18"/>
              </w:rPr>
              <w:t>has</w:t>
            </w:r>
            <w:r w:rsidRPr="004F1858">
              <w:rPr>
                <w:rFonts w:asciiTheme="minorHAnsi" w:hAnsiTheme="minorHAnsi"/>
                <w:spacing w:val="-1"/>
                <w:sz w:val="18"/>
                <w:szCs w:val="18"/>
              </w:rPr>
              <w:t>e</w:t>
            </w:r>
            <w:r w:rsidRPr="004F1858">
              <w:rPr>
                <w:rFonts w:asciiTheme="minorHAnsi" w:hAnsiTheme="minorHAnsi"/>
                <w:sz w:val="18"/>
                <w:szCs w:val="18"/>
              </w:rPr>
              <w:t>d</w:t>
            </w:r>
            <w:r w:rsidRPr="004F1858">
              <w:rPr>
                <w:rFonts w:asciiTheme="minorHAnsi" w:hAnsiTheme="minorHAnsi"/>
                <w:spacing w:val="1"/>
                <w:sz w:val="18"/>
                <w:szCs w:val="18"/>
              </w:rPr>
              <w:t xml:space="preserve"> </w:t>
            </w:r>
            <w:r w:rsidRPr="004F1858">
              <w:rPr>
                <w:rFonts w:asciiTheme="minorHAnsi" w:hAnsiTheme="minorHAnsi"/>
                <w:sz w:val="18"/>
                <w:szCs w:val="18"/>
              </w:rPr>
              <w:t>fiscal ad</w:t>
            </w:r>
            <w:r w:rsidRPr="004F1858">
              <w:rPr>
                <w:rFonts w:asciiTheme="minorHAnsi" w:hAnsiTheme="minorHAnsi"/>
                <w:spacing w:val="1"/>
                <w:sz w:val="18"/>
                <w:szCs w:val="18"/>
              </w:rPr>
              <w:t>j</w:t>
            </w:r>
            <w:r w:rsidRPr="004F1858">
              <w:rPr>
                <w:rFonts w:asciiTheme="minorHAnsi" w:hAnsiTheme="minorHAnsi"/>
                <w:sz w:val="18"/>
                <w:szCs w:val="18"/>
              </w:rPr>
              <w:t>ustment implemented</w:t>
            </w:r>
          </w:p>
          <w:p w:rsidR="00F741DB" w:rsidRPr="004F1858" w:rsidRDefault="00B00E5C" w:rsidP="00ED7890">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Progress and Achievements</w:t>
            </w:r>
            <w:r w:rsidR="00845340" w:rsidRPr="004F1858">
              <w:rPr>
                <w:rFonts w:asciiTheme="minorHAnsi" w:hAnsiTheme="minorHAnsi"/>
                <w:sz w:val="18"/>
                <w:szCs w:val="18"/>
                <w:u w:val="single"/>
              </w:rPr>
              <w:t>:</w:t>
            </w:r>
          </w:p>
          <w:p w:rsidR="00836696" w:rsidRPr="004F1858" w:rsidRDefault="00836696" w:rsidP="00F741DB">
            <w:pPr>
              <w:numPr>
                <w:ilvl w:val="0"/>
                <w:numId w:val="22"/>
              </w:numPr>
              <w:spacing w:before="0"/>
              <w:ind w:right="-23"/>
              <w:rPr>
                <w:rFonts w:asciiTheme="minorHAnsi" w:hAnsiTheme="minorHAnsi"/>
                <w:iCs/>
                <w:sz w:val="18"/>
                <w:szCs w:val="18"/>
              </w:rPr>
            </w:pPr>
            <w:r w:rsidRPr="004F1858">
              <w:rPr>
                <w:rFonts w:asciiTheme="minorHAnsi" w:hAnsiTheme="minorHAnsi"/>
                <w:iCs/>
                <w:sz w:val="18"/>
                <w:szCs w:val="18"/>
              </w:rPr>
              <w:t>Administrative reform was supported through capacity building of officials (more than 130 in various areas), but also through automation processes. The Ministry of Justice has been provided with a full framework of automation, to be implemented in 2016 and beyond.</w:t>
            </w:r>
          </w:p>
          <w:p w:rsidR="00F741DB" w:rsidRPr="004F1858" w:rsidRDefault="00F741DB" w:rsidP="00F741DB">
            <w:pPr>
              <w:numPr>
                <w:ilvl w:val="0"/>
                <w:numId w:val="22"/>
              </w:numPr>
              <w:spacing w:before="0"/>
              <w:ind w:right="-23"/>
              <w:rPr>
                <w:rFonts w:asciiTheme="minorHAnsi" w:hAnsiTheme="minorHAnsi"/>
                <w:sz w:val="18"/>
                <w:szCs w:val="18"/>
              </w:rPr>
            </w:pPr>
            <w:r w:rsidRPr="004F1858">
              <w:rPr>
                <w:rFonts w:asciiTheme="minorHAnsi" w:hAnsiTheme="minorHAnsi"/>
                <w:sz w:val="18"/>
                <w:szCs w:val="18"/>
              </w:rPr>
              <w:t>Technical Support was provided to the specia</w:t>
            </w:r>
            <w:r w:rsidR="00ED7890" w:rsidRPr="004F1858">
              <w:rPr>
                <w:rFonts w:asciiTheme="minorHAnsi" w:hAnsiTheme="minorHAnsi"/>
                <w:sz w:val="18"/>
                <w:szCs w:val="18"/>
              </w:rPr>
              <w:t>l committee on decentralization</w:t>
            </w:r>
          </w:p>
          <w:p w:rsidR="00F741DB" w:rsidRPr="004F1858" w:rsidRDefault="00F741DB" w:rsidP="00F741DB">
            <w:pPr>
              <w:numPr>
                <w:ilvl w:val="0"/>
                <w:numId w:val="22"/>
              </w:numPr>
              <w:spacing w:before="0"/>
              <w:ind w:right="-23"/>
              <w:rPr>
                <w:rFonts w:asciiTheme="minorHAnsi" w:hAnsiTheme="minorHAnsi"/>
                <w:sz w:val="18"/>
                <w:szCs w:val="18"/>
              </w:rPr>
            </w:pPr>
            <w:r w:rsidRPr="004F1858">
              <w:rPr>
                <w:rFonts w:asciiTheme="minorHAnsi" w:hAnsiTheme="minorHAnsi"/>
                <w:sz w:val="18"/>
                <w:szCs w:val="18"/>
              </w:rPr>
              <w:t xml:space="preserve">Engagement of Lebanese Expatriates in institutional development through more than 7 missions a year, benefiting at least 10 institutions annually. </w:t>
            </w:r>
          </w:p>
          <w:p w:rsidR="00700521" w:rsidRPr="004F1858" w:rsidRDefault="00F741DB" w:rsidP="00ED7890">
            <w:pPr>
              <w:numPr>
                <w:ilvl w:val="0"/>
                <w:numId w:val="22"/>
              </w:numPr>
              <w:spacing w:before="0"/>
              <w:ind w:right="-23"/>
              <w:rPr>
                <w:rFonts w:asciiTheme="minorHAnsi" w:hAnsiTheme="minorHAnsi"/>
                <w:sz w:val="18"/>
                <w:szCs w:val="18"/>
              </w:rPr>
            </w:pPr>
            <w:r w:rsidRPr="004F1858">
              <w:rPr>
                <w:rFonts w:asciiTheme="minorHAnsi" w:hAnsiTheme="minorHAnsi"/>
                <w:sz w:val="18"/>
                <w:szCs w:val="18"/>
              </w:rPr>
              <w:t>Knowledge building and sharing through 155 publications covering all areas of Governance, and 60 ongoing.</w:t>
            </w:r>
          </w:p>
          <w:p w:rsidR="00836696" w:rsidRPr="004F1858" w:rsidRDefault="00836696" w:rsidP="00ED7890">
            <w:pPr>
              <w:numPr>
                <w:ilvl w:val="0"/>
                <w:numId w:val="22"/>
              </w:numPr>
              <w:spacing w:before="0"/>
              <w:ind w:right="-23"/>
              <w:rPr>
                <w:rFonts w:asciiTheme="minorHAnsi" w:hAnsiTheme="minorHAnsi"/>
                <w:sz w:val="18"/>
                <w:szCs w:val="18"/>
              </w:rPr>
            </w:pPr>
            <w:r w:rsidRPr="004F1858">
              <w:rPr>
                <w:rFonts w:asciiTheme="minorHAnsi" w:hAnsiTheme="minorHAnsi"/>
                <w:sz w:val="18"/>
                <w:szCs w:val="18"/>
                <w:lang w:eastAsia="en-CA"/>
              </w:rPr>
              <w:t>Building the institutional capacity of the public administrations in strategic planning is launched and Implementation started for strengthening human resources management capacities and Simplification of Administrative Procedures in four ministries and the Civil Service Board. Phase I of the e-government portal is completed. Records Reparation and Micrographics of the National Civil Registry project launched.</w:t>
            </w:r>
          </w:p>
          <w:p w:rsidR="00836696" w:rsidRPr="004F1858" w:rsidRDefault="00836696" w:rsidP="00ED7890">
            <w:pPr>
              <w:numPr>
                <w:ilvl w:val="0"/>
                <w:numId w:val="22"/>
              </w:numPr>
              <w:spacing w:before="0"/>
              <w:ind w:right="-23"/>
              <w:rPr>
                <w:rFonts w:asciiTheme="minorHAnsi" w:hAnsiTheme="minorHAnsi"/>
                <w:sz w:val="18"/>
                <w:szCs w:val="18"/>
              </w:rPr>
            </w:pPr>
            <w:r w:rsidRPr="004F1858">
              <w:rPr>
                <w:rFonts w:asciiTheme="minorHAnsi" w:hAnsiTheme="minorHAnsi"/>
                <w:sz w:val="18"/>
                <w:szCs w:val="18"/>
                <w:lang w:eastAsia="en-CA"/>
              </w:rPr>
              <w:t>Implementation of the ICT master plan for the courts system</w:t>
            </w:r>
          </w:p>
          <w:p w:rsidR="00712826" w:rsidRPr="004F1858" w:rsidRDefault="00712826" w:rsidP="00ED7890">
            <w:pPr>
              <w:numPr>
                <w:ilvl w:val="0"/>
                <w:numId w:val="22"/>
              </w:numPr>
              <w:spacing w:before="0"/>
              <w:ind w:right="-23"/>
              <w:rPr>
                <w:rFonts w:asciiTheme="minorHAnsi" w:hAnsiTheme="minorHAnsi"/>
                <w:sz w:val="18"/>
                <w:szCs w:val="18"/>
              </w:rPr>
            </w:pPr>
            <w:r w:rsidRPr="004F1858">
              <w:rPr>
                <w:rFonts w:asciiTheme="minorHAnsi" w:hAnsiTheme="minorHAnsi"/>
                <w:sz w:val="18"/>
                <w:szCs w:val="18"/>
                <w:lang w:eastAsia="en-CA"/>
              </w:rPr>
              <w:t>Tax Reform initiatives and custom automated systems implemented</w:t>
            </w:r>
          </w:p>
          <w:p w:rsidR="00712826" w:rsidRPr="004F1858" w:rsidRDefault="00712826" w:rsidP="00ED7890">
            <w:pPr>
              <w:numPr>
                <w:ilvl w:val="0"/>
                <w:numId w:val="22"/>
              </w:numPr>
              <w:spacing w:before="0"/>
              <w:ind w:right="-23"/>
              <w:rPr>
                <w:rFonts w:asciiTheme="minorHAnsi" w:hAnsiTheme="minorHAnsi"/>
                <w:sz w:val="18"/>
                <w:szCs w:val="18"/>
              </w:rPr>
            </w:pPr>
            <w:r w:rsidRPr="004F1858">
              <w:rPr>
                <w:rFonts w:asciiTheme="minorHAnsi" w:hAnsiTheme="minorHAnsi"/>
                <w:sz w:val="18"/>
                <w:szCs w:val="18"/>
                <w:lang w:eastAsia="en-CA"/>
              </w:rPr>
              <w:t>Educational Development Plan supported with ICT and institutional development initiatives.</w:t>
            </w:r>
          </w:p>
          <w:p w:rsidR="00712826" w:rsidRPr="004F1858" w:rsidRDefault="00712826" w:rsidP="00ED7890">
            <w:pPr>
              <w:numPr>
                <w:ilvl w:val="0"/>
                <w:numId w:val="22"/>
              </w:numPr>
              <w:spacing w:before="0"/>
              <w:ind w:right="-23"/>
              <w:rPr>
                <w:rFonts w:asciiTheme="minorHAnsi" w:hAnsiTheme="minorHAnsi"/>
                <w:sz w:val="18"/>
                <w:szCs w:val="18"/>
              </w:rPr>
            </w:pPr>
            <w:r w:rsidRPr="004F1858">
              <w:rPr>
                <w:rFonts w:asciiTheme="minorHAnsi" w:hAnsiTheme="minorHAnsi"/>
                <w:sz w:val="18"/>
                <w:szCs w:val="18"/>
                <w:lang w:eastAsia="en-CA"/>
              </w:rPr>
              <w:t>Sectoral investment promotion studies completed</w:t>
            </w:r>
          </w:p>
          <w:p w:rsidR="00712826" w:rsidRPr="004F1858" w:rsidRDefault="00712826" w:rsidP="00ED7890">
            <w:pPr>
              <w:numPr>
                <w:ilvl w:val="0"/>
                <w:numId w:val="22"/>
              </w:numPr>
              <w:spacing w:before="0"/>
              <w:ind w:right="-23"/>
              <w:rPr>
                <w:rFonts w:asciiTheme="minorHAnsi" w:hAnsiTheme="minorHAnsi"/>
                <w:sz w:val="18"/>
                <w:szCs w:val="18"/>
              </w:rPr>
            </w:pPr>
            <w:r w:rsidRPr="004F1858">
              <w:rPr>
                <w:rFonts w:asciiTheme="minorHAnsi" w:hAnsiTheme="minorHAnsi"/>
                <w:sz w:val="18"/>
                <w:szCs w:val="18"/>
                <w:lang w:eastAsia="en-CA"/>
              </w:rPr>
              <w:t>Sustainable Development Strategy developed</w:t>
            </w:r>
          </w:p>
          <w:p w:rsidR="00ED7890" w:rsidRPr="004F1858" w:rsidRDefault="00ED7890" w:rsidP="00ED7890">
            <w:pPr>
              <w:spacing w:before="0"/>
              <w:ind w:left="360" w:right="-23"/>
              <w:rPr>
                <w:rFonts w:asciiTheme="minorHAnsi" w:hAnsiTheme="minorHAnsi"/>
                <w:sz w:val="18"/>
                <w:szCs w:val="18"/>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t>02:  Accountability of state institutions, and inclusive participation, strengthened</w:t>
            </w:r>
          </w:p>
        </w:tc>
        <w:tc>
          <w:tcPr>
            <w:tcW w:w="1434" w:type="dxa"/>
            <w:shd w:val="clear" w:color="auto" w:fill="auto"/>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w:t>
            </w:r>
            <w:r w:rsidR="0059499D" w:rsidRPr="004F1858">
              <w:rPr>
                <w:rFonts w:asciiTheme="minorHAnsi" w:hAnsiTheme="minorHAnsi"/>
                <w:sz w:val="18"/>
                <w:szCs w:val="18"/>
              </w:rPr>
              <w:t>10,000,000</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sz w:val="18"/>
                <w:szCs w:val="18"/>
              </w:rPr>
            </w:pPr>
            <w:r w:rsidRPr="004F1858">
              <w:rPr>
                <w:rFonts w:asciiTheme="minorHAnsi" w:hAnsiTheme="minorHAnsi"/>
                <w:i/>
                <w:sz w:val="18"/>
                <w:szCs w:val="18"/>
              </w:rPr>
              <w:t xml:space="preserve">2.1. </w:t>
            </w:r>
            <w:r w:rsidRPr="004F1858">
              <w:rPr>
                <w:rFonts w:asciiTheme="minorHAnsi" w:hAnsiTheme="minorHAnsi"/>
                <w:i/>
                <w:sz w:val="18"/>
                <w:szCs w:val="18"/>
              </w:rPr>
              <w:tab/>
              <w:t>Levels of accountability and participation improved</w:t>
            </w:r>
          </w:p>
        </w:tc>
        <w:tc>
          <w:tcPr>
            <w:tcW w:w="6844" w:type="dxa"/>
            <w:shd w:val="clear" w:color="auto" w:fill="auto"/>
          </w:tcPr>
          <w:p w:rsidR="00780F6B" w:rsidRPr="004F1858" w:rsidRDefault="00D0220D" w:rsidP="00780F6B">
            <w:pPr>
              <w:pStyle w:val="BodyText2"/>
              <w:numPr>
                <w:ilvl w:val="0"/>
                <w:numId w:val="23"/>
              </w:numPr>
              <w:spacing w:before="0"/>
              <w:jc w:val="left"/>
              <w:rPr>
                <w:rFonts w:asciiTheme="minorHAnsi" w:hAnsiTheme="minorHAnsi"/>
                <w:sz w:val="18"/>
                <w:szCs w:val="18"/>
              </w:rPr>
            </w:pPr>
            <w:r w:rsidRPr="004F1858">
              <w:rPr>
                <w:rFonts w:asciiTheme="minorHAnsi" w:hAnsiTheme="minorHAnsi"/>
                <w:sz w:val="18"/>
                <w:szCs w:val="18"/>
              </w:rPr>
              <w:t>Successful completion of 2010 parliamentary election to international standards</w:t>
            </w:r>
          </w:p>
          <w:p w:rsidR="00780F6B" w:rsidRPr="004F1858" w:rsidRDefault="00780F6B" w:rsidP="00D0220D">
            <w:pPr>
              <w:spacing w:before="0"/>
              <w:ind w:right="-23"/>
              <w:rPr>
                <w:rFonts w:asciiTheme="minorHAnsi" w:hAnsiTheme="minorHAnsi"/>
                <w:sz w:val="18"/>
                <w:szCs w:val="18"/>
              </w:rPr>
            </w:pPr>
          </w:p>
        </w:tc>
      </w:tr>
      <w:tr w:rsidR="00780F6B" w:rsidRPr="004F1858" w:rsidTr="00EA7929">
        <w:tc>
          <w:tcPr>
            <w:tcW w:w="14040" w:type="dxa"/>
            <w:gridSpan w:val="5"/>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u w:val="single"/>
              </w:rPr>
              <w:lastRenderedPageBreak/>
              <w:t>CP Outputs</w:t>
            </w:r>
            <w:r w:rsidRPr="004F1858">
              <w:rPr>
                <w:rFonts w:asciiTheme="minorHAnsi" w:hAnsiTheme="minorHAnsi"/>
                <w:sz w:val="18"/>
                <w:szCs w:val="18"/>
              </w:rPr>
              <w:t>:</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Tra</w:t>
            </w:r>
            <w:r w:rsidRPr="004F1858">
              <w:rPr>
                <w:rFonts w:asciiTheme="minorHAnsi" w:hAnsiTheme="minorHAnsi"/>
                <w:spacing w:val="-1"/>
                <w:sz w:val="18"/>
                <w:szCs w:val="18"/>
              </w:rPr>
              <w:t>n</w:t>
            </w:r>
            <w:r w:rsidRPr="004F1858">
              <w:rPr>
                <w:rFonts w:asciiTheme="minorHAnsi" w:hAnsiTheme="minorHAnsi"/>
                <w:sz w:val="18"/>
                <w:szCs w:val="18"/>
              </w:rPr>
              <w:t>sparency</w:t>
            </w:r>
            <w:r w:rsidRPr="004F1858">
              <w:rPr>
                <w:rFonts w:asciiTheme="minorHAnsi" w:hAnsiTheme="minorHAnsi"/>
                <w:spacing w:val="1"/>
                <w:sz w:val="18"/>
                <w:szCs w:val="18"/>
              </w:rPr>
              <w:t xml:space="preserve"> </w:t>
            </w:r>
            <w:r w:rsidRPr="004F1858">
              <w:rPr>
                <w:rFonts w:asciiTheme="minorHAnsi" w:hAnsiTheme="minorHAnsi"/>
                <w:sz w:val="18"/>
                <w:szCs w:val="18"/>
              </w:rPr>
              <w:t>a</w:t>
            </w:r>
            <w:r w:rsidRPr="004F1858">
              <w:rPr>
                <w:rFonts w:asciiTheme="minorHAnsi" w:hAnsiTheme="minorHAnsi"/>
                <w:spacing w:val="-1"/>
                <w:sz w:val="18"/>
                <w:szCs w:val="18"/>
              </w:rPr>
              <w:t>n</w:t>
            </w:r>
            <w:r w:rsidRPr="004F1858">
              <w:rPr>
                <w:rFonts w:asciiTheme="minorHAnsi" w:hAnsiTheme="minorHAnsi"/>
                <w:sz w:val="18"/>
                <w:szCs w:val="18"/>
              </w:rPr>
              <w:t>d accountability in</w:t>
            </w:r>
            <w:r w:rsidRPr="004F1858">
              <w:rPr>
                <w:rFonts w:asciiTheme="minorHAnsi" w:hAnsiTheme="minorHAnsi"/>
                <w:spacing w:val="-1"/>
                <w:sz w:val="18"/>
                <w:szCs w:val="18"/>
              </w:rPr>
              <w:t xml:space="preserve"> </w:t>
            </w:r>
            <w:r w:rsidRPr="004F1858">
              <w:rPr>
                <w:rFonts w:asciiTheme="minorHAnsi" w:hAnsiTheme="minorHAnsi"/>
                <w:sz w:val="18"/>
                <w:szCs w:val="18"/>
              </w:rPr>
              <w:t>public instit</w:t>
            </w:r>
            <w:r w:rsidRPr="004F1858">
              <w:rPr>
                <w:rFonts w:asciiTheme="minorHAnsi" w:hAnsiTheme="minorHAnsi"/>
                <w:spacing w:val="1"/>
                <w:sz w:val="18"/>
                <w:szCs w:val="18"/>
              </w:rPr>
              <w:t>u</w:t>
            </w:r>
            <w:r w:rsidRPr="004F1858">
              <w:rPr>
                <w:rFonts w:asciiTheme="minorHAnsi" w:hAnsiTheme="minorHAnsi"/>
                <w:sz w:val="18"/>
                <w:szCs w:val="18"/>
              </w:rPr>
              <w:t>tions,</w:t>
            </w:r>
            <w:r w:rsidRPr="004F1858">
              <w:rPr>
                <w:rFonts w:asciiTheme="minorHAnsi" w:hAnsiTheme="minorHAnsi"/>
                <w:spacing w:val="1"/>
                <w:sz w:val="18"/>
                <w:szCs w:val="18"/>
              </w:rPr>
              <w:t xml:space="preserve"> </w:t>
            </w:r>
            <w:r w:rsidRPr="004F1858">
              <w:rPr>
                <w:rFonts w:asciiTheme="minorHAnsi" w:hAnsiTheme="minorHAnsi"/>
                <w:sz w:val="18"/>
                <w:szCs w:val="18"/>
              </w:rPr>
              <w:t>and</w:t>
            </w:r>
            <w:r w:rsidRPr="004F1858">
              <w:rPr>
                <w:rFonts w:asciiTheme="minorHAnsi" w:hAnsiTheme="minorHAnsi"/>
                <w:spacing w:val="-1"/>
                <w:sz w:val="18"/>
                <w:szCs w:val="18"/>
              </w:rPr>
              <w:t xml:space="preserve"> </w:t>
            </w:r>
            <w:r w:rsidRPr="004F1858">
              <w:rPr>
                <w:rFonts w:asciiTheme="minorHAnsi" w:hAnsiTheme="minorHAnsi"/>
                <w:sz w:val="18"/>
                <w:szCs w:val="18"/>
              </w:rPr>
              <w:t>efficiency in administra</w:t>
            </w:r>
            <w:r w:rsidRPr="004F1858">
              <w:rPr>
                <w:rFonts w:asciiTheme="minorHAnsi" w:hAnsiTheme="minorHAnsi"/>
                <w:spacing w:val="1"/>
                <w:sz w:val="18"/>
                <w:szCs w:val="18"/>
              </w:rPr>
              <w:t>t</w:t>
            </w:r>
            <w:r w:rsidRPr="004F1858">
              <w:rPr>
                <w:rFonts w:asciiTheme="minorHAnsi" w:hAnsiTheme="minorHAnsi"/>
                <w:sz w:val="18"/>
                <w:szCs w:val="18"/>
              </w:rPr>
              <w:t>ion of</w:t>
            </w:r>
            <w:r w:rsidRPr="004F1858">
              <w:rPr>
                <w:rFonts w:asciiTheme="minorHAnsi" w:hAnsiTheme="minorHAnsi"/>
                <w:spacing w:val="-1"/>
                <w:sz w:val="18"/>
                <w:szCs w:val="18"/>
              </w:rPr>
              <w:t xml:space="preserve"> </w:t>
            </w:r>
            <w:r w:rsidRPr="004F1858">
              <w:rPr>
                <w:rFonts w:asciiTheme="minorHAnsi" w:hAnsiTheme="minorHAnsi"/>
                <w:spacing w:val="1"/>
                <w:sz w:val="18"/>
                <w:szCs w:val="18"/>
              </w:rPr>
              <w:t>j</w:t>
            </w:r>
            <w:r w:rsidRPr="004F1858">
              <w:rPr>
                <w:rFonts w:asciiTheme="minorHAnsi" w:hAnsiTheme="minorHAnsi"/>
                <w:sz w:val="18"/>
                <w:szCs w:val="18"/>
              </w:rPr>
              <w:t>ustice and parliamentary affairs improved</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Citizenship, participation,</w:t>
            </w:r>
            <w:r w:rsidRPr="004F1858">
              <w:rPr>
                <w:rFonts w:asciiTheme="minorHAnsi" w:hAnsiTheme="minorHAnsi"/>
                <w:spacing w:val="1"/>
                <w:sz w:val="18"/>
                <w:szCs w:val="18"/>
              </w:rPr>
              <w:t xml:space="preserve"> </w:t>
            </w:r>
            <w:r w:rsidRPr="004F1858">
              <w:rPr>
                <w:rFonts w:asciiTheme="minorHAnsi" w:hAnsiTheme="minorHAnsi"/>
                <w:sz w:val="18"/>
                <w:szCs w:val="18"/>
              </w:rPr>
              <w:t>and leadership rights for women</w:t>
            </w:r>
            <w:r w:rsidRPr="004F1858">
              <w:rPr>
                <w:rFonts w:asciiTheme="minorHAnsi" w:hAnsiTheme="minorHAnsi"/>
                <w:spacing w:val="-2"/>
                <w:sz w:val="18"/>
                <w:szCs w:val="18"/>
              </w:rPr>
              <w:t xml:space="preserve"> </w:t>
            </w:r>
            <w:r w:rsidRPr="004F1858">
              <w:rPr>
                <w:rFonts w:asciiTheme="minorHAnsi" w:hAnsiTheme="minorHAnsi"/>
                <w:sz w:val="18"/>
                <w:szCs w:val="18"/>
              </w:rPr>
              <w:t>promoted</w:t>
            </w:r>
          </w:p>
          <w:p w:rsidR="001069DF" w:rsidRPr="004F1858" w:rsidRDefault="001069DF" w:rsidP="001069DF">
            <w:pPr>
              <w:spacing w:before="0"/>
              <w:ind w:left="360" w:right="-23"/>
              <w:rPr>
                <w:rFonts w:asciiTheme="minorHAnsi" w:hAnsiTheme="minorHAnsi"/>
                <w:sz w:val="18"/>
                <w:szCs w:val="18"/>
              </w:rPr>
            </w:pPr>
          </w:p>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u w:val="single"/>
              </w:rPr>
              <w:t>Progress and Achievements</w:t>
            </w:r>
            <w:r w:rsidRPr="004F1858">
              <w:rPr>
                <w:rFonts w:asciiTheme="minorHAnsi" w:hAnsiTheme="minorHAnsi"/>
                <w:sz w:val="18"/>
                <w:szCs w:val="18"/>
              </w:rPr>
              <w:t>:</w:t>
            </w:r>
          </w:p>
          <w:p w:rsidR="00836696" w:rsidRPr="004F1858" w:rsidRDefault="00836696" w:rsidP="00836696">
            <w:pPr>
              <w:numPr>
                <w:ilvl w:val="0"/>
                <w:numId w:val="22"/>
              </w:numPr>
              <w:spacing w:before="0"/>
              <w:ind w:right="-23"/>
              <w:rPr>
                <w:rFonts w:asciiTheme="minorHAnsi" w:hAnsiTheme="minorHAnsi"/>
                <w:sz w:val="18"/>
                <w:szCs w:val="18"/>
              </w:rPr>
            </w:pPr>
            <w:r w:rsidRPr="004F1858">
              <w:rPr>
                <w:rFonts w:asciiTheme="minorHAnsi" w:hAnsiTheme="minorHAnsi"/>
                <w:sz w:val="18"/>
                <w:szCs w:val="18"/>
              </w:rPr>
              <w:t xml:space="preserve">UNDP </w:t>
            </w:r>
            <w:r w:rsidR="0059499D" w:rsidRPr="004F1858">
              <w:rPr>
                <w:rFonts w:asciiTheme="minorHAnsi" w:hAnsiTheme="minorHAnsi"/>
                <w:sz w:val="18"/>
                <w:szCs w:val="18"/>
              </w:rPr>
              <w:t>a</w:t>
            </w:r>
            <w:r w:rsidRPr="004F1858">
              <w:rPr>
                <w:rFonts w:asciiTheme="minorHAnsi" w:hAnsiTheme="minorHAnsi"/>
                <w:sz w:val="18"/>
                <w:szCs w:val="18"/>
              </w:rPr>
              <w:t xml:space="preserve">warded in 2010 the UN Public Service Award for the conduct of Parliamentary Elections according to international best practices through the support provided to the Ministry of Interior and Municipalities (MOIM). </w:t>
            </w:r>
          </w:p>
          <w:p w:rsidR="00836696" w:rsidRPr="004F1858" w:rsidRDefault="00D0220D" w:rsidP="00836696">
            <w:pPr>
              <w:numPr>
                <w:ilvl w:val="0"/>
                <w:numId w:val="22"/>
              </w:numPr>
              <w:spacing w:before="0"/>
              <w:ind w:right="-23"/>
              <w:rPr>
                <w:rFonts w:asciiTheme="minorHAnsi" w:hAnsiTheme="minorHAnsi"/>
                <w:sz w:val="18"/>
                <w:szCs w:val="18"/>
              </w:rPr>
            </w:pPr>
            <w:r w:rsidRPr="004F1858">
              <w:rPr>
                <w:rFonts w:asciiTheme="minorHAnsi" w:hAnsiTheme="minorHAnsi"/>
                <w:sz w:val="18"/>
                <w:szCs w:val="18"/>
              </w:rPr>
              <w:t xml:space="preserve">In </w:t>
            </w:r>
            <w:r w:rsidR="00780F6B" w:rsidRPr="004F1858">
              <w:rPr>
                <w:rFonts w:asciiTheme="minorHAnsi" w:hAnsiTheme="minorHAnsi"/>
                <w:sz w:val="18"/>
                <w:szCs w:val="18"/>
              </w:rPr>
              <w:t xml:space="preserve">addressing the levels of accountability and participation, despite the paralysis the parliament has been facing, </w:t>
            </w:r>
            <w:r w:rsidRPr="004F1858">
              <w:rPr>
                <w:rFonts w:asciiTheme="minorHAnsi" w:hAnsiTheme="minorHAnsi"/>
                <w:sz w:val="18"/>
                <w:szCs w:val="18"/>
              </w:rPr>
              <w:t>p</w:t>
            </w:r>
            <w:r w:rsidR="00780F6B" w:rsidRPr="004F1858">
              <w:rPr>
                <w:rFonts w:asciiTheme="minorHAnsi" w:hAnsiTheme="minorHAnsi"/>
                <w:sz w:val="18"/>
                <w:szCs w:val="18"/>
              </w:rPr>
              <w:t xml:space="preserve">roactive and alternative measures were taken to keep momentum high. New partnerships were developed in view of allowing better management of elections (specifically results management) providing, for instance, extensive technical support to the Constitutional Council. </w:t>
            </w:r>
          </w:p>
          <w:p w:rsidR="00836696" w:rsidRPr="004F1858" w:rsidRDefault="00836696" w:rsidP="00836696">
            <w:pPr>
              <w:numPr>
                <w:ilvl w:val="0"/>
                <w:numId w:val="22"/>
              </w:numPr>
              <w:spacing w:before="0"/>
              <w:ind w:right="-23"/>
              <w:rPr>
                <w:rFonts w:asciiTheme="minorHAnsi" w:hAnsiTheme="minorHAnsi"/>
                <w:sz w:val="18"/>
                <w:szCs w:val="18"/>
              </w:rPr>
            </w:pPr>
            <w:r w:rsidRPr="004F1858">
              <w:rPr>
                <w:rFonts w:asciiTheme="minorHAnsi" w:hAnsiTheme="minorHAnsi"/>
                <w:sz w:val="18"/>
                <w:szCs w:val="18"/>
              </w:rPr>
              <w:t>Specific emphasis has been placed on the role of women and participation in elections, maintaining a very high level national debate over special temporary measures such as a gender quota, informing decision makers and citizens on technical aspects, using partnerships with civil society as an outreach platform, and resulting in buy in from a number of leaders, including the Speaker of Parliament</w:t>
            </w:r>
          </w:p>
          <w:p w:rsidR="00780F6B" w:rsidRPr="004F1858" w:rsidRDefault="00780F6B" w:rsidP="00836696">
            <w:pPr>
              <w:numPr>
                <w:ilvl w:val="0"/>
                <w:numId w:val="22"/>
              </w:numPr>
              <w:spacing w:before="0"/>
              <w:ind w:right="-23"/>
              <w:rPr>
                <w:rFonts w:asciiTheme="minorHAnsi" w:hAnsiTheme="minorHAnsi"/>
                <w:color w:val="333333"/>
                <w:sz w:val="18"/>
                <w:szCs w:val="18"/>
                <w:lang w:eastAsia="en-CA"/>
              </w:rPr>
            </w:pPr>
            <w:r w:rsidRPr="004F1858">
              <w:rPr>
                <w:rFonts w:asciiTheme="minorHAnsi" w:hAnsiTheme="minorHAnsi"/>
                <w:sz w:val="18"/>
                <w:szCs w:val="18"/>
                <w:lang w:eastAsia="en-CA"/>
              </w:rPr>
              <w:t xml:space="preserve">Despite the </w:t>
            </w:r>
            <w:r w:rsidRPr="004F1858">
              <w:rPr>
                <w:rFonts w:asciiTheme="minorHAnsi" w:hAnsiTheme="minorHAnsi"/>
                <w:sz w:val="18"/>
                <w:szCs w:val="18"/>
              </w:rPr>
              <w:t>postponement</w:t>
            </w:r>
            <w:r w:rsidRPr="004F1858">
              <w:rPr>
                <w:rFonts w:asciiTheme="minorHAnsi" w:hAnsiTheme="minorHAnsi"/>
                <w:sz w:val="18"/>
                <w:szCs w:val="18"/>
                <w:lang w:eastAsia="en-CA"/>
              </w:rPr>
              <w:t xml:space="preserve"> of parliamentary elections, the voter registration and </w:t>
            </w:r>
            <w:r w:rsidR="00836696" w:rsidRPr="004F1858">
              <w:rPr>
                <w:rFonts w:asciiTheme="minorHAnsi" w:hAnsiTheme="minorHAnsi"/>
                <w:sz w:val="18"/>
                <w:szCs w:val="18"/>
                <w:lang w:eastAsia="en-CA"/>
              </w:rPr>
              <w:t>candidates’</w:t>
            </w:r>
            <w:r w:rsidRPr="004F1858">
              <w:rPr>
                <w:rFonts w:asciiTheme="minorHAnsi" w:hAnsiTheme="minorHAnsi"/>
                <w:sz w:val="18"/>
                <w:szCs w:val="18"/>
                <w:lang w:eastAsia="en-CA"/>
              </w:rPr>
              <w:t xml:space="preserve"> registration showed good progress especially with the increased number of women candidates</w:t>
            </w:r>
            <w:r w:rsidR="00712826" w:rsidRPr="004F1858">
              <w:rPr>
                <w:rFonts w:asciiTheme="minorHAnsi" w:hAnsiTheme="minorHAnsi"/>
                <w:sz w:val="18"/>
                <w:szCs w:val="18"/>
                <w:lang w:eastAsia="en-CA"/>
              </w:rPr>
              <w:t xml:space="preserve"> and support provided for municipal elections in 2016.</w:t>
            </w:r>
            <w:r w:rsidRPr="004F1858">
              <w:rPr>
                <w:rFonts w:asciiTheme="minorHAnsi" w:hAnsiTheme="minorHAnsi"/>
                <w:sz w:val="18"/>
                <w:szCs w:val="18"/>
                <w:lang w:eastAsia="en-CA"/>
              </w:rPr>
              <w:t xml:space="preserve">. </w:t>
            </w:r>
          </w:p>
          <w:p w:rsidR="00780F6B" w:rsidRPr="004F1858" w:rsidRDefault="00780F6B" w:rsidP="00780F6B">
            <w:pPr>
              <w:pStyle w:val="BodyText2"/>
              <w:spacing w:before="0"/>
              <w:jc w:val="left"/>
              <w:rPr>
                <w:rFonts w:asciiTheme="minorHAnsi" w:hAnsiTheme="minorHAnsi"/>
                <w:sz w:val="18"/>
                <w:szCs w:val="18"/>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lastRenderedPageBreak/>
              <w:t>03:  Strengthened policy and institutional framework for implementing strategies focused on poverty reduction</w:t>
            </w:r>
          </w:p>
        </w:tc>
        <w:tc>
          <w:tcPr>
            <w:tcW w:w="1434" w:type="dxa"/>
            <w:shd w:val="clear" w:color="auto" w:fill="auto"/>
          </w:tcPr>
          <w:p w:rsidR="00780F6B" w:rsidRPr="004F1858" w:rsidRDefault="00780F6B" w:rsidP="00EA7929">
            <w:pPr>
              <w:pStyle w:val="BodyText2"/>
              <w:spacing w:before="0"/>
              <w:jc w:val="left"/>
              <w:rPr>
                <w:rFonts w:asciiTheme="minorHAnsi" w:hAnsiTheme="minorHAnsi"/>
                <w:sz w:val="18"/>
                <w:szCs w:val="18"/>
              </w:rPr>
            </w:pPr>
            <w:r w:rsidRPr="00EA7929">
              <w:rPr>
                <w:rFonts w:asciiTheme="minorHAnsi" w:hAnsiTheme="minorHAnsi"/>
                <w:sz w:val="18"/>
                <w:szCs w:val="18"/>
              </w:rPr>
              <w:t>$</w:t>
            </w:r>
            <w:r w:rsidR="00EA7929">
              <w:rPr>
                <w:rFonts w:asciiTheme="minorHAnsi" w:hAnsiTheme="minorHAnsi"/>
                <w:sz w:val="18"/>
                <w:szCs w:val="18"/>
              </w:rPr>
              <w:t xml:space="preserve"> </w:t>
            </w:r>
            <w:r w:rsidR="00EA7929">
              <w:rPr>
                <w:rFonts w:ascii="Calibri" w:hAnsi="Calibri"/>
                <w:sz w:val="18"/>
                <w:szCs w:val="18"/>
              </w:rPr>
              <w:t>8,356,638.48</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i/>
                <w:sz w:val="18"/>
                <w:szCs w:val="18"/>
              </w:rPr>
            </w:pPr>
            <w:r w:rsidRPr="004F1858">
              <w:rPr>
                <w:rFonts w:asciiTheme="minorHAnsi" w:hAnsiTheme="minorHAnsi"/>
                <w:i/>
                <w:sz w:val="18"/>
                <w:szCs w:val="18"/>
              </w:rPr>
              <w:t>3.1. Number of enhanced pro-poor policies endorsed and relevant action plan implemented by the government</w:t>
            </w:r>
          </w:p>
        </w:tc>
        <w:tc>
          <w:tcPr>
            <w:tcW w:w="6844" w:type="dxa"/>
            <w:shd w:val="clear" w:color="auto" w:fill="auto"/>
          </w:tcPr>
          <w:p w:rsidR="00780F6B" w:rsidRPr="004F1858" w:rsidRDefault="00780F6B" w:rsidP="00836696">
            <w:pPr>
              <w:pStyle w:val="BodyText2"/>
              <w:numPr>
                <w:ilvl w:val="0"/>
                <w:numId w:val="23"/>
              </w:numPr>
              <w:spacing w:before="0"/>
              <w:jc w:val="left"/>
              <w:rPr>
                <w:rFonts w:asciiTheme="minorHAnsi" w:hAnsiTheme="minorHAnsi"/>
                <w:i/>
                <w:sz w:val="18"/>
                <w:szCs w:val="18"/>
              </w:rPr>
            </w:pPr>
            <w:r w:rsidRPr="004F1858">
              <w:rPr>
                <w:rFonts w:asciiTheme="minorHAnsi" w:hAnsiTheme="minorHAnsi"/>
                <w:sz w:val="18"/>
                <w:szCs w:val="18"/>
                <w:lang w:eastAsia="en-CA"/>
              </w:rPr>
              <w:t xml:space="preserve">No </w:t>
            </w:r>
            <w:r w:rsidRPr="004F1858">
              <w:rPr>
                <w:rFonts w:asciiTheme="minorHAnsi" w:hAnsiTheme="minorHAnsi"/>
                <w:sz w:val="18"/>
                <w:szCs w:val="18"/>
              </w:rPr>
              <w:t>comprehensive</w:t>
            </w:r>
            <w:r w:rsidRPr="004F1858">
              <w:rPr>
                <w:rFonts w:asciiTheme="minorHAnsi" w:hAnsiTheme="minorHAnsi"/>
                <w:sz w:val="18"/>
                <w:szCs w:val="18"/>
                <w:lang w:eastAsia="en-CA"/>
              </w:rPr>
              <w:t xml:space="preserve"> survey has been conducted to update the baseline of 2010.</w:t>
            </w:r>
          </w:p>
          <w:p w:rsidR="00E274CE" w:rsidRPr="004F1858" w:rsidRDefault="00E274CE" w:rsidP="00836696">
            <w:pPr>
              <w:pStyle w:val="BodyText2"/>
              <w:numPr>
                <w:ilvl w:val="0"/>
                <w:numId w:val="23"/>
              </w:numPr>
              <w:spacing w:before="0"/>
              <w:jc w:val="left"/>
              <w:rPr>
                <w:rFonts w:asciiTheme="minorHAnsi" w:hAnsiTheme="minorHAnsi"/>
                <w:i/>
                <w:sz w:val="18"/>
                <w:szCs w:val="18"/>
              </w:rPr>
            </w:pPr>
            <w:r w:rsidRPr="004F1858">
              <w:rPr>
                <w:rFonts w:asciiTheme="minorHAnsi" w:hAnsiTheme="minorHAnsi"/>
                <w:sz w:val="18"/>
                <w:szCs w:val="18"/>
                <w:lang w:val="en-US"/>
              </w:rPr>
              <w:t>First National Strategy for Social Development, which was launched by the Ministry of Social Affairs in 2011.</w:t>
            </w:r>
          </w:p>
        </w:tc>
      </w:tr>
      <w:tr w:rsidR="00780F6B" w:rsidRPr="004F1858" w:rsidTr="00EA7929">
        <w:tc>
          <w:tcPr>
            <w:tcW w:w="14040" w:type="dxa"/>
            <w:gridSpan w:val="5"/>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780F6B" w:rsidRPr="004F1858" w:rsidRDefault="00780F6B" w:rsidP="00780F6B">
            <w:pPr>
              <w:pStyle w:val="BodyText2"/>
              <w:spacing w:before="0"/>
              <w:jc w:val="left"/>
              <w:rPr>
                <w:rFonts w:asciiTheme="minorHAnsi" w:hAnsiTheme="minorHAnsi"/>
                <w:sz w:val="18"/>
                <w:szCs w:val="18"/>
              </w:rPr>
            </w:pP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CP Outputs:</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Stre</w:t>
            </w:r>
            <w:r w:rsidRPr="004F1858">
              <w:rPr>
                <w:rFonts w:asciiTheme="minorHAnsi" w:hAnsiTheme="minorHAnsi"/>
                <w:spacing w:val="-1"/>
                <w:sz w:val="18"/>
                <w:szCs w:val="18"/>
              </w:rPr>
              <w:t>n</w:t>
            </w:r>
            <w:r w:rsidRPr="004F1858">
              <w:rPr>
                <w:rFonts w:asciiTheme="minorHAnsi" w:hAnsiTheme="minorHAnsi"/>
                <w:sz w:val="18"/>
                <w:szCs w:val="18"/>
              </w:rPr>
              <w:t>gthened national and civil</w:t>
            </w:r>
            <w:r w:rsidRPr="004F1858">
              <w:rPr>
                <w:rFonts w:asciiTheme="minorHAnsi" w:hAnsiTheme="minorHAnsi"/>
                <w:spacing w:val="-1"/>
                <w:sz w:val="18"/>
                <w:szCs w:val="18"/>
              </w:rPr>
              <w:t xml:space="preserve"> </w:t>
            </w:r>
            <w:r w:rsidRPr="004F1858">
              <w:rPr>
                <w:rFonts w:asciiTheme="minorHAnsi" w:hAnsiTheme="minorHAnsi"/>
                <w:sz w:val="18"/>
                <w:szCs w:val="18"/>
              </w:rPr>
              <w:t>society capacities to formulate and implement social development and</w:t>
            </w:r>
            <w:r w:rsidRPr="004F1858">
              <w:rPr>
                <w:rFonts w:asciiTheme="minorHAnsi" w:hAnsiTheme="minorHAnsi"/>
                <w:spacing w:val="1"/>
                <w:sz w:val="18"/>
                <w:szCs w:val="18"/>
              </w:rPr>
              <w:t xml:space="preserve"> </w:t>
            </w:r>
            <w:r w:rsidRPr="004F1858">
              <w:rPr>
                <w:rFonts w:asciiTheme="minorHAnsi" w:hAnsiTheme="minorHAnsi"/>
                <w:sz w:val="18"/>
                <w:szCs w:val="18"/>
              </w:rPr>
              <w:t>labor</w:t>
            </w:r>
            <w:r w:rsidRPr="004F1858">
              <w:rPr>
                <w:rFonts w:asciiTheme="minorHAnsi" w:hAnsiTheme="minorHAnsi"/>
                <w:spacing w:val="-1"/>
                <w:sz w:val="18"/>
                <w:szCs w:val="18"/>
              </w:rPr>
              <w:t xml:space="preserve"> </w:t>
            </w:r>
            <w:r w:rsidRPr="004F1858">
              <w:rPr>
                <w:rFonts w:asciiTheme="minorHAnsi" w:hAnsiTheme="minorHAnsi"/>
                <w:sz w:val="18"/>
                <w:szCs w:val="18"/>
              </w:rPr>
              <w:t>strategies</w:t>
            </w: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Progress and Achievements:</w:t>
            </w:r>
          </w:p>
          <w:p w:rsidR="00842E2C" w:rsidRPr="004F1858" w:rsidRDefault="00842E2C" w:rsidP="00842E2C">
            <w:pPr>
              <w:numPr>
                <w:ilvl w:val="0"/>
                <w:numId w:val="22"/>
              </w:numPr>
              <w:spacing w:before="0"/>
              <w:ind w:right="-23"/>
              <w:rPr>
                <w:rFonts w:asciiTheme="minorHAnsi" w:hAnsiTheme="minorHAnsi"/>
                <w:sz w:val="18"/>
                <w:szCs w:val="18"/>
                <w:lang w:val="en-US"/>
              </w:rPr>
            </w:pPr>
            <w:r w:rsidRPr="004F1858">
              <w:rPr>
                <w:rFonts w:asciiTheme="minorHAnsi" w:hAnsiTheme="minorHAnsi"/>
                <w:sz w:val="18"/>
                <w:szCs w:val="18"/>
              </w:rPr>
              <w:t>UNDP</w:t>
            </w:r>
            <w:r w:rsidRPr="004F1858">
              <w:rPr>
                <w:rFonts w:asciiTheme="minorHAnsi" w:hAnsiTheme="minorHAnsi"/>
                <w:sz w:val="18"/>
                <w:szCs w:val="18"/>
                <w:lang w:val="en-US"/>
              </w:rPr>
              <w:t xml:space="preserve"> conducted capacity assessments of selected governmental agencies involved in the planning and implementation of MDG1. A capacity development programme for the National Employment Office was implemented as a result of the above-mentioned assessments.</w:t>
            </w:r>
          </w:p>
          <w:p w:rsidR="00842E2C" w:rsidRPr="004F1858" w:rsidRDefault="00842E2C" w:rsidP="00842E2C">
            <w:pPr>
              <w:numPr>
                <w:ilvl w:val="0"/>
                <w:numId w:val="22"/>
              </w:numPr>
              <w:spacing w:before="0"/>
              <w:ind w:right="-23"/>
              <w:rPr>
                <w:rFonts w:asciiTheme="minorHAnsi" w:hAnsiTheme="minorHAnsi"/>
                <w:sz w:val="18"/>
                <w:szCs w:val="18"/>
                <w:lang w:val="en-US"/>
              </w:rPr>
            </w:pPr>
            <w:r w:rsidRPr="004F1858">
              <w:rPr>
                <w:rFonts w:asciiTheme="minorHAnsi" w:hAnsiTheme="minorHAnsi"/>
                <w:sz w:val="18"/>
                <w:szCs w:val="18"/>
                <w:lang w:val="en-US"/>
              </w:rPr>
              <w:t>UNDP extended its technical and administrative support to the Inter-Ministerial committee for social issues for the formulation of the first National Strategy for Social Development, which was launched by the Ministry of Social Affairs in 2011. The strategy is currently being revised to reflect the impact of the Syrian crisis.</w:t>
            </w:r>
          </w:p>
          <w:p w:rsidR="00E274CE" w:rsidRPr="004F1858" w:rsidRDefault="00E274CE" w:rsidP="00E274CE">
            <w:pPr>
              <w:spacing w:before="0"/>
              <w:ind w:left="360" w:right="-23"/>
              <w:rPr>
                <w:rFonts w:asciiTheme="minorHAnsi" w:hAnsiTheme="minorHAnsi"/>
                <w:sz w:val="18"/>
                <w:szCs w:val="18"/>
                <w:lang w:val="en-US"/>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t>04:  Local governance structures in target under-served regions strengthened for better representation, participation, and basic local services delivery</w:t>
            </w:r>
          </w:p>
        </w:tc>
        <w:tc>
          <w:tcPr>
            <w:tcW w:w="1434" w:type="dxa"/>
            <w:shd w:val="clear" w:color="auto" w:fill="auto"/>
          </w:tcPr>
          <w:p w:rsidR="00EA7929" w:rsidRPr="004F1858" w:rsidRDefault="00EA7929" w:rsidP="00780F6B">
            <w:pPr>
              <w:pStyle w:val="BodyText2"/>
              <w:spacing w:before="0"/>
              <w:jc w:val="left"/>
              <w:rPr>
                <w:rFonts w:asciiTheme="minorHAnsi" w:hAnsiTheme="minorHAnsi"/>
                <w:sz w:val="18"/>
                <w:szCs w:val="18"/>
              </w:rPr>
            </w:pPr>
            <w:r>
              <w:rPr>
                <w:rFonts w:ascii="Calibri" w:hAnsi="Calibri"/>
                <w:sz w:val="18"/>
                <w:szCs w:val="18"/>
              </w:rPr>
              <w:t>$ 48,455478.61</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i/>
                <w:sz w:val="18"/>
                <w:szCs w:val="18"/>
              </w:rPr>
            </w:pPr>
            <w:r w:rsidRPr="004F1858">
              <w:rPr>
                <w:rFonts w:asciiTheme="minorHAnsi" w:hAnsiTheme="minorHAnsi"/>
                <w:i/>
                <w:sz w:val="18"/>
                <w:szCs w:val="18"/>
              </w:rPr>
              <w:t xml:space="preserve">4.1. </w:t>
            </w:r>
            <w:r w:rsidRPr="004F1858">
              <w:rPr>
                <w:rFonts w:asciiTheme="minorHAnsi" w:hAnsiTheme="minorHAnsi"/>
                <w:i/>
                <w:sz w:val="18"/>
                <w:szCs w:val="18"/>
              </w:rPr>
              <w:tab/>
              <w:t>% increase of local actors’ participation in local development planning (including women and youth)</w:t>
            </w:r>
          </w:p>
          <w:p w:rsidR="00780F6B" w:rsidRPr="004F1858" w:rsidRDefault="00780F6B" w:rsidP="00780F6B">
            <w:pPr>
              <w:spacing w:before="60"/>
              <w:ind w:left="318" w:hanging="318"/>
              <w:jc w:val="left"/>
              <w:rPr>
                <w:rFonts w:asciiTheme="minorHAnsi" w:hAnsiTheme="minorHAnsi"/>
                <w:i/>
                <w:sz w:val="18"/>
                <w:szCs w:val="18"/>
              </w:rPr>
            </w:pPr>
            <w:r w:rsidRPr="004F1858">
              <w:rPr>
                <w:rFonts w:asciiTheme="minorHAnsi" w:hAnsiTheme="minorHAnsi"/>
                <w:i/>
                <w:sz w:val="18"/>
                <w:szCs w:val="18"/>
              </w:rPr>
              <w:t xml:space="preserve">4.2. </w:t>
            </w:r>
            <w:r w:rsidRPr="004F1858">
              <w:rPr>
                <w:rFonts w:asciiTheme="minorHAnsi" w:hAnsiTheme="minorHAnsi"/>
                <w:i/>
                <w:sz w:val="18"/>
                <w:szCs w:val="18"/>
              </w:rPr>
              <w:tab/>
              <w:t>Number of host communities highly affected by Syrian refugees supported to in basic and social services capacity</w:t>
            </w:r>
          </w:p>
          <w:p w:rsidR="001069DF" w:rsidRPr="004F1858" w:rsidRDefault="00780F6B" w:rsidP="001069DF">
            <w:pPr>
              <w:spacing w:before="60"/>
              <w:ind w:left="318" w:hanging="318"/>
              <w:jc w:val="left"/>
              <w:rPr>
                <w:rFonts w:asciiTheme="minorHAnsi" w:hAnsiTheme="minorHAnsi"/>
                <w:i/>
                <w:sz w:val="18"/>
                <w:szCs w:val="18"/>
              </w:rPr>
            </w:pPr>
            <w:r w:rsidRPr="004F1858">
              <w:rPr>
                <w:rFonts w:asciiTheme="minorHAnsi" w:hAnsiTheme="minorHAnsi"/>
                <w:i/>
                <w:sz w:val="18"/>
                <w:szCs w:val="18"/>
              </w:rPr>
              <w:lastRenderedPageBreak/>
              <w:t>4.3. Number of beneficiaries in the most vulnerable host communities supported with livelihood and income generation</w:t>
            </w:r>
            <w:r w:rsidRPr="004F1858">
              <w:rPr>
                <w:rFonts w:asciiTheme="minorHAnsi" w:hAnsiTheme="minorHAnsi"/>
                <w:b/>
                <w:bCs/>
                <w:color w:val="333333"/>
                <w:sz w:val="18"/>
                <w:szCs w:val="18"/>
                <w:lang w:eastAsia="en-CA"/>
              </w:rPr>
              <w:t xml:space="preserve"> </w:t>
            </w:r>
            <w:r w:rsidRPr="004F1858">
              <w:rPr>
                <w:rFonts w:asciiTheme="minorHAnsi" w:hAnsiTheme="minorHAnsi"/>
                <w:i/>
                <w:sz w:val="18"/>
                <w:szCs w:val="18"/>
              </w:rPr>
              <w:t>activities</w:t>
            </w:r>
          </w:p>
        </w:tc>
        <w:tc>
          <w:tcPr>
            <w:tcW w:w="6844" w:type="dxa"/>
            <w:shd w:val="clear" w:color="auto" w:fill="auto"/>
          </w:tcPr>
          <w:p w:rsidR="00780F6B" w:rsidRPr="004F1858" w:rsidRDefault="00780F6B" w:rsidP="00E274CE">
            <w:pPr>
              <w:pStyle w:val="BodyText2"/>
              <w:numPr>
                <w:ilvl w:val="0"/>
                <w:numId w:val="23"/>
              </w:numPr>
              <w:spacing w:before="0"/>
              <w:jc w:val="left"/>
              <w:rPr>
                <w:rFonts w:asciiTheme="minorHAnsi" w:hAnsiTheme="minorHAnsi"/>
                <w:sz w:val="18"/>
                <w:szCs w:val="18"/>
              </w:rPr>
            </w:pPr>
            <w:r w:rsidRPr="004F1858">
              <w:rPr>
                <w:rFonts w:asciiTheme="minorHAnsi" w:hAnsiTheme="minorHAnsi"/>
                <w:sz w:val="18"/>
                <w:szCs w:val="18"/>
              </w:rPr>
              <w:lastRenderedPageBreak/>
              <w:t>120 community development plans were developed recently in full consultation with local stakeholders including women and youth.</w:t>
            </w:r>
          </w:p>
          <w:p w:rsidR="00780F6B" w:rsidRPr="004F1858" w:rsidRDefault="00780F6B" w:rsidP="00E274CE">
            <w:pPr>
              <w:pStyle w:val="BodyText2"/>
              <w:numPr>
                <w:ilvl w:val="0"/>
                <w:numId w:val="23"/>
              </w:numPr>
              <w:spacing w:before="0"/>
              <w:jc w:val="left"/>
              <w:rPr>
                <w:rFonts w:asciiTheme="minorHAnsi" w:hAnsiTheme="minorHAnsi"/>
                <w:sz w:val="18"/>
                <w:szCs w:val="18"/>
              </w:rPr>
            </w:pPr>
            <w:r w:rsidRPr="004F1858">
              <w:rPr>
                <w:rFonts w:asciiTheme="minorHAnsi" w:hAnsiTheme="minorHAnsi"/>
                <w:sz w:val="18"/>
                <w:szCs w:val="18"/>
              </w:rPr>
              <w:t>50 most vulnerable communities were supported through basic and social services interventions</w:t>
            </w:r>
          </w:p>
          <w:p w:rsidR="00780F6B" w:rsidRPr="004F1858" w:rsidRDefault="00780F6B" w:rsidP="00E274CE">
            <w:pPr>
              <w:pStyle w:val="BodyText2"/>
              <w:numPr>
                <w:ilvl w:val="0"/>
                <w:numId w:val="23"/>
              </w:numPr>
              <w:spacing w:before="0"/>
              <w:jc w:val="left"/>
              <w:rPr>
                <w:rFonts w:asciiTheme="minorHAnsi" w:hAnsiTheme="minorHAnsi"/>
                <w:sz w:val="18"/>
                <w:szCs w:val="18"/>
              </w:rPr>
            </w:pPr>
            <w:r w:rsidRPr="004F1858">
              <w:rPr>
                <w:rFonts w:asciiTheme="minorHAnsi" w:hAnsiTheme="minorHAnsi"/>
                <w:sz w:val="18"/>
                <w:szCs w:val="18"/>
              </w:rPr>
              <w:t>More than 9,500 people benefited from other diversified livelihoods opportunities through UNDP emergency projects. More than 2,400 emergency jobs for adults (15 or more years old) were created through UNDP projects.</w:t>
            </w:r>
          </w:p>
          <w:p w:rsidR="00780F6B" w:rsidRPr="004F1858" w:rsidRDefault="00780F6B" w:rsidP="00780F6B">
            <w:pPr>
              <w:pStyle w:val="BodyText2"/>
              <w:spacing w:before="0"/>
              <w:jc w:val="left"/>
              <w:rPr>
                <w:rFonts w:asciiTheme="minorHAnsi" w:hAnsiTheme="minorHAnsi"/>
                <w:i/>
                <w:sz w:val="18"/>
                <w:szCs w:val="18"/>
              </w:rPr>
            </w:pPr>
          </w:p>
        </w:tc>
      </w:tr>
      <w:tr w:rsidR="00780F6B" w:rsidRPr="004F1858" w:rsidTr="00EA7929">
        <w:tc>
          <w:tcPr>
            <w:tcW w:w="14040" w:type="dxa"/>
            <w:gridSpan w:val="5"/>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CP Outputs:</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C</w:t>
            </w:r>
            <w:r w:rsidRPr="004F1858">
              <w:rPr>
                <w:rFonts w:asciiTheme="minorHAnsi" w:hAnsiTheme="minorHAnsi"/>
                <w:spacing w:val="-1"/>
                <w:sz w:val="18"/>
                <w:szCs w:val="18"/>
              </w:rPr>
              <w:t>a</w:t>
            </w:r>
            <w:r w:rsidRPr="004F1858">
              <w:rPr>
                <w:rFonts w:asciiTheme="minorHAnsi" w:hAnsiTheme="minorHAnsi"/>
                <w:sz w:val="18"/>
                <w:szCs w:val="18"/>
              </w:rPr>
              <w:t>pacities of instit</w:t>
            </w:r>
            <w:r w:rsidRPr="004F1858">
              <w:rPr>
                <w:rFonts w:asciiTheme="minorHAnsi" w:hAnsiTheme="minorHAnsi"/>
                <w:spacing w:val="1"/>
                <w:sz w:val="18"/>
                <w:szCs w:val="18"/>
              </w:rPr>
              <w:t>u</w:t>
            </w:r>
            <w:r w:rsidRPr="004F1858">
              <w:rPr>
                <w:rFonts w:asciiTheme="minorHAnsi" w:hAnsiTheme="minorHAnsi"/>
                <w:sz w:val="18"/>
                <w:szCs w:val="18"/>
              </w:rPr>
              <w:t>tions and community groups</w:t>
            </w:r>
            <w:r w:rsidRPr="004F1858">
              <w:rPr>
                <w:rFonts w:asciiTheme="minorHAnsi" w:hAnsiTheme="minorHAnsi"/>
                <w:spacing w:val="1"/>
                <w:sz w:val="18"/>
                <w:szCs w:val="18"/>
              </w:rPr>
              <w:t xml:space="preserve"> </w:t>
            </w:r>
            <w:r w:rsidRPr="004F1858">
              <w:rPr>
                <w:rFonts w:asciiTheme="minorHAnsi" w:hAnsiTheme="minorHAnsi"/>
                <w:sz w:val="18"/>
                <w:szCs w:val="18"/>
              </w:rPr>
              <w:t>strengthe</w:t>
            </w:r>
            <w:r w:rsidRPr="004F1858">
              <w:rPr>
                <w:rFonts w:asciiTheme="minorHAnsi" w:hAnsiTheme="minorHAnsi"/>
                <w:spacing w:val="-1"/>
                <w:sz w:val="18"/>
                <w:szCs w:val="18"/>
              </w:rPr>
              <w:t>n</w:t>
            </w:r>
            <w:r w:rsidRPr="004F1858">
              <w:rPr>
                <w:rFonts w:asciiTheme="minorHAnsi" w:hAnsiTheme="minorHAnsi"/>
                <w:sz w:val="18"/>
                <w:szCs w:val="18"/>
              </w:rPr>
              <w:t>ed</w:t>
            </w:r>
            <w:r w:rsidRPr="004F1858">
              <w:rPr>
                <w:rFonts w:asciiTheme="minorHAnsi" w:hAnsiTheme="minorHAnsi"/>
                <w:spacing w:val="1"/>
                <w:sz w:val="18"/>
                <w:szCs w:val="18"/>
              </w:rPr>
              <w:t xml:space="preserve"> </w:t>
            </w:r>
            <w:r w:rsidRPr="004F1858">
              <w:rPr>
                <w:rFonts w:asciiTheme="minorHAnsi" w:hAnsiTheme="minorHAnsi"/>
                <w:sz w:val="18"/>
                <w:szCs w:val="18"/>
              </w:rPr>
              <w:t>for effective</w:t>
            </w:r>
            <w:r w:rsidRPr="004F1858">
              <w:rPr>
                <w:rFonts w:asciiTheme="minorHAnsi" w:hAnsiTheme="minorHAnsi"/>
                <w:spacing w:val="1"/>
                <w:sz w:val="18"/>
                <w:szCs w:val="18"/>
              </w:rPr>
              <w:t xml:space="preserve"> </w:t>
            </w:r>
            <w:r w:rsidRPr="004F1858">
              <w:rPr>
                <w:rFonts w:asciiTheme="minorHAnsi" w:hAnsiTheme="minorHAnsi"/>
                <w:sz w:val="18"/>
                <w:szCs w:val="18"/>
              </w:rPr>
              <w:t>formulation</w:t>
            </w:r>
            <w:r w:rsidRPr="004F1858">
              <w:rPr>
                <w:rFonts w:asciiTheme="minorHAnsi" w:hAnsiTheme="minorHAnsi"/>
                <w:spacing w:val="1"/>
                <w:sz w:val="18"/>
                <w:szCs w:val="18"/>
              </w:rPr>
              <w:t xml:space="preserve"> </w:t>
            </w:r>
            <w:r w:rsidRPr="004F1858">
              <w:rPr>
                <w:rFonts w:asciiTheme="minorHAnsi" w:hAnsiTheme="minorHAnsi"/>
                <w:sz w:val="18"/>
                <w:szCs w:val="18"/>
              </w:rPr>
              <w:t>and implementation of regional and local</w:t>
            </w:r>
            <w:r w:rsidRPr="004F1858">
              <w:rPr>
                <w:rFonts w:asciiTheme="minorHAnsi" w:hAnsiTheme="minorHAnsi"/>
                <w:spacing w:val="1"/>
                <w:sz w:val="18"/>
                <w:szCs w:val="18"/>
              </w:rPr>
              <w:t xml:space="preserve"> </w:t>
            </w:r>
            <w:r w:rsidRPr="004F1858">
              <w:rPr>
                <w:rFonts w:asciiTheme="minorHAnsi" w:hAnsiTheme="minorHAnsi"/>
                <w:sz w:val="18"/>
                <w:szCs w:val="18"/>
              </w:rPr>
              <w:t>developme</w:t>
            </w:r>
            <w:r w:rsidRPr="004F1858">
              <w:rPr>
                <w:rFonts w:asciiTheme="minorHAnsi" w:hAnsiTheme="minorHAnsi"/>
                <w:spacing w:val="-1"/>
                <w:sz w:val="18"/>
                <w:szCs w:val="18"/>
              </w:rPr>
              <w:t>n</w:t>
            </w:r>
            <w:r w:rsidRPr="004F1858">
              <w:rPr>
                <w:rFonts w:asciiTheme="minorHAnsi" w:hAnsiTheme="minorHAnsi"/>
                <w:sz w:val="18"/>
                <w:szCs w:val="18"/>
              </w:rPr>
              <w:t>t</w:t>
            </w:r>
            <w:r w:rsidRPr="004F1858">
              <w:rPr>
                <w:rFonts w:asciiTheme="minorHAnsi" w:hAnsiTheme="minorHAnsi"/>
                <w:spacing w:val="1"/>
                <w:sz w:val="18"/>
                <w:szCs w:val="18"/>
              </w:rPr>
              <w:t xml:space="preserve"> </w:t>
            </w:r>
            <w:r w:rsidRPr="004F1858">
              <w:rPr>
                <w:rFonts w:asciiTheme="minorHAnsi" w:hAnsiTheme="minorHAnsi"/>
                <w:sz w:val="18"/>
                <w:szCs w:val="18"/>
              </w:rPr>
              <w:t>plans including</w:t>
            </w:r>
            <w:r w:rsidRPr="004F1858">
              <w:rPr>
                <w:rFonts w:asciiTheme="minorHAnsi" w:hAnsiTheme="minorHAnsi"/>
                <w:spacing w:val="1"/>
                <w:sz w:val="18"/>
                <w:szCs w:val="18"/>
              </w:rPr>
              <w:t xml:space="preserve"> </w:t>
            </w:r>
            <w:r w:rsidRPr="004F1858">
              <w:rPr>
                <w:rFonts w:asciiTheme="minorHAnsi" w:hAnsiTheme="minorHAnsi"/>
                <w:sz w:val="18"/>
                <w:szCs w:val="18"/>
              </w:rPr>
              <w:t>women</w:t>
            </w:r>
            <w:r w:rsidRPr="004F1858">
              <w:rPr>
                <w:rFonts w:asciiTheme="minorHAnsi" w:hAnsiTheme="minorHAnsi"/>
                <w:spacing w:val="-2"/>
                <w:sz w:val="18"/>
                <w:szCs w:val="18"/>
              </w:rPr>
              <w:t xml:space="preserve"> </w:t>
            </w:r>
            <w:r w:rsidRPr="004F1858">
              <w:rPr>
                <w:rFonts w:asciiTheme="minorHAnsi" w:hAnsiTheme="minorHAnsi"/>
                <w:sz w:val="18"/>
                <w:szCs w:val="18"/>
              </w:rPr>
              <w:t>and</w:t>
            </w:r>
            <w:r w:rsidRPr="004F1858">
              <w:rPr>
                <w:rFonts w:asciiTheme="minorHAnsi" w:hAnsiTheme="minorHAnsi"/>
                <w:spacing w:val="1"/>
                <w:sz w:val="18"/>
                <w:szCs w:val="18"/>
              </w:rPr>
              <w:t xml:space="preserve"> </w:t>
            </w:r>
            <w:r w:rsidRPr="004F1858">
              <w:rPr>
                <w:rFonts w:asciiTheme="minorHAnsi" w:hAnsiTheme="minorHAnsi"/>
                <w:sz w:val="18"/>
                <w:szCs w:val="18"/>
              </w:rPr>
              <w:t>y</w:t>
            </w:r>
            <w:r w:rsidRPr="004F1858">
              <w:rPr>
                <w:rFonts w:asciiTheme="minorHAnsi" w:hAnsiTheme="minorHAnsi"/>
                <w:spacing w:val="-1"/>
                <w:sz w:val="18"/>
                <w:szCs w:val="18"/>
              </w:rPr>
              <w:t>o</w:t>
            </w:r>
            <w:r w:rsidRPr="004F1858">
              <w:rPr>
                <w:rFonts w:asciiTheme="minorHAnsi" w:hAnsiTheme="minorHAnsi"/>
                <w:sz w:val="18"/>
                <w:szCs w:val="18"/>
              </w:rPr>
              <w:t>uth</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Youth mobilization activities strengt</w:t>
            </w:r>
            <w:r w:rsidRPr="004F1858">
              <w:rPr>
                <w:rFonts w:asciiTheme="minorHAnsi" w:hAnsiTheme="minorHAnsi"/>
                <w:spacing w:val="1"/>
                <w:sz w:val="18"/>
                <w:szCs w:val="18"/>
              </w:rPr>
              <w:t>h</w:t>
            </w:r>
            <w:r w:rsidRPr="004F1858">
              <w:rPr>
                <w:rFonts w:asciiTheme="minorHAnsi" w:hAnsiTheme="minorHAnsi"/>
                <w:sz w:val="18"/>
                <w:szCs w:val="18"/>
              </w:rPr>
              <w:t>ened and inclusive partici</w:t>
            </w:r>
            <w:r w:rsidRPr="004F1858">
              <w:rPr>
                <w:rFonts w:asciiTheme="minorHAnsi" w:hAnsiTheme="minorHAnsi"/>
                <w:spacing w:val="1"/>
                <w:sz w:val="18"/>
                <w:szCs w:val="18"/>
              </w:rPr>
              <w:t>p</w:t>
            </w:r>
            <w:r w:rsidRPr="004F1858">
              <w:rPr>
                <w:rFonts w:asciiTheme="minorHAnsi" w:hAnsiTheme="minorHAnsi"/>
                <w:sz w:val="18"/>
                <w:szCs w:val="18"/>
              </w:rPr>
              <w:t>ation in community</w:t>
            </w:r>
            <w:r w:rsidRPr="004F1858">
              <w:rPr>
                <w:rFonts w:asciiTheme="minorHAnsi" w:hAnsiTheme="minorHAnsi"/>
                <w:spacing w:val="1"/>
                <w:sz w:val="18"/>
                <w:szCs w:val="18"/>
              </w:rPr>
              <w:t xml:space="preserve"> </w:t>
            </w:r>
            <w:r w:rsidRPr="004F1858">
              <w:rPr>
                <w:rFonts w:asciiTheme="minorHAnsi" w:hAnsiTheme="minorHAnsi"/>
                <w:sz w:val="18"/>
                <w:szCs w:val="18"/>
              </w:rPr>
              <w:t>deve</w:t>
            </w:r>
            <w:r w:rsidRPr="004F1858">
              <w:rPr>
                <w:rFonts w:asciiTheme="minorHAnsi" w:hAnsiTheme="minorHAnsi"/>
                <w:spacing w:val="-2"/>
                <w:sz w:val="18"/>
                <w:szCs w:val="18"/>
              </w:rPr>
              <w:t>l</w:t>
            </w:r>
            <w:r w:rsidRPr="004F1858">
              <w:rPr>
                <w:rFonts w:asciiTheme="minorHAnsi" w:hAnsiTheme="minorHAnsi"/>
                <w:sz w:val="18"/>
                <w:szCs w:val="18"/>
              </w:rPr>
              <w:t>opment enhanced</w:t>
            </w:r>
          </w:p>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u w:val="single"/>
              </w:rPr>
              <w:t>Progress and Achievements</w:t>
            </w:r>
            <w:r w:rsidRPr="004F1858">
              <w:rPr>
                <w:rFonts w:asciiTheme="minorHAnsi" w:hAnsiTheme="minorHAnsi"/>
                <w:sz w:val="18"/>
                <w:szCs w:val="18"/>
              </w:rPr>
              <w:t>:</w:t>
            </w:r>
          </w:p>
          <w:p w:rsidR="00E274CE" w:rsidRPr="004F1858" w:rsidRDefault="00E274CE" w:rsidP="00E274CE">
            <w:pPr>
              <w:numPr>
                <w:ilvl w:val="0"/>
                <w:numId w:val="22"/>
              </w:numPr>
              <w:spacing w:before="0"/>
              <w:ind w:right="-23"/>
              <w:rPr>
                <w:rFonts w:asciiTheme="minorHAnsi" w:hAnsiTheme="minorHAnsi"/>
                <w:sz w:val="18"/>
                <w:szCs w:val="18"/>
                <w:lang w:val="en-US"/>
              </w:rPr>
            </w:pPr>
            <w:r w:rsidRPr="004F1858">
              <w:rPr>
                <w:rFonts w:asciiTheme="minorHAnsi" w:hAnsiTheme="minorHAnsi"/>
                <w:sz w:val="18"/>
                <w:szCs w:val="18"/>
                <w:lang w:val="en-US"/>
              </w:rPr>
              <w:t>UNDP, in partnership with the Ministry of Interior and Municipalities, conducted in 2010-2011 a capacity development programme targeting 300 municipalities to empower newly elected members of councils in areas related to local governance.</w:t>
            </w:r>
          </w:p>
          <w:p w:rsidR="00E274CE" w:rsidRPr="004F1858" w:rsidRDefault="00E274CE" w:rsidP="00E274CE">
            <w:pPr>
              <w:numPr>
                <w:ilvl w:val="0"/>
                <w:numId w:val="22"/>
              </w:numPr>
              <w:spacing w:before="0"/>
              <w:ind w:right="-23"/>
              <w:rPr>
                <w:rFonts w:asciiTheme="minorHAnsi" w:hAnsiTheme="minorHAnsi"/>
                <w:sz w:val="18"/>
                <w:szCs w:val="18"/>
                <w:lang w:val="en-US"/>
              </w:rPr>
            </w:pPr>
            <w:r w:rsidRPr="004F1858">
              <w:rPr>
                <w:rFonts w:asciiTheme="minorHAnsi" w:hAnsiTheme="minorHAnsi"/>
                <w:sz w:val="18"/>
                <w:szCs w:val="18"/>
                <w:lang w:val="en-US"/>
              </w:rPr>
              <w:t>UNDP supported the establishment of 4 Local Economic Development Agencies (LEDAs) in the 4 deprived areas of Lebanon with representation for the first time from the public and private sectors. UNDP also conducted market and needs assessments for the LEDAs.</w:t>
            </w:r>
          </w:p>
          <w:p w:rsidR="00E274CE" w:rsidRPr="004F1858" w:rsidRDefault="00E274CE" w:rsidP="00E274CE">
            <w:pPr>
              <w:numPr>
                <w:ilvl w:val="0"/>
                <w:numId w:val="22"/>
              </w:numPr>
              <w:spacing w:before="0"/>
              <w:ind w:right="-23"/>
              <w:rPr>
                <w:rFonts w:asciiTheme="minorHAnsi" w:hAnsiTheme="minorHAnsi"/>
                <w:sz w:val="18"/>
                <w:szCs w:val="18"/>
                <w:lang w:val="en-US"/>
              </w:rPr>
            </w:pPr>
            <w:r w:rsidRPr="004F1858">
              <w:rPr>
                <w:rFonts w:asciiTheme="minorHAnsi" w:hAnsiTheme="minorHAnsi"/>
                <w:sz w:val="18"/>
                <w:szCs w:val="18"/>
                <w:lang w:val="en-US"/>
              </w:rPr>
              <w:t>UNDP supported two pilot regions (Dinniyeh and Jezzine districts) in formulating regional development strategies and relevant action plans and supported the formulation of more than 50 community development plans.</w:t>
            </w:r>
          </w:p>
          <w:p w:rsidR="00E274CE" w:rsidRPr="004F1858" w:rsidRDefault="00E274CE" w:rsidP="00E274CE">
            <w:pPr>
              <w:numPr>
                <w:ilvl w:val="0"/>
                <w:numId w:val="22"/>
              </w:numPr>
              <w:spacing w:before="0"/>
              <w:ind w:right="-23"/>
              <w:rPr>
                <w:rFonts w:asciiTheme="minorHAnsi" w:hAnsiTheme="minorHAnsi"/>
                <w:sz w:val="18"/>
                <w:szCs w:val="18"/>
                <w:lang w:val="en-US"/>
              </w:rPr>
            </w:pPr>
            <w:r w:rsidRPr="004F1858">
              <w:rPr>
                <w:rFonts w:asciiTheme="minorHAnsi" w:hAnsiTheme="minorHAnsi"/>
                <w:sz w:val="18"/>
                <w:szCs w:val="18"/>
                <w:lang w:val="en-US"/>
              </w:rPr>
              <w:t>UNDP mobilized and attracted a number of Decentralized Cooperation initiatives with partners from European communities and has extensively involved diaspora in funding local development initiatives.</w:t>
            </w:r>
          </w:p>
          <w:p w:rsidR="00E274CE" w:rsidRPr="004F1858" w:rsidRDefault="00E274CE" w:rsidP="00E274CE">
            <w:pPr>
              <w:numPr>
                <w:ilvl w:val="0"/>
                <w:numId w:val="22"/>
              </w:numPr>
              <w:spacing w:before="0"/>
              <w:ind w:right="-23"/>
              <w:rPr>
                <w:rFonts w:asciiTheme="minorHAnsi" w:hAnsiTheme="minorHAnsi"/>
                <w:sz w:val="18"/>
                <w:szCs w:val="18"/>
                <w:lang w:val="en-US"/>
              </w:rPr>
            </w:pPr>
            <w:r w:rsidRPr="004F1858">
              <w:rPr>
                <w:rFonts w:asciiTheme="minorHAnsi" w:hAnsiTheme="minorHAnsi"/>
                <w:sz w:val="18"/>
                <w:szCs w:val="18"/>
                <w:lang w:val="en-US"/>
              </w:rPr>
              <w:t>More than 50 socio-economic initiatives are implemented annually since the beginning of the current CPD cycle using participatory approach. Those initiatives which include agricultural, health, education, social integration and support to vulnerable youth and women, and income generating projects, are implemented closely with the local/regional working groups, local authorities and relevant ministries in the 4 neediest regions in Lebanon.</w:t>
            </w:r>
          </w:p>
          <w:p w:rsidR="00E274CE" w:rsidRPr="004F1858" w:rsidRDefault="00E274CE" w:rsidP="00E274CE">
            <w:pPr>
              <w:numPr>
                <w:ilvl w:val="0"/>
                <w:numId w:val="22"/>
              </w:numPr>
              <w:spacing w:before="0"/>
              <w:ind w:right="-23"/>
              <w:rPr>
                <w:rFonts w:asciiTheme="minorHAnsi" w:hAnsiTheme="minorHAnsi"/>
                <w:sz w:val="18"/>
                <w:szCs w:val="18"/>
                <w:lang w:val="en-US"/>
              </w:rPr>
            </w:pPr>
            <w:r w:rsidRPr="004F1858">
              <w:rPr>
                <w:rFonts w:asciiTheme="minorHAnsi" w:hAnsiTheme="minorHAnsi"/>
                <w:sz w:val="18"/>
                <w:szCs w:val="18"/>
                <w:lang w:val="en-US"/>
              </w:rPr>
              <w:t>Since the beginning of the Syrian Crisis, UNDP in partnership with the Ministry of Social Affairs (MoSA), launched a programme to support the Lebanese communities affected by the Syrian crisis particularly those hosting Syrian refugees, through improving livelihoods and service provision in a conflict sensitive manner using inclusive community based approach. 146 communities were assessed using the Maps of Risks and Resources methodology. In 2014 MoSA adopted the methodology and participated in its implementation. Since 2013, around 300 basic services and livelihood projects were implemented targeting the most vulnerable communities and benefiting more than 800,000 people.</w:t>
            </w:r>
          </w:p>
          <w:p w:rsidR="00085E0B" w:rsidRPr="004F1858" w:rsidRDefault="00085E0B" w:rsidP="00780F6B">
            <w:pPr>
              <w:pStyle w:val="BodyText2"/>
              <w:spacing w:before="0"/>
              <w:jc w:val="left"/>
              <w:rPr>
                <w:rFonts w:asciiTheme="minorHAnsi" w:hAnsiTheme="minorHAnsi"/>
                <w:sz w:val="18"/>
                <w:szCs w:val="18"/>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t>05:  Environmental considerations mainstreamed</w:t>
            </w:r>
          </w:p>
        </w:tc>
        <w:tc>
          <w:tcPr>
            <w:tcW w:w="1434" w:type="dxa"/>
            <w:shd w:val="clear" w:color="auto" w:fill="auto"/>
          </w:tcPr>
          <w:p w:rsidR="00780F6B" w:rsidRPr="004F1858" w:rsidRDefault="00780F6B" w:rsidP="00780F6B">
            <w:pPr>
              <w:pStyle w:val="BodyText2"/>
              <w:spacing w:before="0"/>
              <w:jc w:val="left"/>
              <w:rPr>
                <w:rFonts w:asciiTheme="minorHAnsi" w:hAnsiTheme="minorHAnsi"/>
                <w:i/>
                <w:sz w:val="18"/>
                <w:szCs w:val="18"/>
              </w:rPr>
            </w:pPr>
            <w:r w:rsidRPr="004F1858">
              <w:rPr>
                <w:rFonts w:asciiTheme="minorHAnsi" w:hAnsiTheme="minorHAnsi"/>
                <w:i/>
                <w:sz w:val="18"/>
                <w:szCs w:val="18"/>
              </w:rPr>
              <w:t>$</w:t>
            </w:r>
            <w:r w:rsidR="00C83AFA" w:rsidRPr="004F1858">
              <w:rPr>
                <w:rFonts w:asciiTheme="minorHAnsi" w:hAnsiTheme="minorHAnsi"/>
                <w:i/>
                <w:sz w:val="18"/>
                <w:szCs w:val="18"/>
              </w:rPr>
              <w:t xml:space="preserve"> 44,974,130</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color w:val="333333"/>
                <w:sz w:val="18"/>
                <w:szCs w:val="18"/>
                <w:lang w:eastAsia="en-CA"/>
              </w:rPr>
            </w:pPr>
            <w:r w:rsidRPr="004F1858">
              <w:rPr>
                <w:rFonts w:asciiTheme="minorHAnsi" w:hAnsiTheme="minorHAnsi"/>
                <w:i/>
                <w:sz w:val="18"/>
                <w:szCs w:val="18"/>
              </w:rPr>
              <w:t>5.1. Ministerial plans/strategies include environmental considerations</w:t>
            </w:r>
          </w:p>
        </w:tc>
        <w:tc>
          <w:tcPr>
            <w:tcW w:w="6844" w:type="dxa"/>
            <w:shd w:val="clear" w:color="auto" w:fill="auto"/>
          </w:tcPr>
          <w:p w:rsidR="001069DF" w:rsidRPr="004F1858" w:rsidRDefault="001069DF" w:rsidP="00780F6B">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val="en-GB"/>
              </w:rPr>
              <w:t xml:space="preserve">Several environmental legislation and decrees were passed during the last CPD. Of particular important were those related to the Environmental Impact Assessment and the Strategic Environmental Assessment which ensure that policies and projects are environmentally screened and appropriate mitigation measures are included in their design. </w:t>
            </w:r>
          </w:p>
          <w:p w:rsidR="00780F6B" w:rsidRPr="004F1858" w:rsidRDefault="00780F6B" w:rsidP="00780F6B">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eastAsia="en-CA"/>
              </w:rPr>
              <w:t>National water sector strategy includes some climate change/environmental considerations</w:t>
            </w:r>
          </w:p>
          <w:p w:rsidR="00780F6B" w:rsidRPr="004F1858" w:rsidRDefault="00780F6B" w:rsidP="00780F6B">
            <w:pPr>
              <w:pStyle w:val="BodyText2"/>
              <w:numPr>
                <w:ilvl w:val="0"/>
                <w:numId w:val="23"/>
              </w:numPr>
              <w:spacing w:before="0"/>
              <w:jc w:val="left"/>
              <w:rPr>
                <w:rFonts w:asciiTheme="minorHAnsi" w:hAnsiTheme="minorHAnsi"/>
                <w:i/>
                <w:sz w:val="18"/>
                <w:szCs w:val="18"/>
              </w:rPr>
            </w:pPr>
            <w:r w:rsidRPr="004F1858">
              <w:rPr>
                <w:rFonts w:asciiTheme="minorHAnsi" w:hAnsiTheme="minorHAnsi"/>
                <w:color w:val="333333"/>
                <w:sz w:val="18"/>
                <w:szCs w:val="18"/>
                <w:lang w:eastAsia="en-CA"/>
              </w:rPr>
              <w:t xml:space="preserve">Strategic </w:t>
            </w:r>
            <w:r w:rsidRPr="004F1858">
              <w:rPr>
                <w:rFonts w:asciiTheme="minorHAnsi" w:hAnsiTheme="minorHAnsi"/>
                <w:sz w:val="18"/>
                <w:szCs w:val="18"/>
                <w:lang w:eastAsia="en-CA"/>
              </w:rPr>
              <w:t>Environmental</w:t>
            </w:r>
            <w:r w:rsidRPr="004F1858">
              <w:rPr>
                <w:rFonts w:asciiTheme="minorHAnsi" w:hAnsiTheme="minorHAnsi"/>
                <w:color w:val="333333"/>
                <w:sz w:val="18"/>
                <w:szCs w:val="18"/>
                <w:lang w:eastAsia="en-CA"/>
              </w:rPr>
              <w:t xml:space="preserve"> Assessment of the Ministry of Energy and Water's Renewable Energy Policy completed</w:t>
            </w:r>
          </w:p>
        </w:tc>
      </w:tr>
      <w:tr w:rsidR="00780F6B" w:rsidRPr="004F1858" w:rsidTr="00EA7929">
        <w:tc>
          <w:tcPr>
            <w:tcW w:w="14040" w:type="dxa"/>
            <w:gridSpan w:val="5"/>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CP Outputs:</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E</w:t>
            </w:r>
            <w:r w:rsidRPr="004F1858">
              <w:rPr>
                <w:rFonts w:asciiTheme="minorHAnsi" w:hAnsiTheme="minorHAnsi"/>
                <w:spacing w:val="-1"/>
                <w:sz w:val="18"/>
                <w:szCs w:val="18"/>
              </w:rPr>
              <w:t>n</w:t>
            </w:r>
            <w:r w:rsidRPr="004F1858">
              <w:rPr>
                <w:rFonts w:asciiTheme="minorHAnsi" w:hAnsiTheme="minorHAnsi"/>
                <w:sz w:val="18"/>
                <w:szCs w:val="18"/>
              </w:rPr>
              <w:t>vironmental</w:t>
            </w:r>
            <w:r w:rsidRPr="004F1858">
              <w:rPr>
                <w:rFonts w:asciiTheme="minorHAnsi" w:hAnsiTheme="minorHAnsi"/>
                <w:spacing w:val="1"/>
                <w:sz w:val="18"/>
                <w:szCs w:val="18"/>
              </w:rPr>
              <w:t xml:space="preserve"> </w:t>
            </w:r>
            <w:r w:rsidRPr="004F1858">
              <w:rPr>
                <w:rFonts w:asciiTheme="minorHAnsi" w:hAnsiTheme="minorHAnsi"/>
                <w:sz w:val="18"/>
                <w:szCs w:val="18"/>
              </w:rPr>
              <w:t>action plans/strategies</w:t>
            </w:r>
            <w:r w:rsidRPr="004F1858">
              <w:rPr>
                <w:rFonts w:asciiTheme="minorHAnsi" w:hAnsiTheme="minorHAnsi"/>
                <w:spacing w:val="1"/>
                <w:sz w:val="18"/>
                <w:szCs w:val="18"/>
              </w:rPr>
              <w:t xml:space="preserve"> d</w:t>
            </w:r>
            <w:r w:rsidRPr="004F1858">
              <w:rPr>
                <w:rFonts w:asciiTheme="minorHAnsi" w:hAnsiTheme="minorHAnsi"/>
                <w:sz w:val="18"/>
                <w:szCs w:val="18"/>
              </w:rPr>
              <w:t>eveloped</w:t>
            </w:r>
            <w:r w:rsidRPr="004F1858">
              <w:rPr>
                <w:rFonts w:asciiTheme="minorHAnsi" w:hAnsiTheme="minorHAnsi"/>
                <w:spacing w:val="1"/>
                <w:sz w:val="18"/>
                <w:szCs w:val="18"/>
              </w:rPr>
              <w:t xml:space="preserve"> </w:t>
            </w:r>
            <w:r w:rsidRPr="004F1858">
              <w:rPr>
                <w:rFonts w:asciiTheme="minorHAnsi" w:hAnsiTheme="minorHAnsi"/>
                <w:sz w:val="18"/>
                <w:szCs w:val="18"/>
              </w:rPr>
              <w:t>for</w:t>
            </w:r>
            <w:r w:rsidRPr="004F1858">
              <w:rPr>
                <w:rFonts w:asciiTheme="minorHAnsi" w:hAnsiTheme="minorHAnsi"/>
                <w:spacing w:val="-1"/>
                <w:sz w:val="18"/>
                <w:szCs w:val="18"/>
              </w:rPr>
              <w:t xml:space="preserve"> </w:t>
            </w:r>
            <w:r w:rsidRPr="004F1858">
              <w:rPr>
                <w:rFonts w:asciiTheme="minorHAnsi" w:hAnsiTheme="minorHAnsi"/>
                <w:sz w:val="18"/>
                <w:szCs w:val="18"/>
              </w:rPr>
              <w:t>the relevant line ministries and decentralized</w:t>
            </w:r>
            <w:r w:rsidRPr="004F1858">
              <w:rPr>
                <w:rFonts w:asciiTheme="minorHAnsi" w:hAnsiTheme="minorHAnsi"/>
                <w:spacing w:val="1"/>
                <w:sz w:val="18"/>
                <w:szCs w:val="18"/>
              </w:rPr>
              <w:t xml:space="preserve"> </w:t>
            </w:r>
            <w:r w:rsidRPr="004F1858">
              <w:rPr>
                <w:rFonts w:asciiTheme="minorHAnsi" w:hAnsiTheme="minorHAnsi"/>
                <w:sz w:val="18"/>
                <w:szCs w:val="18"/>
              </w:rPr>
              <w:t>structure</w:t>
            </w: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Progress and Achievements:</w:t>
            </w:r>
          </w:p>
          <w:p w:rsidR="001069DF" w:rsidRPr="004F1858" w:rsidRDefault="001069DF" w:rsidP="00780F6B">
            <w:pPr>
              <w:pStyle w:val="BodyText2"/>
              <w:spacing w:before="0"/>
              <w:jc w:val="left"/>
              <w:rPr>
                <w:rFonts w:asciiTheme="minorHAnsi" w:hAnsiTheme="minorHAnsi"/>
                <w:sz w:val="18"/>
                <w:szCs w:val="18"/>
                <w:u w:val="single"/>
              </w:rPr>
            </w:pPr>
          </w:p>
          <w:p w:rsidR="001069DF" w:rsidRPr="004F1858" w:rsidRDefault="00DB55AD" w:rsidP="007624B0">
            <w:pPr>
              <w:pStyle w:val="BodyText2"/>
              <w:numPr>
                <w:ilvl w:val="0"/>
                <w:numId w:val="26"/>
              </w:numPr>
              <w:spacing w:before="0"/>
              <w:jc w:val="left"/>
              <w:rPr>
                <w:rFonts w:asciiTheme="minorHAnsi" w:hAnsiTheme="minorHAnsi"/>
                <w:sz w:val="18"/>
                <w:szCs w:val="18"/>
              </w:rPr>
            </w:pPr>
            <w:r w:rsidRPr="004F1858">
              <w:rPr>
                <w:rFonts w:asciiTheme="minorHAnsi" w:hAnsiTheme="minorHAnsi"/>
                <w:sz w:val="18"/>
                <w:szCs w:val="18"/>
              </w:rPr>
              <w:t>More than 10 trainings and coordination meetings undertaken on pertinent environmental issues undertaken to support the mainstreaming of environment into agendas of other ministries.</w:t>
            </w:r>
          </w:p>
          <w:p w:rsidR="00DB55AD" w:rsidRPr="004F1858" w:rsidRDefault="00DB55AD" w:rsidP="007624B0">
            <w:pPr>
              <w:pStyle w:val="BodyText2"/>
              <w:numPr>
                <w:ilvl w:val="0"/>
                <w:numId w:val="26"/>
              </w:numPr>
              <w:spacing w:before="0"/>
              <w:jc w:val="left"/>
              <w:rPr>
                <w:rFonts w:asciiTheme="minorHAnsi" w:hAnsiTheme="minorHAnsi"/>
                <w:sz w:val="18"/>
                <w:szCs w:val="18"/>
              </w:rPr>
            </w:pPr>
            <w:r w:rsidRPr="004F1858">
              <w:rPr>
                <w:rFonts w:asciiTheme="minorHAnsi" w:hAnsiTheme="minorHAnsi"/>
                <w:sz w:val="18"/>
                <w:szCs w:val="18"/>
              </w:rPr>
              <w:t>Support was provided to the Ministry of Environment in reviewing and providing recommendations for more than 100 environmental impact assessments and strategic environmental assessments.</w:t>
            </w:r>
          </w:p>
          <w:p w:rsidR="00DB55AD" w:rsidRPr="004F1858" w:rsidRDefault="00DB55AD" w:rsidP="007624B0">
            <w:pPr>
              <w:pStyle w:val="BodyText2"/>
              <w:numPr>
                <w:ilvl w:val="0"/>
                <w:numId w:val="26"/>
              </w:numPr>
              <w:spacing w:before="0"/>
              <w:jc w:val="left"/>
              <w:rPr>
                <w:rFonts w:asciiTheme="minorHAnsi" w:hAnsiTheme="minorHAnsi"/>
                <w:sz w:val="18"/>
                <w:szCs w:val="18"/>
              </w:rPr>
            </w:pPr>
            <w:r w:rsidRPr="004F1858">
              <w:rPr>
                <w:rFonts w:asciiTheme="minorHAnsi" w:hAnsiTheme="minorHAnsi"/>
                <w:sz w:val="18"/>
                <w:szCs w:val="18"/>
              </w:rPr>
              <w:t>Assistance in drafting more than 5 legal policies and/or decrees and/or decisions in various thematic areas in environment was provided.</w:t>
            </w:r>
          </w:p>
          <w:p w:rsidR="007B5B6C" w:rsidRPr="004F1858" w:rsidRDefault="007B5B6C" w:rsidP="007624B0">
            <w:pPr>
              <w:pStyle w:val="BodyText2"/>
              <w:numPr>
                <w:ilvl w:val="0"/>
                <w:numId w:val="26"/>
              </w:numPr>
              <w:spacing w:before="0"/>
              <w:jc w:val="left"/>
              <w:rPr>
                <w:rFonts w:asciiTheme="minorHAnsi" w:hAnsiTheme="minorHAnsi"/>
                <w:sz w:val="18"/>
                <w:szCs w:val="18"/>
              </w:rPr>
            </w:pPr>
            <w:r w:rsidRPr="004F1858">
              <w:rPr>
                <w:rFonts w:asciiTheme="minorHAnsi" w:hAnsiTheme="minorHAnsi"/>
                <w:sz w:val="18"/>
                <w:szCs w:val="18"/>
              </w:rPr>
              <w:t>A master</w:t>
            </w:r>
            <w:r w:rsidR="00082D9F" w:rsidRPr="004F1858">
              <w:rPr>
                <w:rFonts w:asciiTheme="minorHAnsi" w:hAnsiTheme="minorHAnsi"/>
                <w:sz w:val="18"/>
                <w:szCs w:val="18"/>
              </w:rPr>
              <w:t xml:space="preserve"> </w:t>
            </w:r>
            <w:r w:rsidRPr="004F1858">
              <w:rPr>
                <w:rFonts w:asciiTheme="minorHAnsi" w:hAnsiTheme="minorHAnsi"/>
                <w:sz w:val="18"/>
                <w:szCs w:val="18"/>
              </w:rPr>
              <w:t>plan on solid waste management for the cazas of Baalback and Hermel was developed and capacity of the municipality built for its implementation.</w:t>
            </w:r>
          </w:p>
          <w:p w:rsidR="00D0220D" w:rsidRPr="004F1858" w:rsidRDefault="00D0220D" w:rsidP="00780F6B">
            <w:pPr>
              <w:pStyle w:val="BodyText2"/>
              <w:spacing w:before="0"/>
              <w:jc w:val="left"/>
              <w:rPr>
                <w:rFonts w:asciiTheme="minorHAnsi" w:hAnsiTheme="minorHAnsi"/>
                <w:sz w:val="18"/>
                <w:szCs w:val="18"/>
                <w:lang w:val="en-GB"/>
              </w:rPr>
            </w:pPr>
          </w:p>
          <w:p w:rsidR="001069DF" w:rsidRPr="004F1858" w:rsidRDefault="001069DF" w:rsidP="00780F6B">
            <w:pPr>
              <w:pStyle w:val="BodyText2"/>
              <w:spacing w:before="0"/>
              <w:jc w:val="left"/>
              <w:rPr>
                <w:rFonts w:asciiTheme="minorHAnsi" w:hAnsiTheme="minorHAnsi"/>
                <w:sz w:val="18"/>
                <w:szCs w:val="18"/>
                <w:lang w:val="en-GB"/>
              </w:rPr>
            </w:pPr>
          </w:p>
          <w:p w:rsidR="001069DF" w:rsidRPr="004F1858" w:rsidRDefault="001069DF" w:rsidP="00780F6B">
            <w:pPr>
              <w:pStyle w:val="BodyText2"/>
              <w:spacing w:before="0"/>
              <w:jc w:val="left"/>
              <w:rPr>
                <w:rFonts w:asciiTheme="minorHAnsi" w:hAnsiTheme="minorHAnsi"/>
                <w:sz w:val="18"/>
                <w:szCs w:val="18"/>
                <w:lang w:val="en-GB"/>
              </w:rPr>
            </w:pPr>
          </w:p>
          <w:p w:rsidR="001069DF" w:rsidRPr="004F1858" w:rsidRDefault="001069DF" w:rsidP="00780F6B">
            <w:pPr>
              <w:pStyle w:val="BodyText2"/>
              <w:spacing w:before="0"/>
              <w:jc w:val="left"/>
              <w:rPr>
                <w:rFonts w:asciiTheme="minorHAnsi" w:hAnsiTheme="minorHAnsi"/>
                <w:sz w:val="18"/>
                <w:szCs w:val="18"/>
              </w:rPr>
            </w:pPr>
          </w:p>
          <w:p w:rsidR="001069DF" w:rsidRPr="004F1858" w:rsidRDefault="001069DF" w:rsidP="00780F6B">
            <w:pPr>
              <w:pStyle w:val="BodyText2"/>
              <w:spacing w:before="0"/>
              <w:jc w:val="left"/>
              <w:rPr>
                <w:rFonts w:asciiTheme="minorHAnsi" w:hAnsiTheme="minorHAnsi"/>
                <w:sz w:val="18"/>
                <w:szCs w:val="18"/>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lastRenderedPageBreak/>
              <w:t>06:  Government equipped for obligations set by international conventions</w:t>
            </w:r>
          </w:p>
        </w:tc>
        <w:tc>
          <w:tcPr>
            <w:tcW w:w="1434" w:type="dxa"/>
            <w:shd w:val="clear" w:color="auto" w:fill="auto"/>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w:t>
            </w:r>
            <w:r w:rsidR="00C83AFA" w:rsidRPr="004F1858">
              <w:rPr>
                <w:rFonts w:asciiTheme="minorHAnsi" w:hAnsiTheme="minorHAnsi"/>
                <w:b/>
                <w:bCs/>
                <w:color w:val="000000"/>
              </w:rPr>
              <w:t xml:space="preserve"> </w:t>
            </w:r>
            <w:r w:rsidR="00C83AFA" w:rsidRPr="004F1858">
              <w:rPr>
                <w:rFonts w:asciiTheme="minorHAnsi" w:hAnsiTheme="minorHAnsi"/>
                <w:i/>
                <w:sz w:val="18"/>
                <w:szCs w:val="18"/>
              </w:rPr>
              <w:t>7,803,713</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sz w:val="18"/>
                <w:szCs w:val="18"/>
              </w:rPr>
            </w:pPr>
            <w:r w:rsidRPr="004F1858">
              <w:rPr>
                <w:rFonts w:asciiTheme="minorHAnsi" w:hAnsiTheme="minorHAnsi"/>
                <w:i/>
                <w:sz w:val="18"/>
                <w:szCs w:val="18"/>
              </w:rPr>
              <w:t xml:space="preserve">6.1. </w:t>
            </w:r>
            <w:r w:rsidRPr="004F1858">
              <w:rPr>
                <w:rFonts w:asciiTheme="minorHAnsi" w:hAnsiTheme="minorHAnsi"/>
                <w:i/>
                <w:sz w:val="18"/>
                <w:szCs w:val="18"/>
              </w:rPr>
              <w:tab/>
              <w:t>Technical units operational and with the needed capacity</w:t>
            </w:r>
          </w:p>
        </w:tc>
        <w:tc>
          <w:tcPr>
            <w:tcW w:w="6844" w:type="dxa"/>
            <w:shd w:val="clear" w:color="auto" w:fill="auto"/>
          </w:tcPr>
          <w:p w:rsidR="00780F6B" w:rsidRPr="004F1858" w:rsidRDefault="001069DF" w:rsidP="001069DF">
            <w:pPr>
              <w:pStyle w:val="BodyText2"/>
              <w:numPr>
                <w:ilvl w:val="0"/>
                <w:numId w:val="23"/>
              </w:numPr>
              <w:spacing w:before="0"/>
              <w:jc w:val="left"/>
              <w:rPr>
                <w:rFonts w:asciiTheme="minorHAnsi" w:hAnsiTheme="minorHAnsi"/>
                <w:i/>
                <w:sz w:val="18"/>
                <w:szCs w:val="18"/>
              </w:rPr>
            </w:pPr>
            <w:r w:rsidRPr="004F1858">
              <w:rPr>
                <w:rFonts w:asciiTheme="minorHAnsi" w:hAnsiTheme="minorHAnsi"/>
                <w:sz w:val="18"/>
                <w:szCs w:val="18"/>
                <w:lang w:val="en-GB"/>
              </w:rPr>
              <w:t xml:space="preserve">All the requirements towards the international environmental conventions to which Lebanon is signatory were met including the mandatory phase-out of certain types of Ozone Depleting Substances, the reporting requirements to the UN Framework Convention on Climate Change and the UN Convention to Combat Desertification.  </w:t>
            </w:r>
          </w:p>
        </w:tc>
      </w:tr>
      <w:tr w:rsidR="00780F6B" w:rsidRPr="004F1858" w:rsidTr="00EA7929">
        <w:tc>
          <w:tcPr>
            <w:tcW w:w="14040" w:type="dxa"/>
            <w:gridSpan w:val="5"/>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780F6B" w:rsidRPr="004F1858" w:rsidRDefault="00780F6B" w:rsidP="00780F6B">
            <w:pPr>
              <w:pStyle w:val="BodyText2"/>
              <w:spacing w:before="0"/>
              <w:jc w:val="left"/>
              <w:rPr>
                <w:rFonts w:asciiTheme="minorHAnsi" w:hAnsiTheme="minorHAnsi"/>
                <w:sz w:val="18"/>
                <w:szCs w:val="18"/>
              </w:rPr>
            </w:pP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CP Outputs:</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T</w:t>
            </w:r>
            <w:r w:rsidRPr="004F1858">
              <w:rPr>
                <w:rFonts w:asciiTheme="minorHAnsi" w:hAnsiTheme="minorHAnsi"/>
                <w:spacing w:val="-1"/>
                <w:sz w:val="18"/>
                <w:szCs w:val="18"/>
              </w:rPr>
              <w:t>e</w:t>
            </w:r>
            <w:r w:rsidRPr="004F1858">
              <w:rPr>
                <w:rFonts w:asciiTheme="minorHAnsi" w:hAnsiTheme="minorHAnsi"/>
                <w:sz w:val="18"/>
                <w:szCs w:val="18"/>
              </w:rPr>
              <w:t>c</w:t>
            </w:r>
            <w:r w:rsidRPr="004F1858">
              <w:rPr>
                <w:rFonts w:asciiTheme="minorHAnsi" w:hAnsiTheme="minorHAnsi"/>
                <w:spacing w:val="-1"/>
                <w:sz w:val="18"/>
                <w:szCs w:val="18"/>
              </w:rPr>
              <w:t>h</w:t>
            </w:r>
            <w:r w:rsidRPr="004F1858">
              <w:rPr>
                <w:rFonts w:asciiTheme="minorHAnsi" w:hAnsiTheme="minorHAnsi"/>
                <w:sz w:val="18"/>
                <w:szCs w:val="18"/>
              </w:rPr>
              <w:t>nical</w:t>
            </w:r>
            <w:r w:rsidRPr="004F1858">
              <w:rPr>
                <w:rFonts w:asciiTheme="minorHAnsi" w:hAnsiTheme="minorHAnsi"/>
                <w:spacing w:val="1"/>
                <w:sz w:val="18"/>
                <w:szCs w:val="18"/>
              </w:rPr>
              <w:t xml:space="preserve"> </w:t>
            </w:r>
            <w:r w:rsidRPr="004F1858">
              <w:rPr>
                <w:rFonts w:asciiTheme="minorHAnsi" w:hAnsiTheme="minorHAnsi"/>
                <w:sz w:val="18"/>
                <w:szCs w:val="18"/>
              </w:rPr>
              <w:t>and operational</w:t>
            </w:r>
            <w:r w:rsidRPr="004F1858">
              <w:rPr>
                <w:rFonts w:asciiTheme="minorHAnsi" w:hAnsiTheme="minorHAnsi"/>
                <w:spacing w:val="1"/>
                <w:sz w:val="18"/>
                <w:szCs w:val="18"/>
              </w:rPr>
              <w:t xml:space="preserve"> </w:t>
            </w:r>
            <w:r w:rsidRPr="004F1858">
              <w:rPr>
                <w:rFonts w:asciiTheme="minorHAnsi" w:hAnsiTheme="minorHAnsi"/>
                <w:sz w:val="18"/>
                <w:szCs w:val="18"/>
              </w:rPr>
              <w:t>capa</w:t>
            </w:r>
            <w:r w:rsidRPr="004F1858">
              <w:rPr>
                <w:rFonts w:asciiTheme="minorHAnsi" w:hAnsiTheme="minorHAnsi"/>
                <w:spacing w:val="-1"/>
                <w:sz w:val="18"/>
                <w:szCs w:val="18"/>
              </w:rPr>
              <w:t>c</w:t>
            </w:r>
            <w:r w:rsidRPr="004F1858">
              <w:rPr>
                <w:rFonts w:asciiTheme="minorHAnsi" w:hAnsiTheme="minorHAnsi"/>
                <w:sz w:val="18"/>
                <w:szCs w:val="18"/>
              </w:rPr>
              <w:t>ity</w:t>
            </w:r>
            <w:r w:rsidRPr="004F1858">
              <w:rPr>
                <w:rFonts w:asciiTheme="minorHAnsi" w:hAnsiTheme="minorHAnsi"/>
                <w:spacing w:val="1"/>
                <w:sz w:val="18"/>
                <w:szCs w:val="18"/>
              </w:rPr>
              <w:t xml:space="preserve"> </w:t>
            </w:r>
            <w:r w:rsidRPr="004F1858">
              <w:rPr>
                <w:rFonts w:asciiTheme="minorHAnsi" w:hAnsiTheme="minorHAnsi"/>
                <w:sz w:val="18"/>
                <w:szCs w:val="18"/>
              </w:rPr>
              <w:t>of</w:t>
            </w:r>
            <w:r w:rsidRPr="004F1858">
              <w:rPr>
                <w:rFonts w:asciiTheme="minorHAnsi" w:hAnsiTheme="minorHAnsi"/>
                <w:spacing w:val="1"/>
                <w:sz w:val="18"/>
                <w:szCs w:val="18"/>
              </w:rPr>
              <w:t xml:space="preserve"> </w:t>
            </w:r>
            <w:r w:rsidRPr="004F1858">
              <w:rPr>
                <w:rFonts w:asciiTheme="minorHAnsi" w:hAnsiTheme="minorHAnsi"/>
                <w:sz w:val="18"/>
                <w:szCs w:val="18"/>
              </w:rPr>
              <w:t>G</w:t>
            </w:r>
            <w:r w:rsidRPr="004F1858">
              <w:rPr>
                <w:rFonts w:asciiTheme="minorHAnsi" w:hAnsiTheme="minorHAnsi"/>
                <w:spacing w:val="-1"/>
                <w:sz w:val="18"/>
                <w:szCs w:val="18"/>
              </w:rPr>
              <w:t>o</w:t>
            </w:r>
            <w:r w:rsidRPr="004F1858">
              <w:rPr>
                <w:rFonts w:asciiTheme="minorHAnsi" w:hAnsiTheme="minorHAnsi"/>
                <w:sz w:val="18"/>
                <w:szCs w:val="18"/>
              </w:rPr>
              <w:t>v’t strengthened</w:t>
            </w:r>
            <w:r w:rsidRPr="004F1858">
              <w:rPr>
                <w:rFonts w:asciiTheme="minorHAnsi" w:hAnsiTheme="minorHAnsi"/>
                <w:spacing w:val="1"/>
                <w:sz w:val="18"/>
                <w:szCs w:val="18"/>
              </w:rPr>
              <w:t xml:space="preserve"> </w:t>
            </w:r>
            <w:r w:rsidRPr="004F1858">
              <w:rPr>
                <w:rFonts w:asciiTheme="minorHAnsi" w:hAnsiTheme="minorHAnsi"/>
                <w:sz w:val="18"/>
                <w:szCs w:val="18"/>
              </w:rPr>
              <w:t>to</w:t>
            </w:r>
            <w:r w:rsidRPr="004F1858">
              <w:rPr>
                <w:rFonts w:asciiTheme="minorHAnsi" w:hAnsiTheme="minorHAnsi"/>
                <w:spacing w:val="1"/>
                <w:sz w:val="18"/>
                <w:szCs w:val="18"/>
              </w:rPr>
              <w:t xml:space="preserve"> </w:t>
            </w:r>
            <w:r w:rsidRPr="004F1858">
              <w:rPr>
                <w:rFonts w:asciiTheme="minorHAnsi" w:hAnsiTheme="minorHAnsi"/>
                <w:spacing w:val="-2"/>
                <w:sz w:val="18"/>
                <w:szCs w:val="18"/>
              </w:rPr>
              <w:t>m</w:t>
            </w:r>
            <w:r w:rsidRPr="004F1858">
              <w:rPr>
                <w:rFonts w:asciiTheme="minorHAnsi" w:hAnsiTheme="minorHAnsi"/>
                <w:sz w:val="18"/>
                <w:szCs w:val="18"/>
              </w:rPr>
              <w:t>eet</w:t>
            </w:r>
            <w:r w:rsidRPr="004F1858">
              <w:rPr>
                <w:rFonts w:asciiTheme="minorHAnsi" w:hAnsiTheme="minorHAnsi"/>
                <w:spacing w:val="1"/>
                <w:sz w:val="18"/>
                <w:szCs w:val="18"/>
              </w:rPr>
              <w:t xml:space="preserve"> </w:t>
            </w:r>
            <w:r w:rsidRPr="004F1858">
              <w:rPr>
                <w:rFonts w:asciiTheme="minorHAnsi" w:hAnsiTheme="minorHAnsi"/>
                <w:sz w:val="18"/>
                <w:szCs w:val="18"/>
              </w:rPr>
              <w:t>its international environmental obligations</w:t>
            </w: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Progress and Achievements:</w:t>
            </w:r>
          </w:p>
          <w:p w:rsidR="001069DF" w:rsidRPr="004F1858" w:rsidRDefault="001069DF" w:rsidP="00780F6B">
            <w:pPr>
              <w:pStyle w:val="BodyText2"/>
              <w:spacing w:before="0"/>
              <w:jc w:val="left"/>
              <w:rPr>
                <w:rFonts w:asciiTheme="minorHAnsi" w:hAnsiTheme="minorHAnsi"/>
                <w:sz w:val="18"/>
                <w:szCs w:val="18"/>
                <w:u w:val="single"/>
              </w:rPr>
            </w:pPr>
          </w:p>
          <w:p w:rsidR="001069DF" w:rsidRPr="004F1858" w:rsidRDefault="007B5B6C"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 xml:space="preserve">- </w:t>
            </w:r>
            <w:r w:rsidR="00082D9F" w:rsidRPr="004F1858">
              <w:rPr>
                <w:rFonts w:asciiTheme="minorHAnsi" w:hAnsiTheme="minorHAnsi"/>
                <w:sz w:val="18"/>
                <w:szCs w:val="18"/>
                <w:u w:val="single"/>
              </w:rPr>
              <w:t>A national greenhouse gas inventory was completed for all sectors completed for the years 2005-2011 and officially submitted to the UN Framework Convention on Climate Change</w:t>
            </w:r>
          </w:p>
          <w:p w:rsidR="00082D9F" w:rsidRPr="004F1858" w:rsidRDefault="00082D9F" w:rsidP="007624B0">
            <w:pPr>
              <w:pStyle w:val="BodyText2"/>
              <w:numPr>
                <w:ilvl w:val="0"/>
                <w:numId w:val="26"/>
              </w:numPr>
              <w:spacing w:before="0"/>
              <w:jc w:val="left"/>
              <w:rPr>
                <w:rFonts w:asciiTheme="minorHAnsi" w:hAnsiTheme="minorHAnsi"/>
                <w:sz w:val="18"/>
                <w:szCs w:val="18"/>
                <w:u w:val="single"/>
              </w:rPr>
            </w:pPr>
            <w:r w:rsidRPr="004F1858">
              <w:rPr>
                <w:rFonts w:asciiTheme="minorHAnsi" w:hAnsiTheme="minorHAnsi"/>
                <w:sz w:val="18"/>
                <w:szCs w:val="18"/>
                <w:u w:val="single"/>
              </w:rPr>
              <w:t>A detailed vulnerability and adaptation assessment was undertaken for Lebanon and endorsed by the Ministry of Environment</w:t>
            </w:r>
          </w:p>
          <w:p w:rsidR="00082D9F" w:rsidRPr="004F1858" w:rsidRDefault="00082D9F" w:rsidP="007624B0">
            <w:pPr>
              <w:pStyle w:val="BodyText2"/>
              <w:numPr>
                <w:ilvl w:val="0"/>
                <w:numId w:val="26"/>
              </w:numPr>
              <w:spacing w:before="0"/>
              <w:jc w:val="left"/>
              <w:rPr>
                <w:rFonts w:asciiTheme="minorHAnsi" w:hAnsiTheme="minorHAnsi"/>
                <w:sz w:val="18"/>
                <w:szCs w:val="18"/>
                <w:u w:val="single"/>
              </w:rPr>
            </w:pPr>
            <w:r w:rsidRPr="004F1858">
              <w:rPr>
                <w:rFonts w:asciiTheme="minorHAnsi" w:hAnsiTheme="minorHAnsi"/>
                <w:sz w:val="18"/>
                <w:szCs w:val="18"/>
                <w:u w:val="single"/>
              </w:rPr>
              <w:t>The Ministry of Environment was assigned as a the national designated entity for the preparation and coordination with the national mitigation action plans</w:t>
            </w:r>
          </w:p>
          <w:p w:rsidR="00082D9F" w:rsidRPr="004F1858" w:rsidRDefault="00F70F18" w:rsidP="007624B0">
            <w:pPr>
              <w:pStyle w:val="BodyText2"/>
              <w:numPr>
                <w:ilvl w:val="0"/>
                <w:numId w:val="26"/>
              </w:numPr>
              <w:spacing w:before="0"/>
              <w:jc w:val="left"/>
              <w:rPr>
                <w:rFonts w:asciiTheme="minorHAnsi" w:hAnsiTheme="minorHAnsi"/>
                <w:sz w:val="18"/>
                <w:szCs w:val="18"/>
                <w:u w:val="single"/>
              </w:rPr>
            </w:pPr>
            <w:r w:rsidRPr="004F1858">
              <w:rPr>
                <w:rFonts w:asciiTheme="minorHAnsi" w:hAnsiTheme="minorHAnsi"/>
                <w:sz w:val="18"/>
                <w:szCs w:val="18"/>
                <w:u w:val="single"/>
              </w:rPr>
              <w:t>Six technical reports on climate change issues prepared and distributed</w:t>
            </w:r>
          </w:p>
          <w:p w:rsidR="00F70F18" w:rsidRPr="004F1858" w:rsidRDefault="00F70F18" w:rsidP="007624B0">
            <w:pPr>
              <w:pStyle w:val="BodyText2"/>
              <w:numPr>
                <w:ilvl w:val="0"/>
                <w:numId w:val="26"/>
              </w:numPr>
              <w:spacing w:before="0"/>
              <w:jc w:val="left"/>
              <w:rPr>
                <w:rFonts w:asciiTheme="minorHAnsi" w:hAnsiTheme="minorHAnsi"/>
                <w:sz w:val="18"/>
                <w:szCs w:val="18"/>
                <w:u w:val="single"/>
              </w:rPr>
            </w:pPr>
            <w:r w:rsidRPr="004F1858">
              <w:rPr>
                <w:rFonts w:asciiTheme="minorHAnsi" w:hAnsiTheme="minorHAnsi"/>
                <w:sz w:val="18"/>
                <w:szCs w:val="18"/>
                <w:u w:val="single"/>
              </w:rPr>
              <w:t>Timely submission of all reports to the Montreal Protocol for progress of implementation of the CP, the Article 7 ODS data, Performance verification report, NPMP and methyl bromide Project Completion Reports</w:t>
            </w:r>
          </w:p>
          <w:p w:rsidR="00F70F18" w:rsidRPr="004F1858" w:rsidRDefault="00F70F18" w:rsidP="007624B0">
            <w:pPr>
              <w:pStyle w:val="BodyText2"/>
              <w:numPr>
                <w:ilvl w:val="0"/>
                <w:numId w:val="26"/>
              </w:numPr>
              <w:spacing w:before="0"/>
              <w:jc w:val="left"/>
              <w:rPr>
                <w:rFonts w:asciiTheme="minorHAnsi" w:hAnsiTheme="minorHAnsi"/>
                <w:sz w:val="18"/>
                <w:szCs w:val="18"/>
                <w:u w:val="single"/>
              </w:rPr>
            </w:pPr>
            <w:r w:rsidRPr="004F1858">
              <w:rPr>
                <w:rFonts w:asciiTheme="minorHAnsi" w:hAnsiTheme="minorHAnsi"/>
                <w:sz w:val="18"/>
                <w:szCs w:val="18"/>
                <w:u w:val="single"/>
              </w:rPr>
              <w:t>Undertook technical surveys of consumption of ozone depleting substances of all industries, importers, customs and the Ministry of Economy and Trade</w:t>
            </w:r>
          </w:p>
          <w:p w:rsidR="00F70F18" w:rsidRPr="004F1858" w:rsidRDefault="00F70F18" w:rsidP="007624B0">
            <w:pPr>
              <w:pStyle w:val="BodyText2"/>
              <w:numPr>
                <w:ilvl w:val="0"/>
                <w:numId w:val="26"/>
              </w:numPr>
              <w:spacing w:before="0"/>
              <w:jc w:val="left"/>
              <w:rPr>
                <w:rFonts w:asciiTheme="minorHAnsi" w:hAnsiTheme="minorHAnsi"/>
                <w:sz w:val="18"/>
                <w:szCs w:val="18"/>
                <w:u w:val="single"/>
              </w:rPr>
            </w:pPr>
            <w:r w:rsidRPr="004F1858">
              <w:rPr>
                <w:rFonts w:asciiTheme="minorHAnsi" w:hAnsiTheme="minorHAnsi"/>
                <w:sz w:val="18"/>
                <w:szCs w:val="18"/>
                <w:u w:val="single"/>
              </w:rPr>
              <w:t xml:space="preserve">The third National Biodiversity Action Plan </w:t>
            </w:r>
            <w:r w:rsidR="00500334" w:rsidRPr="004F1858">
              <w:rPr>
                <w:rFonts w:asciiTheme="minorHAnsi" w:hAnsiTheme="minorHAnsi"/>
                <w:sz w:val="18"/>
                <w:szCs w:val="18"/>
                <w:u w:val="single"/>
              </w:rPr>
              <w:t>completed and submitted to the Convention on Biodiversity</w:t>
            </w:r>
          </w:p>
          <w:p w:rsidR="00500334" w:rsidRPr="004F1858" w:rsidRDefault="00500334" w:rsidP="007624B0">
            <w:pPr>
              <w:pStyle w:val="BodyText2"/>
              <w:numPr>
                <w:ilvl w:val="0"/>
                <w:numId w:val="26"/>
              </w:numPr>
              <w:spacing w:before="0"/>
              <w:jc w:val="left"/>
              <w:rPr>
                <w:rFonts w:asciiTheme="minorHAnsi" w:hAnsiTheme="minorHAnsi"/>
                <w:sz w:val="18"/>
                <w:szCs w:val="18"/>
                <w:u w:val="single"/>
              </w:rPr>
            </w:pPr>
            <w:r w:rsidRPr="004F1858">
              <w:rPr>
                <w:rFonts w:asciiTheme="minorHAnsi" w:hAnsiTheme="minorHAnsi"/>
                <w:sz w:val="18"/>
                <w:szCs w:val="18"/>
                <w:u w:val="single"/>
              </w:rPr>
              <w:t>An assessment of medical waste and technical capacity building on the improved management of hospital waste was undertaken in 3 hospitals</w:t>
            </w:r>
          </w:p>
          <w:p w:rsidR="00D0220D" w:rsidRPr="004F1858" w:rsidRDefault="00D0220D" w:rsidP="00780F6B">
            <w:pPr>
              <w:pStyle w:val="BodyText2"/>
              <w:spacing w:before="0"/>
              <w:jc w:val="left"/>
              <w:rPr>
                <w:rFonts w:asciiTheme="minorHAnsi" w:hAnsiTheme="minorHAnsi"/>
                <w:sz w:val="18"/>
                <w:szCs w:val="18"/>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t>07:  Climate change considerations mainstreamed in national priorities</w:t>
            </w:r>
          </w:p>
        </w:tc>
        <w:tc>
          <w:tcPr>
            <w:tcW w:w="1434" w:type="dxa"/>
            <w:shd w:val="clear" w:color="auto" w:fill="auto"/>
          </w:tcPr>
          <w:p w:rsidR="00780F6B" w:rsidRPr="004F1858" w:rsidRDefault="00780F6B" w:rsidP="00780F6B">
            <w:pPr>
              <w:pStyle w:val="BodyText2"/>
              <w:spacing w:before="0"/>
              <w:jc w:val="left"/>
              <w:rPr>
                <w:rFonts w:asciiTheme="minorHAnsi" w:hAnsiTheme="minorHAnsi"/>
                <w:i/>
                <w:sz w:val="18"/>
                <w:szCs w:val="18"/>
              </w:rPr>
            </w:pPr>
            <w:r w:rsidRPr="004F1858">
              <w:rPr>
                <w:rFonts w:asciiTheme="minorHAnsi" w:hAnsiTheme="minorHAnsi"/>
                <w:i/>
                <w:sz w:val="18"/>
                <w:szCs w:val="18"/>
              </w:rPr>
              <w:t>$</w:t>
            </w:r>
            <w:r w:rsidR="00C83AFA" w:rsidRPr="004F1858">
              <w:rPr>
                <w:rFonts w:asciiTheme="minorHAnsi" w:hAnsiTheme="minorHAnsi"/>
                <w:i/>
                <w:sz w:val="18"/>
                <w:szCs w:val="18"/>
              </w:rPr>
              <w:t xml:space="preserve"> 25,999,308</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sz w:val="18"/>
                <w:szCs w:val="18"/>
              </w:rPr>
            </w:pPr>
            <w:r w:rsidRPr="004F1858">
              <w:rPr>
                <w:rFonts w:asciiTheme="minorHAnsi" w:hAnsiTheme="minorHAnsi"/>
                <w:i/>
                <w:sz w:val="18"/>
                <w:szCs w:val="18"/>
              </w:rPr>
              <w:t>7.1.</w:t>
            </w:r>
            <w:r w:rsidRPr="004F1858">
              <w:rPr>
                <w:rFonts w:asciiTheme="minorHAnsi" w:hAnsiTheme="minorHAnsi"/>
                <w:i/>
                <w:sz w:val="18"/>
                <w:szCs w:val="18"/>
              </w:rPr>
              <w:tab/>
              <w:t xml:space="preserve"> Climate change is considered as a higher priority at the national level</w:t>
            </w:r>
          </w:p>
        </w:tc>
        <w:tc>
          <w:tcPr>
            <w:tcW w:w="6844" w:type="dxa"/>
            <w:shd w:val="clear" w:color="auto" w:fill="auto"/>
          </w:tcPr>
          <w:p w:rsidR="00780F6B" w:rsidRPr="004F1858" w:rsidRDefault="001069DF" w:rsidP="00780F6B">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val="en-GB"/>
              </w:rPr>
              <w:t xml:space="preserve">The National Electricity Sector Paper which was issued in 2011 included </w:t>
            </w:r>
            <w:r w:rsidR="00EB354F" w:rsidRPr="004F1858">
              <w:rPr>
                <w:rFonts w:asciiTheme="minorHAnsi" w:hAnsiTheme="minorHAnsi"/>
                <w:sz w:val="18"/>
                <w:szCs w:val="18"/>
                <w:lang w:val="en-GB"/>
              </w:rPr>
              <w:t xml:space="preserve">all </w:t>
            </w:r>
            <w:r w:rsidRPr="004F1858">
              <w:rPr>
                <w:rFonts w:asciiTheme="minorHAnsi" w:hAnsiTheme="minorHAnsi"/>
                <w:sz w:val="18"/>
                <w:szCs w:val="18"/>
                <w:lang w:val="en-GB"/>
              </w:rPr>
              <w:t xml:space="preserve">policy </w:t>
            </w:r>
            <w:r w:rsidR="00EB354F" w:rsidRPr="004F1858">
              <w:rPr>
                <w:rFonts w:asciiTheme="minorHAnsi" w:hAnsiTheme="minorHAnsi"/>
                <w:sz w:val="18"/>
                <w:szCs w:val="18"/>
                <w:lang w:val="en-GB"/>
              </w:rPr>
              <w:t>recommendations</w:t>
            </w:r>
          </w:p>
          <w:p w:rsidR="00780F6B" w:rsidRPr="004F1858" w:rsidRDefault="00780F6B" w:rsidP="00EB354F">
            <w:pPr>
              <w:pStyle w:val="BodyText2"/>
              <w:numPr>
                <w:ilvl w:val="0"/>
                <w:numId w:val="23"/>
              </w:numPr>
              <w:spacing w:before="0"/>
              <w:jc w:val="left"/>
              <w:rPr>
                <w:rFonts w:asciiTheme="minorHAnsi" w:hAnsiTheme="minorHAnsi"/>
                <w:i/>
                <w:sz w:val="18"/>
                <w:szCs w:val="18"/>
              </w:rPr>
            </w:pPr>
            <w:r w:rsidRPr="004F1858">
              <w:rPr>
                <w:rFonts w:asciiTheme="minorHAnsi" w:hAnsiTheme="minorHAnsi"/>
                <w:sz w:val="18"/>
                <w:szCs w:val="18"/>
                <w:lang w:eastAsia="en-CA"/>
              </w:rPr>
              <w:t>Lebanon prepared its Intended Nationally Determined Contribution (INDC) document</w:t>
            </w:r>
            <w:r w:rsidRPr="004F1858">
              <w:rPr>
                <w:rFonts w:asciiTheme="minorHAnsi" w:hAnsiTheme="minorHAnsi"/>
                <w:color w:val="333333"/>
                <w:sz w:val="18"/>
                <w:szCs w:val="18"/>
                <w:lang w:eastAsia="en-CA"/>
              </w:rPr>
              <w:t xml:space="preserve"> in time for the COP21 in Paris which was also attended by a large delegation representing the country</w:t>
            </w:r>
            <w:r w:rsidR="00EB354F" w:rsidRPr="004F1858">
              <w:rPr>
                <w:rFonts w:asciiTheme="minorHAnsi" w:hAnsiTheme="minorHAnsi"/>
                <w:color w:val="333333"/>
                <w:sz w:val="18"/>
                <w:szCs w:val="18"/>
                <w:lang w:eastAsia="en-CA"/>
              </w:rPr>
              <w:t xml:space="preserve">. </w:t>
            </w:r>
            <w:r w:rsidR="00EB354F" w:rsidRPr="004F1858">
              <w:rPr>
                <w:rFonts w:asciiTheme="minorHAnsi" w:hAnsiTheme="minorHAnsi"/>
                <w:sz w:val="18"/>
                <w:szCs w:val="18"/>
                <w:lang w:val="en-GB"/>
              </w:rPr>
              <w:t>The Government committed to a 12% renewable energy target by 2020</w:t>
            </w:r>
          </w:p>
        </w:tc>
      </w:tr>
      <w:tr w:rsidR="00780F6B" w:rsidRPr="004F1858" w:rsidTr="00EA7929">
        <w:tc>
          <w:tcPr>
            <w:tcW w:w="14040" w:type="dxa"/>
            <w:gridSpan w:val="5"/>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780F6B" w:rsidRPr="004F1858" w:rsidRDefault="00780F6B" w:rsidP="00780F6B">
            <w:pPr>
              <w:pStyle w:val="BodyText2"/>
              <w:spacing w:before="0"/>
              <w:jc w:val="left"/>
              <w:rPr>
                <w:rFonts w:asciiTheme="minorHAnsi" w:hAnsiTheme="minorHAnsi"/>
                <w:sz w:val="18"/>
                <w:szCs w:val="18"/>
              </w:rPr>
            </w:pP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lastRenderedPageBreak/>
              <w:t>CP Outputs:</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National sustainable energy</w:t>
            </w:r>
            <w:r w:rsidRPr="004F1858">
              <w:rPr>
                <w:rFonts w:asciiTheme="minorHAnsi" w:hAnsiTheme="minorHAnsi"/>
                <w:spacing w:val="1"/>
                <w:sz w:val="18"/>
                <w:szCs w:val="18"/>
              </w:rPr>
              <w:t xml:space="preserve"> </w:t>
            </w:r>
            <w:r w:rsidRPr="004F1858">
              <w:rPr>
                <w:rFonts w:asciiTheme="minorHAnsi" w:hAnsiTheme="minorHAnsi"/>
                <w:sz w:val="18"/>
                <w:szCs w:val="18"/>
              </w:rPr>
              <w:t>strategy</w:t>
            </w:r>
            <w:r w:rsidRPr="004F1858">
              <w:rPr>
                <w:rFonts w:asciiTheme="minorHAnsi" w:hAnsiTheme="minorHAnsi"/>
                <w:spacing w:val="1"/>
                <w:sz w:val="18"/>
                <w:szCs w:val="18"/>
              </w:rPr>
              <w:t xml:space="preserve"> </w:t>
            </w:r>
            <w:r w:rsidRPr="004F1858">
              <w:rPr>
                <w:rFonts w:asciiTheme="minorHAnsi" w:hAnsiTheme="minorHAnsi"/>
                <w:spacing w:val="-1"/>
                <w:sz w:val="18"/>
                <w:szCs w:val="18"/>
              </w:rPr>
              <w:t>d</w:t>
            </w:r>
            <w:r w:rsidRPr="004F1858">
              <w:rPr>
                <w:rFonts w:asciiTheme="minorHAnsi" w:hAnsiTheme="minorHAnsi"/>
                <w:sz w:val="18"/>
                <w:szCs w:val="18"/>
              </w:rPr>
              <w:t>eveloped</w:t>
            </w:r>
            <w:r w:rsidRPr="004F1858">
              <w:rPr>
                <w:rFonts w:asciiTheme="minorHAnsi" w:hAnsiTheme="minorHAnsi"/>
                <w:spacing w:val="1"/>
                <w:sz w:val="18"/>
                <w:szCs w:val="18"/>
              </w:rPr>
              <w:t xml:space="preserve"> </w:t>
            </w:r>
            <w:r w:rsidRPr="004F1858">
              <w:rPr>
                <w:rFonts w:asciiTheme="minorHAnsi" w:hAnsiTheme="minorHAnsi"/>
                <w:spacing w:val="-1"/>
                <w:sz w:val="18"/>
                <w:szCs w:val="18"/>
              </w:rPr>
              <w:t>a</w:t>
            </w:r>
            <w:r w:rsidRPr="004F1858">
              <w:rPr>
                <w:rFonts w:asciiTheme="minorHAnsi" w:hAnsiTheme="minorHAnsi"/>
                <w:sz w:val="18"/>
                <w:szCs w:val="18"/>
              </w:rPr>
              <w:t>nd</w:t>
            </w:r>
            <w:r w:rsidRPr="004F1858">
              <w:rPr>
                <w:rFonts w:asciiTheme="minorHAnsi" w:hAnsiTheme="minorHAnsi"/>
                <w:spacing w:val="1"/>
                <w:sz w:val="18"/>
                <w:szCs w:val="18"/>
              </w:rPr>
              <w:t xml:space="preserve"> </w:t>
            </w:r>
            <w:r w:rsidRPr="004F1858">
              <w:rPr>
                <w:rFonts w:asciiTheme="minorHAnsi" w:hAnsiTheme="minorHAnsi"/>
                <w:sz w:val="18"/>
                <w:szCs w:val="18"/>
              </w:rPr>
              <w:t>its implementation promoted</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Effects of climate change</w:t>
            </w:r>
            <w:r w:rsidRPr="004F1858">
              <w:rPr>
                <w:rFonts w:asciiTheme="minorHAnsi" w:hAnsiTheme="minorHAnsi"/>
                <w:spacing w:val="1"/>
                <w:sz w:val="18"/>
                <w:szCs w:val="18"/>
              </w:rPr>
              <w:t xml:space="preserve"> </w:t>
            </w:r>
            <w:r w:rsidRPr="004F1858">
              <w:rPr>
                <w:rFonts w:asciiTheme="minorHAnsi" w:hAnsiTheme="minorHAnsi"/>
                <w:sz w:val="18"/>
                <w:szCs w:val="18"/>
              </w:rPr>
              <w:t>id</w:t>
            </w:r>
            <w:r w:rsidRPr="004F1858">
              <w:rPr>
                <w:rFonts w:asciiTheme="minorHAnsi" w:hAnsiTheme="minorHAnsi"/>
                <w:spacing w:val="-1"/>
                <w:sz w:val="18"/>
                <w:szCs w:val="18"/>
              </w:rPr>
              <w:t>e</w:t>
            </w:r>
            <w:r w:rsidRPr="004F1858">
              <w:rPr>
                <w:rFonts w:asciiTheme="minorHAnsi" w:hAnsiTheme="minorHAnsi"/>
                <w:sz w:val="18"/>
                <w:szCs w:val="18"/>
              </w:rPr>
              <w:t>ntified</w:t>
            </w:r>
            <w:r w:rsidRPr="004F1858">
              <w:rPr>
                <w:rFonts w:asciiTheme="minorHAnsi" w:hAnsiTheme="minorHAnsi"/>
                <w:spacing w:val="1"/>
                <w:sz w:val="18"/>
                <w:szCs w:val="18"/>
              </w:rPr>
              <w:t xml:space="preserve"> </w:t>
            </w:r>
            <w:r w:rsidRPr="004F1858">
              <w:rPr>
                <w:rFonts w:asciiTheme="minorHAnsi" w:hAnsiTheme="minorHAnsi"/>
                <w:sz w:val="18"/>
                <w:szCs w:val="18"/>
              </w:rPr>
              <w:t>and</w:t>
            </w:r>
            <w:r w:rsidRPr="004F1858">
              <w:rPr>
                <w:rFonts w:asciiTheme="minorHAnsi" w:hAnsiTheme="minorHAnsi"/>
                <w:spacing w:val="1"/>
                <w:sz w:val="18"/>
                <w:szCs w:val="18"/>
              </w:rPr>
              <w:t xml:space="preserve"> </w:t>
            </w:r>
            <w:r w:rsidRPr="004F1858">
              <w:rPr>
                <w:rFonts w:asciiTheme="minorHAnsi" w:hAnsiTheme="minorHAnsi"/>
                <w:sz w:val="18"/>
                <w:szCs w:val="18"/>
              </w:rPr>
              <w:t>measures</w:t>
            </w:r>
            <w:r w:rsidRPr="004F1858">
              <w:rPr>
                <w:rFonts w:asciiTheme="minorHAnsi" w:hAnsiTheme="minorHAnsi"/>
                <w:spacing w:val="-1"/>
                <w:sz w:val="18"/>
                <w:szCs w:val="18"/>
              </w:rPr>
              <w:t xml:space="preserve"> </w:t>
            </w:r>
            <w:r w:rsidRPr="004F1858">
              <w:rPr>
                <w:rFonts w:asciiTheme="minorHAnsi" w:hAnsiTheme="minorHAnsi"/>
                <w:sz w:val="18"/>
                <w:szCs w:val="18"/>
              </w:rPr>
              <w:t>to adapt implemented including capacity</w:t>
            </w:r>
            <w:r w:rsidRPr="004F1858">
              <w:rPr>
                <w:rFonts w:asciiTheme="minorHAnsi" w:hAnsiTheme="minorHAnsi"/>
                <w:spacing w:val="1"/>
                <w:sz w:val="18"/>
                <w:szCs w:val="18"/>
              </w:rPr>
              <w:t xml:space="preserve"> </w:t>
            </w:r>
            <w:r w:rsidRPr="004F1858">
              <w:rPr>
                <w:rFonts w:asciiTheme="minorHAnsi" w:hAnsiTheme="minorHAnsi"/>
                <w:sz w:val="18"/>
                <w:szCs w:val="18"/>
              </w:rPr>
              <w:t>of</w:t>
            </w:r>
            <w:r w:rsidRPr="004F1858">
              <w:rPr>
                <w:rFonts w:asciiTheme="minorHAnsi" w:hAnsiTheme="minorHAnsi"/>
                <w:spacing w:val="1"/>
                <w:sz w:val="18"/>
                <w:szCs w:val="18"/>
              </w:rPr>
              <w:t xml:space="preserve"> </w:t>
            </w:r>
            <w:r w:rsidRPr="004F1858">
              <w:rPr>
                <w:rFonts w:asciiTheme="minorHAnsi" w:hAnsiTheme="minorHAnsi"/>
                <w:sz w:val="18"/>
                <w:szCs w:val="18"/>
              </w:rPr>
              <w:t>line</w:t>
            </w:r>
            <w:r w:rsidRPr="004F1858">
              <w:rPr>
                <w:rFonts w:asciiTheme="minorHAnsi" w:hAnsiTheme="minorHAnsi"/>
                <w:spacing w:val="1"/>
                <w:sz w:val="18"/>
                <w:szCs w:val="18"/>
              </w:rPr>
              <w:t xml:space="preserve"> </w:t>
            </w:r>
            <w:r w:rsidRPr="004F1858">
              <w:rPr>
                <w:rFonts w:asciiTheme="minorHAnsi" w:hAnsiTheme="minorHAnsi"/>
                <w:spacing w:val="-2"/>
                <w:sz w:val="18"/>
                <w:szCs w:val="18"/>
              </w:rPr>
              <w:t>m</w:t>
            </w:r>
            <w:r w:rsidRPr="004F1858">
              <w:rPr>
                <w:rFonts w:asciiTheme="minorHAnsi" w:hAnsiTheme="minorHAnsi"/>
                <w:spacing w:val="-1"/>
                <w:sz w:val="18"/>
                <w:szCs w:val="18"/>
              </w:rPr>
              <w:t>i</w:t>
            </w:r>
            <w:r w:rsidRPr="004F1858">
              <w:rPr>
                <w:rFonts w:asciiTheme="minorHAnsi" w:hAnsiTheme="minorHAnsi"/>
                <w:sz w:val="18"/>
                <w:szCs w:val="18"/>
              </w:rPr>
              <w:t>nist</w:t>
            </w:r>
            <w:r w:rsidRPr="004F1858">
              <w:rPr>
                <w:rFonts w:asciiTheme="minorHAnsi" w:hAnsiTheme="minorHAnsi"/>
                <w:spacing w:val="1"/>
                <w:sz w:val="18"/>
                <w:szCs w:val="18"/>
              </w:rPr>
              <w:t>r</w:t>
            </w:r>
            <w:r w:rsidRPr="004F1858">
              <w:rPr>
                <w:rFonts w:asciiTheme="minorHAnsi" w:hAnsiTheme="minorHAnsi"/>
                <w:spacing w:val="-1"/>
                <w:sz w:val="18"/>
                <w:szCs w:val="18"/>
              </w:rPr>
              <w:t>i</w:t>
            </w:r>
            <w:r w:rsidRPr="004F1858">
              <w:rPr>
                <w:rFonts w:asciiTheme="minorHAnsi" w:hAnsiTheme="minorHAnsi"/>
                <w:sz w:val="18"/>
                <w:szCs w:val="18"/>
              </w:rPr>
              <w:t>es</w:t>
            </w: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Progress and Achievements:</w:t>
            </w:r>
          </w:p>
          <w:p w:rsidR="00EB354F" w:rsidRPr="004F1858" w:rsidRDefault="00EB354F" w:rsidP="00EB354F">
            <w:pPr>
              <w:numPr>
                <w:ilvl w:val="0"/>
                <w:numId w:val="22"/>
              </w:numPr>
              <w:spacing w:before="0"/>
              <w:ind w:right="-23"/>
              <w:rPr>
                <w:rFonts w:asciiTheme="minorHAnsi" w:hAnsiTheme="minorHAnsi"/>
                <w:sz w:val="18"/>
                <w:szCs w:val="18"/>
                <w:lang w:val="en-GB"/>
              </w:rPr>
            </w:pPr>
            <w:r w:rsidRPr="004F1858">
              <w:rPr>
                <w:rFonts w:asciiTheme="minorHAnsi" w:hAnsiTheme="minorHAnsi"/>
                <w:sz w:val="18"/>
                <w:szCs w:val="18"/>
                <w:lang w:val="en-GB"/>
              </w:rPr>
              <w:t xml:space="preserve">In the </w:t>
            </w:r>
            <w:r w:rsidRPr="004F1858">
              <w:rPr>
                <w:rFonts w:asciiTheme="minorHAnsi" w:hAnsiTheme="minorHAnsi"/>
                <w:sz w:val="18"/>
                <w:szCs w:val="18"/>
              </w:rPr>
              <w:t>sustainable</w:t>
            </w:r>
            <w:r w:rsidRPr="004F1858">
              <w:rPr>
                <w:rFonts w:asciiTheme="minorHAnsi" w:hAnsiTheme="minorHAnsi"/>
                <w:sz w:val="18"/>
                <w:szCs w:val="18"/>
                <w:lang w:val="en-GB"/>
              </w:rPr>
              <w:t xml:space="preserve"> energy sector, </w:t>
            </w:r>
            <w:r w:rsidR="000A2606" w:rsidRPr="004F1858">
              <w:rPr>
                <w:rFonts w:asciiTheme="minorHAnsi" w:hAnsiTheme="minorHAnsi"/>
                <w:sz w:val="18"/>
                <w:szCs w:val="18"/>
                <w:lang w:val="en-GB"/>
              </w:rPr>
              <w:t xml:space="preserve">120 </w:t>
            </w:r>
            <w:r w:rsidRPr="004F1858">
              <w:rPr>
                <w:rFonts w:asciiTheme="minorHAnsi" w:hAnsiTheme="minorHAnsi"/>
                <w:sz w:val="18"/>
                <w:szCs w:val="18"/>
                <w:lang w:val="en-GB"/>
              </w:rPr>
              <w:t xml:space="preserve">pilot renewable energy and energy efficiency projects were implemented in the public sector, renewable energy technical studies were undertaken and national capacity building activities built up the momentum in the field.  </w:t>
            </w:r>
          </w:p>
          <w:p w:rsidR="00EB354F" w:rsidRPr="004F1858" w:rsidRDefault="00EB354F" w:rsidP="00EB354F">
            <w:pPr>
              <w:numPr>
                <w:ilvl w:val="0"/>
                <w:numId w:val="22"/>
              </w:numPr>
              <w:spacing w:before="0"/>
              <w:ind w:right="-23"/>
              <w:rPr>
                <w:rFonts w:asciiTheme="minorHAnsi" w:hAnsiTheme="minorHAnsi"/>
                <w:sz w:val="18"/>
                <w:szCs w:val="18"/>
                <w:lang w:val="en-GB"/>
              </w:rPr>
            </w:pPr>
            <w:r w:rsidRPr="004F1858">
              <w:rPr>
                <w:rFonts w:asciiTheme="minorHAnsi" w:hAnsiTheme="minorHAnsi"/>
                <w:sz w:val="18"/>
                <w:szCs w:val="18"/>
                <w:lang w:eastAsia="en-CA"/>
              </w:rPr>
              <w:t>Impact of climate change on the various economic and environmental sectors in Lebanon has been completed and 2 NAMAs identified and initiated with the various ministries involved.</w:t>
            </w:r>
          </w:p>
          <w:p w:rsidR="00EB354F" w:rsidRPr="004F1858" w:rsidRDefault="00EB354F" w:rsidP="00780F6B">
            <w:pPr>
              <w:pStyle w:val="BodyText2"/>
              <w:spacing w:before="0"/>
              <w:jc w:val="left"/>
              <w:rPr>
                <w:rFonts w:asciiTheme="minorHAnsi" w:hAnsiTheme="minorHAnsi"/>
                <w:sz w:val="18"/>
                <w:szCs w:val="18"/>
                <w:u w:val="single"/>
              </w:rPr>
            </w:pPr>
          </w:p>
          <w:p w:rsidR="00D0220D" w:rsidRPr="004F1858" w:rsidRDefault="00D0220D" w:rsidP="00780F6B">
            <w:pPr>
              <w:pStyle w:val="BodyText2"/>
              <w:spacing w:before="0"/>
              <w:jc w:val="left"/>
              <w:rPr>
                <w:rFonts w:asciiTheme="minorHAnsi" w:hAnsiTheme="minorHAnsi"/>
                <w:sz w:val="18"/>
                <w:szCs w:val="18"/>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lastRenderedPageBreak/>
              <w:t>08:  Government capacities to address critical recovery issues improved</w:t>
            </w:r>
          </w:p>
        </w:tc>
        <w:tc>
          <w:tcPr>
            <w:tcW w:w="1434" w:type="dxa"/>
            <w:shd w:val="clear" w:color="auto" w:fill="auto"/>
          </w:tcPr>
          <w:p w:rsidR="00780F6B" w:rsidRPr="004F1858" w:rsidRDefault="00780F6B" w:rsidP="00780F6B">
            <w:pPr>
              <w:pStyle w:val="BodyText2"/>
              <w:spacing w:before="0"/>
              <w:jc w:val="left"/>
              <w:rPr>
                <w:rFonts w:asciiTheme="minorHAnsi" w:hAnsiTheme="minorHAnsi"/>
                <w:sz w:val="18"/>
                <w:szCs w:val="18"/>
              </w:rPr>
            </w:pPr>
            <w:r w:rsidRPr="00D142FB">
              <w:rPr>
                <w:rFonts w:asciiTheme="minorHAnsi" w:hAnsiTheme="minorHAnsi"/>
                <w:sz w:val="18"/>
                <w:szCs w:val="18"/>
              </w:rPr>
              <w:t>$</w:t>
            </w:r>
            <w:r w:rsidR="00D142FB" w:rsidRPr="00D142FB">
              <w:rPr>
                <w:rFonts w:asciiTheme="minorHAnsi" w:hAnsiTheme="minorHAnsi"/>
                <w:sz w:val="18"/>
                <w:szCs w:val="18"/>
              </w:rPr>
              <w:t xml:space="preserve"> 12,186,698.62</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sz w:val="18"/>
                <w:szCs w:val="18"/>
              </w:rPr>
            </w:pPr>
            <w:r w:rsidRPr="004F1858">
              <w:rPr>
                <w:rFonts w:asciiTheme="minorHAnsi" w:hAnsiTheme="minorHAnsi"/>
                <w:i/>
                <w:sz w:val="18"/>
                <w:szCs w:val="18"/>
              </w:rPr>
              <w:t xml:space="preserve">8.1. </w:t>
            </w:r>
            <w:r w:rsidRPr="004F1858">
              <w:rPr>
                <w:rFonts w:asciiTheme="minorHAnsi" w:hAnsiTheme="minorHAnsi"/>
                <w:i/>
                <w:sz w:val="18"/>
                <w:szCs w:val="18"/>
              </w:rPr>
              <w:tab/>
              <w:t>Levels of disaster preparedness and prevention of Lebanese national authorities are improved and coordinated</w:t>
            </w:r>
          </w:p>
        </w:tc>
        <w:tc>
          <w:tcPr>
            <w:tcW w:w="6844" w:type="dxa"/>
            <w:shd w:val="clear" w:color="auto" w:fill="auto"/>
          </w:tcPr>
          <w:p w:rsidR="00780F6B" w:rsidRPr="004F1858" w:rsidRDefault="00780F6B" w:rsidP="00780F6B">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eastAsia="en-CA"/>
              </w:rPr>
              <w:t>Six sectoral and regional disaster response plans have been developed, endorsed, and tested;</w:t>
            </w:r>
          </w:p>
          <w:p w:rsidR="00780F6B" w:rsidRPr="004F1858" w:rsidRDefault="00780F6B" w:rsidP="00780F6B">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eastAsia="en-CA"/>
              </w:rPr>
              <w:t>National Disaster Response Framework developed</w:t>
            </w:r>
          </w:p>
          <w:p w:rsidR="00780F6B" w:rsidRPr="004F1858" w:rsidRDefault="00780F6B" w:rsidP="00780F6B">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eastAsia="en-CA"/>
              </w:rPr>
              <w:t>Establishment of National Operation Room at the PMO (though not fully functional, it is expected to be so in the coming period).</w:t>
            </w:r>
          </w:p>
        </w:tc>
      </w:tr>
      <w:tr w:rsidR="00780F6B" w:rsidRPr="004F1858" w:rsidTr="00EA7929">
        <w:tc>
          <w:tcPr>
            <w:tcW w:w="14040" w:type="dxa"/>
            <w:gridSpan w:val="5"/>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CP Outputs:</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National capacities for mine</w:t>
            </w:r>
            <w:r w:rsidRPr="004F1858">
              <w:rPr>
                <w:rFonts w:asciiTheme="minorHAnsi" w:hAnsiTheme="minorHAnsi"/>
                <w:spacing w:val="1"/>
                <w:sz w:val="18"/>
                <w:szCs w:val="18"/>
              </w:rPr>
              <w:t xml:space="preserve"> </w:t>
            </w:r>
            <w:r w:rsidRPr="004F1858">
              <w:rPr>
                <w:rFonts w:asciiTheme="minorHAnsi" w:hAnsiTheme="minorHAnsi"/>
                <w:sz w:val="18"/>
                <w:szCs w:val="18"/>
              </w:rPr>
              <w:t>action</w:t>
            </w:r>
            <w:r w:rsidRPr="004F1858">
              <w:rPr>
                <w:rFonts w:asciiTheme="minorHAnsi" w:hAnsiTheme="minorHAnsi"/>
                <w:spacing w:val="1"/>
                <w:sz w:val="18"/>
                <w:szCs w:val="18"/>
              </w:rPr>
              <w:t xml:space="preserve"> </w:t>
            </w:r>
            <w:r w:rsidRPr="004F1858">
              <w:rPr>
                <w:rFonts w:asciiTheme="minorHAnsi" w:hAnsiTheme="minorHAnsi"/>
                <w:sz w:val="18"/>
                <w:szCs w:val="18"/>
              </w:rPr>
              <w:t>man</w:t>
            </w:r>
            <w:r w:rsidRPr="004F1858">
              <w:rPr>
                <w:rFonts w:asciiTheme="minorHAnsi" w:hAnsiTheme="minorHAnsi"/>
                <w:spacing w:val="-1"/>
                <w:sz w:val="18"/>
                <w:szCs w:val="18"/>
              </w:rPr>
              <w:t>a</w:t>
            </w:r>
            <w:r w:rsidRPr="004F1858">
              <w:rPr>
                <w:rFonts w:asciiTheme="minorHAnsi" w:hAnsiTheme="minorHAnsi"/>
                <w:sz w:val="18"/>
                <w:szCs w:val="18"/>
              </w:rPr>
              <w:t>gement strengthened</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National capacities to address</w:t>
            </w:r>
            <w:r w:rsidRPr="004F1858">
              <w:rPr>
                <w:rFonts w:asciiTheme="minorHAnsi" w:hAnsiTheme="minorHAnsi"/>
                <w:spacing w:val="1"/>
                <w:sz w:val="18"/>
                <w:szCs w:val="18"/>
              </w:rPr>
              <w:t xml:space="preserve"> </w:t>
            </w:r>
            <w:r w:rsidRPr="004F1858">
              <w:rPr>
                <w:rFonts w:asciiTheme="minorHAnsi" w:hAnsiTheme="minorHAnsi"/>
                <w:sz w:val="18"/>
                <w:szCs w:val="18"/>
              </w:rPr>
              <w:t>disaster</w:t>
            </w:r>
            <w:r w:rsidRPr="004F1858">
              <w:rPr>
                <w:rFonts w:asciiTheme="minorHAnsi" w:hAnsiTheme="minorHAnsi"/>
                <w:spacing w:val="1"/>
                <w:sz w:val="18"/>
                <w:szCs w:val="18"/>
              </w:rPr>
              <w:t xml:space="preserve"> </w:t>
            </w:r>
            <w:r w:rsidRPr="004F1858">
              <w:rPr>
                <w:rFonts w:asciiTheme="minorHAnsi" w:hAnsiTheme="minorHAnsi"/>
                <w:spacing w:val="-1"/>
                <w:sz w:val="18"/>
                <w:szCs w:val="18"/>
              </w:rPr>
              <w:t>p</w:t>
            </w:r>
            <w:r w:rsidRPr="004F1858">
              <w:rPr>
                <w:rFonts w:asciiTheme="minorHAnsi" w:hAnsiTheme="minorHAnsi"/>
                <w:sz w:val="18"/>
                <w:szCs w:val="18"/>
              </w:rPr>
              <w:t>reparedness strengthened</w:t>
            </w:r>
          </w:p>
          <w:p w:rsidR="0067438B" w:rsidRPr="004D0070" w:rsidRDefault="0067438B" w:rsidP="0067438B">
            <w:pPr>
              <w:pStyle w:val="BodyText2"/>
              <w:spacing w:before="0"/>
              <w:jc w:val="left"/>
              <w:rPr>
                <w:rFonts w:ascii="Calibri" w:hAnsi="Calibri"/>
                <w:sz w:val="18"/>
                <w:szCs w:val="18"/>
                <w:u w:val="single"/>
              </w:rPr>
            </w:pPr>
            <w:r w:rsidRPr="004D0070">
              <w:rPr>
                <w:rFonts w:ascii="Calibri" w:hAnsi="Calibri"/>
                <w:sz w:val="18"/>
                <w:szCs w:val="18"/>
                <w:u w:val="single"/>
              </w:rPr>
              <w:t>Progress and Achievements:</w:t>
            </w:r>
          </w:p>
          <w:p w:rsidR="0067438B" w:rsidRDefault="0067438B" w:rsidP="0067438B">
            <w:pPr>
              <w:numPr>
                <w:ilvl w:val="0"/>
                <w:numId w:val="22"/>
              </w:numPr>
              <w:spacing w:before="0"/>
              <w:ind w:right="-23"/>
              <w:rPr>
                <w:rFonts w:ascii="Calibri" w:hAnsi="Calibri"/>
                <w:bCs/>
                <w:spacing w:val="1"/>
                <w:sz w:val="18"/>
                <w:szCs w:val="18"/>
              </w:rPr>
            </w:pPr>
            <w:r w:rsidRPr="00B566FD">
              <w:rPr>
                <w:rFonts w:ascii="Calibri" w:hAnsi="Calibri"/>
                <w:bCs/>
                <w:spacing w:val="1"/>
                <w:sz w:val="18"/>
                <w:szCs w:val="18"/>
              </w:rPr>
              <w:t>Successful hosting of the Second Meeting of States Parties to the Convention on Cluster Munitions, in September 2011</w:t>
            </w:r>
          </w:p>
          <w:p w:rsidR="0067438B" w:rsidRPr="0067438B" w:rsidRDefault="0067438B" w:rsidP="0067438B">
            <w:pPr>
              <w:numPr>
                <w:ilvl w:val="0"/>
                <w:numId w:val="22"/>
              </w:numPr>
              <w:spacing w:before="0"/>
              <w:ind w:right="-23"/>
              <w:rPr>
                <w:rFonts w:ascii="Calibri" w:hAnsi="Calibri"/>
                <w:bCs/>
                <w:spacing w:val="1"/>
                <w:sz w:val="18"/>
                <w:szCs w:val="18"/>
              </w:rPr>
            </w:pPr>
            <w:r w:rsidRPr="0067438B">
              <w:rPr>
                <w:rFonts w:ascii="Calibri" w:hAnsi="Calibri"/>
                <w:bCs/>
                <w:spacing w:val="1"/>
                <w:sz w:val="18"/>
                <w:szCs w:val="18"/>
              </w:rPr>
              <w:t>A national mine action strategy 2011-2020, developed by the LMAC and other Ministries to comply with the obligations of the Convention on Cluster Munitions</w:t>
            </w:r>
          </w:p>
          <w:p w:rsidR="0067438B" w:rsidRPr="0067438B" w:rsidRDefault="0067438B" w:rsidP="0067438B">
            <w:pPr>
              <w:numPr>
                <w:ilvl w:val="0"/>
                <w:numId w:val="22"/>
              </w:numPr>
              <w:spacing w:before="0"/>
              <w:ind w:right="-23"/>
              <w:rPr>
                <w:rFonts w:ascii="Calibri" w:hAnsi="Calibri"/>
                <w:bCs/>
                <w:spacing w:val="1"/>
                <w:sz w:val="18"/>
                <w:szCs w:val="18"/>
              </w:rPr>
            </w:pPr>
            <w:r w:rsidRPr="0067438B">
              <w:rPr>
                <w:rFonts w:ascii="Calibri" w:hAnsi="Calibri"/>
                <w:bCs/>
                <w:spacing w:val="1"/>
                <w:sz w:val="18"/>
                <w:szCs w:val="18"/>
              </w:rPr>
              <w:t>Capacity of the Regional Mine Action Centre (RMAC) to manage the current volume of operations to clear cluster munitions in the South strengthened</w:t>
            </w:r>
          </w:p>
          <w:p w:rsidR="0067438B" w:rsidRPr="0067438B" w:rsidRDefault="0067438B" w:rsidP="0067438B">
            <w:pPr>
              <w:numPr>
                <w:ilvl w:val="0"/>
                <w:numId w:val="22"/>
              </w:numPr>
              <w:spacing w:before="0"/>
              <w:ind w:right="-23"/>
              <w:rPr>
                <w:rFonts w:ascii="Calibri" w:hAnsi="Calibri"/>
                <w:bCs/>
                <w:spacing w:val="1"/>
                <w:sz w:val="18"/>
                <w:szCs w:val="18"/>
              </w:rPr>
            </w:pPr>
            <w:r w:rsidRPr="0067438B">
              <w:rPr>
                <w:rFonts w:ascii="Calibri" w:hAnsi="Calibri"/>
                <w:bCs/>
                <w:spacing w:val="1"/>
                <w:sz w:val="18"/>
                <w:szCs w:val="18"/>
              </w:rPr>
              <w:t>Reports by the Government of Lebanon towards the implementation of the priorities identified in the Hyogo Framework for Action submitted</w:t>
            </w:r>
          </w:p>
          <w:p w:rsidR="0067438B" w:rsidRPr="0067438B" w:rsidRDefault="0067438B" w:rsidP="0067438B">
            <w:pPr>
              <w:numPr>
                <w:ilvl w:val="0"/>
                <w:numId w:val="22"/>
              </w:numPr>
              <w:spacing w:before="0"/>
              <w:ind w:right="-23"/>
              <w:rPr>
                <w:rFonts w:ascii="Calibri" w:hAnsi="Calibri"/>
                <w:bCs/>
                <w:spacing w:val="1"/>
                <w:sz w:val="18"/>
                <w:szCs w:val="18"/>
              </w:rPr>
            </w:pPr>
            <w:r w:rsidRPr="0067438B">
              <w:rPr>
                <w:rFonts w:ascii="Calibri" w:hAnsi="Calibri"/>
                <w:bCs/>
                <w:spacing w:val="1"/>
                <w:sz w:val="18"/>
                <w:szCs w:val="18"/>
              </w:rPr>
              <w:t>A national response plan to strengthen the Government's preparedness to disaster situations developed</w:t>
            </w:r>
          </w:p>
          <w:p w:rsidR="0067438B" w:rsidRPr="0067438B" w:rsidRDefault="0067438B" w:rsidP="0067438B">
            <w:pPr>
              <w:numPr>
                <w:ilvl w:val="0"/>
                <w:numId w:val="22"/>
              </w:numPr>
              <w:spacing w:before="0"/>
              <w:ind w:right="-23"/>
              <w:rPr>
                <w:rFonts w:ascii="Calibri" w:hAnsi="Calibri"/>
                <w:bCs/>
                <w:spacing w:val="1"/>
                <w:sz w:val="18"/>
                <w:szCs w:val="18"/>
              </w:rPr>
            </w:pPr>
            <w:r w:rsidRPr="0067438B">
              <w:rPr>
                <w:rFonts w:ascii="Calibri" w:hAnsi="Calibri"/>
                <w:bCs/>
                <w:spacing w:val="1"/>
                <w:sz w:val="18"/>
                <w:szCs w:val="18"/>
              </w:rPr>
              <w:t>Around 200 municipalities and cities in Lebanon joined the global campaign on “Resilient Cities”</w:t>
            </w:r>
          </w:p>
          <w:p w:rsidR="0067438B" w:rsidRPr="0067438B" w:rsidRDefault="0067438B" w:rsidP="0067438B">
            <w:pPr>
              <w:numPr>
                <w:ilvl w:val="0"/>
                <w:numId w:val="22"/>
              </w:numPr>
              <w:spacing w:before="0"/>
              <w:ind w:right="-23"/>
              <w:rPr>
                <w:rFonts w:ascii="Calibri" w:hAnsi="Calibri"/>
                <w:bCs/>
                <w:spacing w:val="1"/>
                <w:sz w:val="18"/>
                <w:szCs w:val="18"/>
              </w:rPr>
            </w:pPr>
            <w:r w:rsidRPr="0067438B">
              <w:rPr>
                <w:rFonts w:ascii="Calibri" w:hAnsi="Calibri"/>
                <w:bCs/>
                <w:spacing w:val="1"/>
                <w:sz w:val="18"/>
                <w:szCs w:val="18"/>
              </w:rPr>
              <w:t>The Army and the National School of Administration agreed to integrate disaster risk reduction and preparedness into their training curriculum</w:t>
            </w:r>
          </w:p>
          <w:p w:rsidR="00780F6B" w:rsidRPr="004F1858" w:rsidRDefault="00780F6B" w:rsidP="00780F6B">
            <w:pPr>
              <w:pStyle w:val="BodyText2"/>
              <w:spacing w:before="0"/>
              <w:jc w:val="left"/>
              <w:rPr>
                <w:rFonts w:asciiTheme="minorHAnsi" w:hAnsiTheme="minorHAnsi"/>
                <w:sz w:val="18"/>
                <w:szCs w:val="18"/>
                <w:lang w:val="en-US"/>
              </w:rPr>
            </w:pPr>
          </w:p>
          <w:p w:rsidR="00780F6B" w:rsidRPr="004F1858" w:rsidRDefault="00780F6B" w:rsidP="00780F6B">
            <w:pPr>
              <w:pStyle w:val="BodyText2"/>
              <w:spacing w:before="0"/>
              <w:jc w:val="left"/>
              <w:rPr>
                <w:rFonts w:asciiTheme="minorHAnsi" w:hAnsiTheme="minorHAnsi"/>
                <w:sz w:val="18"/>
                <w:szCs w:val="18"/>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t>09:  Living conditions and trust in Palestinian and Lebanese surrounding communities improved</w:t>
            </w:r>
          </w:p>
        </w:tc>
        <w:tc>
          <w:tcPr>
            <w:tcW w:w="1434" w:type="dxa"/>
            <w:shd w:val="clear" w:color="auto" w:fill="auto"/>
          </w:tcPr>
          <w:p w:rsidR="00780F6B" w:rsidRPr="004F1858" w:rsidRDefault="00780F6B" w:rsidP="00780F6B">
            <w:pPr>
              <w:pStyle w:val="BodyText2"/>
              <w:spacing w:before="0"/>
              <w:jc w:val="left"/>
              <w:rPr>
                <w:rFonts w:asciiTheme="minorHAnsi" w:hAnsiTheme="minorHAnsi"/>
                <w:sz w:val="18"/>
                <w:szCs w:val="18"/>
              </w:rPr>
            </w:pPr>
            <w:r w:rsidRPr="0081672B">
              <w:rPr>
                <w:rFonts w:asciiTheme="minorHAnsi" w:hAnsiTheme="minorHAnsi"/>
                <w:sz w:val="18"/>
                <w:szCs w:val="18"/>
              </w:rPr>
              <w:t>$</w:t>
            </w:r>
            <w:r w:rsidR="0081672B">
              <w:rPr>
                <w:rFonts w:asciiTheme="minorHAnsi" w:hAnsiTheme="minorHAnsi"/>
                <w:sz w:val="18"/>
                <w:szCs w:val="18"/>
              </w:rPr>
              <w:t xml:space="preserve"> 11,858,859.13</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i/>
                <w:sz w:val="18"/>
                <w:szCs w:val="18"/>
              </w:rPr>
            </w:pPr>
            <w:r w:rsidRPr="004F1858">
              <w:rPr>
                <w:rFonts w:asciiTheme="minorHAnsi" w:hAnsiTheme="minorHAnsi"/>
                <w:i/>
                <w:sz w:val="18"/>
                <w:szCs w:val="18"/>
              </w:rPr>
              <w:t xml:space="preserve">9.1 </w:t>
            </w:r>
            <w:r w:rsidRPr="004F1858">
              <w:rPr>
                <w:rFonts w:asciiTheme="minorHAnsi" w:hAnsiTheme="minorHAnsi"/>
                <w:i/>
                <w:sz w:val="18"/>
                <w:szCs w:val="18"/>
              </w:rPr>
              <w:tab/>
              <w:t>Extent to which national mechanism for mediation and consensus building conducts regular inclusive consultations</w:t>
            </w:r>
          </w:p>
          <w:p w:rsidR="00780F6B" w:rsidRPr="004F1858" w:rsidRDefault="00780F6B" w:rsidP="00780F6B">
            <w:pPr>
              <w:spacing w:before="60"/>
              <w:ind w:left="318" w:hanging="318"/>
              <w:jc w:val="left"/>
              <w:rPr>
                <w:rFonts w:asciiTheme="minorHAnsi" w:hAnsiTheme="minorHAnsi"/>
                <w:i/>
                <w:sz w:val="18"/>
                <w:szCs w:val="18"/>
              </w:rPr>
            </w:pPr>
            <w:r w:rsidRPr="004F1858">
              <w:rPr>
                <w:rFonts w:asciiTheme="minorHAnsi" w:hAnsiTheme="minorHAnsi"/>
                <w:i/>
                <w:sz w:val="18"/>
                <w:szCs w:val="18"/>
              </w:rPr>
              <w:t xml:space="preserve">9.2 </w:t>
            </w:r>
            <w:r w:rsidRPr="004F1858">
              <w:rPr>
                <w:rFonts w:asciiTheme="minorHAnsi" w:hAnsiTheme="minorHAnsi"/>
                <w:i/>
                <w:sz w:val="18"/>
                <w:szCs w:val="18"/>
              </w:rPr>
              <w:tab/>
              <w:t>Joint mechanisms for enhanced dialogue and service delivery in place</w:t>
            </w:r>
          </w:p>
        </w:tc>
        <w:tc>
          <w:tcPr>
            <w:tcW w:w="6844" w:type="dxa"/>
            <w:shd w:val="clear" w:color="auto" w:fill="auto"/>
          </w:tcPr>
          <w:p w:rsidR="00780F6B" w:rsidRPr="004F1858" w:rsidRDefault="00780F6B" w:rsidP="00780F6B">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eastAsia="en-CA"/>
              </w:rPr>
              <w:t>National policy towards dealing with the Palestinian Refugee file in Lebanon is endorsed by the Government - Government deadlock remained during 2015 which prevented new policies to be approved</w:t>
            </w:r>
          </w:p>
          <w:p w:rsidR="00780F6B" w:rsidRPr="004F1858" w:rsidRDefault="00780F6B" w:rsidP="00780F6B">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eastAsia="en-CA"/>
              </w:rPr>
              <w:t xml:space="preserve">Functional and joint mechanisms in at least 7 Palestinian Gatherings and Lebanese municipalities joint </w:t>
            </w:r>
            <w:r w:rsidR="00EB354F" w:rsidRPr="004F1858">
              <w:rPr>
                <w:rFonts w:asciiTheme="minorHAnsi" w:hAnsiTheme="minorHAnsi"/>
                <w:sz w:val="18"/>
                <w:szCs w:val="18"/>
                <w:lang w:eastAsia="en-CA"/>
              </w:rPr>
              <w:t>mechanisms</w:t>
            </w:r>
            <w:r w:rsidRPr="004F1858">
              <w:rPr>
                <w:rFonts w:asciiTheme="minorHAnsi" w:hAnsiTheme="minorHAnsi"/>
                <w:sz w:val="18"/>
                <w:szCs w:val="18"/>
                <w:lang w:eastAsia="en-CA"/>
              </w:rPr>
              <w:t xml:space="preserve"> </w:t>
            </w:r>
            <w:r w:rsidR="00EB354F" w:rsidRPr="004F1858">
              <w:rPr>
                <w:rFonts w:asciiTheme="minorHAnsi" w:hAnsiTheme="minorHAnsi"/>
                <w:sz w:val="18"/>
                <w:szCs w:val="18"/>
                <w:lang w:eastAsia="en-CA"/>
              </w:rPr>
              <w:t>for implementation</w:t>
            </w:r>
            <w:r w:rsidRPr="004F1858">
              <w:rPr>
                <w:rFonts w:asciiTheme="minorHAnsi" w:hAnsiTheme="minorHAnsi"/>
                <w:sz w:val="18"/>
                <w:szCs w:val="18"/>
                <w:lang w:eastAsia="en-CA"/>
              </w:rPr>
              <w:t xml:space="preserve"> completed</w:t>
            </w:r>
          </w:p>
          <w:p w:rsidR="00780F6B" w:rsidRPr="004F1858" w:rsidRDefault="00780F6B" w:rsidP="00780F6B">
            <w:pPr>
              <w:pStyle w:val="BodyText2"/>
              <w:spacing w:before="0"/>
              <w:jc w:val="left"/>
              <w:rPr>
                <w:rFonts w:asciiTheme="minorHAnsi" w:hAnsiTheme="minorHAnsi"/>
                <w:sz w:val="18"/>
                <w:szCs w:val="18"/>
                <w:lang w:eastAsia="en-CA"/>
              </w:rPr>
            </w:pPr>
          </w:p>
        </w:tc>
      </w:tr>
      <w:tr w:rsidR="00780F6B" w:rsidRPr="004F1858" w:rsidTr="00EA7929">
        <w:tc>
          <w:tcPr>
            <w:tcW w:w="14040" w:type="dxa"/>
            <w:gridSpan w:val="5"/>
          </w:tcPr>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780F6B" w:rsidRPr="004F1858" w:rsidRDefault="00780F6B" w:rsidP="00780F6B">
            <w:pPr>
              <w:pStyle w:val="BodyText2"/>
              <w:spacing w:before="0"/>
              <w:jc w:val="left"/>
              <w:rPr>
                <w:rFonts w:asciiTheme="minorHAnsi" w:hAnsiTheme="minorHAnsi"/>
                <w:sz w:val="18"/>
                <w:szCs w:val="18"/>
              </w:rPr>
            </w:pPr>
          </w:p>
          <w:p w:rsidR="00780F6B" w:rsidRPr="004F1858" w:rsidRDefault="00780F6B" w:rsidP="00780F6B">
            <w:pPr>
              <w:pStyle w:val="BodyText2"/>
              <w:spacing w:before="0"/>
              <w:jc w:val="left"/>
              <w:rPr>
                <w:rFonts w:asciiTheme="minorHAnsi" w:hAnsiTheme="minorHAnsi"/>
                <w:sz w:val="18"/>
                <w:szCs w:val="18"/>
                <w:u w:val="single"/>
              </w:rPr>
            </w:pPr>
            <w:r w:rsidRPr="004F1858">
              <w:rPr>
                <w:rFonts w:asciiTheme="minorHAnsi" w:hAnsiTheme="minorHAnsi"/>
                <w:sz w:val="18"/>
                <w:szCs w:val="18"/>
                <w:u w:val="single"/>
              </w:rPr>
              <w:t>CP Outputs:</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t>Live</w:t>
            </w:r>
            <w:r w:rsidRPr="004F1858">
              <w:rPr>
                <w:rFonts w:asciiTheme="minorHAnsi" w:hAnsiTheme="minorHAnsi"/>
                <w:spacing w:val="-2"/>
                <w:sz w:val="18"/>
                <w:szCs w:val="18"/>
              </w:rPr>
              <w:t>l</w:t>
            </w:r>
            <w:r w:rsidRPr="004F1858">
              <w:rPr>
                <w:rFonts w:asciiTheme="minorHAnsi" w:hAnsiTheme="minorHAnsi"/>
                <w:spacing w:val="-1"/>
                <w:sz w:val="18"/>
                <w:szCs w:val="18"/>
              </w:rPr>
              <w:t>i</w:t>
            </w:r>
            <w:r w:rsidRPr="004F1858">
              <w:rPr>
                <w:rFonts w:asciiTheme="minorHAnsi" w:hAnsiTheme="minorHAnsi"/>
                <w:sz w:val="18"/>
                <w:szCs w:val="18"/>
              </w:rPr>
              <w:t>hoods</w:t>
            </w:r>
            <w:r w:rsidRPr="004F1858">
              <w:rPr>
                <w:rFonts w:asciiTheme="minorHAnsi" w:hAnsiTheme="minorHAnsi"/>
                <w:spacing w:val="1"/>
                <w:sz w:val="18"/>
                <w:szCs w:val="18"/>
              </w:rPr>
              <w:t xml:space="preserve"> </w:t>
            </w:r>
            <w:r w:rsidRPr="004F1858">
              <w:rPr>
                <w:rFonts w:asciiTheme="minorHAnsi" w:hAnsiTheme="minorHAnsi"/>
                <w:sz w:val="18"/>
                <w:szCs w:val="18"/>
              </w:rPr>
              <w:t>of</w:t>
            </w:r>
            <w:r w:rsidRPr="004F1858">
              <w:rPr>
                <w:rFonts w:asciiTheme="minorHAnsi" w:hAnsiTheme="minorHAnsi"/>
                <w:spacing w:val="-1"/>
                <w:sz w:val="18"/>
                <w:szCs w:val="18"/>
              </w:rPr>
              <w:t xml:space="preserve"> </w:t>
            </w:r>
            <w:r w:rsidRPr="004F1858">
              <w:rPr>
                <w:rFonts w:asciiTheme="minorHAnsi" w:hAnsiTheme="minorHAnsi"/>
                <w:sz w:val="18"/>
                <w:szCs w:val="18"/>
              </w:rPr>
              <w:t>2.5</w:t>
            </w:r>
            <w:r w:rsidRPr="004F1858">
              <w:rPr>
                <w:rFonts w:asciiTheme="minorHAnsi" w:hAnsiTheme="minorHAnsi"/>
                <w:spacing w:val="-1"/>
                <w:sz w:val="18"/>
                <w:szCs w:val="18"/>
              </w:rPr>
              <w:t>0</w:t>
            </w:r>
            <w:r w:rsidRPr="004F1858">
              <w:rPr>
                <w:rFonts w:asciiTheme="minorHAnsi" w:hAnsiTheme="minorHAnsi"/>
                <w:sz w:val="18"/>
                <w:szCs w:val="18"/>
              </w:rPr>
              <w:t xml:space="preserve">0 families </w:t>
            </w:r>
            <w:r w:rsidR="00E274CE" w:rsidRPr="004F1858">
              <w:rPr>
                <w:rFonts w:asciiTheme="minorHAnsi" w:hAnsiTheme="minorHAnsi"/>
                <w:sz w:val="18"/>
                <w:szCs w:val="18"/>
              </w:rPr>
              <w:t xml:space="preserve">in </w:t>
            </w:r>
            <w:r w:rsidR="00E274CE" w:rsidRPr="004F1858">
              <w:rPr>
                <w:rFonts w:asciiTheme="minorHAnsi" w:hAnsiTheme="minorHAnsi"/>
                <w:spacing w:val="1"/>
                <w:sz w:val="18"/>
                <w:szCs w:val="18"/>
              </w:rPr>
              <w:t>communities</w:t>
            </w:r>
            <w:r w:rsidRPr="004F1858">
              <w:rPr>
                <w:rFonts w:asciiTheme="minorHAnsi" w:hAnsiTheme="minorHAnsi"/>
                <w:sz w:val="18"/>
                <w:szCs w:val="18"/>
              </w:rPr>
              <w:t xml:space="preserve"> surrounding</w:t>
            </w:r>
            <w:r w:rsidRPr="004F1858">
              <w:rPr>
                <w:rFonts w:asciiTheme="minorHAnsi" w:hAnsiTheme="minorHAnsi"/>
                <w:spacing w:val="-1"/>
                <w:sz w:val="18"/>
                <w:szCs w:val="18"/>
              </w:rPr>
              <w:t xml:space="preserve"> </w:t>
            </w:r>
            <w:r w:rsidRPr="004F1858">
              <w:rPr>
                <w:rFonts w:asciiTheme="minorHAnsi" w:hAnsiTheme="minorHAnsi"/>
                <w:sz w:val="18"/>
                <w:szCs w:val="18"/>
              </w:rPr>
              <w:t>Nahr</w:t>
            </w:r>
            <w:r w:rsidRPr="004F1858">
              <w:rPr>
                <w:rFonts w:asciiTheme="minorHAnsi" w:hAnsiTheme="minorHAnsi"/>
                <w:spacing w:val="-1"/>
                <w:sz w:val="18"/>
                <w:szCs w:val="18"/>
              </w:rPr>
              <w:t xml:space="preserve"> </w:t>
            </w:r>
            <w:r w:rsidRPr="004F1858">
              <w:rPr>
                <w:rFonts w:asciiTheme="minorHAnsi" w:hAnsiTheme="minorHAnsi"/>
                <w:sz w:val="18"/>
                <w:szCs w:val="18"/>
              </w:rPr>
              <w:t>el-Bared improved</w:t>
            </w:r>
            <w:r w:rsidRPr="004F1858">
              <w:rPr>
                <w:rFonts w:asciiTheme="minorHAnsi" w:hAnsiTheme="minorHAnsi"/>
                <w:spacing w:val="1"/>
                <w:sz w:val="18"/>
                <w:szCs w:val="18"/>
              </w:rPr>
              <w:t xml:space="preserve"> </w:t>
            </w:r>
            <w:r w:rsidRPr="004F1858">
              <w:rPr>
                <w:rFonts w:asciiTheme="minorHAnsi" w:hAnsiTheme="minorHAnsi"/>
                <w:sz w:val="18"/>
                <w:szCs w:val="18"/>
              </w:rPr>
              <w:t>and di</w:t>
            </w:r>
            <w:r w:rsidRPr="004F1858">
              <w:rPr>
                <w:rFonts w:asciiTheme="minorHAnsi" w:hAnsiTheme="minorHAnsi"/>
                <w:spacing w:val="-1"/>
                <w:sz w:val="18"/>
                <w:szCs w:val="18"/>
              </w:rPr>
              <w:t>al</w:t>
            </w:r>
            <w:r w:rsidRPr="004F1858">
              <w:rPr>
                <w:rFonts w:asciiTheme="minorHAnsi" w:hAnsiTheme="minorHAnsi"/>
                <w:sz w:val="18"/>
                <w:szCs w:val="18"/>
              </w:rPr>
              <w:t>ogue</w:t>
            </w:r>
            <w:r w:rsidRPr="004F1858">
              <w:rPr>
                <w:rFonts w:asciiTheme="minorHAnsi" w:hAnsiTheme="minorHAnsi"/>
                <w:spacing w:val="1"/>
                <w:sz w:val="18"/>
                <w:szCs w:val="18"/>
              </w:rPr>
              <w:t xml:space="preserve"> </w:t>
            </w:r>
            <w:r w:rsidRPr="004F1858">
              <w:rPr>
                <w:rFonts w:asciiTheme="minorHAnsi" w:hAnsiTheme="minorHAnsi"/>
                <w:sz w:val="18"/>
                <w:szCs w:val="18"/>
              </w:rPr>
              <w:t>enh</w:t>
            </w:r>
            <w:r w:rsidRPr="004F1858">
              <w:rPr>
                <w:rFonts w:asciiTheme="minorHAnsi" w:hAnsiTheme="minorHAnsi"/>
                <w:spacing w:val="-1"/>
                <w:sz w:val="18"/>
                <w:szCs w:val="18"/>
              </w:rPr>
              <w:t>a</w:t>
            </w:r>
            <w:r w:rsidRPr="004F1858">
              <w:rPr>
                <w:rFonts w:asciiTheme="minorHAnsi" w:hAnsiTheme="minorHAnsi"/>
                <w:sz w:val="18"/>
                <w:szCs w:val="18"/>
              </w:rPr>
              <w:t>nced</w:t>
            </w:r>
          </w:p>
          <w:p w:rsidR="00780F6B" w:rsidRPr="004F1858" w:rsidRDefault="00780F6B" w:rsidP="00780F6B">
            <w:pPr>
              <w:numPr>
                <w:ilvl w:val="0"/>
                <w:numId w:val="22"/>
              </w:numPr>
              <w:spacing w:before="0"/>
              <w:ind w:right="-23"/>
              <w:rPr>
                <w:rFonts w:asciiTheme="minorHAnsi" w:hAnsiTheme="minorHAnsi"/>
                <w:sz w:val="18"/>
                <w:szCs w:val="18"/>
              </w:rPr>
            </w:pPr>
            <w:r w:rsidRPr="004F1858">
              <w:rPr>
                <w:rFonts w:asciiTheme="minorHAnsi" w:hAnsiTheme="minorHAnsi"/>
                <w:sz w:val="18"/>
                <w:szCs w:val="18"/>
              </w:rPr>
              <w:lastRenderedPageBreak/>
              <w:t>Serv</w:t>
            </w:r>
            <w:r w:rsidRPr="004F1858">
              <w:rPr>
                <w:rFonts w:asciiTheme="minorHAnsi" w:hAnsiTheme="minorHAnsi"/>
                <w:spacing w:val="-2"/>
                <w:sz w:val="18"/>
                <w:szCs w:val="18"/>
              </w:rPr>
              <w:t>i</w:t>
            </w:r>
            <w:r w:rsidRPr="004F1858">
              <w:rPr>
                <w:rFonts w:asciiTheme="minorHAnsi" w:hAnsiTheme="minorHAnsi"/>
                <w:sz w:val="18"/>
                <w:szCs w:val="18"/>
              </w:rPr>
              <w:t>ce</w:t>
            </w:r>
            <w:r w:rsidRPr="004F1858">
              <w:rPr>
                <w:rFonts w:asciiTheme="minorHAnsi" w:hAnsiTheme="minorHAnsi"/>
                <w:spacing w:val="1"/>
                <w:sz w:val="18"/>
                <w:szCs w:val="18"/>
              </w:rPr>
              <w:t xml:space="preserve"> </w:t>
            </w:r>
            <w:r w:rsidRPr="004F1858">
              <w:rPr>
                <w:rFonts w:asciiTheme="minorHAnsi" w:hAnsiTheme="minorHAnsi"/>
                <w:sz w:val="18"/>
                <w:szCs w:val="18"/>
              </w:rPr>
              <w:t>provision</w:t>
            </w:r>
            <w:r w:rsidRPr="004F1858">
              <w:rPr>
                <w:rFonts w:asciiTheme="minorHAnsi" w:hAnsiTheme="minorHAnsi"/>
                <w:spacing w:val="1"/>
                <w:sz w:val="18"/>
                <w:szCs w:val="18"/>
              </w:rPr>
              <w:t xml:space="preserve"> </w:t>
            </w:r>
            <w:r w:rsidRPr="004F1858">
              <w:rPr>
                <w:rFonts w:asciiTheme="minorHAnsi" w:hAnsiTheme="minorHAnsi"/>
                <w:sz w:val="18"/>
                <w:szCs w:val="18"/>
              </w:rPr>
              <w:t>in 12 mixed</w:t>
            </w:r>
            <w:r w:rsidRPr="004F1858">
              <w:rPr>
                <w:rFonts w:asciiTheme="minorHAnsi" w:hAnsiTheme="minorHAnsi"/>
                <w:spacing w:val="1"/>
                <w:sz w:val="18"/>
                <w:szCs w:val="18"/>
              </w:rPr>
              <w:t xml:space="preserve"> </w:t>
            </w:r>
            <w:r w:rsidRPr="004F1858">
              <w:rPr>
                <w:rFonts w:asciiTheme="minorHAnsi" w:hAnsiTheme="minorHAnsi"/>
                <w:sz w:val="18"/>
                <w:szCs w:val="18"/>
              </w:rPr>
              <w:t>Leb</w:t>
            </w:r>
            <w:r w:rsidRPr="004F1858">
              <w:rPr>
                <w:rFonts w:asciiTheme="minorHAnsi" w:hAnsiTheme="minorHAnsi"/>
                <w:spacing w:val="-1"/>
                <w:sz w:val="18"/>
                <w:szCs w:val="18"/>
              </w:rPr>
              <w:t>a</w:t>
            </w:r>
            <w:r w:rsidRPr="004F1858">
              <w:rPr>
                <w:rFonts w:asciiTheme="minorHAnsi" w:hAnsiTheme="minorHAnsi"/>
                <w:sz w:val="18"/>
                <w:szCs w:val="18"/>
              </w:rPr>
              <w:t>nese</w:t>
            </w:r>
            <w:r w:rsidRPr="004F1858">
              <w:rPr>
                <w:rFonts w:asciiTheme="minorHAnsi" w:hAnsiTheme="minorHAnsi"/>
                <w:spacing w:val="-2"/>
                <w:sz w:val="18"/>
                <w:szCs w:val="18"/>
              </w:rPr>
              <w:t>-</w:t>
            </w:r>
            <w:r w:rsidRPr="004F1858">
              <w:rPr>
                <w:rFonts w:asciiTheme="minorHAnsi" w:hAnsiTheme="minorHAnsi"/>
                <w:sz w:val="18"/>
                <w:szCs w:val="18"/>
              </w:rPr>
              <w:t>Palestinian</w:t>
            </w:r>
            <w:r w:rsidRPr="004F1858">
              <w:rPr>
                <w:rFonts w:asciiTheme="minorHAnsi" w:hAnsiTheme="minorHAnsi"/>
                <w:spacing w:val="1"/>
                <w:sz w:val="18"/>
                <w:szCs w:val="18"/>
              </w:rPr>
              <w:t xml:space="preserve"> </w:t>
            </w:r>
            <w:r w:rsidRPr="004F1858">
              <w:rPr>
                <w:rFonts w:asciiTheme="minorHAnsi" w:hAnsiTheme="minorHAnsi"/>
                <w:sz w:val="18"/>
                <w:szCs w:val="18"/>
              </w:rPr>
              <w:t>areas improved</w:t>
            </w:r>
          </w:p>
          <w:p w:rsidR="0067438B" w:rsidRPr="004D0070" w:rsidRDefault="0067438B" w:rsidP="0067438B">
            <w:pPr>
              <w:pStyle w:val="BodyText2"/>
              <w:spacing w:before="0"/>
              <w:jc w:val="left"/>
              <w:rPr>
                <w:rFonts w:ascii="Calibri" w:hAnsi="Calibri"/>
                <w:sz w:val="18"/>
                <w:szCs w:val="18"/>
                <w:u w:val="single"/>
              </w:rPr>
            </w:pPr>
            <w:r w:rsidRPr="004D0070">
              <w:rPr>
                <w:rFonts w:ascii="Calibri" w:hAnsi="Calibri"/>
                <w:sz w:val="18"/>
                <w:szCs w:val="18"/>
                <w:u w:val="single"/>
              </w:rPr>
              <w:t>Progress and Achievements:</w:t>
            </w:r>
          </w:p>
          <w:p w:rsidR="0067438B" w:rsidRPr="004D0070" w:rsidRDefault="0067438B" w:rsidP="0067438B">
            <w:pPr>
              <w:numPr>
                <w:ilvl w:val="0"/>
                <w:numId w:val="22"/>
              </w:numPr>
              <w:spacing w:before="0"/>
              <w:ind w:right="-23"/>
              <w:rPr>
                <w:rFonts w:ascii="Calibri" w:hAnsi="Calibri"/>
                <w:sz w:val="18"/>
                <w:szCs w:val="18"/>
              </w:rPr>
            </w:pPr>
            <w:r w:rsidRPr="004D0070">
              <w:rPr>
                <w:rFonts w:ascii="Calibri" w:hAnsi="Calibri"/>
                <w:sz w:val="18"/>
                <w:szCs w:val="18"/>
              </w:rPr>
              <w:t xml:space="preserve">Supported the national authorities to launch a national dialogue at a senior political level on Palestinian Refugees issues in Lebanon. </w:t>
            </w:r>
          </w:p>
          <w:p w:rsidR="0067438B" w:rsidRPr="004D0070" w:rsidRDefault="0067438B" w:rsidP="0067438B">
            <w:pPr>
              <w:numPr>
                <w:ilvl w:val="0"/>
                <w:numId w:val="22"/>
              </w:numPr>
              <w:spacing w:before="0"/>
              <w:ind w:right="-23"/>
              <w:rPr>
                <w:rFonts w:ascii="Calibri" w:hAnsi="Calibri"/>
                <w:sz w:val="18"/>
                <w:szCs w:val="18"/>
              </w:rPr>
            </w:pPr>
            <w:r w:rsidRPr="004D0070">
              <w:rPr>
                <w:rFonts w:ascii="Calibri" w:hAnsi="Calibri"/>
                <w:sz w:val="18"/>
                <w:szCs w:val="18"/>
              </w:rPr>
              <w:t xml:space="preserve">Post the 2007 clashes between the Lebanese Army and a group of Islamist militants who took the Nahr El Bared Palestinian refugee camp hostage which resulted in the total destruction of the camp and damaging the neighboring Lebanese communities, UNDP highly contributed to reviving the economic life of Lebanese communities in the camp’s vicinity through extending support to SME’s, farmers, and civil society. </w:t>
            </w:r>
          </w:p>
          <w:p w:rsidR="0067438B" w:rsidRDefault="0067438B" w:rsidP="0067438B">
            <w:pPr>
              <w:numPr>
                <w:ilvl w:val="0"/>
                <w:numId w:val="22"/>
              </w:numPr>
              <w:spacing w:before="0"/>
              <w:ind w:right="-23"/>
              <w:rPr>
                <w:rFonts w:ascii="Calibri" w:hAnsi="Calibri"/>
                <w:sz w:val="18"/>
                <w:szCs w:val="18"/>
              </w:rPr>
            </w:pPr>
            <w:r w:rsidRPr="004D0070">
              <w:rPr>
                <w:rFonts w:ascii="Calibri" w:hAnsi="Calibri"/>
                <w:sz w:val="18"/>
                <w:szCs w:val="18"/>
              </w:rPr>
              <w:t xml:space="preserve">Building on the work that UNDP did in the Naher El Bared camp vicinity, UNDP scaled up its work in Palestinian Gatherings that fall outside the mandate of UNRWA in terms of BUS and shelter provision; this directly contributed to improving the living conditions of Palestinians who live in the worst conditions in Lebanon and who have fallen within the cracks when it comes to development interventions. This has also contributed to building relations between Palestinians and their surrounding Lebanese communities. </w:t>
            </w:r>
          </w:p>
          <w:p w:rsidR="00EB354F" w:rsidRPr="0067438B" w:rsidRDefault="0067438B" w:rsidP="0067438B">
            <w:pPr>
              <w:pStyle w:val="ListParagraph"/>
              <w:numPr>
                <w:ilvl w:val="0"/>
                <w:numId w:val="22"/>
              </w:numPr>
              <w:spacing w:before="0"/>
              <w:ind w:right="-23"/>
              <w:rPr>
                <w:rFonts w:asciiTheme="minorHAnsi" w:hAnsiTheme="minorHAnsi"/>
                <w:sz w:val="18"/>
                <w:szCs w:val="18"/>
              </w:rPr>
            </w:pPr>
            <w:r w:rsidRPr="0067438B">
              <w:rPr>
                <w:rFonts w:ascii="Calibri" w:hAnsi="Calibri"/>
                <w:sz w:val="18"/>
                <w:szCs w:val="18"/>
              </w:rPr>
              <w:t>In response to the implications of the Syrian crisis on Palestinian Gatherings that fall outside the mandate of UNRWA, UNDP implemented 56 WASH and infrastructure projects in 37 Gatherings, and rehabilitated 412 shelters and equipped them with WASH facilities in 20 Gatherings, carried out a WASH awareness campaign that reached over 10,000 dwellers noting that beneficiaries where selected based on a field assessment that covered the needs of both Palestinians coming from Syria as well as the original dwellers. Led the coordination of all actors engaged in responding to the needs of Palestinian Gatherings with over 50 local actors and CSO’s engaged in a community planning exercise.</w:t>
            </w:r>
          </w:p>
          <w:p w:rsidR="00EB354F" w:rsidRPr="004F1858" w:rsidRDefault="00EB354F" w:rsidP="00EB354F">
            <w:pPr>
              <w:spacing w:before="0"/>
              <w:ind w:right="-23"/>
              <w:rPr>
                <w:rFonts w:asciiTheme="minorHAnsi" w:hAnsiTheme="minorHAnsi"/>
                <w:sz w:val="18"/>
                <w:szCs w:val="18"/>
              </w:rPr>
            </w:pPr>
          </w:p>
          <w:p w:rsidR="00D0220D" w:rsidRPr="004F1858" w:rsidRDefault="00D0220D" w:rsidP="00780F6B">
            <w:pPr>
              <w:pStyle w:val="BodyText2"/>
              <w:spacing w:before="0"/>
              <w:jc w:val="left"/>
              <w:rPr>
                <w:rFonts w:asciiTheme="minorHAnsi" w:hAnsiTheme="minorHAnsi"/>
                <w:sz w:val="18"/>
                <w:szCs w:val="18"/>
              </w:rPr>
            </w:pPr>
          </w:p>
        </w:tc>
      </w:tr>
      <w:tr w:rsidR="00780F6B" w:rsidRPr="004F1858" w:rsidTr="00EA7929">
        <w:tc>
          <w:tcPr>
            <w:tcW w:w="2785" w:type="dxa"/>
            <w:gridSpan w:val="2"/>
            <w:shd w:val="clear" w:color="auto" w:fill="95B3D7"/>
          </w:tcPr>
          <w:p w:rsidR="00780F6B" w:rsidRPr="004F1858" w:rsidRDefault="00780F6B" w:rsidP="00780F6B">
            <w:pPr>
              <w:pStyle w:val="BodyText2"/>
              <w:spacing w:before="0"/>
              <w:jc w:val="left"/>
              <w:rPr>
                <w:rFonts w:asciiTheme="minorHAnsi" w:hAnsiTheme="minorHAnsi"/>
                <w:b/>
                <w:sz w:val="18"/>
                <w:szCs w:val="18"/>
              </w:rPr>
            </w:pPr>
            <w:r w:rsidRPr="004F1858">
              <w:rPr>
                <w:rFonts w:asciiTheme="minorHAnsi" w:hAnsiTheme="minorHAnsi"/>
                <w:b/>
                <w:sz w:val="18"/>
                <w:szCs w:val="18"/>
              </w:rPr>
              <w:lastRenderedPageBreak/>
              <w:t>10:  National capacities towards building sustainable peace strengthened</w:t>
            </w:r>
          </w:p>
        </w:tc>
        <w:tc>
          <w:tcPr>
            <w:tcW w:w="1434" w:type="dxa"/>
            <w:shd w:val="clear" w:color="auto" w:fill="auto"/>
          </w:tcPr>
          <w:p w:rsidR="00780F6B" w:rsidRPr="0081672B" w:rsidRDefault="00780F6B" w:rsidP="00780F6B">
            <w:pPr>
              <w:pStyle w:val="BodyText2"/>
              <w:spacing w:before="0"/>
              <w:jc w:val="left"/>
              <w:rPr>
                <w:rFonts w:asciiTheme="minorHAnsi" w:hAnsiTheme="minorHAnsi"/>
                <w:sz w:val="18"/>
                <w:szCs w:val="18"/>
              </w:rPr>
            </w:pPr>
            <w:r w:rsidRPr="0081672B">
              <w:rPr>
                <w:rFonts w:asciiTheme="minorHAnsi" w:hAnsiTheme="minorHAnsi"/>
                <w:sz w:val="18"/>
                <w:szCs w:val="18"/>
              </w:rPr>
              <w:t>$</w:t>
            </w:r>
            <w:r w:rsidR="0081672B">
              <w:rPr>
                <w:rFonts w:asciiTheme="minorHAnsi" w:hAnsiTheme="minorHAnsi"/>
                <w:sz w:val="18"/>
                <w:szCs w:val="18"/>
              </w:rPr>
              <w:t xml:space="preserve"> 9,879,975.48</w:t>
            </w:r>
          </w:p>
        </w:tc>
        <w:tc>
          <w:tcPr>
            <w:tcW w:w="2977" w:type="dxa"/>
            <w:tcBorders>
              <w:left w:val="single" w:sz="4" w:space="0" w:color="auto"/>
            </w:tcBorders>
          </w:tcPr>
          <w:p w:rsidR="00780F6B" w:rsidRPr="004F1858" w:rsidRDefault="00780F6B" w:rsidP="00780F6B">
            <w:pPr>
              <w:spacing w:before="60"/>
              <w:ind w:left="318" w:hanging="318"/>
              <w:jc w:val="left"/>
              <w:rPr>
                <w:rFonts w:asciiTheme="minorHAnsi" w:hAnsiTheme="minorHAnsi"/>
                <w:i/>
                <w:sz w:val="18"/>
                <w:szCs w:val="18"/>
              </w:rPr>
            </w:pPr>
            <w:r w:rsidRPr="004F1858">
              <w:rPr>
                <w:rFonts w:asciiTheme="minorHAnsi" w:hAnsiTheme="minorHAnsi"/>
                <w:i/>
                <w:sz w:val="18"/>
                <w:szCs w:val="18"/>
              </w:rPr>
              <w:t>10.1 Peace building initiatives undertaken at the national and local levels to promote dialogue and the culture of peace</w:t>
            </w:r>
          </w:p>
          <w:p w:rsidR="00780F6B" w:rsidRPr="004F1858" w:rsidRDefault="00780F6B" w:rsidP="00780F6B">
            <w:pPr>
              <w:spacing w:before="0"/>
              <w:jc w:val="left"/>
              <w:rPr>
                <w:rFonts w:asciiTheme="minorHAnsi" w:hAnsiTheme="minorHAnsi"/>
                <w:sz w:val="18"/>
                <w:szCs w:val="18"/>
              </w:rPr>
            </w:pPr>
          </w:p>
        </w:tc>
        <w:tc>
          <w:tcPr>
            <w:tcW w:w="6844" w:type="dxa"/>
            <w:shd w:val="clear" w:color="auto" w:fill="auto"/>
          </w:tcPr>
          <w:p w:rsidR="00780F6B" w:rsidRPr="004F1858" w:rsidRDefault="00780F6B" w:rsidP="00EB354F">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eastAsia="en-CA"/>
              </w:rPr>
              <w:t>National strategy for civil peace developed and dialogue mechanisms established at the local level national policies and draft laws developed specifically on decentralization</w:t>
            </w:r>
          </w:p>
          <w:p w:rsidR="00780F6B" w:rsidRPr="004F1858" w:rsidRDefault="00EB354F" w:rsidP="00EB354F">
            <w:pPr>
              <w:pStyle w:val="BodyText2"/>
              <w:numPr>
                <w:ilvl w:val="0"/>
                <w:numId w:val="23"/>
              </w:numPr>
              <w:spacing w:before="0"/>
              <w:jc w:val="left"/>
              <w:rPr>
                <w:rFonts w:asciiTheme="minorHAnsi" w:hAnsiTheme="minorHAnsi"/>
                <w:sz w:val="18"/>
                <w:szCs w:val="18"/>
                <w:lang w:eastAsia="en-CA"/>
              </w:rPr>
            </w:pPr>
            <w:r w:rsidRPr="004F1858">
              <w:rPr>
                <w:rFonts w:asciiTheme="minorHAnsi" w:hAnsiTheme="minorHAnsi"/>
                <w:sz w:val="18"/>
                <w:szCs w:val="18"/>
                <w:lang w:eastAsia="en-CA"/>
              </w:rPr>
              <w:t>P</w:t>
            </w:r>
            <w:r w:rsidR="00780F6B" w:rsidRPr="004F1858">
              <w:rPr>
                <w:rFonts w:asciiTheme="minorHAnsi" w:hAnsiTheme="minorHAnsi"/>
                <w:sz w:val="18"/>
                <w:szCs w:val="18"/>
                <w:lang w:eastAsia="en-CA"/>
              </w:rPr>
              <w:t>latforms for ongoing knowledge sharing were developed and disseminated, engaging political parties, and national dialogue advisors/experts, resulting in new facilitation strategies and a more effective response to the arising national dialogue initiatives. The success of contributions in Lebanon (also building on past years) was replicated in the Arab region</w:t>
            </w:r>
          </w:p>
        </w:tc>
      </w:tr>
      <w:tr w:rsidR="00780F6B" w:rsidRPr="004F1858" w:rsidTr="00EA7929">
        <w:tc>
          <w:tcPr>
            <w:tcW w:w="14040" w:type="dxa"/>
            <w:gridSpan w:val="5"/>
          </w:tcPr>
          <w:p w:rsidR="00EB354F" w:rsidRPr="004F1858" w:rsidRDefault="00EB354F" w:rsidP="00780F6B">
            <w:pPr>
              <w:pStyle w:val="BodyText2"/>
              <w:spacing w:before="0"/>
              <w:jc w:val="left"/>
              <w:rPr>
                <w:rFonts w:asciiTheme="minorHAnsi" w:hAnsiTheme="minorHAnsi"/>
                <w:sz w:val="18"/>
                <w:szCs w:val="18"/>
              </w:rPr>
            </w:pPr>
          </w:p>
          <w:p w:rsidR="00EB354F" w:rsidRPr="004F1858" w:rsidRDefault="00EB354F" w:rsidP="00780F6B">
            <w:pPr>
              <w:pStyle w:val="BodyText2"/>
              <w:spacing w:before="0"/>
              <w:jc w:val="left"/>
              <w:rPr>
                <w:rFonts w:asciiTheme="minorHAnsi" w:hAnsiTheme="minorHAnsi"/>
                <w:sz w:val="18"/>
                <w:szCs w:val="18"/>
              </w:rPr>
            </w:pPr>
          </w:p>
          <w:p w:rsidR="00780F6B" w:rsidRPr="004F1858" w:rsidRDefault="00780F6B" w:rsidP="00780F6B">
            <w:pPr>
              <w:pStyle w:val="BodyText2"/>
              <w:spacing w:before="0"/>
              <w:jc w:val="left"/>
              <w:rPr>
                <w:rFonts w:asciiTheme="minorHAnsi" w:hAnsiTheme="minorHAnsi"/>
                <w:sz w:val="18"/>
                <w:szCs w:val="18"/>
              </w:rPr>
            </w:pPr>
            <w:r w:rsidRPr="004F1858">
              <w:rPr>
                <w:rFonts w:asciiTheme="minorHAnsi" w:hAnsiTheme="minorHAnsi"/>
                <w:sz w:val="18"/>
                <w:szCs w:val="18"/>
              </w:rPr>
              <w:t>UNDP Contribution:</w:t>
            </w:r>
          </w:p>
          <w:p w:rsidR="001807F4" w:rsidRPr="004D0070" w:rsidRDefault="001807F4" w:rsidP="001807F4">
            <w:pPr>
              <w:pStyle w:val="BodyText2"/>
              <w:spacing w:before="0"/>
              <w:jc w:val="left"/>
              <w:rPr>
                <w:rFonts w:ascii="Calibri" w:hAnsi="Calibri"/>
                <w:sz w:val="18"/>
                <w:szCs w:val="18"/>
                <w:u w:val="single"/>
              </w:rPr>
            </w:pPr>
            <w:r w:rsidRPr="004D0070">
              <w:rPr>
                <w:rFonts w:ascii="Calibri" w:hAnsi="Calibri"/>
                <w:sz w:val="18"/>
                <w:szCs w:val="18"/>
                <w:u w:val="single"/>
              </w:rPr>
              <w:t>Progress and Achievements:</w:t>
            </w:r>
          </w:p>
          <w:p w:rsidR="001807F4" w:rsidRDefault="001807F4" w:rsidP="001807F4">
            <w:pPr>
              <w:numPr>
                <w:ilvl w:val="0"/>
                <w:numId w:val="22"/>
              </w:numPr>
              <w:spacing w:before="0"/>
              <w:ind w:right="-23"/>
              <w:rPr>
                <w:rFonts w:ascii="Calibri" w:hAnsi="Calibri"/>
                <w:sz w:val="18"/>
                <w:szCs w:val="18"/>
              </w:rPr>
            </w:pPr>
            <w:r w:rsidRPr="00780F6B">
              <w:rPr>
                <w:rFonts w:ascii="Calibri" w:hAnsi="Calibri"/>
                <w:sz w:val="18"/>
                <w:szCs w:val="18"/>
              </w:rPr>
              <w:t xml:space="preserve">Support provided to the national dialogue table and more than 60 facilitation meetings were organized between the representatives of the key political parties to accompany the national dialogue process. </w:t>
            </w:r>
          </w:p>
          <w:p w:rsidR="001807F4" w:rsidRDefault="001807F4" w:rsidP="001807F4">
            <w:pPr>
              <w:numPr>
                <w:ilvl w:val="0"/>
                <w:numId w:val="22"/>
              </w:numPr>
              <w:spacing w:before="0"/>
              <w:ind w:right="-23"/>
              <w:rPr>
                <w:rFonts w:ascii="Calibri" w:hAnsi="Calibri"/>
                <w:sz w:val="18"/>
                <w:szCs w:val="18"/>
              </w:rPr>
            </w:pPr>
            <w:r w:rsidRPr="00EB354F">
              <w:rPr>
                <w:rFonts w:ascii="Calibri" w:hAnsi="Calibri"/>
                <w:sz w:val="18"/>
                <w:szCs w:val="18"/>
                <w:lang w:eastAsia="en-CA"/>
              </w:rPr>
              <w:t>Contributions to support peace building processes, dialogue structures, political-making bodies, and successfully build consensus were made, despite the political deadlock</w:t>
            </w:r>
          </w:p>
          <w:p w:rsidR="001807F4" w:rsidRDefault="001807F4" w:rsidP="001807F4">
            <w:pPr>
              <w:numPr>
                <w:ilvl w:val="0"/>
                <w:numId w:val="22"/>
              </w:numPr>
              <w:spacing w:before="0"/>
              <w:ind w:right="-23"/>
              <w:rPr>
                <w:rFonts w:ascii="Calibri" w:hAnsi="Calibri"/>
                <w:sz w:val="18"/>
                <w:szCs w:val="18"/>
              </w:rPr>
            </w:pPr>
            <w:r w:rsidRPr="00EB354F">
              <w:rPr>
                <w:rFonts w:ascii="Calibri" w:hAnsi="Calibri"/>
                <w:sz w:val="18"/>
                <w:szCs w:val="18"/>
              </w:rPr>
              <w:t xml:space="preserve">In terms of Peace Building, we have managed to be at the forefront in terms of creating spaces for dialogue at the local level but also in engaging schools and the media. On that note, over the last CPD, we managed in partnership with the Ministry of Information to launch the Journalist Pact for strengthening civil peace. </w:t>
            </w:r>
          </w:p>
          <w:p w:rsidR="001807F4" w:rsidRPr="00B566FD" w:rsidRDefault="001807F4" w:rsidP="001807F4">
            <w:pPr>
              <w:numPr>
                <w:ilvl w:val="0"/>
                <w:numId w:val="22"/>
              </w:numPr>
              <w:spacing w:before="0"/>
              <w:ind w:right="-23"/>
              <w:rPr>
                <w:rFonts w:ascii="Calibri" w:hAnsi="Calibri"/>
                <w:sz w:val="18"/>
                <w:szCs w:val="18"/>
              </w:rPr>
            </w:pPr>
            <w:r w:rsidRPr="000A53F8">
              <w:rPr>
                <w:rFonts w:ascii="Calibri" w:hAnsi="Calibri"/>
                <w:sz w:val="18"/>
                <w:szCs w:val="18"/>
                <w:lang w:val="en-US"/>
              </w:rPr>
              <w:t xml:space="preserve">“Peace building toolbox” developed and piloted with the Ministry of Education and Higher Education, to integrate peace building in the high school curriculum </w:t>
            </w:r>
            <w:r>
              <w:rPr>
                <w:rFonts w:ascii="Calibri" w:hAnsi="Calibri"/>
                <w:sz w:val="18"/>
                <w:szCs w:val="18"/>
                <w:lang w:val="en-US"/>
              </w:rPr>
              <w:t xml:space="preserve">with the “Violence Free Schools” initiative launched in over 30 public schools hosting Syrian refugee students </w:t>
            </w:r>
          </w:p>
          <w:p w:rsidR="001807F4" w:rsidRDefault="001807F4" w:rsidP="001807F4">
            <w:pPr>
              <w:numPr>
                <w:ilvl w:val="0"/>
                <w:numId w:val="22"/>
              </w:numPr>
              <w:spacing w:before="0"/>
              <w:ind w:right="-23"/>
              <w:rPr>
                <w:rFonts w:ascii="Calibri" w:hAnsi="Calibri"/>
                <w:sz w:val="18"/>
                <w:szCs w:val="18"/>
              </w:rPr>
            </w:pPr>
            <w:r>
              <w:rPr>
                <w:rFonts w:ascii="Calibri" w:hAnsi="Calibri"/>
                <w:sz w:val="18"/>
                <w:szCs w:val="18"/>
              </w:rPr>
              <w:t xml:space="preserve">Over 50 municipalities and over 400 local leaders involved in developing mechanisms for social stability covering the 7 governorates of Lebanon reaching out over 4000 beneficiaries   </w:t>
            </w:r>
          </w:p>
          <w:p w:rsidR="001807F4" w:rsidRPr="00B566FD" w:rsidRDefault="001807F4" w:rsidP="001807F4">
            <w:pPr>
              <w:numPr>
                <w:ilvl w:val="0"/>
                <w:numId w:val="22"/>
              </w:numPr>
              <w:spacing w:before="0"/>
              <w:ind w:right="-23"/>
              <w:rPr>
                <w:rFonts w:ascii="Calibri" w:hAnsi="Calibri"/>
                <w:sz w:val="18"/>
                <w:szCs w:val="18"/>
              </w:rPr>
            </w:pPr>
            <w:r>
              <w:rPr>
                <w:rFonts w:ascii="Calibri" w:hAnsi="Calibri"/>
                <w:sz w:val="18"/>
                <w:szCs w:val="18"/>
                <w:lang w:val="en-US"/>
              </w:rPr>
              <w:t xml:space="preserve"> The production of over 10 joint peacebuilding news supplements through the 4 major newspapers in Lebanon in three languages reaching over 350,000 readers. This process engaged over 90 journalists and 34 media outlets who had signed up to the Journalists pact for strengthening civil peace in Lebanon.  </w:t>
            </w:r>
          </w:p>
          <w:p w:rsidR="00780F6B" w:rsidRPr="004F1858" w:rsidRDefault="00780F6B" w:rsidP="001807F4">
            <w:pPr>
              <w:spacing w:before="0"/>
              <w:ind w:right="-23"/>
              <w:rPr>
                <w:rFonts w:asciiTheme="minorHAnsi" w:hAnsiTheme="minorHAnsi"/>
                <w:sz w:val="18"/>
                <w:szCs w:val="18"/>
              </w:rPr>
            </w:pPr>
          </w:p>
        </w:tc>
      </w:tr>
    </w:tbl>
    <w:p w:rsidR="00D9192E" w:rsidRPr="004F1858" w:rsidRDefault="00D9192E" w:rsidP="00D206A4">
      <w:pPr>
        <w:jc w:val="left"/>
        <w:rPr>
          <w:rFonts w:asciiTheme="minorHAnsi" w:hAnsiTheme="minorHAnsi"/>
        </w:rPr>
      </w:pPr>
      <w:r w:rsidRPr="004F1858">
        <w:rPr>
          <w:rFonts w:asciiTheme="minorHAnsi" w:hAnsiTheme="minorHAnsi"/>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9E7526" w:rsidRPr="004F1858" w:rsidTr="009E7526">
        <w:tc>
          <w:tcPr>
            <w:tcW w:w="14040" w:type="dxa"/>
          </w:tcPr>
          <w:p w:rsidR="009E7526" w:rsidRPr="004F1858" w:rsidRDefault="009E7526" w:rsidP="00D206A4">
            <w:pPr>
              <w:rPr>
                <w:rFonts w:asciiTheme="minorHAnsi" w:hAnsiTheme="minorHAnsi"/>
                <w:b/>
                <w:sz w:val="20"/>
              </w:rPr>
            </w:pPr>
            <w:r w:rsidRPr="004F1858">
              <w:rPr>
                <w:rFonts w:asciiTheme="minorHAnsi" w:hAnsiTheme="minorHAnsi"/>
                <w:b/>
                <w:sz w:val="20"/>
              </w:rPr>
              <w:lastRenderedPageBreak/>
              <w:t>Summary of evaluation</w:t>
            </w:r>
            <w:r w:rsidR="00674B1A" w:rsidRPr="004F1858">
              <w:rPr>
                <w:rFonts w:asciiTheme="minorHAnsi" w:hAnsiTheme="minorHAnsi"/>
                <w:b/>
                <w:sz w:val="20"/>
              </w:rPr>
              <w:t xml:space="preserve"> finding</w:t>
            </w:r>
            <w:r w:rsidRPr="004F1858">
              <w:rPr>
                <w:rFonts w:asciiTheme="minorHAnsi" w:hAnsiTheme="minorHAnsi"/>
                <w:b/>
                <w:sz w:val="20"/>
              </w:rPr>
              <w:t>s (</w:t>
            </w:r>
            <w:r w:rsidR="008F0A97" w:rsidRPr="004F1858">
              <w:rPr>
                <w:rFonts w:asciiTheme="minorHAnsi" w:hAnsiTheme="minorHAnsi"/>
                <w:b/>
                <w:sz w:val="20"/>
              </w:rPr>
              <w:t xml:space="preserve">e.g. from outcome and project evaluations, UNDAF </w:t>
            </w:r>
            <w:r w:rsidRPr="004F1858">
              <w:rPr>
                <w:rFonts w:asciiTheme="minorHAnsi" w:hAnsiTheme="minorHAnsi"/>
                <w:b/>
                <w:sz w:val="20"/>
              </w:rPr>
              <w:t xml:space="preserve">reviews, </w:t>
            </w:r>
            <w:r w:rsidR="008F0A97" w:rsidRPr="004F1858">
              <w:rPr>
                <w:rFonts w:asciiTheme="minorHAnsi" w:hAnsiTheme="minorHAnsi"/>
                <w:b/>
                <w:sz w:val="20"/>
              </w:rPr>
              <w:t xml:space="preserve">and other </w:t>
            </w:r>
            <w:r w:rsidRPr="004F1858">
              <w:rPr>
                <w:rFonts w:asciiTheme="minorHAnsi" w:hAnsiTheme="minorHAnsi"/>
                <w:b/>
                <w:sz w:val="20"/>
              </w:rPr>
              <w:t>assessments)</w:t>
            </w:r>
          </w:p>
          <w:p w:rsidR="009E7526" w:rsidRPr="004F1858" w:rsidRDefault="009E7526" w:rsidP="00D206A4">
            <w:pPr>
              <w:rPr>
                <w:rFonts w:asciiTheme="minorHAnsi" w:hAnsiTheme="minorHAnsi"/>
                <w:sz w:val="20"/>
                <w:u w:val="single"/>
              </w:rPr>
            </w:pPr>
            <w:r w:rsidRPr="004F1858">
              <w:rPr>
                <w:rFonts w:asciiTheme="minorHAnsi" w:hAnsiTheme="minorHAnsi"/>
                <w:sz w:val="20"/>
                <w:u w:val="single"/>
              </w:rPr>
              <w:t>Key Achievements</w:t>
            </w:r>
            <w:r w:rsidR="005F6261" w:rsidRPr="004F1858">
              <w:rPr>
                <w:rFonts w:asciiTheme="minorHAnsi" w:hAnsiTheme="minorHAnsi"/>
                <w:sz w:val="20"/>
                <w:u w:val="single"/>
              </w:rPr>
              <w:t>:</w:t>
            </w:r>
          </w:p>
          <w:p w:rsidR="00693168" w:rsidRPr="004F1858" w:rsidRDefault="00693168" w:rsidP="00693168">
            <w:pPr>
              <w:rPr>
                <w:rFonts w:asciiTheme="minorHAnsi" w:hAnsiTheme="minorHAnsi"/>
                <w:sz w:val="20"/>
                <w:lang w:val="en-GB"/>
              </w:rPr>
            </w:pPr>
            <w:r w:rsidRPr="004F1858">
              <w:rPr>
                <w:rFonts w:asciiTheme="minorHAnsi" w:hAnsiTheme="minorHAnsi"/>
                <w:sz w:val="20"/>
              </w:rPr>
              <w:t xml:space="preserve">Two outcome evaluations, one of policy advisory and support units and one of the </w:t>
            </w:r>
            <w:r w:rsidRPr="004F1858">
              <w:rPr>
                <w:rFonts w:asciiTheme="minorHAnsi" w:hAnsiTheme="minorHAnsi"/>
                <w:sz w:val="20"/>
                <w:lang w:val="en-GB"/>
              </w:rPr>
              <w:t>Environment and Energy program, an many other project evaluations were conducted during the cycle.  The salient achievements validated by these evaluations include</w:t>
            </w:r>
            <w:r w:rsidR="00B234BD" w:rsidRPr="004F1858">
              <w:rPr>
                <w:rFonts w:asciiTheme="minorHAnsi" w:hAnsiTheme="minorHAnsi"/>
                <w:sz w:val="20"/>
                <w:lang w:val="en-GB"/>
              </w:rPr>
              <w:t>, for example</w:t>
            </w:r>
            <w:r w:rsidRPr="004F1858">
              <w:rPr>
                <w:rFonts w:asciiTheme="minorHAnsi" w:hAnsiTheme="minorHAnsi"/>
                <w:sz w:val="20"/>
                <w:lang w:val="en-GB"/>
              </w:rPr>
              <w:t xml:space="preserve">: </w:t>
            </w:r>
          </w:p>
          <w:p w:rsidR="00693168" w:rsidRPr="004F1858" w:rsidRDefault="00693168" w:rsidP="00693168">
            <w:pPr>
              <w:numPr>
                <w:ilvl w:val="0"/>
                <w:numId w:val="21"/>
              </w:numPr>
              <w:rPr>
                <w:rFonts w:asciiTheme="minorHAnsi" w:hAnsiTheme="minorHAnsi"/>
                <w:sz w:val="20"/>
                <w:lang w:val="en-GB"/>
              </w:rPr>
            </w:pPr>
            <w:r w:rsidRPr="004F1858">
              <w:rPr>
                <w:rFonts w:asciiTheme="minorHAnsi" w:hAnsiTheme="minorHAnsi"/>
                <w:sz w:val="20"/>
                <w:lang w:val="en-GB"/>
              </w:rPr>
              <w:t>The effectiveness of the governance programme in developing capacity and supporting the adoption of policies and reforms, in helping the government conduct parliamentary elections to international standards (for which it obtained the UN Public Service Award in 2010) and the positive impact the highly successful “</w:t>
            </w:r>
            <w:r w:rsidRPr="004F1858">
              <w:rPr>
                <w:rFonts w:asciiTheme="minorHAnsi" w:hAnsiTheme="minorHAnsi"/>
                <w:i/>
                <w:sz w:val="20"/>
                <w:lang w:val="en-GB"/>
              </w:rPr>
              <w:t>Transfer of Knowledge Through Expatriate Nationals</w:t>
            </w:r>
            <w:r w:rsidRPr="004F1858">
              <w:rPr>
                <w:rFonts w:asciiTheme="minorHAnsi" w:hAnsiTheme="minorHAnsi"/>
                <w:sz w:val="20"/>
                <w:lang w:val="en-GB"/>
              </w:rPr>
              <w:t>” (TOTKEN) project had on Lebanese governmental and social institutions;</w:t>
            </w:r>
          </w:p>
          <w:p w:rsidR="00693168" w:rsidRPr="004F1858" w:rsidRDefault="00B234BD" w:rsidP="00B234BD">
            <w:pPr>
              <w:numPr>
                <w:ilvl w:val="0"/>
                <w:numId w:val="21"/>
              </w:numPr>
              <w:rPr>
                <w:rFonts w:asciiTheme="minorHAnsi" w:hAnsiTheme="minorHAnsi"/>
                <w:sz w:val="20"/>
                <w:lang w:val="en-GB"/>
              </w:rPr>
            </w:pPr>
            <w:r w:rsidRPr="004F1858">
              <w:rPr>
                <w:rFonts w:asciiTheme="minorHAnsi" w:hAnsiTheme="minorHAnsi"/>
                <w:sz w:val="20"/>
                <w:lang w:val="en-GB"/>
              </w:rPr>
              <w:t>Facilitating Lebanon signing up to the Convention on Cluster Munitions and hosting the 2n</w:t>
            </w:r>
            <w:r w:rsidR="00BF3DE4" w:rsidRPr="004F1858">
              <w:rPr>
                <w:rFonts w:asciiTheme="minorHAnsi" w:hAnsiTheme="minorHAnsi"/>
                <w:sz w:val="20"/>
                <w:lang w:val="en-GB"/>
              </w:rPr>
              <w:t>d member state party conference</w:t>
            </w:r>
            <w:r w:rsidRPr="004F1858">
              <w:rPr>
                <w:rFonts w:asciiTheme="minorHAnsi" w:hAnsiTheme="minorHAnsi"/>
                <w:sz w:val="20"/>
                <w:lang w:val="en-GB"/>
              </w:rPr>
              <w:t>, which has led to the speeding up of cluster munitions clearance in Lebanon and enabled UNDP to enhance the capacity of Lebanon Mine Action Center as the national authority coordinating and supervising all clearance operations, Mine risk education and Mine Victim assistance programmes;</w:t>
            </w:r>
          </w:p>
          <w:p w:rsidR="00B234BD" w:rsidRPr="004F1858" w:rsidRDefault="00B234BD" w:rsidP="00B234BD">
            <w:pPr>
              <w:numPr>
                <w:ilvl w:val="0"/>
                <w:numId w:val="21"/>
              </w:numPr>
              <w:rPr>
                <w:rFonts w:asciiTheme="minorHAnsi" w:hAnsiTheme="minorHAnsi"/>
                <w:sz w:val="20"/>
                <w:lang w:val="en-GB"/>
              </w:rPr>
            </w:pPr>
            <w:r w:rsidRPr="004F1858">
              <w:rPr>
                <w:rFonts w:asciiTheme="minorHAnsi" w:hAnsiTheme="minorHAnsi"/>
                <w:sz w:val="20"/>
                <w:lang w:val="en-GB"/>
              </w:rPr>
              <w:t>Supporting the formulation of the first National Strategy for Social Development, which was launched by the Ministry of Social Affairs (MoSA) in 2011, followed by a governance capacity development programme for newly elected council members in 300 municipalities, the establishment and support of 4 Local Economic Development Agencies (LEDAs) in the 4 most deprived areas of Lebanon, with, for the first time, representation from both public and private sectors;</w:t>
            </w:r>
          </w:p>
          <w:p w:rsidR="00B234BD" w:rsidRPr="004F1858" w:rsidRDefault="00B234BD" w:rsidP="004D0070">
            <w:pPr>
              <w:numPr>
                <w:ilvl w:val="0"/>
                <w:numId w:val="21"/>
              </w:numPr>
              <w:rPr>
                <w:rFonts w:asciiTheme="minorHAnsi" w:hAnsiTheme="minorHAnsi"/>
                <w:sz w:val="20"/>
                <w:lang w:val="en-GB"/>
              </w:rPr>
            </w:pPr>
            <w:r w:rsidRPr="004F1858">
              <w:rPr>
                <w:rFonts w:asciiTheme="minorHAnsi" w:hAnsiTheme="minorHAnsi"/>
                <w:sz w:val="20"/>
                <w:lang w:val="en-GB"/>
              </w:rPr>
              <w:t xml:space="preserve">The implementation of highly relevant, effective, replicable and sustainable models of local development which have led to the formulation of development strategies and relevant actions plans in two districts and 50 communities. These models have </w:t>
            </w:r>
            <w:r w:rsidR="00BF3DE4" w:rsidRPr="004F1858">
              <w:rPr>
                <w:rFonts w:asciiTheme="minorHAnsi" w:hAnsiTheme="minorHAnsi"/>
                <w:sz w:val="20"/>
                <w:lang w:val="en-GB"/>
              </w:rPr>
              <w:t>served as a foundation for a rapid expansion of the program to about 150 of the most vulnerable communities in response to the Syrian crisis, the formulation of the Maps of Risks and Resources (MRR) methodology to identify priority intervention and its adoption by the Ministry of Social Affairs (MoSA).</w:t>
            </w:r>
          </w:p>
          <w:p w:rsidR="00693168" w:rsidRPr="004F1858" w:rsidRDefault="00BF3DE4" w:rsidP="004D0070">
            <w:pPr>
              <w:numPr>
                <w:ilvl w:val="0"/>
                <w:numId w:val="21"/>
              </w:numPr>
              <w:rPr>
                <w:rFonts w:asciiTheme="minorHAnsi" w:hAnsiTheme="minorHAnsi"/>
                <w:sz w:val="20"/>
                <w:lang w:val="en-GB"/>
              </w:rPr>
            </w:pPr>
            <w:r w:rsidRPr="004F1858">
              <w:rPr>
                <w:rFonts w:asciiTheme="minorHAnsi" w:hAnsiTheme="minorHAnsi"/>
                <w:sz w:val="20"/>
                <w:lang w:val="en-GB"/>
              </w:rPr>
              <w:t>The</w:t>
            </w:r>
            <w:r w:rsidR="00693168" w:rsidRPr="004F1858">
              <w:rPr>
                <w:rFonts w:asciiTheme="minorHAnsi" w:hAnsiTheme="minorHAnsi"/>
                <w:sz w:val="20"/>
                <w:lang w:val="en-GB"/>
              </w:rPr>
              <w:t xml:space="preserve"> passing of several environmental laws and decrees, particularly those related to Environmental Impact Assessment and Strategic Environmental Assessment, </w:t>
            </w:r>
            <w:r w:rsidRPr="004F1858">
              <w:rPr>
                <w:rFonts w:asciiTheme="minorHAnsi" w:hAnsiTheme="minorHAnsi"/>
                <w:sz w:val="20"/>
                <w:lang w:val="en-GB"/>
              </w:rPr>
              <w:t xml:space="preserve">and meeting </w:t>
            </w:r>
            <w:r w:rsidR="00693168" w:rsidRPr="004F1858">
              <w:rPr>
                <w:rFonts w:asciiTheme="minorHAnsi" w:hAnsiTheme="minorHAnsi"/>
                <w:sz w:val="20"/>
                <w:lang w:val="en-GB"/>
              </w:rPr>
              <w:t xml:space="preserve">requirements towards the international environmental conventions to which Lebanon is signatory, including the mandatory phase-out of certain types of Ozone Depleting Substances, the reporting requirements to the UN Framework Convention on Climate Change and the UN Convention to Combat Desertification.  The </w:t>
            </w:r>
            <w:r w:rsidRPr="004F1858">
              <w:rPr>
                <w:rFonts w:asciiTheme="minorHAnsi" w:hAnsiTheme="minorHAnsi"/>
                <w:sz w:val="20"/>
                <w:lang w:val="en-GB"/>
              </w:rPr>
              <w:t xml:space="preserve">adoption of </w:t>
            </w:r>
            <w:r w:rsidR="00693168" w:rsidRPr="004F1858">
              <w:rPr>
                <w:rFonts w:asciiTheme="minorHAnsi" w:hAnsiTheme="minorHAnsi"/>
                <w:sz w:val="20"/>
                <w:lang w:val="en-GB"/>
              </w:rPr>
              <w:t xml:space="preserve">National Electricity Sector Paper which in </w:t>
            </w:r>
            <w:r w:rsidR="006D3DAD" w:rsidRPr="004F1858">
              <w:rPr>
                <w:rFonts w:asciiTheme="minorHAnsi" w:hAnsiTheme="minorHAnsi"/>
                <w:sz w:val="20"/>
                <w:lang w:val="en-GB"/>
              </w:rPr>
              <w:t>2011 based</w:t>
            </w:r>
            <w:r w:rsidRPr="004F1858">
              <w:rPr>
                <w:rFonts w:asciiTheme="minorHAnsi" w:hAnsiTheme="minorHAnsi"/>
                <w:sz w:val="20"/>
                <w:lang w:val="en-GB"/>
              </w:rPr>
              <w:t xml:space="preserve"> on recommendations arising from </w:t>
            </w:r>
            <w:r w:rsidR="000344D1" w:rsidRPr="004F1858">
              <w:rPr>
                <w:rFonts w:asciiTheme="minorHAnsi" w:hAnsiTheme="minorHAnsi"/>
                <w:sz w:val="20"/>
                <w:lang w:val="en-GB"/>
              </w:rPr>
              <w:t>pilot r</w:t>
            </w:r>
            <w:r w:rsidRPr="004F1858">
              <w:rPr>
                <w:rFonts w:asciiTheme="minorHAnsi" w:hAnsiTheme="minorHAnsi"/>
                <w:sz w:val="20"/>
                <w:lang w:val="en-GB"/>
              </w:rPr>
              <w:t xml:space="preserve">enewable energy and energy efficiency projects </w:t>
            </w:r>
            <w:r w:rsidR="000344D1" w:rsidRPr="004F1858">
              <w:rPr>
                <w:rFonts w:asciiTheme="minorHAnsi" w:hAnsiTheme="minorHAnsi"/>
                <w:sz w:val="20"/>
                <w:lang w:val="en-GB"/>
              </w:rPr>
              <w:t xml:space="preserve">and technical studies and </w:t>
            </w:r>
            <w:r w:rsidR="00693168" w:rsidRPr="004F1858">
              <w:rPr>
                <w:rFonts w:asciiTheme="minorHAnsi" w:hAnsiTheme="minorHAnsi"/>
                <w:sz w:val="20"/>
                <w:lang w:val="en-GB"/>
              </w:rPr>
              <w:t>the Government</w:t>
            </w:r>
            <w:r w:rsidR="000344D1" w:rsidRPr="004F1858">
              <w:rPr>
                <w:rFonts w:asciiTheme="minorHAnsi" w:hAnsiTheme="minorHAnsi"/>
                <w:sz w:val="20"/>
                <w:lang w:val="en-GB"/>
              </w:rPr>
              <w:t>’s</w:t>
            </w:r>
            <w:r w:rsidR="00693168" w:rsidRPr="004F1858">
              <w:rPr>
                <w:rFonts w:asciiTheme="minorHAnsi" w:hAnsiTheme="minorHAnsi"/>
                <w:sz w:val="20"/>
                <w:lang w:val="en-GB"/>
              </w:rPr>
              <w:t xml:space="preserve"> </w:t>
            </w:r>
            <w:r w:rsidR="006D3DAD" w:rsidRPr="004F1858">
              <w:rPr>
                <w:rFonts w:asciiTheme="minorHAnsi" w:hAnsiTheme="minorHAnsi"/>
                <w:sz w:val="20"/>
                <w:lang w:val="en-GB"/>
              </w:rPr>
              <w:t>commitment</w:t>
            </w:r>
            <w:r w:rsidR="00693168" w:rsidRPr="004F1858">
              <w:rPr>
                <w:rFonts w:asciiTheme="minorHAnsi" w:hAnsiTheme="minorHAnsi"/>
                <w:sz w:val="20"/>
                <w:lang w:val="en-GB"/>
              </w:rPr>
              <w:t xml:space="preserve"> to a 12 percent renewable energy target by 2020. </w:t>
            </w:r>
          </w:p>
          <w:p w:rsidR="009E7526" w:rsidRPr="004F1858" w:rsidRDefault="009E7526" w:rsidP="00D206A4">
            <w:pPr>
              <w:pStyle w:val="BodyText2"/>
              <w:rPr>
                <w:rFonts w:asciiTheme="minorHAnsi" w:hAnsiTheme="minorHAnsi"/>
                <w:u w:val="single"/>
              </w:rPr>
            </w:pPr>
            <w:r w:rsidRPr="004F1858">
              <w:rPr>
                <w:rFonts w:asciiTheme="minorHAnsi" w:hAnsiTheme="minorHAnsi"/>
                <w:u w:val="single"/>
              </w:rPr>
              <w:t>Major Lessons Learnt</w:t>
            </w:r>
            <w:r w:rsidR="005F6261" w:rsidRPr="004F1858">
              <w:rPr>
                <w:rFonts w:asciiTheme="minorHAnsi" w:hAnsiTheme="minorHAnsi"/>
                <w:u w:val="single"/>
              </w:rPr>
              <w:t>:</w:t>
            </w:r>
          </w:p>
          <w:p w:rsidR="000055A7" w:rsidRPr="004F1858" w:rsidRDefault="00B234BD" w:rsidP="00693168">
            <w:pPr>
              <w:pStyle w:val="BodyText2"/>
              <w:rPr>
                <w:rFonts w:asciiTheme="minorHAnsi" w:hAnsiTheme="minorHAnsi"/>
              </w:rPr>
            </w:pPr>
            <w:r w:rsidRPr="004F1858">
              <w:rPr>
                <w:rFonts w:asciiTheme="minorHAnsi" w:hAnsiTheme="minorHAnsi"/>
              </w:rPr>
              <w:t>Key</w:t>
            </w:r>
            <w:r w:rsidR="000055A7" w:rsidRPr="004F1858">
              <w:rPr>
                <w:rFonts w:asciiTheme="minorHAnsi" w:hAnsiTheme="minorHAnsi"/>
              </w:rPr>
              <w:t xml:space="preserve"> lessons learned</w:t>
            </w:r>
            <w:r w:rsidR="00834F9D" w:rsidRPr="004F1858">
              <w:rPr>
                <w:rFonts w:asciiTheme="minorHAnsi" w:hAnsiTheme="minorHAnsi"/>
              </w:rPr>
              <w:t xml:space="preserve"> arising from these </w:t>
            </w:r>
            <w:r w:rsidR="00693168" w:rsidRPr="004F1858">
              <w:rPr>
                <w:rFonts w:asciiTheme="minorHAnsi" w:hAnsiTheme="minorHAnsi"/>
              </w:rPr>
              <w:t>evaluations</w:t>
            </w:r>
            <w:r w:rsidR="000055A7" w:rsidRPr="004F1858">
              <w:rPr>
                <w:rFonts w:asciiTheme="minorHAnsi" w:hAnsiTheme="minorHAnsi"/>
              </w:rPr>
              <w:t xml:space="preserve"> includ</w:t>
            </w:r>
            <w:r w:rsidR="00693168" w:rsidRPr="004F1858">
              <w:rPr>
                <w:rFonts w:asciiTheme="minorHAnsi" w:hAnsiTheme="minorHAnsi"/>
              </w:rPr>
              <w:t>e</w:t>
            </w:r>
            <w:r w:rsidR="000055A7" w:rsidRPr="004F1858">
              <w:rPr>
                <w:rFonts w:asciiTheme="minorHAnsi" w:hAnsiTheme="minorHAnsi"/>
              </w:rPr>
              <w:t xml:space="preserve">: the need for more intense area based coordination and strengthening the capacity of emerging structures such as the LEDA to support local development ; the need to connect more clearly </w:t>
            </w:r>
            <w:r w:rsidR="00693168" w:rsidRPr="004F1858">
              <w:rPr>
                <w:rFonts w:asciiTheme="minorHAnsi" w:hAnsiTheme="minorHAnsi"/>
              </w:rPr>
              <w:t>upstream and downstream efforts;</w:t>
            </w:r>
            <w:r w:rsidR="000055A7" w:rsidRPr="004F1858">
              <w:rPr>
                <w:rFonts w:asciiTheme="minorHAnsi" w:hAnsiTheme="minorHAnsi"/>
              </w:rPr>
              <w:t xml:space="preserve"> the importance, in sensitive contexts, of the participation of all stakeholders in program design and of appropriate risk analysis and alternative implementation strategies ; the need to pursue gradual absorption of UNDP staff into regular government contracted staff ; and the need to refine the environment programme’s results framework, the documentation of its many useful approaches and impacts, and the sustainability of renewable energy investments . These have been acted upon or taken into account in programming for the current cycle.</w:t>
            </w:r>
          </w:p>
        </w:tc>
      </w:tr>
    </w:tbl>
    <w:p w:rsidR="004B3911" w:rsidRPr="004F1858" w:rsidRDefault="004B3911" w:rsidP="00D206A4">
      <w:pPr>
        <w:pStyle w:val="BodyText2"/>
        <w:rPr>
          <w:rFonts w:asciiTheme="minorHAnsi" w:hAnsiTheme="minorHAnsi"/>
        </w:rPr>
      </w:pPr>
    </w:p>
    <w:p w:rsidR="00E37E7A" w:rsidRDefault="00EA7740" w:rsidP="00052804">
      <w:pPr>
        <w:pStyle w:val="Heading3"/>
        <w:rPr>
          <w:rFonts w:asciiTheme="minorHAnsi" w:hAnsiTheme="minorHAnsi"/>
          <w:b/>
        </w:rPr>
      </w:pPr>
      <w:r w:rsidRPr="004F1858">
        <w:rPr>
          <w:rFonts w:asciiTheme="minorHAnsi" w:hAnsiTheme="minorHAnsi"/>
          <w:b/>
        </w:rPr>
        <w:lastRenderedPageBreak/>
        <w:t xml:space="preserve">III. </w:t>
      </w:r>
      <w:r w:rsidR="00673710" w:rsidRPr="004F1858">
        <w:rPr>
          <w:rFonts w:asciiTheme="minorHAnsi" w:hAnsiTheme="minorHAnsi"/>
          <w:b/>
        </w:rPr>
        <w:t xml:space="preserve">Country Programme </w:t>
      </w:r>
      <w:r w:rsidR="00E37E7A" w:rsidRPr="004F1858">
        <w:rPr>
          <w:rFonts w:asciiTheme="minorHAnsi" w:hAnsiTheme="minorHAnsi"/>
          <w:b/>
        </w:rPr>
        <w:t>Resources</w:t>
      </w:r>
      <w:r w:rsidR="008430A5">
        <w:rPr>
          <w:rFonts w:asciiTheme="minorHAnsi" w:hAnsiTheme="minorHAnsi"/>
          <w:b/>
        </w:rPr>
        <w:t xml:space="preserve"> (2012 – 2015)</w:t>
      </w:r>
    </w:p>
    <w:p w:rsidR="008430A5" w:rsidRDefault="008430A5" w:rsidP="008430A5">
      <w:pPr>
        <w:rPr>
          <w:color w:val="1F497D"/>
        </w:rPr>
      </w:pPr>
    </w:p>
    <w:tbl>
      <w:tblPr>
        <w:tblW w:w="13820" w:type="dxa"/>
        <w:tblInd w:w="-8" w:type="dxa"/>
        <w:tblCellMar>
          <w:left w:w="0" w:type="dxa"/>
          <w:right w:w="0" w:type="dxa"/>
        </w:tblCellMar>
        <w:tblLook w:val="04A0" w:firstRow="1" w:lastRow="0" w:firstColumn="1" w:lastColumn="0" w:noHBand="0" w:noVBand="1"/>
      </w:tblPr>
      <w:tblGrid>
        <w:gridCol w:w="3920"/>
        <w:gridCol w:w="5060"/>
        <w:gridCol w:w="1720"/>
        <w:gridCol w:w="1720"/>
        <w:gridCol w:w="1400"/>
      </w:tblGrid>
      <w:tr w:rsidR="008430A5" w:rsidRPr="00512D10" w:rsidTr="008430A5">
        <w:trPr>
          <w:trHeight w:val="525"/>
        </w:trPr>
        <w:tc>
          <w:tcPr>
            <w:tcW w:w="392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8430A5" w:rsidRPr="00512D10" w:rsidRDefault="008430A5">
            <w:pPr>
              <w:rPr>
                <w:rFonts w:asciiTheme="minorHAnsi" w:hAnsiTheme="minorHAnsi" w:cs="Arial"/>
                <w:color w:val="FFFFFF"/>
                <w:sz w:val="20"/>
              </w:rPr>
            </w:pPr>
            <w:r w:rsidRPr="00512D10">
              <w:rPr>
                <w:rFonts w:asciiTheme="minorHAnsi" w:hAnsiTheme="minorHAnsi" w:cs="Arial"/>
                <w:color w:val="FFFFFF"/>
                <w:sz w:val="20"/>
              </w:rPr>
              <w:t>Focus Area</w:t>
            </w:r>
          </w:p>
        </w:tc>
        <w:tc>
          <w:tcPr>
            <w:tcW w:w="8500" w:type="dxa"/>
            <w:gridSpan w:val="3"/>
            <w:tcBorders>
              <w:top w:val="single" w:sz="8" w:space="0" w:color="auto"/>
              <w:left w:val="nil"/>
              <w:bottom w:val="single" w:sz="8" w:space="0" w:color="auto"/>
              <w:right w:val="single" w:sz="8" w:space="0" w:color="000000"/>
            </w:tcBorders>
            <w:shd w:val="clear" w:color="auto" w:fill="000000"/>
            <w:tcMar>
              <w:top w:w="0" w:type="dxa"/>
              <w:left w:w="108" w:type="dxa"/>
              <w:bottom w:w="0" w:type="dxa"/>
              <w:right w:w="108" w:type="dxa"/>
            </w:tcMar>
            <w:vAlign w:val="center"/>
            <w:hideMark/>
          </w:tcPr>
          <w:p w:rsidR="008430A5" w:rsidRPr="00512D10" w:rsidRDefault="008430A5">
            <w:pPr>
              <w:rPr>
                <w:rFonts w:asciiTheme="minorHAnsi" w:hAnsiTheme="minorHAnsi" w:cs="Arial"/>
                <w:color w:val="FFFFFF"/>
                <w:sz w:val="20"/>
              </w:rPr>
            </w:pPr>
            <w:r w:rsidRPr="00512D10">
              <w:rPr>
                <w:rFonts w:asciiTheme="minorHAnsi" w:hAnsiTheme="minorHAnsi" w:cs="Arial"/>
                <w:color w:val="FFFFFF"/>
                <w:sz w:val="20"/>
              </w:rPr>
              <w:t>Programme Expenditure ($)</w:t>
            </w:r>
          </w:p>
        </w:tc>
        <w:tc>
          <w:tcPr>
            <w:tcW w:w="140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FFFFFF"/>
                <w:sz w:val="20"/>
              </w:rPr>
            </w:pPr>
            <w:r w:rsidRPr="00512D10">
              <w:rPr>
                <w:rFonts w:asciiTheme="minorHAnsi" w:hAnsiTheme="minorHAnsi" w:cs="Arial"/>
                <w:color w:val="FFFFFF"/>
                <w:sz w:val="20"/>
              </w:rPr>
              <w:t>% of Total</w:t>
            </w:r>
          </w:p>
        </w:tc>
      </w:tr>
      <w:tr w:rsidR="008430A5" w:rsidRPr="00512D10" w:rsidTr="008430A5">
        <w:trPr>
          <w:trHeight w:val="315"/>
        </w:trPr>
        <w:tc>
          <w:tcPr>
            <w:tcW w:w="39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rPr>
                <w:rFonts w:asciiTheme="minorHAnsi" w:hAnsiTheme="minorHAnsi" w:cs="Arial"/>
                <w:color w:val="000000"/>
                <w:sz w:val="20"/>
              </w:rPr>
            </w:pPr>
            <w:r w:rsidRPr="00512D10">
              <w:rPr>
                <w:rFonts w:asciiTheme="minorHAnsi" w:hAnsiTheme="minorHAnsi" w:cs="Arial"/>
                <w:color w:val="000000"/>
                <w:sz w:val="20"/>
              </w:rPr>
              <w:t> </w:t>
            </w:r>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Regular (TRAC)</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Other</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Total</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rPr>
                <w:rFonts w:asciiTheme="minorHAnsi" w:hAnsiTheme="minorHAnsi" w:cs="Arial"/>
                <w:color w:val="000000"/>
                <w:sz w:val="20"/>
              </w:rPr>
            </w:pPr>
            <w:r w:rsidRPr="00512D10">
              <w:rPr>
                <w:rFonts w:asciiTheme="minorHAnsi" w:hAnsiTheme="minorHAnsi" w:cs="Arial"/>
                <w:color w:val="000000"/>
                <w:sz w:val="20"/>
              </w:rPr>
              <w:t> </w:t>
            </w:r>
          </w:p>
        </w:tc>
      </w:tr>
      <w:tr w:rsidR="008430A5" w:rsidRPr="00512D10" w:rsidTr="008430A5">
        <w:trPr>
          <w:trHeight w:val="315"/>
        </w:trPr>
        <w:tc>
          <w:tcPr>
            <w:tcW w:w="39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rPr>
                <w:rFonts w:asciiTheme="minorHAnsi" w:hAnsiTheme="minorHAnsi" w:cs="Arial"/>
                <w:color w:val="000000"/>
                <w:sz w:val="20"/>
              </w:rPr>
            </w:pPr>
            <w:r w:rsidRPr="00512D10">
              <w:rPr>
                <w:rFonts w:asciiTheme="minorHAnsi" w:hAnsiTheme="minorHAnsi" w:cs="Arial"/>
                <w:color w:val="000000"/>
                <w:sz w:val="20"/>
              </w:rPr>
              <w:t>Poverty and MDGs</w:t>
            </w:r>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838,918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          37,276,790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          38,115,708 </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26%</w:t>
            </w:r>
          </w:p>
        </w:tc>
      </w:tr>
      <w:tr w:rsidR="008430A5" w:rsidRPr="00512D10" w:rsidTr="008430A5">
        <w:trPr>
          <w:trHeight w:val="315"/>
        </w:trPr>
        <w:tc>
          <w:tcPr>
            <w:tcW w:w="39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rPr>
                <w:rFonts w:asciiTheme="minorHAnsi" w:hAnsiTheme="minorHAnsi" w:cs="Arial"/>
                <w:color w:val="000000"/>
                <w:sz w:val="20"/>
              </w:rPr>
            </w:pPr>
            <w:r w:rsidRPr="00512D10">
              <w:rPr>
                <w:rFonts w:asciiTheme="minorHAnsi" w:hAnsiTheme="minorHAnsi" w:cs="Arial"/>
                <w:color w:val="000000"/>
                <w:sz w:val="20"/>
              </w:rPr>
              <w:t>Democratic Governance</w:t>
            </w:r>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281,170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          37,135,430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          37,416,600 </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25%</w:t>
            </w:r>
          </w:p>
        </w:tc>
      </w:tr>
      <w:tr w:rsidR="008430A5" w:rsidRPr="00512D10" w:rsidTr="008430A5">
        <w:trPr>
          <w:trHeight w:val="315"/>
        </w:trPr>
        <w:tc>
          <w:tcPr>
            <w:tcW w:w="39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rPr>
                <w:rFonts w:asciiTheme="minorHAnsi" w:hAnsiTheme="minorHAnsi" w:cs="Arial"/>
                <w:color w:val="000000"/>
                <w:sz w:val="20"/>
              </w:rPr>
            </w:pPr>
            <w:r w:rsidRPr="00512D10">
              <w:rPr>
                <w:rFonts w:asciiTheme="minorHAnsi" w:hAnsiTheme="minorHAnsi" w:cs="Arial"/>
                <w:color w:val="000000"/>
                <w:sz w:val="20"/>
              </w:rPr>
              <w:t>Crisis Prevention and Recovery</w:t>
            </w:r>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474,028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          23,588,876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          24,062,904 </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16%</w:t>
            </w:r>
          </w:p>
        </w:tc>
      </w:tr>
      <w:tr w:rsidR="008430A5" w:rsidRPr="00512D10" w:rsidTr="008430A5">
        <w:trPr>
          <w:trHeight w:val="315"/>
        </w:trPr>
        <w:tc>
          <w:tcPr>
            <w:tcW w:w="39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rPr>
                <w:rFonts w:asciiTheme="minorHAnsi" w:hAnsiTheme="minorHAnsi" w:cs="Arial"/>
                <w:color w:val="000000"/>
                <w:sz w:val="20"/>
              </w:rPr>
            </w:pPr>
            <w:r w:rsidRPr="00512D10">
              <w:rPr>
                <w:rFonts w:asciiTheme="minorHAnsi" w:hAnsiTheme="minorHAnsi" w:cs="Arial"/>
                <w:color w:val="000000"/>
                <w:sz w:val="20"/>
              </w:rPr>
              <w:t>Environment and Sustainable Development</w:t>
            </w:r>
          </w:p>
        </w:tc>
        <w:tc>
          <w:tcPr>
            <w:tcW w:w="5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399,002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          49,488,693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 xml:space="preserve">          49,887,696 </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0A5" w:rsidRPr="00512D10" w:rsidRDefault="008430A5">
            <w:pPr>
              <w:jc w:val="center"/>
              <w:rPr>
                <w:rFonts w:asciiTheme="minorHAnsi" w:hAnsiTheme="minorHAnsi" w:cs="Arial"/>
                <w:color w:val="000000"/>
                <w:sz w:val="20"/>
              </w:rPr>
            </w:pPr>
            <w:r w:rsidRPr="00512D10">
              <w:rPr>
                <w:rFonts w:asciiTheme="minorHAnsi" w:hAnsiTheme="minorHAnsi" w:cs="Arial"/>
                <w:color w:val="000000"/>
                <w:sz w:val="20"/>
              </w:rPr>
              <w:t>33%</w:t>
            </w:r>
          </w:p>
        </w:tc>
      </w:tr>
      <w:tr w:rsidR="008430A5" w:rsidRPr="00512D10" w:rsidTr="008430A5">
        <w:trPr>
          <w:trHeight w:val="315"/>
        </w:trPr>
        <w:tc>
          <w:tcPr>
            <w:tcW w:w="392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rsidR="008430A5" w:rsidRPr="00512D10" w:rsidRDefault="008430A5">
            <w:pPr>
              <w:rPr>
                <w:rFonts w:asciiTheme="minorHAnsi" w:hAnsiTheme="minorHAnsi" w:cs="Arial"/>
                <w:color w:val="000000"/>
                <w:sz w:val="20"/>
              </w:rPr>
            </w:pPr>
            <w:r w:rsidRPr="00512D10">
              <w:rPr>
                <w:rFonts w:asciiTheme="minorHAnsi" w:hAnsiTheme="minorHAnsi" w:cs="Arial"/>
                <w:color w:val="000000"/>
                <w:sz w:val="20"/>
              </w:rPr>
              <w:t>Total</w:t>
            </w:r>
          </w:p>
        </w:tc>
        <w:tc>
          <w:tcPr>
            <w:tcW w:w="506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8430A5" w:rsidRPr="00512D10" w:rsidRDefault="008430A5">
            <w:pPr>
              <w:jc w:val="right"/>
              <w:rPr>
                <w:rFonts w:asciiTheme="minorHAnsi" w:hAnsiTheme="minorHAnsi" w:cs="Arial"/>
                <w:color w:val="000000"/>
                <w:sz w:val="20"/>
              </w:rPr>
            </w:pPr>
            <w:r w:rsidRPr="00512D10">
              <w:rPr>
                <w:rFonts w:asciiTheme="minorHAnsi" w:hAnsiTheme="minorHAnsi" w:cs="Arial"/>
                <w:color w:val="000000"/>
                <w:sz w:val="20"/>
              </w:rPr>
              <w:t xml:space="preserve">1,993,119 </w:t>
            </w:r>
          </w:p>
        </w:tc>
        <w:tc>
          <w:tcPr>
            <w:tcW w:w="172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8430A5" w:rsidRPr="00512D10" w:rsidRDefault="008430A5">
            <w:pPr>
              <w:jc w:val="right"/>
              <w:rPr>
                <w:rFonts w:asciiTheme="minorHAnsi" w:hAnsiTheme="minorHAnsi" w:cs="Arial"/>
                <w:color w:val="000000"/>
                <w:sz w:val="20"/>
              </w:rPr>
            </w:pPr>
            <w:r w:rsidRPr="00512D10">
              <w:rPr>
                <w:rFonts w:asciiTheme="minorHAnsi" w:hAnsiTheme="minorHAnsi" w:cs="Arial"/>
                <w:color w:val="000000"/>
                <w:sz w:val="20"/>
              </w:rPr>
              <w:t xml:space="preserve">        147,489,789 </w:t>
            </w:r>
          </w:p>
        </w:tc>
        <w:tc>
          <w:tcPr>
            <w:tcW w:w="172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8430A5" w:rsidRPr="00512D10" w:rsidRDefault="008430A5">
            <w:pPr>
              <w:jc w:val="right"/>
              <w:rPr>
                <w:rFonts w:asciiTheme="minorHAnsi" w:hAnsiTheme="minorHAnsi" w:cs="Arial"/>
                <w:color w:val="000000"/>
                <w:sz w:val="20"/>
              </w:rPr>
            </w:pPr>
            <w:r w:rsidRPr="00512D10">
              <w:rPr>
                <w:rFonts w:asciiTheme="minorHAnsi" w:hAnsiTheme="minorHAnsi" w:cs="Arial"/>
                <w:color w:val="000000"/>
                <w:sz w:val="20"/>
              </w:rPr>
              <w:t xml:space="preserve">        149,482,908 </w:t>
            </w:r>
          </w:p>
        </w:tc>
        <w:tc>
          <w:tcPr>
            <w:tcW w:w="140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8430A5" w:rsidRPr="00512D10" w:rsidRDefault="008430A5">
            <w:pPr>
              <w:jc w:val="right"/>
              <w:rPr>
                <w:rFonts w:asciiTheme="minorHAnsi" w:hAnsiTheme="minorHAnsi" w:cs="Arial"/>
                <w:color w:val="000000"/>
                <w:sz w:val="20"/>
              </w:rPr>
            </w:pPr>
            <w:r w:rsidRPr="00512D10">
              <w:rPr>
                <w:rFonts w:asciiTheme="minorHAnsi" w:hAnsiTheme="minorHAnsi" w:cs="Arial"/>
                <w:color w:val="000000"/>
                <w:sz w:val="20"/>
              </w:rPr>
              <w:t>100%</w:t>
            </w:r>
          </w:p>
        </w:tc>
      </w:tr>
    </w:tbl>
    <w:p w:rsidR="008430A5" w:rsidRDefault="008430A5" w:rsidP="008430A5">
      <w:pPr>
        <w:rPr>
          <w:rFonts w:ascii="Calibri" w:eastAsiaTheme="minorHAnsi" w:hAnsi="Calibri"/>
          <w:color w:val="1F497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4F1858" w:rsidTr="00EC1504">
        <w:tc>
          <w:tcPr>
            <w:tcW w:w="13950" w:type="dxa"/>
          </w:tcPr>
          <w:p w:rsidR="002547CF" w:rsidRPr="004F1858" w:rsidRDefault="002547CF" w:rsidP="00901372">
            <w:pPr>
              <w:pStyle w:val="BodyText2"/>
              <w:spacing w:before="0"/>
              <w:jc w:val="left"/>
              <w:rPr>
                <w:rFonts w:asciiTheme="minorHAnsi" w:hAnsiTheme="minorHAnsi"/>
              </w:rPr>
            </w:pPr>
            <w:r w:rsidRPr="004F1858">
              <w:rPr>
                <w:rFonts w:asciiTheme="minorHAnsi" w:hAnsiTheme="minorHAnsi"/>
              </w:rPr>
              <w:t xml:space="preserve">Data sources:  (please indicate the main sources from which data were obtained for this report.) </w:t>
            </w:r>
          </w:p>
        </w:tc>
      </w:tr>
      <w:tr w:rsidR="00B64ACA" w:rsidRPr="004F1858" w:rsidTr="00EC1504">
        <w:tc>
          <w:tcPr>
            <w:tcW w:w="13950" w:type="dxa"/>
          </w:tcPr>
          <w:p w:rsidR="00B64ACA" w:rsidRPr="004F1858" w:rsidRDefault="00693168" w:rsidP="00D206A4">
            <w:pPr>
              <w:pStyle w:val="BodyText2"/>
              <w:rPr>
                <w:rFonts w:asciiTheme="minorHAnsi" w:hAnsiTheme="minorHAnsi"/>
              </w:rPr>
            </w:pPr>
            <w:r w:rsidRPr="004F1858">
              <w:rPr>
                <w:rFonts w:asciiTheme="minorHAnsi" w:hAnsiTheme="minorHAnsi"/>
              </w:rPr>
              <w:t>UNDP Outcome and Project Evaluations</w:t>
            </w:r>
          </w:p>
          <w:p w:rsidR="00693168" w:rsidRPr="004F1858" w:rsidRDefault="00920812" w:rsidP="00D206A4">
            <w:pPr>
              <w:pStyle w:val="BodyText2"/>
              <w:rPr>
                <w:rFonts w:asciiTheme="minorHAnsi" w:hAnsiTheme="minorHAnsi"/>
              </w:rPr>
            </w:pPr>
            <w:r w:rsidRPr="004F1858">
              <w:rPr>
                <w:rFonts w:asciiTheme="minorHAnsi" w:hAnsiTheme="minorHAnsi"/>
              </w:rPr>
              <w:t>ROAR Reports</w:t>
            </w:r>
          </w:p>
          <w:p w:rsidR="008D791F" w:rsidRPr="004F1858" w:rsidRDefault="008D791F" w:rsidP="00D206A4">
            <w:pPr>
              <w:pStyle w:val="BodyText2"/>
              <w:rPr>
                <w:rFonts w:asciiTheme="minorHAnsi" w:hAnsiTheme="minorHAnsi"/>
              </w:rPr>
            </w:pPr>
          </w:p>
          <w:p w:rsidR="008D791F" w:rsidRPr="004F1858" w:rsidRDefault="008D791F" w:rsidP="00D206A4">
            <w:pPr>
              <w:pStyle w:val="BodyText2"/>
              <w:rPr>
                <w:rFonts w:asciiTheme="minorHAnsi" w:hAnsiTheme="minorHAnsi"/>
              </w:rPr>
            </w:pPr>
          </w:p>
          <w:p w:rsidR="008D791F" w:rsidRPr="004F1858" w:rsidRDefault="008D791F" w:rsidP="00D206A4">
            <w:pPr>
              <w:pStyle w:val="BodyText2"/>
              <w:rPr>
                <w:rFonts w:asciiTheme="minorHAnsi" w:hAnsiTheme="minorHAnsi"/>
              </w:rPr>
            </w:pPr>
          </w:p>
          <w:p w:rsidR="008D791F" w:rsidRPr="004F1858" w:rsidRDefault="008D791F" w:rsidP="00D206A4">
            <w:pPr>
              <w:pStyle w:val="BodyText2"/>
              <w:rPr>
                <w:rFonts w:asciiTheme="minorHAnsi" w:hAnsiTheme="minorHAnsi"/>
              </w:rPr>
            </w:pPr>
          </w:p>
        </w:tc>
      </w:tr>
    </w:tbl>
    <w:p w:rsidR="00635929" w:rsidRPr="004F1858" w:rsidRDefault="00635929" w:rsidP="00D206A4">
      <w:pPr>
        <w:pStyle w:val="BodyText2"/>
        <w:rPr>
          <w:rFonts w:asciiTheme="minorHAnsi" w:hAnsiTheme="minorHAnsi"/>
        </w:rPr>
      </w:pPr>
    </w:p>
    <w:sectPr w:rsidR="00635929" w:rsidRPr="004F1858"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D9" w:rsidRDefault="001839D9" w:rsidP="00D206A4">
      <w:r>
        <w:separator/>
      </w:r>
    </w:p>
  </w:endnote>
  <w:endnote w:type="continuationSeparator" w:id="0">
    <w:p w:rsidR="001839D9" w:rsidRDefault="001839D9" w:rsidP="00D2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CD" w:rsidRDefault="00C576D1" w:rsidP="00D206A4">
    <w:pPr>
      <w:pStyle w:val="Footer"/>
    </w:pPr>
    <w:r>
      <w:fldChar w:fldCharType="begin"/>
    </w:r>
    <w:r>
      <w:instrText xml:space="preserve"> PAGE   \* MERGEFORMAT </w:instrText>
    </w:r>
    <w:r>
      <w:fldChar w:fldCharType="separate"/>
    </w:r>
    <w:r w:rsidR="004B604D">
      <w:rPr>
        <w:noProof/>
      </w:rPr>
      <w:t>2</w:t>
    </w:r>
    <w:r>
      <w:fldChar w:fldCharType="end"/>
    </w:r>
  </w:p>
  <w:p w:rsidR="00A210CD" w:rsidRDefault="00A210CD" w:rsidP="00D20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D9" w:rsidRDefault="001839D9" w:rsidP="00D206A4">
      <w:r>
        <w:separator/>
      </w:r>
    </w:p>
  </w:footnote>
  <w:footnote w:type="continuationSeparator" w:id="0">
    <w:p w:rsidR="001839D9" w:rsidRDefault="001839D9" w:rsidP="00D2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15" w:rsidRPr="00517955" w:rsidRDefault="00901372" w:rsidP="00D206A4">
    <w:pPr>
      <w:pStyle w:val="Header"/>
    </w:pPr>
    <w:r>
      <w:t>FIRST DRAFT – 11 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773E3"/>
    <w:multiLevelType w:val="hybridMultilevel"/>
    <w:tmpl w:val="1BA0392C"/>
    <w:lvl w:ilvl="0" w:tplc="A3486B86">
      <w:start w:val="1"/>
      <w:numFmt w:val="decimal"/>
      <w:lvlText w:val="%1."/>
      <w:lvlJc w:val="left"/>
      <w:pPr>
        <w:ind w:left="1080" w:hanging="360"/>
      </w:pPr>
    </w:lvl>
    <w:lvl w:ilvl="1" w:tplc="41BE6686">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4181F8D"/>
    <w:multiLevelType w:val="hybridMultilevel"/>
    <w:tmpl w:val="4FA03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26036"/>
    <w:multiLevelType w:val="hybridMultilevel"/>
    <w:tmpl w:val="B7EEB3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605B07"/>
    <w:multiLevelType w:val="hybridMultilevel"/>
    <w:tmpl w:val="D0B092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B3C345F"/>
    <w:multiLevelType w:val="hybridMultilevel"/>
    <w:tmpl w:val="DAC6987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5B2817"/>
    <w:multiLevelType w:val="hybridMultilevel"/>
    <w:tmpl w:val="420E710A"/>
    <w:lvl w:ilvl="0" w:tplc="7318020E">
      <w:start w:val="1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A59EE"/>
    <w:multiLevelType w:val="multilevel"/>
    <w:tmpl w:val="8C340DEE"/>
    <w:lvl w:ilvl="0">
      <w:start w:val="9"/>
      <w:numFmt w:val="decimal"/>
      <w:lvlText w:val="%1"/>
      <w:lvlJc w:val="left"/>
      <w:pPr>
        <w:ind w:left="360" w:hanging="360"/>
      </w:pPr>
      <w:rPr>
        <w:rFonts w:ascii="Calibri" w:hAnsi="Calibri" w:hint="default"/>
        <w:i/>
      </w:rPr>
    </w:lvl>
    <w:lvl w:ilvl="1">
      <w:start w:val="1"/>
      <w:numFmt w:val="decimal"/>
      <w:lvlText w:val="%1.%2"/>
      <w:lvlJc w:val="left"/>
      <w:pPr>
        <w:ind w:left="360" w:hanging="360"/>
      </w:pPr>
      <w:rPr>
        <w:rFonts w:ascii="Calibri" w:hAnsi="Calibri" w:hint="default"/>
        <w:i/>
      </w:rPr>
    </w:lvl>
    <w:lvl w:ilvl="2">
      <w:start w:val="1"/>
      <w:numFmt w:val="decimal"/>
      <w:lvlText w:val="%1.%2.%3"/>
      <w:lvlJc w:val="left"/>
      <w:pPr>
        <w:ind w:left="360" w:hanging="360"/>
      </w:pPr>
      <w:rPr>
        <w:rFonts w:ascii="Calibri" w:hAnsi="Calibri" w:hint="default"/>
        <w:i/>
      </w:rPr>
    </w:lvl>
    <w:lvl w:ilvl="3">
      <w:start w:val="1"/>
      <w:numFmt w:val="decimal"/>
      <w:lvlText w:val="%1.%2.%3.%4"/>
      <w:lvlJc w:val="left"/>
      <w:pPr>
        <w:ind w:left="720" w:hanging="720"/>
      </w:pPr>
      <w:rPr>
        <w:rFonts w:ascii="Calibri" w:hAnsi="Calibri" w:hint="default"/>
        <w:i/>
      </w:rPr>
    </w:lvl>
    <w:lvl w:ilvl="4">
      <w:start w:val="1"/>
      <w:numFmt w:val="decimal"/>
      <w:lvlText w:val="%1.%2.%3.%4.%5"/>
      <w:lvlJc w:val="left"/>
      <w:pPr>
        <w:ind w:left="720" w:hanging="720"/>
      </w:pPr>
      <w:rPr>
        <w:rFonts w:ascii="Calibri" w:hAnsi="Calibri" w:hint="default"/>
        <w:i/>
      </w:rPr>
    </w:lvl>
    <w:lvl w:ilvl="5">
      <w:start w:val="1"/>
      <w:numFmt w:val="decimal"/>
      <w:lvlText w:val="%1.%2.%3.%4.%5.%6"/>
      <w:lvlJc w:val="left"/>
      <w:pPr>
        <w:ind w:left="1080" w:hanging="1080"/>
      </w:pPr>
      <w:rPr>
        <w:rFonts w:ascii="Calibri" w:hAnsi="Calibri" w:hint="default"/>
        <w:i/>
      </w:rPr>
    </w:lvl>
    <w:lvl w:ilvl="6">
      <w:start w:val="1"/>
      <w:numFmt w:val="decimal"/>
      <w:lvlText w:val="%1.%2.%3.%4.%5.%6.%7"/>
      <w:lvlJc w:val="left"/>
      <w:pPr>
        <w:ind w:left="1080" w:hanging="1080"/>
      </w:pPr>
      <w:rPr>
        <w:rFonts w:ascii="Calibri" w:hAnsi="Calibri" w:hint="default"/>
        <w:i/>
      </w:rPr>
    </w:lvl>
    <w:lvl w:ilvl="7">
      <w:start w:val="1"/>
      <w:numFmt w:val="decimal"/>
      <w:lvlText w:val="%1.%2.%3.%4.%5.%6.%7.%8"/>
      <w:lvlJc w:val="left"/>
      <w:pPr>
        <w:ind w:left="1080" w:hanging="1080"/>
      </w:pPr>
      <w:rPr>
        <w:rFonts w:ascii="Calibri" w:hAnsi="Calibri" w:hint="default"/>
        <w:i/>
      </w:rPr>
    </w:lvl>
    <w:lvl w:ilvl="8">
      <w:start w:val="1"/>
      <w:numFmt w:val="decimal"/>
      <w:lvlText w:val="%1.%2.%3.%4.%5.%6.%7.%8.%9"/>
      <w:lvlJc w:val="left"/>
      <w:pPr>
        <w:ind w:left="1440" w:hanging="1440"/>
      </w:pPr>
      <w:rPr>
        <w:rFonts w:ascii="Calibri" w:hAnsi="Calibri" w:hint="default"/>
        <w:i/>
      </w:rPr>
    </w:lvl>
  </w:abstractNum>
  <w:abstractNum w:abstractNumId="15"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6"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855EC0"/>
    <w:multiLevelType w:val="hybridMultilevel"/>
    <w:tmpl w:val="2A04421C"/>
    <w:lvl w:ilvl="0" w:tplc="632E3B80">
      <w:start w:val="1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63E4F"/>
    <w:multiLevelType w:val="multilevel"/>
    <w:tmpl w:val="58CE2B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1"/>
  </w:num>
  <w:num w:numId="3">
    <w:abstractNumId w:val="8"/>
  </w:num>
  <w:num w:numId="4">
    <w:abstractNumId w:val="5"/>
  </w:num>
  <w:num w:numId="5">
    <w:abstractNumId w:val="20"/>
  </w:num>
  <w:num w:numId="6">
    <w:abstractNumId w:val="22"/>
  </w:num>
  <w:num w:numId="7">
    <w:abstractNumId w:val="2"/>
  </w:num>
  <w:num w:numId="8">
    <w:abstractNumId w:val="21"/>
  </w:num>
  <w:num w:numId="9">
    <w:abstractNumId w:val="6"/>
  </w:num>
  <w:num w:numId="10">
    <w:abstractNumId w:val="11"/>
  </w:num>
  <w:num w:numId="11">
    <w:abstractNumId w:val="25"/>
  </w:num>
  <w:num w:numId="12">
    <w:abstractNumId w:val="16"/>
  </w:num>
  <w:num w:numId="13">
    <w:abstractNumId w:val="17"/>
  </w:num>
  <w:num w:numId="14">
    <w:abstractNumId w:val="9"/>
  </w:num>
  <w:num w:numId="15">
    <w:abstractNumId w:val="0"/>
  </w:num>
  <w:num w:numId="16">
    <w:abstractNumId w:val="24"/>
  </w:num>
  <w:num w:numId="17">
    <w:abstractNumId w:val="23"/>
  </w:num>
  <w:num w:numId="18">
    <w:abstractNumId w:val="19"/>
  </w:num>
  <w:num w:numId="19">
    <w:abstractNumId w:val="14"/>
  </w:num>
  <w:num w:numId="20">
    <w:abstractNumId w:val="3"/>
  </w:num>
  <w:num w:numId="21">
    <w:abstractNumId w:val="10"/>
  </w:num>
  <w:num w:numId="22">
    <w:abstractNumId w:val="7"/>
  </w:num>
  <w:num w:numId="23">
    <w:abstractNumId w:val="4"/>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55A7"/>
    <w:rsid w:val="00007461"/>
    <w:rsid w:val="000079CC"/>
    <w:rsid w:val="00011A63"/>
    <w:rsid w:val="000344D1"/>
    <w:rsid w:val="000502AD"/>
    <w:rsid w:val="00050A67"/>
    <w:rsid w:val="00052804"/>
    <w:rsid w:val="000823AC"/>
    <w:rsid w:val="00082D9F"/>
    <w:rsid w:val="00085E0B"/>
    <w:rsid w:val="000A049E"/>
    <w:rsid w:val="000A2606"/>
    <w:rsid w:val="000C09B4"/>
    <w:rsid w:val="000C4457"/>
    <w:rsid w:val="000D6DE5"/>
    <w:rsid w:val="000F77FD"/>
    <w:rsid w:val="001069DF"/>
    <w:rsid w:val="0015409F"/>
    <w:rsid w:val="00157815"/>
    <w:rsid w:val="001663A4"/>
    <w:rsid w:val="00167DA9"/>
    <w:rsid w:val="00176076"/>
    <w:rsid w:val="001807F4"/>
    <w:rsid w:val="001839D9"/>
    <w:rsid w:val="001956C7"/>
    <w:rsid w:val="001A4D75"/>
    <w:rsid w:val="001B721D"/>
    <w:rsid w:val="001D3445"/>
    <w:rsid w:val="001D72A4"/>
    <w:rsid w:val="001F3524"/>
    <w:rsid w:val="00230A0E"/>
    <w:rsid w:val="002315A5"/>
    <w:rsid w:val="00232597"/>
    <w:rsid w:val="002547CF"/>
    <w:rsid w:val="0026321D"/>
    <w:rsid w:val="00294C6E"/>
    <w:rsid w:val="002C4B80"/>
    <w:rsid w:val="002F7E65"/>
    <w:rsid w:val="0032175A"/>
    <w:rsid w:val="00322DEA"/>
    <w:rsid w:val="00346615"/>
    <w:rsid w:val="00346776"/>
    <w:rsid w:val="00354479"/>
    <w:rsid w:val="00354CB5"/>
    <w:rsid w:val="00357A7C"/>
    <w:rsid w:val="00357B0E"/>
    <w:rsid w:val="00363EC5"/>
    <w:rsid w:val="00365820"/>
    <w:rsid w:val="00366AD1"/>
    <w:rsid w:val="0037523B"/>
    <w:rsid w:val="003B037A"/>
    <w:rsid w:val="003B3AA5"/>
    <w:rsid w:val="003B422F"/>
    <w:rsid w:val="003D653B"/>
    <w:rsid w:val="004004FC"/>
    <w:rsid w:val="00417008"/>
    <w:rsid w:val="00424E4F"/>
    <w:rsid w:val="00461D62"/>
    <w:rsid w:val="00496422"/>
    <w:rsid w:val="004B3911"/>
    <w:rsid w:val="004B604D"/>
    <w:rsid w:val="004C595C"/>
    <w:rsid w:val="004D0070"/>
    <w:rsid w:val="004D3DBE"/>
    <w:rsid w:val="004E78B2"/>
    <w:rsid w:val="004F1858"/>
    <w:rsid w:val="00500334"/>
    <w:rsid w:val="00512D10"/>
    <w:rsid w:val="00516AC8"/>
    <w:rsid w:val="00517955"/>
    <w:rsid w:val="00521B0B"/>
    <w:rsid w:val="00530FDE"/>
    <w:rsid w:val="005474ED"/>
    <w:rsid w:val="0059499D"/>
    <w:rsid w:val="005A7B65"/>
    <w:rsid w:val="005C6168"/>
    <w:rsid w:val="005E0C05"/>
    <w:rsid w:val="005F2E08"/>
    <w:rsid w:val="005F6261"/>
    <w:rsid w:val="00612159"/>
    <w:rsid w:val="00635929"/>
    <w:rsid w:val="0064746F"/>
    <w:rsid w:val="00673710"/>
    <w:rsid w:val="0067438B"/>
    <w:rsid w:val="00674B1A"/>
    <w:rsid w:val="00681B0A"/>
    <w:rsid w:val="006900FE"/>
    <w:rsid w:val="00693168"/>
    <w:rsid w:val="006D3DAD"/>
    <w:rsid w:val="00700521"/>
    <w:rsid w:val="00704406"/>
    <w:rsid w:val="00712826"/>
    <w:rsid w:val="00760E32"/>
    <w:rsid w:val="007624B0"/>
    <w:rsid w:val="00764E41"/>
    <w:rsid w:val="00771515"/>
    <w:rsid w:val="00772FF8"/>
    <w:rsid w:val="007736F6"/>
    <w:rsid w:val="00776056"/>
    <w:rsid w:val="00780F6B"/>
    <w:rsid w:val="00790C12"/>
    <w:rsid w:val="007B5B6C"/>
    <w:rsid w:val="007C1B15"/>
    <w:rsid w:val="007E1663"/>
    <w:rsid w:val="007E62E6"/>
    <w:rsid w:val="008018C5"/>
    <w:rsid w:val="00813F1E"/>
    <w:rsid w:val="0081403B"/>
    <w:rsid w:val="0081672B"/>
    <w:rsid w:val="00834F9D"/>
    <w:rsid w:val="00836696"/>
    <w:rsid w:val="00837C4B"/>
    <w:rsid w:val="00842737"/>
    <w:rsid w:val="00842E2C"/>
    <w:rsid w:val="00843006"/>
    <w:rsid w:val="008430A5"/>
    <w:rsid w:val="008440D9"/>
    <w:rsid w:val="00845340"/>
    <w:rsid w:val="00867AAC"/>
    <w:rsid w:val="00882ECA"/>
    <w:rsid w:val="008B06DD"/>
    <w:rsid w:val="008D4556"/>
    <w:rsid w:val="008D791F"/>
    <w:rsid w:val="008F0A97"/>
    <w:rsid w:val="00901372"/>
    <w:rsid w:val="00914E62"/>
    <w:rsid w:val="00920812"/>
    <w:rsid w:val="00920DBC"/>
    <w:rsid w:val="009353D7"/>
    <w:rsid w:val="00942B3B"/>
    <w:rsid w:val="009548D7"/>
    <w:rsid w:val="0097197E"/>
    <w:rsid w:val="00975566"/>
    <w:rsid w:val="00990CED"/>
    <w:rsid w:val="009B76A1"/>
    <w:rsid w:val="009E7526"/>
    <w:rsid w:val="009F21FD"/>
    <w:rsid w:val="00A0001A"/>
    <w:rsid w:val="00A16F22"/>
    <w:rsid w:val="00A1786A"/>
    <w:rsid w:val="00A210CD"/>
    <w:rsid w:val="00A30EBB"/>
    <w:rsid w:val="00A40130"/>
    <w:rsid w:val="00A44F24"/>
    <w:rsid w:val="00A45528"/>
    <w:rsid w:val="00A57912"/>
    <w:rsid w:val="00A74149"/>
    <w:rsid w:val="00A85E34"/>
    <w:rsid w:val="00A86FBF"/>
    <w:rsid w:val="00B00E5C"/>
    <w:rsid w:val="00B053BE"/>
    <w:rsid w:val="00B2050D"/>
    <w:rsid w:val="00B234BD"/>
    <w:rsid w:val="00B25B8C"/>
    <w:rsid w:val="00B32ADA"/>
    <w:rsid w:val="00B54668"/>
    <w:rsid w:val="00B64ACA"/>
    <w:rsid w:val="00BC38E0"/>
    <w:rsid w:val="00BE2925"/>
    <w:rsid w:val="00BE7C44"/>
    <w:rsid w:val="00BF3A95"/>
    <w:rsid w:val="00BF3DE4"/>
    <w:rsid w:val="00C26970"/>
    <w:rsid w:val="00C576D1"/>
    <w:rsid w:val="00C66DE1"/>
    <w:rsid w:val="00C83AFA"/>
    <w:rsid w:val="00C97E31"/>
    <w:rsid w:val="00CA2F70"/>
    <w:rsid w:val="00CB647D"/>
    <w:rsid w:val="00D0220D"/>
    <w:rsid w:val="00D033C6"/>
    <w:rsid w:val="00D142FB"/>
    <w:rsid w:val="00D206A4"/>
    <w:rsid w:val="00D3037E"/>
    <w:rsid w:val="00D30BE3"/>
    <w:rsid w:val="00D40C86"/>
    <w:rsid w:val="00D6235D"/>
    <w:rsid w:val="00D80A4F"/>
    <w:rsid w:val="00D9192E"/>
    <w:rsid w:val="00DB55AD"/>
    <w:rsid w:val="00DC4D86"/>
    <w:rsid w:val="00DC7354"/>
    <w:rsid w:val="00DD4368"/>
    <w:rsid w:val="00DF0357"/>
    <w:rsid w:val="00E01E78"/>
    <w:rsid w:val="00E06A4E"/>
    <w:rsid w:val="00E1547F"/>
    <w:rsid w:val="00E274CE"/>
    <w:rsid w:val="00E32ACA"/>
    <w:rsid w:val="00E37E7A"/>
    <w:rsid w:val="00E65D6D"/>
    <w:rsid w:val="00E770DC"/>
    <w:rsid w:val="00EA552C"/>
    <w:rsid w:val="00EA7740"/>
    <w:rsid w:val="00EA7929"/>
    <w:rsid w:val="00EB354F"/>
    <w:rsid w:val="00EC1504"/>
    <w:rsid w:val="00EC7BBC"/>
    <w:rsid w:val="00ED7890"/>
    <w:rsid w:val="00EE1D60"/>
    <w:rsid w:val="00EE6711"/>
    <w:rsid w:val="00F01FDE"/>
    <w:rsid w:val="00F16195"/>
    <w:rsid w:val="00F31949"/>
    <w:rsid w:val="00F35B61"/>
    <w:rsid w:val="00F37FA7"/>
    <w:rsid w:val="00F70F18"/>
    <w:rsid w:val="00F741DB"/>
    <w:rsid w:val="00F77F04"/>
    <w:rsid w:val="00F826EC"/>
    <w:rsid w:val="00F84FD4"/>
    <w:rsid w:val="00FB2C4C"/>
    <w:rsid w:val="00FB3DB2"/>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C3158-E674-4A4D-BE9C-6F439E20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A4"/>
    <w:pPr>
      <w:spacing w:before="120"/>
      <w:jc w:val="both"/>
    </w:pPr>
    <w:rPr>
      <w:sz w:val="22"/>
      <w:lang w:val="en-CA"/>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rPr>
      <w:rFonts w:ascii="Univers" w:hAnsi="Univers"/>
    </w:rPr>
  </w:style>
  <w:style w:type="paragraph" w:styleId="BodyText2">
    <w:name w:val="Body Text 2"/>
    <w:basedOn w:val="Normal"/>
    <w:rsid w:val="00FF5BC4"/>
    <w:rPr>
      <w:rFonts w:ascii="Arial" w:hAnsi="Arial"/>
      <w:sz w:val="20"/>
    </w:rPr>
  </w:style>
  <w:style w:type="paragraph" w:styleId="BodyText3">
    <w:name w:val="Body Text 3"/>
    <w:basedOn w:val="Normal"/>
    <w:rsid w:val="00FF5BC4"/>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rsid w:val="001F3524"/>
    <w:rPr>
      <w:vertAlign w:val="superscript"/>
    </w:rPr>
  </w:style>
  <w:style w:type="paragraph" w:styleId="BalloonText">
    <w:name w:val="Balloon Text"/>
    <w:basedOn w:val="Normal"/>
    <w:link w:val="BalloonTextChar"/>
    <w:uiPriority w:val="99"/>
    <w:rsid w:val="00772FF8"/>
    <w:rPr>
      <w:rFonts w:ascii="Segoe UI" w:hAnsi="Segoe UI" w:cs="Segoe UI"/>
      <w:sz w:val="18"/>
      <w:szCs w:val="18"/>
    </w:rPr>
  </w:style>
  <w:style w:type="character" w:customStyle="1" w:styleId="BalloonTextChar">
    <w:name w:val="Balloon Text Char"/>
    <w:link w:val="BalloonText"/>
    <w:uiPriority w:val="99"/>
    <w:rsid w:val="00772FF8"/>
    <w:rPr>
      <w:rFonts w:ascii="Segoe UI" w:hAnsi="Segoe UI" w:cs="Segoe UI"/>
      <w:sz w:val="18"/>
      <w:szCs w:val="18"/>
    </w:rPr>
  </w:style>
  <w:style w:type="character" w:styleId="Hyperlink">
    <w:name w:val="Hyperlink"/>
    <w:rsid w:val="00521B0B"/>
    <w:rPr>
      <w:rFonts w:cs="Times New Roman"/>
      <w:color w:val="336699"/>
      <w:u w:val="none"/>
      <w:effect w:val="non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21B0B"/>
    <w:pPr>
      <w:widowControl w:val="0"/>
      <w:ind w:right="794"/>
    </w:pPr>
    <w:rPr>
      <w:sz w:val="20"/>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521B0B"/>
    <w:rPr>
      <w:lang w:eastAsia="en-US"/>
    </w:rPr>
  </w:style>
  <w:style w:type="paragraph" w:styleId="NormalWeb">
    <w:name w:val="Normal (Web)"/>
    <w:basedOn w:val="Normal"/>
    <w:uiPriority w:val="99"/>
    <w:unhideWhenUsed/>
    <w:rsid w:val="00E274CE"/>
    <w:pPr>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7051">
      <w:bodyDiv w:val="1"/>
      <w:marLeft w:val="0"/>
      <w:marRight w:val="0"/>
      <w:marTop w:val="0"/>
      <w:marBottom w:val="0"/>
      <w:divBdr>
        <w:top w:val="none" w:sz="0" w:space="0" w:color="auto"/>
        <w:left w:val="none" w:sz="0" w:space="0" w:color="auto"/>
        <w:bottom w:val="none" w:sz="0" w:space="0" w:color="auto"/>
        <w:right w:val="none" w:sz="0" w:space="0" w:color="auto"/>
      </w:divBdr>
    </w:div>
    <w:div w:id="459538864">
      <w:bodyDiv w:val="1"/>
      <w:marLeft w:val="0"/>
      <w:marRight w:val="0"/>
      <w:marTop w:val="0"/>
      <w:marBottom w:val="0"/>
      <w:divBdr>
        <w:top w:val="none" w:sz="0" w:space="0" w:color="auto"/>
        <w:left w:val="none" w:sz="0" w:space="0" w:color="auto"/>
        <w:bottom w:val="none" w:sz="0" w:space="0" w:color="auto"/>
        <w:right w:val="none" w:sz="0" w:space="0" w:color="auto"/>
      </w:divBdr>
    </w:div>
    <w:div w:id="526599787">
      <w:bodyDiv w:val="1"/>
      <w:marLeft w:val="0"/>
      <w:marRight w:val="0"/>
      <w:marTop w:val="0"/>
      <w:marBottom w:val="0"/>
      <w:divBdr>
        <w:top w:val="none" w:sz="0" w:space="0" w:color="auto"/>
        <w:left w:val="none" w:sz="0" w:space="0" w:color="auto"/>
        <w:bottom w:val="none" w:sz="0" w:space="0" w:color="auto"/>
        <w:right w:val="none" w:sz="0" w:space="0" w:color="auto"/>
      </w:divBdr>
      <w:divsChild>
        <w:div w:id="737090164">
          <w:marLeft w:val="0"/>
          <w:marRight w:val="0"/>
          <w:marTop w:val="0"/>
          <w:marBottom w:val="0"/>
          <w:divBdr>
            <w:top w:val="none" w:sz="0" w:space="0" w:color="auto"/>
            <w:left w:val="none" w:sz="0" w:space="0" w:color="auto"/>
            <w:bottom w:val="none" w:sz="0" w:space="0" w:color="auto"/>
            <w:right w:val="none" w:sz="0" w:space="0" w:color="auto"/>
          </w:divBdr>
          <w:divsChild>
            <w:div w:id="483088007">
              <w:marLeft w:val="0"/>
              <w:marRight w:val="0"/>
              <w:marTop w:val="0"/>
              <w:marBottom w:val="0"/>
              <w:divBdr>
                <w:top w:val="none" w:sz="0" w:space="0" w:color="auto"/>
                <w:left w:val="none" w:sz="0" w:space="0" w:color="auto"/>
                <w:bottom w:val="none" w:sz="0" w:space="0" w:color="auto"/>
                <w:right w:val="none" w:sz="0" w:space="0" w:color="auto"/>
              </w:divBdr>
              <w:divsChild>
                <w:div w:id="1345323322">
                  <w:marLeft w:val="0"/>
                  <w:marRight w:val="0"/>
                  <w:marTop w:val="0"/>
                  <w:marBottom w:val="0"/>
                  <w:divBdr>
                    <w:top w:val="none" w:sz="0" w:space="0" w:color="auto"/>
                    <w:left w:val="none" w:sz="0" w:space="0" w:color="auto"/>
                    <w:bottom w:val="none" w:sz="0" w:space="0" w:color="auto"/>
                    <w:right w:val="none" w:sz="0" w:space="0" w:color="auto"/>
                  </w:divBdr>
                  <w:divsChild>
                    <w:div w:id="1671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28292">
      <w:bodyDiv w:val="1"/>
      <w:marLeft w:val="0"/>
      <w:marRight w:val="0"/>
      <w:marTop w:val="0"/>
      <w:marBottom w:val="0"/>
      <w:divBdr>
        <w:top w:val="none" w:sz="0" w:space="0" w:color="auto"/>
        <w:left w:val="none" w:sz="0" w:space="0" w:color="auto"/>
        <w:bottom w:val="none" w:sz="0" w:space="0" w:color="auto"/>
        <w:right w:val="none" w:sz="0" w:space="0" w:color="auto"/>
      </w:divBdr>
    </w:div>
    <w:div w:id="707294513">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1113088292">
      <w:bodyDiv w:val="1"/>
      <w:marLeft w:val="0"/>
      <w:marRight w:val="0"/>
      <w:marTop w:val="0"/>
      <w:marBottom w:val="0"/>
      <w:divBdr>
        <w:top w:val="none" w:sz="0" w:space="0" w:color="auto"/>
        <w:left w:val="none" w:sz="0" w:space="0" w:color="auto"/>
        <w:bottom w:val="none" w:sz="0" w:space="0" w:color="auto"/>
        <w:right w:val="none" w:sz="0" w:space="0" w:color="auto"/>
      </w:divBdr>
    </w:div>
    <w:div w:id="1272781996">
      <w:bodyDiv w:val="1"/>
      <w:marLeft w:val="0"/>
      <w:marRight w:val="0"/>
      <w:marTop w:val="0"/>
      <w:marBottom w:val="0"/>
      <w:divBdr>
        <w:top w:val="none" w:sz="0" w:space="0" w:color="auto"/>
        <w:left w:val="none" w:sz="0" w:space="0" w:color="auto"/>
        <w:bottom w:val="none" w:sz="0" w:space="0" w:color="auto"/>
        <w:right w:val="none" w:sz="0" w:space="0" w:color="auto"/>
      </w:divBdr>
    </w:div>
    <w:div w:id="15357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07B2-4C21-4780-A56C-D4C49409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4249</Words>
  <Characters>26095</Characters>
  <Application>Microsoft Office Word</Application>
  <DocSecurity>0</DocSecurity>
  <Lines>606</Lines>
  <Paragraphs>221</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30123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Svetlana Iazykova</cp:lastModifiedBy>
  <cp:revision>2</cp:revision>
  <cp:lastPrinted>2015-03-25T05:49:00Z</cp:lastPrinted>
  <dcterms:created xsi:type="dcterms:W3CDTF">2016-05-24T16:39:00Z</dcterms:created>
  <dcterms:modified xsi:type="dcterms:W3CDTF">2016-05-24T16:39:00Z</dcterms:modified>
</cp:coreProperties>
</file>