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A53E" w14:textId="1C721CE3" w:rsidR="00AF2559" w:rsidRDefault="002E4883" w:rsidP="00380DDB">
      <w:pPr>
        <w:pStyle w:val="Heading4"/>
        <w:rPr>
          <w:sz w:val="6"/>
        </w:rPr>
      </w:pPr>
      <w:r>
        <w:t xml:space="preserve">   </w:t>
      </w:r>
    </w:p>
    <w:p w14:paraId="0C3D12BE" w14:textId="77777777" w:rsidR="00AF2559" w:rsidRDefault="00AF2559" w:rsidP="00D9153B">
      <w:pPr>
        <w:rPr>
          <w:color w:val="000000"/>
          <w:sz w:val="6"/>
        </w:rPr>
      </w:pPr>
    </w:p>
    <w:p w14:paraId="0E560E98" w14:textId="77777777" w:rsidR="00501F31" w:rsidRPr="00E70596" w:rsidRDefault="00501F31" w:rsidP="00501F3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color w:val="000000"/>
        </w:rPr>
      </w:pPr>
      <w:r>
        <w:rPr>
          <w:b/>
          <w:bCs/>
          <w:color w:val="000000"/>
        </w:rPr>
        <w:t>First</w:t>
      </w:r>
      <w:r w:rsidRPr="00E70596">
        <w:rPr>
          <w:b/>
          <w:bCs/>
          <w:color w:val="000000"/>
        </w:rPr>
        <w:t xml:space="preserve"> regular session 2018</w:t>
      </w:r>
    </w:p>
    <w:p w14:paraId="167AA8AD" w14:textId="77777777" w:rsidR="00501F31" w:rsidRPr="00E70596" w:rsidRDefault="00501F31" w:rsidP="00501F3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4-8 June 2018</w:t>
      </w:r>
      <w:r w:rsidRPr="00E70596">
        <w:rPr>
          <w:color w:val="000000"/>
        </w:rPr>
        <w:t>, New York</w:t>
      </w:r>
    </w:p>
    <w:p w14:paraId="7AA5A4F3" w14:textId="77777777" w:rsidR="00501F31" w:rsidRPr="00E70596" w:rsidRDefault="00501F31" w:rsidP="00501F3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70596">
        <w:rPr>
          <w:color w:val="000000"/>
        </w:rPr>
        <w:t xml:space="preserve">Item </w:t>
      </w:r>
      <w:r>
        <w:rPr>
          <w:color w:val="000000"/>
        </w:rPr>
        <w:t>6</w:t>
      </w:r>
      <w:r w:rsidRPr="00E70596">
        <w:rPr>
          <w:color w:val="000000"/>
        </w:rPr>
        <w:t xml:space="preserve"> of the provisional agenda</w:t>
      </w:r>
    </w:p>
    <w:p w14:paraId="3FB5EFA5" w14:textId="77777777" w:rsidR="00501F31" w:rsidRPr="00E70596" w:rsidRDefault="00501F31" w:rsidP="00501F31">
      <w:pPr>
        <w:ind w:right="1260"/>
        <w:rPr>
          <w:b/>
          <w:bCs/>
          <w:color w:val="000000"/>
        </w:rPr>
      </w:pPr>
      <w:r w:rsidRPr="00E70596">
        <w:rPr>
          <w:b/>
          <w:bCs/>
          <w:color w:val="000000"/>
        </w:rPr>
        <w:t>Country programmes and related matters</w:t>
      </w:r>
    </w:p>
    <w:p w14:paraId="41B76009" w14:textId="77777777" w:rsidR="00501F31" w:rsidRPr="00E70596" w:rsidRDefault="00501F31" w:rsidP="00501F31">
      <w:pPr>
        <w:pStyle w:val="SingleTxt"/>
        <w:spacing w:after="0" w:line="120" w:lineRule="exact"/>
        <w:ind w:left="0"/>
        <w:rPr>
          <w:color w:val="000000"/>
          <w:sz w:val="10"/>
          <w:lang w:val="en-US"/>
        </w:rPr>
      </w:pPr>
      <w:bookmarkStart w:id="0" w:name="_GoBack"/>
      <w:bookmarkEnd w:id="0"/>
    </w:p>
    <w:p w14:paraId="49D3E260" w14:textId="77777777" w:rsidR="00AF2559" w:rsidRPr="00501F31" w:rsidRDefault="00AF2559" w:rsidP="00AF2559">
      <w:pPr>
        <w:pStyle w:val="SingleTxt"/>
        <w:spacing w:after="0" w:line="120" w:lineRule="exact"/>
        <w:rPr>
          <w:color w:val="000000"/>
          <w:sz w:val="10"/>
          <w:lang w:val="en-US"/>
        </w:rPr>
      </w:pPr>
    </w:p>
    <w:p w14:paraId="60A068EC" w14:textId="77777777" w:rsidR="00AF2559" w:rsidRPr="003C26C1" w:rsidRDefault="00AF2559" w:rsidP="00AF2559">
      <w:pPr>
        <w:pStyle w:val="SingleTxt"/>
        <w:spacing w:after="0" w:line="120" w:lineRule="exact"/>
        <w:rPr>
          <w:color w:val="000000"/>
          <w:sz w:val="10"/>
        </w:rPr>
      </w:pPr>
    </w:p>
    <w:p w14:paraId="04E5FCBB" w14:textId="77777777" w:rsidR="00AF2559" w:rsidRPr="003C26C1" w:rsidRDefault="00AF2559" w:rsidP="00AF2559">
      <w:pPr>
        <w:pStyle w:val="SingleTxt"/>
        <w:spacing w:after="0" w:line="120" w:lineRule="exact"/>
        <w:rPr>
          <w:color w:val="000000"/>
          <w:sz w:val="10"/>
        </w:rPr>
      </w:pPr>
    </w:p>
    <w:p w14:paraId="061D40FE" w14:textId="77777777" w:rsidR="00AF2559" w:rsidRPr="003C26C1" w:rsidRDefault="00AF2559" w:rsidP="00AF25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z w:val="10"/>
        </w:rPr>
      </w:pPr>
      <w:r w:rsidRPr="003C26C1">
        <w:rPr>
          <w:rFonts w:asciiTheme="minorHAnsi" w:hAnsiTheme="minorHAnsi"/>
          <w:color w:val="000000"/>
        </w:rPr>
        <w:tab/>
      </w:r>
    </w:p>
    <w:p w14:paraId="0399CABE" w14:textId="348D8393" w:rsidR="00501F31" w:rsidRPr="006E1155" w:rsidRDefault="00501F31" w:rsidP="00501F31">
      <w:pPr>
        <w:tabs>
          <w:tab w:val="left" w:pos="1620"/>
        </w:tabs>
        <w:ind w:right="-360"/>
        <w:rPr>
          <w:b/>
          <w:bCs/>
          <w:color w:val="000000"/>
          <w:sz w:val="32"/>
          <w:szCs w:val="32"/>
          <w:lang w:val="en-GB" w:eastAsia="fr-FR"/>
        </w:rPr>
      </w:pPr>
      <w:r w:rsidRPr="006E1155">
        <w:rPr>
          <w:b/>
          <w:bCs/>
          <w:color w:val="000000"/>
          <w:sz w:val="32"/>
          <w:szCs w:val="32"/>
          <w:lang w:val="en-GB" w:eastAsia="fr-FR"/>
        </w:rPr>
        <w:t xml:space="preserve">Draft country programme document for </w:t>
      </w:r>
      <w:r>
        <w:rPr>
          <w:b/>
          <w:bCs/>
          <w:color w:val="000000"/>
          <w:sz w:val="32"/>
          <w:szCs w:val="32"/>
          <w:lang w:val="en-GB" w:eastAsia="fr-FR"/>
        </w:rPr>
        <w:t>Kenya</w:t>
      </w:r>
      <w:r w:rsidRPr="006E1155">
        <w:rPr>
          <w:b/>
          <w:bCs/>
          <w:color w:val="000000"/>
          <w:sz w:val="32"/>
          <w:szCs w:val="32"/>
          <w:lang w:val="en-GB" w:eastAsia="fr-FR"/>
        </w:rPr>
        <w:t xml:space="preserve"> (201</w:t>
      </w:r>
      <w:r>
        <w:rPr>
          <w:b/>
          <w:bCs/>
          <w:color w:val="000000"/>
          <w:sz w:val="32"/>
          <w:szCs w:val="32"/>
          <w:lang w:val="en-GB" w:eastAsia="fr-FR"/>
        </w:rPr>
        <w:t>8</w:t>
      </w:r>
      <w:r w:rsidRPr="006E1155">
        <w:rPr>
          <w:b/>
          <w:bCs/>
          <w:color w:val="000000"/>
          <w:sz w:val="32"/>
          <w:szCs w:val="32"/>
          <w:lang w:val="en-GB" w:eastAsia="fr-FR"/>
        </w:rPr>
        <w:t>-202</w:t>
      </w:r>
      <w:r>
        <w:rPr>
          <w:b/>
          <w:bCs/>
          <w:color w:val="000000"/>
          <w:sz w:val="32"/>
          <w:szCs w:val="32"/>
          <w:lang w:val="en-GB" w:eastAsia="fr-FR"/>
        </w:rPr>
        <w:t>2</w:t>
      </w:r>
      <w:r w:rsidRPr="006E1155">
        <w:rPr>
          <w:b/>
          <w:bCs/>
          <w:color w:val="000000"/>
          <w:sz w:val="32"/>
          <w:szCs w:val="32"/>
          <w:lang w:val="en-GB" w:eastAsia="fr-FR"/>
        </w:rPr>
        <w:t>)</w:t>
      </w:r>
    </w:p>
    <w:p w14:paraId="3E0381D6" w14:textId="77777777" w:rsidR="00501F31" w:rsidRPr="006E1155" w:rsidRDefault="00501F31" w:rsidP="00501F31">
      <w:pPr>
        <w:tabs>
          <w:tab w:val="left" w:pos="1620"/>
        </w:tabs>
        <w:ind w:right="-360"/>
        <w:rPr>
          <w:b/>
          <w:color w:val="000000"/>
          <w:sz w:val="32"/>
          <w:szCs w:val="32"/>
          <w:lang w:val="en-GB" w:eastAsia="fr-FR"/>
        </w:rPr>
      </w:pPr>
    </w:p>
    <w:p w14:paraId="2798CC08" w14:textId="77777777" w:rsidR="00501F31" w:rsidRPr="006E1155" w:rsidRDefault="00501F31" w:rsidP="00501F31">
      <w:pPr>
        <w:tabs>
          <w:tab w:val="left" w:pos="1620"/>
        </w:tabs>
        <w:ind w:left="-720" w:right="328"/>
        <w:rPr>
          <w:color w:val="000000"/>
          <w:lang w:val="en-GB" w:eastAsia="fr-FR"/>
        </w:rPr>
      </w:pPr>
    </w:p>
    <w:p w14:paraId="2BD807DA" w14:textId="77777777" w:rsidR="00501F31" w:rsidRPr="006E1155" w:rsidRDefault="00501F31" w:rsidP="00501F3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6E1155">
        <w:rPr>
          <w:color w:val="000000"/>
          <w:kern w:val="14"/>
          <w:sz w:val="28"/>
          <w:lang w:val="en-GB" w:eastAsia="fr-FR"/>
        </w:rPr>
        <w:t>Contents</w:t>
      </w:r>
    </w:p>
    <w:p w14:paraId="19B211D6" w14:textId="77777777" w:rsidR="00501F31" w:rsidRPr="006E1155" w:rsidRDefault="00501F31" w:rsidP="00501F31">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01F31" w:rsidRPr="006E1155" w14:paraId="3BDB35E7" w14:textId="77777777" w:rsidTr="001E3896">
        <w:tc>
          <w:tcPr>
            <w:tcW w:w="1060" w:type="dxa"/>
            <w:shd w:val="clear" w:color="auto" w:fill="auto"/>
          </w:tcPr>
          <w:p w14:paraId="5F62F7D6" w14:textId="77777777" w:rsidR="00501F31" w:rsidRPr="006E1155" w:rsidRDefault="00501F31" w:rsidP="001E3896">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72CAB650" w14:textId="77777777" w:rsidR="00501F31" w:rsidRPr="006E1155" w:rsidRDefault="00501F31" w:rsidP="001E389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5C118A4" w14:textId="77777777" w:rsidR="00501F31" w:rsidRPr="006E1155" w:rsidRDefault="00501F31" w:rsidP="001E3896">
            <w:pPr>
              <w:tabs>
                <w:tab w:val="left" w:pos="1620"/>
              </w:tabs>
              <w:suppressAutoHyphens/>
              <w:spacing w:after="120"/>
              <w:jc w:val="right"/>
              <w:rPr>
                <w:i/>
                <w:color w:val="000000"/>
                <w:spacing w:val="4"/>
                <w:w w:val="103"/>
                <w:kern w:val="14"/>
                <w:sz w:val="14"/>
                <w:lang w:val="en-GB" w:eastAsia="fr-FR"/>
              </w:rPr>
            </w:pPr>
            <w:r w:rsidRPr="006E1155">
              <w:rPr>
                <w:i/>
                <w:iCs/>
                <w:color w:val="000000"/>
                <w:kern w:val="14"/>
                <w:sz w:val="14"/>
                <w:lang w:val="en-GB" w:eastAsia="fr-FR"/>
              </w:rPr>
              <w:t>Page</w:t>
            </w:r>
          </w:p>
        </w:tc>
      </w:tr>
      <w:tr w:rsidR="00501F31" w:rsidRPr="006E1155" w14:paraId="4764FD3B" w14:textId="77777777" w:rsidTr="001E3896">
        <w:tc>
          <w:tcPr>
            <w:tcW w:w="9540" w:type="dxa"/>
            <w:gridSpan w:val="3"/>
            <w:shd w:val="clear" w:color="auto" w:fill="auto"/>
          </w:tcPr>
          <w:p w14:paraId="63AFAF17" w14:textId="77777777" w:rsidR="00501F31" w:rsidRPr="006E1155" w:rsidRDefault="00501F31" w:rsidP="00501F31">
            <w:pPr>
              <w:numPr>
                <w:ilvl w:val="0"/>
                <w:numId w:val="1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rationale</w:t>
            </w:r>
            <w:r w:rsidRPr="006E1155">
              <w:rPr>
                <w:color w:val="000000"/>
                <w:sz w:val="24"/>
                <w:szCs w:val="24"/>
                <w:lang w:val="en-GB" w:eastAsia="fr-FR"/>
              </w:rPr>
              <w:tab/>
            </w:r>
          </w:p>
        </w:tc>
        <w:tc>
          <w:tcPr>
            <w:tcW w:w="362" w:type="dxa"/>
            <w:vMerge w:val="restart"/>
            <w:shd w:val="clear" w:color="auto" w:fill="auto"/>
            <w:vAlign w:val="bottom"/>
          </w:tcPr>
          <w:p w14:paraId="65DCECD4"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2</w:t>
            </w:r>
          </w:p>
          <w:p w14:paraId="67767B4C"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5</w:t>
            </w:r>
          </w:p>
        </w:tc>
      </w:tr>
      <w:tr w:rsidR="00501F31" w:rsidRPr="006E1155" w14:paraId="3D6EDF44" w14:textId="77777777" w:rsidTr="001E3896">
        <w:tc>
          <w:tcPr>
            <w:tcW w:w="9540" w:type="dxa"/>
            <w:gridSpan w:val="3"/>
            <w:shd w:val="clear" w:color="auto" w:fill="auto"/>
          </w:tcPr>
          <w:p w14:paraId="0853AC7C" w14:textId="77777777" w:rsidR="00501F31" w:rsidRPr="006E1155" w:rsidRDefault="00501F31" w:rsidP="00501F31">
            <w:pPr>
              <w:numPr>
                <w:ilvl w:val="0"/>
                <w:numId w:val="1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priorities and partnerships………………………………………………….</w:t>
            </w:r>
            <w:r w:rsidRPr="006E1155">
              <w:rPr>
                <w:color w:val="000000"/>
                <w:kern w:val="14"/>
                <w:sz w:val="17"/>
                <w:lang w:val="en-GB" w:eastAsia="fr-FR"/>
              </w:rPr>
              <w:tab/>
            </w:r>
            <w:r w:rsidRPr="006E1155">
              <w:rPr>
                <w:color w:val="000000"/>
                <w:kern w:val="14"/>
                <w:lang w:val="en-GB" w:eastAsia="fr-FR"/>
              </w:rPr>
              <w:t>……….…</w:t>
            </w:r>
          </w:p>
        </w:tc>
        <w:tc>
          <w:tcPr>
            <w:tcW w:w="362" w:type="dxa"/>
            <w:vMerge/>
            <w:shd w:val="clear" w:color="auto" w:fill="auto"/>
            <w:vAlign w:val="bottom"/>
          </w:tcPr>
          <w:p w14:paraId="0D0CC1AE"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p>
        </w:tc>
      </w:tr>
      <w:tr w:rsidR="00501F31" w:rsidRPr="006E1155" w14:paraId="2C665E9E" w14:textId="77777777" w:rsidTr="001E3896">
        <w:tc>
          <w:tcPr>
            <w:tcW w:w="9540" w:type="dxa"/>
            <w:gridSpan w:val="3"/>
            <w:shd w:val="clear" w:color="auto" w:fill="auto"/>
          </w:tcPr>
          <w:p w14:paraId="6178103D" w14:textId="77777777" w:rsidR="00501F31" w:rsidRPr="006E1155" w:rsidRDefault="00501F31" w:rsidP="00501F31">
            <w:pPr>
              <w:numPr>
                <w:ilvl w:val="0"/>
                <w:numId w:val="1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and risk management</w:t>
            </w:r>
            <w:r w:rsidRPr="006E1155">
              <w:rPr>
                <w:color w:val="000000"/>
                <w:sz w:val="24"/>
                <w:szCs w:val="24"/>
                <w:lang w:val="en-GB" w:eastAsia="fr-FR"/>
              </w:rPr>
              <w:tab/>
            </w:r>
          </w:p>
        </w:tc>
        <w:tc>
          <w:tcPr>
            <w:tcW w:w="362" w:type="dxa"/>
            <w:vMerge w:val="restart"/>
            <w:shd w:val="clear" w:color="auto" w:fill="auto"/>
            <w:vAlign w:val="bottom"/>
          </w:tcPr>
          <w:p w14:paraId="5613DA83"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8</w:t>
            </w:r>
          </w:p>
          <w:p w14:paraId="52B2B213"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9</w:t>
            </w:r>
          </w:p>
        </w:tc>
      </w:tr>
      <w:tr w:rsidR="00501F31" w:rsidRPr="006E1155" w14:paraId="57AF5087" w14:textId="77777777" w:rsidTr="001E3896">
        <w:tc>
          <w:tcPr>
            <w:tcW w:w="9540" w:type="dxa"/>
            <w:gridSpan w:val="3"/>
            <w:shd w:val="clear" w:color="auto" w:fill="auto"/>
          </w:tcPr>
          <w:p w14:paraId="6E489376" w14:textId="77777777" w:rsidR="00501F31" w:rsidRPr="006E1155" w:rsidRDefault="00501F31" w:rsidP="00501F31">
            <w:pPr>
              <w:numPr>
                <w:ilvl w:val="0"/>
                <w:numId w:val="1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Monitoring and evaluation</w:t>
            </w:r>
            <w:r w:rsidRPr="006E1155">
              <w:rPr>
                <w:color w:val="000000"/>
                <w:sz w:val="24"/>
                <w:szCs w:val="24"/>
                <w:lang w:val="en-GB" w:eastAsia="fr-FR"/>
              </w:rPr>
              <w:tab/>
            </w:r>
            <w:r w:rsidRPr="006E1155">
              <w:rPr>
                <w:color w:val="000000"/>
                <w:lang w:val="en-GB" w:eastAsia="fr-FR"/>
              </w:rPr>
              <w:t>…………………………………………………….……………………</w:t>
            </w:r>
          </w:p>
        </w:tc>
        <w:tc>
          <w:tcPr>
            <w:tcW w:w="362" w:type="dxa"/>
            <w:vMerge/>
            <w:shd w:val="clear" w:color="auto" w:fill="auto"/>
            <w:vAlign w:val="bottom"/>
          </w:tcPr>
          <w:p w14:paraId="714DFB51"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p>
        </w:tc>
      </w:tr>
      <w:tr w:rsidR="00501F31" w:rsidRPr="006E1155" w14:paraId="3DC8451C" w14:textId="77777777" w:rsidTr="001E3896">
        <w:tc>
          <w:tcPr>
            <w:tcW w:w="9369" w:type="dxa"/>
            <w:gridSpan w:val="2"/>
            <w:shd w:val="clear" w:color="auto" w:fill="auto"/>
          </w:tcPr>
          <w:p w14:paraId="7BB13FDA" w14:textId="77777777" w:rsidR="00501F31" w:rsidRPr="006E1155" w:rsidRDefault="00501F31" w:rsidP="001E389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6E1155">
              <w:rPr>
                <w:color w:val="000000"/>
                <w:kern w:val="14"/>
                <w:lang w:val="en-GB" w:eastAsia="fr-FR"/>
              </w:rPr>
              <w:t xml:space="preserve">     Annex</w:t>
            </w:r>
          </w:p>
        </w:tc>
        <w:tc>
          <w:tcPr>
            <w:tcW w:w="533" w:type="dxa"/>
            <w:gridSpan w:val="2"/>
            <w:shd w:val="clear" w:color="auto" w:fill="auto"/>
            <w:vAlign w:val="bottom"/>
          </w:tcPr>
          <w:p w14:paraId="59EB9537"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p>
        </w:tc>
      </w:tr>
      <w:tr w:rsidR="00501F31" w:rsidRPr="006E1155" w14:paraId="4173C8F5" w14:textId="77777777" w:rsidTr="001E3896">
        <w:tc>
          <w:tcPr>
            <w:tcW w:w="9369" w:type="dxa"/>
            <w:gridSpan w:val="2"/>
            <w:shd w:val="clear" w:color="auto" w:fill="auto"/>
          </w:tcPr>
          <w:p w14:paraId="47100CC0" w14:textId="51CB02D9" w:rsidR="00501F31" w:rsidRPr="006E1155" w:rsidRDefault="00501F31" w:rsidP="001E389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6E1155">
              <w:rPr>
                <w:color w:val="000000"/>
                <w:kern w:val="14"/>
                <w:lang w:val="en-GB" w:eastAsia="fr-FR"/>
              </w:rPr>
              <w:t xml:space="preserve">Results and resources framework for </w:t>
            </w:r>
            <w:r>
              <w:rPr>
                <w:color w:val="000000"/>
                <w:kern w:val="14"/>
                <w:lang w:val="en-GB" w:eastAsia="fr-FR"/>
              </w:rPr>
              <w:t>Kenya</w:t>
            </w:r>
            <w:r w:rsidRPr="006E1155">
              <w:rPr>
                <w:color w:val="000000"/>
                <w:kern w:val="14"/>
                <w:lang w:val="en-GB" w:eastAsia="fr-FR"/>
              </w:rPr>
              <w:t xml:space="preserve"> (201</w:t>
            </w:r>
            <w:r>
              <w:rPr>
                <w:color w:val="000000"/>
                <w:kern w:val="14"/>
                <w:lang w:val="en-GB" w:eastAsia="fr-FR"/>
              </w:rPr>
              <w:t>8</w:t>
            </w:r>
            <w:r w:rsidRPr="006E1155">
              <w:rPr>
                <w:color w:val="000000"/>
                <w:kern w:val="14"/>
                <w:lang w:val="en-GB" w:eastAsia="fr-FR"/>
              </w:rPr>
              <w:t>-202</w:t>
            </w:r>
            <w:r>
              <w:rPr>
                <w:color w:val="000000"/>
                <w:kern w:val="14"/>
                <w:lang w:val="en-GB" w:eastAsia="fr-FR"/>
              </w:rPr>
              <w:t>2</w:t>
            </w:r>
            <w:r w:rsidRPr="006E1155">
              <w:rPr>
                <w:color w:val="000000"/>
                <w:kern w:val="14"/>
                <w:lang w:val="en-GB" w:eastAsia="fr-FR"/>
              </w:rPr>
              <w:t>)</w:t>
            </w:r>
          </w:p>
        </w:tc>
        <w:tc>
          <w:tcPr>
            <w:tcW w:w="533" w:type="dxa"/>
            <w:gridSpan w:val="2"/>
            <w:shd w:val="clear" w:color="auto" w:fill="auto"/>
            <w:vAlign w:val="bottom"/>
          </w:tcPr>
          <w:p w14:paraId="4DC609D3" w14:textId="77777777" w:rsidR="00501F31" w:rsidRPr="006E1155" w:rsidRDefault="00501F31" w:rsidP="001E3896">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10</w:t>
            </w:r>
          </w:p>
        </w:tc>
      </w:tr>
    </w:tbl>
    <w:p w14:paraId="2771C40A" w14:textId="492AA21B" w:rsidR="00AF2559" w:rsidRPr="00812104" w:rsidRDefault="00AF2559" w:rsidP="00501F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sz w:val="20"/>
        </w:rPr>
      </w:pPr>
    </w:p>
    <w:p w14:paraId="527A811C" w14:textId="77777777" w:rsidR="00AF2559" w:rsidRPr="003C26C1" w:rsidRDefault="00AF2559" w:rsidP="00AF2559">
      <w:pPr>
        <w:rPr>
          <w:color w:val="000000"/>
          <w:sz w:val="6"/>
        </w:rPr>
        <w:sectPr w:rsidR="00AF2559" w:rsidRPr="003C26C1" w:rsidSect="00677A8F">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3C26C1">
        <w:br w:type="page"/>
      </w:r>
    </w:p>
    <w:p w14:paraId="40B7E1F8" w14:textId="399CDCF0" w:rsidR="002765BC" w:rsidRPr="003C26C1" w:rsidRDefault="002765BC" w:rsidP="00812104">
      <w:pPr>
        <w:pStyle w:val="Heading2"/>
        <w:spacing w:after="200"/>
        <w:ind w:left="1080" w:right="940" w:hanging="450"/>
        <w:jc w:val="both"/>
        <w:rPr>
          <w:rFonts w:ascii="Times New Roman" w:hAnsi="Times New Roman"/>
          <w:bCs/>
          <w:color w:val="000000"/>
          <w:sz w:val="24"/>
          <w:szCs w:val="24"/>
        </w:rPr>
      </w:pPr>
      <w:r w:rsidRPr="003C26C1">
        <w:rPr>
          <w:rFonts w:ascii="Times New Roman" w:hAnsi="Times New Roman"/>
          <w:bCs/>
          <w:color w:val="000000"/>
          <w:sz w:val="24"/>
          <w:szCs w:val="24"/>
        </w:rPr>
        <w:lastRenderedPageBreak/>
        <w:t>I.</w:t>
      </w:r>
      <w:r w:rsidR="00812104">
        <w:rPr>
          <w:rFonts w:ascii="Times New Roman" w:hAnsi="Times New Roman"/>
          <w:bCs/>
          <w:color w:val="000000"/>
          <w:sz w:val="24"/>
          <w:szCs w:val="24"/>
        </w:rPr>
        <w:tab/>
      </w:r>
      <w:r w:rsidRPr="003C26C1">
        <w:rPr>
          <w:rFonts w:ascii="Times New Roman" w:hAnsi="Times New Roman"/>
          <w:bCs/>
          <w:color w:val="000000"/>
          <w:sz w:val="24"/>
          <w:szCs w:val="24"/>
        </w:rPr>
        <w:t xml:space="preserve">Programme </w:t>
      </w:r>
      <w:r w:rsidR="00812104">
        <w:rPr>
          <w:rFonts w:ascii="Times New Roman" w:hAnsi="Times New Roman"/>
          <w:bCs/>
          <w:color w:val="000000"/>
          <w:sz w:val="24"/>
          <w:szCs w:val="24"/>
        </w:rPr>
        <w:t>r</w:t>
      </w:r>
      <w:r w:rsidRPr="003C26C1">
        <w:rPr>
          <w:rFonts w:ascii="Times New Roman" w:hAnsi="Times New Roman"/>
          <w:bCs/>
          <w:color w:val="000000"/>
          <w:sz w:val="24"/>
          <w:szCs w:val="24"/>
        </w:rPr>
        <w:t xml:space="preserve">ationale </w:t>
      </w:r>
    </w:p>
    <w:p w14:paraId="6964B5EB" w14:textId="277F1F3D" w:rsidR="002765BC" w:rsidRPr="000D0BE3" w:rsidRDefault="000D0BE3" w:rsidP="00812104">
      <w:pPr>
        <w:pStyle w:val="ListParagraph"/>
        <w:numPr>
          <w:ilvl w:val="0"/>
          <w:numId w:val="2"/>
        </w:numPr>
        <w:ind w:left="1080" w:right="940" w:firstLine="0"/>
        <w:contextualSpacing/>
        <w:jc w:val="both"/>
      </w:pPr>
      <w:r>
        <w:t>U</w:t>
      </w:r>
      <w:r w:rsidRPr="000D0BE3">
        <w:t>nderwritten by the Constitution 2010</w:t>
      </w:r>
      <w:r>
        <w:t xml:space="preserve">, </w:t>
      </w:r>
      <w:r w:rsidR="002765BC" w:rsidRPr="000D0BE3">
        <w:t>economic and democratic reforms</w:t>
      </w:r>
      <w:r>
        <w:t xml:space="preserve"> </w:t>
      </w:r>
      <w:r w:rsidR="009B2310">
        <w:t>p</w:t>
      </w:r>
      <w:r>
        <w:t>osition Kenya</w:t>
      </w:r>
      <w:r w:rsidR="002765BC" w:rsidRPr="000D0BE3">
        <w:t xml:space="preserve"> to become an upper middle-income country by 2030. </w:t>
      </w:r>
      <w:r w:rsidR="0071412D">
        <w:t>Kenya</w:t>
      </w:r>
      <w:r w:rsidR="002765BC" w:rsidRPr="000D0BE3">
        <w:t xml:space="preserve"> has </w:t>
      </w:r>
      <w:r w:rsidR="00A55F63" w:rsidRPr="000D0BE3">
        <w:t xml:space="preserve">recorded </w:t>
      </w:r>
      <w:r>
        <w:t>more than 5</w:t>
      </w:r>
      <w:r w:rsidR="001E3896">
        <w:t xml:space="preserve"> per cent growth of gross domestic </w:t>
      </w:r>
      <w:r w:rsidR="000B1661">
        <w:t xml:space="preserve">product </w:t>
      </w:r>
      <w:r w:rsidR="000B1661" w:rsidRPr="000D0BE3">
        <w:t>(</w:t>
      </w:r>
      <w:r>
        <w:t>GDP</w:t>
      </w:r>
      <w:r w:rsidR="001E3896">
        <w:t>)</w:t>
      </w:r>
      <w:r>
        <w:t xml:space="preserve"> growth </w:t>
      </w:r>
      <w:r w:rsidR="002765BC" w:rsidRPr="000D0BE3">
        <w:t>per annum</w:t>
      </w:r>
      <w:r w:rsidR="001E3896">
        <w:t>,</w:t>
      </w:r>
      <w:r w:rsidR="00370E1A">
        <w:rPr>
          <w:rStyle w:val="FootnoteReference"/>
        </w:rPr>
        <w:footnoteReference w:id="2"/>
      </w:r>
      <w:r w:rsidR="0071412D">
        <w:t xml:space="preserve"> and</w:t>
      </w:r>
      <w:r w:rsidR="002765BC" w:rsidRPr="000D0BE3">
        <w:t xml:space="preserve"> </w:t>
      </w:r>
      <w:r w:rsidR="001E3896">
        <w:t xml:space="preserve">GDP </w:t>
      </w:r>
      <w:r w:rsidR="002765BC" w:rsidRPr="000D0BE3">
        <w:t>is forecast to grow by over 6</w:t>
      </w:r>
      <w:r w:rsidR="001E3896">
        <w:t xml:space="preserve"> per cent</w:t>
      </w:r>
      <w:r w:rsidR="001E3896" w:rsidRPr="000D0BE3">
        <w:t xml:space="preserve"> </w:t>
      </w:r>
      <w:r w:rsidR="002765BC" w:rsidRPr="000D0BE3">
        <w:t>in the medium term</w:t>
      </w:r>
      <w:r w:rsidR="001E3896">
        <w:t>.</w:t>
      </w:r>
      <w:r w:rsidR="000A62C7">
        <w:rPr>
          <w:rStyle w:val="FootnoteReference"/>
        </w:rPr>
        <w:footnoteReference w:id="3"/>
      </w:r>
      <w:r w:rsidR="002765BC" w:rsidRPr="000D0BE3">
        <w:t xml:space="preserve"> The Human Development Index improve</w:t>
      </w:r>
      <w:r w:rsidR="000771A0">
        <w:t>d</w:t>
      </w:r>
      <w:r w:rsidR="002765BC" w:rsidRPr="000D0BE3">
        <w:t xml:space="preserve"> from 0.473 in 2014 to 0.555 in 2015</w:t>
      </w:r>
      <w:r w:rsidR="001E3896">
        <w:t>,</w:t>
      </w:r>
      <w:r w:rsidR="00370E1A">
        <w:rPr>
          <w:rStyle w:val="FootnoteReference"/>
        </w:rPr>
        <w:footnoteReference w:id="4"/>
      </w:r>
      <w:r w:rsidR="0071412D">
        <w:t xml:space="preserve"> while</w:t>
      </w:r>
      <w:r w:rsidR="002765BC" w:rsidRPr="000D0BE3">
        <w:t xml:space="preserve"> </w:t>
      </w:r>
      <w:r w:rsidR="001E3896">
        <w:t>g</w:t>
      </w:r>
      <w:r w:rsidR="001E3896" w:rsidRPr="000D0BE3">
        <w:t xml:space="preserve">ross </w:t>
      </w:r>
      <w:r w:rsidR="001E3896">
        <w:t>n</w:t>
      </w:r>
      <w:r w:rsidR="001E3896" w:rsidRPr="000D0BE3">
        <w:t xml:space="preserve">ational </w:t>
      </w:r>
      <w:r w:rsidR="001E3896">
        <w:t>i</w:t>
      </w:r>
      <w:r w:rsidR="001E3896" w:rsidRPr="000D0BE3">
        <w:t xml:space="preserve">ncome </w:t>
      </w:r>
      <w:r w:rsidR="002765BC" w:rsidRPr="000D0BE3">
        <w:t>increased by 26</w:t>
      </w:r>
      <w:r w:rsidR="001E3896">
        <w:t xml:space="preserve"> per cent</w:t>
      </w:r>
      <w:r w:rsidR="002765BC" w:rsidRPr="000D0BE3">
        <w:t xml:space="preserve"> to $2,881</w:t>
      </w:r>
      <w:r w:rsidR="001A02A6">
        <w:t>,</w:t>
      </w:r>
      <w:r w:rsidR="002765BC" w:rsidRPr="000D0BE3">
        <w:t xml:space="preserve"> life expectancy by 3.4 years to 62.2 years </w:t>
      </w:r>
      <w:r w:rsidR="00702CA2">
        <w:t xml:space="preserve">and </w:t>
      </w:r>
      <w:r w:rsidR="002765BC" w:rsidRPr="000D0BE3">
        <w:t>mean years of schooling by 2.6 years to 6.3 years</w:t>
      </w:r>
      <w:r w:rsidR="00762BBF" w:rsidRPr="000D0BE3">
        <w:t xml:space="preserve"> in</w:t>
      </w:r>
      <w:r w:rsidR="002765BC" w:rsidRPr="000D0BE3">
        <w:t xml:space="preserve"> 2015</w:t>
      </w:r>
      <w:r w:rsidR="001E3896">
        <w:t>.</w:t>
      </w:r>
      <w:r w:rsidR="000A62C7">
        <w:rPr>
          <w:rStyle w:val="FootnoteReference"/>
        </w:rPr>
        <w:footnoteReference w:id="5"/>
      </w:r>
      <w:r w:rsidR="002765BC" w:rsidRPr="000D0BE3">
        <w:t xml:space="preserve">  </w:t>
      </w:r>
    </w:p>
    <w:p w14:paraId="57A3D581" w14:textId="77777777" w:rsidR="002765BC" w:rsidRPr="00812104" w:rsidRDefault="002765BC" w:rsidP="00812104">
      <w:pPr>
        <w:pStyle w:val="ListParagraph"/>
        <w:ind w:left="1080" w:right="940"/>
        <w:contextualSpacing/>
        <w:jc w:val="both"/>
        <w:rPr>
          <w:sz w:val="12"/>
          <w:szCs w:val="12"/>
        </w:rPr>
      </w:pPr>
    </w:p>
    <w:p w14:paraId="4342AD99" w14:textId="10F30E76" w:rsidR="00C8493C" w:rsidRDefault="0071412D" w:rsidP="00812104">
      <w:pPr>
        <w:pStyle w:val="ListParagraph"/>
        <w:numPr>
          <w:ilvl w:val="0"/>
          <w:numId w:val="2"/>
        </w:numPr>
        <w:ind w:left="1080" w:right="940" w:firstLine="0"/>
        <w:contextualSpacing/>
        <w:jc w:val="both"/>
      </w:pPr>
      <w:r>
        <w:t>Although</w:t>
      </w:r>
      <w:r w:rsidR="002765BC" w:rsidRPr="000D0BE3">
        <w:t xml:space="preserve"> </w:t>
      </w:r>
      <w:r w:rsidR="000D0BE3">
        <w:t xml:space="preserve">progress has been </w:t>
      </w:r>
      <w:r w:rsidR="002765BC" w:rsidRPr="000D0BE3">
        <w:t>significant</w:t>
      </w:r>
      <w:r w:rsidR="005E33E5" w:rsidRPr="000D0BE3">
        <w:t>,</w:t>
      </w:r>
      <w:r w:rsidR="002765BC" w:rsidRPr="000D0BE3">
        <w:t xml:space="preserve"> more effort is required to achieve the </w:t>
      </w:r>
      <w:r w:rsidR="002765BC" w:rsidRPr="000B1661">
        <w:t>Sustainable Development Goals</w:t>
      </w:r>
      <w:r w:rsidR="001A02A6">
        <w:t>.</w:t>
      </w:r>
      <w:r w:rsidR="001E3896">
        <w:rPr>
          <w:rStyle w:val="FootnoteReference"/>
        </w:rPr>
        <w:t>.</w:t>
      </w:r>
      <w:r w:rsidR="000A62C7">
        <w:rPr>
          <w:rStyle w:val="FootnoteReference"/>
        </w:rPr>
        <w:footnoteReference w:id="6"/>
      </w:r>
      <w:r w:rsidR="002765BC" w:rsidRPr="000D0BE3">
        <w:t xml:space="preserve"> </w:t>
      </w:r>
      <w:r w:rsidR="002765BC" w:rsidRPr="004A2D9A">
        <w:t xml:space="preserve">Structural and sociopolitical </w:t>
      </w:r>
      <w:r w:rsidR="001F090F" w:rsidRPr="004A2D9A">
        <w:t>obstacles</w:t>
      </w:r>
      <w:r w:rsidR="001F090F" w:rsidRPr="000D0BE3">
        <w:t xml:space="preserve"> </w:t>
      </w:r>
      <w:r w:rsidR="005E33E5" w:rsidRPr="000D0BE3">
        <w:t xml:space="preserve">continue to constrain </w:t>
      </w:r>
      <w:r w:rsidR="002765BC" w:rsidRPr="000D0BE3">
        <w:t>achiev</w:t>
      </w:r>
      <w:r w:rsidR="005E33E5" w:rsidRPr="000D0BE3">
        <w:t xml:space="preserve">ement of </w:t>
      </w:r>
      <w:r w:rsidR="002765BC" w:rsidRPr="000D0BE3">
        <w:t>sustainable and inclusive growth</w:t>
      </w:r>
      <w:r w:rsidR="001A02A6">
        <w:t>,</w:t>
      </w:r>
      <w:r w:rsidR="002765BC" w:rsidRPr="000D0BE3">
        <w:t xml:space="preserve"> </w:t>
      </w:r>
      <w:r w:rsidR="005E33E5" w:rsidRPr="000D0BE3">
        <w:t xml:space="preserve">participatory </w:t>
      </w:r>
      <w:r w:rsidR="002765BC" w:rsidRPr="000D0BE3">
        <w:t>governance</w:t>
      </w:r>
      <w:r w:rsidR="001A02A6">
        <w:t>,</w:t>
      </w:r>
      <w:r w:rsidR="00702CA2">
        <w:t xml:space="preserve"> community-</w:t>
      </w:r>
      <w:r w:rsidR="002765BC" w:rsidRPr="000D0BE3">
        <w:t>level peace and security</w:t>
      </w:r>
      <w:r w:rsidR="001A02A6">
        <w:t>,</w:t>
      </w:r>
      <w:r w:rsidR="002765BC" w:rsidRPr="000D0BE3">
        <w:t xml:space="preserve"> sustainable environment and natural resource management </w:t>
      </w:r>
      <w:r w:rsidR="005E33E5" w:rsidRPr="000D0BE3">
        <w:t xml:space="preserve">and </w:t>
      </w:r>
      <w:r w:rsidR="002765BC" w:rsidRPr="000D0BE3">
        <w:t xml:space="preserve">resilience to shocks </w:t>
      </w:r>
      <w:r w:rsidR="00A55F63" w:rsidRPr="000D0BE3">
        <w:t>and climate</w:t>
      </w:r>
      <w:r w:rsidR="002765BC" w:rsidRPr="000D0BE3">
        <w:t xml:space="preserve"> change. </w:t>
      </w:r>
      <w:r w:rsidR="005E33E5" w:rsidRPr="000D0BE3">
        <w:t>There remains a high l</w:t>
      </w:r>
      <w:r w:rsidR="002765BC" w:rsidRPr="000D0BE3">
        <w:t>evel of poverty and exclusion</w:t>
      </w:r>
      <w:r w:rsidR="005E33E5" w:rsidRPr="000D0BE3">
        <w:t xml:space="preserve"> </w:t>
      </w:r>
      <w:r>
        <w:t xml:space="preserve">despite a decline in the poverty rate </w:t>
      </w:r>
      <w:r w:rsidR="002765BC" w:rsidRPr="000D0BE3">
        <w:t>from 45.9</w:t>
      </w:r>
      <w:r w:rsidR="001E3896">
        <w:t xml:space="preserve"> per cent</w:t>
      </w:r>
      <w:r w:rsidR="001E3896" w:rsidRPr="000D0BE3">
        <w:t xml:space="preserve"> </w:t>
      </w:r>
      <w:r w:rsidR="002765BC" w:rsidRPr="000D0BE3">
        <w:t>in 2005</w:t>
      </w:r>
      <w:r w:rsidR="001E3896">
        <w:t>-20</w:t>
      </w:r>
      <w:r w:rsidR="002765BC" w:rsidRPr="000D0BE3">
        <w:t xml:space="preserve">06 to </w:t>
      </w:r>
      <w:r w:rsidR="005E33E5" w:rsidRPr="000D0BE3">
        <w:t>~</w:t>
      </w:r>
      <w:r w:rsidR="002765BC" w:rsidRPr="000D0BE3">
        <w:t>39</w:t>
      </w:r>
      <w:r w:rsidR="001E3896">
        <w:t xml:space="preserve"> per cent</w:t>
      </w:r>
      <w:r w:rsidR="001E3896" w:rsidRPr="000D0BE3">
        <w:t xml:space="preserve"> </w:t>
      </w:r>
      <w:r w:rsidR="002765BC" w:rsidRPr="000D0BE3">
        <w:t>in 2011</w:t>
      </w:r>
      <w:r w:rsidR="001E3896">
        <w:t>-</w:t>
      </w:r>
      <w:r w:rsidR="002765BC" w:rsidRPr="000D0BE3">
        <w:t>2012</w:t>
      </w:r>
      <w:r>
        <w:t>. Poverty rates remain</w:t>
      </w:r>
      <w:r w:rsidR="002765BC" w:rsidRPr="000D0BE3">
        <w:t xml:space="preserve"> above 80</w:t>
      </w:r>
      <w:r w:rsidR="001A02A6">
        <w:t xml:space="preserve"> per cent</w:t>
      </w:r>
      <w:r w:rsidR="002765BC" w:rsidRPr="000D0BE3">
        <w:t xml:space="preserve"> in remote, arid and sparsely populated north-eastern parts of </w:t>
      </w:r>
      <w:r w:rsidR="005E33E5" w:rsidRPr="000D0BE3">
        <w:t>Kenya.</w:t>
      </w:r>
      <w:r w:rsidR="000A62C7">
        <w:rPr>
          <w:rStyle w:val="FootnoteReference"/>
        </w:rPr>
        <w:footnoteReference w:id="7"/>
      </w:r>
      <w:r w:rsidR="002765BC" w:rsidRPr="000D0BE3">
        <w:t xml:space="preserve"> The Commission </w:t>
      </w:r>
      <w:r w:rsidR="005D5171">
        <w:t>on</w:t>
      </w:r>
      <w:r w:rsidR="002765BC" w:rsidRPr="000D0BE3">
        <w:t xml:space="preserve"> Revenue </w:t>
      </w:r>
      <w:r w:rsidR="000B1661" w:rsidRPr="000D0BE3">
        <w:t>Allocation notes</w:t>
      </w:r>
      <w:r>
        <w:t xml:space="preserve"> </w:t>
      </w:r>
      <w:r w:rsidR="00A55F63" w:rsidRPr="000D0BE3">
        <w:t>the</w:t>
      </w:r>
      <w:r w:rsidR="002765BC" w:rsidRPr="000D0BE3">
        <w:t xml:space="preserve"> highest rates of poverty and significant social inequalities in Garissa</w:t>
      </w:r>
      <w:r w:rsidR="00B84988">
        <w:t>,</w:t>
      </w:r>
      <w:r w:rsidR="00B84988" w:rsidRPr="000D0BE3">
        <w:t xml:space="preserve"> </w:t>
      </w:r>
      <w:r w:rsidR="002765BC" w:rsidRPr="000D0BE3">
        <w:t>Wajir</w:t>
      </w:r>
      <w:r w:rsidR="00B84988">
        <w:t>,</w:t>
      </w:r>
      <w:r w:rsidR="00B84988" w:rsidRPr="000D0BE3">
        <w:t xml:space="preserve"> </w:t>
      </w:r>
      <w:r w:rsidR="002765BC" w:rsidRPr="000D0BE3">
        <w:t>Lamu</w:t>
      </w:r>
      <w:r w:rsidR="00B84988">
        <w:t>,</w:t>
      </w:r>
      <w:r w:rsidR="00B84988" w:rsidRPr="000D0BE3">
        <w:t xml:space="preserve"> </w:t>
      </w:r>
      <w:r w:rsidR="002765BC" w:rsidRPr="000D0BE3">
        <w:t>Tana River</w:t>
      </w:r>
      <w:r w:rsidR="00B84988">
        <w:t>,</w:t>
      </w:r>
      <w:r w:rsidR="00B84988" w:rsidRPr="000D0BE3">
        <w:t xml:space="preserve"> </w:t>
      </w:r>
      <w:r w:rsidR="002765BC" w:rsidRPr="000D0BE3">
        <w:t>Mandera</w:t>
      </w:r>
      <w:r w:rsidR="00B84988">
        <w:t>,</w:t>
      </w:r>
      <w:r w:rsidR="00B84988" w:rsidRPr="000D0BE3">
        <w:t xml:space="preserve"> </w:t>
      </w:r>
      <w:r w:rsidR="002765BC" w:rsidRPr="000D0BE3">
        <w:t>Marsabit</w:t>
      </w:r>
      <w:r w:rsidR="00A51510">
        <w:t xml:space="preserve"> and</w:t>
      </w:r>
      <w:r w:rsidR="002765BC" w:rsidRPr="000D0BE3">
        <w:t xml:space="preserve"> Isiolo.</w:t>
      </w:r>
      <w:r w:rsidR="000A62C7">
        <w:rPr>
          <w:rStyle w:val="FootnoteReference"/>
        </w:rPr>
        <w:footnoteReference w:id="8"/>
      </w:r>
      <w:r w:rsidR="002765BC" w:rsidRPr="000D0BE3">
        <w:t xml:space="preserve"> </w:t>
      </w:r>
    </w:p>
    <w:p w14:paraId="700AAA75" w14:textId="77777777" w:rsidR="00C8493C" w:rsidRPr="00812104" w:rsidRDefault="00C8493C" w:rsidP="00812104">
      <w:pPr>
        <w:pStyle w:val="ListParagraph"/>
        <w:ind w:left="1080" w:right="940"/>
        <w:rPr>
          <w:sz w:val="12"/>
          <w:szCs w:val="12"/>
        </w:rPr>
      </w:pPr>
    </w:p>
    <w:p w14:paraId="643A4F93" w14:textId="52DE2ECA" w:rsidR="00C8493C" w:rsidRDefault="0071412D" w:rsidP="00812104">
      <w:pPr>
        <w:pStyle w:val="ListParagraph"/>
        <w:numPr>
          <w:ilvl w:val="0"/>
          <w:numId w:val="2"/>
        </w:numPr>
        <w:ind w:left="1080" w:right="940" w:firstLine="0"/>
        <w:contextualSpacing/>
        <w:jc w:val="both"/>
      </w:pPr>
      <w:r>
        <w:t>I</w:t>
      </w:r>
      <w:r w:rsidR="002765BC" w:rsidRPr="000D0BE3">
        <w:t>ncome inequality levels have not decreased significantly in recent years</w:t>
      </w:r>
      <w:r w:rsidR="00A55F63" w:rsidRPr="000D0BE3">
        <w:t>.</w:t>
      </w:r>
      <w:r w:rsidR="002765BC" w:rsidRPr="000D0BE3">
        <w:t xml:space="preserve"> </w:t>
      </w:r>
      <w:r w:rsidR="000B5A2C" w:rsidRPr="000D0BE3">
        <w:t>Kenya’s</w:t>
      </w:r>
      <w:r w:rsidR="002765BC" w:rsidRPr="000D0BE3">
        <w:t xml:space="preserve"> Gini coefficient </w:t>
      </w:r>
      <w:r w:rsidR="001A02A6">
        <w:t>of</w:t>
      </w:r>
      <w:r w:rsidR="008E3295">
        <w:t xml:space="preserve"> </w:t>
      </w:r>
      <w:r w:rsidR="002765BC" w:rsidRPr="000D0BE3">
        <w:t xml:space="preserve">47.7 is above the </w:t>
      </w:r>
      <w:r w:rsidR="00B84988">
        <w:t>2013 s</w:t>
      </w:r>
      <w:r w:rsidR="00B84988" w:rsidRPr="000D0BE3">
        <w:t>ub</w:t>
      </w:r>
      <w:r w:rsidR="002765BC" w:rsidRPr="000D0BE3">
        <w:t>-Saharan Africa</w:t>
      </w:r>
      <w:r w:rsidR="00B84988">
        <w:t>n</w:t>
      </w:r>
      <w:r w:rsidR="002765BC" w:rsidRPr="000D0BE3">
        <w:t xml:space="preserve">  average of 43.8</w:t>
      </w:r>
      <w:r w:rsidR="00B53ADD" w:rsidRPr="000D0BE3">
        <w:t>.</w:t>
      </w:r>
      <w:r w:rsidR="000A62C7">
        <w:rPr>
          <w:rStyle w:val="FootnoteReference"/>
        </w:rPr>
        <w:footnoteReference w:id="9"/>
      </w:r>
      <w:r w:rsidR="00B53ADD" w:rsidRPr="000D0BE3">
        <w:t xml:space="preserve"> The</w:t>
      </w:r>
      <w:r w:rsidR="00702CA2">
        <w:t xml:space="preserve"> income share of the poorest 10</w:t>
      </w:r>
      <w:r w:rsidR="00B84988">
        <w:t xml:space="preserve"> per cent</w:t>
      </w:r>
      <w:r w:rsidR="00B84988" w:rsidRPr="000D0BE3">
        <w:t xml:space="preserve"> </w:t>
      </w:r>
      <w:r w:rsidR="00B84988">
        <w:t xml:space="preserve">of </w:t>
      </w:r>
      <w:r w:rsidR="00E62C1C">
        <w:t xml:space="preserve">the population </w:t>
      </w:r>
      <w:r w:rsidR="00702CA2">
        <w:t>is 2</w:t>
      </w:r>
      <w:r w:rsidR="00B84988">
        <w:t xml:space="preserve"> per cent,</w:t>
      </w:r>
      <w:r w:rsidR="00B84988" w:rsidRPr="000D0BE3">
        <w:t xml:space="preserve"> </w:t>
      </w:r>
      <w:r w:rsidR="00C122DC" w:rsidRPr="000D0BE3">
        <w:t xml:space="preserve">while </w:t>
      </w:r>
      <w:r w:rsidR="00702CA2">
        <w:t xml:space="preserve">the </w:t>
      </w:r>
      <w:r w:rsidR="00B84988">
        <w:t xml:space="preserve">share of the </w:t>
      </w:r>
      <w:r w:rsidR="00702CA2">
        <w:t>richest 10</w:t>
      </w:r>
      <w:r w:rsidR="00B84988">
        <w:t xml:space="preserve"> per cent </w:t>
      </w:r>
      <w:r w:rsidR="00702CA2">
        <w:t>share is 40</w:t>
      </w:r>
      <w:r w:rsidR="00B84988">
        <w:t xml:space="preserve"> per cent</w:t>
      </w:r>
      <w:r w:rsidR="002765BC" w:rsidRPr="000D0BE3">
        <w:t>.</w:t>
      </w:r>
      <w:r w:rsidR="000A62C7">
        <w:rPr>
          <w:rStyle w:val="FootnoteReference"/>
        </w:rPr>
        <w:footnoteReference w:id="10"/>
      </w:r>
      <w:r w:rsidR="002765BC" w:rsidRPr="000D0BE3">
        <w:t xml:space="preserve"> While </w:t>
      </w:r>
      <w:r w:rsidR="00ED379F">
        <w:t xml:space="preserve">increased </w:t>
      </w:r>
      <w:r w:rsidR="002765BC" w:rsidRPr="000D0BE3">
        <w:t xml:space="preserve">poverty in urban areas </w:t>
      </w:r>
      <w:r w:rsidR="00ED379F">
        <w:t>is</w:t>
      </w:r>
      <w:r w:rsidR="00C122DC" w:rsidRPr="000D0BE3">
        <w:t xml:space="preserve"> </w:t>
      </w:r>
      <w:r w:rsidR="00B53ADD" w:rsidRPr="000D0BE3">
        <w:t>attributable</w:t>
      </w:r>
      <w:r w:rsidR="002765BC" w:rsidRPr="000D0BE3">
        <w:t xml:space="preserve"> </w:t>
      </w:r>
      <w:r w:rsidR="00B53ADD" w:rsidRPr="000D0BE3">
        <w:t xml:space="preserve">to the </w:t>
      </w:r>
      <w:r w:rsidR="002765BC" w:rsidRPr="000D0BE3">
        <w:t>lack of employment opportunities</w:t>
      </w:r>
      <w:r w:rsidR="001A02A6">
        <w:t>,</w:t>
      </w:r>
      <w:r w:rsidR="002765BC" w:rsidRPr="000D0BE3">
        <w:t xml:space="preserve"> </w:t>
      </w:r>
      <w:r w:rsidR="00ED379F">
        <w:t xml:space="preserve">inequitable </w:t>
      </w:r>
      <w:r w:rsidR="002126B0" w:rsidRPr="000D0BE3">
        <w:t xml:space="preserve">access to public goods </w:t>
      </w:r>
      <w:r w:rsidR="002765BC" w:rsidRPr="000D0BE3">
        <w:t xml:space="preserve">between rural and urban </w:t>
      </w:r>
      <w:r w:rsidR="00ED379F">
        <w:t>populations</w:t>
      </w:r>
      <w:r w:rsidR="002765BC" w:rsidRPr="000D0BE3">
        <w:t xml:space="preserve"> also </w:t>
      </w:r>
      <w:r w:rsidR="002126B0" w:rsidRPr="000D0BE3">
        <w:t>informs</w:t>
      </w:r>
      <w:r w:rsidR="002765BC" w:rsidRPr="000D0BE3">
        <w:t xml:space="preserve"> incom</w:t>
      </w:r>
      <w:r w:rsidR="005D5171">
        <w:t>e disparities</w:t>
      </w:r>
      <w:r w:rsidR="002765BC" w:rsidRPr="000D0BE3">
        <w:t>.</w:t>
      </w:r>
      <w:r w:rsidR="000A62C7">
        <w:rPr>
          <w:rStyle w:val="FootnoteReference"/>
        </w:rPr>
        <w:footnoteReference w:id="11"/>
      </w:r>
      <w:r w:rsidR="002765BC" w:rsidRPr="000D0BE3">
        <w:t xml:space="preserve"> Notably, a wide urban-rural gap exists in access to education, electricity, water and sanitation, health and housing services</w:t>
      </w:r>
      <w:r w:rsidR="008E3295">
        <w:t>,</w:t>
      </w:r>
      <w:r w:rsidR="002765BC" w:rsidRPr="000D0BE3">
        <w:t xml:space="preserve"> which exacerbates inequalitie</w:t>
      </w:r>
      <w:r w:rsidR="006D4359">
        <w:t>s</w:t>
      </w:r>
      <w:r w:rsidR="000A62C7">
        <w:rPr>
          <w:rStyle w:val="FootnoteReference"/>
        </w:rPr>
        <w:footnoteReference w:id="12"/>
      </w:r>
      <w:r w:rsidR="002765BC" w:rsidRPr="000D0BE3">
        <w:t xml:space="preserve"> and leaves a significant proportion of the popula</w:t>
      </w:r>
      <w:r w:rsidR="00F85A8E" w:rsidRPr="000D0BE3">
        <w:t>tion</w:t>
      </w:r>
      <w:r w:rsidR="002765BC" w:rsidRPr="000D0BE3">
        <w:t xml:space="preserve"> behind. </w:t>
      </w:r>
    </w:p>
    <w:p w14:paraId="2C0BAB05" w14:textId="77777777" w:rsidR="00C8493C" w:rsidRPr="00812104" w:rsidRDefault="00C8493C" w:rsidP="00812104">
      <w:pPr>
        <w:pStyle w:val="ListParagraph"/>
        <w:ind w:left="1080" w:right="940"/>
        <w:rPr>
          <w:sz w:val="12"/>
          <w:szCs w:val="12"/>
        </w:rPr>
      </w:pPr>
    </w:p>
    <w:p w14:paraId="56ACB8E1" w14:textId="115C9188" w:rsidR="00C8493C" w:rsidRDefault="002765BC" w:rsidP="00812104">
      <w:pPr>
        <w:pStyle w:val="ListParagraph"/>
        <w:numPr>
          <w:ilvl w:val="0"/>
          <w:numId w:val="2"/>
        </w:numPr>
        <w:ind w:left="1080" w:right="940" w:firstLine="0"/>
        <w:contextualSpacing/>
        <w:jc w:val="both"/>
      </w:pPr>
      <w:r w:rsidRPr="000D0BE3">
        <w:t xml:space="preserve">The underlying causes of poverty in rural areas </w:t>
      </w:r>
      <w:r w:rsidR="002126B0" w:rsidRPr="000D0BE3">
        <w:t xml:space="preserve">also </w:t>
      </w:r>
      <w:r w:rsidRPr="000D0BE3">
        <w:t>include low investment</w:t>
      </w:r>
      <w:r w:rsidR="0071412D">
        <w:t xml:space="preserve"> and</w:t>
      </w:r>
      <w:r w:rsidRPr="000D0BE3">
        <w:t xml:space="preserve"> productivity </w:t>
      </w:r>
      <w:r w:rsidR="0071412D">
        <w:t xml:space="preserve">in </w:t>
      </w:r>
      <w:r w:rsidRPr="000D0BE3">
        <w:t>the agriculture sector, which accor</w:t>
      </w:r>
      <w:r w:rsidR="00702CA2">
        <w:t>ding to 2017 data, averaged 4.4</w:t>
      </w:r>
      <w:r w:rsidR="00B84988">
        <w:t xml:space="preserve"> per cent</w:t>
      </w:r>
      <w:r w:rsidR="00B84988" w:rsidRPr="000D0BE3">
        <w:t xml:space="preserve"> </w:t>
      </w:r>
      <w:r w:rsidRPr="000D0BE3">
        <w:t>between 2012</w:t>
      </w:r>
      <w:r w:rsidR="00B84988">
        <w:t xml:space="preserve"> and </w:t>
      </w:r>
      <w:r w:rsidRPr="000D0BE3">
        <w:t>2016</w:t>
      </w:r>
      <w:r w:rsidR="002126B0" w:rsidRPr="000D0BE3">
        <w:t xml:space="preserve"> and is </w:t>
      </w:r>
      <w:r w:rsidR="008C1C62">
        <w:t>impeded</w:t>
      </w:r>
      <w:r w:rsidR="00F85A8E" w:rsidRPr="000D0BE3">
        <w:t xml:space="preserve"> by land degradation and climate change. </w:t>
      </w:r>
      <w:r w:rsidR="00E62C1C">
        <w:t>T</w:t>
      </w:r>
      <w:r w:rsidR="002126B0" w:rsidRPr="000D0BE3">
        <w:t xml:space="preserve">his </w:t>
      </w:r>
      <w:r w:rsidR="002843E9" w:rsidRPr="000D0BE3">
        <w:t>includ</w:t>
      </w:r>
      <w:r w:rsidR="002126B0" w:rsidRPr="000D0BE3">
        <w:t>es</w:t>
      </w:r>
      <w:r w:rsidR="002843E9" w:rsidRPr="000D0BE3">
        <w:t xml:space="preserve"> </w:t>
      </w:r>
      <w:r w:rsidR="00DC3286" w:rsidRPr="000D0BE3">
        <w:t xml:space="preserve">the </w:t>
      </w:r>
      <w:r w:rsidR="005E2509" w:rsidRPr="000D0BE3">
        <w:t xml:space="preserve">coastal region, </w:t>
      </w:r>
      <w:r w:rsidR="002126B0" w:rsidRPr="000D0BE3">
        <w:t xml:space="preserve">which is </w:t>
      </w:r>
      <w:r w:rsidR="005E2509" w:rsidRPr="000D0BE3">
        <w:t xml:space="preserve">the least developed region of </w:t>
      </w:r>
      <w:r w:rsidR="002C4736">
        <w:t xml:space="preserve">Kenya </w:t>
      </w:r>
      <w:r w:rsidR="005E2509" w:rsidRPr="000D0BE3">
        <w:t>with over 62</w:t>
      </w:r>
      <w:r w:rsidR="00B84988">
        <w:t xml:space="preserve"> per cent of inhabitants</w:t>
      </w:r>
      <w:r w:rsidR="00B84988" w:rsidRPr="000D0BE3">
        <w:t xml:space="preserve"> </w:t>
      </w:r>
      <w:r w:rsidR="005E2509" w:rsidRPr="000D0BE3">
        <w:t>living below the poverty line</w:t>
      </w:r>
      <w:r w:rsidRPr="000D0BE3">
        <w:t xml:space="preserve">. </w:t>
      </w:r>
      <w:r w:rsidR="00A51510">
        <w:t>E</w:t>
      </w:r>
      <w:r w:rsidR="00360B8A" w:rsidRPr="000D0BE3">
        <w:t xml:space="preserve">conomic opportunities offered by </w:t>
      </w:r>
      <w:r w:rsidR="002961B5">
        <w:t>the</w:t>
      </w:r>
      <w:r w:rsidR="00D65E2A" w:rsidRPr="000D0BE3">
        <w:t xml:space="preserve"> </w:t>
      </w:r>
      <w:r w:rsidR="002C4736" w:rsidRPr="002C4736">
        <w:t>1,420</w:t>
      </w:r>
      <w:r w:rsidR="00B84988">
        <w:t xml:space="preserve"> kilometre</w:t>
      </w:r>
      <w:r w:rsidR="00B84988" w:rsidRPr="000D0BE3">
        <w:t xml:space="preserve"> </w:t>
      </w:r>
      <w:r w:rsidR="00D65E2A" w:rsidRPr="000D0BE3">
        <w:t xml:space="preserve">coast line and </w:t>
      </w:r>
      <w:r w:rsidR="002C4736" w:rsidRPr="000D0BE3">
        <w:t>230,000</w:t>
      </w:r>
      <w:r w:rsidR="00B84988">
        <w:t xml:space="preserve"> square kilometre</w:t>
      </w:r>
      <w:r w:rsidR="00B84988" w:rsidRPr="00C8493C">
        <w:rPr>
          <w:vertAlign w:val="superscript"/>
        </w:rPr>
        <w:t xml:space="preserve"> </w:t>
      </w:r>
      <w:r w:rsidR="00D65E2A" w:rsidRPr="000D0BE3">
        <w:t>maritime territory</w:t>
      </w:r>
      <w:r w:rsidR="00360B8A" w:rsidRPr="000D0BE3">
        <w:t xml:space="preserve"> </w:t>
      </w:r>
      <w:r w:rsidR="008C1C62">
        <w:t>remain</w:t>
      </w:r>
      <w:r w:rsidR="005443A5">
        <w:t xml:space="preserve"> </w:t>
      </w:r>
      <w:r w:rsidR="00360B8A" w:rsidRPr="000D0BE3">
        <w:t xml:space="preserve">largely underdeveloped.   </w:t>
      </w:r>
    </w:p>
    <w:p w14:paraId="3B3D7651" w14:textId="77777777" w:rsidR="00C8493C" w:rsidRPr="00812104" w:rsidRDefault="00C8493C" w:rsidP="00812104">
      <w:pPr>
        <w:pStyle w:val="ListParagraph"/>
        <w:ind w:left="1080" w:right="940"/>
        <w:rPr>
          <w:sz w:val="12"/>
          <w:szCs w:val="12"/>
        </w:rPr>
      </w:pPr>
    </w:p>
    <w:p w14:paraId="3FF0CE74" w14:textId="08DC5F55" w:rsidR="00C8493C" w:rsidRDefault="00E07651" w:rsidP="00812104">
      <w:pPr>
        <w:pStyle w:val="ListParagraph"/>
        <w:numPr>
          <w:ilvl w:val="0"/>
          <w:numId w:val="2"/>
        </w:numPr>
        <w:ind w:left="1080" w:right="940" w:firstLine="0"/>
        <w:contextualSpacing/>
        <w:jc w:val="both"/>
      </w:pPr>
      <w:r>
        <w:t>P</w:t>
      </w:r>
      <w:r w:rsidR="002765BC" w:rsidRPr="000D0BE3">
        <w:t xml:space="preserve">overty is feminized. </w:t>
      </w:r>
      <w:r w:rsidR="002C4736">
        <w:t>T</w:t>
      </w:r>
      <w:r w:rsidR="002765BC" w:rsidRPr="000D0BE3">
        <w:t>he World Bank (2014)</w:t>
      </w:r>
      <w:r w:rsidR="002C4736">
        <w:t xml:space="preserve"> states </w:t>
      </w:r>
      <w:r w:rsidR="00B84988">
        <w:t xml:space="preserve">that the incidence of </w:t>
      </w:r>
      <w:r w:rsidR="002C4736">
        <w:t xml:space="preserve">female </w:t>
      </w:r>
      <w:r w:rsidR="002765BC" w:rsidRPr="000D0BE3">
        <w:t xml:space="preserve">poverty </w:t>
      </w:r>
      <w:r>
        <w:t xml:space="preserve">is </w:t>
      </w:r>
      <w:r w:rsidR="002765BC" w:rsidRPr="000D0BE3">
        <w:t xml:space="preserve">higher across </w:t>
      </w:r>
      <w:r w:rsidR="001B44FA">
        <w:t>several</w:t>
      </w:r>
      <w:r w:rsidR="002765BC" w:rsidRPr="000D0BE3">
        <w:t xml:space="preserve"> dimensions including </w:t>
      </w:r>
      <w:r w:rsidR="002126B0" w:rsidRPr="000D0BE3">
        <w:t>less likelihood</w:t>
      </w:r>
      <w:r w:rsidR="002765BC" w:rsidRPr="000D0BE3">
        <w:t xml:space="preserve"> </w:t>
      </w:r>
      <w:r w:rsidR="002C4736">
        <w:t xml:space="preserve">of </w:t>
      </w:r>
      <w:r w:rsidR="002126B0" w:rsidRPr="000D0BE3">
        <w:t xml:space="preserve">formal </w:t>
      </w:r>
      <w:r w:rsidR="002765BC" w:rsidRPr="000D0BE3">
        <w:t>employment</w:t>
      </w:r>
      <w:r w:rsidR="001A02A6">
        <w:t>,</w:t>
      </w:r>
      <w:r w:rsidR="00E62C1C">
        <w:t xml:space="preserve"> unequal access and capacity to</w:t>
      </w:r>
      <w:r w:rsidR="00E62C1C" w:rsidRPr="00E62C1C">
        <w:t xml:space="preserve"> dispose of land and poor access to credit</w:t>
      </w:r>
      <w:r w:rsidR="001B44FA">
        <w:t xml:space="preserve">. </w:t>
      </w:r>
      <w:r w:rsidR="00C122DC" w:rsidRPr="000D0BE3">
        <w:t xml:space="preserve">This </w:t>
      </w:r>
      <w:r w:rsidR="000B5A2C" w:rsidRPr="000D0BE3">
        <w:t xml:space="preserve">is </w:t>
      </w:r>
      <w:r w:rsidR="002126B0" w:rsidRPr="000D0BE3">
        <w:t>exacerbated</w:t>
      </w:r>
      <w:r w:rsidR="00C122DC" w:rsidRPr="000D0BE3">
        <w:t xml:space="preserve"> by</w:t>
      </w:r>
      <w:r w:rsidR="00823BF8" w:rsidRPr="000D0BE3">
        <w:t xml:space="preserve"> </w:t>
      </w:r>
      <w:r w:rsidR="002126B0" w:rsidRPr="000D0BE3">
        <w:t xml:space="preserve">a </w:t>
      </w:r>
      <w:r w:rsidR="00823BF8" w:rsidRPr="000D0BE3">
        <w:t>higher disease burden</w:t>
      </w:r>
      <w:r w:rsidR="002126B0" w:rsidRPr="000D0BE3">
        <w:t xml:space="preserve"> for women</w:t>
      </w:r>
      <w:r w:rsidR="00823BF8" w:rsidRPr="000D0BE3">
        <w:t xml:space="preserve">, </w:t>
      </w:r>
      <w:r w:rsidR="002C4736">
        <w:t>particularly</w:t>
      </w:r>
      <w:r w:rsidR="00823BF8" w:rsidRPr="000D0BE3">
        <w:t xml:space="preserve"> HIV</w:t>
      </w:r>
      <w:r w:rsidR="00B84988">
        <w:t>/</w:t>
      </w:r>
      <w:r w:rsidR="00823BF8" w:rsidRPr="000D0BE3">
        <w:t>AIDS</w:t>
      </w:r>
      <w:r w:rsidR="002765BC" w:rsidRPr="000D0BE3">
        <w:t>.</w:t>
      </w:r>
      <w:r w:rsidR="000A62C7">
        <w:rPr>
          <w:rStyle w:val="FootnoteReference"/>
        </w:rPr>
        <w:footnoteReference w:id="13"/>
      </w:r>
      <w:r w:rsidR="002765BC" w:rsidRPr="000D0BE3">
        <w:t xml:space="preserve"> In 2015, the Gender Inequality Index ranked Kenya 135</w:t>
      </w:r>
      <w:r w:rsidR="00B84988">
        <w:t xml:space="preserve"> of </w:t>
      </w:r>
      <w:r w:rsidR="002765BC" w:rsidRPr="000D0BE3">
        <w:t xml:space="preserve">159 </w:t>
      </w:r>
      <w:r w:rsidR="00B84988">
        <w:t xml:space="preserve">countries </w:t>
      </w:r>
      <w:r w:rsidR="002765BC" w:rsidRPr="000D0BE3">
        <w:t xml:space="preserve">with a score of 0.565, </w:t>
      </w:r>
      <w:r w:rsidR="002126B0" w:rsidRPr="000D0BE3">
        <w:t>illustrating</w:t>
      </w:r>
      <w:r w:rsidR="002765BC" w:rsidRPr="000D0BE3">
        <w:t xml:space="preserve"> significant gender gaps in human development</w:t>
      </w:r>
      <w:r w:rsidR="002126B0" w:rsidRPr="000D0BE3">
        <w:t>.</w:t>
      </w:r>
      <w:r w:rsidR="000A62C7">
        <w:rPr>
          <w:rStyle w:val="FootnoteReference"/>
        </w:rPr>
        <w:footnoteReference w:id="14"/>
      </w:r>
      <w:r w:rsidR="002126B0" w:rsidRPr="000D0BE3">
        <w:t xml:space="preserve"> </w:t>
      </w:r>
    </w:p>
    <w:p w14:paraId="142D077E" w14:textId="77777777" w:rsidR="00C8493C" w:rsidRPr="00812104" w:rsidRDefault="00C8493C" w:rsidP="00812104">
      <w:pPr>
        <w:pStyle w:val="ListParagraph"/>
        <w:ind w:left="1080" w:right="940"/>
        <w:rPr>
          <w:sz w:val="12"/>
          <w:szCs w:val="12"/>
        </w:rPr>
      </w:pPr>
    </w:p>
    <w:p w14:paraId="1E852DF7" w14:textId="0820BD2A" w:rsidR="00C8493C" w:rsidRDefault="0020346B" w:rsidP="00812104">
      <w:pPr>
        <w:pStyle w:val="ListParagraph"/>
        <w:numPr>
          <w:ilvl w:val="0"/>
          <w:numId w:val="2"/>
        </w:numPr>
        <w:ind w:left="1080" w:right="940" w:firstLine="0"/>
        <w:contextualSpacing/>
        <w:jc w:val="both"/>
      </w:pPr>
      <w:r w:rsidRPr="000D0BE3">
        <w:t>S</w:t>
      </w:r>
      <w:r w:rsidR="002765BC" w:rsidRPr="000D0BE3">
        <w:t xml:space="preserve">low structural transformation </w:t>
      </w:r>
      <w:r w:rsidR="002707A4">
        <w:t>in</w:t>
      </w:r>
      <w:r w:rsidR="002765BC" w:rsidRPr="000D0BE3">
        <w:t xml:space="preserve"> production and </w:t>
      </w:r>
      <w:r w:rsidR="00702CA2" w:rsidRPr="000D0BE3">
        <w:t>labo</w:t>
      </w:r>
      <w:r w:rsidR="001A02A6">
        <w:t>u</w:t>
      </w:r>
      <w:r w:rsidR="00702CA2" w:rsidRPr="000D0BE3">
        <w:t>r</w:t>
      </w:r>
      <w:r w:rsidR="002765BC" w:rsidRPr="000D0BE3">
        <w:t xml:space="preserve"> markets has resulted in</w:t>
      </w:r>
      <w:r w:rsidR="00E62C1C">
        <w:t xml:space="preserve"> most</w:t>
      </w:r>
      <w:r w:rsidR="002765BC" w:rsidRPr="000D0BE3">
        <w:t xml:space="preserve"> workers </w:t>
      </w:r>
      <w:r w:rsidR="001A02A6">
        <w:t xml:space="preserve">being </w:t>
      </w:r>
      <w:r w:rsidR="002765BC" w:rsidRPr="000D0BE3">
        <w:t>confined to low earning jobs or the informal sector</w:t>
      </w:r>
      <w:r w:rsidR="00E62C1C">
        <w:t xml:space="preserve"> and</w:t>
      </w:r>
      <w:r w:rsidRPr="000D0BE3">
        <w:t xml:space="preserve"> is another underlying cause of poverty</w:t>
      </w:r>
      <w:r w:rsidR="00702CA2">
        <w:t>.  The Medium-Term Plan II</w:t>
      </w:r>
      <w:r w:rsidR="002765BC" w:rsidRPr="000D0BE3">
        <w:t xml:space="preserve"> (MTP II) 2013-2017 projected</w:t>
      </w:r>
      <w:r w:rsidR="002C4736">
        <w:t xml:space="preserve"> </w:t>
      </w:r>
      <w:r w:rsidR="002765BC" w:rsidRPr="000D0BE3">
        <w:t xml:space="preserve">the creation of ~1 million jobs </w:t>
      </w:r>
      <w:r w:rsidR="002765BC" w:rsidRPr="000D0BE3">
        <w:lastRenderedPageBreak/>
        <w:t xml:space="preserve">per year </w:t>
      </w:r>
      <w:r w:rsidR="00E62C1C">
        <w:t xml:space="preserve">between </w:t>
      </w:r>
      <w:r w:rsidR="002765BC" w:rsidRPr="000D0BE3">
        <w:t>2013</w:t>
      </w:r>
      <w:r w:rsidR="001A02A6">
        <w:t xml:space="preserve"> and </w:t>
      </w:r>
      <w:r w:rsidR="002765BC" w:rsidRPr="000D0BE3">
        <w:t xml:space="preserve">2017. </w:t>
      </w:r>
      <w:r w:rsidR="00AF6775">
        <w:t>Data from t</w:t>
      </w:r>
      <w:r w:rsidR="00AF6775" w:rsidRPr="000D0BE3">
        <w:t xml:space="preserve">he </w:t>
      </w:r>
      <w:r w:rsidR="002765BC" w:rsidRPr="000D0BE3">
        <w:t xml:space="preserve">MTP II </w:t>
      </w:r>
      <w:r w:rsidR="001A02A6">
        <w:t>m</w:t>
      </w:r>
      <w:r w:rsidR="002765BC" w:rsidRPr="000D0BE3">
        <w:t>id</w:t>
      </w:r>
      <w:r w:rsidR="001A02A6">
        <w:t>t</w:t>
      </w:r>
      <w:r w:rsidR="002765BC" w:rsidRPr="000D0BE3">
        <w:t xml:space="preserve">erm </w:t>
      </w:r>
      <w:r w:rsidR="001A02A6">
        <w:t>r</w:t>
      </w:r>
      <w:r w:rsidR="002765BC" w:rsidRPr="000D0BE3">
        <w:t>eview</w:t>
      </w:r>
      <w:r w:rsidR="00702CA2">
        <w:t xml:space="preserve"> (</w:t>
      </w:r>
      <w:r w:rsidR="002765BC" w:rsidRPr="000D0BE3">
        <w:t>2017</w:t>
      </w:r>
      <w:r w:rsidR="00702CA2">
        <w:t>)</w:t>
      </w:r>
      <w:r w:rsidR="002765BC" w:rsidRPr="000D0BE3">
        <w:t xml:space="preserve"> show</w:t>
      </w:r>
      <w:r w:rsidR="002126B0" w:rsidRPr="000D0BE3">
        <w:t xml:space="preserve">, however, </w:t>
      </w:r>
      <w:r w:rsidR="002765BC" w:rsidRPr="000D0BE3">
        <w:t xml:space="preserve">that between 2014 </w:t>
      </w:r>
      <w:r w:rsidR="00702CA2">
        <w:t>and</w:t>
      </w:r>
      <w:r w:rsidR="002765BC" w:rsidRPr="000D0BE3">
        <w:t xml:space="preserve"> 2015, </w:t>
      </w:r>
      <w:r w:rsidR="00AF6775">
        <w:t xml:space="preserve">the number of </w:t>
      </w:r>
      <w:r w:rsidR="002765BC" w:rsidRPr="000D0BE3">
        <w:t xml:space="preserve">new jobs </w:t>
      </w:r>
      <w:r w:rsidR="00AF6775">
        <w:t>was</w:t>
      </w:r>
      <w:r w:rsidR="00AF6775" w:rsidRPr="000D0BE3">
        <w:t xml:space="preserve"> </w:t>
      </w:r>
      <w:r w:rsidR="002765BC" w:rsidRPr="000D0BE3">
        <w:t xml:space="preserve">estimated at </w:t>
      </w:r>
      <w:r w:rsidR="00E62C1C">
        <w:t xml:space="preserve">only </w:t>
      </w:r>
      <w:r w:rsidR="002765BC" w:rsidRPr="000D0BE3">
        <w:t>799,700 and 841,600, respectively</w:t>
      </w:r>
      <w:r w:rsidR="002126B0" w:rsidRPr="000D0BE3">
        <w:t xml:space="preserve">. </w:t>
      </w:r>
      <w:r w:rsidR="00E62C1C">
        <w:t xml:space="preserve">Furthermore, </w:t>
      </w:r>
      <w:r w:rsidR="002765BC" w:rsidRPr="000D0BE3">
        <w:t>~83</w:t>
      </w:r>
      <w:r w:rsidR="001A02A6">
        <w:t xml:space="preserve"> per cent</w:t>
      </w:r>
      <w:r w:rsidR="002765BC" w:rsidRPr="000D0BE3">
        <w:t xml:space="preserve"> of the</w:t>
      </w:r>
      <w:r w:rsidR="00126970">
        <w:t>se</w:t>
      </w:r>
      <w:r w:rsidR="002765BC" w:rsidRPr="000D0BE3">
        <w:t xml:space="preserve"> </w:t>
      </w:r>
      <w:r w:rsidR="002C4736">
        <w:t>were</w:t>
      </w:r>
      <w:r w:rsidR="002765BC" w:rsidRPr="000D0BE3">
        <w:t xml:space="preserve"> in the informal sector</w:t>
      </w:r>
      <w:r w:rsidR="00AF6775">
        <w:t>,</w:t>
      </w:r>
      <w:r w:rsidR="000A62C7">
        <w:rPr>
          <w:rStyle w:val="FootnoteReference"/>
        </w:rPr>
        <w:footnoteReference w:id="15"/>
      </w:r>
      <w:r w:rsidR="002765BC" w:rsidRPr="000D0BE3">
        <w:t xml:space="preserve"> which is characterized by low </w:t>
      </w:r>
      <w:r w:rsidR="00702CA2" w:rsidRPr="000D0BE3">
        <w:t>labo</w:t>
      </w:r>
      <w:r w:rsidR="00AF6775">
        <w:t>u</w:t>
      </w:r>
      <w:r w:rsidR="00702CA2" w:rsidRPr="000D0BE3">
        <w:t>r</w:t>
      </w:r>
      <w:r w:rsidR="002765BC" w:rsidRPr="000D0BE3">
        <w:t xml:space="preserve"> productivity</w:t>
      </w:r>
      <w:r w:rsidR="002C4736">
        <w:t xml:space="preserve"> and </w:t>
      </w:r>
      <w:r w:rsidR="002765BC" w:rsidRPr="000D0BE3">
        <w:t xml:space="preserve">earnings, </w:t>
      </w:r>
      <w:r w:rsidR="00126970">
        <w:t>poor</w:t>
      </w:r>
      <w:r w:rsidR="002765BC" w:rsidRPr="000D0BE3">
        <w:t xml:space="preserve"> job security and </w:t>
      </w:r>
      <w:r w:rsidR="002707A4">
        <w:t xml:space="preserve">no </w:t>
      </w:r>
      <w:r w:rsidR="002765BC" w:rsidRPr="000D0BE3">
        <w:t xml:space="preserve">social protection. </w:t>
      </w:r>
      <w:r w:rsidR="001A02A6">
        <w:t>The number of jobs in the i</w:t>
      </w:r>
      <w:r w:rsidR="002765BC" w:rsidRPr="000D0BE3">
        <w:t xml:space="preserve">nformal </w:t>
      </w:r>
      <w:r w:rsidR="001A02A6">
        <w:t>sector</w:t>
      </w:r>
      <w:r w:rsidR="002765BC" w:rsidRPr="000D0BE3">
        <w:t xml:space="preserve"> is growing faster </w:t>
      </w:r>
      <w:r w:rsidR="002707A4">
        <w:t xml:space="preserve">than </w:t>
      </w:r>
      <w:r w:rsidR="001A02A6">
        <w:t xml:space="preserve">in </w:t>
      </w:r>
      <w:r w:rsidR="002707A4">
        <w:t xml:space="preserve">the formal </w:t>
      </w:r>
      <w:r w:rsidR="00AF6775">
        <w:t xml:space="preserve">sector, </w:t>
      </w:r>
      <w:r w:rsidR="002765BC" w:rsidRPr="000D0BE3">
        <w:t xml:space="preserve">rising by </w:t>
      </w:r>
      <w:r w:rsidR="00126970">
        <w:t>~</w:t>
      </w:r>
      <w:r w:rsidR="002765BC" w:rsidRPr="000D0BE3">
        <w:t xml:space="preserve">4 million </w:t>
      </w:r>
      <w:r w:rsidR="002707A4">
        <w:t xml:space="preserve">compared to </w:t>
      </w:r>
      <w:r w:rsidR="002765BC" w:rsidRPr="000D0BE3">
        <w:t>60,000 since 2009</w:t>
      </w:r>
      <w:r w:rsidR="00AF6775">
        <w:t>,</w:t>
      </w:r>
      <w:r w:rsidR="00AF6775" w:rsidRPr="000D0BE3">
        <w:t xml:space="preserve"> </w:t>
      </w:r>
      <w:r w:rsidR="002765BC" w:rsidRPr="000D0BE3">
        <w:t xml:space="preserve">while the share of the formal economy in total employment shrunk to 17 </w:t>
      </w:r>
      <w:r w:rsidR="00AF6775">
        <w:t>per cent</w:t>
      </w:r>
      <w:r w:rsidR="00AF6775" w:rsidRPr="000D0BE3">
        <w:t xml:space="preserve"> </w:t>
      </w:r>
      <w:r w:rsidR="002765BC" w:rsidRPr="000D0BE3">
        <w:t xml:space="preserve">from 19 </w:t>
      </w:r>
      <w:r w:rsidR="00AF6775">
        <w:t>per cent</w:t>
      </w:r>
      <w:r w:rsidR="002765BC" w:rsidRPr="000D0BE3">
        <w:t>.</w:t>
      </w:r>
      <w:r w:rsidR="000A62C7">
        <w:rPr>
          <w:rStyle w:val="FootnoteReference"/>
        </w:rPr>
        <w:footnoteReference w:id="16"/>
      </w:r>
      <w:r w:rsidR="002765BC" w:rsidRPr="000D0BE3">
        <w:t xml:space="preserve"> The formal sector, which generates ~20 </w:t>
      </w:r>
      <w:r w:rsidR="00AF6775">
        <w:t>per cent</w:t>
      </w:r>
      <w:r w:rsidR="00AF6775" w:rsidRPr="000D0BE3">
        <w:t xml:space="preserve"> </w:t>
      </w:r>
      <w:r w:rsidR="002765BC" w:rsidRPr="000D0BE3">
        <w:t xml:space="preserve">of the jobs required to absorb the </w:t>
      </w:r>
      <w:r w:rsidR="00EE678C" w:rsidRPr="000D0BE3">
        <w:t>labo</w:t>
      </w:r>
      <w:r w:rsidR="00AF6775">
        <w:t>u</w:t>
      </w:r>
      <w:r w:rsidR="00EE678C" w:rsidRPr="000D0BE3">
        <w:t>r</w:t>
      </w:r>
      <w:r w:rsidR="002765BC" w:rsidRPr="000D0BE3">
        <w:t xml:space="preserve"> force, is growing at only ~2.9 </w:t>
      </w:r>
      <w:r w:rsidR="00AF6775">
        <w:t>per cent</w:t>
      </w:r>
      <w:r w:rsidR="00AF6775" w:rsidRPr="000D0BE3">
        <w:t xml:space="preserve"> </w:t>
      </w:r>
      <w:r w:rsidR="002765BC" w:rsidRPr="000D0BE3">
        <w:t xml:space="preserve">per annum. </w:t>
      </w:r>
      <w:r w:rsidR="00D73AB0" w:rsidRPr="00D73AB0">
        <w:t>With unemployment at 21.8</w:t>
      </w:r>
      <w:r w:rsidR="00AF6775">
        <w:t xml:space="preserve"> per cent</w:t>
      </w:r>
      <w:r w:rsidR="00D73AB0" w:rsidRPr="00D73AB0">
        <w:t xml:space="preserve"> among youth </w:t>
      </w:r>
      <w:r w:rsidR="00AF6775">
        <w:t xml:space="preserve">aged </w:t>
      </w:r>
      <w:r w:rsidR="00D73AB0" w:rsidRPr="00D73AB0">
        <w:t xml:space="preserve">18 </w:t>
      </w:r>
      <w:r w:rsidR="00EE678C">
        <w:t>to</w:t>
      </w:r>
      <w:r w:rsidR="00D73AB0" w:rsidRPr="00D73AB0">
        <w:t xml:space="preserve"> 24</w:t>
      </w:r>
      <w:r w:rsidR="00AF6775">
        <w:t>,</w:t>
      </w:r>
      <w:r w:rsidR="000A62C7">
        <w:rPr>
          <w:rStyle w:val="FootnoteReference"/>
        </w:rPr>
        <w:footnoteReference w:id="17"/>
      </w:r>
      <w:r w:rsidR="00D73AB0" w:rsidRPr="00D73AB0">
        <w:t xml:space="preserve"> there is pressure </w:t>
      </w:r>
      <w:r w:rsidR="008F672A" w:rsidRPr="000D0BE3">
        <w:t>to</w:t>
      </w:r>
      <w:r w:rsidR="002765BC" w:rsidRPr="000D0BE3">
        <w:t xml:space="preserve"> </w:t>
      </w:r>
      <w:r w:rsidR="00986EDC" w:rsidRPr="000D0BE3">
        <w:t>spur growth</w:t>
      </w:r>
      <w:r w:rsidR="002765BC" w:rsidRPr="000D0BE3">
        <w:t xml:space="preserve"> </w:t>
      </w:r>
      <w:r w:rsidRPr="000D0BE3">
        <w:t>in the</w:t>
      </w:r>
      <w:r w:rsidR="002765BC" w:rsidRPr="000D0BE3">
        <w:t xml:space="preserve"> formal </w:t>
      </w:r>
      <w:r w:rsidR="002707A4">
        <w:t xml:space="preserve">employment </w:t>
      </w:r>
      <w:r w:rsidR="002765BC" w:rsidRPr="000D0BE3">
        <w:t xml:space="preserve">sector </w:t>
      </w:r>
      <w:r w:rsidR="002707A4">
        <w:t>t</w:t>
      </w:r>
      <w:r w:rsidR="001B1437">
        <w:t xml:space="preserve">o </w:t>
      </w:r>
      <w:r w:rsidR="008F672A" w:rsidRPr="000D0BE3">
        <w:t xml:space="preserve">sustain </w:t>
      </w:r>
      <w:r w:rsidR="001B1437">
        <w:t xml:space="preserve">a middle-income </w:t>
      </w:r>
      <w:r w:rsidR="00D73AB0">
        <w:t xml:space="preserve">growth </w:t>
      </w:r>
      <w:r w:rsidR="008F672A" w:rsidRPr="000D0BE3">
        <w:t>trajectory</w:t>
      </w:r>
      <w:r w:rsidR="001B1437">
        <w:t xml:space="preserve"> including </w:t>
      </w:r>
      <w:r w:rsidR="002765BC" w:rsidRPr="000D0BE3">
        <w:t>in the productive sectors</w:t>
      </w:r>
      <w:r w:rsidR="002707A4">
        <w:t xml:space="preserve"> through </w:t>
      </w:r>
      <w:r w:rsidR="002765BC" w:rsidRPr="000D0BE3">
        <w:t>employment creation and cataly</w:t>
      </w:r>
      <w:r w:rsidR="002707A4">
        <w:t>tic</w:t>
      </w:r>
      <w:r w:rsidR="002765BC" w:rsidRPr="000D0BE3">
        <w:t xml:space="preserve"> structural economic transformation. </w:t>
      </w:r>
    </w:p>
    <w:p w14:paraId="76411141" w14:textId="77777777" w:rsidR="00C8493C" w:rsidRPr="00812104" w:rsidRDefault="00C8493C" w:rsidP="00812104">
      <w:pPr>
        <w:pStyle w:val="ListParagraph"/>
        <w:ind w:left="1080" w:right="940"/>
        <w:contextualSpacing/>
        <w:jc w:val="both"/>
        <w:rPr>
          <w:sz w:val="12"/>
          <w:szCs w:val="12"/>
        </w:rPr>
      </w:pPr>
    </w:p>
    <w:p w14:paraId="393FD11E" w14:textId="1609CC43" w:rsidR="00C8493C" w:rsidRDefault="002765BC" w:rsidP="00812104">
      <w:pPr>
        <w:pStyle w:val="ListParagraph"/>
        <w:numPr>
          <w:ilvl w:val="0"/>
          <w:numId w:val="2"/>
        </w:numPr>
        <w:ind w:left="1080" w:right="940" w:firstLine="0"/>
        <w:contextualSpacing/>
        <w:jc w:val="both"/>
      </w:pPr>
      <w:r w:rsidRPr="000D0BE3">
        <w:t xml:space="preserve">Another causal factor </w:t>
      </w:r>
      <w:r w:rsidR="001B1437">
        <w:t xml:space="preserve">of poverty </w:t>
      </w:r>
      <w:r w:rsidRPr="000D0BE3">
        <w:t>is</w:t>
      </w:r>
      <w:r w:rsidR="00470866" w:rsidRPr="000D0BE3">
        <w:t xml:space="preserve"> </w:t>
      </w:r>
      <w:r w:rsidR="00500A96">
        <w:t xml:space="preserve">weak </w:t>
      </w:r>
      <w:r w:rsidR="00470866" w:rsidRPr="000D0BE3">
        <w:t xml:space="preserve">governance </w:t>
      </w:r>
      <w:r w:rsidR="00500A96">
        <w:t xml:space="preserve">where the </w:t>
      </w:r>
      <w:r w:rsidR="00470866" w:rsidRPr="000D0BE3">
        <w:t>political economy</w:t>
      </w:r>
      <w:r w:rsidR="00500A96">
        <w:t xml:space="preserve"> </w:t>
      </w:r>
      <w:r w:rsidR="005255C2" w:rsidRPr="005E6F5B">
        <w:t>may be compromised by corruption</w:t>
      </w:r>
      <w:r w:rsidR="00470866" w:rsidRPr="000D0BE3">
        <w:t>.</w:t>
      </w:r>
      <w:r w:rsidR="000A62C7">
        <w:rPr>
          <w:rStyle w:val="FootnoteReference"/>
        </w:rPr>
        <w:footnoteReference w:id="18"/>
      </w:r>
      <w:r w:rsidR="00470866" w:rsidRPr="000D0BE3">
        <w:t xml:space="preserve"> Although the 2017 </w:t>
      </w:r>
      <w:r w:rsidR="001F090F" w:rsidRPr="000D0BE3">
        <w:t xml:space="preserve">Mo </w:t>
      </w:r>
      <w:r w:rsidR="00470866" w:rsidRPr="000D0BE3">
        <w:t>Ibrahim Index on Governance in Africa ranked Kenya 13</w:t>
      </w:r>
      <w:r w:rsidR="00AF6775">
        <w:t xml:space="preserve"> of </w:t>
      </w:r>
      <w:r w:rsidR="00470866" w:rsidRPr="000D0BE3">
        <w:t xml:space="preserve">53 </w:t>
      </w:r>
      <w:r w:rsidR="00AF6775">
        <w:t xml:space="preserve">countries </w:t>
      </w:r>
      <w:r w:rsidR="001A0E4B" w:rsidRPr="000D0BE3">
        <w:t>with</w:t>
      </w:r>
      <w:r w:rsidR="00470866" w:rsidRPr="000D0BE3">
        <w:t xml:space="preserve"> a score of 59.3</w:t>
      </w:r>
      <w:r w:rsidR="005E5DF5" w:rsidRPr="000D0BE3">
        <w:t>/</w:t>
      </w:r>
      <w:r w:rsidR="00470866" w:rsidRPr="000D0BE3">
        <w:t xml:space="preserve">100 with strengths </w:t>
      </w:r>
      <w:r w:rsidR="00500A96">
        <w:t>in</w:t>
      </w:r>
      <w:r w:rsidR="00470866" w:rsidRPr="000D0BE3">
        <w:t xml:space="preserve"> national security</w:t>
      </w:r>
      <w:r w:rsidR="00500A96">
        <w:t xml:space="preserve"> and</w:t>
      </w:r>
      <w:r w:rsidR="00470866" w:rsidRPr="000D0BE3">
        <w:t xml:space="preserve"> safety</w:t>
      </w:r>
      <w:r w:rsidR="00500A96">
        <w:t>, r</w:t>
      </w:r>
      <w:r w:rsidR="00470866" w:rsidRPr="000D0BE3">
        <w:t>ule of law, participation and h</w:t>
      </w:r>
      <w:r w:rsidR="00B81808" w:rsidRPr="000D0BE3">
        <w:t xml:space="preserve">uman rights and </w:t>
      </w:r>
      <w:r w:rsidR="001A0E4B" w:rsidRPr="000D0BE3">
        <w:t>gender</w:t>
      </w:r>
      <w:r w:rsidR="00AF6775">
        <w:t>, it cited</w:t>
      </w:r>
      <w:r w:rsidR="00AF6775" w:rsidRPr="000D0BE3">
        <w:t xml:space="preserve"> </w:t>
      </w:r>
      <w:r w:rsidR="001A0E4B" w:rsidRPr="000D0BE3">
        <w:t>major</w:t>
      </w:r>
      <w:r w:rsidR="00470866" w:rsidRPr="000D0BE3">
        <w:t xml:space="preserve"> weaknesses </w:t>
      </w:r>
      <w:r w:rsidR="00AF6775">
        <w:t>in</w:t>
      </w:r>
      <w:r w:rsidR="00470866" w:rsidRPr="000D0BE3">
        <w:t xml:space="preserve"> government accountability, corruption and bureaucracy</w:t>
      </w:r>
      <w:r w:rsidR="00B81808" w:rsidRPr="000D0BE3">
        <w:t>. The 2016 Transparency International Corruption Perception Index ranked Kenya 145</w:t>
      </w:r>
      <w:r w:rsidR="00AF6775">
        <w:t xml:space="preserve"> of </w:t>
      </w:r>
      <w:r w:rsidR="00B81808" w:rsidRPr="000D0BE3">
        <w:t>176 countries with a score of 26</w:t>
      </w:r>
      <w:r w:rsidR="005E5DF5" w:rsidRPr="000D0BE3">
        <w:t>/</w:t>
      </w:r>
      <w:r w:rsidR="00B81808" w:rsidRPr="000D0BE3">
        <w:t>100</w:t>
      </w:r>
      <w:r w:rsidR="00D96154">
        <w:t>,</w:t>
      </w:r>
      <w:r w:rsidR="00B81808" w:rsidRPr="000D0BE3">
        <w:t xml:space="preserve"> </w:t>
      </w:r>
      <w:r w:rsidR="001B1437">
        <w:t xml:space="preserve">noting </w:t>
      </w:r>
      <w:r w:rsidR="00B81808" w:rsidRPr="000D0BE3">
        <w:t xml:space="preserve">that corruption has a negative impact </w:t>
      </w:r>
      <w:r w:rsidR="001F090F" w:rsidRPr="000D0BE3">
        <w:t xml:space="preserve">on </w:t>
      </w:r>
      <w:r w:rsidR="00B81808" w:rsidRPr="000D0BE3">
        <w:t>accountability, qualit</w:t>
      </w:r>
      <w:r w:rsidR="001B1437">
        <w:t xml:space="preserve">y, access and </w:t>
      </w:r>
      <w:r w:rsidR="00B81808" w:rsidRPr="000D0BE3">
        <w:t xml:space="preserve">efficiency in the provision of public services. </w:t>
      </w:r>
    </w:p>
    <w:p w14:paraId="604631F4" w14:textId="77777777" w:rsidR="00C8493C" w:rsidRPr="00812104" w:rsidRDefault="00C8493C" w:rsidP="00812104">
      <w:pPr>
        <w:pStyle w:val="ListParagraph"/>
        <w:ind w:left="1080" w:right="940"/>
        <w:rPr>
          <w:sz w:val="12"/>
          <w:szCs w:val="12"/>
        </w:rPr>
      </w:pPr>
    </w:p>
    <w:p w14:paraId="7FF75778" w14:textId="0089F7A3" w:rsidR="00C8493C" w:rsidRDefault="00D73AB0" w:rsidP="00812104">
      <w:pPr>
        <w:pStyle w:val="ListParagraph"/>
        <w:numPr>
          <w:ilvl w:val="0"/>
          <w:numId w:val="2"/>
        </w:numPr>
        <w:ind w:left="1080" w:right="940" w:firstLine="0"/>
        <w:contextualSpacing/>
        <w:jc w:val="both"/>
      </w:pPr>
      <w:r>
        <w:t>Meanwhile, d</w:t>
      </w:r>
      <w:r w:rsidR="00B81808" w:rsidRPr="000D0BE3">
        <w:t xml:space="preserve">evolution has expanded the reach of services </w:t>
      </w:r>
      <w:r w:rsidR="00F9187A" w:rsidRPr="000D0BE3">
        <w:t xml:space="preserve">particularly in </w:t>
      </w:r>
      <w:r w:rsidR="00B81808" w:rsidRPr="000D0BE3">
        <w:t xml:space="preserve">the northern and coastal parts of the </w:t>
      </w:r>
      <w:r w:rsidR="00CD602B" w:rsidRPr="000D0BE3">
        <w:t>country. Increased</w:t>
      </w:r>
      <w:r w:rsidR="00B81808" w:rsidRPr="000D0BE3">
        <w:t xml:space="preserve"> budgetary allocation</w:t>
      </w:r>
      <w:r w:rsidR="00C137A3">
        <w:t>s</w:t>
      </w:r>
      <w:r w:rsidR="00F9187A" w:rsidRPr="000D0BE3">
        <w:t>,</w:t>
      </w:r>
      <w:r w:rsidR="00B81808" w:rsidRPr="000D0BE3">
        <w:t xml:space="preserve"> including </w:t>
      </w:r>
      <w:r w:rsidR="001A0E4B" w:rsidRPr="000D0BE3">
        <w:t xml:space="preserve">through </w:t>
      </w:r>
      <w:r w:rsidR="00B81808" w:rsidRPr="000D0BE3">
        <w:t>the marginalization fund</w:t>
      </w:r>
      <w:r w:rsidR="00F9187A" w:rsidRPr="000D0BE3">
        <w:t>,</w:t>
      </w:r>
      <w:r w:rsidR="00B81808" w:rsidRPr="000D0BE3">
        <w:t xml:space="preserve"> </w:t>
      </w:r>
      <w:r w:rsidR="00AF6775" w:rsidRPr="000D0BE3">
        <w:t>ha</w:t>
      </w:r>
      <w:r w:rsidR="00AF6775">
        <w:t>ve</w:t>
      </w:r>
      <w:r w:rsidR="00AF6775" w:rsidRPr="000D0BE3">
        <w:t xml:space="preserve"> </w:t>
      </w:r>
      <w:r w:rsidR="001F090F" w:rsidRPr="000D0BE3">
        <w:t>resulted</w:t>
      </w:r>
      <w:r w:rsidR="00B81808" w:rsidRPr="000D0BE3">
        <w:t xml:space="preserve"> in expanded road</w:t>
      </w:r>
      <w:r w:rsidR="00F9187A" w:rsidRPr="000D0BE3">
        <w:t xml:space="preserve"> and</w:t>
      </w:r>
      <w:r w:rsidR="00B81808" w:rsidRPr="000D0BE3">
        <w:t xml:space="preserve"> telecommunication</w:t>
      </w:r>
      <w:r w:rsidR="001A0E4B" w:rsidRPr="000D0BE3">
        <w:t xml:space="preserve"> infrastructure</w:t>
      </w:r>
      <w:r w:rsidR="001A02A6">
        <w:t>,</w:t>
      </w:r>
      <w:r w:rsidR="00B81808" w:rsidRPr="000D0BE3">
        <w:t xml:space="preserve"> oil and gas prospecting initiatives and</w:t>
      </w:r>
      <w:r w:rsidR="00C137A3">
        <w:t xml:space="preserve"> market access for local products</w:t>
      </w:r>
      <w:r w:rsidR="00CD602B" w:rsidRPr="000D0BE3">
        <w:t>.</w:t>
      </w:r>
      <w:r w:rsidR="000A62C7">
        <w:rPr>
          <w:rStyle w:val="FootnoteReference"/>
        </w:rPr>
        <w:footnoteReference w:id="19"/>
      </w:r>
      <w:r w:rsidR="00CD602B" w:rsidRPr="000D0BE3">
        <w:t xml:space="preserve"> Nonetheless</w:t>
      </w:r>
      <w:r w:rsidR="00EC1F59" w:rsidRPr="000D0BE3">
        <w:t xml:space="preserve">, </w:t>
      </w:r>
      <w:r w:rsidR="00CD602B" w:rsidRPr="000D0BE3">
        <w:t>t</w:t>
      </w:r>
      <w:r w:rsidR="00EC1F59" w:rsidRPr="000D0BE3">
        <w:t xml:space="preserve">he MTP III </w:t>
      </w:r>
      <w:r w:rsidR="00D96154">
        <w:t xml:space="preserve">Concept </w:t>
      </w:r>
      <w:r w:rsidR="001E396F" w:rsidRPr="00090C25">
        <w:t xml:space="preserve">Note </w:t>
      </w:r>
      <w:r w:rsidR="001E396F" w:rsidRPr="000D0BE3">
        <w:t>identified</w:t>
      </w:r>
      <w:r w:rsidR="00EC1F59" w:rsidRPr="000D0BE3">
        <w:t xml:space="preserve"> </w:t>
      </w:r>
      <w:r w:rsidR="00CD602B" w:rsidRPr="000D0BE3">
        <w:t>several challenges</w:t>
      </w:r>
      <w:r w:rsidR="00157B0C">
        <w:t xml:space="preserve"> for the 2018-</w:t>
      </w:r>
      <w:r w:rsidR="00EC1F59" w:rsidRPr="000D0BE3">
        <w:t>2023</w:t>
      </w:r>
      <w:r w:rsidR="00CD602B" w:rsidRPr="000D0BE3">
        <w:t xml:space="preserve"> period:</w:t>
      </w:r>
      <w:r w:rsidR="00EC1F59" w:rsidRPr="000D0BE3">
        <w:t xml:space="preserve"> </w:t>
      </w:r>
      <w:r w:rsidR="00C137A3">
        <w:t xml:space="preserve">clarification </w:t>
      </w:r>
      <w:r w:rsidR="00EC1F59" w:rsidRPr="000D0BE3">
        <w:t xml:space="preserve">of the roles and functions </w:t>
      </w:r>
      <w:r w:rsidR="00C137A3">
        <w:t>between</w:t>
      </w:r>
      <w:r w:rsidR="00EC1F59" w:rsidRPr="000D0BE3">
        <w:t xml:space="preserve"> national </w:t>
      </w:r>
      <w:r w:rsidR="00F9187A" w:rsidRPr="000D0BE3">
        <w:t xml:space="preserve">and county </w:t>
      </w:r>
      <w:r w:rsidR="00EC1F59" w:rsidRPr="000D0BE3">
        <w:t>government</w:t>
      </w:r>
      <w:r w:rsidR="00F9187A" w:rsidRPr="000D0BE3">
        <w:t>s;</w:t>
      </w:r>
      <w:r w:rsidR="00EC1F59" w:rsidRPr="000D0BE3">
        <w:t xml:space="preserve"> low county revenue</w:t>
      </w:r>
      <w:r w:rsidR="00F9187A" w:rsidRPr="000D0BE3">
        <w:t>;</w:t>
      </w:r>
      <w:r w:rsidR="00EC1F59" w:rsidRPr="000D0BE3">
        <w:t xml:space="preserve"> </w:t>
      </w:r>
      <w:r w:rsidR="00FD0FE6">
        <w:t xml:space="preserve">irregular </w:t>
      </w:r>
      <w:r w:rsidR="00B102BA">
        <w:t xml:space="preserve">county funds </w:t>
      </w:r>
      <w:r w:rsidR="00FD0FE6">
        <w:t>disbursement</w:t>
      </w:r>
      <w:r w:rsidR="00F9187A" w:rsidRPr="000D0BE3">
        <w:t xml:space="preserve">; and </w:t>
      </w:r>
      <w:r w:rsidR="00EC1F59" w:rsidRPr="000D0BE3">
        <w:t xml:space="preserve">misuse of public funds. </w:t>
      </w:r>
      <w:r w:rsidR="00EA219A">
        <w:t>P</w:t>
      </w:r>
      <w:r w:rsidR="00EC1F59" w:rsidRPr="000D0BE3">
        <w:t xml:space="preserve">ublic sector reforms </w:t>
      </w:r>
      <w:r w:rsidR="00CD602B" w:rsidRPr="000D0BE3">
        <w:t>are</w:t>
      </w:r>
      <w:r w:rsidR="00EC1F59" w:rsidRPr="000D0BE3">
        <w:t xml:space="preserve"> necessary to ensure a </w:t>
      </w:r>
      <w:r w:rsidR="00AB49E4">
        <w:t>“</w:t>
      </w:r>
      <w:r w:rsidR="00EC1F59" w:rsidRPr="000B1661">
        <w:t>fit for purpose</w:t>
      </w:r>
      <w:r w:rsidR="00AB49E4">
        <w:t>”</w:t>
      </w:r>
      <w:r w:rsidR="00EC1F59" w:rsidRPr="000D0BE3">
        <w:t xml:space="preserve"> public service, </w:t>
      </w:r>
      <w:r w:rsidR="00986EDC" w:rsidRPr="000D0BE3">
        <w:t xml:space="preserve">which is </w:t>
      </w:r>
      <w:r w:rsidR="00EC1F59" w:rsidRPr="000D0BE3">
        <w:t xml:space="preserve">integral to improved public service </w:t>
      </w:r>
      <w:r w:rsidR="00F9187A" w:rsidRPr="000D0BE3">
        <w:t xml:space="preserve">delivery </w:t>
      </w:r>
      <w:r w:rsidR="00C137A3">
        <w:t xml:space="preserve">and </w:t>
      </w:r>
      <w:r w:rsidR="00F9187A" w:rsidRPr="000D0BE3">
        <w:t>an</w:t>
      </w:r>
      <w:r w:rsidR="00EC1F59" w:rsidRPr="000D0BE3">
        <w:t xml:space="preserve"> increase in public trust</w:t>
      </w:r>
      <w:r w:rsidR="002707A4">
        <w:t xml:space="preserve">. </w:t>
      </w:r>
      <w:r>
        <w:t xml:space="preserve"> </w:t>
      </w:r>
    </w:p>
    <w:p w14:paraId="4EE3A422" w14:textId="77777777" w:rsidR="00C8493C" w:rsidRPr="00812104" w:rsidRDefault="00C8493C" w:rsidP="00812104">
      <w:pPr>
        <w:pStyle w:val="ListParagraph"/>
        <w:ind w:left="1080" w:right="940"/>
        <w:rPr>
          <w:sz w:val="12"/>
          <w:szCs w:val="12"/>
        </w:rPr>
      </w:pPr>
    </w:p>
    <w:p w14:paraId="0E1C8AD7" w14:textId="474254CD" w:rsidR="00C8493C" w:rsidRDefault="00C137A3" w:rsidP="00812104">
      <w:pPr>
        <w:pStyle w:val="ListParagraph"/>
        <w:numPr>
          <w:ilvl w:val="0"/>
          <w:numId w:val="2"/>
        </w:numPr>
        <w:ind w:left="1080" w:right="940" w:firstLine="0"/>
        <w:contextualSpacing/>
        <w:jc w:val="both"/>
      </w:pPr>
      <w:r>
        <w:t xml:space="preserve">Kenya was </w:t>
      </w:r>
      <w:r w:rsidRPr="00C137A3">
        <w:t>ranked 92</w:t>
      </w:r>
      <w:r w:rsidR="00AF6775">
        <w:t xml:space="preserve"> of </w:t>
      </w:r>
      <w:r w:rsidRPr="00C137A3">
        <w:t xml:space="preserve">167 </w:t>
      </w:r>
      <w:r w:rsidR="00AF6775">
        <w:t xml:space="preserve">countries </w:t>
      </w:r>
      <w:r>
        <w:t xml:space="preserve">in the </w:t>
      </w:r>
      <w:r w:rsidR="00F9187A" w:rsidRPr="000D0BE3">
        <w:t>2016 Economist Intelligence Unit Democracy Index</w:t>
      </w:r>
      <w:r>
        <w:t xml:space="preserve"> </w:t>
      </w:r>
      <w:r w:rsidR="00F9187A" w:rsidRPr="000D0BE3">
        <w:t xml:space="preserve">for </w:t>
      </w:r>
      <w:r w:rsidR="002765BC" w:rsidRPr="000D0BE3">
        <w:t>inclusive participation and representation</w:t>
      </w:r>
      <w:r w:rsidR="00157B0C">
        <w:t xml:space="preserve"> and </w:t>
      </w:r>
      <w:r w:rsidR="00F9187A" w:rsidRPr="000D0BE3">
        <w:t xml:space="preserve">is </w:t>
      </w:r>
      <w:r w:rsidR="00C20D5E" w:rsidRPr="000D0BE3">
        <w:t>classified as a hybrid democracy with a score of 5.33 (compared to full democracy scores of 8 to 10)</w:t>
      </w:r>
      <w:r w:rsidR="00F9187A" w:rsidRPr="000D0BE3">
        <w:t xml:space="preserve">. </w:t>
      </w:r>
      <w:r w:rsidR="00AF6775">
        <w:t>The l</w:t>
      </w:r>
      <w:r w:rsidR="00AF6775" w:rsidRPr="000D0BE3">
        <w:t xml:space="preserve">east </w:t>
      </w:r>
      <w:r w:rsidR="00C20D5E" w:rsidRPr="000D0BE3">
        <w:t xml:space="preserve">progress </w:t>
      </w:r>
      <w:r w:rsidR="00F9187A" w:rsidRPr="000D0BE3">
        <w:t xml:space="preserve">is cited </w:t>
      </w:r>
      <w:r w:rsidR="00C20D5E" w:rsidRPr="000D0BE3">
        <w:t>in</w:t>
      </w:r>
      <w:r w:rsidR="00F9187A" w:rsidRPr="000D0BE3">
        <w:t xml:space="preserve"> </w:t>
      </w:r>
      <w:r w:rsidR="002765BC" w:rsidRPr="000D0BE3">
        <w:t xml:space="preserve">electoral </w:t>
      </w:r>
      <w:r w:rsidR="00F9187A" w:rsidRPr="000D0BE3">
        <w:t>processes</w:t>
      </w:r>
      <w:r w:rsidR="002765BC" w:rsidRPr="000D0BE3">
        <w:t xml:space="preserve"> and pluralism (4.33</w:t>
      </w:r>
      <w:r w:rsidR="00AF6775" w:rsidRPr="000D0BE3">
        <w:t>)</w:t>
      </w:r>
      <w:r w:rsidR="00AF6775">
        <w:t>,</w:t>
      </w:r>
      <w:r w:rsidR="00AF6775" w:rsidRPr="000D0BE3">
        <w:t xml:space="preserve"> </w:t>
      </w:r>
      <w:r w:rsidR="005046E6" w:rsidRPr="000D0BE3">
        <w:t xml:space="preserve">civil liberties </w:t>
      </w:r>
      <w:r w:rsidR="00157B0C">
        <w:t>(</w:t>
      </w:r>
      <w:r w:rsidR="005046E6" w:rsidRPr="000D0BE3">
        <w:t>5.00</w:t>
      </w:r>
      <w:r w:rsidR="00AF6775">
        <w:t>),</w:t>
      </w:r>
      <w:r w:rsidR="00AF6775" w:rsidRPr="000D0BE3">
        <w:t xml:space="preserve"> </w:t>
      </w:r>
      <w:r w:rsidR="005046E6" w:rsidRPr="000D0BE3">
        <w:t xml:space="preserve">functioning of government </w:t>
      </w:r>
      <w:r w:rsidR="00157B0C">
        <w:t>(</w:t>
      </w:r>
      <w:r w:rsidR="005046E6" w:rsidRPr="000D0BE3">
        <w:t>5.00</w:t>
      </w:r>
      <w:r w:rsidR="00AF6775">
        <w:t>),</w:t>
      </w:r>
      <w:r w:rsidR="00AF6775" w:rsidRPr="000D0BE3">
        <w:t xml:space="preserve"> </w:t>
      </w:r>
      <w:r w:rsidR="005046E6" w:rsidRPr="000D0BE3">
        <w:t xml:space="preserve">political culture </w:t>
      </w:r>
      <w:r w:rsidR="00157B0C">
        <w:t>(</w:t>
      </w:r>
      <w:r w:rsidR="005046E6" w:rsidRPr="000D0BE3">
        <w:t>5.63</w:t>
      </w:r>
      <w:r w:rsidR="00157B0C">
        <w:t>)</w:t>
      </w:r>
      <w:r w:rsidR="005046E6" w:rsidRPr="000D0BE3">
        <w:t xml:space="preserve"> and p</w:t>
      </w:r>
      <w:r w:rsidR="002765BC" w:rsidRPr="000D0BE3">
        <w:t>olitical participation (6.67)</w:t>
      </w:r>
      <w:r w:rsidR="005046E6" w:rsidRPr="000D0BE3">
        <w:t xml:space="preserve">. </w:t>
      </w:r>
      <w:r w:rsidR="009C583D">
        <w:t>W</w:t>
      </w:r>
      <w:r w:rsidR="00FD0FE6">
        <w:t xml:space="preserve">hile </w:t>
      </w:r>
      <w:r w:rsidR="002765BC" w:rsidRPr="000D0BE3">
        <w:t xml:space="preserve">the proportion of </w:t>
      </w:r>
      <w:r w:rsidR="00EA219A">
        <w:t xml:space="preserve">Kenyan </w:t>
      </w:r>
      <w:r w:rsidR="002765BC" w:rsidRPr="000D0BE3">
        <w:t xml:space="preserve">women elected </w:t>
      </w:r>
      <w:r w:rsidR="00AB49E4">
        <w:t xml:space="preserve">to office </w:t>
      </w:r>
      <w:r w:rsidR="002765BC" w:rsidRPr="000D0BE3">
        <w:t>increased from 5.63</w:t>
      </w:r>
      <w:r w:rsidR="00AF6775">
        <w:t xml:space="preserve"> per cent</w:t>
      </w:r>
      <w:r w:rsidR="00AF6775" w:rsidRPr="000D0BE3">
        <w:t xml:space="preserve"> </w:t>
      </w:r>
      <w:r w:rsidR="002765BC" w:rsidRPr="000D0BE3">
        <w:t>in 2013 to 11.40</w:t>
      </w:r>
      <w:r w:rsidR="00AF6775">
        <w:t xml:space="preserve"> per cent</w:t>
      </w:r>
      <w:r w:rsidR="00AF6775" w:rsidRPr="000D0BE3">
        <w:t xml:space="preserve"> </w:t>
      </w:r>
      <w:r w:rsidR="002765BC" w:rsidRPr="000D0BE3">
        <w:t>in 2017</w:t>
      </w:r>
      <w:r w:rsidR="009C583D">
        <w:t>,</w:t>
      </w:r>
      <w:r w:rsidR="002765BC" w:rsidRPr="000D0BE3">
        <w:t xml:space="preserve"> </w:t>
      </w:r>
      <w:r w:rsidR="00F9187A" w:rsidRPr="000D0BE3">
        <w:t>with representation</w:t>
      </w:r>
      <w:r w:rsidR="002765BC" w:rsidRPr="000D0BE3">
        <w:t xml:space="preserve"> in </w:t>
      </w:r>
      <w:r w:rsidR="00F9187A" w:rsidRPr="000D0BE3">
        <w:t>the Na</w:t>
      </w:r>
      <w:r w:rsidR="002765BC" w:rsidRPr="000D0BE3">
        <w:t>tional Assembly at 21</w:t>
      </w:r>
      <w:r w:rsidR="00AF6775">
        <w:t xml:space="preserve"> per cent,</w:t>
      </w:r>
      <w:r w:rsidR="00AF6775" w:rsidRPr="000D0BE3">
        <w:t xml:space="preserve"> </w:t>
      </w:r>
      <w:r w:rsidR="002765BC" w:rsidRPr="000D0BE3">
        <w:t>up from 19.6</w:t>
      </w:r>
      <w:r w:rsidR="00AF6775">
        <w:t xml:space="preserve"> per cent</w:t>
      </w:r>
      <w:r w:rsidR="00AF6775" w:rsidRPr="000D0BE3">
        <w:t xml:space="preserve"> </w:t>
      </w:r>
      <w:r w:rsidR="002765BC" w:rsidRPr="000D0BE3">
        <w:t>in 2013</w:t>
      </w:r>
      <w:r w:rsidR="00AF6775">
        <w:t>,</w:t>
      </w:r>
      <w:r w:rsidR="004B6C23">
        <w:rPr>
          <w:rStyle w:val="FootnoteReference"/>
        </w:rPr>
        <w:footnoteReference w:id="20"/>
      </w:r>
      <w:r w:rsidR="00FD0FE6">
        <w:t xml:space="preserve"> </w:t>
      </w:r>
      <w:r w:rsidR="00F9187A" w:rsidRPr="000D0BE3">
        <w:t xml:space="preserve">Kenya still falls short of the </w:t>
      </w:r>
      <w:r w:rsidR="003504D3" w:rsidRPr="000D0BE3">
        <w:t>constitution</w:t>
      </w:r>
      <w:r w:rsidR="00F9187A" w:rsidRPr="000D0BE3">
        <w:t>al</w:t>
      </w:r>
      <w:r w:rsidR="003504D3" w:rsidRPr="000D0BE3">
        <w:t xml:space="preserve"> require</w:t>
      </w:r>
      <w:r w:rsidR="00F9187A" w:rsidRPr="000D0BE3">
        <w:t>ment</w:t>
      </w:r>
      <w:r w:rsidR="003504D3" w:rsidRPr="000D0BE3">
        <w:t xml:space="preserve"> that</w:t>
      </w:r>
      <w:r w:rsidR="002765BC" w:rsidRPr="000D0BE3">
        <w:t xml:space="preserve"> not more than two thirds of any gender </w:t>
      </w:r>
      <w:r w:rsidR="00986EDC" w:rsidRPr="000D0BE3">
        <w:t xml:space="preserve">can </w:t>
      </w:r>
      <w:r w:rsidR="003504D3" w:rsidRPr="000D0BE3">
        <w:t>hold</w:t>
      </w:r>
      <w:r w:rsidR="00C92AED" w:rsidRPr="000D0BE3">
        <w:t xml:space="preserve"> </w:t>
      </w:r>
      <w:r w:rsidR="00492358">
        <w:t>elective</w:t>
      </w:r>
      <w:r w:rsidR="002707A4">
        <w:t xml:space="preserve"> or political </w:t>
      </w:r>
      <w:r w:rsidR="00986EDC" w:rsidRPr="000D0BE3">
        <w:t>office</w:t>
      </w:r>
      <w:r w:rsidR="002707A4">
        <w:t xml:space="preserve">. </w:t>
      </w:r>
      <w:r w:rsidR="00FD0FE6">
        <w:t>T</w:t>
      </w:r>
      <w:r w:rsidR="002765BC" w:rsidRPr="000D0BE3">
        <w:t>he 2017 elections</w:t>
      </w:r>
      <w:r w:rsidR="00FD0FE6">
        <w:t xml:space="preserve"> </w:t>
      </w:r>
      <w:r w:rsidR="005046E6" w:rsidRPr="000D0BE3">
        <w:t>showed</w:t>
      </w:r>
      <w:r w:rsidR="00E308EE" w:rsidRPr="000D0BE3">
        <w:t xml:space="preserve"> </w:t>
      </w:r>
      <w:r w:rsidR="002765BC" w:rsidRPr="000D0BE3">
        <w:t xml:space="preserve">important deficits in the electoral legal framework, </w:t>
      </w:r>
      <w:r w:rsidR="00D73AB0">
        <w:t>highlighting the</w:t>
      </w:r>
      <w:r w:rsidR="002765BC" w:rsidRPr="000D0BE3">
        <w:t xml:space="preserve"> need for reforms and </w:t>
      </w:r>
      <w:r w:rsidR="00FD0FE6">
        <w:t xml:space="preserve">to </w:t>
      </w:r>
      <w:r w:rsidR="00D73AB0">
        <w:t xml:space="preserve">address </w:t>
      </w:r>
      <w:r w:rsidR="002765BC" w:rsidRPr="000D0BE3">
        <w:t>underlying conflict drivers</w:t>
      </w:r>
      <w:r w:rsidR="00D73AB0">
        <w:t xml:space="preserve"> that are often </w:t>
      </w:r>
      <w:r w:rsidR="002765BC" w:rsidRPr="000D0BE3">
        <w:t xml:space="preserve">exacerbated </w:t>
      </w:r>
      <w:r w:rsidR="00EA219A">
        <w:t xml:space="preserve">during </w:t>
      </w:r>
      <w:r w:rsidR="00D73AB0">
        <w:t>an</w:t>
      </w:r>
      <w:r w:rsidR="002765BC" w:rsidRPr="000D0BE3">
        <w:t xml:space="preserve"> electoral cycle</w:t>
      </w:r>
      <w:r w:rsidR="00986EDC" w:rsidRPr="000D0BE3">
        <w:t xml:space="preserve">. </w:t>
      </w:r>
      <w:r w:rsidR="002765BC" w:rsidRPr="000D0BE3">
        <w:t xml:space="preserve"> </w:t>
      </w:r>
    </w:p>
    <w:p w14:paraId="78070F74" w14:textId="77777777" w:rsidR="00C8493C" w:rsidRPr="00812104" w:rsidRDefault="00C8493C" w:rsidP="00812104">
      <w:pPr>
        <w:pStyle w:val="ListParagraph"/>
        <w:ind w:left="1080" w:right="940"/>
        <w:rPr>
          <w:sz w:val="12"/>
          <w:szCs w:val="12"/>
        </w:rPr>
      </w:pPr>
    </w:p>
    <w:p w14:paraId="41E8BB91" w14:textId="6DAD5031" w:rsidR="00C8493C" w:rsidRDefault="002765BC" w:rsidP="00812104">
      <w:pPr>
        <w:pStyle w:val="ListParagraph"/>
        <w:numPr>
          <w:ilvl w:val="0"/>
          <w:numId w:val="2"/>
        </w:numPr>
        <w:ind w:left="1080" w:right="940" w:firstLine="0"/>
        <w:contextualSpacing/>
        <w:jc w:val="both"/>
      </w:pPr>
      <w:r w:rsidRPr="000D0BE3">
        <w:t xml:space="preserve">On peace and security, </w:t>
      </w:r>
      <w:r w:rsidR="00B102BA">
        <w:t xml:space="preserve">several </w:t>
      </w:r>
      <w:r w:rsidRPr="000D0BE3">
        <w:t>areas in Kenya remain vulnerable to inter</w:t>
      </w:r>
      <w:r w:rsidR="00AF6775">
        <w:t>-</w:t>
      </w:r>
      <w:r w:rsidR="002812C3">
        <w:t xml:space="preserve"> and</w:t>
      </w:r>
      <w:r w:rsidRPr="000D0BE3">
        <w:t xml:space="preserve"> intra</w:t>
      </w:r>
      <w:r w:rsidR="000B1661">
        <w:t>-</w:t>
      </w:r>
      <w:r w:rsidRPr="000D0BE3">
        <w:t>communal conflicts and an increas</w:t>
      </w:r>
      <w:r w:rsidR="0057078E" w:rsidRPr="000D0BE3">
        <w:t>ed</w:t>
      </w:r>
      <w:r w:rsidRPr="000D0BE3">
        <w:t xml:space="preserve"> incidence of terrorism. </w:t>
      </w:r>
      <w:r w:rsidR="0073276F" w:rsidRPr="000D0BE3">
        <w:t xml:space="preserve">Although </w:t>
      </w:r>
      <w:r w:rsidR="00986EDC" w:rsidRPr="000D0BE3">
        <w:t xml:space="preserve">Kenya’s </w:t>
      </w:r>
      <w:r w:rsidR="0073276F" w:rsidRPr="000D0BE3">
        <w:t xml:space="preserve">Global Terrorism </w:t>
      </w:r>
      <w:r w:rsidR="00323339" w:rsidRPr="000D0BE3">
        <w:t xml:space="preserve">Index </w:t>
      </w:r>
      <w:r w:rsidR="00EA219A">
        <w:t xml:space="preserve">ranking improved </w:t>
      </w:r>
      <w:r w:rsidR="00323339" w:rsidRPr="000D0BE3">
        <w:t xml:space="preserve">marginally </w:t>
      </w:r>
      <w:r w:rsidR="0073276F" w:rsidRPr="000D0BE3">
        <w:t>from 6.66 in 2015</w:t>
      </w:r>
      <w:r w:rsidR="00EF65F8" w:rsidRPr="000D0BE3">
        <w:t xml:space="preserve"> to 6.578</w:t>
      </w:r>
      <w:r w:rsidR="00986EDC" w:rsidRPr="000D0BE3">
        <w:t xml:space="preserve"> in 2016</w:t>
      </w:r>
      <w:r w:rsidR="009C583D">
        <w:t>,</w:t>
      </w:r>
      <w:r w:rsidR="0073276F" w:rsidRPr="000D0BE3">
        <w:t xml:space="preserve"> </w:t>
      </w:r>
      <w:r w:rsidR="00986EDC" w:rsidRPr="000D0BE3">
        <w:t xml:space="preserve">there remain significant </w:t>
      </w:r>
      <w:r w:rsidR="0073276F" w:rsidRPr="000D0BE3">
        <w:t xml:space="preserve">threats </w:t>
      </w:r>
      <w:r w:rsidR="00323339" w:rsidRPr="000D0BE3">
        <w:t>particularly</w:t>
      </w:r>
      <w:r w:rsidR="0073276F" w:rsidRPr="000D0BE3">
        <w:t xml:space="preserve"> </w:t>
      </w:r>
      <w:r w:rsidR="00323339" w:rsidRPr="000D0BE3">
        <w:t xml:space="preserve">from the </w:t>
      </w:r>
      <w:r w:rsidR="00323339" w:rsidRPr="000B1661">
        <w:t>Al Qaeda</w:t>
      </w:r>
      <w:r w:rsidR="00AF6775">
        <w:t>-</w:t>
      </w:r>
      <w:r w:rsidR="00323339" w:rsidRPr="000D0BE3">
        <w:t xml:space="preserve">affiliated </w:t>
      </w:r>
      <w:r w:rsidR="0073276F" w:rsidRPr="000B1661">
        <w:t>Al-Shabaab</w:t>
      </w:r>
      <w:r w:rsidR="00323339" w:rsidRPr="000D0BE3">
        <w:t xml:space="preserve">. </w:t>
      </w:r>
      <w:r w:rsidR="00AB49E4">
        <w:t>W</w:t>
      </w:r>
      <w:r w:rsidR="0073276F" w:rsidRPr="000D0BE3">
        <w:t>omen are</w:t>
      </w:r>
      <w:r w:rsidRPr="000D0BE3">
        <w:t xml:space="preserve"> disproportionately affected by conflict and related incidents</w:t>
      </w:r>
      <w:r w:rsidR="00AB49E4">
        <w:t>,</w:t>
      </w:r>
      <w:r w:rsidR="00EA219A">
        <w:t xml:space="preserve"> with t</w:t>
      </w:r>
      <w:r w:rsidRPr="000D0BE3">
        <w:t>he Women Peace and Security Index 2017</w:t>
      </w:r>
      <w:r w:rsidR="00AF6775">
        <w:t>-20</w:t>
      </w:r>
      <w:r w:rsidRPr="000D0BE3">
        <w:t>18 rank</w:t>
      </w:r>
      <w:r w:rsidR="00EA219A">
        <w:t>ing</w:t>
      </w:r>
      <w:r w:rsidRPr="000D0BE3">
        <w:t xml:space="preserve"> Kenya 107th globally with a score of 0.631 against a global average of 0.662. </w:t>
      </w:r>
    </w:p>
    <w:p w14:paraId="18708F35" w14:textId="77777777" w:rsidR="00C8493C" w:rsidRPr="007D1253" w:rsidRDefault="00C8493C" w:rsidP="00812104">
      <w:pPr>
        <w:pStyle w:val="ListParagraph"/>
        <w:ind w:left="1080" w:right="940"/>
        <w:rPr>
          <w:sz w:val="12"/>
          <w:szCs w:val="12"/>
        </w:rPr>
      </w:pPr>
    </w:p>
    <w:p w14:paraId="31329C74" w14:textId="6D73577C" w:rsidR="00C8493C" w:rsidRDefault="00AB49E4" w:rsidP="00812104">
      <w:pPr>
        <w:pStyle w:val="ListParagraph"/>
        <w:numPr>
          <w:ilvl w:val="0"/>
          <w:numId w:val="2"/>
        </w:numPr>
        <w:ind w:left="1080" w:right="940" w:firstLine="0"/>
        <w:contextualSpacing/>
        <w:jc w:val="both"/>
      </w:pPr>
      <w:r>
        <w:lastRenderedPageBreak/>
        <w:t>T</w:t>
      </w:r>
      <w:r w:rsidR="002812C3" w:rsidRPr="002812C3">
        <w:t>he National Counter Terrorism Centr</w:t>
      </w:r>
      <w:r w:rsidR="00205669">
        <w:t>e</w:t>
      </w:r>
      <w:r w:rsidR="002812C3" w:rsidRPr="002812C3">
        <w:t xml:space="preserve"> reports a high incidence of terrorist attacks in Kenya since 2011. Hundreds of civilians have been killed in shopping </w:t>
      </w:r>
      <w:r w:rsidR="009C583D" w:rsidRPr="002812C3">
        <w:t>centr</w:t>
      </w:r>
      <w:r w:rsidR="00205669">
        <w:t>e</w:t>
      </w:r>
      <w:r w:rsidR="009C583D" w:rsidRPr="002812C3">
        <w:t>s</w:t>
      </w:r>
      <w:r w:rsidR="002812C3" w:rsidRPr="002812C3">
        <w:t>, public transport, a university and places of worship</w:t>
      </w:r>
      <w:r w:rsidR="00205669">
        <w:t>,</w:t>
      </w:r>
      <w:r w:rsidR="00205669" w:rsidRPr="002812C3">
        <w:t xml:space="preserve"> </w:t>
      </w:r>
      <w:r w:rsidR="002812C3" w:rsidRPr="002812C3">
        <w:t>increasing insecurity and exacerbating inter-religious tensions.</w:t>
      </w:r>
      <w:r w:rsidR="004B6C23">
        <w:rPr>
          <w:rStyle w:val="FootnoteReference"/>
        </w:rPr>
        <w:footnoteReference w:id="21"/>
      </w:r>
      <w:r w:rsidR="002812C3" w:rsidRPr="002812C3">
        <w:t xml:space="preserve"> UNDP research has demonstrated that </w:t>
      </w:r>
      <w:r w:rsidR="009C583D" w:rsidRPr="002812C3">
        <w:t>radicalization</w:t>
      </w:r>
      <w:r w:rsidR="002812C3" w:rsidRPr="002812C3">
        <w:t xml:space="preserve"> and violent extremism are rooted </w:t>
      </w:r>
      <w:r w:rsidR="002812C3" w:rsidRPr="000B1661">
        <w:t>inter alia</w:t>
      </w:r>
      <w:r w:rsidR="002812C3" w:rsidRPr="002812C3">
        <w:t xml:space="preserve"> in deprivation of economic benefits, social exclusion and poor governance</w:t>
      </w:r>
      <w:r w:rsidR="001708A1" w:rsidRPr="002812C3">
        <w:t>.</w:t>
      </w:r>
      <w:r w:rsidR="004B6C23">
        <w:rPr>
          <w:rStyle w:val="FootnoteReference"/>
        </w:rPr>
        <w:footnoteReference w:id="22"/>
      </w:r>
      <w:r w:rsidR="002812C3" w:rsidRPr="002812C3">
        <w:t xml:space="preserve"> There is </w:t>
      </w:r>
      <w:r>
        <w:t xml:space="preserve">a </w:t>
      </w:r>
      <w:r w:rsidR="002812C3" w:rsidRPr="002812C3">
        <w:t>need for a credible response to promote inclusive human development, particularly in</w:t>
      </w:r>
      <w:r w:rsidR="002812C3" w:rsidRPr="00205669">
        <w:t xml:space="preserve"> </w:t>
      </w:r>
      <w:r w:rsidR="002812C3" w:rsidRPr="000B1661">
        <w:t>ungoverned spaces</w:t>
      </w:r>
      <w:r w:rsidR="002812C3" w:rsidRPr="002812C3">
        <w:t>, by deepening democracy, promoting respect for human rights and social cohesion and expan</w:t>
      </w:r>
      <w:r>
        <w:t>ding</w:t>
      </w:r>
      <w:r w:rsidR="002812C3" w:rsidRPr="002812C3">
        <w:t xml:space="preserve"> livelihood opportunities for the disenfranchised.   </w:t>
      </w:r>
    </w:p>
    <w:p w14:paraId="7DA8CA74" w14:textId="77777777" w:rsidR="00C8493C" w:rsidRPr="007D1253" w:rsidRDefault="00C8493C" w:rsidP="00812104">
      <w:pPr>
        <w:pStyle w:val="ListParagraph"/>
        <w:ind w:left="1080" w:right="940"/>
        <w:rPr>
          <w:sz w:val="12"/>
          <w:szCs w:val="12"/>
        </w:rPr>
      </w:pPr>
    </w:p>
    <w:p w14:paraId="4F6BCCCF" w14:textId="1E46BF09" w:rsidR="00C8493C" w:rsidRDefault="002765BC" w:rsidP="00812104">
      <w:pPr>
        <w:pStyle w:val="ListParagraph"/>
        <w:numPr>
          <w:ilvl w:val="0"/>
          <w:numId w:val="2"/>
        </w:numPr>
        <w:ind w:left="1080" w:right="940" w:firstLine="0"/>
        <w:contextualSpacing/>
        <w:jc w:val="both"/>
      </w:pPr>
      <w:r w:rsidRPr="000D0BE3">
        <w:t>In the period</w:t>
      </w:r>
      <w:r w:rsidR="009D6BB6">
        <w:t>s</w:t>
      </w:r>
      <w:r w:rsidRPr="000D0BE3">
        <w:t xml:space="preserve"> preceding the 2013 and 2017 elections, the National Steering Committee on Peace Building and Conflict Management outlined conflict drivers </w:t>
      </w:r>
      <w:r w:rsidR="00096F84" w:rsidRPr="000D0BE3">
        <w:t>including</w:t>
      </w:r>
      <w:r w:rsidRPr="000D0BE3">
        <w:t xml:space="preserve"> exploitation of ethnic differences for political gain</w:t>
      </w:r>
      <w:r w:rsidR="00205669">
        <w:t>,</w:t>
      </w:r>
      <w:r w:rsidR="00205669" w:rsidRPr="000D0BE3">
        <w:t xml:space="preserve"> </w:t>
      </w:r>
      <w:r w:rsidR="00FD0FE6">
        <w:t xml:space="preserve">ineffective </w:t>
      </w:r>
      <w:r w:rsidR="00EA219A">
        <w:t xml:space="preserve">public </w:t>
      </w:r>
      <w:r w:rsidRPr="000D0BE3">
        <w:t>institutions</w:t>
      </w:r>
      <w:r w:rsidR="00205669">
        <w:t>,</w:t>
      </w:r>
      <w:r w:rsidR="00205669" w:rsidRPr="000D0BE3">
        <w:t xml:space="preserve"> </w:t>
      </w:r>
      <w:r w:rsidRPr="000D0BE3">
        <w:t>perceived or real disenfranchisement</w:t>
      </w:r>
      <w:r w:rsidR="00205669">
        <w:t>,</w:t>
      </w:r>
      <w:r w:rsidR="00205669" w:rsidRPr="000D0BE3">
        <w:t xml:space="preserve"> </w:t>
      </w:r>
      <w:r w:rsidR="00FD0FE6">
        <w:t>socio</w:t>
      </w:r>
      <w:r w:rsidR="00323339" w:rsidRPr="000D0BE3">
        <w:t>economic</w:t>
      </w:r>
      <w:r w:rsidRPr="000D0BE3">
        <w:t xml:space="preserve"> marginalization</w:t>
      </w:r>
      <w:r w:rsidR="00205669">
        <w:t>,</w:t>
      </w:r>
      <w:r w:rsidR="00205669" w:rsidRPr="000D0BE3">
        <w:t xml:space="preserve"> </w:t>
      </w:r>
      <w:r w:rsidRPr="000D0BE3">
        <w:t xml:space="preserve">insecurity associated with </w:t>
      </w:r>
      <w:r w:rsidR="00A32093">
        <w:t xml:space="preserve">the proliferation of small arms </w:t>
      </w:r>
      <w:r w:rsidRPr="000D0BE3">
        <w:t xml:space="preserve">and </w:t>
      </w:r>
      <w:r w:rsidR="00323339" w:rsidRPr="000B1661">
        <w:t>ungoverned spaces</w:t>
      </w:r>
      <w:r w:rsidR="00323339" w:rsidRPr="000D0BE3">
        <w:t xml:space="preserve"> within the</w:t>
      </w:r>
      <w:r w:rsidR="00EE690B" w:rsidRPr="000D0BE3">
        <w:t xml:space="preserve"> </w:t>
      </w:r>
      <w:r w:rsidR="000B1661" w:rsidRPr="000D0BE3">
        <w:t>subregion</w:t>
      </w:r>
      <w:r w:rsidR="00323339" w:rsidRPr="000D0BE3">
        <w:t xml:space="preserve">. </w:t>
      </w:r>
      <w:r w:rsidR="008B257B">
        <w:t xml:space="preserve">Furthermore, </w:t>
      </w:r>
      <w:r w:rsidRPr="000D0BE3">
        <w:t>corruption and impunity</w:t>
      </w:r>
      <w:r w:rsidR="00EC5E93">
        <w:t>,</w:t>
      </w:r>
      <w:r w:rsidR="00EC5E93" w:rsidRPr="000D0BE3">
        <w:t xml:space="preserve"> </w:t>
      </w:r>
      <w:r w:rsidRPr="000D0BE3">
        <w:t>poor access to and delayed justice</w:t>
      </w:r>
      <w:r w:rsidR="00EC5E93">
        <w:t>,</w:t>
      </w:r>
      <w:r w:rsidR="00EC5E93" w:rsidRPr="000D0BE3">
        <w:t xml:space="preserve"> </w:t>
      </w:r>
      <w:r w:rsidRPr="000D0BE3">
        <w:t xml:space="preserve">social </w:t>
      </w:r>
      <w:r w:rsidR="000B1661" w:rsidRPr="000D0BE3">
        <w:t>discrimination</w:t>
      </w:r>
      <w:r w:rsidR="000B1661">
        <w:t>,</w:t>
      </w:r>
      <w:r w:rsidR="000B1661" w:rsidRPr="000D0BE3">
        <w:t xml:space="preserve"> inequitable</w:t>
      </w:r>
      <w:r w:rsidRPr="000D0BE3">
        <w:t xml:space="preserve"> and contested distribution of scarce environmental goods and environmental degradation</w:t>
      </w:r>
      <w:r w:rsidR="00EE690B" w:rsidRPr="000D0BE3">
        <w:t xml:space="preserve"> were cited</w:t>
      </w:r>
      <w:r w:rsidRPr="000D0BE3">
        <w:t xml:space="preserve">. The convergence and/or exploitation of these </w:t>
      </w:r>
      <w:r w:rsidR="009E4DFC">
        <w:t>fault lines</w:t>
      </w:r>
      <w:r w:rsidRPr="000D0BE3">
        <w:t xml:space="preserve"> present </w:t>
      </w:r>
      <w:r w:rsidR="00323339" w:rsidRPr="000D0BE3">
        <w:t xml:space="preserve">a </w:t>
      </w:r>
      <w:r w:rsidRPr="000D0BE3">
        <w:t>continuing risk of localized or broader conflicts that are particularly exacerbated during electoral years</w:t>
      </w:r>
      <w:r w:rsidR="009C583D">
        <w:t>,</w:t>
      </w:r>
      <w:r w:rsidRPr="000D0BE3">
        <w:t xml:space="preserve"> and suggest a need to focus on</w:t>
      </w:r>
      <w:r w:rsidR="00323339" w:rsidRPr="000D0BE3">
        <w:t xml:space="preserve"> the resolution of</w:t>
      </w:r>
      <w:r w:rsidRPr="000D0BE3">
        <w:t xml:space="preserve"> </w:t>
      </w:r>
      <w:r w:rsidR="00EC5E93">
        <w:t xml:space="preserve">the </w:t>
      </w:r>
      <w:r w:rsidRPr="000D0BE3">
        <w:t>root cause</w:t>
      </w:r>
      <w:r w:rsidR="00EC5E93">
        <w:t>s</w:t>
      </w:r>
      <w:r w:rsidRPr="000D0BE3">
        <w:t xml:space="preserve"> </w:t>
      </w:r>
      <w:r w:rsidR="00EC5E93">
        <w:t xml:space="preserve">of </w:t>
      </w:r>
      <w:r w:rsidRPr="000D0BE3">
        <w:t xml:space="preserve">conflict drivers.  </w:t>
      </w:r>
    </w:p>
    <w:p w14:paraId="759D0706" w14:textId="77777777" w:rsidR="00C8493C" w:rsidRPr="007D1253" w:rsidRDefault="00C8493C" w:rsidP="00812104">
      <w:pPr>
        <w:pStyle w:val="ListParagraph"/>
        <w:ind w:left="1080" w:right="940"/>
        <w:rPr>
          <w:sz w:val="12"/>
          <w:szCs w:val="12"/>
        </w:rPr>
      </w:pPr>
    </w:p>
    <w:p w14:paraId="24236B9D" w14:textId="29CD26C1" w:rsidR="00C8493C" w:rsidRDefault="00B65FE1" w:rsidP="00812104">
      <w:pPr>
        <w:pStyle w:val="ListParagraph"/>
        <w:numPr>
          <w:ilvl w:val="0"/>
          <w:numId w:val="2"/>
        </w:numPr>
        <w:ind w:left="1080" w:right="940" w:firstLine="0"/>
        <w:contextualSpacing/>
        <w:jc w:val="both"/>
      </w:pPr>
      <w:r w:rsidRPr="00B65FE1">
        <w:t>Kenya’s economy</w:t>
      </w:r>
      <w:r>
        <w:t xml:space="preserve"> </w:t>
      </w:r>
      <w:r w:rsidRPr="00B65FE1">
        <w:t xml:space="preserve">remains highly vulnerable to climate variability due to dependence on </w:t>
      </w:r>
      <w:r w:rsidR="00EC5E93" w:rsidRPr="00B65FE1">
        <w:t>climate</w:t>
      </w:r>
      <w:r w:rsidR="00EC5E93">
        <w:t>-</w:t>
      </w:r>
      <w:r w:rsidRPr="00B65FE1">
        <w:t xml:space="preserve">sensitive sectors </w:t>
      </w:r>
      <w:r w:rsidR="00A32093">
        <w:t xml:space="preserve">including </w:t>
      </w:r>
      <w:r w:rsidRPr="00B65FE1">
        <w:t>agriculture, water, energy, forestry and tourism</w:t>
      </w:r>
      <w:r w:rsidR="00EC5E93">
        <w:t>,</w:t>
      </w:r>
      <w:r w:rsidR="004B6C23">
        <w:rPr>
          <w:rStyle w:val="FootnoteReference"/>
        </w:rPr>
        <w:footnoteReference w:id="23"/>
      </w:r>
      <w:r w:rsidR="00FD0FE6">
        <w:t xml:space="preserve"> with </w:t>
      </w:r>
      <w:r w:rsidR="00FD0FE6" w:rsidRPr="00FD0FE6">
        <w:t>agriculture employing 70-75</w:t>
      </w:r>
      <w:r w:rsidR="00CE28AE">
        <w:t xml:space="preserve"> per cent</w:t>
      </w:r>
      <w:r w:rsidR="00CE28AE" w:rsidRPr="00FD0FE6">
        <w:t xml:space="preserve"> </w:t>
      </w:r>
      <w:r w:rsidR="00FD0FE6" w:rsidRPr="00FD0FE6">
        <w:t>of the population and contributing 25-30</w:t>
      </w:r>
      <w:r w:rsidR="00CE28AE">
        <w:t xml:space="preserve"> per cent</w:t>
      </w:r>
      <w:r w:rsidR="00FD0FE6" w:rsidRPr="00FD0FE6">
        <w:t xml:space="preserve"> of </w:t>
      </w:r>
      <w:r w:rsidR="00CE28AE">
        <w:t>GDP</w:t>
      </w:r>
      <w:r w:rsidR="00FD0FE6" w:rsidRPr="00FD0FE6">
        <w:t>.</w:t>
      </w:r>
      <w:r w:rsidR="004B6C23">
        <w:rPr>
          <w:rStyle w:val="FootnoteReference"/>
        </w:rPr>
        <w:footnoteReference w:id="24"/>
      </w:r>
      <w:r w:rsidR="00FD0FE6" w:rsidRPr="00FD0FE6">
        <w:t xml:space="preserve"> </w:t>
      </w:r>
      <w:r w:rsidR="002765BC" w:rsidRPr="000D0BE3">
        <w:t xml:space="preserve">Poverty and exclusion are exacerbated by structurally weak resilience capacities, which increase </w:t>
      </w:r>
      <w:r w:rsidR="005841BE" w:rsidRPr="000D0BE3">
        <w:t>exposure and vulnerability</w:t>
      </w:r>
      <w:r w:rsidR="00CE28AE">
        <w:t>, which in turn are</w:t>
      </w:r>
      <w:r w:rsidR="00986EDC" w:rsidRPr="000D0BE3">
        <w:t xml:space="preserve"> accentuated</w:t>
      </w:r>
      <w:r w:rsidR="0056699E" w:rsidRPr="000D0BE3">
        <w:t xml:space="preserve"> by climatic shocks, </w:t>
      </w:r>
      <w:r>
        <w:t xml:space="preserve">food </w:t>
      </w:r>
      <w:r w:rsidR="0056699E" w:rsidRPr="000D0BE3">
        <w:t xml:space="preserve">insecurity and diseases resulting in </w:t>
      </w:r>
      <w:r w:rsidR="001D4600">
        <w:t xml:space="preserve">famine, </w:t>
      </w:r>
      <w:r w:rsidR="001D4600" w:rsidRPr="000D0BE3">
        <w:t xml:space="preserve">malnutrition </w:t>
      </w:r>
      <w:r w:rsidR="001D4600">
        <w:t xml:space="preserve">and </w:t>
      </w:r>
      <w:r w:rsidR="0056699E" w:rsidRPr="000D0BE3">
        <w:t xml:space="preserve">loss of human life, </w:t>
      </w:r>
      <w:r w:rsidR="00A32093">
        <w:t xml:space="preserve">livelihoods, </w:t>
      </w:r>
      <w:r w:rsidR="0056699E" w:rsidRPr="000D0BE3">
        <w:t>livestock, physical and environmental assets</w:t>
      </w:r>
      <w:r w:rsidR="001D4600">
        <w:t>.</w:t>
      </w:r>
    </w:p>
    <w:p w14:paraId="7DE43861" w14:textId="77777777" w:rsidR="00C8493C" w:rsidRPr="007D1253" w:rsidRDefault="00C8493C" w:rsidP="00812104">
      <w:pPr>
        <w:pStyle w:val="ListParagraph"/>
        <w:ind w:left="1080" w:right="940"/>
        <w:rPr>
          <w:sz w:val="12"/>
          <w:szCs w:val="12"/>
        </w:rPr>
      </w:pPr>
    </w:p>
    <w:p w14:paraId="3753D2FB" w14:textId="76B2DB96" w:rsidR="00C8493C" w:rsidRDefault="00015D40" w:rsidP="00812104">
      <w:pPr>
        <w:pStyle w:val="ListParagraph"/>
        <w:numPr>
          <w:ilvl w:val="0"/>
          <w:numId w:val="2"/>
        </w:numPr>
        <w:ind w:left="1080" w:right="940" w:firstLine="0"/>
        <w:contextualSpacing/>
        <w:jc w:val="both"/>
      </w:pPr>
      <w:r>
        <w:t>The</w:t>
      </w:r>
      <w:r w:rsidR="00EE690B" w:rsidRPr="000D0BE3">
        <w:t xml:space="preserve"> agriculture, small-scale rain</w:t>
      </w:r>
      <w:r w:rsidR="00CE28AE">
        <w:t>-</w:t>
      </w:r>
      <w:r w:rsidR="00EE690B" w:rsidRPr="000D0BE3">
        <w:t xml:space="preserve">fed cultivation </w:t>
      </w:r>
      <w:r w:rsidR="008B257B">
        <w:t>and</w:t>
      </w:r>
      <w:r w:rsidR="00EE690B" w:rsidRPr="000D0BE3">
        <w:t xml:space="preserve"> livestock production </w:t>
      </w:r>
      <w:r>
        <w:t xml:space="preserve">sectors </w:t>
      </w:r>
      <w:r w:rsidR="008B257B">
        <w:t>are</w:t>
      </w:r>
      <w:r w:rsidR="00EE690B" w:rsidRPr="000D0BE3">
        <w:t xml:space="preserve"> highly vulnerable to shifting rain patterns and drought</w:t>
      </w:r>
      <w:r>
        <w:t xml:space="preserve"> caused by climate change</w:t>
      </w:r>
      <w:r w:rsidR="00A32093">
        <w:t xml:space="preserve">. </w:t>
      </w:r>
      <w:r w:rsidR="005841BE" w:rsidRPr="000D0BE3">
        <w:t xml:space="preserve">Average yearly temperatures </w:t>
      </w:r>
      <w:r w:rsidR="00CE28AE">
        <w:t xml:space="preserve">in </w:t>
      </w:r>
      <w:r w:rsidR="005841BE" w:rsidRPr="000D0BE3">
        <w:t xml:space="preserve">Kenya’s arid and semi-arid </w:t>
      </w:r>
      <w:r w:rsidR="000753AE">
        <w:t>lands</w:t>
      </w:r>
      <w:r w:rsidR="005841BE" w:rsidRPr="000D0BE3">
        <w:t xml:space="preserve"> </w:t>
      </w:r>
      <w:r w:rsidR="00A32093">
        <w:t xml:space="preserve">(ASALs) </w:t>
      </w:r>
      <w:r w:rsidR="00FD0FE6">
        <w:t xml:space="preserve">may </w:t>
      </w:r>
      <w:r w:rsidR="005841BE" w:rsidRPr="000D0BE3">
        <w:t xml:space="preserve">have already exceeded the global target of 1.5 degrees </w:t>
      </w:r>
      <w:r w:rsidR="008B257B">
        <w:t>Celsius.</w:t>
      </w:r>
      <w:r w:rsidR="004B6C23">
        <w:rPr>
          <w:rStyle w:val="FootnoteReference"/>
        </w:rPr>
        <w:footnoteReference w:id="25"/>
      </w:r>
      <w:r w:rsidR="008B257B">
        <w:t xml:space="preserve"> A</w:t>
      </w:r>
      <w:r w:rsidR="005841BE" w:rsidRPr="000D0BE3">
        <w:t xml:space="preserve"> severe drought in </w:t>
      </w:r>
      <w:r w:rsidR="00491E29" w:rsidRPr="000D0BE3">
        <w:t>2016</w:t>
      </w:r>
      <w:r w:rsidR="001D4600">
        <w:t>-</w:t>
      </w:r>
      <w:r w:rsidR="00491E29" w:rsidRPr="000D0BE3">
        <w:t>2017</w:t>
      </w:r>
      <w:r w:rsidR="005841BE" w:rsidRPr="000D0BE3">
        <w:t xml:space="preserve"> caused severe food insecurity and famine in </w:t>
      </w:r>
      <w:r w:rsidR="000753AE">
        <w:t xml:space="preserve">the </w:t>
      </w:r>
      <w:r w:rsidR="00A32093">
        <w:t>ASALs</w:t>
      </w:r>
      <w:r w:rsidR="0057078E" w:rsidRPr="000D0BE3">
        <w:t>, which occupy ove</w:t>
      </w:r>
      <w:r w:rsidR="00491E29" w:rsidRPr="000D0BE3">
        <w:t>r 89</w:t>
      </w:r>
      <w:r w:rsidR="00CE28AE">
        <w:t xml:space="preserve"> per cent</w:t>
      </w:r>
      <w:r w:rsidR="00CE28AE" w:rsidRPr="000D0BE3">
        <w:t xml:space="preserve"> </w:t>
      </w:r>
      <w:r w:rsidR="00491E29" w:rsidRPr="000D0BE3">
        <w:t>of the land ma</w:t>
      </w:r>
      <w:r w:rsidR="008B257B">
        <w:t>s</w:t>
      </w:r>
      <w:r w:rsidR="00491E29" w:rsidRPr="000D0BE3">
        <w:t>s and</w:t>
      </w:r>
      <w:r w:rsidR="0057078E" w:rsidRPr="000D0BE3">
        <w:t xml:space="preserve"> have a population of more than 10 million</w:t>
      </w:r>
      <w:r w:rsidR="00CE28AE">
        <w:t>,</w:t>
      </w:r>
      <w:r w:rsidR="0057078E" w:rsidRPr="000D0BE3">
        <w:t xml:space="preserve"> </w:t>
      </w:r>
      <w:r w:rsidR="000753AE">
        <w:t>with 60</w:t>
      </w:r>
      <w:r w:rsidR="00CE28AE">
        <w:t xml:space="preserve"> per cent</w:t>
      </w:r>
      <w:r w:rsidR="00CE28AE" w:rsidRPr="000D0BE3">
        <w:t xml:space="preserve"> </w:t>
      </w:r>
      <w:r w:rsidR="0057078E" w:rsidRPr="000D0BE3">
        <w:t>of households liv</w:t>
      </w:r>
      <w:r w:rsidR="000753AE">
        <w:t>ing</w:t>
      </w:r>
      <w:r w:rsidR="0057078E" w:rsidRPr="000D0BE3">
        <w:t xml:space="preserve"> below the poverty line</w:t>
      </w:r>
      <w:r w:rsidR="00491E29" w:rsidRPr="000D0BE3">
        <w:t>.</w:t>
      </w:r>
      <w:r w:rsidR="00A526C7">
        <w:t xml:space="preserve"> </w:t>
      </w:r>
      <w:r w:rsidR="001144EE" w:rsidRPr="000D0BE3">
        <w:t>D</w:t>
      </w:r>
      <w:r w:rsidR="00E308EE" w:rsidRPr="000D0BE3">
        <w:t xml:space="preserve">rought </w:t>
      </w:r>
      <w:r w:rsidR="008B257B">
        <w:t xml:space="preserve">also </w:t>
      </w:r>
      <w:r w:rsidR="00E308EE" w:rsidRPr="000D0BE3">
        <w:t>results in livestock migration into neighbo</w:t>
      </w:r>
      <w:r w:rsidR="00CE28AE">
        <w:t>u</w:t>
      </w:r>
      <w:r w:rsidR="00E308EE" w:rsidRPr="000D0BE3">
        <w:t>ring countries</w:t>
      </w:r>
      <w:r w:rsidR="008B257B">
        <w:t>,</w:t>
      </w:r>
      <w:r w:rsidR="00E308EE" w:rsidRPr="000D0BE3">
        <w:t xml:space="preserve"> </w:t>
      </w:r>
      <w:r w:rsidR="000753AE">
        <w:t>including</w:t>
      </w:r>
      <w:r w:rsidR="00E308EE" w:rsidRPr="000D0BE3">
        <w:t xml:space="preserve"> Uganda and Ethiopia, which creates risks of </w:t>
      </w:r>
      <w:r w:rsidR="001D4600">
        <w:t>intra</w:t>
      </w:r>
      <w:r w:rsidR="00CE28AE">
        <w:t>-</w:t>
      </w:r>
      <w:r w:rsidR="001D4600">
        <w:t xml:space="preserve"> and cross-</w:t>
      </w:r>
      <w:r w:rsidR="00E308EE" w:rsidRPr="000D0BE3">
        <w:t xml:space="preserve">border conflicts </w:t>
      </w:r>
      <w:r w:rsidR="0076621A" w:rsidRPr="000D0BE3">
        <w:t xml:space="preserve">within and across </w:t>
      </w:r>
      <w:r w:rsidR="00E308EE" w:rsidRPr="000D0BE3">
        <w:t>pastoralist and farm</w:t>
      </w:r>
      <w:r w:rsidR="0076621A" w:rsidRPr="000D0BE3">
        <w:t xml:space="preserve">ing communities </w:t>
      </w:r>
      <w:r w:rsidR="000753AE">
        <w:t xml:space="preserve">in </w:t>
      </w:r>
      <w:r w:rsidR="00E308EE" w:rsidRPr="000D0BE3">
        <w:t>compet</w:t>
      </w:r>
      <w:r w:rsidR="000753AE">
        <w:t>ition</w:t>
      </w:r>
      <w:r w:rsidR="00E308EE" w:rsidRPr="000D0BE3">
        <w:t xml:space="preserve"> </w:t>
      </w:r>
      <w:r w:rsidR="0076621A" w:rsidRPr="000D0BE3">
        <w:t>for</w:t>
      </w:r>
      <w:r w:rsidR="00E308EE" w:rsidRPr="000D0BE3">
        <w:t xml:space="preserve"> water and grazing resources.</w:t>
      </w:r>
      <w:r w:rsidR="004B6C23">
        <w:rPr>
          <w:rStyle w:val="FootnoteReference"/>
        </w:rPr>
        <w:footnoteReference w:id="26"/>
      </w:r>
      <w:r w:rsidR="00A526C7">
        <w:t xml:space="preserve"> </w:t>
      </w:r>
      <w:r w:rsidR="00E308EE" w:rsidRPr="000D0BE3">
        <w:t xml:space="preserve">  </w:t>
      </w:r>
    </w:p>
    <w:p w14:paraId="25D1B6D6" w14:textId="77777777" w:rsidR="00C8493C" w:rsidRPr="007D1253" w:rsidRDefault="00C8493C" w:rsidP="00812104">
      <w:pPr>
        <w:pStyle w:val="ListParagraph"/>
        <w:ind w:left="1080" w:right="940"/>
        <w:rPr>
          <w:sz w:val="12"/>
          <w:szCs w:val="12"/>
        </w:rPr>
      </w:pPr>
    </w:p>
    <w:p w14:paraId="795FE670" w14:textId="0E013CFE" w:rsidR="00C8493C" w:rsidRDefault="0057078E" w:rsidP="00812104">
      <w:pPr>
        <w:pStyle w:val="ListParagraph"/>
        <w:numPr>
          <w:ilvl w:val="0"/>
          <w:numId w:val="2"/>
        </w:numPr>
        <w:ind w:left="1080" w:right="940" w:firstLine="0"/>
        <w:contextualSpacing/>
        <w:jc w:val="both"/>
      </w:pPr>
      <w:r w:rsidRPr="000D0BE3">
        <w:t xml:space="preserve">Conversely, Kenya also experiences floods in some parts of the country, which cause widespread damage to agricultural crops and infrastructure. </w:t>
      </w:r>
      <w:r w:rsidR="00CE28AE">
        <w:t>F</w:t>
      </w:r>
      <w:r w:rsidR="00CE28AE" w:rsidRPr="000D0BE3">
        <w:t>isheries</w:t>
      </w:r>
      <w:r w:rsidR="002C5333" w:rsidRPr="000D0BE3">
        <w:t>, which</w:t>
      </w:r>
      <w:r w:rsidR="008A71FC" w:rsidRPr="000D0BE3">
        <w:t xml:space="preserve"> provide jobs for over </w:t>
      </w:r>
      <w:r w:rsidR="00A526C7">
        <w:t xml:space="preserve">2 </w:t>
      </w:r>
      <w:r w:rsidR="000753AE">
        <w:t xml:space="preserve">million people </w:t>
      </w:r>
      <w:r w:rsidR="008A71FC" w:rsidRPr="000D0BE3">
        <w:t>and</w:t>
      </w:r>
      <w:r w:rsidR="009D5B6D">
        <w:t xml:space="preserve"> a source of food </w:t>
      </w:r>
      <w:r w:rsidR="008A71FC" w:rsidRPr="000D0BE3">
        <w:t xml:space="preserve">to more than </w:t>
      </w:r>
      <w:r w:rsidR="00A526C7">
        <w:t xml:space="preserve">7 </w:t>
      </w:r>
      <w:r w:rsidR="008A71FC" w:rsidRPr="000D0BE3">
        <w:t>million</w:t>
      </w:r>
      <w:r w:rsidR="009D5B6D">
        <w:t xml:space="preserve">, </w:t>
      </w:r>
      <w:r w:rsidR="00B65FE1">
        <w:t>mostly in t</w:t>
      </w:r>
      <w:r w:rsidR="00482AB4" w:rsidRPr="000D0BE3">
        <w:t xml:space="preserve">he </w:t>
      </w:r>
      <w:r w:rsidR="008A71FC" w:rsidRPr="000D0BE3">
        <w:t xml:space="preserve">poor coastal communities, are also vulnerable to </w:t>
      </w:r>
      <w:r w:rsidR="00BF2D28">
        <w:t>c</w:t>
      </w:r>
      <w:r w:rsidR="008A71FC" w:rsidRPr="000D0BE3">
        <w:t>limate change including sea level rise, ocean acidification, coral bleaching</w:t>
      </w:r>
      <w:r w:rsidR="00BF2D28">
        <w:t xml:space="preserve"> and</w:t>
      </w:r>
      <w:r w:rsidR="008A71FC" w:rsidRPr="000D0BE3">
        <w:t xml:space="preserve"> increased intensity of storms</w:t>
      </w:r>
      <w:r w:rsidR="00766C37" w:rsidRPr="000D0BE3">
        <w:t xml:space="preserve"> </w:t>
      </w:r>
      <w:r w:rsidR="008A71FC" w:rsidRPr="000D0BE3">
        <w:t xml:space="preserve">leading to destruction of coastal and marine ecosystems and productivity losses.  </w:t>
      </w:r>
    </w:p>
    <w:p w14:paraId="6F184774" w14:textId="77777777" w:rsidR="00C8493C" w:rsidRPr="007D1253" w:rsidRDefault="00C8493C" w:rsidP="00812104">
      <w:pPr>
        <w:pStyle w:val="ListParagraph"/>
        <w:ind w:left="1080" w:right="940"/>
        <w:rPr>
          <w:sz w:val="12"/>
          <w:szCs w:val="12"/>
        </w:rPr>
      </w:pPr>
    </w:p>
    <w:p w14:paraId="117A1538" w14:textId="3769869D" w:rsidR="00F34852" w:rsidRDefault="00F34852" w:rsidP="00812104">
      <w:pPr>
        <w:pStyle w:val="ListParagraph"/>
        <w:numPr>
          <w:ilvl w:val="0"/>
          <w:numId w:val="2"/>
        </w:numPr>
        <w:ind w:left="1080" w:right="940" w:firstLine="0"/>
        <w:contextualSpacing/>
        <w:jc w:val="both"/>
      </w:pPr>
      <w:r w:rsidRPr="000D0BE3">
        <w:t>Kenya is fac</w:t>
      </w:r>
      <w:r w:rsidR="00E308EE" w:rsidRPr="000D0BE3">
        <w:t>ing</w:t>
      </w:r>
      <w:r w:rsidRPr="000D0BE3">
        <w:t xml:space="preserve"> </w:t>
      </w:r>
      <w:r w:rsidR="00E56CA9" w:rsidRPr="000D0BE3">
        <w:t xml:space="preserve">land </w:t>
      </w:r>
      <w:r w:rsidR="0056699E" w:rsidRPr="000D0BE3">
        <w:t xml:space="preserve">degradation, </w:t>
      </w:r>
      <w:r w:rsidR="003B4AF7">
        <w:t>natural resource depletion and</w:t>
      </w:r>
      <w:r w:rsidRPr="000D0BE3">
        <w:t xml:space="preserve"> loss of biodiversity and ecosystem services </w:t>
      </w:r>
      <w:r w:rsidR="008A07B0" w:rsidRPr="000D0BE3">
        <w:t>driven by overgrazing, deforestation and extensive use of biomass energy</w:t>
      </w:r>
      <w:r w:rsidR="00491E29" w:rsidRPr="000D0BE3">
        <w:t xml:space="preserve">. </w:t>
      </w:r>
      <w:r w:rsidR="009D5B6D">
        <w:t>The</w:t>
      </w:r>
      <w:r w:rsidR="008A07B0" w:rsidRPr="000D0BE3">
        <w:t xml:space="preserve"> illegal wildlife trade</w:t>
      </w:r>
      <w:r w:rsidR="00E97178">
        <w:t xml:space="preserve">, </w:t>
      </w:r>
      <w:r w:rsidR="008A07B0" w:rsidRPr="000D0BE3">
        <w:t xml:space="preserve">commercial poaching </w:t>
      </w:r>
      <w:r w:rsidR="00E97178">
        <w:t>and</w:t>
      </w:r>
      <w:r w:rsidR="00E97178" w:rsidRPr="00E97178">
        <w:t xml:space="preserve"> lapses in natural resource governance</w:t>
      </w:r>
      <w:r w:rsidR="00E97178">
        <w:t xml:space="preserve"> </w:t>
      </w:r>
      <w:r w:rsidR="0056699E" w:rsidRPr="000D0BE3">
        <w:t xml:space="preserve">pose a </w:t>
      </w:r>
      <w:r w:rsidR="008A07B0" w:rsidRPr="000D0BE3">
        <w:t xml:space="preserve">danger to species survival </w:t>
      </w:r>
      <w:r w:rsidR="0056699E" w:rsidRPr="000D0BE3">
        <w:t xml:space="preserve">and </w:t>
      </w:r>
      <w:r w:rsidR="001D4600">
        <w:t>have</w:t>
      </w:r>
      <w:r w:rsidR="0056699E" w:rsidRPr="000D0BE3">
        <w:t xml:space="preserve"> </w:t>
      </w:r>
      <w:r w:rsidR="008A07B0" w:rsidRPr="000D0BE3">
        <w:t>affect</w:t>
      </w:r>
      <w:r w:rsidR="0056699E" w:rsidRPr="000D0BE3">
        <w:t>ed</w:t>
      </w:r>
      <w:r w:rsidR="008A07B0" w:rsidRPr="000D0BE3">
        <w:t xml:space="preserve"> tourism in </w:t>
      </w:r>
      <w:r w:rsidR="003B4AF7">
        <w:t>p</w:t>
      </w:r>
      <w:r w:rsidR="008A07B0" w:rsidRPr="000D0BE3">
        <w:t>rotected area</w:t>
      </w:r>
      <w:r w:rsidR="0056699E" w:rsidRPr="000D0BE3">
        <w:t>s</w:t>
      </w:r>
      <w:r w:rsidR="00E97178">
        <w:t xml:space="preserve">. </w:t>
      </w:r>
      <w:r w:rsidR="00802376">
        <w:t>T</w:t>
      </w:r>
      <w:r w:rsidR="0056699E" w:rsidRPr="000D0BE3">
        <w:t>he</w:t>
      </w:r>
      <w:r w:rsidR="00F23ECE" w:rsidRPr="000D0BE3">
        <w:t xml:space="preserve"> </w:t>
      </w:r>
      <w:r w:rsidR="00491E29" w:rsidRPr="000D0BE3">
        <w:t xml:space="preserve">oil and natural gas </w:t>
      </w:r>
      <w:r w:rsidR="00F23ECE" w:rsidRPr="000D0BE3">
        <w:t>discover</w:t>
      </w:r>
      <w:r w:rsidR="00491E29" w:rsidRPr="000D0BE3">
        <w:t>ies</w:t>
      </w:r>
      <w:r w:rsidR="00F23ECE" w:rsidRPr="000D0BE3">
        <w:t xml:space="preserve"> and </w:t>
      </w:r>
      <w:r w:rsidR="00491E29" w:rsidRPr="000D0BE3">
        <w:t xml:space="preserve">the </w:t>
      </w:r>
      <w:r w:rsidR="00F23ECE" w:rsidRPr="000D0BE3">
        <w:t xml:space="preserve">exploitation of coal and </w:t>
      </w:r>
      <w:r w:rsidR="00491E29" w:rsidRPr="000D0BE3">
        <w:t>n</w:t>
      </w:r>
      <w:r w:rsidR="00F23ECE" w:rsidRPr="000D0BE3">
        <w:t>atural resources</w:t>
      </w:r>
      <w:r w:rsidR="00491E29" w:rsidRPr="000D0BE3">
        <w:t>,</w:t>
      </w:r>
      <w:r w:rsidR="00F23ECE" w:rsidRPr="000D0BE3">
        <w:t xml:space="preserve"> </w:t>
      </w:r>
      <w:r w:rsidR="0056699E" w:rsidRPr="000D0BE3">
        <w:t>where insufficiently governed</w:t>
      </w:r>
      <w:r w:rsidR="00491E29" w:rsidRPr="000D0BE3">
        <w:t>,</w:t>
      </w:r>
      <w:r w:rsidR="0056699E" w:rsidRPr="000D0BE3">
        <w:t xml:space="preserve"> risk exacerbating </w:t>
      </w:r>
      <w:r w:rsidR="0056699E" w:rsidRPr="000D0BE3">
        <w:lastRenderedPageBreak/>
        <w:t>long</w:t>
      </w:r>
      <w:r w:rsidR="009D5B6D">
        <w:t>-</w:t>
      </w:r>
      <w:r w:rsidR="0056699E" w:rsidRPr="000D0BE3">
        <w:t xml:space="preserve">standing </w:t>
      </w:r>
      <w:r w:rsidR="001D4600">
        <w:t>localized</w:t>
      </w:r>
      <w:r w:rsidR="003B4AF7">
        <w:t xml:space="preserve"> co</w:t>
      </w:r>
      <w:r w:rsidR="0056699E" w:rsidRPr="000D0BE3">
        <w:t xml:space="preserve">nflicts and </w:t>
      </w:r>
      <w:r w:rsidR="000753AE">
        <w:t xml:space="preserve">community </w:t>
      </w:r>
      <w:r w:rsidR="001D4600" w:rsidRPr="000D0BE3">
        <w:t>marginalization</w:t>
      </w:r>
      <w:r w:rsidR="0056699E" w:rsidRPr="000D0BE3">
        <w:t xml:space="preserve"> and </w:t>
      </w:r>
      <w:r w:rsidR="003B4AF7">
        <w:t>diminish</w:t>
      </w:r>
      <w:r w:rsidR="00A41456">
        <w:t>ed</w:t>
      </w:r>
      <w:r w:rsidR="003B4AF7">
        <w:t xml:space="preserve"> </w:t>
      </w:r>
      <w:r w:rsidR="0056699E" w:rsidRPr="000D0BE3">
        <w:t xml:space="preserve">wildlife protection.  </w:t>
      </w:r>
    </w:p>
    <w:p w14:paraId="138CC45D" w14:textId="77777777" w:rsidR="00E07651" w:rsidRPr="007D1253" w:rsidRDefault="00E07651" w:rsidP="00812104">
      <w:pPr>
        <w:pStyle w:val="ListParagraph"/>
        <w:ind w:left="1080" w:right="940"/>
        <w:rPr>
          <w:sz w:val="12"/>
          <w:szCs w:val="12"/>
        </w:rPr>
      </w:pPr>
    </w:p>
    <w:p w14:paraId="1A55CE0C" w14:textId="7981AB78" w:rsidR="00AC7543" w:rsidRPr="00AC7543" w:rsidRDefault="00AC7543" w:rsidP="00812104">
      <w:pPr>
        <w:pStyle w:val="ListParagraph"/>
        <w:ind w:left="1080" w:right="940"/>
        <w:contextualSpacing/>
        <w:jc w:val="both"/>
        <w:rPr>
          <w:b/>
        </w:rPr>
      </w:pPr>
      <w:r w:rsidRPr="00AC7543">
        <w:rPr>
          <w:b/>
        </w:rPr>
        <w:t>Lesson</w:t>
      </w:r>
      <w:r w:rsidR="000D7F0B">
        <w:rPr>
          <w:b/>
        </w:rPr>
        <w:t>s</w:t>
      </w:r>
      <w:r w:rsidRPr="00AC7543">
        <w:rPr>
          <w:b/>
        </w:rPr>
        <w:t xml:space="preserve"> </w:t>
      </w:r>
      <w:r w:rsidR="007D1253">
        <w:rPr>
          <w:b/>
        </w:rPr>
        <w:t>l</w:t>
      </w:r>
      <w:r w:rsidRPr="00AC7543">
        <w:rPr>
          <w:b/>
        </w:rPr>
        <w:t xml:space="preserve">earned and </w:t>
      </w:r>
      <w:r w:rsidR="007D1253">
        <w:rPr>
          <w:b/>
        </w:rPr>
        <w:t>o</w:t>
      </w:r>
      <w:r w:rsidRPr="00AC7543">
        <w:rPr>
          <w:b/>
        </w:rPr>
        <w:t>pportunities</w:t>
      </w:r>
    </w:p>
    <w:p w14:paraId="68CE66EB" w14:textId="77777777" w:rsidR="00491E29" w:rsidRPr="007D1253" w:rsidRDefault="00491E29" w:rsidP="00812104">
      <w:pPr>
        <w:pStyle w:val="ListParagraph"/>
        <w:ind w:left="1080" w:right="940"/>
        <w:rPr>
          <w:sz w:val="12"/>
          <w:szCs w:val="12"/>
        </w:rPr>
      </w:pPr>
    </w:p>
    <w:p w14:paraId="514F26ED" w14:textId="102844D6" w:rsidR="00C8493C" w:rsidRDefault="002765BC" w:rsidP="00812104">
      <w:pPr>
        <w:pStyle w:val="ListParagraph"/>
        <w:numPr>
          <w:ilvl w:val="0"/>
          <w:numId w:val="2"/>
        </w:numPr>
        <w:ind w:left="1080" w:right="940" w:firstLine="0"/>
        <w:contextualSpacing/>
        <w:jc w:val="both"/>
      </w:pPr>
      <w:r w:rsidRPr="001D4D5D">
        <w:t xml:space="preserve">The UNDP </w:t>
      </w:r>
      <w:r w:rsidR="009D5B6D">
        <w:t>c</w:t>
      </w:r>
      <w:r w:rsidR="009D5B6D" w:rsidRPr="001D4D5D">
        <w:t xml:space="preserve">ountry </w:t>
      </w:r>
      <w:r w:rsidR="009D5B6D">
        <w:t>p</w:t>
      </w:r>
      <w:r w:rsidR="009D5B6D" w:rsidRPr="001D4D5D">
        <w:t xml:space="preserve">rogramme </w:t>
      </w:r>
      <w:r w:rsidRPr="001D4D5D">
        <w:t xml:space="preserve">2014-2018 made </w:t>
      </w:r>
      <w:r w:rsidR="00491E29">
        <w:t>s</w:t>
      </w:r>
      <w:r w:rsidR="000753AE">
        <w:t>ubstantive</w:t>
      </w:r>
      <w:r w:rsidRPr="001D4D5D">
        <w:t xml:space="preserve"> contribution</w:t>
      </w:r>
      <w:r w:rsidR="00491E29">
        <w:t>s</w:t>
      </w:r>
      <w:r w:rsidRPr="001D4D5D">
        <w:t xml:space="preserve"> to address</w:t>
      </w:r>
      <w:r w:rsidR="000753AE">
        <w:t>ing</w:t>
      </w:r>
      <w:r w:rsidRPr="001D4D5D">
        <w:t xml:space="preserve"> development challenges focus</w:t>
      </w:r>
      <w:r w:rsidR="000753AE">
        <w:t>ed</w:t>
      </w:r>
      <w:r w:rsidRPr="001D4D5D">
        <w:t xml:space="preserve"> on devolution and accountability</w:t>
      </w:r>
      <w:r w:rsidR="00E6791D">
        <w:t>,</w:t>
      </w:r>
      <w:r w:rsidRPr="001D4D5D">
        <w:t xml:space="preserve"> productive sectors and trade</w:t>
      </w:r>
      <w:r w:rsidR="00E6791D">
        <w:t>,</w:t>
      </w:r>
      <w:r w:rsidRPr="001D4D5D">
        <w:t xml:space="preserve"> environmental sustainability, renewable energy and sustainable land management</w:t>
      </w:r>
      <w:r w:rsidR="00E6791D">
        <w:t>,</w:t>
      </w:r>
      <w:r w:rsidRPr="001D4D5D">
        <w:t xml:space="preserve"> and community security, social cohesion and </w:t>
      </w:r>
      <w:r w:rsidR="009D5B6D" w:rsidRPr="001D4D5D">
        <w:t>resilience</w:t>
      </w:r>
      <w:r w:rsidR="009D5B6D">
        <w:t>-</w:t>
      </w:r>
      <w:r w:rsidRPr="001D4D5D">
        <w:t xml:space="preserve">building, with </w:t>
      </w:r>
      <w:r w:rsidR="009D5B6D">
        <w:t xml:space="preserve">cross-cutting focus on </w:t>
      </w:r>
      <w:r w:rsidRPr="001D4D5D">
        <w:t xml:space="preserve">gender mainstreaming </w:t>
      </w:r>
      <w:r w:rsidRPr="00C122DC">
        <w:t>and women’s empowerment</w:t>
      </w:r>
      <w:r w:rsidR="00317317">
        <w:t xml:space="preserve">. </w:t>
      </w:r>
      <w:r w:rsidRPr="00C122DC">
        <w:t xml:space="preserve">On devolution and accountability, the </w:t>
      </w:r>
      <w:r w:rsidR="00930487">
        <w:t>mid- and end-term evaluations of the United Nations Development Assistance Frame</w:t>
      </w:r>
      <w:r w:rsidR="004A0FB3">
        <w:t>work</w:t>
      </w:r>
      <w:r w:rsidR="00930487" w:rsidRPr="00C122DC">
        <w:t xml:space="preserve"> </w:t>
      </w:r>
      <w:r w:rsidR="004A0FB3">
        <w:t>(</w:t>
      </w:r>
      <w:r w:rsidRPr="00C122DC">
        <w:t>UNDAF</w:t>
      </w:r>
      <w:r w:rsidR="004A0FB3">
        <w:t>)</w:t>
      </w:r>
      <w:r w:rsidRPr="00C122DC">
        <w:t xml:space="preserve"> 2014-2018</w:t>
      </w:r>
      <w:r w:rsidR="004A0FB3">
        <w:t xml:space="preserve"> and the midterm evaluation of the UNDP country programme</w:t>
      </w:r>
      <w:r w:rsidRPr="00470866">
        <w:t xml:space="preserve"> </w:t>
      </w:r>
      <w:r w:rsidR="0077002B">
        <w:t>noted</w:t>
      </w:r>
      <w:r w:rsidRPr="00470866">
        <w:t xml:space="preserve"> positive gains in </w:t>
      </w:r>
      <w:r w:rsidR="004A0FB3">
        <w:t xml:space="preserve">the capacities of </w:t>
      </w:r>
      <w:r w:rsidRPr="00470866">
        <w:t>public institutions to transition to devo</w:t>
      </w:r>
      <w:r w:rsidR="00317317">
        <w:t>lved governance</w:t>
      </w:r>
      <w:r w:rsidR="001D4600">
        <w:t>,</w:t>
      </w:r>
      <w:r w:rsidR="00317317">
        <w:t xml:space="preserve"> with</w:t>
      </w:r>
      <w:r w:rsidRPr="00470866">
        <w:t xml:space="preserve"> </w:t>
      </w:r>
      <w:r w:rsidR="00A41456">
        <w:t xml:space="preserve">constitutional </w:t>
      </w:r>
      <w:r w:rsidRPr="00B81808">
        <w:t>institutions achiev</w:t>
      </w:r>
      <w:r w:rsidR="00317317">
        <w:t>ing</w:t>
      </w:r>
      <w:r w:rsidRPr="00B81808">
        <w:t xml:space="preserve"> required capacities to function;</w:t>
      </w:r>
      <w:r w:rsidR="00A41456">
        <w:t xml:space="preserve"> and</w:t>
      </w:r>
      <w:r w:rsidRPr="00B81808">
        <w:t xml:space="preserve"> </w:t>
      </w:r>
      <w:r w:rsidR="00C574C1">
        <w:t>the</w:t>
      </w:r>
      <w:r w:rsidRPr="00B81808">
        <w:t xml:space="preserve"> legal framework </w:t>
      </w:r>
      <w:r w:rsidR="00C574C1">
        <w:t xml:space="preserve">for </w:t>
      </w:r>
      <w:r w:rsidRPr="00B81808">
        <w:t>implement</w:t>
      </w:r>
      <w:r w:rsidR="00C574C1">
        <w:t>ation established</w:t>
      </w:r>
      <w:r w:rsidR="00A41456">
        <w:t xml:space="preserve">. </w:t>
      </w:r>
      <w:r w:rsidRPr="005841BE">
        <w:t xml:space="preserve"> </w:t>
      </w:r>
    </w:p>
    <w:p w14:paraId="64953EF7" w14:textId="77777777" w:rsidR="00C8493C" w:rsidRPr="007D1253" w:rsidRDefault="00C8493C" w:rsidP="00812104">
      <w:pPr>
        <w:pStyle w:val="ListParagraph"/>
        <w:ind w:left="1080" w:right="940"/>
        <w:contextualSpacing/>
        <w:jc w:val="both"/>
        <w:rPr>
          <w:sz w:val="12"/>
          <w:szCs w:val="12"/>
        </w:rPr>
      </w:pPr>
    </w:p>
    <w:p w14:paraId="4C9D8703" w14:textId="65091799" w:rsidR="00C8493C" w:rsidRDefault="00E97178" w:rsidP="00812104">
      <w:pPr>
        <w:pStyle w:val="ListParagraph"/>
        <w:numPr>
          <w:ilvl w:val="0"/>
          <w:numId w:val="2"/>
        </w:numPr>
        <w:ind w:left="1080" w:right="940" w:firstLine="0"/>
        <w:contextualSpacing/>
        <w:jc w:val="both"/>
      </w:pPr>
      <w:r>
        <w:t xml:space="preserve">Good </w:t>
      </w:r>
      <w:r w:rsidR="002765BC" w:rsidRPr="005841BE">
        <w:t xml:space="preserve">progress was </w:t>
      </w:r>
      <w:r>
        <w:t xml:space="preserve">achieved </w:t>
      </w:r>
      <w:r w:rsidR="002765BC" w:rsidRPr="005841BE">
        <w:t xml:space="preserve">in tracking development targets </w:t>
      </w:r>
      <w:r w:rsidR="00C574C1">
        <w:t xml:space="preserve">including reporting on the </w:t>
      </w:r>
      <w:r w:rsidR="0086623F">
        <w:t xml:space="preserve">Millennium Development Goals </w:t>
      </w:r>
      <w:r w:rsidR="00FF0558">
        <w:t xml:space="preserve">and </w:t>
      </w:r>
      <w:r w:rsidR="0086623F">
        <w:t xml:space="preserve">Sustainable Development Goals </w:t>
      </w:r>
      <w:r w:rsidR="00FF0558">
        <w:t>Roadmap (2016-2018)</w:t>
      </w:r>
      <w:r w:rsidR="002765BC" w:rsidRPr="005841BE">
        <w:t xml:space="preserve"> </w:t>
      </w:r>
      <w:r w:rsidR="00C574C1">
        <w:t xml:space="preserve">and </w:t>
      </w:r>
      <w:r w:rsidR="002765BC" w:rsidRPr="005841BE">
        <w:t xml:space="preserve">launching the </w:t>
      </w:r>
      <w:r w:rsidR="00A41456">
        <w:t>S</w:t>
      </w:r>
      <w:r w:rsidR="0086623F">
        <w:t xml:space="preserve">ustainable </w:t>
      </w:r>
      <w:r w:rsidR="00A41456">
        <w:t>D</w:t>
      </w:r>
      <w:r w:rsidR="0086623F">
        <w:t xml:space="preserve">evelopment </w:t>
      </w:r>
      <w:r w:rsidR="00A41456">
        <w:t>G</w:t>
      </w:r>
      <w:r w:rsidR="0086623F">
        <w:t>oals</w:t>
      </w:r>
      <w:r w:rsidR="00A41456">
        <w:t xml:space="preserve"> locally. </w:t>
      </w:r>
      <w:r w:rsidR="0086623F">
        <w:t xml:space="preserve"> Under</w:t>
      </w:r>
      <w:r w:rsidR="005255C2">
        <w:t xml:space="preserve"> UNDP coordination, </w:t>
      </w:r>
      <w:r w:rsidR="00E308EE" w:rsidRPr="00E359E6">
        <w:t>the U</w:t>
      </w:r>
      <w:r w:rsidR="0086623F">
        <w:t xml:space="preserve">nited </w:t>
      </w:r>
      <w:r w:rsidR="0077002B">
        <w:t>N</w:t>
      </w:r>
      <w:r w:rsidR="0086623F">
        <w:t>ations</w:t>
      </w:r>
      <w:r w:rsidR="00E308EE" w:rsidRPr="00E359E6">
        <w:t xml:space="preserve"> </w:t>
      </w:r>
      <w:r w:rsidR="0086623F">
        <w:t xml:space="preserve">system </w:t>
      </w:r>
      <w:r w:rsidR="00E308EE" w:rsidRPr="00E359E6">
        <w:t xml:space="preserve">supported preparation of the </w:t>
      </w:r>
      <w:r w:rsidR="0086623F">
        <w:t>v</w:t>
      </w:r>
      <w:r w:rsidR="0086623F" w:rsidRPr="00E359E6">
        <w:t xml:space="preserve">oluntary </w:t>
      </w:r>
      <w:r w:rsidR="0086623F">
        <w:t>n</w:t>
      </w:r>
      <w:r w:rsidR="0086623F" w:rsidRPr="00E359E6">
        <w:t xml:space="preserve">ational </w:t>
      </w:r>
      <w:r w:rsidR="0086623F">
        <w:t>r</w:t>
      </w:r>
      <w:r w:rsidR="0086623F" w:rsidRPr="00E359E6">
        <w:t xml:space="preserve">eport </w:t>
      </w:r>
      <w:r w:rsidR="008221D4">
        <w:t>using 1</w:t>
      </w:r>
      <w:r w:rsidR="00E308EE" w:rsidRPr="00E359E6">
        <w:t xml:space="preserve">28 </w:t>
      </w:r>
      <w:r w:rsidR="0086623F">
        <w:t>Sustainable Development Goal</w:t>
      </w:r>
      <w:r w:rsidR="0086623F" w:rsidRPr="00E359E6">
        <w:t xml:space="preserve"> </w:t>
      </w:r>
      <w:r w:rsidR="00E308EE" w:rsidRPr="00E359E6">
        <w:t>indicators</w:t>
      </w:r>
      <w:r w:rsidR="0086623F">
        <w:t xml:space="preserve">, </w:t>
      </w:r>
      <w:r w:rsidR="000B1661">
        <w:t>and</w:t>
      </w:r>
      <w:r w:rsidR="00550779">
        <w:t xml:space="preserve"> </w:t>
      </w:r>
      <w:r w:rsidR="00E308EE" w:rsidRPr="00E359E6">
        <w:t>guided Mainstreaming, Acceleration and Policy Support (MAPS)</w:t>
      </w:r>
      <w:r w:rsidR="0086623F">
        <w:t xml:space="preserve"> for the Goals,</w:t>
      </w:r>
      <w:r w:rsidR="00E308EE" w:rsidRPr="00E359E6">
        <w:t xml:space="preserve"> thereby </w:t>
      </w:r>
      <w:r w:rsidR="00C574C1">
        <w:t xml:space="preserve">establishing a platform </w:t>
      </w:r>
      <w:r w:rsidR="008A0656">
        <w:t xml:space="preserve">for </w:t>
      </w:r>
      <w:r w:rsidR="004930C2" w:rsidRPr="00E359E6">
        <w:t>localiz</w:t>
      </w:r>
      <w:r w:rsidR="004930C2">
        <w:t xml:space="preserve">ed </w:t>
      </w:r>
      <w:r w:rsidR="004930C2" w:rsidRPr="00E359E6">
        <w:t>implementation</w:t>
      </w:r>
      <w:r>
        <w:t xml:space="preserve">. </w:t>
      </w:r>
      <w:r w:rsidR="00E308EE" w:rsidRPr="00E359E6">
        <w:t xml:space="preserve"> </w:t>
      </w:r>
    </w:p>
    <w:p w14:paraId="52514C8A" w14:textId="77777777" w:rsidR="00C8493C" w:rsidRPr="007D1253" w:rsidRDefault="00C8493C" w:rsidP="00812104">
      <w:pPr>
        <w:pStyle w:val="ListParagraph"/>
        <w:ind w:left="1080" w:right="940"/>
        <w:rPr>
          <w:sz w:val="12"/>
          <w:szCs w:val="12"/>
        </w:rPr>
      </w:pPr>
    </w:p>
    <w:p w14:paraId="13F22ACB" w14:textId="28DB3E39" w:rsidR="00C8493C" w:rsidRDefault="008221D4" w:rsidP="00812104">
      <w:pPr>
        <w:pStyle w:val="ListParagraph"/>
        <w:numPr>
          <w:ilvl w:val="0"/>
          <w:numId w:val="2"/>
        </w:numPr>
        <w:ind w:left="1080" w:right="940" w:firstLine="0"/>
        <w:contextualSpacing/>
        <w:jc w:val="both"/>
      </w:pPr>
      <w:r>
        <w:t>T</w:t>
      </w:r>
      <w:r w:rsidR="002765BC" w:rsidRPr="00470866">
        <w:t xml:space="preserve">he </w:t>
      </w:r>
      <w:r w:rsidR="0086623F">
        <w:t xml:space="preserve">midterm evaluation of the country programme </w:t>
      </w:r>
      <w:r>
        <w:t xml:space="preserve">noted </w:t>
      </w:r>
      <w:r w:rsidR="0086623F">
        <w:t xml:space="preserve">the alignment of </w:t>
      </w:r>
      <w:r>
        <w:t xml:space="preserve">UNDP </w:t>
      </w:r>
      <w:r w:rsidR="002765BC" w:rsidRPr="00470866">
        <w:t xml:space="preserve">policy support and </w:t>
      </w:r>
      <w:r w:rsidR="005B3C38">
        <w:t>programming with na</w:t>
      </w:r>
      <w:r w:rsidR="002765BC" w:rsidRPr="00470866">
        <w:t>tional development priorities</w:t>
      </w:r>
      <w:r w:rsidR="005B3C38">
        <w:t xml:space="preserve">. </w:t>
      </w:r>
      <w:r w:rsidR="00317317">
        <w:t xml:space="preserve">This included </w:t>
      </w:r>
      <w:r w:rsidR="002765BC" w:rsidRPr="00470866">
        <w:t>develop</w:t>
      </w:r>
      <w:r>
        <w:t>ment of</w:t>
      </w:r>
      <w:r w:rsidR="002765BC" w:rsidRPr="00470866">
        <w:t xml:space="preserve"> the </w:t>
      </w:r>
      <w:r w:rsidR="003F1E61" w:rsidRPr="00470866">
        <w:t>first-generation</w:t>
      </w:r>
      <w:r w:rsidR="000B5A2C">
        <w:t xml:space="preserve"> </w:t>
      </w:r>
      <w:r w:rsidR="0086623F">
        <w:t>county</w:t>
      </w:r>
      <w:r w:rsidR="0086623F" w:rsidRPr="00470866">
        <w:t xml:space="preserve"> </w:t>
      </w:r>
      <w:r w:rsidR="0086623F">
        <w:t>i</w:t>
      </w:r>
      <w:r w:rsidR="0086623F" w:rsidRPr="00470866">
        <w:t xml:space="preserve">ntegrated </w:t>
      </w:r>
      <w:r w:rsidR="0086623F">
        <w:t>d</w:t>
      </w:r>
      <w:r w:rsidR="0086623F" w:rsidRPr="00470866">
        <w:t xml:space="preserve">evelopment </w:t>
      </w:r>
      <w:r w:rsidR="0086623F">
        <w:t>p</w:t>
      </w:r>
      <w:r w:rsidR="0086623F" w:rsidRPr="00470866">
        <w:t>lans</w:t>
      </w:r>
      <w:r w:rsidR="00764964">
        <w:t>,</w:t>
      </w:r>
      <w:r w:rsidR="002765BC" w:rsidRPr="00470866">
        <w:t xml:space="preserve"> budgets and monitoring systems. </w:t>
      </w:r>
      <w:r w:rsidR="00E97178">
        <w:t xml:space="preserve">In partnership with </w:t>
      </w:r>
      <w:r w:rsidR="00011F78">
        <w:t>the United Nations Entity for Gender Equality and the Empowerment of Women (UN-</w:t>
      </w:r>
      <w:r w:rsidR="00E97178">
        <w:t>Women</w:t>
      </w:r>
      <w:r w:rsidR="00011F78">
        <w:t>)</w:t>
      </w:r>
      <w:r w:rsidR="00E97178">
        <w:t xml:space="preserve">, </w:t>
      </w:r>
      <w:r w:rsidR="002765BC" w:rsidRPr="00470866">
        <w:t>UNDP contri</w:t>
      </w:r>
      <w:r w:rsidR="002765BC" w:rsidRPr="00B81808">
        <w:t xml:space="preserve">buted to </w:t>
      </w:r>
      <w:r w:rsidR="00317317">
        <w:t xml:space="preserve">the </w:t>
      </w:r>
      <w:r w:rsidR="002765BC" w:rsidRPr="00B81808">
        <w:t>promotion of gender equality and women’s empowerment in electoral assistance and devol</w:t>
      </w:r>
      <w:r w:rsidR="00181EC7">
        <w:t>ved governance</w:t>
      </w:r>
      <w:r w:rsidR="00717B81">
        <w:t xml:space="preserve">, </w:t>
      </w:r>
      <w:r w:rsidR="00317317">
        <w:t xml:space="preserve">while </w:t>
      </w:r>
      <w:r w:rsidR="002765BC" w:rsidRPr="00B81808">
        <w:t xml:space="preserve">South-South cooperation was </w:t>
      </w:r>
      <w:r w:rsidR="002765BC" w:rsidRPr="005841BE">
        <w:t xml:space="preserve">leveraged to share lessons on devolution with Nepal. </w:t>
      </w:r>
    </w:p>
    <w:p w14:paraId="4C606D5C" w14:textId="77777777" w:rsidR="00C8493C" w:rsidRPr="007D1253" w:rsidRDefault="00C8493C" w:rsidP="00812104">
      <w:pPr>
        <w:pStyle w:val="ListParagraph"/>
        <w:ind w:left="1080" w:right="940"/>
        <w:rPr>
          <w:sz w:val="12"/>
          <w:szCs w:val="12"/>
        </w:rPr>
      </w:pPr>
    </w:p>
    <w:p w14:paraId="2A50446E" w14:textId="070697C7" w:rsidR="00C8493C" w:rsidRDefault="00F63536" w:rsidP="00812104">
      <w:pPr>
        <w:pStyle w:val="ListParagraph"/>
        <w:numPr>
          <w:ilvl w:val="0"/>
          <w:numId w:val="2"/>
        </w:numPr>
        <w:ind w:left="1080" w:right="940" w:firstLine="0"/>
        <w:contextualSpacing/>
        <w:jc w:val="both"/>
      </w:pPr>
      <w:r>
        <w:t xml:space="preserve"> </w:t>
      </w:r>
      <w:r w:rsidR="006D4359">
        <w:t>C</w:t>
      </w:r>
      <w:r w:rsidR="008221D4">
        <w:t xml:space="preserve">ritical success factors </w:t>
      </w:r>
      <w:r w:rsidR="00E97178">
        <w:t xml:space="preserve">cited </w:t>
      </w:r>
      <w:r w:rsidR="002765BC" w:rsidRPr="00E308EE">
        <w:t>includ</w:t>
      </w:r>
      <w:r w:rsidR="008221D4">
        <w:t>e</w:t>
      </w:r>
      <w:r w:rsidR="00764964">
        <w:t>:</w:t>
      </w:r>
      <w:r w:rsidR="002765BC" w:rsidRPr="00E308EE">
        <w:t xml:space="preserve"> national ownership </w:t>
      </w:r>
      <w:r w:rsidR="004930C2">
        <w:t>through</w:t>
      </w:r>
      <w:r w:rsidR="002765BC" w:rsidRPr="00E308EE">
        <w:t xml:space="preserve"> the </w:t>
      </w:r>
      <w:r w:rsidR="00011F78">
        <w:t>national implementation</w:t>
      </w:r>
      <w:r w:rsidR="00011F78" w:rsidRPr="00E308EE">
        <w:t xml:space="preserve"> </w:t>
      </w:r>
      <w:r w:rsidR="002765BC" w:rsidRPr="00E308EE">
        <w:t xml:space="preserve">modality; strategic relevance </w:t>
      </w:r>
      <w:r w:rsidR="009F1DAB">
        <w:t>through</w:t>
      </w:r>
      <w:r w:rsidR="002765BC" w:rsidRPr="00E308EE">
        <w:t xml:space="preserve"> alignment with national development policy and mainstreaming </w:t>
      </w:r>
      <w:r w:rsidR="00011F78">
        <w:t>of the Millennium</w:t>
      </w:r>
      <w:r w:rsidR="002765BC" w:rsidRPr="00E308EE">
        <w:t xml:space="preserve"> </w:t>
      </w:r>
      <w:r w:rsidR="00011F78">
        <w:t>Development Goals and Sustainable Development Goals</w:t>
      </w:r>
      <w:r w:rsidR="002765BC" w:rsidRPr="00E308EE">
        <w:t xml:space="preserve">; </w:t>
      </w:r>
      <w:r>
        <w:t xml:space="preserve">UNDP being </w:t>
      </w:r>
      <w:r w:rsidR="004930C2">
        <w:t xml:space="preserve">a </w:t>
      </w:r>
      <w:r w:rsidR="004930C2" w:rsidRPr="00E308EE">
        <w:t>credible</w:t>
      </w:r>
      <w:r w:rsidR="004930C2">
        <w:t xml:space="preserve"> and</w:t>
      </w:r>
      <w:r w:rsidR="002765BC" w:rsidRPr="00E308EE">
        <w:t xml:space="preserve"> reliable partner; timely response to emerging needs; engagement with </w:t>
      </w:r>
      <w:r w:rsidR="00011F78">
        <w:t xml:space="preserve">United Nations </w:t>
      </w:r>
      <w:r w:rsidR="00764964">
        <w:t xml:space="preserve">system-wide </w:t>
      </w:r>
      <w:r w:rsidR="002765BC" w:rsidRPr="00E308EE">
        <w:t xml:space="preserve">monitoring and reporting through the </w:t>
      </w:r>
      <w:r w:rsidR="00011F78">
        <w:t>Delivering as One</w:t>
      </w:r>
      <w:r w:rsidR="00011F78" w:rsidRPr="00E308EE">
        <w:t xml:space="preserve"> </w:t>
      </w:r>
      <w:r w:rsidR="002765BC" w:rsidRPr="00E308EE">
        <w:t xml:space="preserve">framework; and focus on </w:t>
      </w:r>
      <w:r w:rsidR="00764964">
        <w:t xml:space="preserve">sustainable </w:t>
      </w:r>
      <w:r w:rsidR="002765BC" w:rsidRPr="00E308EE">
        <w:t>capac</w:t>
      </w:r>
      <w:r w:rsidR="002765BC" w:rsidRPr="00730CD7">
        <w:t>ity</w:t>
      </w:r>
      <w:r w:rsidR="00764964">
        <w:t xml:space="preserve"> development</w:t>
      </w:r>
      <w:r w:rsidR="002765BC" w:rsidRPr="00730CD7">
        <w:t xml:space="preserve">. </w:t>
      </w:r>
      <w:r w:rsidR="002765BC" w:rsidRPr="00C122DC">
        <w:t xml:space="preserve">The </w:t>
      </w:r>
      <w:r w:rsidR="00011F78">
        <w:t>evaluation</w:t>
      </w:r>
      <w:r w:rsidR="00011F78" w:rsidRPr="00C122DC">
        <w:t xml:space="preserve"> </w:t>
      </w:r>
      <w:r w:rsidR="002765BC" w:rsidRPr="00C122DC">
        <w:t xml:space="preserve">also cited areas for improvement including regular </w:t>
      </w:r>
      <w:r w:rsidR="008A0656">
        <w:t xml:space="preserve">results </w:t>
      </w:r>
      <w:r w:rsidR="002765BC" w:rsidRPr="00C122DC">
        <w:t xml:space="preserve">reporting, </w:t>
      </w:r>
      <w:r w:rsidR="00C574C1">
        <w:t>establish</w:t>
      </w:r>
      <w:r w:rsidR="004930C2">
        <w:t>ing</w:t>
      </w:r>
      <w:r w:rsidR="00C574C1">
        <w:t xml:space="preserve"> </w:t>
      </w:r>
      <w:r w:rsidR="002765BC" w:rsidRPr="00C122DC">
        <w:t>baseline data</w:t>
      </w:r>
      <w:r w:rsidR="008D4016">
        <w:t>,</w:t>
      </w:r>
      <w:r w:rsidR="002765BC" w:rsidRPr="00470866">
        <w:t xml:space="preserve"> integrated </w:t>
      </w:r>
      <w:r w:rsidR="008A0656">
        <w:t>programming</w:t>
      </w:r>
      <w:r w:rsidR="00E42BF9" w:rsidRPr="00470866">
        <w:t xml:space="preserve"> </w:t>
      </w:r>
      <w:r w:rsidR="002765BC" w:rsidRPr="00470866">
        <w:t>at subnational level an</w:t>
      </w:r>
      <w:r w:rsidR="008A0656">
        <w:t xml:space="preserve">, </w:t>
      </w:r>
      <w:r w:rsidR="002765BC" w:rsidRPr="00470866">
        <w:t>clear exit strateg</w:t>
      </w:r>
      <w:r w:rsidR="00C574C1">
        <w:t>ies for</w:t>
      </w:r>
      <w:r w:rsidR="002765BC" w:rsidRPr="00470866">
        <w:t xml:space="preserve"> sustain</w:t>
      </w:r>
      <w:r w:rsidR="006D4359">
        <w:t>ing</w:t>
      </w:r>
      <w:r w:rsidR="00C574C1">
        <w:t xml:space="preserve"> development impact</w:t>
      </w:r>
      <w:r w:rsidR="002765BC" w:rsidRPr="00470866">
        <w:t xml:space="preserve">. </w:t>
      </w:r>
    </w:p>
    <w:p w14:paraId="645DF9EA" w14:textId="77777777" w:rsidR="00C8493C" w:rsidRPr="007D1253" w:rsidRDefault="00C8493C" w:rsidP="00812104">
      <w:pPr>
        <w:pStyle w:val="ListParagraph"/>
        <w:ind w:left="1080" w:right="940"/>
        <w:rPr>
          <w:sz w:val="12"/>
          <w:szCs w:val="12"/>
        </w:rPr>
      </w:pPr>
    </w:p>
    <w:p w14:paraId="04496A91" w14:textId="574341CC" w:rsidR="00C8493C" w:rsidRDefault="002765BC" w:rsidP="00812104">
      <w:pPr>
        <w:pStyle w:val="ListParagraph"/>
        <w:numPr>
          <w:ilvl w:val="0"/>
          <w:numId w:val="2"/>
        </w:numPr>
        <w:ind w:left="1080" w:right="940" w:firstLine="0"/>
        <w:contextualSpacing/>
        <w:jc w:val="both"/>
      </w:pPr>
      <w:r w:rsidRPr="00B81808">
        <w:t>Kenya’s Vision 2030, implemented th</w:t>
      </w:r>
      <w:r w:rsidR="00717B81">
        <w:t>r</w:t>
      </w:r>
      <w:r w:rsidRPr="00B81808">
        <w:t xml:space="preserve">ough </w:t>
      </w:r>
      <w:r w:rsidR="00011F78">
        <w:t xml:space="preserve">the Government’s </w:t>
      </w:r>
      <w:r w:rsidR="00A80AA5" w:rsidRPr="00B81808">
        <w:t>MTPs</w:t>
      </w:r>
      <w:r w:rsidRPr="00EC1F59">
        <w:t xml:space="preserve">, </w:t>
      </w:r>
      <w:r w:rsidR="00C574C1">
        <w:t xml:space="preserve">aims to </w:t>
      </w:r>
      <w:r w:rsidRPr="00EC1F59">
        <w:t>transform Kenya into a “</w:t>
      </w:r>
      <w:r w:rsidRPr="000B1661">
        <w:t>newly industrializing, middle-income country providing a high quality of life to all its’ citizens in a clean and secure environment</w:t>
      </w:r>
      <w:r w:rsidRPr="00EC1F59">
        <w:t xml:space="preserve">.” The </w:t>
      </w:r>
      <w:r w:rsidR="003F1E61">
        <w:t xml:space="preserve">draft </w:t>
      </w:r>
      <w:r w:rsidRPr="005841BE">
        <w:t xml:space="preserve">MTP III </w:t>
      </w:r>
      <w:r w:rsidR="00730CD7">
        <w:t xml:space="preserve">is </w:t>
      </w:r>
      <w:r w:rsidR="00C574C1">
        <w:t>based on</w:t>
      </w:r>
      <w:r w:rsidR="00730CD7">
        <w:t xml:space="preserve"> </w:t>
      </w:r>
      <w:r w:rsidRPr="00E308EE">
        <w:t>three</w:t>
      </w:r>
      <w:r w:rsidR="00764964">
        <w:t xml:space="preserve"> p</w:t>
      </w:r>
      <w:r w:rsidRPr="00E308EE">
        <w:t>illars</w:t>
      </w:r>
      <w:r w:rsidR="005E14FA">
        <w:t xml:space="preserve"> (</w:t>
      </w:r>
      <w:r w:rsidR="00011F78">
        <w:t>e</w:t>
      </w:r>
      <w:r w:rsidR="00011F78" w:rsidRPr="00E308EE">
        <w:t>conomic</w:t>
      </w:r>
      <w:r w:rsidR="00953187">
        <w:t>,</w:t>
      </w:r>
      <w:r w:rsidR="00AC7543">
        <w:t xml:space="preserve"> </w:t>
      </w:r>
      <w:r w:rsidR="00011F78">
        <w:t>s</w:t>
      </w:r>
      <w:r w:rsidR="00011F78" w:rsidRPr="00E308EE">
        <w:t xml:space="preserve">ocial </w:t>
      </w:r>
      <w:r w:rsidRPr="00730CD7">
        <w:t>and</w:t>
      </w:r>
      <w:r w:rsidR="00AC7543">
        <w:t xml:space="preserve"> </w:t>
      </w:r>
      <w:r w:rsidR="000B1661">
        <w:t>p</w:t>
      </w:r>
      <w:r w:rsidR="000B1661" w:rsidRPr="00730CD7">
        <w:t>olitical</w:t>
      </w:r>
      <w:r w:rsidR="000B1661">
        <w:t>) and</w:t>
      </w:r>
      <w:r w:rsidR="003F1E61">
        <w:t xml:space="preserve"> outlines </w:t>
      </w:r>
      <w:r w:rsidR="00730CD7">
        <w:t xml:space="preserve">four </w:t>
      </w:r>
      <w:r w:rsidR="00764964">
        <w:t>priorities</w:t>
      </w:r>
      <w:r w:rsidR="00730CD7">
        <w:t xml:space="preserve"> </w:t>
      </w:r>
      <w:r w:rsidR="003F1E61">
        <w:t xml:space="preserve">for </w:t>
      </w:r>
      <w:r w:rsidR="00A80AA5" w:rsidRPr="00730CD7">
        <w:t xml:space="preserve">Kenya’s transformation: increasing </w:t>
      </w:r>
      <w:r w:rsidR="005E14FA">
        <w:t xml:space="preserve">the contribution of </w:t>
      </w:r>
      <w:r w:rsidR="00A80AA5" w:rsidRPr="00730CD7">
        <w:t>manufacturing to GDP</w:t>
      </w:r>
      <w:r w:rsidR="00953187">
        <w:t xml:space="preserve"> from 9.2</w:t>
      </w:r>
      <w:r w:rsidR="005E14FA">
        <w:t xml:space="preserve"> per cent </w:t>
      </w:r>
      <w:r w:rsidR="00730CD7">
        <w:t>in 2016 to 20</w:t>
      </w:r>
      <w:r w:rsidR="005E14FA">
        <w:t xml:space="preserve"> per cent</w:t>
      </w:r>
      <w:r w:rsidR="00986EDC">
        <w:t xml:space="preserve"> by</w:t>
      </w:r>
      <w:r w:rsidR="003F1E61">
        <w:t xml:space="preserve"> </w:t>
      </w:r>
      <w:r w:rsidR="00730CD7">
        <w:t>2023</w:t>
      </w:r>
      <w:r w:rsidR="00A80AA5" w:rsidRPr="00730CD7">
        <w:t xml:space="preserve">; </w:t>
      </w:r>
      <w:r w:rsidR="00730CD7">
        <w:t>increasing agricultural productivity through value</w:t>
      </w:r>
      <w:r w:rsidR="00500F98">
        <w:t xml:space="preserve"> chain development to promote food security and processed agricultural </w:t>
      </w:r>
      <w:r w:rsidR="00DC1F68">
        <w:t xml:space="preserve">exports; </w:t>
      </w:r>
      <w:r w:rsidR="004447DF">
        <w:t xml:space="preserve">and </w:t>
      </w:r>
      <w:r w:rsidR="00DC1F68" w:rsidRPr="00730CD7">
        <w:t>providing</w:t>
      </w:r>
      <w:r w:rsidR="00500F98">
        <w:t xml:space="preserve"> </w:t>
      </w:r>
      <w:r w:rsidR="00A80AA5" w:rsidRPr="00730CD7">
        <w:t xml:space="preserve">affordable housing and </w:t>
      </w:r>
      <w:r w:rsidR="005E14FA" w:rsidRPr="00730CD7">
        <w:t>achiev</w:t>
      </w:r>
      <w:r w:rsidR="005E14FA">
        <w:t>ing</w:t>
      </w:r>
      <w:r w:rsidR="005E14FA" w:rsidRPr="00730CD7">
        <w:t xml:space="preserve"> </w:t>
      </w:r>
      <w:r w:rsidR="00A80AA5" w:rsidRPr="00730CD7">
        <w:t>100</w:t>
      </w:r>
      <w:r w:rsidR="005E14FA">
        <w:t xml:space="preserve"> per cent</w:t>
      </w:r>
      <w:r w:rsidR="005E14FA" w:rsidRPr="00730CD7">
        <w:t xml:space="preserve"> </w:t>
      </w:r>
      <w:r w:rsidR="00A80AA5" w:rsidRPr="00730CD7">
        <w:t xml:space="preserve">universal health </w:t>
      </w:r>
      <w:r w:rsidR="00500F98">
        <w:t>coverage to Kenyans</w:t>
      </w:r>
      <w:r w:rsidR="003F1E61">
        <w:t xml:space="preserve">. </w:t>
      </w:r>
      <w:r w:rsidRPr="00CA32B7">
        <w:t>Vision 2030</w:t>
      </w:r>
      <w:r w:rsidR="002B0E3B">
        <w:t xml:space="preserve"> is aligned to the </w:t>
      </w:r>
      <w:r w:rsidR="005E14FA">
        <w:t xml:space="preserve">Sustainable Development Goals </w:t>
      </w:r>
      <w:r w:rsidRPr="00CA32B7">
        <w:t>and the Constitution 2010</w:t>
      </w:r>
      <w:r w:rsidR="001211AD">
        <w:t>, which</w:t>
      </w:r>
      <w:r w:rsidRPr="001D4D5D">
        <w:t xml:space="preserve"> provides for devolved government</w:t>
      </w:r>
      <w:r w:rsidR="0020346B">
        <w:t xml:space="preserve"> to </w:t>
      </w:r>
      <w:r w:rsidR="008221D4">
        <w:t xml:space="preserve">deepen accountability and </w:t>
      </w:r>
      <w:r w:rsidR="00E15485">
        <w:t xml:space="preserve">improve </w:t>
      </w:r>
      <w:r w:rsidRPr="001D4D5D">
        <w:t>public services</w:t>
      </w:r>
      <w:r w:rsidR="008221D4">
        <w:t xml:space="preserve">. </w:t>
      </w:r>
      <w:r w:rsidRPr="001D4D5D">
        <w:t xml:space="preserve">These development frameworks and institutional arrangements </w:t>
      </w:r>
      <w:r w:rsidR="00096F45">
        <w:t>position Kenya</w:t>
      </w:r>
      <w:r w:rsidRPr="001D4D5D">
        <w:t xml:space="preserve"> to </w:t>
      </w:r>
      <w:r w:rsidR="00096F45">
        <w:t>better implement the</w:t>
      </w:r>
      <w:r w:rsidRPr="001D4D5D">
        <w:t xml:space="preserve"> </w:t>
      </w:r>
      <w:r w:rsidR="005E14FA">
        <w:t>Goals</w:t>
      </w:r>
      <w:r w:rsidR="00096F45">
        <w:t xml:space="preserve">. </w:t>
      </w:r>
      <w:r w:rsidRPr="001D4D5D">
        <w:t xml:space="preserve"> </w:t>
      </w:r>
    </w:p>
    <w:p w14:paraId="0F89E703" w14:textId="77777777" w:rsidR="00C8493C" w:rsidRDefault="00C8493C" w:rsidP="00812104">
      <w:pPr>
        <w:pStyle w:val="ListParagraph"/>
        <w:ind w:left="1080" w:right="940"/>
        <w:contextualSpacing/>
        <w:jc w:val="both"/>
      </w:pPr>
    </w:p>
    <w:p w14:paraId="3870299E" w14:textId="2E2ACCDD" w:rsidR="002765BC" w:rsidRPr="00C8493C" w:rsidRDefault="002765BC" w:rsidP="007D1253">
      <w:pPr>
        <w:pStyle w:val="Heading2"/>
        <w:spacing w:after="200"/>
        <w:ind w:left="1080" w:right="940" w:hanging="540"/>
        <w:jc w:val="both"/>
        <w:rPr>
          <w:rFonts w:ascii="Times New Roman" w:hAnsi="Times New Roman"/>
          <w:bCs/>
          <w:color w:val="000000"/>
          <w:sz w:val="24"/>
          <w:szCs w:val="24"/>
        </w:rPr>
      </w:pPr>
      <w:r w:rsidRPr="00C8493C">
        <w:rPr>
          <w:rFonts w:ascii="Times New Roman" w:hAnsi="Times New Roman"/>
          <w:bCs/>
          <w:color w:val="000000"/>
          <w:sz w:val="24"/>
          <w:szCs w:val="24"/>
        </w:rPr>
        <w:t>II.</w:t>
      </w:r>
      <w:r w:rsidR="007D1253">
        <w:rPr>
          <w:rFonts w:ascii="Times New Roman" w:hAnsi="Times New Roman"/>
          <w:bCs/>
          <w:color w:val="000000"/>
          <w:sz w:val="24"/>
          <w:szCs w:val="24"/>
        </w:rPr>
        <w:tab/>
      </w:r>
      <w:r w:rsidRPr="00C8493C">
        <w:rPr>
          <w:rFonts w:ascii="Times New Roman" w:hAnsi="Times New Roman"/>
          <w:bCs/>
          <w:color w:val="000000"/>
          <w:sz w:val="24"/>
          <w:szCs w:val="24"/>
        </w:rPr>
        <w:t xml:space="preserve">Programme </w:t>
      </w:r>
      <w:r w:rsidR="007D1253">
        <w:rPr>
          <w:rFonts w:ascii="Times New Roman" w:hAnsi="Times New Roman"/>
          <w:bCs/>
          <w:color w:val="000000"/>
          <w:sz w:val="24"/>
          <w:szCs w:val="24"/>
        </w:rPr>
        <w:t>p</w:t>
      </w:r>
      <w:r w:rsidRPr="00C8493C">
        <w:rPr>
          <w:rFonts w:ascii="Times New Roman" w:hAnsi="Times New Roman"/>
          <w:bCs/>
          <w:color w:val="000000"/>
          <w:sz w:val="24"/>
          <w:szCs w:val="24"/>
        </w:rPr>
        <w:t xml:space="preserve">riorities and </w:t>
      </w:r>
      <w:r w:rsidR="007D1253">
        <w:rPr>
          <w:rFonts w:ascii="Times New Roman" w:hAnsi="Times New Roman"/>
          <w:bCs/>
          <w:color w:val="000000"/>
          <w:sz w:val="24"/>
          <w:szCs w:val="24"/>
        </w:rPr>
        <w:t>p</w:t>
      </w:r>
      <w:r w:rsidRPr="00C8493C">
        <w:rPr>
          <w:rFonts w:ascii="Times New Roman" w:hAnsi="Times New Roman"/>
          <w:bCs/>
          <w:color w:val="000000"/>
          <w:sz w:val="24"/>
          <w:szCs w:val="24"/>
        </w:rPr>
        <w:t xml:space="preserve">artnerships </w:t>
      </w:r>
    </w:p>
    <w:p w14:paraId="41F96FD6" w14:textId="51F70EC6" w:rsidR="00F414F3" w:rsidRPr="009C3007" w:rsidRDefault="00953187" w:rsidP="00380DDB">
      <w:pPr>
        <w:pStyle w:val="ListParagraph"/>
        <w:numPr>
          <w:ilvl w:val="0"/>
          <w:numId w:val="2"/>
        </w:numPr>
        <w:ind w:left="1080" w:right="940" w:firstLine="0"/>
        <w:contextualSpacing/>
        <w:jc w:val="both"/>
        <w:rPr>
          <w:color w:val="000000"/>
        </w:rPr>
      </w:pPr>
      <w:bookmarkStart w:id="1" w:name="_Hlk506895526"/>
      <w:r w:rsidRPr="009C3007">
        <w:rPr>
          <w:color w:val="000000"/>
        </w:rPr>
        <w:t xml:space="preserve">The </w:t>
      </w:r>
      <w:r w:rsidR="00E87DEF" w:rsidRPr="00E87DEF">
        <w:rPr>
          <w:color w:val="000000"/>
        </w:rPr>
        <w:t xml:space="preserve">country programme </w:t>
      </w:r>
      <w:r w:rsidR="00036B78" w:rsidRPr="009C3007">
        <w:rPr>
          <w:color w:val="000000"/>
        </w:rPr>
        <w:t>s</w:t>
      </w:r>
      <w:r w:rsidR="008F6305" w:rsidRPr="009C3007">
        <w:rPr>
          <w:color w:val="000000"/>
        </w:rPr>
        <w:t>trategic</w:t>
      </w:r>
      <w:r w:rsidR="002765BC" w:rsidRPr="009C3007">
        <w:rPr>
          <w:color w:val="000000"/>
        </w:rPr>
        <w:t xml:space="preserve"> priorities</w:t>
      </w:r>
      <w:r w:rsidR="008A0656" w:rsidRPr="009C3007">
        <w:rPr>
          <w:color w:val="000000"/>
        </w:rPr>
        <w:t xml:space="preserve"> are</w:t>
      </w:r>
      <w:r w:rsidR="00AA514A" w:rsidRPr="009C3007">
        <w:rPr>
          <w:color w:val="000000"/>
        </w:rPr>
        <w:t>:</w:t>
      </w:r>
      <w:r w:rsidR="00E87DEF">
        <w:rPr>
          <w:color w:val="000000"/>
        </w:rPr>
        <w:t xml:space="preserve"> </w:t>
      </w:r>
      <w:r w:rsidR="005E14FA">
        <w:rPr>
          <w:color w:val="000000"/>
        </w:rPr>
        <w:t>(a</w:t>
      </w:r>
      <w:r w:rsidR="002765BC" w:rsidRPr="009C3007">
        <w:rPr>
          <w:color w:val="000000"/>
        </w:rPr>
        <w:t xml:space="preserve">) </w:t>
      </w:r>
      <w:r w:rsidR="005E14FA">
        <w:rPr>
          <w:color w:val="000000"/>
        </w:rPr>
        <w:t>g</w:t>
      </w:r>
      <w:r w:rsidR="005E14FA" w:rsidRPr="009C3007">
        <w:rPr>
          <w:color w:val="000000"/>
        </w:rPr>
        <w:t>overnance</w:t>
      </w:r>
      <w:r w:rsidR="00AA514A" w:rsidRPr="009C3007">
        <w:rPr>
          <w:color w:val="000000"/>
        </w:rPr>
        <w:t xml:space="preserve">, </w:t>
      </w:r>
      <w:r w:rsidR="005E14FA">
        <w:rPr>
          <w:color w:val="000000"/>
        </w:rPr>
        <w:t>p</w:t>
      </w:r>
      <w:r w:rsidR="005E14FA" w:rsidRPr="009C3007">
        <w:rPr>
          <w:color w:val="000000"/>
        </w:rPr>
        <w:t xml:space="preserve">eace </w:t>
      </w:r>
      <w:r w:rsidR="00AA514A" w:rsidRPr="009C3007">
        <w:rPr>
          <w:color w:val="000000"/>
        </w:rPr>
        <w:t xml:space="preserve">and </w:t>
      </w:r>
      <w:r w:rsidR="005E14FA">
        <w:rPr>
          <w:color w:val="000000"/>
        </w:rPr>
        <w:t>s</w:t>
      </w:r>
      <w:r w:rsidR="005E14FA" w:rsidRPr="009C3007">
        <w:rPr>
          <w:color w:val="000000"/>
        </w:rPr>
        <w:t>ecurity</w:t>
      </w:r>
      <w:r w:rsidR="00AA514A" w:rsidRPr="009C3007">
        <w:rPr>
          <w:color w:val="000000"/>
        </w:rPr>
        <w:t xml:space="preserve">; </w:t>
      </w:r>
      <w:r w:rsidR="005E14FA">
        <w:rPr>
          <w:color w:val="000000"/>
        </w:rPr>
        <w:t>(b</w:t>
      </w:r>
      <w:r w:rsidR="002765BC" w:rsidRPr="009C3007">
        <w:rPr>
          <w:color w:val="000000"/>
        </w:rPr>
        <w:t xml:space="preserve">) </w:t>
      </w:r>
      <w:r w:rsidR="005E14FA">
        <w:rPr>
          <w:color w:val="000000"/>
        </w:rPr>
        <w:t>i</w:t>
      </w:r>
      <w:r w:rsidR="005E14FA" w:rsidRPr="009C3007">
        <w:rPr>
          <w:color w:val="000000"/>
        </w:rPr>
        <w:t xml:space="preserve">nclusive </w:t>
      </w:r>
      <w:r w:rsidR="005E14FA">
        <w:rPr>
          <w:color w:val="000000"/>
        </w:rPr>
        <w:t>g</w:t>
      </w:r>
      <w:r w:rsidR="005E14FA" w:rsidRPr="009C3007">
        <w:rPr>
          <w:color w:val="000000"/>
        </w:rPr>
        <w:t xml:space="preserve">rowth </w:t>
      </w:r>
      <w:r w:rsidR="002765BC" w:rsidRPr="009C3007">
        <w:rPr>
          <w:color w:val="000000"/>
        </w:rPr>
        <w:t xml:space="preserve">and </w:t>
      </w:r>
      <w:r w:rsidR="005E14FA">
        <w:rPr>
          <w:color w:val="000000"/>
        </w:rPr>
        <w:t>s</w:t>
      </w:r>
      <w:r w:rsidR="005E14FA" w:rsidRPr="009C3007">
        <w:rPr>
          <w:color w:val="000000"/>
        </w:rPr>
        <w:t xml:space="preserve">tructural </w:t>
      </w:r>
      <w:r w:rsidR="005E14FA">
        <w:rPr>
          <w:color w:val="000000"/>
        </w:rPr>
        <w:t>t</w:t>
      </w:r>
      <w:r w:rsidR="005E14FA" w:rsidRPr="009C3007">
        <w:rPr>
          <w:color w:val="000000"/>
        </w:rPr>
        <w:t>ransformation</w:t>
      </w:r>
      <w:r w:rsidR="00AA514A" w:rsidRPr="009C3007">
        <w:rPr>
          <w:color w:val="000000"/>
        </w:rPr>
        <w:t xml:space="preserve">; and </w:t>
      </w:r>
      <w:r w:rsidR="005E14FA">
        <w:rPr>
          <w:color w:val="000000"/>
        </w:rPr>
        <w:t>(c</w:t>
      </w:r>
      <w:r w:rsidR="002765BC" w:rsidRPr="009C3007">
        <w:rPr>
          <w:color w:val="000000"/>
        </w:rPr>
        <w:t xml:space="preserve">) </w:t>
      </w:r>
      <w:r w:rsidR="005E14FA">
        <w:rPr>
          <w:color w:val="000000"/>
        </w:rPr>
        <w:t>e</w:t>
      </w:r>
      <w:r w:rsidR="005E14FA" w:rsidRPr="009C3007">
        <w:rPr>
          <w:color w:val="000000"/>
        </w:rPr>
        <w:t xml:space="preserve">nvironmental </w:t>
      </w:r>
      <w:r w:rsidR="005E14FA">
        <w:rPr>
          <w:color w:val="000000"/>
        </w:rPr>
        <w:t>s</w:t>
      </w:r>
      <w:r w:rsidR="005E14FA" w:rsidRPr="009C3007">
        <w:rPr>
          <w:color w:val="000000"/>
        </w:rPr>
        <w:t>ustainability</w:t>
      </w:r>
      <w:r w:rsidR="002765BC" w:rsidRPr="009C3007">
        <w:rPr>
          <w:color w:val="000000"/>
        </w:rPr>
        <w:t xml:space="preserve">, </w:t>
      </w:r>
      <w:r w:rsidR="005E14FA">
        <w:rPr>
          <w:color w:val="000000"/>
        </w:rPr>
        <w:t>c</w:t>
      </w:r>
      <w:r w:rsidR="005E14FA" w:rsidRPr="009C3007">
        <w:rPr>
          <w:color w:val="000000"/>
        </w:rPr>
        <w:t xml:space="preserve">limate </w:t>
      </w:r>
      <w:r w:rsidR="005E14FA">
        <w:rPr>
          <w:color w:val="000000"/>
        </w:rPr>
        <w:t>c</w:t>
      </w:r>
      <w:r w:rsidR="005E14FA" w:rsidRPr="009C3007">
        <w:rPr>
          <w:color w:val="000000"/>
        </w:rPr>
        <w:t xml:space="preserve">hange </w:t>
      </w:r>
      <w:r w:rsidR="002765BC" w:rsidRPr="009C3007">
        <w:rPr>
          <w:color w:val="000000"/>
        </w:rPr>
        <w:t xml:space="preserve">and </w:t>
      </w:r>
      <w:r w:rsidR="00AC5912">
        <w:rPr>
          <w:color w:val="000000"/>
        </w:rPr>
        <w:t>r</w:t>
      </w:r>
      <w:r w:rsidR="005E14FA" w:rsidRPr="009C3007">
        <w:rPr>
          <w:color w:val="000000"/>
        </w:rPr>
        <w:t>esilience</w:t>
      </w:r>
      <w:r w:rsidR="002765BC" w:rsidRPr="009C3007">
        <w:rPr>
          <w:color w:val="000000"/>
        </w:rPr>
        <w:t xml:space="preserve">. </w:t>
      </w:r>
      <w:r w:rsidR="00036B78" w:rsidRPr="009C3007">
        <w:rPr>
          <w:color w:val="000000"/>
        </w:rPr>
        <w:t xml:space="preserve">Aligned to </w:t>
      </w:r>
      <w:r w:rsidR="00AC5912">
        <w:rPr>
          <w:color w:val="000000"/>
        </w:rPr>
        <w:t>Sustainable Development Goal</w:t>
      </w:r>
      <w:r w:rsidR="00AC5912" w:rsidRPr="000B1661">
        <w:rPr>
          <w:color w:val="000000"/>
        </w:rPr>
        <w:t xml:space="preserve"> </w:t>
      </w:r>
      <w:r w:rsidR="00CC05E9" w:rsidRPr="000B1661">
        <w:rPr>
          <w:color w:val="000000"/>
        </w:rPr>
        <w:t xml:space="preserve">1 </w:t>
      </w:r>
      <w:r w:rsidR="00434866">
        <w:rPr>
          <w:color w:val="000000"/>
        </w:rPr>
        <w:t xml:space="preserve">and the </w:t>
      </w:r>
      <w:r w:rsidR="00362A1C" w:rsidRPr="009C3007">
        <w:rPr>
          <w:color w:val="000000"/>
        </w:rPr>
        <w:t>UNDAF 2018-2022</w:t>
      </w:r>
      <w:r w:rsidR="008D4016">
        <w:rPr>
          <w:color w:val="000000"/>
        </w:rPr>
        <w:t>,</w:t>
      </w:r>
      <w:r w:rsidR="001211AD">
        <w:rPr>
          <w:color w:val="000000"/>
        </w:rPr>
        <w:t xml:space="preserve"> </w:t>
      </w:r>
      <w:r w:rsidR="00AC5912">
        <w:rPr>
          <w:color w:val="000000"/>
        </w:rPr>
        <w:t>the</w:t>
      </w:r>
      <w:r w:rsidR="00F36B07" w:rsidRPr="000B1661">
        <w:rPr>
          <w:color w:val="000000"/>
        </w:rPr>
        <w:t xml:space="preserve"> theory of change is to support equitable poverty alleviation by facilitating structural</w:t>
      </w:r>
      <w:r w:rsidR="00116913" w:rsidRPr="000B1661">
        <w:rPr>
          <w:color w:val="000000"/>
        </w:rPr>
        <w:t xml:space="preserve">, </w:t>
      </w:r>
      <w:r w:rsidR="00F36B07" w:rsidRPr="000B1661">
        <w:rPr>
          <w:color w:val="000000"/>
        </w:rPr>
        <w:t xml:space="preserve">institutional policy, production and service delivery capacities to accelerate inclusive growth; </w:t>
      </w:r>
      <w:r w:rsidR="00F36B07" w:rsidRPr="000B1661">
        <w:rPr>
          <w:color w:val="000000"/>
        </w:rPr>
        <w:lastRenderedPageBreak/>
        <w:t>enable resilience to cyclical shocks; and contribute to accountable governance by facilitating reduction of socioeconomic marginalization</w:t>
      </w:r>
      <w:r w:rsidR="00CC05E9" w:rsidRPr="000B1661">
        <w:rPr>
          <w:color w:val="000000"/>
        </w:rPr>
        <w:t xml:space="preserve"> which contributes to </w:t>
      </w:r>
      <w:r w:rsidR="00F36B07" w:rsidRPr="000B1661">
        <w:rPr>
          <w:color w:val="000000"/>
        </w:rPr>
        <w:t xml:space="preserve">sociopolitical </w:t>
      </w:r>
      <w:r w:rsidR="00847D4B">
        <w:rPr>
          <w:color w:val="000000"/>
        </w:rPr>
        <w:t>cleavages</w:t>
      </w:r>
      <w:r w:rsidR="00036B78" w:rsidRPr="000B1661">
        <w:rPr>
          <w:color w:val="000000"/>
        </w:rPr>
        <w:t xml:space="preserve"> </w:t>
      </w:r>
      <w:r w:rsidR="00F36B07" w:rsidRPr="000B1661">
        <w:rPr>
          <w:color w:val="000000"/>
        </w:rPr>
        <w:t>that underpin political, natural resource and other conflicts</w:t>
      </w:r>
      <w:r w:rsidR="00F36B07" w:rsidRPr="005E14FA">
        <w:rPr>
          <w:color w:val="000000"/>
        </w:rPr>
        <w:t>.</w:t>
      </w:r>
    </w:p>
    <w:p w14:paraId="19442BA1" w14:textId="77777777" w:rsidR="00F36B07" w:rsidRPr="007D1253" w:rsidRDefault="00F36B07" w:rsidP="00812104">
      <w:pPr>
        <w:pStyle w:val="ListParagraph"/>
        <w:ind w:left="1080" w:right="940"/>
        <w:contextualSpacing/>
        <w:jc w:val="both"/>
        <w:rPr>
          <w:color w:val="000000"/>
          <w:sz w:val="12"/>
          <w:szCs w:val="12"/>
        </w:rPr>
      </w:pPr>
    </w:p>
    <w:p w14:paraId="674A6C85" w14:textId="7EC4028A" w:rsidR="00C8493C" w:rsidRPr="009C3007" w:rsidRDefault="003A1520" w:rsidP="00812104">
      <w:pPr>
        <w:pStyle w:val="ListParagraph"/>
        <w:numPr>
          <w:ilvl w:val="0"/>
          <w:numId w:val="2"/>
        </w:numPr>
        <w:ind w:left="1080" w:right="940" w:firstLine="0"/>
        <w:contextualSpacing/>
        <w:jc w:val="both"/>
        <w:rPr>
          <w:color w:val="000000"/>
        </w:rPr>
      </w:pPr>
      <w:bookmarkStart w:id="2" w:name="_Hlk506897862"/>
      <w:r w:rsidRPr="009C3007">
        <w:rPr>
          <w:color w:val="000000"/>
        </w:rPr>
        <w:t xml:space="preserve">The programme </w:t>
      </w:r>
      <w:r w:rsidR="00F36B07" w:rsidRPr="009C3007">
        <w:rPr>
          <w:color w:val="000000"/>
        </w:rPr>
        <w:t>aim</w:t>
      </w:r>
      <w:r w:rsidR="00825917">
        <w:rPr>
          <w:color w:val="000000"/>
        </w:rPr>
        <w:t>s</w:t>
      </w:r>
      <w:r w:rsidR="00F36B07" w:rsidRPr="009C3007">
        <w:rPr>
          <w:color w:val="000000"/>
        </w:rPr>
        <w:t xml:space="preserve"> to</w:t>
      </w:r>
      <w:r w:rsidR="00AC5912">
        <w:rPr>
          <w:color w:val="000000"/>
        </w:rPr>
        <w:t>:</w:t>
      </w:r>
      <w:r w:rsidR="00F36B07" w:rsidRPr="009C3007">
        <w:rPr>
          <w:color w:val="000000"/>
        </w:rPr>
        <w:t xml:space="preserve"> </w:t>
      </w:r>
      <w:r w:rsidR="00CC05E9" w:rsidRPr="009C3007">
        <w:rPr>
          <w:color w:val="000000"/>
        </w:rPr>
        <w:t>(</w:t>
      </w:r>
      <w:r w:rsidR="00AC5912">
        <w:rPr>
          <w:color w:val="000000"/>
        </w:rPr>
        <w:t>a</w:t>
      </w:r>
      <w:r w:rsidR="00CC05E9" w:rsidRPr="009C3007">
        <w:rPr>
          <w:color w:val="000000"/>
        </w:rPr>
        <w:t xml:space="preserve">) </w:t>
      </w:r>
      <w:r w:rsidR="00CE0D22" w:rsidRPr="009C3007">
        <w:rPr>
          <w:color w:val="000000"/>
        </w:rPr>
        <w:t xml:space="preserve">better respond to </w:t>
      </w:r>
      <w:r w:rsidR="00062067">
        <w:rPr>
          <w:color w:val="000000"/>
        </w:rPr>
        <w:t xml:space="preserve">varied </w:t>
      </w:r>
      <w:r w:rsidR="00CE0D22" w:rsidRPr="009C3007">
        <w:rPr>
          <w:color w:val="000000"/>
        </w:rPr>
        <w:t xml:space="preserve">localized </w:t>
      </w:r>
      <w:r w:rsidR="00036B78" w:rsidRPr="009C3007">
        <w:rPr>
          <w:color w:val="000000"/>
        </w:rPr>
        <w:t xml:space="preserve">governance </w:t>
      </w:r>
      <w:r w:rsidR="00CE0D22" w:rsidRPr="009C3007">
        <w:rPr>
          <w:color w:val="000000"/>
        </w:rPr>
        <w:t xml:space="preserve">contexts through </w:t>
      </w:r>
      <w:r w:rsidR="00226791" w:rsidRPr="009C3007">
        <w:rPr>
          <w:color w:val="000000"/>
        </w:rPr>
        <w:t>area-based and integrated programming to reach the marginalized in ASALs and border counties, including women, youth and persons with disabilities; (</w:t>
      </w:r>
      <w:r w:rsidR="00AC5912">
        <w:rPr>
          <w:color w:val="000000"/>
        </w:rPr>
        <w:t>b</w:t>
      </w:r>
      <w:r w:rsidR="00226791" w:rsidRPr="009C3007">
        <w:rPr>
          <w:color w:val="000000"/>
        </w:rPr>
        <w:t>) s</w:t>
      </w:r>
      <w:r w:rsidR="00825917">
        <w:rPr>
          <w:color w:val="000000"/>
        </w:rPr>
        <w:t>upport</w:t>
      </w:r>
      <w:r w:rsidR="00226791" w:rsidRPr="009C3007">
        <w:rPr>
          <w:color w:val="000000"/>
        </w:rPr>
        <w:t xml:space="preserve"> </w:t>
      </w:r>
      <w:r w:rsidR="00AC5912">
        <w:rPr>
          <w:color w:val="000000"/>
        </w:rPr>
        <w:t>align</w:t>
      </w:r>
      <w:r w:rsidR="00825917">
        <w:rPr>
          <w:color w:val="000000"/>
        </w:rPr>
        <w:t>ment</w:t>
      </w:r>
      <w:r w:rsidR="00AC5912">
        <w:rPr>
          <w:color w:val="000000"/>
        </w:rPr>
        <w:t xml:space="preserve"> </w:t>
      </w:r>
      <w:r w:rsidR="00825917">
        <w:rPr>
          <w:color w:val="000000"/>
        </w:rPr>
        <w:t xml:space="preserve">of </w:t>
      </w:r>
      <w:r w:rsidR="00226791" w:rsidRPr="009C3007">
        <w:rPr>
          <w:color w:val="000000"/>
        </w:rPr>
        <w:t xml:space="preserve">subnational policy with the </w:t>
      </w:r>
      <w:r w:rsidR="00226791" w:rsidRPr="000B1661">
        <w:rPr>
          <w:color w:val="000000"/>
        </w:rPr>
        <w:t>2030 Agenda</w:t>
      </w:r>
      <w:r w:rsidR="00226791" w:rsidRPr="009C3007">
        <w:rPr>
          <w:color w:val="000000"/>
        </w:rPr>
        <w:t xml:space="preserve"> </w:t>
      </w:r>
      <w:r w:rsidR="00CE0D22" w:rsidRPr="009C3007">
        <w:rPr>
          <w:color w:val="000000"/>
        </w:rPr>
        <w:t xml:space="preserve">and </w:t>
      </w:r>
      <w:r w:rsidR="009E4DFC">
        <w:rPr>
          <w:color w:val="000000"/>
        </w:rPr>
        <w:t xml:space="preserve">of </w:t>
      </w:r>
      <w:r w:rsidR="00226791" w:rsidRPr="009C3007">
        <w:rPr>
          <w:color w:val="000000"/>
        </w:rPr>
        <w:t xml:space="preserve">national macroeconomic </w:t>
      </w:r>
      <w:r w:rsidR="00825917">
        <w:rPr>
          <w:color w:val="000000"/>
        </w:rPr>
        <w:t xml:space="preserve">policy </w:t>
      </w:r>
      <w:r w:rsidR="00CE0D22" w:rsidRPr="009C3007">
        <w:rPr>
          <w:color w:val="000000"/>
        </w:rPr>
        <w:t xml:space="preserve">to national </w:t>
      </w:r>
      <w:r w:rsidR="00CE0D22" w:rsidRPr="000B1661">
        <w:rPr>
          <w:color w:val="000000"/>
        </w:rPr>
        <w:t>targets</w:t>
      </w:r>
      <w:r w:rsidR="00226791" w:rsidRPr="009C3007">
        <w:rPr>
          <w:color w:val="000000"/>
        </w:rPr>
        <w:t xml:space="preserve">; </w:t>
      </w:r>
      <w:r w:rsidR="00AA514A" w:rsidRPr="009C3007">
        <w:rPr>
          <w:color w:val="000000"/>
        </w:rPr>
        <w:t xml:space="preserve">and </w:t>
      </w:r>
      <w:r w:rsidR="00226791" w:rsidRPr="009C3007">
        <w:rPr>
          <w:color w:val="000000"/>
        </w:rPr>
        <w:t>(</w:t>
      </w:r>
      <w:r w:rsidR="00AC5912">
        <w:rPr>
          <w:color w:val="000000"/>
        </w:rPr>
        <w:t>c</w:t>
      </w:r>
      <w:r w:rsidR="00226791" w:rsidRPr="009C3007">
        <w:rPr>
          <w:color w:val="000000"/>
        </w:rPr>
        <w:t xml:space="preserve">) </w:t>
      </w:r>
      <w:r w:rsidR="00CE0D22" w:rsidRPr="009C3007">
        <w:rPr>
          <w:color w:val="000000"/>
        </w:rPr>
        <w:t xml:space="preserve"> </w:t>
      </w:r>
      <w:r w:rsidR="001D7063" w:rsidRPr="009C3007">
        <w:rPr>
          <w:color w:val="000000"/>
        </w:rPr>
        <w:t xml:space="preserve">in line with </w:t>
      </w:r>
      <w:r w:rsidR="00AC5912">
        <w:rPr>
          <w:color w:val="000000"/>
        </w:rPr>
        <w:t>Sustainable Goal</w:t>
      </w:r>
      <w:r w:rsidR="00AC5912" w:rsidRPr="000B1661">
        <w:rPr>
          <w:color w:val="000000"/>
        </w:rPr>
        <w:t xml:space="preserve"> </w:t>
      </w:r>
      <w:r w:rsidR="001D7063" w:rsidRPr="000B1661">
        <w:rPr>
          <w:color w:val="000000"/>
        </w:rPr>
        <w:t>17</w:t>
      </w:r>
      <w:r w:rsidR="00AC5912">
        <w:rPr>
          <w:color w:val="000000"/>
        </w:rPr>
        <w:t xml:space="preserve">, </w:t>
      </w:r>
      <w:r w:rsidR="00CE0D22" w:rsidRPr="009C3007">
        <w:rPr>
          <w:color w:val="000000"/>
        </w:rPr>
        <w:t xml:space="preserve">drive sustainability through </w:t>
      </w:r>
      <w:r w:rsidR="00825917">
        <w:rPr>
          <w:color w:val="000000"/>
        </w:rPr>
        <w:t xml:space="preserve">philanthropic and private sector </w:t>
      </w:r>
      <w:r w:rsidR="00AC5912">
        <w:rPr>
          <w:color w:val="000000"/>
        </w:rPr>
        <w:t xml:space="preserve">partnerships and </w:t>
      </w:r>
      <w:r w:rsidR="002973AC">
        <w:rPr>
          <w:color w:val="000000"/>
        </w:rPr>
        <w:t xml:space="preserve">with </w:t>
      </w:r>
      <w:r w:rsidR="00AC5912">
        <w:rPr>
          <w:color w:val="000000"/>
        </w:rPr>
        <w:t>international financial institutions</w:t>
      </w:r>
      <w:r w:rsidR="00AC5912" w:rsidRPr="009C3007">
        <w:rPr>
          <w:color w:val="000000"/>
        </w:rPr>
        <w:t xml:space="preserve"> </w:t>
      </w:r>
      <w:r w:rsidR="00AC5912">
        <w:rPr>
          <w:color w:val="000000"/>
        </w:rPr>
        <w:t>(</w:t>
      </w:r>
      <w:r w:rsidR="00226791" w:rsidRPr="009C3007">
        <w:rPr>
          <w:color w:val="000000"/>
        </w:rPr>
        <w:t>IFIs</w:t>
      </w:r>
      <w:r w:rsidR="00AC5912">
        <w:rPr>
          <w:color w:val="000000"/>
        </w:rPr>
        <w:t>)</w:t>
      </w:r>
      <w:r w:rsidR="00CF1A36" w:rsidRPr="009C3007">
        <w:rPr>
          <w:color w:val="000000"/>
        </w:rPr>
        <w:t xml:space="preserve">. </w:t>
      </w:r>
      <w:r w:rsidR="00AA514A" w:rsidRPr="009C3007">
        <w:rPr>
          <w:color w:val="000000"/>
        </w:rPr>
        <w:t>T</w:t>
      </w:r>
      <w:r w:rsidR="00F36B07" w:rsidRPr="009C3007">
        <w:rPr>
          <w:color w:val="000000"/>
        </w:rPr>
        <w:t xml:space="preserve">he programme </w:t>
      </w:r>
      <w:r w:rsidR="00062067">
        <w:rPr>
          <w:color w:val="000000"/>
        </w:rPr>
        <w:t>will</w:t>
      </w:r>
      <w:r w:rsidR="00226791" w:rsidRPr="009C3007">
        <w:rPr>
          <w:color w:val="000000"/>
        </w:rPr>
        <w:t xml:space="preserve"> </w:t>
      </w:r>
      <w:r w:rsidR="002973AC">
        <w:rPr>
          <w:color w:val="000000"/>
        </w:rPr>
        <w:t>improve</w:t>
      </w:r>
      <w:r w:rsidR="002973AC" w:rsidRPr="009C3007">
        <w:rPr>
          <w:color w:val="000000"/>
        </w:rPr>
        <w:t xml:space="preserve"> </w:t>
      </w:r>
      <w:r w:rsidR="00AC5912" w:rsidRPr="009C3007">
        <w:rPr>
          <w:color w:val="000000"/>
        </w:rPr>
        <w:t>conflict</w:t>
      </w:r>
      <w:r w:rsidR="00AC5912">
        <w:rPr>
          <w:color w:val="000000"/>
        </w:rPr>
        <w:t>-</w:t>
      </w:r>
      <w:r w:rsidR="00226791" w:rsidRPr="009C3007">
        <w:rPr>
          <w:color w:val="000000"/>
        </w:rPr>
        <w:t>sensitive programming</w:t>
      </w:r>
      <w:r w:rsidR="00CC05E9" w:rsidRPr="009C3007">
        <w:rPr>
          <w:color w:val="000000"/>
        </w:rPr>
        <w:t xml:space="preserve"> by</w:t>
      </w:r>
      <w:r w:rsidR="00F36B07" w:rsidRPr="009C3007">
        <w:rPr>
          <w:color w:val="000000"/>
        </w:rPr>
        <w:t xml:space="preserve"> </w:t>
      </w:r>
      <w:r w:rsidR="00D07EA9" w:rsidRPr="009C3007">
        <w:rPr>
          <w:color w:val="000000"/>
        </w:rPr>
        <w:t>(</w:t>
      </w:r>
      <w:r w:rsidR="00112C98">
        <w:rPr>
          <w:color w:val="000000"/>
        </w:rPr>
        <w:t>a</w:t>
      </w:r>
      <w:r w:rsidR="00D07EA9" w:rsidRPr="009C3007">
        <w:rPr>
          <w:color w:val="000000"/>
        </w:rPr>
        <w:t xml:space="preserve">) </w:t>
      </w:r>
      <w:r w:rsidR="00F36B07" w:rsidRPr="009C3007">
        <w:rPr>
          <w:color w:val="000000"/>
        </w:rPr>
        <w:t>facilitat</w:t>
      </w:r>
      <w:r w:rsidR="00CC05E9" w:rsidRPr="009C3007">
        <w:rPr>
          <w:color w:val="000000"/>
        </w:rPr>
        <w:t>ing</w:t>
      </w:r>
      <w:r w:rsidR="00F36B07" w:rsidRPr="009C3007">
        <w:rPr>
          <w:color w:val="000000"/>
        </w:rPr>
        <w:t xml:space="preserve"> dialogue and</w:t>
      </w:r>
      <w:r w:rsidR="00CC05E9" w:rsidRPr="009C3007">
        <w:rPr>
          <w:color w:val="000000"/>
        </w:rPr>
        <w:t xml:space="preserve"> promoting</w:t>
      </w:r>
      <w:r w:rsidR="00F36B07" w:rsidRPr="009C3007">
        <w:rPr>
          <w:color w:val="000000"/>
        </w:rPr>
        <w:t xml:space="preserve"> transparent governance to </w:t>
      </w:r>
      <w:r w:rsidR="00CC05E9" w:rsidRPr="009C3007">
        <w:rPr>
          <w:color w:val="000000"/>
        </w:rPr>
        <w:t>promote</w:t>
      </w:r>
      <w:r w:rsidR="00F36B07" w:rsidRPr="009C3007">
        <w:rPr>
          <w:color w:val="000000"/>
        </w:rPr>
        <w:t xml:space="preserve"> social cohesion </w:t>
      </w:r>
      <w:r w:rsidR="00CC05E9" w:rsidRPr="009C3007">
        <w:rPr>
          <w:color w:val="000000"/>
        </w:rPr>
        <w:t xml:space="preserve">and manage </w:t>
      </w:r>
      <w:r w:rsidR="00F36B07" w:rsidRPr="009C3007">
        <w:rPr>
          <w:color w:val="000000"/>
        </w:rPr>
        <w:t xml:space="preserve">conflict; and </w:t>
      </w:r>
      <w:r w:rsidR="00D07EA9" w:rsidRPr="009C3007">
        <w:rPr>
          <w:color w:val="000000"/>
        </w:rPr>
        <w:t>(</w:t>
      </w:r>
      <w:r w:rsidR="00112C98">
        <w:rPr>
          <w:color w:val="000000"/>
        </w:rPr>
        <w:t>b</w:t>
      </w:r>
      <w:r w:rsidR="00D07EA9" w:rsidRPr="009C3007">
        <w:rPr>
          <w:color w:val="000000"/>
        </w:rPr>
        <w:t xml:space="preserve">) </w:t>
      </w:r>
      <w:r w:rsidR="00F36B07" w:rsidRPr="009C3007">
        <w:rPr>
          <w:color w:val="000000"/>
        </w:rPr>
        <w:t>to</w:t>
      </w:r>
      <w:r w:rsidRPr="009C3007">
        <w:rPr>
          <w:color w:val="000000"/>
        </w:rPr>
        <w:t xml:space="preserve"> </w:t>
      </w:r>
      <w:r w:rsidR="00226791" w:rsidRPr="009C3007">
        <w:rPr>
          <w:color w:val="000000"/>
        </w:rPr>
        <w:t>improve monitoring, evaluation and communication to increase accountability</w:t>
      </w:r>
      <w:r w:rsidR="00F36B07" w:rsidRPr="009C3007">
        <w:rPr>
          <w:color w:val="000000"/>
        </w:rPr>
        <w:t xml:space="preserve">. </w:t>
      </w:r>
      <w:r w:rsidR="00112C98">
        <w:rPr>
          <w:color w:val="000000"/>
        </w:rPr>
        <w:t>It</w:t>
      </w:r>
      <w:r w:rsidR="00112C98" w:rsidRPr="009C3007">
        <w:rPr>
          <w:color w:val="000000"/>
        </w:rPr>
        <w:t xml:space="preserve"> </w:t>
      </w:r>
      <w:r w:rsidR="00B17A2B">
        <w:rPr>
          <w:color w:val="000000"/>
        </w:rPr>
        <w:t xml:space="preserve">will </w:t>
      </w:r>
      <w:r w:rsidR="00D07EA9" w:rsidRPr="009C3007">
        <w:rPr>
          <w:color w:val="000000"/>
        </w:rPr>
        <w:t>also (</w:t>
      </w:r>
      <w:r w:rsidR="00112C98">
        <w:rPr>
          <w:color w:val="000000"/>
        </w:rPr>
        <w:t>a</w:t>
      </w:r>
      <w:r w:rsidR="00D07EA9" w:rsidRPr="009C3007">
        <w:rPr>
          <w:color w:val="000000"/>
        </w:rPr>
        <w:t xml:space="preserve">) </w:t>
      </w:r>
      <w:r w:rsidR="00226791" w:rsidRPr="009C3007">
        <w:rPr>
          <w:color w:val="000000"/>
        </w:rPr>
        <w:t xml:space="preserve">better leverage volunteerism as an essential act of citizenship </w:t>
      </w:r>
      <w:r w:rsidR="00F36B07" w:rsidRPr="009C3007">
        <w:rPr>
          <w:color w:val="000000"/>
        </w:rPr>
        <w:t>t</w:t>
      </w:r>
      <w:r w:rsidR="00226791" w:rsidRPr="009C3007">
        <w:rPr>
          <w:color w:val="000000"/>
        </w:rPr>
        <w:t xml:space="preserve">o </w:t>
      </w:r>
      <w:r w:rsidR="00036B78" w:rsidRPr="009C3007">
        <w:rPr>
          <w:color w:val="000000"/>
        </w:rPr>
        <w:t xml:space="preserve">promote </w:t>
      </w:r>
      <w:r w:rsidR="00226791" w:rsidRPr="009C3007">
        <w:rPr>
          <w:color w:val="000000"/>
        </w:rPr>
        <w:t xml:space="preserve">social inclusion; and </w:t>
      </w:r>
      <w:r w:rsidR="00D07EA9" w:rsidRPr="009C3007">
        <w:rPr>
          <w:color w:val="000000"/>
        </w:rPr>
        <w:t>(</w:t>
      </w:r>
      <w:r w:rsidR="00112C98">
        <w:rPr>
          <w:color w:val="000000"/>
        </w:rPr>
        <w:t>b</w:t>
      </w:r>
      <w:r w:rsidR="00D07EA9" w:rsidRPr="009C3007">
        <w:rPr>
          <w:color w:val="000000"/>
        </w:rPr>
        <w:t xml:space="preserve">) </w:t>
      </w:r>
      <w:r w:rsidR="00226791" w:rsidRPr="009C3007">
        <w:rPr>
          <w:color w:val="000000"/>
        </w:rPr>
        <w:t xml:space="preserve">support </w:t>
      </w:r>
      <w:r w:rsidR="00112C98">
        <w:rPr>
          <w:color w:val="000000"/>
        </w:rPr>
        <w:t xml:space="preserve">the voice of </w:t>
      </w:r>
      <w:r w:rsidR="00226791" w:rsidRPr="009C3007">
        <w:rPr>
          <w:color w:val="000000"/>
        </w:rPr>
        <w:t xml:space="preserve">civil society and </w:t>
      </w:r>
      <w:r w:rsidR="00CC05E9" w:rsidRPr="009C3007">
        <w:rPr>
          <w:color w:val="000000"/>
        </w:rPr>
        <w:t xml:space="preserve">community </w:t>
      </w:r>
      <w:r w:rsidR="00226791" w:rsidRPr="009C3007">
        <w:rPr>
          <w:color w:val="000000"/>
        </w:rPr>
        <w:t>participation in local governance</w:t>
      </w:r>
      <w:r w:rsidR="00CC05E9" w:rsidRPr="009C3007">
        <w:rPr>
          <w:color w:val="000000"/>
        </w:rPr>
        <w:t xml:space="preserve">. </w:t>
      </w:r>
      <w:r w:rsidR="00226791" w:rsidRPr="009C3007">
        <w:rPr>
          <w:color w:val="000000"/>
        </w:rPr>
        <w:t xml:space="preserve"> </w:t>
      </w:r>
      <w:bookmarkEnd w:id="1"/>
      <w:bookmarkEnd w:id="2"/>
    </w:p>
    <w:p w14:paraId="2D320A87" w14:textId="77777777" w:rsidR="00CC05E9" w:rsidRPr="007D1253" w:rsidRDefault="00CC05E9" w:rsidP="00812104">
      <w:pPr>
        <w:pStyle w:val="ListParagraph"/>
        <w:ind w:left="1080" w:right="940"/>
        <w:contextualSpacing/>
        <w:jc w:val="both"/>
        <w:rPr>
          <w:color w:val="000000"/>
          <w:sz w:val="12"/>
          <w:szCs w:val="12"/>
        </w:rPr>
      </w:pPr>
    </w:p>
    <w:p w14:paraId="73CA9935" w14:textId="0744C965" w:rsidR="002765BC" w:rsidRPr="00C8493C" w:rsidRDefault="001619BD" w:rsidP="00812104">
      <w:pPr>
        <w:pStyle w:val="ListParagraph"/>
        <w:numPr>
          <w:ilvl w:val="0"/>
          <w:numId w:val="2"/>
        </w:numPr>
        <w:ind w:left="1080" w:right="940" w:firstLine="0"/>
        <w:contextualSpacing/>
        <w:jc w:val="both"/>
        <w:rPr>
          <w:color w:val="000000"/>
        </w:rPr>
      </w:pPr>
      <w:r>
        <w:t xml:space="preserve">From a </w:t>
      </w:r>
      <w:r w:rsidR="002765BC" w:rsidRPr="00CA32B7">
        <w:t>gender perspective, UNDP will i</w:t>
      </w:r>
      <w:r w:rsidR="002765BC" w:rsidRPr="00C8493C">
        <w:rPr>
          <w:color w:val="000000"/>
        </w:rPr>
        <w:t>nvest in women’s effective engagement and participation in</w:t>
      </w:r>
      <w:r w:rsidR="00E85274" w:rsidRPr="00C8493C">
        <w:rPr>
          <w:color w:val="000000"/>
        </w:rPr>
        <w:t xml:space="preserve"> accessing business and employment opportunities</w:t>
      </w:r>
      <w:r w:rsidR="007C4600" w:rsidRPr="00C8493C">
        <w:rPr>
          <w:color w:val="000000"/>
        </w:rPr>
        <w:t xml:space="preserve"> for young women</w:t>
      </w:r>
      <w:r w:rsidR="00112C98">
        <w:rPr>
          <w:color w:val="000000"/>
        </w:rPr>
        <w:t>;</w:t>
      </w:r>
      <w:r w:rsidR="00112C98" w:rsidRPr="00C8493C">
        <w:rPr>
          <w:color w:val="000000"/>
        </w:rPr>
        <w:t xml:space="preserve"> </w:t>
      </w:r>
      <w:r w:rsidR="00E85274" w:rsidRPr="00C8493C">
        <w:rPr>
          <w:color w:val="000000"/>
        </w:rPr>
        <w:t>accessing health</w:t>
      </w:r>
      <w:r w:rsidR="00112C98">
        <w:rPr>
          <w:color w:val="000000"/>
        </w:rPr>
        <w:t xml:space="preserve"> </w:t>
      </w:r>
      <w:r w:rsidR="00E85274" w:rsidRPr="00C8493C">
        <w:rPr>
          <w:color w:val="000000"/>
        </w:rPr>
        <w:t>care</w:t>
      </w:r>
      <w:r w:rsidR="00112C98">
        <w:rPr>
          <w:color w:val="000000"/>
        </w:rPr>
        <w:t>;</w:t>
      </w:r>
      <w:r w:rsidR="00112C98" w:rsidRPr="00C8493C">
        <w:rPr>
          <w:color w:val="000000"/>
        </w:rPr>
        <w:t xml:space="preserve"> </w:t>
      </w:r>
      <w:r w:rsidR="002765BC" w:rsidRPr="00C8493C">
        <w:rPr>
          <w:color w:val="000000"/>
        </w:rPr>
        <w:t xml:space="preserve">sustainable </w:t>
      </w:r>
      <w:r w:rsidR="00B17A2B">
        <w:rPr>
          <w:color w:val="000000"/>
        </w:rPr>
        <w:t>environment exploitation</w:t>
      </w:r>
      <w:r w:rsidR="00112C98">
        <w:rPr>
          <w:color w:val="000000"/>
        </w:rPr>
        <w:t>;</w:t>
      </w:r>
      <w:r w:rsidR="002765BC" w:rsidRPr="00C8493C">
        <w:rPr>
          <w:color w:val="000000"/>
        </w:rPr>
        <w:t xml:space="preserve"> </w:t>
      </w:r>
      <w:r w:rsidR="00990D2E" w:rsidRPr="00C8493C">
        <w:rPr>
          <w:color w:val="000000"/>
        </w:rPr>
        <w:t xml:space="preserve">conflict </w:t>
      </w:r>
      <w:r w:rsidR="002765BC" w:rsidRPr="00C8493C">
        <w:rPr>
          <w:color w:val="000000"/>
        </w:rPr>
        <w:t>prevention</w:t>
      </w:r>
      <w:r w:rsidR="00112C98">
        <w:rPr>
          <w:color w:val="000000"/>
        </w:rPr>
        <w:t>;</w:t>
      </w:r>
      <w:r w:rsidR="002376BA" w:rsidRPr="00C8493C">
        <w:rPr>
          <w:color w:val="000000"/>
        </w:rPr>
        <w:t xml:space="preserve"> and </w:t>
      </w:r>
      <w:r w:rsidR="002765BC" w:rsidRPr="00C8493C">
        <w:rPr>
          <w:color w:val="000000"/>
        </w:rPr>
        <w:t>elective and appointive leadership</w:t>
      </w:r>
      <w:r w:rsidR="002376BA" w:rsidRPr="00C8493C">
        <w:rPr>
          <w:color w:val="000000"/>
        </w:rPr>
        <w:t xml:space="preserve"> to</w:t>
      </w:r>
      <w:r w:rsidR="002765BC" w:rsidRPr="00C8493C">
        <w:rPr>
          <w:color w:val="000000"/>
        </w:rPr>
        <w:t xml:space="preserve"> </w:t>
      </w:r>
      <w:r w:rsidR="00E85274" w:rsidRPr="00C8493C">
        <w:rPr>
          <w:color w:val="000000"/>
        </w:rPr>
        <w:t>accelerate progress</w:t>
      </w:r>
      <w:r w:rsidR="002765BC" w:rsidRPr="00C8493C">
        <w:rPr>
          <w:color w:val="000000"/>
        </w:rPr>
        <w:t xml:space="preserve"> towards realization of the </w:t>
      </w:r>
      <w:r w:rsidR="00112C98">
        <w:rPr>
          <w:color w:val="000000"/>
        </w:rPr>
        <w:t>S</w:t>
      </w:r>
      <w:r w:rsidR="00112C98" w:rsidRPr="00C8493C">
        <w:rPr>
          <w:color w:val="000000"/>
        </w:rPr>
        <w:t xml:space="preserve">ustainable </w:t>
      </w:r>
      <w:r w:rsidR="00112C98">
        <w:rPr>
          <w:color w:val="000000"/>
        </w:rPr>
        <w:t>D</w:t>
      </w:r>
      <w:r w:rsidR="00112C98" w:rsidRPr="00C8493C">
        <w:rPr>
          <w:color w:val="000000"/>
        </w:rPr>
        <w:t xml:space="preserve">evelopment </w:t>
      </w:r>
      <w:r w:rsidR="00112C98">
        <w:rPr>
          <w:color w:val="000000"/>
        </w:rPr>
        <w:t>G</w:t>
      </w:r>
      <w:r w:rsidR="00112C98" w:rsidRPr="00C8493C">
        <w:rPr>
          <w:color w:val="000000"/>
        </w:rPr>
        <w:t>oals</w:t>
      </w:r>
      <w:r w:rsidR="0047555B" w:rsidRPr="00C8493C">
        <w:rPr>
          <w:color w:val="000000"/>
        </w:rPr>
        <w:t>.</w:t>
      </w:r>
    </w:p>
    <w:p w14:paraId="3E6480FD" w14:textId="77777777" w:rsidR="005B3C38" w:rsidRPr="007D1253" w:rsidRDefault="005B3C38" w:rsidP="00812104">
      <w:pPr>
        <w:pStyle w:val="ListParagraph"/>
        <w:ind w:left="1080" w:right="940"/>
        <w:rPr>
          <w:color w:val="000000"/>
          <w:sz w:val="12"/>
          <w:szCs w:val="12"/>
        </w:rPr>
      </w:pPr>
    </w:p>
    <w:p w14:paraId="30B531C5" w14:textId="02040F67" w:rsidR="002765BC" w:rsidRDefault="008A2EC9" w:rsidP="00812104">
      <w:pPr>
        <w:ind w:left="1080" w:right="940"/>
        <w:jc w:val="both"/>
        <w:rPr>
          <w:b/>
          <w:color w:val="000000"/>
        </w:rPr>
      </w:pPr>
      <w:r>
        <w:rPr>
          <w:b/>
          <w:color w:val="000000"/>
        </w:rPr>
        <w:t>G</w:t>
      </w:r>
      <w:r w:rsidR="00112C98" w:rsidRPr="00730CD7">
        <w:rPr>
          <w:b/>
          <w:color w:val="000000"/>
        </w:rPr>
        <w:t>overnance</w:t>
      </w:r>
      <w:r w:rsidR="002765BC" w:rsidRPr="00730CD7">
        <w:rPr>
          <w:b/>
          <w:color w:val="000000"/>
        </w:rPr>
        <w:t xml:space="preserve">, </w:t>
      </w:r>
      <w:r w:rsidR="00112C98">
        <w:rPr>
          <w:b/>
          <w:color w:val="000000"/>
        </w:rPr>
        <w:t>p</w:t>
      </w:r>
      <w:r w:rsidR="00112C98" w:rsidRPr="00730CD7">
        <w:rPr>
          <w:b/>
          <w:color w:val="000000"/>
        </w:rPr>
        <w:t xml:space="preserve">eace </w:t>
      </w:r>
      <w:r w:rsidR="002765BC" w:rsidRPr="00730CD7">
        <w:rPr>
          <w:b/>
          <w:color w:val="000000"/>
        </w:rPr>
        <w:t xml:space="preserve">and </w:t>
      </w:r>
      <w:r w:rsidR="00112C98">
        <w:rPr>
          <w:b/>
          <w:color w:val="000000"/>
        </w:rPr>
        <w:t>s</w:t>
      </w:r>
      <w:r w:rsidR="00112C98" w:rsidRPr="00730CD7">
        <w:rPr>
          <w:b/>
          <w:color w:val="000000"/>
        </w:rPr>
        <w:t>ecurity</w:t>
      </w:r>
    </w:p>
    <w:p w14:paraId="32430D76" w14:textId="77777777" w:rsidR="00434EAD" w:rsidRPr="007D1253" w:rsidRDefault="00434EAD" w:rsidP="00812104">
      <w:pPr>
        <w:ind w:left="1080" w:right="940"/>
        <w:jc w:val="both"/>
        <w:rPr>
          <w:color w:val="000000"/>
          <w:sz w:val="12"/>
          <w:szCs w:val="12"/>
        </w:rPr>
      </w:pPr>
    </w:p>
    <w:p w14:paraId="516838DD" w14:textId="0941F109" w:rsidR="002765BC" w:rsidRPr="004447DF" w:rsidRDefault="00930297" w:rsidP="00380DDB">
      <w:pPr>
        <w:pStyle w:val="ListParagraph"/>
        <w:numPr>
          <w:ilvl w:val="0"/>
          <w:numId w:val="2"/>
        </w:numPr>
        <w:ind w:left="1080" w:right="940" w:firstLine="0"/>
        <w:contextualSpacing/>
        <w:jc w:val="both"/>
        <w:rPr>
          <w:color w:val="000000"/>
        </w:rPr>
      </w:pPr>
      <w:r w:rsidRPr="004447DF">
        <w:rPr>
          <w:color w:val="000000"/>
        </w:rPr>
        <w:t xml:space="preserve">In line with the </w:t>
      </w:r>
      <w:r w:rsidRPr="000B1661">
        <w:rPr>
          <w:color w:val="000000"/>
        </w:rPr>
        <w:t>UNDP Strategic Plan Signature Solution 2</w:t>
      </w:r>
      <w:r w:rsidR="00112C98">
        <w:rPr>
          <w:color w:val="000000"/>
        </w:rPr>
        <w:t>,</w:t>
      </w:r>
      <w:r w:rsidR="00112C98" w:rsidRPr="000B1661">
        <w:rPr>
          <w:color w:val="000000"/>
        </w:rPr>
        <w:t xml:space="preserve"> </w:t>
      </w:r>
      <w:r w:rsidR="008D4016">
        <w:rPr>
          <w:color w:val="000000"/>
        </w:rPr>
        <w:t>s</w:t>
      </w:r>
      <w:r w:rsidRPr="000B1661">
        <w:rPr>
          <w:color w:val="000000"/>
        </w:rPr>
        <w:t>trengthen effective, accountable and inclusive governance</w:t>
      </w:r>
      <w:r w:rsidR="00112C98">
        <w:rPr>
          <w:color w:val="000000"/>
        </w:rPr>
        <w:t>,</w:t>
      </w:r>
      <w:r w:rsidR="00181EC7" w:rsidRPr="000B1661">
        <w:rPr>
          <w:color w:val="000000"/>
        </w:rPr>
        <w:t xml:space="preserve"> and </w:t>
      </w:r>
      <w:r w:rsidR="00112C98">
        <w:rPr>
          <w:color w:val="000000"/>
        </w:rPr>
        <w:t>Sustainable Development Goal</w:t>
      </w:r>
      <w:r w:rsidR="00112C98" w:rsidRPr="000B1661">
        <w:rPr>
          <w:color w:val="000000"/>
        </w:rPr>
        <w:t xml:space="preserve"> </w:t>
      </w:r>
      <w:r w:rsidR="00181EC7" w:rsidRPr="000B1661">
        <w:rPr>
          <w:color w:val="000000"/>
        </w:rPr>
        <w:t>16</w:t>
      </w:r>
      <w:r w:rsidRPr="00112C98">
        <w:rPr>
          <w:color w:val="000000"/>
        </w:rPr>
        <w:t>,</w:t>
      </w:r>
      <w:r w:rsidRPr="009C3007">
        <w:rPr>
          <w:color w:val="000000"/>
        </w:rPr>
        <w:t xml:space="preserve"> </w:t>
      </w:r>
      <w:r w:rsidR="00112C98">
        <w:rPr>
          <w:color w:val="000000"/>
        </w:rPr>
        <w:t>the programme</w:t>
      </w:r>
      <w:r w:rsidR="00112C98" w:rsidRPr="009C3007">
        <w:rPr>
          <w:color w:val="000000"/>
        </w:rPr>
        <w:t xml:space="preserve"> </w:t>
      </w:r>
      <w:r w:rsidR="001D7063" w:rsidRPr="009C3007">
        <w:rPr>
          <w:color w:val="000000"/>
        </w:rPr>
        <w:t xml:space="preserve">will continue </w:t>
      </w:r>
      <w:r w:rsidR="002765BC" w:rsidRPr="009C3007">
        <w:rPr>
          <w:color w:val="000000"/>
        </w:rPr>
        <w:t>flagship programmes</w:t>
      </w:r>
      <w:r w:rsidR="001D7063" w:rsidRPr="009C3007">
        <w:rPr>
          <w:color w:val="000000"/>
        </w:rPr>
        <w:t xml:space="preserve"> on devolution, peacebuilding and </w:t>
      </w:r>
      <w:r w:rsidR="00DE5AE8" w:rsidRPr="009C3007">
        <w:rPr>
          <w:color w:val="000000"/>
        </w:rPr>
        <w:t xml:space="preserve">the </w:t>
      </w:r>
      <w:r w:rsidR="00F25453" w:rsidRPr="00F25453">
        <w:rPr>
          <w:color w:val="000000"/>
        </w:rPr>
        <w:t xml:space="preserve">Marsabit-Moyale </w:t>
      </w:r>
      <w:r w:rsidR="008729C4" w:rsidRPr="009C3007">
        <w:rPr>
          <w:color w:val="000000"/>
        </w:rPr>
        <w:t>cross-border</w:t>
      </w:r>
      <w:r w:rsidR="001D7063" w:rsidRPr="009C3007">
        <w:rPr>
          <w:color w:val="000000"/>
        </w:rPr>
        <w:t xml:space="preserve"> initiative </w:t>
      </w:r>
      <w:r w:rsidR="00AD123A" w:rsidRPr="009C3007">
        <w:rPr>
          <w:color w:val="000000"/>
        </w:rPr>
        <w:t>to</w:t>
      </w:r>
      <w:r w:rsidR="002765BC" w:rsidRPr="009C3007">
        <w:rPr>
          <w:color w:val="000000"/>
        </w:rPr>
        <w:t xml:space="preserve"> </w:t>
      </w:r>
      <w:r w:rsidR="001D7063" w:rsidRPr="009C3007">
        <w:rPr>
          <w:color w:val="000000"/>
        </w:rPr>
        <w:t xml:space="preserve">increase access </w:t>
      </w:r>
      <w:r w:rsidR="002765BC" w:rsidRPr="009C3007">
        <w:rPr>
          <w:color w:val="000000"/>
        </w:rPr>
        <w:t xml:space="preserve">to </w:t>
      </w:r>
      <w:r w:rsidR="00F25453">
        <w:rPr>
          <w:color w:val="000000"/>
        </w:rPr>
        <w:t>public services</w:t>
      </w:r>
      <w:r w:rsidR="002765BC" w:rsidRPr="009C3007">
        <w:rPr>
          <w:color w:val="000000"/>
        </w:rPr>
        <w:t xml:space="preserve"> and mitigate local conflict and </w:t>
      </w:r>
      <w:r w:rsidR="001619BD" w:rsidRPr="009C3007">
        <w:rPr>
          <w:color w:val="000000"/>
        </w:rPr>
        <w:t>marginalization</w:t>
      </w:r>
      <w:r w:rsidR="002765BC" w:rsidRPr="009C3007">
        <w:rPr>
          <w:color w:val="000000"/>
        </w:rPr>
        <w:t xml:space="preserve">. </w:t>
      </w:r>
      <w:r w:rsidR="00AD123A" w:rsidRPr="009C3007">
        <w:rPr>
          <w:color w:val="000000"/>
        </w:rPr>
        <w:t>The</w:t>
      </w:r>
      <w:r w:rsidR="00AD123A" w:rsidRPr="009C3007">
        <w:rPr>
          <w:b/>
          <w:color w:val="000000"/>
        </w:rPr>
        <w:t xml:space="preserve"> </w:t>
      </w:r>
      <w:r w:rsidR="00AD123A" w:rsidRPr="009C3007">
        <w:rPr>
          <w:color w:val="000000"/>
        </w:rPr>
        <w:t>devolution programme aims</w:t>
      </w:r>
      <w:r w:rsidR="002765BC" w:rsidRPr="009C3007">
        <w:rPr>
          <w:color w:val="000000"/>
        </w:rPr>
        <w:t xml:space="preserve"> to accelerate fiscal and administrative decentralization</w:t>
      </w:r>
      <w:r w:rsidR="00C23340" w:rsidRPr="009C3007">
        <w:rPr>
          <w:color w:val="000000"/>
        </w:rPr>
        <w:t xml:space="preserve"> </w:t>
      </w:r>
      <w:r w:rsidR="006F24AE" w:rsidRPr="009C3007">
        <w:rPr>
          <w:color w:val="000000"/>
        </w:rPr>
        <w:t>including</w:t>
      </w:r>
      <w:r w:rsidR="00C23340" w:rsidRPr="009C3007">
        <w:rPr>
          <w:color w:val="000000"/>
        </w:rPr>
        <w:t xml:space="preserve"> local revenue generation</w:t>
      </w:r>
      <w:r w:rsidR="002765BC" w:rsidRPr="009C3007">
        <w:rPr>
          <w:color w:val="000000"/>
        </w:rPr>
        <w:t xml:space="preserve"> through </w:t>
      </w:r>
      <w:r w:rsidR="006F24AE" w:rsidRPr="009C3007">
        <w:rPr>
          <w:color w:val="000000"/>
        </w:rPr>
        <w:t>subnational</w:t>
      </w:r>
      <w:r w:rsidR="002765BC" w:rsidRPr="009C3007">
        <w:rPr>
          <w:color w:val="000000"/>
        </w:rPr>
        <w:t xml:space="preserve"> support for planning and budgeting</w:t>
      </w:r>
      <w:r w:rsidR="006F24AE" w:rsidRPr="009C3007">
        <w:rPr>
          <w:color w:val="000000"/>
        </w:rPr>
        <w:t>, accountability</w:t>
      </w:r>
      <w:r w:rsidR="002765BC" w:rsidRPr="009C3007">
        <w:rPr>
          <w:color w:val="000000"/>
        </w:rPr>
        <w:t xml:space="preserve"> and a</w:t>
      </w:r>
      <w:r w:rsidR="00AD123A" w:rsidRPr="009C3007">
        <w:rPr>
          <w:color w:val="000000"/>
        </w:rPr>
        <w:t xml:space="preserve">nti-corruption </w:t>
      </w:r>
      <w:r w:rsidR="002765BC" w:rsidRPr="009C3007">
        <w:rPr>
          <w:color w:val="000000"/>
        </w:rPr>
        <w:t>initiatives</w:t>
      </w:r>
      <w:r w:rsidR="00DD0AF8" w:rsidRPr="009C3007">
        <w:rPr>
          <w:color w:val="000000"/>
        </w:rPr>
        <w:t xml:space="preserve">, in line with </w:t>
      </w:r>
      <w:r w:rsidR="00112C98">
        <w:rPr>
          <w:color w:val="000000"/>
        </w:rPr>
        <w:t>the United Nations Convention against Corruption</w:t>
      </w:r>
      <w:r w:rsidR="002765BC" w:rsidRPr="009C3007">
        <w:rPr>
          <w:color w:val="000000"/>
        </w:rPr>
        <w:t xml:space="preserve">. </w:t>
      </w:r>
      <w:r w:rsidRPr="009C3007">
        <w:rPr>
          <w:color w:val="000000"/>
        </w:rPr>
        <w:t>I</w:t>
      </w:r>
      <w:r w:rsidR="002765BC" w:rsidRPr="009C3007">
        <w:rPr>
          <w:color w:val="000000"/>
        </w:rPr>
        <w:t xml:space="preserve">n partnership with the National Treasury, Ministry of Devolution and Planning, Council of </w:t>
      </w:r>
      <w:r w:rsidR="00AE0AF5" w:rsidRPr="009C3007">
        <w:rPr>
          <w:color w:val="000000"/>
        </w:rPr>
        <w:t>Governors, Intergovernmental</w:t>
      </w:r>
      <w:r w:rsidR="002765BC" w:rsidRPr="004447DF">
        <w:rPr>
          <w:color w:val="000000"/>
        </w:rPr>
        <w:t xml:space="preserve"> Relations Technical Committee,</w:t>
      </w:r>
      <w:r w:rsidR="002765BC" w:rsidRPr="006B7C3C">
        <w:t xml:space="preserve"> </w:t>
      </w:r>
      <w:r w:rsidR="002765BC" w:rsidRPr="004447DF">
        <w:rPr>
          <w:color w:val="000000"/>
        </w:rPr>
        <w:t>the Office of the Auditor General and independent commissions, county governments and subnational economic groupings</w:t>
      </w:r>
      <w:r w:rsidR="006F24AE" w:rsidRPr="004447DF">
        <w:rPr>
          <w:color w:val="000000"/>
        </w:rPr>
        <w:t xml:space="preserve"> </w:t>
      </w:r>
      <w:r w:rsidR="003B3A30" w:rsidRPr="004447DF">
        <w:rPr>
          <w:color w:val="000000"/>
        </w:rPr>
        <w:t>(</w:t>
      </w:r>
      <w:r w:rsidR="004E04BD" w:rsidRPr="004E04BD">
        <w:rPr>
          <w:color w:val="000000"/>
        </w:rPr>
        <w:t>Frontier Counties Development Council</w:t>
      </w:r>
      <w:r w:rsidR="00046649">
        <w:rPr>
          <w:color w:val="000000"/>
        </w:rPr>
        <w:t xml:space="preserve"> (FCDC)</w:t>
      </w:r>
      <w:r w:rsidR="003B3A30" w:rsidRPr="004447DF">
        <w:rPr>
          <w:color w:val="000000"/>
        </w:rPr>
        <w:t>, Lake Victoria Region Economic Basin)</w:t>
      </w:r>
      <w:r w:rsidR="002765BC" w:rsidRPr="004447DF">
        <w:rPr>
          <w:color w:val="000000"/>
        </w:rPr>
        <w:t>, UN</w:t>
      </w:r>
      <w:r w:rsidR="00112C98">
        <w:rPr>
          <w:color w:val="000000"/>
        </w:rPr>
        <w:t>-</w:t>
      </w:r>
      <w:r w:rsidR="002765BC" w:rsidRPr="004447DF">
        <w:rPr>
          <w:color w:val="000000"/>
        </w:rPr>
        <w:t xml:space="preserve">Women </w:t>
      </w:r>
      <w:r w:rsidR="00EB18FC" w:rsidRPr="004447DF">
        <w:rPr>
          <w:color w:val="000000"/>
        </w:rPr>
        <w:t xml:space="preserve">and </w:t>
      </w:r>
      <w:r w:rsidR="00112C98">
        <w:rPr>
          <w:color w:val="000000"/>
        </w:rPr>
        <w:t>the United Nations Capital Development Fund</w:t>
      </w:r>
      <w:r w:rsidR="00AD123A" w:rsidRPr="004447DF">
        <w:rPr>
          <w:color w:val="000000"/>
        </w:rPr>
        <w:t>,</w:t>
      </w:r>
      <w:r w:rsidR="00FB2C68" w:rsidRPr="004447DF">
        <w:rPr>
          <w:color w:val="000000"/>
        </w:rPr>
        <w:t xml:space="preserve"> </w:t>
      </w:r>
      <w:r w:rsidR="00112C98">
        <w:rPr>
          <w:color w:val="000000"/>
        </w:rPr>
        <w:t xml:space="preserve">the programme </w:t>
      </w:r>
      <w:r w:rsidR="00B17A2B">
        <w:rPr>
          <w:color w:val="000000"/>
        </w:rPr>
        <w:t>will</w:t>
      </w:r>
      <w:r w:rsidR="008729C4">
        <w:rPr>
          <w:color w:val="000000"/>
        </w:rPr>
        <w:t xml:space="preserve"> support</w:t>
      </w:r>
      <w:r w:rsidR="00046649">
        <w:rPr>
          <w:color w:val="000000"/>
        </w:rPr>
        <w:t xml:space="preserve"> intergovernmental</w:t>
      </w:r>
      <w:r w:rsidR="008729C4">
        <w:rPr>
          <w:color w:val="000000"/>
        </w:rPr>
        <w:t xml:space="preserve"> </w:t>
      </w:r>
      <w:r w:rsidR="002765BC" w:rsidRPr="004447DF">
        <w:rPr>
          <w:color w:val="000000"/>
        </w:rPr>
        <w:t>coo</w:t>
      </w:r>
      <w:r w:rsidR="004E04BD">
        <w:rPr>
          <w:color w:val="000000"/>
        </w:rPr>
        <w:t>rdination</w:t>
      </w:r>
      <w:r w:rsidR="002765BC" w:rsidRPr="004447DF">
        <w:rPr>
          <w:color w:val="000000"/>
        </w:rPr>
        <w:t xml:space="preserve"> </w:t>
      </w:r>
      <w:r w:rsidR="002765BC" w:rsidRPr="00EC1F59">
        <w:t xml:space="preserve">to </w:t>
      </w:r>
      <w:r w:rsidR="006F24AE">
        <w:t>improve service delivery</w:t>
      </w:r>
      <w:r w:rsidR="002765BC" w:rsidRPr="004447DF">
        <w:rPr>
          <w:color w:val="000000"/>
        </w:rPr>
        <w:t xml:space="preserve">. </w:t>
      </w:r>
    </w:p>
    <w:p w14:paraId="265A5DB0" w14:textId="77777777" w:rsidR="002765BC" w:rsidRPr="007D1253" w:rsidRDefault="002765BC" w:rsidP="00380DDB">
      <w:pPr>
        <w:pStyle w:val="ListParagraph"/>
        <w:ind w:left="1080" w:right="940"/>
        <w:jc w:val="both"/>
        <w:rPr>
          <w:color w:val="000000"/>
          <w:sz w:val="12"/>
          <w:szCs w:val="12"/>
        </w:rPr>
      </w:pPr>
    </w:p>
    <w:p w14:paraId="73C8F5E3" w14:textId="5FD084B6" w:rsidR="00C8493C" w:rsidRPr="009C3007" w:rsidRDefault="00E57937" w:rsidP="00380DDB">
      <w:pPr>
        <w:pStyle w:val="ListParagraph"/>
        <w:numPr>
          <w:ilvl w:val="0"/>
          <w:numId w:val="2"/>
        </w:numPr>
        <w:ind w:left="1080" w:right="940" w:firstLine="0"/>
        <w:jc w:val="both"/>
        <w:rPr>
          <w:color w:val="000000"/>
        </w:rPr>
      </w:pPr>
      <w:r w:rsidRPr="009C3007">
        <w:rPr>
          <w:color w:val="000000"/>
        </w:rPr>
        <w:t xml:space="preserve">UNDP </w:t>
      </w:r>
      <w:r w:rsidR="000C112A" w:rsidRPr="009C3007">
        <w:rPr>
          <w:color w:val="000000"/>
        </w:rPr>
        <w:t>will</w:t>
      </w:r>
      <w:r w:rsidR="001D7063" w:rsidRPr="009C3007">
        <w:rPr>
          <w:color w:val="000000"/>
        </w:rPr>
        <w:t xml:space="preserve"> </w:t>
      </w:r>
      <w:r w:rsidR="00C23340" w:rsidRPr="009C3007">
        <w:rPr>
          <w:color w:val="000000"/>
        </w:rPr>
        <w:t xml:space="preserve">support </w:t>
      </w:r>
      <w:r w:rsidR="002765BC" w:rsidRPr="009C3007">
        <w:rPr>
          <w:color w:val="000000"/>
        </w:rPr>
        <w:t>peacebuilding</w:t>
      </w:r>
      <w:r w:rsidR="00605457" w:rsidRPr="009C3007">
        <w:rPr>
          <w:color w:val="000000"/>
        </w:rPr>
        <w:t xml:space="preserve"> and conflict</w:t>
      </w:r>
      <w:r w:rsidR="008D4016">
        <w:rPr>
          <w:color w:val="000000"/>
        </w:rPr>
        <w:t>-</w:t>
      </w:r>
      <w:r w:rsidR="00605457" w:rsidRPr="009C3007">
        <w:rPr>
          <w:color w:val="000000"/>
        </w:rPr>
        <w:t>prevention</w:t>
      </w:r>
      <w:r w:rsidR="000C112A" w:rsidRPr="009C3007">
        <w:rPr>
          <w:color w:val="000000"/>
        </w:rPr>
        <w:t xml:space="preserve"> </w:t>
      </w:r>
      <w:r w:rsidR="00181EC7" w:rsidRPr="009C3007">
        <w:rPr>
          <w:color w:val="000000"/>
        </w:rPr>
        <w:t>programmes through</w:t>
      </w:r>
      <w:r w:rsidR="002765BC" w:rsidRPr="009C3007">
        <w:rPr>
          <w:color w:val="000000"/>
        </w:rPr>
        <w:t xml:space="preserve"> conflict </w:t>
      </w:r>
      <w:r w:rsidR="00A32A28" w:rsidRPr="009C3007">
        <w:rPr>
          <w:color w:val="000000"/>
        </w:rPr>
        <w:t xml:space="preserve">and gender </w:t>
      </w:r>
      <w:r w:rsidR="002765BC" w:rsidRPr="009C3007">
        <w:rPr>
          <w:color w:val="000000"/>
        </w:rPr>
        <w:t xml:space="preserve">analysis </w:t>
      </w:r>
      <w:r w:rsidR="00C23340" w:rsidRPr="009C3007">
        <w:rPr>
          <w:color w:val="000000"/>
        </w:rPr>
        <w:t xml:space="preserve">to </w:t>
      </w:r>
      <w:r w:rsidR="002765BC" w:rsidRPr="009C3007">
        <w:rPr>
          <w:color w:val="000000"/>
        </w:rPr>
        <w:t>promote social cohesion</w:t>
      </w:r>
      <w:r w:rsidR="003C2883" w:rsidRPr="009C3007">
        <w:rPr>
          <w:color w:val="000000"/>
        </w:rPr>
        <w:t xml:space="preserve"> and </w:t>
      </w:r>
      <w:r w:rsidR="002765BC" w:rsidRPr="009C3007">
        <w:rPr>
          <w:color w:val="000000"/>
        </w:rPr>
        <w:t xml:space="preserve">conflict </w:t>
      </w:r>
      <w:r w:rsidR="006F24AE" w:rsidRPr="009C3007">
        <w:rPr>
          <w:color w:val="000000"/>
        </w:rPr>
        <w:t>mitigation</w:t>
      </w:r>
      <w:r w:rsidR="002765BC" w:rsidRPr="009C3007">
        <w:rPr>
          <w:color w:val="000000"/>
        </w:rPr>
        <w:t xml:space="preserve"> in partnership</w:t>
      </w:r>
      <w:r w:rsidR="00C23340" w:rsidRPr="009C3007">
        <w:rPr>
          <w:color w:val="000000"/>
        </w:rPr>
        <w:t xml:space="preserve"> with</w:t>
      </w:r>
      <w:r w:rsidR="002765BC" w:rsidRPr="009C3007">
        <w:rPr>
          <w:color w:val="000000"/>
        </w:rPr>
        <w:t xml:space="preserve"> the U</w:t>
      </w:r>
      <w:r w:rsidR="00112C98" w:rsidRPr="009C3007">
        <w:rPr>
          <w:color w:val="000000"/>
        </w:rPr>
        <w:t>wiano</w:t>
      </w:r>
      <w:r w:rsidR="002765BC" w:rsidRPr="009C3007">
        <w:rPr>
          <w:color w:val="000000"/>
        </w:rPr>
        <w:t xml:space="preserve"> Platform for Peace, National Cohesion and Integration Commission, National Commission on Human Rights</w:t>
      </w:r>
      <w:r w:rsidR="006F24AE" w:rsidRPr="009C3007">
        <w:rPr>
          <w:color w:val="000000"/>
        </w:rPr>
        <w:t xml:space="preserve">, </w:t>
      </w:r>
      <w:r w:rsidR="002765BC" w:rsidRPr="009C3007">
        <w:rPr>
          <w:color w:val="000000"/>
        </w:rPr>
        <w:t xml:space="preserve">Media Council of Kenya, </w:t>
      </w:r>
      <w:r w:rsidR="00112C98">
        <w:rPr>
          <w:color w:val="000000"/>
        </w:rPr>
        <w:t xml:space="preserve">United Nations Educational, Scientific and Cultural </w:t>
      </w:r>
      <w:r w:rsidR="00CF3A9F">
        <w:rPr>
          <w:color w:val="000000"/>
        </w:rPr>
        <w:t xml:space="preserve">Organization </w:t>
      </w:r>
      <w:r w:rsidR="00CF3A9F" w:rsidRPr="009C3007">
        <w:rPr>
          <w:color w:val="000000"/>
        </w:rPr>
        <w:t>and</w:t>
      </w:r>
      <w:r w:rsidR="002765BC" w:rsidRPr="009C3007">
        <w:rPr>
          <w:color w:val="000000"/>
        </w:rPr>
        <w:t xml:space="preserve"> </w:t>
      </w:r>
      <w:r w:rsidR="00112C98">
        <w:rPr>
          <w:color w:val="000000"/>
        </w:rPr>
        <w:t xml:space="preserve">the Office of the United Nations High Commissioner for </w:t>
      </w:r>
      <w:r w:rsidR="00CF3A9F">
        <w:rPr>
          <w:color w:val="000000"/>
        </w:rPr>
        <w:t xml:space="preserve">Refugees </w:t>
      </w:r>
      <w:r w:rsidR="00CF3A9F" w:rsidRPr="009C3007">
        <w:rPr>
          <w:color w:val="000000"/>
        </w:rPr>
        <w:t>to</w:t>
      </w:r>
      <w:r w:rsidR="002765BC" w:rsidRPr="009C3007">
        <w:rPr>
          <w:color w:val="000000"/>
        </w:rPr>
        <w:t xml:space="preserve"> promote </w:t>
      </w:r>
      <w:r w:rsidR="00B17A2B">
        <w:rPr>
          <w:color w:val="000000"/>
        </w:rPr>
        <w:t>socioeconomic</w:t>
      </w:r>
      <w:r w:rsidR="002765BC" w:rsidRPr="009C3007">
        <w:rPr>
          <w:color w:val="000000"/>
        </w:rPr>
        <w:t xml:space="preserve"> stability. UNDP </w:t>
      </w:r>
      <w:r w:rsidR="006F24AE" w:rsidRPr="009C3007">
        <w:rPr>
          <w:color w:val="000000"/>
        </w:rPr>
        <w:t xml:space="preserve">will </w:t>
      </w:r>
      <w:r w:rsidR="002765BC" w:rsidRPr="009C3007">
        <w:rPr>
          <w:color w:val="000000"/>
        </w:rPr>
        <w:t xml:space="preserve">partner with </w:t>
      </w:r>
      <w:r w:rsidR="00013AA9" w:rsidRPr="00013AA9">
        <w:rPr>
          <w:color w:val="000000"/>
        </w:rPr>
        <w:t xml:space="preserve">FCDC, interfaith and peacebuilding mechanisms </w:t>
      </w:r>
      <w:r w:rsidR="00013AA9">
        <w:rPr>
          <w:color w:val="000000"/>
        </w:rPr>
        <w:t xml:space="preserve">and </w:t>
      </w:r>
      <w:r w:rsidR="002765BC" w:rsidRPr="009C3007">
        <w:rPr>
          <w:color w:val="000000"/>
        </w:rPr>
        <w:t xml:space="preserve">civil society </w:t>
      </w:r>
      <w:r w:rsidR="000C112A" w:rsidRPr="009C3007">
        <w:rPr>
          <w:color w:val="000000"/>
        </w:rPr>
        <w:t>in the frontier counties and at</w:t>
      </w:r>
      <w:r w:rsidR="002765BC" w:rsidRPr="009C3007">
        <w:rPr>
          <w:color w:val="000000"/>
        </w:rPr>
        <w:t xml:space="preserve"> the frontlines of </w:t>
      </w:r>
      <w:r w:rsidR="004975FA" w:rsidRPr="009C3007">
        <w:rPr>
          <w:color w:val="000000"/>
        </w:rPr>
        <w:t>localized</w:t>
      </w:r>
      <w:r w:rsidR="003C2883" w:rsidRPr="009C3007">
        <w:rPr>
          <w:color w:val="000000"/>
        </w:rPr>
        <w:t xml:space="preserve"> </w:t>
      </w:r>
      <w:r w:rsidR="002765BC" w:rsidRPr="009C3007">
        <w:rPr>
          <w:color w:val="000000"/>
        </w:rPr>
        <w:t>conflicts</w:t>
      </w:r>
      <w:r w:rsidR="00930297" w:rsidRPr="009C3007">
        <w:rPr>
          <w:color w:val="000000"/>
        </w:rPr>
        <w:t xml:space="preserve"> </w:t>
      </w:r>
      <w:r w:rsidR="00A32A28" w:rsidRPr="009C3007">
        <w:rPr>
          <w:color w:val="000000"/>
        </w:rPr>
        <w:t>to</w:t>
      </w:r>
      <w:r w:rsidR="00930297" w:rsidRPr="009C3007">
        <w:rPr>
          <w:color w:val="000000"/>
        </w:rPr>
        <w:t xml:space="preserve"> </w:t>
      </w:r>
      <w:r w:rsidR="00A32A28" w:rsidRPr="009C3007">
        <w:rPr>
          <w:color w:val="000000"/>
        </w:rPr>
        <w:t>promote</w:t>
      </w:r>
      <w:r w:rsidR="00930297" w:rsidRPr="009C3007">
        <w:rPr>
          <w:color w:val="000000"/>
        </w:rPr>
        <w:t xml:space="preserve"> dialogue</w:t>
      </w:r>
      <w:r w:rsidR="00013AA9">
        <w:rPr>
          <w:color w:val="000000"/>
        </w:rPr>
        <w:t>,</w:t>
      </w:r>
      <w:r w:rsidR="00A32A28" w:rsidRPr="009C3007">
        <w:rPr>
          <w:color w:val="000000"/>
        </w:rPr>
        <w:t xml:space="preserve"> </w:t>
      </w:r>
      <w:r w:rsidR="00013AA9">
        <w:rPr>
          <w:color w:val="000000"/>
        </w:rPr>
        <w:t>social cohesion and invest in l</w:t>
      </w:r>
      <w:r w:rsidR="00046649">
        <w:rPr>
          <w:color w:val="000000"/>
        </w:rPr>
        <w:t xml:space="preserve">ivelihood opportunities </w:t>
      </w:r>
      <w:r w:rsidR="00762BBF" w:rsidRPr="009C3007">
        <w:rPr>
          <w:color w:val="000000"/>
        </w:rPr>
        <w:t xml:space="preserve">to </w:t>
      </w:r>
      <w:r w:rsidR="004E04BD" w:rsidRPr="009C3007">
        <w:rPr>
          <w:color w:val="000000"/>
        </w:rPr>
        <w:t xml:space="preserve">disrupt pathways to </w:t>
      </w:r>
      <w:r w:rsidR="00181EC7" w:rsidRPr="009C3007">
        <w:rPr>
          <w:color w:val="000000"/>
        </w:rPr>
        <w:t xml:space="preserve">youth </w:t>
      </w:r>
      <w:r w:rsidR="001619BD" w:rsidRPr="009C3007">
        <w:rPr>
          <w:color w:val="000000"/>
        </w:rPr>
        <w:t>radicalization</w:t>
      </w:r>
      <w:r w:rsidR="002765BC" w:rsidRPr="009C3007">
        <w:rPr>
          <w:color w:val="000000"/>
        </w:rPr>
        <w:t xml:space="preserve">. </w:t>
      </w:r>
    </w:p>
    <w:p w14:paraId="7F8DF435" w14:textId="77777777" w:rsidR="00C8493C" w:rsidRPr="007D1253" w:rsidRDefault="00C8493C" w:rsidP="00812104">
      <w:pPr>
        <w:pStyle w:val="ListParagraph"/>
        <w:ind w:left="1080" w:right="940"/>
        <w:rPr>
          <w:color w:val="000000"/>
          <w:sz w:val="12"/>
          <w:szCs w:val="12"/>
        </w:rPr>
      </w:pPr>
    </w:p>
    <w:p w14:paraId="03DE8114" w14:textId="066685EC" w:rsidR="00C8493C" w:rsidRDefault="00655482" w:rsidP="00812104">
      <w:pPr>
        <w:pStyle w:val="ListParagraph"/>
        <w:numPr>
          <w:ilvl w:val="0"/>
          <w:numId w:val="2"/>
        </w:numPr>
        <w:ind w:left="1080" w:right="940" w:firstLine="0"/>
        <w:jc w:val="both"/>
        <w:rPr>
          <w:color w:val="000000"/>
        </w:rPr>
      </w:pPr>
      <w:r>
        <w:rPr>
          <w:color w:val="000000"/>
        </w:rPr>
        <w:t>Building</w:t>
      </w:r>
      <w:r w:rsidRPr="00C8493C">
        <w:rPr>
          <w:color w:val="000000"/>
        </w:rPr>
        <w:t xml:space="preserve"> </w:t>
      </w:r>
      <w:r w:rsidR="002765BC" w:rsidRPr="00C8493C">
        <w:rPr>
          <w:color w:val="000000"/>
        </w:rPr>
        <w:t>on the results of the</w:t>
      </w:r>
      <w:r w:rsidR="00FD3F28" w:rsidRPr="00C8493C">
        <w:rPr>
          <w:color w:val="000000"/>
        </w:rPr>
        <w:t xml:space="preserve"> 2015 </w:t>
      </w:r>
      <w:r>
        <w:rPr>
          <w:color w:val="000000"/>
        </w:rPr>
        <w:t>u</w:t>
      </w:r>
      <w:r w:rsidRPr="00C8493C">
        <w:rPr>
          <w:color w:val="000000"/>
        </w:rPr>
        <w:t xml:space="preserve">niversal </w:t>
      </w:r>
      <w:r>
        <w:rPr>
          <w:color w:val="000000"/>
        </w:rPr>
        <w:t>p</w:t>
      </w:r>
      <w:r w:rsidRPr="00C8493C">
        <w:rPr>
          <w:color w:val="000000"/>
        </w:rPr>
        <w:t xml:space="preserve">eriodic </w:t>
      </w:r>
      <w:r>
        <w:rPr>
          <w:color w:val="000000"/>
        </w:rPr>
        <w:t>r</w:t>
      </w:r>
      <w:r w:rsidRPr="00C8493C">
        <w:rPr>
          <w:color w:val="000000"/>
        </w:rPr>
        <w:t>eview</w:t>
      </w:r>
      <w:r w:rsidR="002765BC" w:rsidRPr="00C8493C">
        <w:rPr>
          <w:color w:val="000000"/>
        </w:rPr>
        <w:t xml:space="preserve">, UNDP </w:t>
      </w:r>
      <w:r w:rsidR="00D07EA9">
        <w:rPr>
          <w:color w:val="000000"/>
        </w:rPr>
        <w:t>will</w:t>
      </w:r>
      <w:r w:rsidR="002765BC" w:rsidRPr="00C8493C">
        <w:rPr>
          <w:color w:val="000000"/>
        </w:rPr>
        <w:t xml:space="preserve"> </w:t>
      </w:r>
      <w:r w:rsidR="00E41018" w:rsidRPr="00C8493C">
        <w:rPr>
          <w:color w:val="000000"/>
        </w:rPr>
        <w:t>integrate</w:t>
      </w:r>
      <w:r w:rsidR="002765BC" w:rsidRPr="00C8493C">
        <w:rPr>
          <w:color w:val="000000"/>
        </w:rPr>
        <w:t xml:space="preserve"> a </w:t>
      </w:r>
      <w:r w:rsidR="002765BC" w:rsidRPr="000B1661">
        <w:rPr>
          <w:color w:val="000000"/>
        </w:rPr>
        <w:t>rights</w:t>
      </w:r>
      <w:r>
        <w:rPr>
          <w:color w:val="000000"/>
        </w:rPr>
        <w:t>-</w:t>
      </w:r>
      <w:r w:rsidR="002765BC" w:rsidRPr="000B1661">
        <w:rPr>
          <w:color w:val="000000"/>
        </w:rPr>
        <w:t xml:space="preserve"> based approach</w:t>
      </w:r>
      <w:r w:rsidR="002765BC" w:rsidRPr="00C8493C">
        <w:rPr>
          <w:color w:val="000000"/>
        </w:rPr>
        <w:t xml:space="preserve"> </w:t>
      </w:r>
      <w:r w:rsidR="00893FF1" w:rsidRPr="00C8493C">
        <w:rPr>
          <w:color w:val="000000"/>
        </w:rPr>
        <w:t>t</w:t>
      </w:r>
      <w:r w:rsidR="00A549C3">
        <w:rPr>
          <w:color w:val="000000"/>
        </w:rPr>
        <w:t>o</w:t>
      </w:r>
      <w:r w:rsidR="002765BC" w:rsidRPr="00C8493C">
        <w:rPr>
          <w:color w:val="000000"/>
        </w:rPr>
        <w:t xml:space="preserve"> </w:t>
      </w:r>
      <w:r w:rsidR="00277688" w:rsidRPr="00C8493C">
        <w:rPr>
          <w:color w:val="000000"/>
        </w:rPr>
        <w:t>promot</w:t>
      </w:r>
      <w:r w:rsidR="00277688">
        <w:rPr>
          <w:color w:val="000000"/>
        </w:rPr>
        <w:t>e</w:t>
      </w:r>
      <w:r w:rsidR="00277688" w:rsidRPr="00C8493C">
        <w:rPr>
          <w:color w:val="000000"/>
        </w:rPr>
        <w:t xml:space="preserve"> the rule of law </w:t>
      </w:r>
      <w:r w:rsidR="00277688">
        <w:rPr>
          <w:color w:val="000000"/>
        </w:rPr>
        <w:t xml:space="preserve">and </w:t>
      </w:r>
      <w:r w:rsidR="00277688" w:rsidRPr="00C8493C">
        <w:rPr>
          <w:color w:val="000000"/>
        </w:rPr>
        <w:t xml:space="preserve">enhance access to </w:t>
      </w:r>
      <w:r w:rsidR="002765BC" w:rsidRPr="00C8493C">
        <w:rPr>
          <w:color w:val="000000"/>
        </w:rPr>
        <w:t xml:space="preserve">justice </w:t>
      </w:r>
      <w:r w:rsidR="00277688">
        <w:rPr>
          <w:color w:val="000000"/>
        </w:rPr>
        <w:t xml:space="preserve">for persons living with HIV and AIDs, </w:t>
      </w:r>
      <w:r w:rsidR="002765BC" w:rsidRPr="00C8493C">
        <w:rPr>
          <w:color w:val="000000"/>
        </w:rPr>
        <w:t xml:space="preserve">in partnership with </w:t>
      </w:r>
      <w:r w:rsidR="00151737">
        <w:rPr>
          <w:color w:val="000000"/>
        </w:rPr>
        <w:t xml:space="preserve">the Joint United </w:t>
      </w:r>
      <w:r w:rsidR="00277688">
        <w:rPr>
          <w:color w:val="000000"/>
        </w:rPr>
        <w:t>N</w:t>
      </w:r>
      <w:r w:rsidR="00151737">
        <w:rPr>
          <w:color w:val="000000"/>
        </w:rPr>
        <w:t>ations Programme on HIV/AIDS</w:t>
      </w:r>
      <w:r w:rsidR="00277688">
        <w:rPr>
          <w:color w:val="000000"/>
        </w:rPr>
        <w:t xml:space="preserve">, and for </w:t>
      </w:r>
      <w:r w:rsidR="00E41018" w:rsidRPr="00C8493C">
        <w:rPr>
          <w:color w:val="000000"/>
        </w:rPr>
        <w:t>youth,</w:t>
      </w:r>
      <w:r w:rsidR="004A67C3" w:rsidRPr="00C8493C">
        <w:rPr>
          <w:color w:val="000000"/>
        </w:rPr>
        <w:t xml:space="preserve"> women</w:t>
      </w:r>
      <w:r w:rsidR="00762BBF" w:rsidRPr="00C8493C">
        <w:rPr>
          <w:color w:val="000000"/>
        </w:rPr>
        <w:t xml:space="preserve"> and </w:t>
      </w:r>
      <w:r>
        <w:rPr>
          <w:color w:val="000000"/>
        </w:rPr>
        <w:t>persons living with a disability</w:t>
      </w:r>
      <w:r w:rsidR="00607C7F" w:rsidRPr="00C8493C">
        <w:rPr>
          <w:color w:val="000000"/>
        </w:rPr>
        <w:t xml:space="preserve">. </w:t>
      </w:r>
      <w:r w:rsidR="002765BC" w:rsidRPr="00C8493C">
        <w:rPr>
          <w:color w:val="000000"/>
        </w:rPr>
        <w:t>UNDP will partner with the Judiciary</w:t>
      </w:r>
      <w:r w:rsidR="00BC7755" w:rsidRPr="00C8493C">
        <w:rPr>
          <w:color w:val="000000"/>
        </w:rPr>
        <w:t xml:space="preserve"> </w:t>
      </w:r>
      <w:r w:rsidR="002765BC" w:rsidRPr="00C8493C">
        <w:rPr>
          <w:color w:val="000000"/>
        </w:rPr>
        <w:t>Training Institute</w:t>
      </w:r>
      <w:r w:rsidR="007B0DE2" w:rsidRPr="00C8493C">
        <w:rPr>
          <w:color w:val="000000"/>
        </w:rPr>
        <w:t>,</w:t>
      </w:r>
      <w:r w:rsidR="002765BC" w:rsidRPr="00C8493C">
        <w:rPr>
          <w:color w:val="000000"/>
        </w:rPr>
        <w:t xml:space="preserve"> </w:t>
      </w:r>
      <w:r w:rsidR="007B0DE2" w:rsidRPr="00C8493C">
        <w:rPr>
          <w:color w:val="000000"/>
        </w:rPr>
        <w:t xml:space="preserve">the Office of the Attorney General and Department of Justice </w:t>
      </w:r>
      <w:r w:rsidR="002765BC" w:rsidRPr="00C8493C">
        <w:rPr>
          <w:color w:val="000000"/>
        </w:rPr>
        <w:t xml:space="preserve">for </w:t>
      </w:r>
      <w:r w:rsidR="00E41018" w:rsidRPr="00C8493C">
        <w:rPr>
          <w:color w:val="000000"/>
        </w:rPr>
        <w:t>efficient d</w:t>
      </w:r>
      <w:r w:rsidR="002765BC" w:rsidRPr="00C8493C">
        <w:rPr>
          <w:color w:val="000000"/>
        </w:rPr>
        <w:t>ispute resolution</w:t>
      </w:r>
      <w:r w:rsidR="007B0DE2" w:rsidRPr="00C8493C">
        <w:rPr>
          <w:color w:val="000000"/>
        </w:rPr>
        <w:t xml:space="preserve"> </w:t>
      </w:r>
      <w:r w:rsidR="002765BC" w:rsidRPr="00C8493C">
        <w:rPr>
          <w:color w:val="000000"/>
        </w:rPr>
        <w:t xml:space="preserve">including </w:t>
      </w:r>
      <w:r w:rsidR="00E41018" w:rsidRPr="00C8493C">
        <w:rPr>
          <w:color w:val="000000"/>
        </w:rPr>
        <w:t>use</w:t>
      </w:r>
      <w:r w:rsidR="002765BC" w:rsidRPr="00C8493C">
        <w:rPr>
          <w:color w:val="000000"/>
        </w:rPr>
        <w:t xml:space="preserve"> of </w:t>
      </w:r>
      <w:r w:rsidR="00E41018" w:rsidRPr="00C8493C">
        <w:rPr>
          <w:color w:val="000000"/>
        </w:rPr>
        <w:t>mechanisms</w:t>
      </w:r>
      <w:r w:rsidR="007B0DE2" w:rsidRPr="00C8493C">
        <w:rPr>
          <w:color w:val="000000"/>
        </w:rPr>
        <w:t xml:space="preserve"> </w:t>
      </w:r>
      <w:r w:rsidR="00E41018" w:rsidRPr="00C8493C">
        <w:rPr>
          <w:color w:val="000000"/>
        </w:rPr>
        <w:t>in</w:t>
      </w:r>
      <w:r w:rsidR="007B0DE2" w:rsidRPr="00C8493C">
        <w:rPr>
          <w:color w:val="000000"/>
        </w:rPr>
        <w:t xml:space="preserve"> the 2016 Legal Aid Act</w:t>
      </w:r>
      <w:r w:rsidR="00B402CA">
        <w:rPr>
          <w:color w:val="000000"/>
        </w:rPr>
        <w:t xml:space="preserve">. </w:t>
      </w:r>
      <w:r w:rsidR="005453B6">
        <w:rPr>
          <w:color w:val="000000"/>
        </w:rPr>
        <w:t xml:space="preserve">UNDP </w:t>
      </w:r>
      <w:r w:rsidR="00D07EA9">
        <w:rPr>
          <w:color w:val="000000"/>
        </w:rPr>
        <w:t xml:space="preserve">will continue </w:t>
      </w:r>
      <w:r w:rsidR="002765BC" w:rsidRPr="00C8493C">
        <w:rPr>
          <w:color w:val="000000"/>
        </w:rPr>
        <w:t>work</w:t>
      </w:r>
      <w:r w:rsidR="00D07EA9">
        <w:rPr>
          <w:color w:val="000000"/>
        </w:rPr>
        <w:t>ing</w:t>
      </w:r>
      <w:r w:rsidR="002765BC" w:rsidRPr="00C8493C">
        <w:rPr>
          <w:color w:val="000000"/>
        </w:rPr>
        <w:t xml:space="preserve"> with the National Human Rights Institutions,</w:t>
      </w:r>
      <w:r w:rsidR="00E5596F" w:rsidRPr="00C8493C">
        <w:rPr>
          <w:color w:val="000000"/>
        </w:rPr>
        <w:t xml:space="preserve"> </w:t>
      </w:r>
      <w:r>
        <w:rPr>
          <w:color w:val="000000"/>
        </w:rPr>
        <w:t>S</w:t>
      </w:r>
      <w:r w:rsidRPr="00C8493C">
        <w:rPr>
          <w:color w:val="000000"/>
        </w:rPr>
        <w:t xml:space="preserve">tate </w:t>
      </w:r>
      <w:r w:rsidR="00E5596F" w:rsidRPr="00C8493C">
        <w:rPr>
          <w:color w:val="000000"/>
        </w:rPr>
        <w:t>and non-</w:t>
      </w:r>
      <w:r>
        <w:rPr>
          <w:color w:val="000000"/>
        </w:rPr>
        <w:t>S</w:t>
      </w:r>
      <w:r w:rsidR="00E5596F" w:rsidRPr="00C8493C">
        <w:rPr>
          <w:color w:val="000000"/>
        </w:rPr>
        <w:t xml:space="preserve">tate </w:t>
      </w:r>
      <w:r w:rsidR="00046649">
        <w:rPr>
          <w:color w:val="000000"/>
        </w:rPr>
        <w:t xml:space="preserve">anti-corruption </w:t>
      </w:r>
      <w:r w:rsidR="008729C4">
        <w:rPr>
          <w:color w:val="000000"/>
        </w:rPr>
        <w:t>actors</w:t>
      </w:r>
      <w:r w:rsidR="007B0DE2" w:rsidRPr="00C8493C">
        <w:rPr>
          <w:color w:val="000000"/>
        </w:rPr>
        <w:t xml:space="preserve">, </w:t>
      </w:r>
      <w:r>
        <w:rPr>
          <w:color w:val="000000"/>
        </w:rPr>
        <w:t>the Office of the United Nations High Commissioner for Human Rights</w:t>
      </w:r>
      <w:r w:rsidR="002765BC" w:rsidRPr="00C8493C">
        <w:rPr>
          <w:color w:val="000000"/>
        </w:rPr>
        <w:t xml:space="preserve">, </w:t>
      </w:r>
      <w:r>
        <w:rPr>
          <w:color w:val="000000"/>
        </w:rPr>
        <w:t>the United Nations Office on Drugs and Crime,</w:t>
      </w:r>
      <w:r w:rsidR="002765BC" w:rsidRPr="00C8493C">
        <w:rPr>
          <w:color w:val="000000"/>
        </w:rPr>
        <w:t xml:space="preserve"> </w:t>
      </w:r>
      <w:r>
        <w:rPr>
          <w:color w:val="000000"/>
        </w:rPr>
        <w:t>the</w:t>
      </w:r>
      <w:r w:rsidRPr="00C8493C">
        <w:rPr>
          <w:color w:val="000000"/>
        </w:rPr>
        <w:t xml:space="preserve"> </w:t>
      </w:r>
      <w:r w:rsidR="007B0DE2" w:rsidRPr="00C8493C">
        <w:rPr>
          <w:color w:val="000000"/>
        </w:rPr>
        <w:t xml:space="preserve">Governments of Denmark, Netherlands, </w:t>
      </w:r>
      <w:r w:rsidRPr="00C8493C">
        <w:rPr>
          <w:color w:val="000000"/>
        </w:rPr>
        <w:t xml:space="preserve">Sweden, </w:t>
      </w:r>
      <w:r w:rsidR="007B0DE2" w:rsidRPr="00C8493C">
        <w:rPr>
          <w:color w:val="000000"/>
        </w:rPr>
        <w:t>U</w:t>
      </w:r>
      <w:r>
        <w:rPr>
          <w:color w:val="000000"/>
        </w:rPr>
        <w:t xml:space="preserve">nited </w:t>
      </w:r>
      <w:r w:rsidR="007B0DE2" w:rsidRPr="00C8493C">
        <w:rPr>
          <w:color w:val="000000"/>
        </w:rPr>
        <w:t>K</w:t>
      </w:r>
      <w:r>
        <w:rPr>
          <w:color w:val="000000"/>
        </w:rPr>
        <w:t>ingdom and</w:t>
      </w:r>
      <w:r w:rsidRPr="00C8493C">
        <w:rPr>
          <w:color w:val="000000"/>
        </w:rPr>
        <w:t xml:space="preserve"> </w:t>
      </w:r>
      <w:r w:rsidR="007B0DE2" w:rsidRPr="00C8493C">
        <w:rPr>
          <w:color w:val="000000"/>
        </w:rPr>
        <w:t>U</w:t>
      </w:r>
      <w:r>
        <w:rPr>
          <w:color w:val="000000"/>
        </w:rPr>
        <w:t xml:space="preserve">nited </w:t>
      </w:r>
      <w:r w:rsidR="007B0DE2" w:rsidRPr="00C8493C">
        <w:rPr>
          <w:color w:val="000000"/>
        </w:rPr>
        <w:t>S</w:t>
      </w:r>
      <w:r>
        <w:rPr>
          <w:color w:val="000000"/>
        </w:rPr>
        <w:t>tates</w:t>
      </w:r>
      <w:r w:rsidR="007B0DE2" w:rsidRPr="00C8493C">
        <w:rPr>
          <w:color w:val="000000"/>
        </w:rPr>
        <w:t xml:space="preserve"> </w:t>
      </w:r>
      <w:r w:rsidR="00E5596F" w:rsidRPr="00C8493C">
        <w:rPr>
          <w:color w:val="000000"/>
        </w:rPr>
        <w:t xml:space="preserve">and </w:t>
      </w:r>
      <w:r w:rsidR="007B0DE2" w:rsidRPr="00C8493C">
        <w:rPr>
          <w:color w:val="000000"/>
        </w:rPr>
        <w:t>the</w:t>
      </w:r>
      <w:r w:rsidR="009075C0" w:rsidRPr="00C8493C">
        <w:rPr>
          <w:color w:val="000000"/>
        </w:rPr>
        <w:t xml:space="preserve"> E</w:t>
      </w:r>
      <w:r>
        <w:rPr>
          <w:color w:val="000000"/>
        </w:rPr>
        <w:t xml:space="preserve">uropean </w:t>
      </w:r>
      <w:r w:rsidR="009075C0" w:rsidRPr="00C8493C">
        <w:rPr>
          <w:color w:val="000000"/>
        </w:rPr>
        <w:t>U</w:t>
      </w:r>
      <w:r>
        <w:rPr>
          <w:color w:val="000000"/>
        </w:rPr>
        <w:t>nion</w:t>
      </w:r>
      <w:r w:rsidRPr="00C8493C">
        <w:rPr>
          <w:color w:val="000000"/>
        </w:rPr>
        <w:t xml:space="preserve"> </w:t>
      </w:r>
      <w:r w:rsidR="00D07EA9">
        <w:rPr>
          <w:color w:val="000000"/>
        </w:rPr>
        <w:t xml:space="preserve">to </w:t>
      </w:r>
      <w:r w:rsidR="00B402CA">
        <w:rPr>
          <w:color w:val="000000"/>
        </w:rPr>
        <w:t xml:space="preserve">strengthen </w:t>
      </w:r>
      <w:r w:rsidR="002765BC" w:rsidRPr="00C8493C">
        <w:rPr>
          <w:color w:val="000000"/>
        </w:rPr>
        <w:t>human rights advocacy</w:t>
      </w:r>
      <w:r w:rsidR="00BC7755" w:rsidRPr="00C8493C">
        <w:rPr>
          <w:color w:val="000000"/>
        </w:rPr>
        <w:t xml:space="preserve"> and</w:t>
      </w:r>
      <w:r w:rsidR="002765BC" w:rsidRPr="00C8493C">
        <w:rPr>
          <w:color w:val="000000"/>
        </w:rPr>
        <w:t xml:space="preserve"> reporting</w:t>
      </w:r>
      <w:r w:rsidR="000622F0" w:rsidRPr="00C8493C">
        <w:rPr>
          <w:color w:val="000000"/>
        </w:rPr>
        <w:t xml:space="preserve"> </w:t>
      </w:r>
      <w:r w:rsidR="00BC7755" w:rsidRPr="00C8493C">
        <w:rPr>
          <w:color w:val="000000"/>
        </w:rPr>
        <w:t xml:space="preserve">and </w:t>
      </w:r>
      <w:r w:rsidR="002765BC" w:rsidRPr="00C8493C">
        <w:rPr>
          <w:color w:val="000000"/>
        </w:rPr>
        <w:t>increase public voice and participation in the process of accountability</w:t>
      </w:r>
      <w:r w:rsidR="00BC7755" w:rsidRPr="00C8493C">
        <w:rPr>
          <w:color w:val="000000"/>
        </w:rPr>
        <w:t xml:space="preserve">. </w:t>
      </w:r>
    </w:p>
    <w:p w14:paraId="0A0A9E6E" w14:textId="77777777" w:rsidR="00C8493C" w:rsidRPr="007D1253" w:rsidRDefault="00C8493C" w:rsidP="00812104">
      <w:pPr>
        <w:pStyle w:val="ListParagraph"/>
        <w:ind w:left="1080" w:right="940"/>
        <w:rPr>
          <w:color w:val="000000"/>
          <w:sz w:val="12"/>
          <w:szCs w:val="12"/>
        </w:rPr>
      </w:pPr>
    </w:p>
    <w:p w14:paraId="546CA459" w14:textId="6C867A1F" w:rsidR="002765BC" w:rsidRPr="00C8493C" w:rsidRDefault="00C1700D" w:rsidP="00812104">
      <w:pPr>
        <w:pStyle w:val="ListParagraph"/>
        <w:numPr>
          <w:ilvl w:val="0"/>
          <w:numId w:val="2"/>
        </w:numPr>
        <w:ind w:left="1080" w:right="940" w:firstLine="0"/>
        <w:jc w:val="both"/>
        <w:rPr>
          <w:color w:val="000000"/>
        </w:rPr>
      </w:pPr>
      <w:r w:rsidRPr="00C8493C">
        <w:rPr>
          <w:color w:val="000000"/>
        </w:rPr>
        <w:t xml:space="preserve">Leading to </w:t>
      </w:r>
      <w:r w:rsidR="002765BC" w:rsidRPr="00C8493C">
        <w:rPr>
          <w:color w:val="000000"/>
        </w:rPr>
        <w:t xml:space="preserve">the 2022 elections, UNDP will </w:t>
      </w:r>
      <w:r w:rsidR="00B27B78" w:rsidRPr="00C8493C">
        <w:rPr>
          <w:color w:val="000000"/>
        </w:rPr>
        <w:t xml:space="preserve">leverage </w:t>
      </w:r>
      <w:r w:rsidR="002765BC" w:rsidRPr="00C8493C">
        <w:rPr>
          <w:color w:val="000000"/>
        </w:rPr>
        <w:t xml:space="preserve">existing </w:t>
      </w:r>
      <w:r w:rsidR="00B27B78" w:rsidRPr="00C8493C">
        <w:rPr>
          <w:color w:val="000000"/>
        </w:rPr>
        <w:t xml:space="preserve">bilateral </w:t>
      </w:r>
      <w:r w:rsidR="002765BC" w:rsidRPr="00C8493C">
        <w:rPr>
          <w:color w:val="000000"/>
        </w:rPr>
        <w:t>partnership</w:t>
      </w:r>
      <w:r w:rsidR="00B27B78" w:rsidRPr="00C8493C">
        <w:rPr>
          <w:color w:val="000000"/>
        </w:rPr>
        <w:t xml:space="preserve">s with </w:t>
      </w:r>
      <w:r w:rsidR="00B27B78" w:rsidRPr="000B1661">
        <w:rPr>
          <w:color w:val="000000"/>
        </w:rPr>
        <w:t>inter alia</w:t>
      </w:r>
      <w:r w:rsidR="00B27B78" w:rsidRPr="00C8493C">
        <w:rPr>
          <w:color w:val="000000"/>
        </w:rPr>
        <w:t xml:space="preserve"> </w:t>
      </w:r>
      <w:r w:rsidR="00655482">
        <w:rPr>
          <w:color w:val="000000"/>
        </w:rPr>
        <w:t>the United States Agency for International Development (</w:t>
      </w:r>
      <w:r w:rsidR="002765BC" w:rsidRPr="00C8493C">
        <w:rPr>
          <w:color w:val="000000"/>
        </w:rPr>
        <w:t>USAID</w:t>
      </w:r>
      <w:r w:rsidR="00655482">
        <w:rPr>
          <w:color w:val="000000"/>
        </w:rPr>
        <w:t>)</w:t>
      </w:r>
      <w:r w:rsidR="002765BC" w:rsidRPr="00C8493C">
        <w:rPr>
          <w:color w:val="000000"/>
        </w:rPr>
        <w:t xml:space="preserve">, </w:t>
      </w:r>
      <w:r w:rsidR="00655482">
        <w:rPr>
          <w:color w:val="000000"/>
        </w:rPr>
        <w:t>United Kingdom Department for International Development (</w:t>
      </w:r>
      <w:r w:rsidR="002765BC" w:rsidRPr="00C8493C">
        <w:rPr>
          <w:color w:val="000000"/>
        </w:rPr>
        <w:t>DfID</w:t>
      </w:r>
      <w:r w:rsidR="00655482">
        <w:rPr>
          <w:color w:val="000000"/>
        </w:rPr>
        <w:t>)</w:t>
      </w:r>
      <w:r w:rsidR="002765BC" w:rsidRPr="00C8493C">
        <w:rPr>
          <w:color w:val="000000"/>
        </w:rPr>
        <w:t>,</w:t>
      </w:r>
      <w:r w:rsidR="00655482">
        <w:rPr>
          <w:color w:val="000000"/>
        </w:rPr>
        <w:t xml:space="preserve"> the Governments of Denmark, Germany, Italy, </w:t>
      </w:r>
      <w:r w:rsidR="002765BC" w:rsidRPr="00C8493C">
        <w:rPr>
          <w:color w:val="000000"/>
        </w:rPr>
        <w:t>Norway, Netherlands</w:t>
      </w:r>
      <w:r w:rsidR="00655482">
        <w:rPr>
          <w:color w:val="000000"/>
        </w:rPr>
        <w:t xml:space="preserve"> and</w:t>
      </w:r>
      <w:r w:rsidR="00655482" w:rsidRPr="00C8493C">
        <w:rPr>
          <w:color w:val="000000"/>
        </w:rPr>
        <w:t xml:space="preserve"> Sweden</w:t>
      </w:r>
      <w:r w:rsidR="00655482">
        <w:rPr>
          <w:color w:val="000000"/>
        </w:rPr>
        <w:t xml:space="preserve"> and the European Union</w:t>
      </w:r>
      <w:r w:rsidR="002765BC" w:rsidRPr="00C8493C">
        <w:rPr>
          <w:color w:val="000000"/>
        </w:rPr>
        <w:t xml:space="preserve"> to </w:t>
      </w:r>
      <w:r w:rsidR="00B52DDC">
        <w:rPr>
          <w:color w:val="000000"/>
        </w:rPr>
        <w:t>support</w:t>
      </w:r>
      <w:r w:rsidR="00565F79" w:rsidRPr="00C8493C">
        <w:rPr>
          <w:color w:val="000000"/>
        </w:rPr>
        <w:t xml:space="preserve"> </w:t>
      </w:r>
      <w:r w:rsidR="002765BC" w:rsidRPr="00C8493C">
        <w:rPr>
          <w:color w:val="000000"/>
        </w:rPr>
        <w:t xml:space="preserve">early conflict mitigation, civic and voter education, political party regulation and </w:t>
      </w:r>
      <w:r w:rsidR="00B402CA">
        <w:rPr>
          <w:color w:val="000000"/>
        </w:rPr>
        <w:t xml:space="preserve">strengthen </w:t>
      </w:r>
      <w:r w:rsidR="002765BC" w:rsidRPr="00C8493C">
        <w:rPr>
          <w:color w:val="000000"/>
        </w:rPr>
        <w:t>electoral disputes</w:t>
      </w:r>
      <w:r w:rsidR="00B402CA">
        <w:rPr>
          <w:color w:val="000000"/>
        </w:rPr>
        <w:t xml:space="preserve"> adjudication</w:t>
      </w:r>
      <w:r w:rsidR="00565F79" w:rsidRPr="00C8493C">
        <w:rPr>
          <w:color w:val="000000"/>
        </w:rPr>
        <w:t xml:space="preserve">. </w:t>
      </w:r>
    </w:p>
    <w:p w14:paraId="30B5E20E" w14:textId="77777777" w:rsidR="004B6C23" w:rsidRPr="007D1253" w:rsidRDefault="004B6C23" w:rsidP="00812104">
      <w:pPr>
        <w:ind w:left="1080" w:right="940"/>
        <w:jc w:val="both"/>
        <w:rPr>
          <w:color w:val="000000"/>
          <w:sz w:val="12"/>
          <w:szCs w:val="12"/>
        </w:rPr>
      </w:pPr>
    </w:p>
    <w:p w14:paraId="4CADFF23" w14:textId="037034C8" w:rsidR="002765BC" w:rsidRPr="00730CD7" w:rsidRDefault="008A2EC9" w:rsidP="00812104">
      <w:pPr>
        <w:ind w:left="1080" w:right="940"/>
        <w:jc w:val="both"/>
        <w:rPr>
          <w:b/>
          <w:color w:val="000000"/>
        </w:rPr>
      </w:pPr>
      <w:r>
        <w:rPr>
          <w:b/>
          <w:color w:val="000000"/>
        </w:rPr>
        <w:t>I</w:t>
      </w:r>
      <w:r w:rsidR="00655482" w:rsidRPr="00730CD7">
        <w:rPr>
          <w:b/>
          <w:color w:val="000000"/>
        </w:rPr>
        <w:t xml:space="preserve">nclusive </w:t>
      </w:r>
      <w:r w:rsidR="00655482">
        <w:rPr>
          <w:b/>
          <w:color w:val="000000"/>
        </w:rPr>
        <w:t>g</w:t>
      </w:r>
      <w:r w:rsidR="00655482" w:rsidRPr="00730CD7">
        <w:rPr>
          <w:b/>
          <w:color w:val="000000"/>
        </w:rPr>
        <w:t xml:space="preserve">rowth </w:t>
      </w:r>
      <w:r w:rsidR="002765BC" w:rsidRPr="00730CD7">
        <w:rPr>
          <w:b/>
          <w:color w:val="000000"/>
        </w:rPr>
        <w:t xml:space="preserve">and </w:t>
      </w:r>
      <w:r w:rsidR="00655482">
        <w:rPr>
          <w:b/>
          <w:color w:val="000000"/>
        </w:rPr>
        <w:t>s</w:t>
      </w:r>
      <w:r w:rsidR="00655482" w:rsidRPr="00730CD7">
        <w:rPr>
          <w:b/>
          <w:color w:val="000000"/>
        </w:rPr>
        <w:t xml:space="preserve">tructural </w:t>
      </w:r>
      <w:r w:rsidR="00655482">
        <w:rPr>
          <w:b/>
          <w:color w:val="000000"/>
        </w:rPr>
        <w:t>t</w:t>
      </w:r>
      <w:r w:rsidR="00655482" w:rsidRPr="00730CD7">
        <w:rPr>
          <w:b/>
          <w:color w:val="000000"/>
        </w:rPr>
        <w:t>ransformation</w:t>
      </w:r>
    </w:p>
    <w:p w14:paraId="4A21C991" w14:textId="77777777" w:rsidR="002765BC" w:rsidRPr="007D1253" w:rsidRDefault="002765BC" w:rsidP="00812104">
      <w:pPr>
        <w:ind w:left="1080" w:right="940"/>
        <w:jc w:val="both"/>
        <w:rPr>
          <w:color w:val="000000"/>
          <w:sz w:val="12"/>
          <w:szCs w:val="12"/>
        </w:rPr>
      </w:pPr>
    </w:p>
    <w:p w14:paraId="0D3E9014" w14:textId="1079FB54" w:rsidR="00C8493C" w:rsidRDefault="001D4D5D" w:rsidP="00812104">
      <w:pPr>
        <w:pStyle w:val="ListParagraph"/>
        <w:numPr>
          <w:ilvl w:val="0"/>
          <w:numId w:val="2"/>
        </w:numPr>
        <w:ind w:left="1080" w:right="940" w:firstLine="0"/>
        <w:jc w:val="both"/>
        <w:rPr>
          <w:color w:val="000000"/>
        </w:rPr>
      </w:pPr>
      <w:r w:rsidRPr="009C3007">
        <w:rPr>
          <w:color w:val="000000"/>
        </w:rPr>
        <w:t xml:space="preserve">In line with the </w:t>
      </w:r>
      <w:r w:rsidR="00655482">
        <w:rPr>
          <w:color w:val="000000"/>
        </w:rPr>
        <w:t xml:space="preserve">Strategic Plan </w:t>
      </w:r>
      <w:r w:rsidRPr="000B1661">
        <w:rPr>
          <w:color w:val="000000"/>
        </w:rPr>
        <w:t xml:space="preserve">Signature </w:t>
      </w:r>
      <w:r w:rsidR="00655482">
        <w:rPr>
          <w:color w:val="000000"/>
        </w:rPr>
        <w:t>S</w:t>
      </w:r>
      <w:r w:rsidR="00655482" w:rsidRPr="000B1661">
        <w:rPr>
          <w:color w:val="000000"/>
        </w:rPr>
        <w:t xml:space="preserve">olution </w:t>
      </w:r>
      <w:r w:rsidRPr="000B1661">
        <w:rPr>
          <w:color w:val="000000"/>
        </w:rPr>
        <w:t>1</w:t>
      </w:r>
      <w:r w:rsidR="00A26605">
        <w:rPr>
          <w:color w:val="000000"/>
        </w:rPr>
        <w:t xml:space="preserve">, </w:t>
      </w:r>
      <w:r w:rsidR="00151737">
        <w:rPr>
          <w:color w:val="000000"/>
        </w:rPr>
        <w:t>k</w:t>
      </w:r>
      <w:r w:rsidRPr="000B1661">
        <w:rPr>
          <w:color w:val="000000"/>
        </w:rPr>
        <w:t xml:space="preserve">eeping </w:t>
      </w:r>
      <w:r w:rsidR="00655482">
        <w:rPr>
          <w:color w:val="000000"/>
        </w:rPr>
        <w:t>p</w:t>
      </w:r>
      <w:r w:rsidR="00655482" w:rsidRPr="000B1661">
        <w:rPr>
          <w:color w:val="000000"/>
        </w:rPr>
        <w:t xml:space="preserve">eople </w:t>
      </w:r>
      <w:r w:rsidR="00655482">
        <w:rPr>
          <w:color w:val="000000"/>
        </w:rPr>
        <w:t>o</w:t>
      </w:r>
      <w:r w:rsidR="00655482" w:rsidRPr="000B1661">
        <w:rPr>
          <w:color w:val="000000"/>
        </w:rPr>
        <w:t xml:space="preserve">ut </w:t>
      </w:r>
      <w:r w:rsidRPr="000B1661">
        <w:rPr>
          <w:color w:val="000000"/>
        </w:rPr>
        <w:t xml:space="preserve">of </w:t>
      </w:r>
      <w:r w:rsidR="00655482">
        <w:rPr>
          <w:color w:val="000000"/>
        </w:rPr>
        <w:t>p</w:t>
      </w:r>
      <w:r w:rsidR="00655482" w:rsidRPr="000B1661">
        <w:rPr>
          <w:color w:val="000000"/>
        </w:rPr>
        <w:t>overty</w:t>
      </w:r>
      <w:r w:rsidR="00F96065">
        <w:rPr>
          <w:color w:val="000000"/>
        </w:rPr>
        <w:t>,</w:t>
      </w:r>
      <w:r w:rsidR="00655482" w:rsidRPr="000B1661">
        <w:rPr>
          <w:color w:val="000000"/>
        </w:rPr>
        <w:t xml:space="preserve"> </w:t>
      </w:r>
      <w:r w:rsidR="00FD2DC3" w:rsidRPr="000B1661">
        <w:rPr>
          <w:color w:val="000000"/>
        </w:rPr>
        <w:t xml:space="preserve">and </w:t>
      </w:r>
      <w:r w:rsidR="00655482">
        <w:rPr>
          <w:color w:val="000000"/>
        </w:rPr>
        <w:t>Sustainable Development Goal</w:t>
      </w:r>
      <w:r w:rsidR="00655482" w:rsidRPr="000B1661">
        <w:rPr>
          <w:color w:val="000000"/>
        </w:rPr>
        <w:t xml:space="preserve"> </w:t>
      </w:r>
      <w:r w:rsidR="00FD2DC3" w:rsidRPr="000B1661">
        <w:rPr>
          <w:color w:val="000000"/>
        </w:rPr>
        <w:t>1</w:t>
      </w:r>
      <w:r w:rsidRPr="00655482">
        <w:rPr>
          <w:color w:val="000000"/>
        </w:rPr>
        <w:t>,</w:t>
      </w:r>
      <w:r w:rsidRPr="009C3007">
        <w:rPr>
          <w:color w:val="000000"/>
        </w:rPr>
        <w:t xml:space="preserve"> </w:t>
      </w:r>
      <w:r w:rsidR="00BC7755" w:rsidRPr="009C3007">
        <w:rPr>
          <w:color w:val="000000"/>
        </w:rPr>
        <w:t xml:space="preserve">the programme will </w:t>
      </w:r>
      <w:r w:rsidRPr="009C3007">
        <w:rPr>
          <w:color w:val="000000"/>
        </w:rPr>
        <w:t xml:space="preserve">support capacity </w:t>
      </w:r>
      <w:r w:rsidR="00E86C0C" w:rsidRPr="009C3007">
        <w:rPr>
          <w:color w:val="000000"/>
        </w:rPr>
        <w:t xml:space="preserve">development </w:t>
      </w:r>
      <w:r w:rsidRPr="009C3007">
        <w:rPr>
          <w:color w:val="000000"/>
        </w:rPr>
        <w:t xml:space="preserve">across </w:t>
      </w:r>
      <w:r w:rsidR="00655482">
        <w:rPr>
          <w:color w:val="000000"/>
        </w:rPr>
        <w:t>the G</w:t>
      </w:r>
      <w:r w:rsidR="00655482" w:rsidRPr="009C3007">
        <w:rPr>
          <w:color w:val="000000"/>
        </w:rPr>
        <w:t xml:space="preserve">overnment </w:t>
      </w:r>
      <w:r w:rsidR="002A712D" w:rsidRPr="009C3007">
        <w:rPr>
          <w:color w:val="000000"/>
        </w:rPr>
        <w:t>for</w:t>
      </w:r>
      <w:r w:rsidRPr="009C3007">
        <w:rPr>
          <w:color w:val="000000"/>
        </w:rPr>
        <w:t xml:space="preserve"> inclusive growth, gender-sensitive and evidence-based policies</w:t>
      </w:r>
      <w:r w:rsidR="002A712D" w:rsidRPr="009C3007">
        <w:rPr>
          <w:color w:val="000000"/>
        </w:rPr>
        <w:t>, particularly in the ASALs</w:t>
      </w:r>
      <w:r w:rsidRPr="009C3007">
        <w:rPr>
          <w:color w:val="000000"/>
        </w:rPr>
        <w:t xml:space="preserve">. </w:t>
      </w:r>
      <w:r w:rsidR="00233073">
        <w:rPr>
          <w:color w:val="000000"/>
        </w:rPr>
        <w:t>I</w:t>
      </w:r>
      <w:r w:rsidR="005C567F" w:rsidRPr="009C3007">
        <w:rPr>
          <w:color w:val="000000"/>
        </w:rPr>
        <w:t xml:space="preserve">n partnership with the World Bank, </w:t>
      </w:r>
      <w:r w:rsidR="00655482">
        <w:rPr>
          <w:color w:val="000000"/>
        </w:rPr>
        <w:t>African Development Bank</w:t>
      </w:r>
      <w:r w:rsidR="005C567F" w:rsidRPr="009C3007">
        <w:rPr>
          <w:color w:val="000000"/>
        </w:rPr>
        <w:t xml:space="preserve">, Kenya </w:t>
      </w:r>
      <w:r w:rsidR="004A2042">
        <w:rPr>
          <w:color w:val="000000"/>
        </w:rPr>
        <w:t xml:space="preserve">National </w:t>
      </w:r>
      <w:r w:rsidR="005C567F" w:rsidRPr="009C3007">
        <w:rPr>
          <w:color w:val="000000"/>
        </w:rPr>
        <w:t>Bureau of Statistics, county governments, civil society and the private sector</w:t>
      </w:r>
      <w:r w:rsidR="00655482">
        <w:rPr>
          <w:color w:val="000000"/>
        </w:rPr>
        <w:t>, the programme</w:t>
      </w:r>
      <w:r w:rsidR="005C567F" w:rsidRPr="009C3007">
        <w:rPr>
          <w:color w:val="000000"/>
        </w:rPr>
        <w:t xml:space="preserve"> </w:t>
      </w:r>
      <w:r w:rsidR="00E86C0C" w:rsidRPr="009C3007">
        <w:rPr>
          <w:color w:val="000000"/>
        </w:rPr>
        <w:t xml:space="preserve">will support initiatives </w:t>
      </w:r>
      <w:r w:rsidR="002A712D" w:rsidRPr="009C3007">
        <w:rPr>
          <w:color w:val="000000"/>
        </w:rPr>
        <w:t xml:space="preserve">on </w:t>
      </w:r>
      <w:r w:rsidR="00784D2D" w:rsidRPr="009C3007">
        <w:rPr>
          <w:color w:val="000000"/>
        </w:rPr>
        <w:t>macro</w:t>
      </w:r>
      <w:r w:rsidRPr="009C3007">
        <w:rPr>
          <w:color w:val="000000"/>
        </w:rPr>
        <w:t xml:space="preserve">economic </w:t>
      </w:r>
      <w:r w:rsidR="00784D2D" w:rsidRPr="009C3007">
        <w:rPr>
          <w:color w:val="000000"/>
        </w:rPr>
        <w:t>and poverty analysis</w:t>
      </w:r>
      <w:r w:rsidR="005C567F" w:rsidRPr="009C3007">
        <w:t xml:space="preserve"> </w:t>
      </w:r>
      <w:r w:rsidR="002A712D" w:rsidRPr="009C3007">
        <w:t xml:space="preserve">for </w:t>
      </w:r>
      <w:r w:rsidR="005C567F" w:rsidRPr="009C3007">
        <w:rPr>
          <w:color w:val="000000"/>
        </w:rPr>
        <w:t>inclusive growth</w:t>
      </w:r>
      <w:r w:rsidR="001619BD" w:rsidRPr="009C3007">
        <w:rPr>
          <w:color w:val="000000"/>
        </w:rPr>
        <w:t xml:space="preserve"> polic</w:t>
      </w:r>
      <w:r w:rsidR="002A712D" w:rsidRPr="009C3007">
        <w:rPr>
          <w:color w:val="000000"/>
        </w:rPr>
        <w:t>y formulation and implementation for</w:t>
      </w:r>
      <w:r w:rsidR="005C567F" w:rsidRPr="009C3007">
        <w:rPr>
          <w:color w:val="000000"/>
        </w:rPr>
        <w:t xml:space="preserve"> structural transformation, gender and extractives</w:t>
      </w:r>
      <w:r w:rsidR="002A712D" w:rsidRPr="009C3007">
        <w:rPr>
          <w:color w:val="000000"/>
        </w:rPr>
        <w:t>;</w:t>
      </w:r>
      <w:r w:rsidR="005C567F" w:rsidRPr="009C3007">
        <w:rPr>
          <w:color w:val="000000"/>
        </w:rPr>
        <w:t xml:space="preserve"> support monitoring of the </w:t>
      </w:r>
      <w:r w:rsidR="00F96065">
        <w:rPr>
          <w:color w:val="000000"/>
        </w:rPr>
        <w:t>Sustainable Development Goals</w:t>
      </w:r>
      <w:r w:rsidR="00546080">
        <w:rPr>
          <w:color w:val="000000"/>
        </w:rPr>
        <w:t xml:space="preserve"> </w:t>
      </w:r>
      <w:r w:rsidR="00F96065">
        <w:rPr>
          <w:color w:val="000000"/>
        </w:rPr>
        <w:t>“</w:t>
      </w:r>
      <w:r w:rsidR="008729C4" w:rsidRPr="000B1661">
        <w:rPr>
          <w:color w:val="000000"/>
        </w:rPr>
        <w:t>b</w:t>
      </w:r>
      <w:r w:rsidR="002A712D" w:rsidRPr="000B1661">
        <w:rPr>
          <w:color w:val="000000"/>
        </w:rPr>
        <w:t xml:space="preserve">ig </w:t>
      </w:r>
      <w:r w:rsidR="00F96065" w:rsidRPr="000B1661">
        <w:rPr>
          <w:color w:val="000000"/>
        </w:rPr>
        <w:t>data”</w:t>
      </w:r>
      <w:r w:rsidR="00F96065" w:rsidRPr="009C3007">
        <w:rPr>
          <w:color w:val="000000"/>
        </w:rPr>
        <w:t xml:space="preserve"> </w:t>
      </w:r>
      <w:r w:rsidRPr="009C3007">
        <w:rPr>
          <w:color w:val="000000"/>
        </w:rPr>
        <w:t>gaps</w:t>
      </w:r>
      <w:r w:rsidR="008729C4" w:rsidRPr="009C3007">
        <w:rPr>
          <w:color w:val="000000"/>
        </w:rPr>
        <w:t xml:space="preserve">, including the 2019 </w:t>
      </w:r>
      <w:r w:rsidR="006F4393" w:rsidRPr="009C3007">
        <w:rPr>
          <w:color w:val="000000"/>
        </w:rPr>
        <w:t>N</w:t>
      </w:r>
      <w:r w:rsidR="008729C4" w:rsidRPr="009C3007">
        <w:rPr>
          <w:color w:val="000000"/>
        </w:rPr>
        <w:t xml:space="preserve">ational </w:t>
      </w:r>
      <w:r w:rsidR="006F4393" w:rsidRPr="009C3007">
        <w:rPr>
          <w:color w:val="000000"/>
        </w:rPr>
        <w:t>C</w:t>
      </w:r>
      <w:r w:rsidR="00546080">
        <w:rPr>
          <w:color w:val="000000"/>
        </w:rPr>
        <w:t>ensus</w:t>
      </w:r>
      <w:r w:rsidR="0047555B" w:rsidRPr="0047555B">
        <w:rPr>
          <w:color w:val="000000"/>
        </w:rPr>
        <w:t xml:space="preserve">; </w:t>
      </w:r>
      <w:r w:rsidR="00B338AD">
        <w:rPr>
          <w:color w:val="000000"/>
        </w:rPr>
        <w:t xml:space="preserve">and </w:t>
      </w:r>
      <w:r w:rsidRPr="0047555B">
        <w:rPr>
          <w:color w:val="000000"/>
        </w:rPr>
        <w:t xml:space="preserve">poverty reduction </w:t>
      </w:r>
      <w:r w:rsidR="0047555B" w:rsidRPr="0047555B">
        <w:rPr>
          <w:color w:val="000000"/>
        </w:rPr>
        <w:t>interventions</w:t>
      </w:r>
      <w:r w:rsidR="00B338AD">
        <w:rPr>
          <w:color w:val="000000"/>
        </w:rPr>
        <w:t>.</w:t>
      </w:r>
      <w:r w:rsidR="00ED1859">
        <w:rPr>
          <w:color w:val="000000"/>
        </w:rPr>
        <w:t xml:space="preserve"> </w:t>
      </w:r>
    </w:p>
    <w:p w14:paraId="3429FEEC" w14:textId="5860B197" w:rsidR="00C8493C" w:rsidRPr="007D1253" w:rsidRDefault="00C8493C" w:rsidP="00812104">
      <w:pPr>
        <w:pStyle w:val="ListParagraph"/>
        <w:ind w:left="1080" w:right="940"/>
        <w:jc w:val="both"/>
        <w:rPr>
          <w:color w:val="000000"/>
          <w:sz w:val="12"/>
          <w:szCs w:val="12"/>
        </w:rPr>
      </w:pPr>
    </w:p>
    <w:p w14:paraId="4A256B4A" w14:textId="74066A92" w:rsidR="00C8493C" w:rsidRPr="009C3007" w:rsidRDefault="00527926" w:rsidP="00812104">
      <w:pPr>
        <w:pStyle w:val="ListParagraph"/>
        <w:numPr>
          <w:ilvl w:val="0"/>
          <w:numId w:val="2"/>
        </w:numPr>
        <w:ind w:left="1080" w:right="940" w:firstLine="0"/>
        <w:jc w:val="both"/>
        <w:rPr>
          <w:color w:val="000000"/>
        </w:rPr>
      </w:pPr>
      <w:r w:rsidRPr="00C8493C">
        <w:rPr>
          <w:color w:val="000000"/>
        </w:rPr>
        <w:t>To complement enabling actions in infrastructure</w:t>
      </w:r>
      <w:r w:rsidR="00546080">
        <w:rPr>
          <w:color w:val="000000"/>
        </w:rPr>
        <w:t>,</w:t>
      </w:r>
      <w:r w:rsidR="00181EC7" w:rsidRPr="00181EC7">
        <w:t xml:space="preserve"> </w:t>
      </w:r>
      <w:r w:rsidR="00181EC7" w:rsidRPr="00181EC7">
        <w:rPr>
          <w:color w:val="000000"/>
        </w:rPr>
        <w:t>public sector reforms and innovative financing mechanisms</w:t>
      </w:r>
      <w:r w:rsidR="00181EC7">
        <w:rPr>
          <w:color w:val="000000"/>
        </w:rPr>
        <w:t xml:space="preserve">, in line with </w:t>
      </w:r>
      <w:r w:rsidR="00F96065">
        <w:rPr>
          <w:color w:val="000000"/>
        </w:rPr>
        <w:t>Sustainable Development Goal</w:t>
      </w:r>
      <w:r w:rsidR="00181EC7" w:rsidRPr="000B1661">
        <w:rPr>
          <w:color w:val="002060"/>
        </w:rPr>
        <w:t xml:space="preserve"> 9</w:t>
      </w:r>
      <w:r w:rsidR="00F96065">
        <w:rPr>
          <w:color w:val="002060"/>
        </w:rPr>
        <w:t>,</w:t>
      </w:r>
      <w:r w:rsidR="00181EC7" w:rsidRPr="000B1661">
        <w:rPr>
          <w:color w:val="002060"/>
        </w:rPr>
        <w:t xml:space="preserve"> </w:t>
      </w:r>
      <w:r w:rsidR="001D3D51" w:rsidRPr="000B1661">
        <w:t xml:space="preserve">UNDP </w:t>
      </w:r>
      <w:r w:rsidR="008729C4" w:rsidRPr="009C3007">
        <w:rPr>
          <w:color w:val="002060"/>
        </w:rPr>
        <w:t xml:space="preserve">will </w:t>
      </w:r>
      <w:r w:rsidR="008E3295" w:rsidRPr="009C3007">
        <w:rPr>
          <w:color w:val="002060"/>
        </w:rPr>
        <w:t>focus on</w:t>
      </w:r>
      <w:r w:rsidRPr="009C3007">
        <w:rPr>
          <w:color w:val="000000"/>
        </w:rPr>
        <w:t xml:space="preserve"> structural economic transformation </w:t>
      </w:r>
      <w:r w:rsidR="008729C4" w:rsidRPr="009C3007">
        <w:rPr>
          <w:color w:val="000000"/>
        </w:rPr>
        <w:t>for job creation</w:t>
      </w:r>
      <w:r w:rsidR="004A67F7" w:rsidRPr="009C3007">
        <w:rPr>
          <w:color w:val="000000"/>
        </w:rPr>
        <w:t xml:space="preserve"> </w:t>
      </w:r>
      <w:r w:rsidR="008729C4" w:rsidRPr="009C3007">
        <w:rPr>
          <w:color w:val="000000"/>
        </w:rPr>
        <w:t>through policy advisory support to increase</w:t>
      </w:r>
      <w:r w:rsidRPr="009C3007">
        <w:rPr>
          <w:color w:val="000000"/>
        </w:rPr>
        <w:t xml:space="preserve"> the </w:t>
      </w:r>
      <w:r w:rsidR="00546080">
        <w:rPr>
          <w:color w:val="000000"/>
        </w:rPr>
        <w:t xml:space="preserve">economic </w:t>
      </w:r>
      <w:r w:rsidRPr="009C3007">
        <w:rPr>
          <w:color w:val="000000"/>
        </w:rPr>
        <w:t>share of the manufacturing, extractives and mineral resources, industrial and exporting sectors</w:t>
      </w:r>
      <w:r w:rsidR="00546080">
        <w:rPr>
          <w:color w:val="000000"/>
        </w:rPr>
        <w:t>.</w:t>
      </w:r>
      <w:r w:rsidR="005C567F" w:rsidRPr="009C3007">
        <w:rPr>
          <w:color w:val="000000"/>
        </w:rPr>
        <w:t xml:space="preserve"> </w:t>
      </w:r>
      <w:r w:rsidR="00F96065">
        <w:rPr>
          <w:color w:val="000000"/>
        </w:rPr>
        <w:t>The programme</w:t>
      </w:r>
      <w:r w:rsidR="00F96065" w:rsidRPr="009C3007">
        <w:rPr>
          <w:color w:val="000000"/>
        </w:rPr>
        <w:t xml:space="preserve"> </w:t>
      </w:r>
      <w:r w:rsidR="00EB1AC6" w:rsidRPr="009C3007">
        <w:rPr>
          <w:color w:val="000000"/>
        </w:rPr>
        <w:t xml:space="preserve">will </w:t>
      </w:r>
      <w:r w:rsidR="00A879C6" w:rsidRPr="009C3007">
        <w:rPr>
          <w:color w:val="000000"/>
        </w:rPr>
        <w:t>deliver livelihoods</w:t>
      </w:r>
      <w:r w:rsidR="00EB1AC6" w:rsidRPr="009C3007">
        <w:rPr>
          <w:color w:val="000000"/>
        </w:rPr>
        <w:t xml:space="preserve"> interventions for increased productivity, income</w:t>
      </w:r>
      <w:r w:rsidRPr="009C3007">
        <w:rPr>
          <w:color w:val="000000"/>
        </w:rPr>
        <w:t xml:space="preserve"> generation </w:t>
      </w:r>
      <w:r w:rsidR="00EB1AC6" w:rsidRPr="009C3007">
        <w:rPr>
          <w:color w:val="000000"/>
        </w:rPr>
        <w:t>and rural development</w:t>
      </w:r>
      <w:r w:rsidR="004D08CA" w:rsidRPr="009C3007">
        <w:rPr>
          <w:color w:val="000000"/>
        </w:rPr>
        <w:t xml:space="preserve"> and improve s</w:t>
      </w:r>
      <w:r w:rsidR="00680ED6" w:rsidRPr="009C3007">
        <w:rPr>
          <w:color w:val="000000"/>
        </w:rPr>
        <w:t>takeholder c</w:t>
      </w:r>
      <w:r w:rsidR="00EB1AC6" w:rsidRPr="009C3007">
        <w:rPr>
          <w:color w:val="000000"/>
        </w:rPr>
        <w:t xml:space="preserve">apacities to access </w:t>
      </w:r>
      <w:r w:rsidR="00DA16A9" w:rsidRPr="009C3007">
        <w:rPr>
          <w:color w:val="000000"/>
        </w:rPr>
        <w:t xml:space="preserve">entrepreneurship </w:t>
      </w:r>
      <w:r w:rsidR="00680ED6" w:rsidRPr="009C3007">
        <w:rPr>
          <w:color w:val="000000"/>
        </w:rPr>
        <w:t>opportunities</w:t>
      </w:r>
      <w:r w:rsidR="00DA16A9" w:rsidRPr="009C3007">
        <w:rPr>
          <w:color w:val="000000"/>
        </w:rPr>
        <w:t>,</w:t>
      </w:r>
      <w:r w:rsidR="00680ED6" w:rsidRPr="009C3007">
        <w:rPr>
          <w:color w:val="000000"/>
        </w:rPr>
        <w:t xml:space="preserve"> </w:t>
      </w:r>
      <w:r w:rsidR="00EB1AC6" w:rsidRPr="009C3007">
        <w:rPr>
          <w:color w:val="000000"/>
        </w:rPr>
        <w:t>particularly for you</w:t>
      </w:r>
      <w:r w:rsidR="00A879C6" w:rsidRPr="009C3007">
        <w:rPr>
          <w:color w:val="000000"/>
        </w:rPr>
        <w:t xml:space="preserve">ng men and women and </w:t>
      </w:r>
      <w:r w:rsidR="00F96065">
        <w:rPr>
          <w:color w:val="000000"/>
        </w:rPr>
        <w:t>persons living with a disability</w:t>
      </w:r>
      <w:r w:rsidR="00A879C6" w:rsidRPr="009C3007">
        <w:rPr>
          <w:color w:val="000000"/>
        </w:rPr>
        <w:t xml:space="preserve">. </w:t>
      </w:r>
      <w:r w:rsidR="00E95C91" w:rsidRPr="009C3007">
        <w:rPr>
          <w:color w:val="000000"/>
        </w:rPr>
        <w:t xml:space="preserve">Through </w:t>
      </w:r>
      <w:r w:rsidR="00151737">
        <w:rPr>
          <w:color w:val="000000"/>
        </w:rPr>
        <w:t>the</w:t>
      </w:r>
      <w:r w:rsidR="00E95C91" w:rsidRPr="009C3007">
        <w:rPr>
          <w:color w:val="000000"/>
        </w:rPr>
        <w:t xml:space="preserve"> </w:t>
      </w:r>
      <w:r w:rsidR="00E95C91" w:rsidRPr="009C3007">
        <w:rPr>
          <w:i/>
          <w:color w:val="000000"/>
        </w:rPr>
        <w:t xml:space="preserve">Biashara </w:t>
      </w:r>
      <w:r w:rsidR="00E95C91" w:rsidRPr="009C3007">
        <w:rPr>
          <w:color w:val="000000"/>
        </w:rPr>
        <w:t>(Business) Centres, i</w:t>
      </w:r>
      <w:r w:rsidR="00A879C6" w:rsidRPr="009C3007">
        <w:rPr>
          <w:color w:val="000000"/>
        </w:rPr>
        <w:t>nnovative</w:t>
      </w:r>
      <w:r w:rsidR="00EB1AC6" w:rsidRPr="009C3007">
        <w:rPr>
          <w:color w:val="000000"/>
        </w:rPr>
        <w:t xml:space="preserve"> technologies</w:t>
      </w:r>
      <w:r w:rsidR="00680ED6" w:rsidRPr="009C3007">
        <w:rPr>
          <w:color w:val="000000"/>
        </w:rPr>
        <w:t xml:space="preserve"> will be deployed</w:t>
      </w:r>
      <w:r w:rsidR="00E95C91" w:rsidRPr="009C3007">
        <w:rPr>
          <w:color w:val="000000"/>
        </w:rPr>
        <w:t>,</w:t>
      </w:r>
      <w:r w:rsidR="00EB1AC6" w:rsidRPr="009C3007">
        <w:rPr>
          <w:color w:val="000000"/>
        </w:rPr>
        <w:t xml:space="preserve"> </w:t>
      </w:r>
      <w:r w:rsidR="00A879C6" w:rsidRPr="009C3007">
        <w:rPr>
          <w:color w:val="000000"/>
        </w:rPr>
        <w:t>particularly for</w:t>
      </w:r>
      <w:r w:rsidR="00F82F4C" w:rsidRPr="009C3007">
        <w:rPr>
          <w:color w:val="000000"/>
        </w:rPr>
        <w:t xml:space="preserve"> female-</w:t>
      </w:r>
      <w:r w:rsidR="00EB1AC6" w:rsidRPr="009C3007">
        <w:rPr>
          <w:color w:val="000000"/>
        </w:rPr>
        <w:t>headed households</w:t>
      </w:r>
      <w:r w:rsidR="0049784D">
        <w:rPr>
          <w:color w:val="000000"/>
        </w:rPr>
        <w:t>,</w:t>
      </w:r>
      <w:r w:rsidR="00A879C6" w:rsidRPr="009C3007">
        <w:rPr>
          <w:color w:val="000000"/>
        </w:rPr>
        <w:t xml:space="preserve"> to address the gendered dimensions of poverty</w:t>
      </w:r>
      <w:r w:rsidR="0049784D">
        <w:rPr>
          <w:color w:val="000000"/>
        </w:rPr>
        <w:t xml:space="preserve"> and</w:t>
      </w:r>
      <w:r w:rsidR="00EB1AC6" w:rsidRPr="009C3007">
        <w:rPr>
          <w:color w:val="000000"/>
        </w:rPr>
        <w:t xml:space="preserve"> add value</w:t>
      </w:r>
      <w:r w:rsidR="00311723" w:rsidRPr="009C3007">
        <w:rPr>
          <w:color w:val="000000"/>
        </w:rPr>
        <w:t xml:space="preserve">, </w:t>
      </w:r>
      <w:r w:rsidR="00DA16A9" w:rsidRPr="009C3007">
        <w:rPr>
          <w:color w:val="000000"/>
        </w:rPr>
        <w:t xml:space="preserve">strengthen </w:t>
      </w:r>
      <w:r w:rsidR="00EB1AC6" w:rsidRPr="009C3007">
        <w:rPr>
          <w:color w:val="000000"/>
        </w:rPr>
        <w:t xml:space="preserve">quality standards </w:t>
      </w:r>
      <w:r w:rsidR="00311723" w:rsidRPr="009C3007">
        <w:rPr>
          <w:color w:val="000000"/>
        </w:rPr>
        <w:t xml:space="preserve">and improve </w:t>
      </w:r>
      <w:r w:rsidR="00EB1AC6" w:rsidRPr="009C3007">
        <w:rPr>
          <w:color w:val="000000"/>
        </w:rPr>
        <w:t>access to markets</w:t>
      </w:r>
      <w:r w:rsidR="00DA16A9" w:rsidRPr="009C3007">
        <w:rPr>
          <w:color w:val="000000"/>
        </w:rPr>
        <w:t xml:space="preserve">, </w:t>
      </w:r>
      <w:r w:rsidR="00E95C91" w:rsidRPr="009C3007">
        <w:rPr>
          <w:color w:val="000000"/>
        </w:rPr>
        <w:t xml:space="preserve">in collaboration with </w:t>
      </w:r>
      <w:r w:rsidR="00F96065">
        <w:rPr>
          <w:color w:val="000000"/>
        </w:rPr>
        <w:t>the Food and Agriculture Organization</w:t>
      </w:r>
      <w:r w:rsidR="00C046A8" w:rsidRPr="009C3007">
        <w:rPr>
          <w:color w:val="000000"/>
        </w:rPr>
        <w:t xml:space="preserve">, </w:t>
      </w:r>
      <w:r w:rsidR="00F96065">
        <w:rPr>
          <w:color w:val="000000"/>
        </w:rPr>
        <w:t>International Labour Organization</w:t>
      </w:r>
      <w:r w:rsidR="00C046A8" w:rsidRPr="009C3007">
        <w:rPr>
          <w:color w:val="000000"/>
        </w:rPr>
        <w:t xml:space="preserve">, </w:t>
      </w:r>
      <w:r w:rsidR="00F96065">
        <w:rPr>
          <w:color w:val="000000"/>
        </w:rPr>
        <w:t>United Nations Children’s Fund</w:t>
      </w:r>
      <w:r w:rsidR="00C046A8" w:rsidRPr="009C3007">
        <w:rPr>
          <w:color w:val="000000"/>
        </w:rPr>
        <w:t xml:space="preserve">, </w:t>
      </w:r>
      <w:r w:rsidR="00F96065" w:rsidRPr="009C3007">
        <w:rPr>
          <w:color w:val="000000"/>
        </w:rPr>
        <w:t>UN</w:t>
      </w:r>
      <w:r w:rsidR="00F96065">
        <w:rPr>
          <w:color w:val="000000"/>
        </w:rPr>
        <w:t>-</w:t>
      </w:r>
      <w:r w:rsidR="00C046A8" w:rsidRPr="009C3007">
        <w:rPr>
          <w:color w:val="000000"/>
        </w:rPr>
        <w:t>Women</w:t>
      </w:r>
      <w:r w:rsidR="00F82F4C" w:rsidRPr="009C3007">
        <w:rPr>
          <w:color w:val="000000"/>
        </w:rPr>
        <w:t>,</w:t>
      </w:r>
      <w:r w:rsidR="00C046A8" w:rsidRPr="009C3007">
        <w:rPr>
          <w:color w:val="000000"/>
        </w:rPr>
        <w:t xml:space="preserve"> </w:t>
      </w:r>
      <w:r w:rsidR="00F96065">
        <w:rPr>
          <w:color w:val="000000"/>
        </w:rPr>
        <w:t>civil society organizations</w:t>
      </w:r>
      <w:r w:rsidR="00EB1AC6" w:rsidRPr="009C3007">
        <w:rPr>
          <w:color w:val="000000"/>
        </w:rPr>
        <w:t xml:space="preserve">, </w:t>
      </w:r>
      <w:r w:rsidR="00C046A8" w:rsidRPr="009C3007">
        <w:rPr>
          <w:color w:val="000000"/>
        </w:rPr>
        <w:t xml:space="preserve">the </w:t>
      </w:r>
      <w:r w:rsidR="00F82F4C" w:rsidRPr="009C3007">
        <w:rPr>
          <w:color w:val="000000"/>
        </w:rPr>
        <w:t>p</w:t>
      </w:r>
      <w:r w:rsidR="00EB1AC6" w:rsidRPr="009C3007">
        <w:rPr>
          <w:color w:val="000000"/>
        </w:rPr>
        <w:t xml:space="preserve">rivate </w:t>
      </w:r>
      <w:r w:rsidR="00F82F4C" w:rsidRPr="009C3007">
        <w:rPr>
          <w:color w:val="000000"/>
        </w:rPr>
        <w:t>s</w:t>
      </w:r>
      <w:r w:rsidR="00EB1AC6" w:rsidRPr="009C3007">
        <w:rPr>
          <w:color w:val="000000"/>
        </w:rPr>
        <w:t>ector and county governments</w:t>
      </w:r>
      <w:r w:rsidR="00F96065">
        <w:rPr>
          <w:color w:val="000000"/>
        </w:rPr>
        <w:t>,</w:t>
      </w:r>
      <w:r w:rsidR="002A712D" w:rsidRPr="009C3007">
        <w:rPr>
          <w:color w:val="000000"/>
        </w:rPr>
        <w:t xml:space="preserve"> in line with</w:t>
      </w:r>
      <w:r w:rsidR="00F96065">
        <w:rPr>
          <w:color w:val="000000"/>
        </w:rPr>
        <w:t xml:space="preserve"> Sustainable Development Goal 8</w:t>
      </w:r>
      <w:r w:rsidR="00C046A8" w:rsidRPr="009C3007">
        <w:rPr>
          <w:color w:val="000000"/>
        </w:rPr>
        <w:t xml:space="preserve">. </w:t>
      </w:r>
      <w:r w:rsidR="00365D2D" w:rsidRPr="009C3007">
        <w:rPr>
          <w:color w:val="000000"/>
        </w:rPr>
        <w:t xml:space="preserve">The programme will </w:t>
      </w:r>
      <w:r w:rsidR="004A67F7" w:rsidRPr="009C3007">
        <w:rPr>
          <w:color w:val="000000"/>
        </w:rPr>
        <w:t xml:space="preserve">address youth unemployment </w:t>
      </w:r>
      <w:r w:rsidR="008729C4" w:rsidRPr="009C3007">
        <w:rPr>
          <w:color w:val="000000"/>
        </w:rPr>
        <w:t>through</w:t>
      </w:r>
      <w:r w:rsidR="00365D2D" w:rsidRPr="009C3007">
        <w:rPr>
          <w:color w:val="000000"/>
        </w:rPr>
        <w:t xml:space="preserve"> </w:t>
      </w:r>
      <w:r w:rsidR="00311723" w:rsidRPr="009C3007">
        <w:rPr>
          <w:color w:val="000000"/>
        </w:rPr>
        <w:t xml:space="preserve">scalable </w:t>
      </w:r>
      <w:r w:rsidR="00365D2D" w:rsidRPr="009C3007">
        <w:rPr>
          <w:color w:val="000000"/>
        </w:rPr>
        <w:t xml:space="preserve">pilot </w:t>
      </w:r>
      <w:r w:rsidR="0049784D">
        <w:rPr>
          <w:color w:val="000000"/>
        </w:rPr>
        <w:t xml:space="preserve">fruit agro-processing </w:t>
      </w:r>
      <w:r w:rsidR="00365D2D" w:rsidRPr="009C3007">
        <w:rPr>
          <w:color w:val="000000"/>
        </w:rPr>
        <w:t xml:space="preserve">value chains </w:t>
      </w:r>
      <w:r w:rsidR="008729C4" w:rsidRPr="009C3007">
        <w:rPr>
          <w:color w:val="000000"/>
        </w:rPr>
        <w:t>in Tana River and Taita Ta</w:t>
      </w:r>
      <w:r w:rsidR="008317CD" w:rsidRPr="009C3007">
        <w:rPr>
          <w:color w:val="000000"/>
        </w:rPr>
        <w:t>veta C</w:t>
      </w:r>
      <w:r w:rsidR="008729C4" w:rsidRPr="009C3007">
        <w:rPr>
          <w:color w:val="000000"/>
        </w:rPr>
        <w:t>ounties</w:t>
      </w:r>
      <w:r w:rsidR="00F96065">
        <w:rPr>
          <w:color w:val="000000"/>
        </w:rPr>
        <w:t xml:space="preserve"> and with the </w:t>
      </w:r>
      <w:r w:rsidR="00365D2D" w:rsidRPr="009C3007">
        <w:rPr>
          <w:color w:val="000000"/>
        </w:rPr>
        <w:t xml:space="preserve">private sector </w:t>
      </w:r>
      <w:r w:rsidR="0049784D">
        <w:rPr>
          <w:color w:val="000000"/>
        </w:rPr>
        <w:t>for</w:t>
      </w:r>
      <w:r w:rsidR="00365D2D" w:rsidRPr="009C3007">
        <w:rPr>
          <w:color w:val="000000"/>
        </w:rPr>
        <w:t xml:space="preserve"> leather production in </w:t>
      </w:r>
      <w:r w:rsidR="008729C4" w:rsidRPr="009C3007">
        <w:rPr>
          <w:color w:val="000000"/>
        </w:rPr>
        <w:t>Turkana County</w:t>
      </w:r>
      <w:r w:rsidR="00365D2D" w:rsidRPr="009C3007">
        <w:rPr>
          <w:color w:val="000000"/>
        </w:rPr>
        <w:t>.</w:t>
      </w:r>
      <w:r w:rsidR="00EB1AC6" w:rsidRPr="009C3007">
        <w:rPr>
          <w:color w:val="000000"/>
        </w:rPr>
        <w:t xml:space="preserve"> </w:t>
      </w:r>
    </w:p>
    <w:p w14:paraId="1891E1A2" w14:textId="77777777" w:rsidR="00C8493C" w:rsidRPr="007D1253" w:rsidRDefault="00C8493C" w:rsidP="00812104">
      <w:pPr>
        <w:pStyle w:val="ListParagraph"/>
        <w:ind w:left="1080" w:right="940"/>
        <w:jc w:val="both"/>
        <w:rPr>
          <w:color w:val="000000"/>
          <w:sz w:val="12"/>
          <w:szCs w:val="12"/>
        </w:rPr>
      </w:pPr>
    </w:p>
    <w:p w14:paraId="2F89BEF9" w14:textId="66C48DD6" w:rsidR="00C8493C" w:rsidRDefault="002765BC" w:rsidP="00812104">
      <w:pPr>
        <w:pStyle w:val="ListParagraph"/>
        <w:numPr>
          <w:ilvl w:val="0"/>
          <w:numId w:val="2"/>
        </w:numPr>
        <w:ind w:left="1080" w:right="940" w:firstLine="0"/>
        <w:jc w:val="both"/>
        <w:rPr>
          <w:color w:val="000000"/>
        </w:rPr>
      </w:pPr>
      <w:r w:rsidRPr="00C8493C">
        <w:rPr>
          <w:color w:val="000000"/>
        </w:rPr>
        <w:t xml:space="preserve">Kenya’s graduation to low middle-income status presents opportunities for UNDP to explore financing for development through </w:t>
      </w:r>
      <w:r w:rsidR="002A712D">
        <w:rPr>
          <w:color w:val="000000"/>
        </w:rPr>
        <w:t xml:space="preserve">government </w:t>
      </w:r>
      <w:r w:rsidR="00F96065">
        <w:rPr>
          <w:color w:val="000000"/>
        </w:rPr>
        <w:t>cost-</w:t>
      </w:r>
      <w:r w:rsidR="002A712D">
        <w:rPr>
          <w:color w:val="000000"/>
        </w:rPr>
        <w:t>sharing</w:t>
      </w:r>
      <w:r w:rsidRPr="00C8493C">
        <w:rPr>
          <w:color w:val="000000"/>
        </w:rPr>
        <w:t xml:space="preserve">. </w:t>
      </w:r>
      <w:r w:rsidRPr="009C3007">
        <w:rPr>
          <w:color w:val="000000"/>
        </w:rPr>
        <w:t xml:space="preserve">Working with the </w:t>
      </w:r>
      <w:r w:rsidR="002A712D" w:rsidRPr="009C3007">
        <w:rPr>
          <w:color w:val="000000"/>
        </w:rPr>
        <w:t xml:space="preserve">national and county </w:t>
      </w:r>
      <w:r w:rsidR="00BA3EAC" w:rsidRPr="009C3007">
        <w:rPr>
          <w:color w:val="000000"/>
        </w:rPr>
        <w:t xml:space="preserve">revenue </w:t>
      </w:r>
      <w:r w:rsidR="008317CD" w:rsidRPr="009C3007">
        <w:rPr>
          <w:color w:val="000000"/>
        </w:rPr>
        <w:t xml:space="preserve">collection and </w:t>
      </w:r>
      <w:r w:rsidR="00BA3EAC" w:rsidRPr="009C3007">
        <w:rPr>
          <w:color w:val="000000"/>
        </w:rPr>
        <w:t xml:space="preserve">allocation </w:t>
      </w:r>
      <w:r w:rsidR="00C90604" w:rsidRPr="009C3007">
        <w:rPr>
          <w:color w:val="000000"/>
        </w:rPr>
        <w:t>authorities,</w:t>
      </w:r>
      <w:r w:rsidRPr="009C3007">
        <w:rPr>
          <w:color w:val="000000"/>
        </w:rPr>
        <w:t xml:space="preserve"> UNDP </w:t>
      </w:r>
      <w:r w:rsidR="00BA3EAC" w:rsidRPr="009C3007">
        <w:rPr>
          <w:color w:val="000000"/>
        </w:rPr>
        <w:t xml:space="preserve">aims to </w:t>
      </w:r>
      <w:r w:rsidR="002A712D" w:rsidRPr="009C3007">
        <w:rPr>
          <w:color w:val="000000"/>
        </w:rPr>
        <w:t xml:space="preserve">leverage </w:t>
      </w:r>
      <w:r w:rsidR="008A2EC9">
        <w:rPr>
          <w:color w:val="000000"/>
        </w:rPr>
        <w:t>its</w:t>
      </w:r>
      <w:r w:rsidR="008A2EC9" w:rsidRPr="009C3007">
        <w:rPr>
          <w:color w:val="000000"/>
        </w:rPr>
        <w:t xml:space="preserve"> </w:t>
      </w:r>
      <w:r w:rsidR="002A712D" w:rsidRPr="009C3007">
        <w:rPr>
          <w:color w:val="000000"/>
        </w:rPr>
        <w:t>scope</w:t>
      </w:r>
      <w:r w:rsidR="00A35B48" w:rsidRPr="009C3007">
        <w:rPr>
          <w:color w:val="000000"/>
        </w:rPr>
        <w:t xml:space="preserve">, </w:t>
      </w:r>
      <w:r w:rsidR="002A712D" w:rsidRPr="009C3007">
        <w:rPr>
          <w:color w:val="000000"/>
        </w:rPr>
        <w:t>geographical footprint and capacity f</w:t>
      </w:r>
      <w:r w:rsidR="008E3295" w:rsidRPr="009C3007">
        <w:rPr>
          <w:color w:val="000000"/>
        </w:rPr>
        <w:t>or</w:t>
      </w:r>
      <w:r w:rsidR="002A712D" w:rsidRPr="009C3007">
        <w:rPr>
          <w:color w:val="000000"/>
        </w:rPr>
        <w:t xml:space="preserve"> transparent and accountable expenditure to </w:t>
      </w:r>
      <w:r w:rsidR="00BA3EAC" w:rsidRPr="009C3007">
        <w:rPr>
          <w:color w:val="000000"/>
        </w:rPr>
        <w:t>secure co-financing</w:t>
      </w:r>
      <w:r w:rsidR="002A712D" w:rsidRPr="009C3007">
        <w:rPr>
          <w:color w:val="000000"/>
        </w:rPr>
        <w:t>.</w:t>
      </w:r>
      <w:r w:rsidR="002A712D">
        <w:rPr>
          <w:color w:val="000000"/>
        </w:rPr>
        <w:t xml:space="preserve"> </w:t>
      </w:r>
      <w:r w:rsidRPr="00C8493C">
        <w:rPr>
          <w:color w:val="000000"/>
        </w:rPr>
        <w:t xml:space="preserve">The </w:t>
      </w:r>
      <w:r w:rsidR="00C046A8" w:rsidRPr="00C8493C">
        <w:rPr>
          <w:color w:val="000000"/>
        </w:rPr>
        <w:t xml:space="preserve">programme </w:t>
      </w:r>
      <w:r w:rsidR="008E3295">
        <w:rPr>
          <w:color w:val="000000"/>
        </w:rPr>
        <w:t xml:space="preserve">also </w:t>
      </w:r>
      <w:r w:rsidR="002A712D">
        <w:rPr>
          <w:color w:val="000000"/>
        </w:rPr>
        <w:t>aims</w:t>
      </w:r>
      <w:r w:rsidR="00C046A8" w:rsidRPr="00C8493C">
        <w:rPr>
          <w:color w:val="000000"/>
        </w:rPr>
        <w:t xml:space="preserve"> to f</w:t>
      </w:r>
      <w:r w:rsidRPr="00C8493C">
        <w:rPr>
          <w:color w:val="000000"/>
        </w:rPr>
        <w:t>ast track financing for development</w:t>
      </w:r>
      <w:r w:rsidR="002A712D">
        <w:rPr>
          <w:color w:val="000000"/>
        </w:rPr>
        <w:t xml:space="preserve"> through</w:t>
      </w:r>
      <w:r w:rsidRPr="00C8493C">
        <w:rPr>
          <w:color w:val="000000"/>
        </w:rPr>
        <w:t xml:space="preserve"> new partnerships with</w:t>
      </w:r>
      <w:r w:rsidR="00E95C91" w:rsidRPr="00E95C91">
        <w:t xml:space="preserve"> </w:t>
      </w:r>
      <w:r w:rsidR="00E95C91" w:rsidRPr="00C8493C">
        <w:rPr>
          <w:color w:val="000000"/>
        </w:rPr>
        <w:t>South-South Cooperation partners,</w:t>
      </w:r>
      <w:r w:rsidR="008317CD">
        <w:rPr>
          <w:color w:val="000000"/>
        </w:rPr>
        <w:t xml:space="preserve"> the East Africa</w:t>
      </w:r>
      <w:r w:rsidR="008A2EC9">
        <w:rPr>
          <w:color w:val="000000"/>
        </w:rPr>
        <w:t>n</w:t>
      </w:r>
      <w:r w:rsidR="008317CD">
        <w:rPr>
          <w:color w:val="000000"/>
        </w:rPr>
        <w:t xml:space="preserve"> Community</w:t>
      </w:r>
      <w:r w:rsidR="008A2EC9">
        <w:rPr>
          <w:color w:val="000000"/>
        </w:rPr>
        <w:t>,</w:t>
      </w:r>
      <w:r w:rsidRPr="00C8493C">
        <w:rPr>
          <w:color w:val="000000"/>
        </w:rPr>
        <w:t xml:space="preserve"> IFIs, the private sector</w:t>
      </w:r>
      <w:r w:rsidR="008270FC" w:rsidRPr="00C8493C">
        <w:rPr>
          <w:color w:val="000000"/>
        </w:rPr>
        <w:t xml:space="preserve"> and</w:t>
      </w:r>
      <w:r w:rsidRPr="00C8493C">
        <w:rPr>
          <w:color w:val="000000"/>
        </w:rPr>
        <w:t xml:space="preserve"> philanthropi</w:t>
      </w:r>
      <w:r w:rsidR="00C046A8" w:rsidRPr="00C8493C">
        <w:rPr>
          <w:color w:val="000000"/>
        </w:rPr>
        <w:t>c entities</w:t>
      </w:r>
      <w:r w:rsidRPr="00C8493C">
        <w:rPr>
          <w:color w:val="000000"/>
        </w:rPr>
        <w:t xml:space="preserve">. </w:t>
      </w:r>
    </w:p>
    <w:p w14:paraId="527015FF" w14:textId="77777777" w:rsidR="00C8493C" w:rsidRPr="007D1253" w:rsidRDefault="00C8493C" w:rsidP="00812104">
      <w:pPr>
        <w:pStyle w:val="ListParagraph"/>
        <w:ind w:left="1080" w:right="940"/>
        <w:rPr>
          <w:sz w:val="12"/>
          <w:szCs w:val="12"/>
        </w:rPr>
      </w:pPr>
    </w:p>
    <w:p w14:paraId="3108B2AD" w14:textId="6D89EC6D" w:rsidR="002765BC" w:rsidRPr="00C8493C" w:rsidRDefault="008A2EC9" w:rsidP="00812104">
      <w:pPr>
        <w:pStyle w:val="ListParagraph"/>
        <w:numPr>
          <w:ilvl w:val="0"/>
          <w:numId w:val="2"/>
        </w:numPr>
        <w:ind w:left="1080" w:right="940" w:firstLine="0"/>
        <w:jc w:val="both"/>
        <w:rPr>
          <w:color w:val="000000"/>
        </w:rPr>
      </w:pPr>
      <w:r>
        <w:t>T</w:t>
      </w:r>
      <w:r w:rsidR="00031615">
        <w:t xml:space="preserve">he </w:t>
      </w:r>
      <w:r w:rsidR="008317CD">
        <w:t>programme</w:t>
      </w:r>
      <w:r w:rsidR="00031615">
        <w:t xml:space="preserve"> </w:t>
      </w:r>
      <w:r w:rsidR="00A153D1">
        <w:t xml:space="preserve">will </w:t>
      </w:r>
      <w:r w:rsidR="00A153D1" w:rsidRPr="00730CD7">
        <w:t>employ</w:t>
      </w:r>
      <w:r w:rsidR="00BF5178">
        <w:t xml:space="preserve"> the MAPS approach to </w:t>
      </w:r>
      <w:r>
        <w:t xml:space="preserve">Sustainable Development Goal </w:t>
      </w:r>
      <w:r w:rsidR="002765BC" w:rsidRPr="00730CD7">
        <w:t xml:space="preserve">implementation </w:t>
      </w:r>
      <w:r w:rsidR="00031615">
        <w:t xml:space="preserve">across the </w:t>
      </w:r>
      <w:r w:rsidR="0012738C">
        <w:t>three</w:t>
      </w:r>
      <w:r w:rsidR="00031615">
        <w:t xml:space="preserve"> pillars</w:t>
      </w:r>
      <w:r w:rsidR="00AC753C">
        <w:t>.</w:t>
      </w:r>
      <w:r w:rsidR="00031615">
        <w:t xml:space="preserve"> </w:t>
      </w:r>
      <w:r w:rsidR="002765BC" w:rsidRPr="00C122DC">
        <w:t xml:space="preserve">The programme will assist in </w:t>
      </w:r>
      <w:r w:rsidR="002765BC" w:rsidRPr="00470866">
        <w:t>identifying</w:t>
      </w:r>
      <w:r w:rsidR="00BA3EAC">
        <w:t xml:space="preserve"> </w:t>
      </w:r>
      <w:r>
        <w:t>Goal</w:t>
      </w:r>
      <w:r w:rsidRPr="00470866">
        <w:t xml:space="preserve"> </w:t>
      </w:r>
      <w:r w:rsidR="002765BC" w:rsidRPr="00470866">
        <w:t xml:space="preserve">accelerators through monitoring and reporting </w:t>
      </w:r>
      <w:r w:rsidR="00365D2D">
        <w:t xml:space="preserve">on </w:t>
      </w:r>
      <w:r w:rsidR="002765BC" w:rsidRPr="00470866">
        <w:t xml:space="preserve">empirical data </w:t>
      </w:r>
      <w:r w:rsidR="00365D2D">
        <w:t xml:space="preserve">on </w:t>
      </w:r>
      <w:r w:rsidR="00365D2D" w:rsidRPr="00470866">
        <w:t>development</w:t>
      </w:r>
      <w:r w:rsidR="002765BC" w:rsidRPr="00470866">
        <w:t xml:space="preserve"> impact with focus on </w:t>
      </w:r>
      <w:r w:rsidR="00365D2D">
        <w:t xml:space="preserve">subnational </w:t>
      </w:r>
      <w:r w:rsidR="0012738C">
        <w:t>county-</w:t>
      </w:r>
      <w:r w:rsidR="002765BC" w:rsidRPr="00470866">
        <w:t>level</w:t>
      </w:r>
      <w:r w:rsidR="00365D2D">
        <w:t xml:space="preserve"> results</w:t>
      </w:r>
      <w:r w:rsidR="002765BC" w:rsidRPr="00470866">
        <w:t xml:space="preserve">. </w:t>
      </w:r>
    </w:p>
    <w:p w14:paraId="35BB64ED" w14:textId="60878926" w:rsidR="002765BC" w:rsidRDefault="002765BC" w:rsidP="00812104">
      <w:pPr>
        <w:ind w:left="1080" w:right="940"/>
        <w:jc w:val="both"/>
        <w:rPr>
          <w:color w:val="000000"/>
          <w:sz w:val="12"/>
          <w:szCs w:val="12"/>
        </w:rPr>
      </w:pPr>
    </w:p>
    <w:p w14:paraId="711B95E9" w14:textId="666B4881" w:rsidR="002765BC" w:rsidRPr="00EC1F59" w:rsidRDefault="008A2EC9" w:rsidP="00812104">
      <w:pPr>
        <w:ind w:left="1080" w:right="940"/>
        <w:jc w:val="both"/>
        <w:rPr>
          <w:b/>
          <w:color w:val="000000"/>
        </w:rPr>
      </w:pPr>
      <w:r>
        <w:rPr>
          <w:b/>
          <w:color w:val="000000"/>
        </w:rPr>
        <w:t>E</w:t>
      </w:r>
      <w:r w:rsidRPr="00EC1F59">
        <w:rPr>
          <w:b/>
          <w:color w:val="000000"/>
        </w:rPr>
        <w:t xml:space="preserve">nvironmental </w:t>
      </w:r>
      <w:r>
        <w:rPr>
          <w:b/>
          <w:color w:val="000000"/>
        </w:rPr>
        <w:t>s</w:t>
      </w:r>
      <w:r w:rsidRPr="00EC1F59">
        <w:rPr>
          <w:b/>
          <w:color w:val="000000"/>
        </w:rPr>
        <w:t>ustainability</w:t>
      </w:r>
      <w:r w:rsidR="002765BC" w:rsidRPr="00EC1F59">
        <w:rPr>
          <w:b/>
          <w:color w:val="000000"/>
        </w:rPr>
        <w:t xml:space="preserve">, </w:t>
      </w:r>
      <w:r>
        <w:rPr>
          <w:b/>
          <w:color w:val="000000"/>
        </w:rPr>
        <w:t>c</w:t>
      </w:r>
      <w:r w:rsidRPr="00EC1F59">
        <w:rPr>
          <w:b/>
          <w:color w:val="000000"/>
        </w:rPr>
        <w:t xml:space="preserve">limate </w:t>
      </w:r>
      <w:r>
        <w:rPr>
          <w:b/>
          <w:color w:val="000000"/>
        </w:rPr>
        <w:t>c</w:t>
      </w:r>
      <w:r w:rsidRPr="00EC1F59">
        <w:rPr>
          <w:b/>
          <w:color w:val="000000"/>
        </w:rPr>
        <w:t xml:space="preserve">hange </w:t>
      </w:r>
      <w:r w:rsidR="002765BC" w:rsidRPr="00EC1F59">
        <w:rPr>
          <w:b/>
          <w:color w:val="000000"/>
        </w:rPr>
        <w:t xml:space="preserve">and </w:t>
      </w:r>
      <w:r>
        <w:rPr>
          <w:b/>
          <w:color w:val="000000"/>
        </w:rPr>
        <w:t>r</w:t>
      </w:r>
      <w:r w:rsidRPr="00EC1F59">
        <w:rPr>
          <w:b/>
          <w:color w:val="000000"/>
        </w:rPr>
        <w:t>esilien</w:t>
      </w:r>
      <w:r>
        <w:rPr>
          <w:b/>
          <w:color w:val="000000"/>
        </w:rPr>
        <w:t>ce</w:t>
      </w:r>
    </w:p>
    <w:p w14:paraId="4A53063A" w14:textId="77777777" w:rsidR="002765BC" w:rsidRPr="007D1253" w:rsidRDefault="002765BC" w:rsidP="00812104">
      <w:pPr>
        <w:ind w:left="1080" w:right="940"/>
        <w:jc w:val="both"/>
        <w:rPr>
          <w:color w:val="000000"/>
          <w:sz w:val="12"/>
          <w:szCs w:val="12"/>
          <w:highlight w:val="yellow"/>
        </w:rPr>
      </w:pPr>
    </w:p>
    <w:p w14:paraId="6E22BF33" w14:textId="43AA133C" w:rsidR="00C8493C" w:rsidRDefault="008A2EC9" w:rsidP="00812104">
      <w:pPr>
        <w:pStyle w:val="ListParagraph"/>
        <w:numPr>
          <w:ilvl w:val="0"/>
          <w:numId w:val="2"/>
        </w:numPr>
        <w:ind w:left="1080" w:right="940" w:firstLine="0"/>
        <w:jc w:val="both"/>
        <w:rPr>
          <w:color w:val="000000"/>
        </w:rPr>
      </w:pPr>
      <w:r>
        <w:rPr>
          <w:color w:val="000000"/>
        </w:rPr>
        <w:t>This p</w:t>
      </w:r>
      <w:r w:rsidR="007B6F8D">
        <w:rPr>
          <w:color w:val="000000"/>
        </w:rPr>
        <w:t xml:space="preserve">illar </w:t>
      </w:r>
      <w:r w:rsidR="00AD36E4">
        <w:rPr>
          <w:color w:val="000000"/>
        </w:rPr>
        <w:t>aims to</w:t>
      </w:r>
      <w:r w:rsidR="008C054B">
        <w:rPr>
          <w:color w:val="000000"/>
        </w:rPr>
        <w:t xml:space="preserve"> </w:t>
      </w:r>
      <w:r w:rsidR="006A7BFA" w:rsidRPr="005841BE">
        <w:rPr>
          <w:color w:val="000000"/>
        </w:rPr>
        <w:t xml:space="preserve">strengthen environmental governance </w:t>
      </w:r>
      <w:r w:rsidR="000B1B59">
        <w:rPr>
          <w:color w:val="000000"/>
        </w:rPr>
        <w:t>by p</w:t>
      </w:r>
      <w:r w:rsidR="006A7BFA" w:rsidRPr="005841BE">
        <w:rPr>
          <w:color w:val="000000"/>
        </w:rPr>
        <w:t>artnering with</w:t>
      </w:r>
      <w:r w:rsidR="006A7BFA" w:rsidRPr="00E308EE">
        <w:rPr>
          <w:color w:val="000000"/>
        </w:rPr>
        <w:t xml:space="preserve"> </w:t>
      </w:r>
      <w:r>
        <w:rPr>
          <w:color w:val="000000"/>
        </w:rPr>
        <w:t>the United Nations Environment Programme</w:t>
      </w:r>
      <w:r w:rsidR="00AE0AF5" w:rsidRPr="00E308EE">
        <w:rPr>
          <w:color w:val="000000"/>
        </w:rPr>
        <w:t>, the</w:t>
      </w:r>
      <w:r w:rsidR="006A7BFA" w:rsidRPr="00E308EE">
        <w:rPr>
          <w:color w:val="000000"/>
        </w:rPr>
        <w:t xml:space="preserve"> Global Environment Facility and partners including USAID, DFID</w:t>
      </w:r>
      <w:r w:rsidR="00151737">
        <w:rPr>
          <w:color w:val="000000"/>
        </w:rPr>
        <w:t>.</w:t>
      </w:r>
      <w:r w:rsidR="006A7BFA" w:rsidRPr="00E308EE">
        <w:rPr>
          <w:color w:val="000000"/>
        </w:rPr>
        <w:t xml:space="preserve"> </w:t>
      </w:r>
      <w:r w:rsidR="006A7BFA" w:rsidRPr="00C122DC">
        <w:rPr>
          <w:color w:val="000000"/>
        </w:rPr>
        <w:t xml:space="preserve">UNDP will </w:t>
      </w:r>
      <w:r w:rsidR="008C054B">
        <w:rPr>
          <w:color w:val="000000"/>
        </w:rPr>
        <w:t>work with</w:t>
      </w:r>
      <w:r w:rsidR="001E3C35">
        <w:rPr>
          <w:color w:val="000000"/>
        </w:rPr>
        <w:t xml:space="preserve"> </w:t>
      </w:r>
      <w:r>
        <w:rPr>
          <w:color w:val="000000"/>
        </w:rPr>
        <w:t>the G</w:t>
      </w:r>
      <w:r w:rsidRPr="00C122DC">
        <w:rPr>
          <w:color w:val="000000"/>
        </w:rPr>
        <w:t xml:space="preserve">overnment </w:t>
      </w:r>
      <w:r w:rsidR="006A7BFA" w:rsidRPr="00C122DC">
        <w:rPr>
          <w:color w:val="000000"/>
        </w:rPr>
        <w:t xml:space="preserve">to </w:t>
      </w:r>
      <w:r w:rsidR="008C054B">
        <w:rPr>
          <w:color w:val="000000"/>
        </w:rPr>
        <w:t xml:space="preserve">improve </w:t>
      </w:r>
      <w:r w:rsidR="008C054B" w:rsidRPr="00470866">
        <w:rPr>
          <w:color w:val="000000"/>
        </w:rPr>
        <w:t>the</w:t>
      </w:r>
      <w:r w:rsidR="008C054B">
        <w:rPr>
          <w:color w:val="000000"/>
        </w:rPr>
        <w:t xml:space="preserve"> </w:t>
      </w:r>
      <w:r w:rsidR="006A7BFA" w:rsidRPr="00470866">
        <w:rPr>
          <w:color w:val="000000"/>
        </w:rPr>
        <w:t xml:space="preserve">policy, legal and institutional frameworks for sustainable </w:t>
      </w:r>
      <w:r w:rsidR="000B1B59">
        <w:rPr>
          <w:color w:val="000000"/>
        </w:rPr>
        <w:t xml:space="preserve">use and </w:t>
      </w:r>
      <w:r w:rsidR="006A7BFA" w:rsidRPr="00470866">
        <w:rPr>
          <w:color w:val="000000"/>
        </w:rPr>
        <w:t xml:space="preserve">management of environment and natural resources; and transformation to a green economy. </w:t>
      </w:r>
      <w:r w:rsidR="00AD36E4">
        <w:rPr>
          <w:color w:val="000000"/>
        </w:rPr>
        <w:t>In</w:t>
      </w:r>
      <w:r w:rsidR="00AD36E4" w:rsidRPr="00EC1F59">
        <w:rPr>
          <w:color w:val="000000"/>
        </w:rPr>
        <w:t xml:space="preserve"> </w:t>
      </w:r>
      <w:r w:rsidR="00AD36E4">
        <w:rPr>
          <w:color w:val="000000"/>
        </w:rPr>
        <w:t xml:space="preserve">alignment </w:t>
      </w:r>
      <w:r w:rsidR="00AD36E4" w:rsidRPr="00EC1F59">
        <w:rPr>
          <w:color w:val="000000"/>
        </w:rPr>
        <w:t xml:space="preserve">with </w:t>
      </w:r>
      <w:r w:rsidR="00AD36E4" w:rsidRPr="000B1661">
        <w:rPr>
          <w:color w:val="000000"/>
        </w:rPr>
        <w:t xml:space="preserve">UNDP Signature </w:t>
      </w:r>
      <w:r>
        <w:rPr>
          <w:color w:val="000000"/>
        </w:rPr>
        <w:t>S</w:t>
      </w:r>
      <w:r w:rsidRPr="000B1661">
        <w:rPr>
          <w:color w:val="000000"/>
        </w:rPr>
        <w:t xml:space="preserve">olution </w:t>
      </w:r>
      <w:r w:rsidR="00AD36E4" w:rsidRPr="000B1661">
        <w:rPr>
          <w:color w:val="000000"/>
        </w:rPr>
        <w:t>5</w:t>
      </w:r>
      <w:r w:rsidR="000B1B59">
        <w:rPr>
          <w:color w:val="000000"/>
        </w:rPr>
        <w:t xml:space="preserve">, </w:t>
      </w:r>
      <w:r w:rsidR="00151737">
        <w:rPr>
          <w:color w:val="000000"/>
        </w:rPr>
        <w:t>c</w:t>
      </w:r>
      <w:r w:rsidR="00AD36E4" w:rsidRPr="000B1661">
        <w:rPr>
          <w:color w:val="000000"/>
        </w:rPr>
        <w:t>lose the energy gap</w:t>
      </w:r>
      <w:r>
        <w:rPr>
          <w:color w:val="000000"/>
        </w:rPr>
        <w:t>,</w:t>
      </w:r>
      <w:r w:rsidR="00D07EA9" w:rsidRPr="000B1661">
        <w:rPr>
          <w:color w:val="000000"/>
        </w:rPr>
        <w:t xml:space="preserve"> and </w:t>
      </w:r>
      <w:r>
        <w:rPr>
          <w:color w:val="000000"/>
        </w:rPr>
        <w:t>Sustainable Development Goal</w:t>
      </w:r>
      <w:r w:rsidRPr="000B1661">
        <w:rPr>
          <w:color w:val="000000"/>
        </w:rPr>
        <w:t xml:space="preserve"> </w:t>
      </w:r>
      <w:r w:rsidR="00D07EA9" w:rsidRPr="000B1661">
        <w:rPr>
          <w:color w:val="000000"/>
        </w:rPr>
        <w:t>7</w:t>
      </w:r>
      <w:r w:rsidR="00AD36E4" w:rsidRPr="008A2EC9">
        <w:rPr>
          <w:color w:val="000000"/>
        </w:rPr>
        <w:t>,</w:t>
      </w:r>
      <w:r w:rsidR="006A7BFA" w:rsidRPr="008A2EC9">
        <w:rPr>
          <w:color w:val="000000"/>
        </w:rPr>
        <w:t xml:space="preserve"> </w:t>
      </w:r>
      <w:r w:rsidR="006A7BFA" w:rsidRPr="00470866">
        <w:rPr>
          <w:color w:val="000000"/>
        </w:rPr>
        <w:t>UNDP will optimize opportunit</w:t>
      </w:r>
      <w:r w:rsidR="00E95C91">
        <w:rPr>
          <w:color w:val="000000"/>
        </w:rPr>
        <w:t>ies</w:t>
      </w:r>
      <w:r w:rsidR="006A7BFA" w:rsidRPr="00470866">
        <w:rPr>
          <w:color w:val="000000"/>
        </w:rPr>
        <w:t xml:space="preserve"> </w:t>
      </w:r>
      <w:r w:rsidR="00AE0AF5" w:rsidRPr="00B81808">
        <w:rPr>
          <w:color w:val="000000"/>
        </w:rPr>
        <w:t>to</w:t>
      </w:r>
      <w:r w:rsidR="006A7BFA" w:rsidRPr="00B81808">
        <w:rPr>
          <w:color w:val="000000"/>
        </w:rPr>
        <w:t xml:space="preserve"> support </w:t>
      </w:r>
      <w:r w:rsidRPr="00B81808">
        <w:rPr>
          <w:color w:val="000000"/>
        </w:rPr>
        <w:t>climate</w:t>
      </w:r>
      <w:r>
        <w:rPr>
          <w:color w:val="000000"/>
        </w:rPr>
        <w:t>-</w:t>
      </w:r>
      <w:r w:rsidR="008C054B">
        <w:rPr>
          <w:color w:val="000000"/>
        </w:rPr>
        <w:t xml:space="preserve">smart </w:t>
      </w:r>
      <w:r w:rsidR="008317CD">
        <w:rPr>
          <w:color w:val="000000"/>
        </w:rPr>
        <w:t>economic</w:t>
      </w:r>
      <w:r w:rsidR="008C054B">
        <w:rPr>
          <w:color w:val="000000"/>
        </w:rPr>
        <w:t xml:space="preserve"> </w:t>
      </w:r>
      <w:r w:rsidR="006A7BFA" w:rsidRPr="00B81808">
        <w:rPr>
          <w:color w:val="000000"/>
        </w:rPr>
        <w:t>pathways for improved livelihoods and resilience</w:t>
      </w:r>
      <w:r w:rsidR="008317CD">
        <w:rPr>
          <w:color w:val="000000"/>
        </w:rPr>
        <w:t>,</w:t>
      </w:r>
      <w:r w:rsidR="00AD36E4">
        <w:rPr>
          <w:color w:val="000000"/>
        </w:rPr>
        <w:t xml:space="preserve"> supporting </w:t>
      </w:r>
      <w:r w:rsidR="008C054B">
        <w:rPr>
          <w:color w:val="000000"/>
        </w:rPr>
        <w:t xml:space="preserve">initiatives </w:t>
      </w:r>
      <w:r w:rsidR="006A7BFA" w:rsidRPr="00EC1F59">
        <w:rPr>
          <w:color w:val="000000"/>
        </w:rPr>
        <w:t xml:space="preserve">to improve access to renewable energy for off-grid households </w:t>
      </w:r>
      <w:r w:rsidR="00B27B78">
        <w:rPr>
          <w:color w:val="000000"/>
        </w:rPr>
        <w:t>targeting r</w:t>
      </w:r>
      <w:r w:rsidR="006A7BFA" w:rsidRPr="00EC1F59">
        <w:rPr>
          <w:color w:val="000000"/>
        </w:rPr>
        <w:t>ur</w:t>
      </w:r>
      <w:r w:rsidR="006A7BFA" w:rsidRPr="005841BE">
        <w:rPr>
          <w:color w:val="000000"/>
        </w:rPr>
        <w:t>al</w:t>
      </w:r>
      <w:r w:rsidR="008317CD">
        <w:rPr>
          <w:color w:val="000000"/>
        </w:rPr>
        <w:t xml:space="preserve"> and </w:t>
      </w:r>
      <w:r>
        <w:rPr>
          <w:color w:val="000000"/>
        </w:rPr>
        <w:t>female-</w:t>
      </w:r>
      <w:r w:rsidR="008317CD">
        <w:rPr>
          <w:color w:val="000000"/>
        </w:rPr>
        <w:t>headed</w:t>
      </w:r>
      <w:r w:rsidR="006A7BFA" w:rsidRPr="005841BE">
        <w:rPr>
          <w:color w:val="000000"/>
        </w:rPr>
        <w:t xml:space="preserve"> households that depend primarily on biomass for energy needs</w:t>
      </w:r>
      <w:r w:rsidR="00B27B78">
        <w:rPr>
          <w:color w:val="000000"/>
        </w:rPr>
        <w:t xml:space="preserve">. </w:t>
      </w:r>
      <w:r w:rsidR="006A7BFA" w:rsidRPr="005841BE">
        <w:rPr>
          <w:color w:val="000000"/>
        </w:rPr>
        <w:t xml:space="preserve"> </w:t>
      </w:r>
    </w:p>
    <w:p w14:paraId="238D7FC8" w14:textId="2BFD16FB" w:rsidR="00C8493C" w:rsidRDefault="008C054B" w:rsidP="00812104">
      <w:pPr>
        <w:pStyle w:val="ListParagraph"/>
        <w:numPr>
          <w:ilvl w:val="0"/>
          <w:numId w:val="2"/>
        </w:numPr>
        <w:ind w:left="1080" w:right="940" w:firstLine="0"/>
        <w:jc w:val="both"/>
        <w:rPr>
          <w:color w:val="000000"/>
        </w:rPr>
      </w:pPr>
      <w:r w:rsidRPr="00C8493C">
        <w:rPr>
          <w:color w:val="000000"/>
        </w:rPr>
        <w:lastRenderedPageBreak/>
        <w:t xml:space="preserve">In line with </w:t>
      </w:r>
      <w:r w:rsidRPr="000B1661">
        <w:rPr>
          <w:color w:val="000000"/>
        </w:rPr>
        <w:t xml:space="preserve">UNDP Signature </w:t>
      </w:r>
      <w:r w:rsidR="006A0FF2">
        <w:rPr>
          <w:color w:val="000000"/>
        </w:rPr>
        <w:t>S</w:t>
      </w:r>
      <w:r w:rsidR="006A0FF2" w:rsidRPr="000B1661">
        <w:rPr>
          <w:color w:val="000000"/>
        </w:rPr>
        <w:t xml:space="preserve">olution </w:t>
      </w:r>
      <w:r w:rsidRPr="000B1661">
        <w:rPr>
          <w:color w:val="000000"/>
        </w:rPr>
        <w:t>3</w:t>
      </w:r>
      <w:r w:rsidR="006A0FF2">
        <w:rPr>
          <w:color w:val="000000"/>
        </w:rPr>
        <w:t>,</w:t>
      </w:r>
      <w:r w:rsidR="006A0FF2" w:rsidRPr="000B1661">
        <w:rPr>
          <w:color w:val="000000"/>
        </w:rPr>
        <w:t xml:space="preserve"> </w:t>
      </w:r>
      <w:r w:rsidR="00151737">
        <w:rPr>
          <w:color w:val="000000"/>
        </w:rPr>
        <w:t>e</w:t>
      </w:r>
      <w:r w:rsidR="006A0FF2" w:rsidRPr="000B1661">
        <w:rPr>
          <w:color w:val="000000"/>
        </w:rPr>
        <w:t xml:space="preserve">nhance </w:t>
      </w:r>
      <w:r w:rsidRPr="000B1661">
        <w:rPr>
          <w:color w:val="000000"/>
        </w:rPr>
        <w:t>prevention and recovery for resilient societies</w:t>
      </w:r>
      <w:r w:rsidR="00D07EA9" w:rsidRPr="000B1661">
        <w:rPr>
          <w:color w:val="000000"/>
        </w:rPr>
        <w:t xml:space="preserve"> and </w:t>
      </w:r>
      <w:r w:rsidR="006A0FF2">
        <w:rPr>
          <w:color w:val="000000"/>
        </w:rPr>
        <w:t xml:space="preserve">Sustainable Development Goals </w:t>
      </w:r>
      <w:r w:rsidR="006A0FF2" w:rsidRPr="000B1661">
        <w:rPr>
          <w:color w:val="000000"/>
        </w:rPr>
        <w:t xml:space="preserve">12 </w:t>
      </w:r>
      <w:r w:rsidR="006A0FF2">
        <w:rPr>
          <w:color w:val="000000"/>
        </w:rPr>
        <w:t>and 13</w:t>
      </w:r>
      <w:r w:rsidRPr="000B1661">
        <w:rPr>
          <w:color w:val="000000"/>
        </w:rPr>
        <w:t>,</w:t>
      </w:r>
      <w:r w:rsidRPr="009C3007">
        <w:rPr>
          <w:b/>
          <w:color w:val="000000"/>
        </w:rPr>
        <w:t xml:space="preserve"> </w:t>
      </w:r>
      <w:r w:rsidRPr="009C3007">
        <w:rPr>
          <w:color w:val="000000"/>
        </w:rPr>
        <w:t>t</w:t>
      </w:r>
      <w:r w:rsidR="006A7BFA" w:rsidRPr="009C3007">
        <w:rPr>
          <w:color w:val="000000"/>
        </w:rPr>
        <w:t>o mitigate environmental degradation, loss of biodiversity and build communit</w:t>
      </w:r>
      <w:r w:rsidRPr="009C3007">
        <w:rPr>
          <w:color w:val="000000"/>
        </w:rPr>
        <w:t>y</w:t>
      </w:r>
      <w:r w:rsidR="006A7BFA" w:rsidRPr="009C3007">
        <w:rPr>
          <w:color w:val="000000"/>
        </w:rPr>
        <w:t xml:space="preserve"> resilience, UNDP will </w:t>
      </w:r>
      <w:r w:rsidRPr="009C3007">
        <w:rPr>
          <w:color w:val="000000"/>
        </w:rPr>
        <w:t>promote</w:t>
      </w:r>
      <w:r w:rsidR="006A7BFA" w:rsidRPr="009C3007">
        <w:rPr>
          <w:color w:val="000000"/>
        </w:rPr>
        <w:t xml:space="preserve"> </w:t>
      </w:r>
      <w:r w:rsidR="00B27B78" w:rsidRPr="009C3007">
        <w:rPr>
          <w:color w:val="000000"/>
        </w:rPr>
        <w:t>the</w:t>
      </w:r>
      <w:r w:rsidR="006A7BFA" w:rsidRPr="009C3007">
        <w:rPr>
          <w:color w:val="000000"/>
        </w:rPr>
        <w:t xml:space="preserve"> sustainable use and management of </w:t>
      </w:r>
      <w:r w:rsidR="00184F43" w:rsidRPr="009C3007">
        <w:rPr>
          <w:color w:val="000000"/>
        </w:rPr>
        <w:t>wildlife</w:t>
      </w:r>
      <w:r w:rsidR="00184F43" w:rsidRPr="00C8493C">
        <w:rPr>
          <w:color w:val="000000"/>
        </w:rPr>
        <w:t xml:space="preserve"> </w:t>
      </w:r>
      <w:r w:rsidR="00AD36E4" w:rsidRPr="00C8493C">
        <w:rPr>
          <w:color w:val="000000"/>
        </w:rPr>
        <w:t xml:space="preserve">and </w:t>
      </w:r>
      <w:r w:rsidR="006A7BFA" w:rsidRPr="00C8493C">
        <w:rPr>
          <w:color w:val="000000"/>
        </w:rPr>
        <w:t>natural resources through gendered climate change mitigation and adaptation measures</w:t>
      </w:r>
      <w:r w:rsidRPr="00C8493C">
        <w:rPr>
          <w:color w:val="000000"/>
        </w:rPr>
        <w:t xml:space="preserve">. </w:t>
      </w:r>
      <w:r w:rsidR="001D3D51">
        <w:rPr>
          <w:color w:val="000000"/>
        </w:rPr>
        <w:t>UNDP</w:t>
      </w:r>
      <w:r w:rsidR="001D3D51" w:rsidRPr="00C8493C">
        <w:rPr>
          <w:color w:val="000000"/>
        </w:rPr>
        <w:t xml:space="preserve"> </w:t>
      </w:r>
      <w:r w:rsidRPr="00C8493C">
        <w:rPr>
          <w:color w:val="000000"/>
        </w:rPr>
        <w:t xml:space="preserve">will offer </w:t>
      </w:r>
      <w:r w:rsidR="006A7BFA" w:rsidRPr="00C8493C">
        <w:rPr>
          <w:color w:val="000000"/>
        </w:rPr>
        <w:t>upstream advisory support</w:t>
      </w:r>
      <w:r w:rsidR="00B27B78" w:rsidRPr="00C8493C">
        <w:rPr>
          <w:color w:val="000000"/>
        </w:rPr>
        <w:t xml:space="preserve"> </w:t>
      </w:r>
      <w:r w:rsidRPr="00C8493C">
        <w:rPr>
          <w:color w:val="000000"/>
        </w:rPr>
        <w:t xml:space="preserve">for </w:t>
      </w:r>
      <w:r w:rsidR="006A7BFA" w:rsidRPr="00C8493C">
        <w:rPr>
          <w:color w:val="000000"/>
        </w:rPr>
        <w:t>natural resource governance to mitiga</w:t>
      </w:r>
      <w:r w:rsidR="001E3C35">
        <w:rPr>
          <w:color w:val="000000"/>
        </w:rPr>
        <w:t>te conflict and boost community</w:t>
      </w:r>
      <w:r w:rsidR="006A7BFA" w:rsidRPr="00C8493C">
        <w:rPr>
          <w:color w:val="000000"/>
        </w:rPr>
        <w:t xml:space="preserve"> resilience to climate shocks</w:t>
      </w:r>
      <w:r w:rsidR="006A0FF2">
        <w:rPr>
          <w:color w:val="000000"/>
        </w:rPr>
        <w:t>,</w:t>
      </w:r>
      <w:r w:rsidRPr="00C8493C">
        <w:rPr>
          <w:color w:val="000000"/>
        </w:rPr>
        <w:t xml:space="preserve"> </w:t>
      </w:r>
      <w:r w:rsidR="006A7BFA" w:rsidRPr="00C8493C">
        <w:rPr>
          <w:color w:val="000000"/>
        </w:rPr>
        <w:t xml:space="preserve">work with local communities </w:t>
      </w:r>
      <w:r w:rsidR="006A7BFA" w:rsidRPr="009C3007">
        <w:rPr>
          <w:color w:val="000000"/>
        </w:rPr>
        <w:t xml:space="preserve">in western and </w:t>
      </w:r>
      <w:bookmarkStart w:id="3" w:name="_Hlk506911074"/>
      <w:r w:rsidR="006A7BFA" w:rsidRPr="009C3007">
        <w:rPr>
          <w:color w:val="000000"/>
        </w:rPr>
        <w:t>south</w:t>
      </w:r>
      <w:r w:rsidR="006A0FF2">
        <w:rPr>
          <w:color w:val="000000"/>
        </w:rPr>
        <w:t>-</w:t>
      </w:r>
      <w:r w:rsidR="006A7BFA" w:rsidRPr="009C3007">
        <w:rPr>
          <w:color w:val="000000"/>
        </w:rPr>
        <w:t xml:space="preserve">western </w:t>
      </w:r>
      <w:r w:rsidR="008317CD" w:rsidRPr="009C3007">
        <w:rPr>
          <w:color w:val="000000"/>
        </w:rPr>
        <w:t>Kenya</w:t>
      </w:r>
      <w:bookmarkEnd w:id="3"/>
      <w:r w:rsidR="00B27B78" w:rsidRPr="009C3007">
        <w:rPr>
          <w:color w:val="000000"/>
        </w:rPr>
        <w:t xml:space="preserve"> </w:t>
      </w:r>
      <w:r w:rsidR="006A7BFA" w:rsidRPr="009C3007">
        <w:rPr>
          <w:color w:val="000000"/>
        </w:rPr>
        <w:t xml:space="preserve">to initiate “climate-proof” livelihood </w:t>
      </w:r>
      <w:r w:rsidR="00C90604" w:rsidRPr="009C3007">
        <w:rPr>
          <w:color w:val="000000"/>
        </w:rPr>
        <w:t xml:space="preserve">and </w:t>
      </w:r>
      <w:r w:rsidR="00AD36E4" w:rsidRPr="009C3007">
        <w:rPr>
          <w:color w:val="000000"/>
        </w:rPr>
        <w:t xml:space="preserve">food security </w:t>
      </w:r>
      <w:r w:rsidR="006A7BFA" w:rsidRPr="009C3007">
        <w:rPr>
          <w:color w:val="000000"/>
        </w:rPr>
        <w:t xml:space="preserve">interventions and promote fair distribution of benefits from </w:t>
      </w:r>
      <w:r w:rsidR="008317CD" w:rsidRPr="009C3007">
        <w:rPr>
          <w:color w:val="000000"/>
        </w:rPr>
        <w:t>oil and mineral extractives</w:t>
      </w:r>
      <w:r w:rsidR="006A7BFA" w:rsidRPr="009C3007">
        <w:rPr>
          <w:color w:val="000000"/>
        </w:rPr>
        <w:t xml:space="preserve"> exploitation</w:t>
      </w:r>
      <w:r w:rsidR="008317CD" w:rsidRPr="009C3007">
        <w:rPr>
          <w:color w:val="000000"/>
        </w:rPr>
        <w:t>.</w:t>
      </w:r>
      <w:r w:rsidR="006A7BFA" w:rsidRPr="009C3007">
        <w:t xml:space="preserve"> </w:t>
      </w:r>
      <w:r w:rsidR="001E3C35" w:rsidRPr="009C3007">
        <w:rPr>
          <w:color w:val="000000"/>
        </w:rPr>
        <w:t>UNDP will support g</w:t>
      </w:r>
      <w:r w:rsidR="006A7BFA" w:rsidRPr="009C3007">
        <w:rPr>
          <w:color w:val="000000"/>
        </w:rPr>
        <w:t xml:space="preserve">overnment efforts to </w:t>
      </w:r>
      <w:r w:rsidR="00B27B78" w:rsidRPr="009C3007">
        <w:rPr>
          <w:color w:val="000000"/>
        </w:rPr>
        <w:t xml:space="preserve">scale </w:t>
      </w:r>
      <w:r w:rsidR="006A0FF2">
        <w:rPr>
          <w:color w:val="000000"/>
        </w:rPr>
        <w:t xml:space="preserve">up </w:t>
      </w:r>
      <w:r w:rsidR="00884828" w:rsidRPr="009C3007">
        <w:rPr>
          <w:color w:val="000000"/>
        </w:rPr>
        <w:t xml:space="preserve">a </w:t>
      </w:r>
      <w:r w:rsidR="00151737">
        <w:rPr>
          <w:color w:val="000000"/>
        </w:rPr>
        <w:t>“</w:t>
      </w:r>
      <w:r w:rsidR="00884828" w:rsidRPr="009C3007">
        <w:rPr>
          <w:color w:val="000000"/>
        </w:rPr>
        <w:t>blue</w:t>
      </w:r>
      <w:r w:rsidR="00151737">
        <w:rPr>
          <w:color w:val="000000"/>
        </w:rPr>
        <w:t>”</w:t>
      </w:r>
      <w:r w:rsidR="00884828" w:rsidRPr="009C3007">
        <w:rPr>
          <w:color w:val="000000"/>
        </w:rPr>
        <w:t xml:space="preserve"> </w:t>
      </w:r>
      <w:r w:rsidR="006A7BFA" w:rsidRPr="009C3007">
        <w:rPr>
          <w:color w:val="000000"/>
        </w:rPr>
        <w:t>econom</w:t>
      </w:r>
      <w:r w:rsidR="00884828" w:rsidRPr="009C3007">
        <w:rPr>
          <w:color w:val="000000"/>
        </w:rPr>
        <w:t>y</w:t>
      </w:r>
      <w:r w:rsidR="006A7BFA" w:rsidRPr="009C3007">
        <w:rPr>
          <w:color w:val="000000"/>
        </w:rPr>
        <w:t xml:space="preserve"> </w:t>
      </w:r>
      <w:r w:rsidR="00B27B78" w:rsidRPr="009C3007">
        <w:rPr>
          <w:color w:val="000000"/>
        </w:rPr>
        <w:t xml:space="preserve">in </w:t>
      </w:r>
      <w:r w:rsidR="006A7BFA" w:rsidRPr="009C3007">
        <w:rPr>
          <w:color w:val="000000"/>
        </w:rPr>
        <w:t>coastal communities</w:t>
      </w:r>
      <w:r w:rsidR="00884828" w:rsidRPr="009C3007">
        <w:rPr>
          <w:color w:val="000000"/>
        </w:rPr>
        <w:t>; and fa</w:t>
      </w:r>
      <w:r w:rsidR="006A7BFA" w:rsidRPr="009C3007">
        <w:rPr>
          <w:color w:val="000000"/>
        </w:rPr>
        <w:t xml:space="preserve">cilitate </w:t>
      </w:r>
      <w:r w:rsidR="006A0FF2">
        <w:rPr>
          <w:color w:val="000000"/>
        </w:rPr>
        <w:t>South-South and triangular cooperation</w:t>
      </w:r>
      <w:r w:rsidR="006A0FF2" w:rsidRPr="009C3007">
        <w:rPr>
          <w:color w:val="000000"/>
        </w:rPr>
        <w:t xml:space="preserve"> </w:t>
      </w:r>
      <w:r w:rsidR="006A7BFA" w:rsidRPr="009C3007">
        <w:rPr>
          <w:color w:val="000000"/>
        </w:rPr>
        <w:t>with the neighbo</w:t>
      </w:r>
      <w:r w:rsidR="006A0FF2">
        <w:rPr>
          <w:color w:val="000000"/>
        </w:rPr>
        <w:t>u</w:t>
      </w:r>
      <w:r w:rsidR="006A7BFA" w:rsidRPr="009C3007">
        <w:rPr>
          <w:color w:val="000000"/>
        </w:rPr>
        <w:t xml:space="preserve">ring coastal and island </w:t>
      </w:r>
      <w:r w:rsidR="006A0FF2">
        <w:rPr>
          <w:color w:val="000000"/>
        </w:rPr>
        <w:t>S</w:t>
      </w:r>
      <w:r w:rsidR="006A0FF2" w:rsidRPr="009C3007">
        <w:rPr>
          <w:color w:val="000000"/>
        </w:rPr>
        <w:t xml:space="preserve">tates </w:t>
      </w:r>
      <w:r w:rsidR="006A7BFA" w:rsidRPr="009C3007">
        <w:rPr>
          <w:color w:val="000000"/>
        </w:rPr>
        <w:t xml:space="preserve">to benefit from ecosystem goods and services </w:t>
      </w:r>
      <w:r w:rsidR="00294800" w:rsidRPr="009C3007">
        <w:rPr>
          <w:color w:val="000000"/>
        </w:rPr>
        <w:t xml:space="preserve">to address </w:t>
      </w:r>
      <w:r w:rsidR="00184F43" w:rsidRPr="009C3007">
        <w:rPr>
          <w:color w:val="000000"/>
        </w:rPr>
        <w:t xml:space="preserve">biodiversity, </w:t>
      </w:r>
      <w:r w:rsidR="00294800" w:rsidRPr="009C3007">
        <w:rPr>
          <w:color w:val="000000"/>
        </w:rPr>
        <w:t xml:space="preserve">ocean acidification and coral bleaching </w:t>
      </w:r>
      <w:r w:rsidR="006A7BFA" w:rsidRPr="009C3007">
        <w:rPr>
          <w:color w:val="000000"/>
        </w:rPr>
        <w:t>supported</w:t>
      </w:r>
      <w:r w:rsidR="006A7BFA" w:rsidRPr="00C8493C">
        <w:rPr>
          <w:color w:val="000000"/>
        </w:rPr>
        <w:t xml:space="preserve"> by the Western Indian Ocean Large Marine Ecosystem</w:t>
      </w:r>
      <w:r w:rsidR="00294800" w:rsidRPr="00C8493C">
        <w:rPr>
          <w:color w:val="000000"/>
        </w:rPr>
        <w:t xml:space="preserve">. </w:t>
      </w:r>
      <w:r w:rsidR="006A7BFA" w:rsidRPr="00C8493C">
        <w:rPr>
          <w:color w:val="000000"/>
        </w:rPr>
        <w:t xml:space="preserve">  </w:t>
      </w:r>
    </w:p>
    <w:p w14:paraId="066BF0EE" w14:textId="77777777" w:rsidR="00C8493C" w:rsidRPr="007D1253" w:rsidRDefault="00C8493C" w:rsidP="00812104">
      <w:pPr>
        <w:pStyle w:val="ListParagraph"/>
        <w:ind w:left="1080" w:right="940"/>
        <w:rPr>
          <w:color w:val="000000"/>
          <w:sz w:val="12"/>
          <w:szCs w:val="12"/>
        </w:rPr>
      </w:pPr>
    </w:p>
    <w:p w14:paraId="760682B2" w14:textId="13A63BF7" w:rsidR="00C8493C" w:rsidRDefault="002D430F" w:rsidP="00812104">
      <w:pPr>
        <w:pStyle w:val="ListParagraph"/>
        <w:numPr>
          <w:ilvl w:val="0"/>
          <w:numId w:val="2"/>
        </w:numPr>
        <w:ind w:left="1080" w:right="940" w:firstLine="0"/>
        <w:jc w:val="both"/>
        <w:rPr>
          <w:color w:val="000000"/>
        </w:rPr>
      </w:pPr>
      <w:r w:rsidRPr="00C8493C">
        <w:rPr>
          <w:color w:val="000000"/>
        </w:rPr>
        <w:t>UNDP will partner with the National Drought Management Authority, National Disaster Operation Centre and National Disaster Management Unit and collaborat</w:t>
      </w:r>
      <w:r w:rsidR="008F3A2A">
        <w:rPr>
          <w:color w:val="000000"/>
        </w:rPr>
        <w:t xml:space="preserve">e </w:t>
      </w:r>
      <w:r w:rsidRPr="00C8493C">
        <w:rPr>
          <w:color w:val="000000"/>
        </w:rPr>
        <w:t xml:space="preserve">with </w:t>
      </w:r>
      <w:r w:rsidR="008F3A2A">
        <w:rPr>
          <w:color w:val="000000"/>
        </w:rPr>
        <w:t xml:space="preserve">sister </w:t>
      </w:r>
      <w:r w:rsidRPr="00C8493C">
        <w:rPr>
          <w:color w:val="000000"/>
        </w:rPr>
        <w:t xml:space="preserve">agencies including </w:t>
      </w:r>
      <w:r w:rsidR="006A0FF2" w:rsidRPr="00C8493C">
        <w:rPr>
          <w:color w:val="000000"/>
        </w:rPr>
        <w:t>UN</w:t>
      </w:r>
      <w:r w:rsidR="006A0FF2">
        <w:rPr>
          <w:color w:val="000000"/>
        </w:rPr>
        <w:t>-</w:t>
      </w:r>
      <w:r w:rsidRPr="00C8493C">
        <w:rPr>
          <w:color w:val="000000"/>
        </w:rPr>
        <w:t>Women</w:t>
      </w:r>
      <w:r w:rsidR="00331ECB" w:rsidRPr="00C8493C">
        <w:rPr>
          <w:color w:val="000000"/>
        </w:rPr>
        <w:t xml:space="preserve"> t</w:t>
      </w:r>
      <w:r w:rsidR="00C90604" w:rsidRPr="00C8493C">
        <w:rPr>
          <w:color w:val="000000"/>
        </w:rPr>
        <w:t xml:space="preserve">o promote disaster risk reduction </w:t>
      </w:r>
      <w:r w:rsidRPr="00C8493C">
        <w:rPr>
          <w:color w:val="000000"/>
        </w:rPr>
        <w:t>resilience</w:t>
      </w:r>
      <w:r w:rsidR="00C90604" w:rsidRPr="00C8493C">
        <w:rPr>
          <w:color w:val="000000"/>
        </w:rPr>
        <w:t xml:space="preserve">. </w:t>
      </w:r>
      <w:r w:rsidR="00DE1A1A">
        <w:rPr>
          <w:color w:val="000000"/>
        </w:rPr>
        <w:t>through</w:t>
      </w:r>
      <w:r w:rsidR="006A7BFA" w:rsidRPr="00C8493C">
        <w:rPr>
          <w:color w:val="000000"/>
        </w:rPr>
        <w:t xml:space="preserve"> </w:t>
      </w:r>
      <w:r w:rsidR="00C90604" w:rsidRPr="00C8493C">
        <w:rPr>
          <w:color w:val="000000"/>
        </w:rPr>
        <w:t xml:space="preserve">support </w:t>
      </w:r>
      <w:r w:rsidR="00DE1A1A">
        <w:rPr>
          <w:color w:val="000000"/>
        </w:rPr>
        <w:t xml:space="preserve">to </w:t>
      </w:r>
      <w:r w:rsidR="006A7BFA" w:rsidRPr="00C8493C">
        <w:rPr>
          <w:color w:val="000000"/>
        </w:rPr>
        <w:t>disaster risk policy</w:t>
      </w:r>
      <w:r w:rsidRPr="00C8493C">
        <w:rPr>
          <w:color w:val="000000"/>
        </w:rPr>
        <w:t xml:space="preserve"> formulation</w:t>
      </w:r>
      <w:r w:rsidR="00D07EA9">
        <w:rPr>
          <w:color w:val="000000"/>
        </w:rPr>
        <w:t xml:space="preserve">, </w:t>
      </w:r>
      <w:r w:rsidR="006A7BFA" w:rsidRPr="00C8493C">
        <w:rPr>
          <w:color w:val="000000"/>
        </w:rPr>
        <w:t>risk management</w:t>
      </w:r>
      <w:r w:rsidR="001E003C" w:rsidRPr="00C8493C">
        <w:rPr>
          <w:color w:val="000000"/>
        </w:rPr>
        <w:t xml:space="preserve"> and</w:t>
      </w:r>
      <w:r w:rsidR="006A0FF2">
        <w:rPr>
          <w:color w:val="000000"/>
        </w:rPr>
        <w:t xml:space="preserve"> </w:t>
      </w:r>
      <w:r w:rsidR="001E003C" w:rsidRPr="00C8493C">
        <w:rPr>
          <w:color w:val="000000"/>
        </w:rPr>
        <w:t>the</w:t>
      </w:r>
      <w:r w:rsidR="006A7BFA" w:rsidRPr="00C8493C">
        <w:rPr>
          <w:color w:val="000000"/>
        </w:rPr>
        <w:t xml:space="preserve"> establishment of mechanisms for assess</w:t>
      </w:r>
      <w:r w:rsidR="00C90604" w:rsidRPr="00C8493C">
        <w:rPr>
          <w:color w:val="000000"/>
        </w:rPr>
        <w:t xml:space="preserve">ment </w:t>
      </w:r>
      <w:r w:rsidR="006A7BFA" w:rsidRPr="00C8493C">
        <w:rPr>
          <w:color w:val="000000"/>
        </w:rPr>
        <w:t>and monitoring</w:t>
      </w:r>
      <w:r w:rsidR="00C90604" w:rsidRPr="00C8493C">
        <w:rPr>
          <w:color w:val="000000"/>
        </w:rPr>
        <w:t>.</w:t>
      </w:r>
    </w:p>
    <w:p w14:paraId="72D0D541" w14:textId="77777777" w:rsidR="00C8493C" w:rsidRPr="007D1253" w:rsidRDefault="00C8493C" w:rsidP="00812104">
      <w:pPr>
        <w:pStyle w:val="ListParagraph"/>
        <w:ind w:left="1080" w:right="940"/>
        <w:rPr>
          <w:color w:val="000000"/>
          <w:sz w:val="12"/>
          <w:szCs w:val="12"/>
        </w:rPr>
      </w:pPr>
    </w:p>
    <w:p w14:paraId="509222B6" w14:textId="48A4FBB6" w:rsidR="006A7BFA" w:rsidRDefault="006A0FF2" w:rsidP="00812104">
      <w:pPr>
        <w:pStyle w:val="ListParagraph"/>
        <w:numPr>
          <w:ilvl w:val="0"/>
          <w:numId w:val="2"/>
        </w:numPr>
        <w:ind w:left="1080" w:right="940" w:firstLine="0"/>
        <w:jc w:val="both"/>
        <w:rPr>
          <w:color w:val="000000"/>
        </w:rPr>
      </w:pPr>
      <w:r>
        <w:rPr>
          <w:color w:val="000000"/>
        </w:rPr>
        <w:t>To</w:t>
      </w:r>
      <w:r w:rsidRPr="00C8493C">
        <w:rPr>
          <w:color w:val="000000"/>
        </w:rPr>
        <w:t xml:space="preserve"> </w:t>
      </w:r>
      <w:r w:rsidR="001E003C" w:rsidRPr="00C8493C">
        <w:rPr>
          <w:color w:val="000000"/>
        </w:rPr>
        <w:t xml:space="preserve">complement the data initiatives </w:t>
      </w:r>
      <w:r>
        <w:rPr>
          <w:color w:val="000000"/>
        </w:rPr>
        <w:t>under</w:t>
      </w:r>
      <w:r w:rsidRPr="00C8493C">
        <w:rPr>
          <w:color w:val="000000"/>
        </w:rPr>
        <w:t xml:space="preserve"> </w:t>
      </w:r>
      <w:r>
        <w:rPr>
          <w:color w:val="000000"/>
        </w:rPr>
        <w:t xml:space="preserve">pillar </w:t>
      </w:r>
      <w:r w:rsidR="00181EC7">
        <w:rPr>
          <w:color w:val="000000"/>
        </w:rPr>
        <w:t>2,</w:t>
      </w:r>
      <w:r w:rsidR="001E003C" w:rsidRPr="00C8493C">
        <w:rPr>
          <w:color w:val="000000"/>
        </w:rPr>
        <w:t xml:space="preserve"> </w:t>
      </w:r>
      <w:r>
        <w:rPr>
          <w:color w:val="000000"/>
        </w:rPr>
        <w:t xml:space="preserve">the programme </w:t>
      </w:r>
      <w:r w:rsidR="008F3A2A">
        <w:rPr>
          <w:color w:val="000000"/>
        </w:rPr>
        <w:t>will</w:t>
      </w:r>
      <w:r w:rsidR="00884828" w:rsidRPr="00C8493C">
        <w:rPr>
          <w:color w:val="000000"/>
        </w:rPr>
        <w:t xml:space="preserve"> </w:t>
      </w:r>
      <w:r w:rsidR="006A7BFA" w:rsidRPr="00C8493C">
        <w:rPr>
          <w:color w:val="000000"/>
        </w:rPr>
        <w:t>improv</w:t>
      </w:r>
      <w:r w:rsidR="001E003C" w:rsidRPr="00C8493C">
        <w:rPr>
          <w:color w:val="000000"/>
        </w:rPr>
        <w:t>e</w:t>
      </w:r>
      <w:r w:rsidR="006A7BFA" w:rsidRPr="00C8493C">
        <w:rPr>
          <w:color w:val="000000"/>
        </w:rPr>
        <w:t xml:space="preserve"> access to risk </w:t>
      </w:r>
      <w:r w:rsidR="008F3A2A">
        <w:rPr>
          <w:color w:val="000000"/>
        </w:rPr>
        <w:t>and</w:t>
      </w:r>
      <w:r w:rsidRPr="00C8493C">
        <w:rPr>
          <w:color w:val="000000"/>
        </w:rPr>
        <w:t xml:space="preserve"> </w:t>
      </w:r>
      <w:r w:rsidR="006A7BFA" w:rsidRPr="00C8493C">
        <w:rPr>
          <w:color w:val="000000"/>
        </w:rPr>
        <w:t xml:space="preserve">early warning </w:t>
      </w:r>
      <w:r w:rsidR="000C04F3">
        <w:rPr>
          <w:color w:val="000000"/>
        </w:rPr>
        <w:t>information</w:t>
      </w:r>
      <w:r w:rsidR="008F3A2A">
        <w:rPr>
          <w:color w:val="000000"/>
        </w:rPr>
        <w:t>;</w:t>
      </w:r>
      <w:r w:rsidR="006A7BFA" w:rsidRPr="00C8493C">
        <w:rPr>
          <w:color w:val="000000"/>
        </w:rPr>
        <w:t xml:space="preserve"> and </w:t>
      </w:r>
      <w:r w:rsidR="001E003C" w:rsidRPr="00C8493C">
        <w:rPr>
          <w:color w:val="000000"/>
        </w:rPr>
        <w:t xml:space="preserve">work with </w:t>
      </w:r>
      <w:r>
        <w:rPr>
          <w:color w:val="000000"/>
        </w:rPr>
        <w:t>the</w:t>
      </w:r>
      <w:r w:rsidRPr="00C8493C">
        <w:rPr>
          <w:color w:val="000000"/>
        </w:rPr>
        <w:t xml:space="preserve"> </w:t>
      </w:r>
      <w:r w:rsidR="001E003C" w:rsidRPr="00C8493C">
        <w:rPr>
          <w:color w:val="000000"/>
        </w:rPr>
        <w:t xml:space="preserve">devolution programme </w:t>
      </w:r>
      <w:r>
        <w:rPr>
          <w:color w:val="000000"/>
        </w:rPr>
        <w:t>under pillar 1</w:t>
      </w:r>
      <w:r w:rsidR="008F3A2A">
        <w:rPr>
          <w:color w:val="000000"/>
        </w:rPr>
        <w:t xml:space="preserve"> </w:t>
      </w:r>
      <w:r w:rsidR="001E003C" w:rsidRPr="00C8493C">
        <w:rPr>
          <w:color w:val="000000"/>
        </w:rPr>
        <w:t>to integrat</w:t>
      </w:r>
      <w:r w:rsidR="00884828" w:rsidRPr="00C8493C">
        <w:rPr>
          <w:color w:val="000000"/>
        </w:rPr>
        <w:t>e</w:t>
      </w:r>
      <w:r w:rsidR="006A7BFA" w:rsidRPr="00C8493C">
        <w:rPr>
          <w:color w:val="000000"/>
        </w:rPr>
        <w:t xml:space="preserve"> </w:t>
      </w:r>
      <w:r>
        <w:rPr>
          <w:color w:val="000000"/>
        </w:rPr>
        <w:t>disaster risk reduction</w:t>
      </w:r>
      <w:r w:rsidRPr="00C8493C">
        <w:rPr>
          <w:color w:val="000000"/>
        </w:rPr>
        <w:t xml:space="preserve"> </w:t>
      </w:r>
      <w:r w:rsidR="001E003C" w:rsidRPr="00C8493C">
        <w:rPr>
          <w:color w:val="000000"/>
        </w:rPr>
        <w:t>in county</w:t>
      </w:r>
      <w:r w:rsidR="006A7BFA" w:rsidRPr="00C8493C">
        <w:rPr>
          <w:color w:val="000000"/>
        </w:rPr>
        <w:t xml:space="preserve"> development plans</w:t>
      </w:r>
      <w:r w:rsidR="00C47C9B">
        <w:rPr>
          <w:color w:val="000000"/>
        </w:rPr>
        <w:t xml:space="preserve"> f</w:t>
      </w:r>
      <w:r w:rsidR="008F3A2A">
        <w:rPr>
          <w:color w:val="000000"/>
        </w:rPr>
        <w:t xml:space="preserve">ocused </w:t>
      </w:r>
      <w:r w:rsidR="006A136D">
        <w:rPr>
          <w:color w:val="000000"/>
        </w:rPr>
        <w:t xml:space="preserve">on </w:t>
      </w:r>
      <w:r w:rsidR="006A136D" w:rsidRPr="00C8493C">
        <w:rPr>
          <w:color w:val="000000"/>
        </w:rPr>
        <w:t>vulnerable</w:t>
      </w:r>
      <w:r w:rsidR="006A7BFA" w:rsidRPr="00C8493C">
        <w:rPr>
          <w:color w:val="000000"/>
        </w:rPr>
        <w:t xml:space="preserve"> communities in the ASALs</w:t>
      </w:r>
      <w:r w:rsidR="00C47C9B">
        <w:rPr>
          <w:color w:val="000000"/>
        </w:rPr>
        <w:t>.</w:t>
      </w:r>
      <w:r w:rsidR="002D430F" w:rsidRPr="00C8493C">
        <w:rPr>
          <w:color w:val="000000"/>
        </w:rPr>
        <w:t xml:space="preserve"> </w:t>
      </w:r>
      <w:r w:rsidR="006A7BFA" w:rsidRPr="00C8493C">
        <w:rPr>
          <w:color w:val="000000"/>
        </w:rPr>
        <w:t xml:space="preserve">In </w:t>
      </w:r>
      <w:r w:rsidR="00FF57A6" w:rsidRPr="00C8493C">
        <w:rPr>
          <w:color w:val="000000"/>
        </w:rPr>
        <w:t xml:space="preserve">partnership with the </w:t>
      </w:r>
      <w:r w:rsidR="00FF57A6" w:rsidRPr="009C3007">
        <w:rPr>
          <w:color w:val="000000"/>
        </w:rPr>
        <w:t xml:space="preserve">Africa </w:t>
      </w:r>
      <w:r w:rsidR="00DD0AF8" w:rsidRPr="009C3007">
        <w:rPr>
          <w:color w:val="000000"/>
        </w:rPr>
        <w:t xml:space="preserve">Bureau </w:t>
      </w:r>
      <w:r w:rsidR="00FF57A6" w:rsidRPr="009C3007">
        <w:rPr>
          <w:color w:val="000000"/>
        </w:rPr>
        <w:t xml:space="preserve">Regional </w:t>
      </w:r>
      <w:r w:rsidR="0020346B" w:rsidRPr="009C3007">
        <w:rPr>
          <w:color w:val="000000"/>
        </w:rPr>
        <w:t>Office, UNDP</w:t>
      </w:r>
      <w:r w:rsidR="006A7BFA" w:rsidRPr="009C3007">
        <w:rPr>
          <w:color w:val="000000"/>
        </w:rPr>
        <w:t xml:space="preserve"> will </w:t>
      </w:r>
      <w:r w:rsidR="00FF57A6" w:rsidRPr="009C3007">
        <w:rPr>
          <w:color w:val="000000"/>
        </w:rPr>
        <w:t xml:space="preserve">roll out a Lake Victoria </w:t>
      </w:r>
      <w:r w:rsidR="000771A0">
        <w:rPr>
          <w:color w:val="000000"/>
        </w:rPr>
        <w:t>i</w:t>
      </w:r>
      <w:r w:rsidR="00FF57A6" w:rsidRPr="009C3007">
        <w:rPr>
          <w:color w:val="000000"/>
        </w:rPr>
        <w:t xml:space="preserve">nitiative </w:t>
      </w:r>
      <w:r w:rsidR="00DE1A1A">
        <w:rPr>
          <w:color w:val="000000"/>
        </w:rPr>
        <w:t>through</w:t>
      </w:r>
      <w:r w:rsidR="00FF57A6" w:rsidRPr="009C3007">
        <w:rPr>
          <w:color w:val="000000"/>
        </w:rPr>
        <w:t xml:space="preserve"> </w:t>
      </w:r>
      <w:r>
        <w:rPr>
          <w:color w:val="000000"/>
        </w:rPr>
        <w:t>South-South and triangular cooperation</w:t>
      </w:r>
      <w:r w:rsidRPr="009C3007">
        <w:rPr>
          <w:color w:val="000000"/>
        </w:rPr>
        <w:t xml:space="preserve"> </w:t>
      </w:r>
      <w:r w:rsidR="00FF57A6" w:rsidRPr="009C3007">
        <w:rPr>
          <w:color w:val="000000"/>
        </w:rPr>
        <w:t>wi</w:t>
      </w:r>
      <w:r w:rsidR="00294800" w:rsidRPr="009C3007">
        <w:rPr>
          <w:color w:val="000000"/>
        </w:rPr>
        <w:t xml:space="preserve">th </w:t>
      </w:r>
      <w:r>
        <w:rPr>
          <w:color w:val="000000"/>
        </w:rPr>
        <w:t xml:space="preserve">the </w:t>
      </w:r>
      <w:r w:rsidR="00294800" w:rsidRPr="009C3007">
        <w:rPr>
          <w:color w:val="000000"/>
        </w:rPr>
        <w:t xml:space="preserve">Uganda and </w:t>
      </w:r>
      <w:r>
        <w:rPr>
          <w:color w:val="000000"/>
        </w:rPr>
        <w:t xml:space="preserve">United Republic of </w:t>
      </w:r>
      <w:r w:rsidR="00294800" w:rsidRPr="009C3007">
        <w:rPr>
          <w:color w:val="000000"/>
        </w:rPr>
        <w:t>Tanzania</w:t>
      </w:r>
      <w:r w:rsidR="00DE1A1A">
        <w:rPr>
          <w:color w:val="000000"/>
        </w:rPr>
        <w:t xml:space="preserve"> country programmes</w:t>
      </w:r>
      <w:r w:rsidR="00294800" w:rsidRPr="009C3007">
        <w:rPr>
          <w:color w:val="000000"/>
        </w:rPr>
        <w:t xml:space="preserve"> </w:t>
      </w:r>
      <w:r w:rsidR="00FF57A6" w:rsidRPr="009C3007">
        <w:rPr>
          <w:color w:val="000000"/>
        </w:rPr>
        <w:t>to address</w:t>
      </w:r>
      <w:r w:rsidR="00FF57A6" w:rsidRPr="00C8493C">
        <w:rPr>
          <w:color w:val="000000"/>
        </w:rPr>
        <w:t xml:space="preserve"> climate and livelihood </w:t>
      </w:r>
      <w:r w:rsidR="00DD0AF8">
        <w:rPr>
          <w:color w:val="000000"/>
        </w:rPr>
        <w:t>challenges</w:t>
      </w:r>
      <w:r w:rsidR="00294800" w:rsidRPr="00C8493C">
        <w:rPr>
          <w:color w:val="000000"/>
        </w:rPr>
        <w:t xml:space="preserve"> </w:t>
      </w:r>
      <w:r w:rsidR="00C47C9B">
        <w:rPr>
          <w:color w:val="000000"/>
        </w:rPr>
        <w:t xml:space="preserve">in the </w:t>
      </w:r>
      <w:r w:rsidR="00294800" w:rsidRPr="00C8493C">
        <w:rPr>
          <w:color w:val="000000"/>
        </w:rPr>
        <w:t>fisheries</w:t>
      </w:r>
      <w:r w:rsidR="00C47C9B">
        <w:rPr>
          <w:color w:val="000000"/>
        </w:rPr>
        <w:t xml:space="preserve"> and other sectors</w:t>
      </w:r>
      <w:r w:rsidR="00294800" w:rsidRPr="00C8493C">
        <w:rPr>
          <w:color w:val="000000"/>
        </w:rPr>
        <w:t xml:space="preserve"> </w:t>
      </w:r>
      <w:r w:rsidR="00FF57A6" w:rsidRPr="00C8493C">
        <w:rPr>
          <w:color w:val="000000"/>
        </w:rPr>
        <w:t xml:space="preserve">in the </w:t>
      </w:r>
      <w:r w:rsidR="000B1661" w:rsidRPr="00C8493C">
        <w:rPr>
          <w:color w:val="000000"/>
        </w:rPr>
        <w:t>subregion</w:t>
      </w:r>
      <w:r w:rsidR="00FF57A6" w:rsidRPr="00C8493C">
        <w:rPr>
          <w:color w:val="000000"/>
        </w:rPr>
        <w:t xml:space="preserve">. </w:t>
      </w:r>
    </w:p>
    <w:p w14:paraId="114A82F3" w14:textId="77777777" w:rsidR="00C8493C" w:rsidRPr="00C8493C" w:rsidRDefault="00C8493C" w:rsidP="00812104">
      <w:pPr>
        <w:ind w:left="1080" w:right="940"/>
        <w:jc w:val="both"/>
        <w:rPr>
          <w:color w:val="000000"/>
        </w:rPr>
      </w:pPr>
    </w:p>
    <w:p w14:paraId="728E6E27" w14:textId="0ECC3B17" w:rsidR="002765BC" w:rsidRPr="00C8493C" w:rsidRDefault="002765BC" w:rsidP="007D1253">
      <w:pPr>
        <w:pStyle w:val="Heading2"/>
        <w:spacing w:after="200"/>
        <w:ind w:left="1080" w:right="940" w:hanging="450"/>
        <w:jc w:val="both"/>
        <w:rPr>
          <w:rFonts w:ascii="Times New Roman" w:hAnsi="Times New Roman"/>
          <w:bCs/>
          <w:color w:val="000000"/>
          <w:sz w:val="24"/>
          <w:szCs w:val="24"/>
        </w:rPr>
      </w:pPr>
      <w:r w:rsidRPr="00C8493C">
        <w:rPr>
          <w:rFonts w:ascii="Times New Roman" w:hAnsi="Times New Roman"/>
          <w:bCs/>
          <w:color w:val="000000"/>
          <w:sz w:val="24"/>
          <w:szCs w:val="24"/>
        </w:rPr>
        <w:t>III.</w:t>
      </w:r>
      <w:r w:rsidR="007D1253">
        <w:rPr>
          <w:rFonts w:ascii="Times New Roman" w:hAnsi="Times New Roman"/>
          <w:bCs/>
          <w:color w:val="000000"/>
          <w:sz w:val="24"/>
          <w:szCs w:val="24"/>
        </w:rPr>
        <w:tab/>
      </w:r>
      <w:r w:rsidRPr="00C8493C">
        <w:rPr>
          <w:rFonts w:ascii="Times New Roman" w:hAnsi="Times New Roman"/>
          <w:bCs/>
          <w:color w:val="000000"/>
          <w:sz w:val="24"/>
          <w:szCs w:val="24"/>
        </w:rPr>
        <w:t xml:space="preserve">Programme and </w:t>
      </w:r>
      <w:r w:rsidR="007D1253">
        <w:rPr>
          <w:rFonts w:ascii="Times New Roman" w:hAnsi="Times New Roman"/>
          <w:bCs/>
          <w:color w:val="000000"/>
          <w:sz w:val="24"/>
          <w:szCs w:val="24"/>
        </w:rPr>
        <w:t>r</w:t>
      </w:r>
      <w:r w:rsidRPr="00C8493C">
        <w:rPr>
          <w:rFonts w:ascii="Times New Roman" w:hAnsi="Times New Roman"/>
          <w:bCs/>
          <w:color w:val="000000"/>
          <w:sz w:val="24"/>
          <w:szCs w:val="24"/>
        </w:rPr>
        <w:t xml:space="preserve">isk </w:t>
      </w:r>
      <w:r w:rsidR="007D1253">
        <w:rPr>
          <w:rFonts w:ascii="Times New Roman" w:hAnsi="Times New Roman"/>
          <w:bCs/>
          <w:color w:val="000000"/>
          <w:sz w:val="24"/>
          <w:szCs w:val="24"/>
        </w:rPr>
        <w:t>m</w:t>
      </w:r>
      <w:r w:rsidRPr="00C8493C">
        <w:rPr>
          <w:rFonts w:ascii="Times New Roman" w:hAnsi="Times New Roman"/>
          <w:bCs/>
          <w:color w:val="000000"/>
          <w:sz w:val="24"/>
          <w:szCs w:val="24"/>
        </w:rPr>
        <w:t xml:space="preserve">anagement </w:t>
      </w:r>
    </w:p>
    <w:p w14:paraId="5D24D21E" w14:textId="1ADA977F" w:rsidR="003F2881" w:rsidRDefault="002765BC" w:rsidP="00812104">
      <w:pPr>
        <w:pStyle w:val="ListParagraph"/>
        <w:numPr>
          <w:ilvl w:val="0"/>
          <w:numId w:val="2"/>
        </w:numPr>
        <w:ind w:left="1080" w:right="940" w:firstLine="0"/>
        <w:jc w:val="both"/>
        <w:rPr>
          <w:color w:val="000000"/>
        </w:rPr>
      </w:pPr>
      <w:r w:rsidRPr="00C122DC">
        <w:rPr>
          <w:color w:val="000000"/>
        </w:rPr>
        <w:t xml:space="preserve">This country programme document outlines </w:t>
      </w:r>
      <w:r w:rsidR="006A0FF2">
        <w:rPr>
          <w:color w:val="000000"/>
        </w:rPr>
        <w:t xml:space="preserve">the </w:t>
      </w:r>
      <w:r w:rsidRPr="00C122DC">
        <w:rPr>
          <w:color w:val="000000"/>
        </w:rPr>
        <w:t>UNDP contributions to national results and serves as the primary unit of accountability to the Executive Board for results alignment and resources assigned to the programme at country level. Accountabilities of ma</w:t>
      </w:r>
      <w:r w:rsidRPr="00470866">
        <w:rPr>
          <w:color w:val="000000"/>
        </w:rPr>
        <w:t xml:space="preserve">nagers at the country, regional and headquarter levels with respect to country programmes is prescribed in the organization’s </w:t>
      </w:r>
      <w:r w:rsidR="006E0E33">
        <w:rPr>
          <w:color w:val="000000"/>
        </w:rPr>
        <w:t>p</w:t>
      </w:r>
      <w:r w:rsidRPr="00470866">
        <w:rPr>
          <w:color w:val="000000"/>
        </w:rPr>
        <w:t xml:space="preserve">rogramme and </w:t>
      </w:r>
      <w:r w:rsidR="006E0E33">
        <w:rPr>
          <w:color w:val="000000"/>
        </w:rPr>
        <w:t>o</w:t>
      </w:r>
      <w:r w:rsidRPr="00470866">
        <w:rPr>
          <w:color w:val="000000"/>
        </w:rPr>
        <w:t xml:space="preserve">perations </w:t>
      </w:r>
      <w:r w:rsidR="006E0E33">
        <w:rPr>
          <w:color w:val="000000"/>
        </w:rPr>
        <w:t>p</w:t>
      </w:r>
      <w:r w:rsidRPr="00470866">
        <w:rPr>
          <w:color w:val="000000"/>
        </w:rPr>
        <w:t xml:space="preserve">olicies and </w:t>
      </w:r>
      <w:r w:rsidR="006E0E33">
        <w:rPr>
          <w:color w:val="000000"/>
        </w:rPr>
        <w:t>p</w:t>
      </w:r>
      <w:r w:rsidRPr="00470866">
        <w:rPr>
          <w:color w:val="000000"/>
        </w:rPr>
        <w:t xml:space="preserve">rocedures and the </w:t>
      </w:r>
      <w:r w:rsidR="006A0FF2">
        <w:rPr>
          <w:color w:val="000000"/>
        </w:rPr>
        <w:t>i</w:t>
      </w:r>
      <w:r w:rsidR="006A0FF2" w:rsidRPr="00470866">
        <w:rPr>
          <w:color w:val="000000"/>
        </w:rPr>
        <w:t xml:space="preserve">nternal </w:t>
      </w:r>
      <w:r w:rsidR="006A0FF2">
        <w:rPr>
          <w:color w:val="000000"/>
        </w:rPr>
        <w:t>c</w:t>
      </w:r>
      <w:r w:rsidR="006A0FF2" w:rsidRPr="00470866">
        <w:rPr>
          <w:color w:val="000000"/>
        </w:rPr>
        <w:t xml:space="preserve">ontrol </w:t>
      </w:r>
      <w:r w:rsidR="006A0FF2">
        <w:rPr>
          <w:color w:val="000000"/>
        </w:rPr>
        <w:t>f</w:t>
      </w:r>
      <w:r w:rsidR="006A0FF2" w:rsidRPr="00470866">
        <w:rPr>
          <w:color w:val="000000"/>
        </w:rPr>
        <w:t>ramework</w:t>
      </w:r>
      <w:r w:rsidRPr="00470866">
        <w:rPr>
          <w:color w:val="000000"/>
        </w:rPr>
        <w:t xml:space="preserve">. In accordance with the Executive Board decision </w:t>
      </w:r>
      <w:r w:rsidR="006A0FF2">
        <w:rPr>
          <w:color w:val="000000"/>
        </w:rPr>
        <w:t>2013/9,</w:t>
      </w:r>
      <w:r w:rsidRPr="00470866">
        <w:rPr>
          <w:color w:val="000000"/>
        </w:rPr>
        <w:t xml:space="preserve"> all direct c</w:t>
      </w:r>
      <w:r w:rsidRPr="00B81808">
        <w:rPr>
          <w:color w:val="000000"/>
        </w:rPr>
        <w:t xml:space="preserve">osts associated with project implementation will be charged to the concerned projects. </w:t>
      </w:r>
    </w:p>
    <w:p w14:paraId="689D9DCA" w14:textId="77777777" w:rsidR="003F2881" w:rsidRPr="007D1253" w:rsidRDefault="003F2881" w:rsidP="00812104">
      <w:pPr>
        <w:pStyle w:val="ListParagraph"/>
        <w:ind w:left="1080" w:right="940"/>
        <w:jc w:val="both"/>
        <w:rPr>
          <w:color w:val="000000"/>
          <w:sz w:val="12"/>
          <w:szCs w:val="12"/>
        </w:rPr>
      </w:pPr>
    </w:p>
    <w:p w14:paraId="01BB46DF" w14:textId="05776EED" w:rsidR="003F2881" w:rsidRDefault="002765BC" w:rsidP="00812104">
      <w:pPr>
        <w:pStyle w:val="ListParagraph"/>
        <w:numPr>
          <w:ilvl w:val="0"/>
          <w:numId w:val="2"/>
        </w:numPr>
        <w:ind w:left="1080" w:right="940" w:firstLine="0"/>
        <w:jc w:val="both"/>
        <w:rPr>
          <w:color w:val="000000"/>
        </w:rPr>
      </w:pPr>
      <w:r w:rsidRPr="003F2881">
        <w:rPr>
          <w:color w:val="000000"/>
        </w:rPr>
        <w:t xml:space="preserve">The programme will be nationally executed. If necessary, national execution may be replaced by direct execution for part or all the programme to enable response to </w:t>
      </w:r>
      <w:r w:rsidRPr="000B1661">
        <w:rPr>
          <w:color w:val="000000"/>
        </w:rPr>
        <w:t>force majeure</w:t>
      </w:r>
      <w:r w:rsidRPr="003F2881">
        <w:rPr>
          <w:i/>
          <w:color w:val="000000"/>
        </w:rPr>
        <w:t xml:space="preserve"> </w:t>
      </w:r>
      <w:r w:rsidRPr="003F2881">
        <w:rPr>
          <w:color w:val="000000"/>
        </w:rPr>
        <w:t xml:space="preserve">or in agreement with stakeholders. </w:t>
      </w:r>
      <w:r w:rsidR="006A0FF2">
        <w:rPr>
          <w:color w:val="000000"/>
        </w:rPr>
        <w:t>The h</w:t>
      </w:r>
      <w:r w:rsidR="006A0FF2" w:rsidRPr="003F2881">
        <w:rPr>
          <w:color w:val="000000"/>
        </w:rPr>
        <w:t xml:space="preserve">armonized </w:t>
      </w:r>
      <w:r w:rsidR="006A0FF2">
        <w:rPr>
          <w:color w:val="000000"/>
        </w:rPr>
        <w:t>a</w:t>
      </w:r>
      <w:r w:rsidR="006A0FF2" w:rsidRPr="003F2881">
        <w:rPr>
          <w:color w:val="000000"/>
        </w:rPr>
        <w:t xml:space="preserve">pproach </w:t>
      </w:r>
      <w:r w:rsidRPr="003F2881">
        <w:rPr>
          <w:color w:val="000000"/>
        </w:rPr>
        <w:t xml:space="preserve">to </w:t>
      </w:r>
      <w:r w:rsidR="006A0FF2">
        <w:rPr>
          <w:color w:val="000000"/>
        </w:rPr>
        <w:t>c</w:t>
      </w:r>
      <w:r w:rsidR="006A0FF2" w:rsidRPr="003F2881">
        <w:rPr>
          <w:color w:val="000000"/>
        </w:rPr>
        <w:t xml:space="preserve">ash </w:t>
      </w:r>
      <w:r w:rsidR="006A0FF2">
        <w:rPr>
          <w:color w:val="000000"/>
        </w:rPr>
        <w:t>t</w:t>
      </w:r>
      <w:r w:rsidR="006A0FF2" w:rsidRPr="003F2881">
        <w:rPr>
          <w:color w:val="000000"/>
        </w:rPr>
        <w:t xml:space="preserve">ransfers </w:t>
      </w:r>
      <w:r w:rsidRPr="003F2881">
        <w:rPr>
          <w:color w:val="000000"/>
        </w:rPr>
        <w:t>(HACT)</w:t>
      </w:r>
      <w:r w:rsidR="00CF60FB">
        <w:rPr>
          <w:color w:val="000000"/>
        </w:rPr>
        <w:t xml:space="preserve"> will </w:t>
      </w:r>
      <w:r w:rsidRPr="003F2881">
        <w:rPr>
          <w:color w:val="000000"/>
        </w:rPr>
        <w:t>be used in a coordinated fashion with other U</w:t>
      </w:r>
      <w:r w:rsidR="006A0FF2">
        <w:rPr>
          <w:color w:val="000000"/>
        </w:rPr>
        <w:t xml:space="preserve">nited </w:t>
      </w:r>
      <w:r w:rsidRPr="003F2881">
        <w:rPr>
          <w:color w:val="000000"/>
        </w:rPr>
        <w:t>N</w:t>
      </w:r>
      <w:r w:rsidR="006A0FF2">
        <w:rPr>
          <w:color w:val="000000"/>
        </w:rPr>
        <w:t>ations</w:t>
      </w:r>
      <w:r w:rsidRPr="003F2881">
        <w:rPr>
          <w:color w:val="000000"/>
        </w:rPr>
        <w:t xml:space="preserve"> agencies to manage financial risks. </w:t>
      </w:r>
    </w:p>
    <w:p w14:paraId="089A8F7D" w14:textId="77777777" w:rsidR="003F2881" w:rsidRPr="007D1253" w:rsidRDefault="003F2881" w:rsidP="00812104">
      <w:pPr>
        <w:pStyle w:val="ListParagraph"/>
        <w:ind w:left="1080" w:right="940"/>
        <w:rPr>
          <w:color w:val="000000"/>
          <w:sz w:val="12"/>
          <w:szCs w:val="12"/>
        </w:rPr>
      </w:pPr>
    </w:p>
    <w:p w14:paraId="2C7F63EA" w14:textId="3A2518CC" w:rsidR="003F2881" w:rsidRDefault="00014316" w:rsidP="00812104">
      <w:pPr>
        <w:pStyle w:val="ListParagraph"/>
        <w:numPr>
          <w:ilvl w:val="0"/>
          <w:numId w:val="2"/>
        </w:numPr>
        <w:ind w:left="1080" w:right="940" w:firstLine="0"/>
        <w:jc w:val="both"/>
        <w:rPr>
          <w:color w:val="000000"/>
        </w:rPr>
      </w:pPr>
      <w:r w:rsidRPr="003F2881">
        <w:rPr>
          <w:color w:val="000000"/>
        </w:rPr>
        <w:t>D</w:t>
      </w:r>
      <w:r w:rsidR="002765BC" w:rsidRPr="003F2881">
        <w:rPr>
          <w:color w:val="000000"/>
        </w:rPr>
        <w:t xml:space="preserve">eveloped through a series of consultations with </w:t>
      </w:r>
      <w:r w:rsidR="006E0E33">
        <w:rPr>
          <w:color w:val="000000"/>
        </w:rPr>
        <w:t>S</w:t>
      </w:r>
      <w:r w:rsidR="00461682" w:rsidRPr="003F2881">
        <w:rPr>
          <w:color w:val="000000"/>
        </w:rPr>
        <w:t xml:space="preserve">tate </w:t>
      </w:r>
      <w:r w:rsidR="002765BC" w:rsidRPr="003F2881">
        <w:rPr>
          <w:color w:val="000000"/>
        </w:rPr>
        <w:t>and non-</w:t>
      </w:r>
      <w:r w:rsidR="006E0E33">
        <w:rPr>
          <w:color w:val="000000"/>
        </w:rPr>
        <w:t>S</w:t>
      </w:r>
      <w:r w:rsidR="002765BC" w:rsidRPr="003F2881">
        <w:rPr>
          <w:color w:val="000000"/>
        </w:rPr>
        <w:t>tate actors</w:t>
      </w:r>
      <w:r w:rsidR="00461682" w:rsidRPr="003F2881">
        <w:rPr>
          <w:color w:val="000000"/>
        </w:rPr>
        <w:t xml:space="preserve">, the programme </w:t>
      </w:r>
      <w:r w:rsidR="00DC207B" w:rsidRPr="003F2881">
        <w:rPr>
          <w:color w:val="000000"/>
        </w:rPr>
        <w:t xml:space="preserve">will </w:t>
      </w:r>
      <w:r w:rsidR="00CF60FB">
        <w:rPr>
          <w:color w:val="000000"/>
        </w:rPr>
        <w:t>employ results-</w:t>
      </w:r>
      <w:r w:rsidR="00461682" w:rsidRPr="003F2881">
        <w:rPr>
          <w:color w:val="000000"/>
        </w:rPr>
        <w:t xml:space="preserve">based management principles </w:t>
      </w:r>
      <w:r w:rsidR="00184F43" w:rsidRPr="003F2881">
        <w:rPr>
          <w:color w:val="000000"/>
        </w:rPr>
        <w:t xml:space="preserve">throughout the </w:t>
      </w:r>
      <w:r w:rsidR="00461682" w:rsidRPr="003F2881">
        <w:rPr>
          <w:color w:val="000000"/>
        </w:rPr>
        <w:t>2018</w:t>
      </w:r>
      <w:r w:rsidR="00CF60FB">
        <w:rPr>
          <w:color w:val="000000"/>
        </w:rPr>
        <w:t>-</w:t>
      </w:r>
      <w:r w:rsidR="00461682" w:rsidRPr="003F2881">
        <w:rPr>
          <w:color w:val="000000"/>
        </w:rPr>
        <w:t xml:space="preserve">2022 </w:t>
      </w:r>
      <w:r w:rsidR="00184F43" w:rsidRPr="003F2881">
        <w:rPr>
          <w:color w:val="000000"/>
        </w:rPr>
        <w:t>cycle</w:t>
      </w:r>
      <w:r w:rsidR="001E0429" w:rsidRPr="003F2881">
        <w:rPr>
          <w:color w:val="000000"/>
        </w:rPr>
        <w:t xml:space="preserve"> including </w:t>
      </w:r>
      <w:r w:rsidR="002765BC" w:rsidRPr="003F2881">
        <w:rPr>
          <w:color w:val="000000"/>
        </w:rPr>
        <w:t>convening and coordination of project strategic oversight committees</w:t>
      </w:r>
      <w:r w:rsidR="004412F1">
        <w:rPr>
          <w:color w:val="000000"/>
        </w:rPr>
        <w:t xml:space="preserve"> and</w:t>
      </w:r>
      <w:r w:rsidR="002765BC" w:rsidRPr="003F2881">
        <w:rPr>
          <w:color w:val="000000"/>
        </w:rPr>
        <w:t xml:space="preserve"> technical working groups</w:t>
      </w:r>
      <w:r w:rsidR="004412F1">
        <w:rPr>
          <w:color w:val="000000"/>
        </w:rPr>
        <w:t>.</w:t>
      </w:r>
      <w:r w:rsidR="001E0429" w:rsidRPr="003F2881">
        <w:rPr>
          <w:color w:val="000000"/>
        </w:rPr>
        <w:t xml:space="preserve"> </w:t>
      </w:r>
      <w:r w:rsidR="00461682" w:rsidRPr="003F2881">
        <w:rPr>
          <w:color w:val="000000"/>
        </w:rPr>
        <w:t>UNDP will collaborate with U</w:t>
      </w:r>
      <w:r w:rsidR="00F91066">
        <w:rPr>
          <w:color w:val="000000"/>
        </w:rPr>
        <w:t xml:space="preserve">nited </w:t>
      </w:r>
      <w:r w:rsidR="00461682" w:rsidRPr="003F2881">
        <w:rPr>
          <w:color w:val="000000"/>
        </w:rPr>
        <w:t>N</w:t>
      </w:r>
      <w:r w:rsidR="00F91066">
        <w:rPr>
          <w:color w:val="000000"/>
        </w:rPr>
        <w:t>ations</w:t>
      </w:r>
      <w:r w:rsidR="00461682" w:rsidRPr="003F2881">
        <w:rPr>
          <w:color w:val="000000"/>
        </w:rPr>
        <w:t xml:space="preserve"> </w:t>
      </w:r>
      <w:r w:rsidR="00F91066">
        <w:rPr>
          <w:color w:val="000000"/>
        </w:rPr>
        <w:t>a</w:t>
      </w:r>
      <w:r w:rsidR="00F91066" w:rsidRPr="003F2881">
        <w:rPr>
          <w:color w:val="000000"/>
        </w:rPr>
        <w:t>gencies</w:t>
      </w:r>
      <w:r w:rsidR="00461682" w:rsidRPr="003F2881">
        <w:rPr>
          <w:color w:val="000000"/>
        </w:rPr>
        <w:t>, where there is comparative advantage, to deliver technical advisory support to optimize development effectiveness and enable Delivering as One</w:t>
      </w:r>
      <w:r w:rsidR="00604B76" w:rsidRPr="003F2881">
        <w:rPr>
          <w:color w:val="000000"/>
        </w:rPr>
        <w:t xml:space="preserve">. </w:t>
      </w:r>
      <w:r w:rsidR="00461682" w:rsidRPr="003F2881">
        <w:rPr>
          <w:color w:val="000000"/>
        </w:rPr>
        <w:t xml:space="preserve"> </w:t>
      </w:r>
    </w:p>
    <w:p w14:paraId="2E28C6A4" w14:textId="77777777" w:rsidR="003F2881" w:rsidRPr="007D1253" w:rsidRDefault="003F2881" w:rsidP="00812104">
      <w:pPr>
        <w:pStyle w:val="ListParagraph"/>
        <w:ind w:left="1080" w:right="940"/>
        <w:rPr>
          <w:sz w:val="12"/>
          <w:szCs w:val="12"/>
        </w:rPr>
      </w:pPr>
    </w:p>
    <w:p w14:paraId="6D594679" w14:textId="185953E9" w:rsidR="003F2881" w:rsidRPr="009C3007" w:rsidRDefault="00184F43" w:rsidP="00812104">
      <w:pPr>
        <w:pStyle w:val="ListParagraph"/>
        <w:numPr>
          <w:ilvl w:val="0"/>
          <w:numId w:val="2"/>
        </w:numPr>
        <w:ind w:left="1080" w:right="940" w:firstLine="0"/>
        <w:jc w:val="both"/>
        <w:rPr>
          <w:color w:val="000000"/>
        </w:rPr>
      </w:pPr>
      <w:r w:rsidRPr="009C3007">
        <w:t xml:space="preserve">The </w:t>
      </w:r>
      <w:r w:rsidR="00F91066">
        <w:t>country office</w:t>
      </w:r>
      <w:r w:rsidR="00F91066" w:rsidRPr="009C3007">
        <w:t xml:space="preserve"> </w:t>
      </w:r>
      <w:r w:rsidR="006E4599" w:rsidRPr="009C3007">
        <w:t xml:space="preserve">aims to </w:t>
      </w:r>
      <w:r w:rsidRPr="009C3007">
        <w:t xml:space="preserve">mitigate </w:t>
      </w:r>
      <w:r w:rsidR="00455435">
        <w:t xml:space="preserve">possible </w:t>
      </w:r>
      <w:r w:rsidR="006E4599" w:rsidRPr="009C3007">
        <w:t xml:space="preserve">reduction in </w:t>
      </w:r>
      <w:r w:rsidR="00F91066">
        <w:t xml:space="preserve">official development </w:t>
      </w:r>
      <w:r w:rsidR="003E14E4">
        <w:t xml:space="preserve">assistance </w:t>
      </w:r>
      <w:r w:rsidR="003E14E4" w:rsidRPr="009C3007">
        <w:t>flows</w:t>
      </w:r>
      <w:r w:rsidR="005B0F4F" w:rsidRPr="009C3007">
        <w:t xml:space="preserve"> </w:t>
      </w:r>
      <w:r w:rsidR="006E4599" w:rsidRPr="009C3007">
        <w:t xml:space="preserve">through a government </w:t>
      </w:r>
      <w:r w:rsidR="00F91066" w:rsidRPr="009C3007">
        <w:t>cost</w:t>
      </w:r>
      <w:r w:rsidR="00F91066">
        <w:t>-</w:t>
      </w:r>
      <w:r w:rsidR="006E4599" w:rsidRPr="009C3007">
        <w:t xml:space="preserve">sharing financing model that offers agility and skill in transparent and accountable expenditure; </w:t>
      </w:r>
      <w:r w:rsidR="001D7063" w:rsidRPr="009C3007">
        <w:t xml:space="preserve">and </w:t>
      </w:r>
      <w:r w:rsidR="006E4599" w:rsidRPr="009C3007">
        <w:t>leverag</w:t>
      </w:r>
      <w:r w:rsidR="00E24A80">
        <w:t>es</w:t>
      </w:r>
      <w:r w:rsidR="006E4599" w:rsidRPr="009C3007">
        <w:t xml:space="preserve"> the scope and reach of UNDP programming in complement to the extension of </w:t>
      </w:r>
      <w:r w:rsidR="00F91066">
        <w:t>S</w:t>
      </w:r>
      <w:r w:rsidR="00F91066" w:rsidRPr="009C3007">
        <w:t xml:space="preserve">tate </w:t>
      </w:r>
      <w:r w:rsidR="006E4599" w:rsidRPr="009C3007">
        <w:t>authority</w:t>
      </w:r>
      <w:r w:rsidR="001D7063" w:rsidRPr="009C3007">
        <w:t xml:space="preserve">. </w:t>
      </w:r>
      <w:r w:rsidR="004412F1">
        <w:t xml:space="preserve">UNDP </w:t>
      </w:r>
      <w:r w:rsidR="00E24A80">
        <w:t xml:space="preserve">also </w:t>
      </w:r>
      <w:r w:rsidR="004412F1">
        <w:t xml:space="preserve">aims to secure </w:t>
      </w:r>
      <w:r w:rsidR="009936BF" w:rsidRPr="009C3007">
        <w:t xml:space="preserve">multi-year </w:t>
      </w:r>
      <w:r w:rsidR="006E4599" w:rsidRPr="009C3007">
        <w:t>resources</w:t>
      </w:r>
      <w:r w:rsidR="009936BF" w:rsidRPr="009C3007">
        <w:t xml:space="preserve"> for predictab</w:t>
      </w:r>
      <w:r w:rsidR="006E4599" w:rsidRPr="009C3007">
        <w:t>le</w:t>
      </w:r>
      <w:r w:rsidR="009936BF" w:rsidRPr="009C3007">
        <w:t xml:space="preserve"> and flexib</w:t>
      </w:r>
      <w:r w:rsidR="006E4599" w:rsidRPr="009C3007">
        <w:t>le planning</w:t>
      </w:r>
      <w:r w:rsidR="009936BF" w:rsidRPr="009C3007">
        <w:t>.</w:t>
      </w:r>
      <w:r w:rsidR="00461682" w:rsidRPr="009C3007">
        <w:t xml:space="preserve"> To mitigate reputational risk and </w:t>
      </w:r>
      <w:r w:rsidR="000B1661">
        <w:t>“</w:t>
      </w:r>
      <w:r w:rsidR="00461682" w:rsidRPr="009C3007">
        <w:t xml:space="preserve">do no </w:t>
      </w:r>
      <w:r w:rsidR="00F91066" w:rsidRPr="009C3007">
        <w:t>harm</w:t>
      </w:r>
      <w:r w:rsidR="00F91066">
        <w:t>”</w:t>
      </w:r>
      <w:r w:rsidR="00F91066" w:rsidRPr="009C3007">
        <w:t xml:space="preserve"> </w:t>
      </w:r>
      <w:r w:rsidR="00461682" w:rsidRPr="009C3007">
        <w:t>to beneficiary communities, pr</w:t>
      </w:r>
      <w:r w:rsidR="005B0817" w:rsidRPr="009C3007">
        <w:t xml:space="preserve">ojects </w:t>
      </w:r>
      <w:r w:rsidR="00461682" w:rsidRPr="009C3007">
        <w:t xml:space="preserve">will </w:t>
      </w:r>
      <w:r w:rsidR="006E0E33">
        <w:t xml:space="preserve">align with the </w:t>
      </w:r>
      <w:r w:rsidR="004412F1">
        <w:t>UNDP</w:t>
      </w:r>
      <w:r w:rsidR="00461682" w:rsidRPr="009C3007">
        <w:t xml:space="preserve"> </w:t>
      </w:r>
      <w:r w:rsidR="00F91066">
        <w:t>s</w:t>
      </w:r>
      <w:r w:rsidR="00F91066" w:rsidRPr="009C3007">
        <w:t xml:space="preserve">ocial </w:t>
      </w:r>
      <w:r w:rsidR="00461682" w:rsidRPr="009C3007">
        <w:t xml:space="preserve">and </w:t>
      </w:r>
      <w:r w:rsidR="00F91066">
        <w:t>e</w:t>
      </w:r>
      <w:r w:rsidR="00F91066" w:rsidRPr="009C3007">
        <w:t xml:space="preserve">nvironmental </w:t>
      </w:r>
      <w:r w:rsidR="00F91066">
        <w:t>s</w:t>
      </w:r>
      <w:r w:rsidR="00F91066" w:rsidRPr="009C3007">
        <w:t xml:space="preserve">tandards </w:t>
      </w:r>
      <w:r w:rsidR="00461682" w:rsidRPr="009C3007">
        <w:t xml:space="preserve">and </w:t>
      </w:r>
      <w:r w:rsidR="00F91066">
        <w:t>a</w:t>
      </w:r>
      <w:r w:rsidR="00F91066" w:rsidRPr="009C3007">
        <w:t xml:space="preserve">ccountability </w:t>
      </w:r>
      <w:r w:rsidR="00F91066">
        <w:t>m</w:t>
      </w:r>
      <w:r w:rsidR="00F91066" w:rsidRPr="009C3007">
        <w:t>echanisms</w:t>
      </w:r>
      <w:r w:rsidR="005B0817" w:rsidRPr="009C3007">
        <w:t>, where required,</w:t>
      </w:r>
      <w:r w:rsidR="00461682" w:rsidRPr="009C3007">
        <w:t xml:space="preserve"> including implementation of the due diligence review</w:t>
      </w:r>
      <w:r w:rsidR="00604B76" w:rsidRPr="009C3007">
        <w:t xml:space="preserve">. </w:t>
      </w:r>
    </w:p>
    <w:p w14:paraId="14F17DB1" w14:textId="77777777" w:rsidR="003F2881" w:rsidRPr="007D1253" w:rsidRDefault="003F2881" w:rsidP="00812104">
      <w:pPr>
        <w:pStyle w:val="ListParagraph"/>
        <w:ind w:left="1080" w:right="940"/>
        <w:rPr>
          <w:color w:val="000000"/>
          <w:sz w:val="12"/>
          <w:szCs w:val="12"/>
        </w:rPr>
      </w:pPr>
    </w:p>
    <w:p w14:paraId="0F6FB690" w14:textId="21BACCA1" w:rsidR="009936BF" w:rsidRPr="003F2881" w:rsidRDefault="009936BF" w:rsidP="00812104">
      <w:pPr>
        <w:pStyle w:val="ListParagraph"/>
        <w:numPr>
          <w:ilvl w:val="0"/>
          <w:numId w:val="2"/>
        </w:numPr>
        <w:ind w:left="1080" w:right="940" w:firstLine="0"/>
        <w:jc w:val="both"/>
        <w:rPr>
          <w:color w:val="000000"/>
        </w:rPr>
      </w:pPr>
      <w:r w:rsidRPr="009C3007">
        <w:rPr>
          <w:color w:val="000000"/>
        </w:rPr>
        <w:lastRenderedPageBreak/>
        <w:t>Security</w:t>
      </w:r>
      <w:r w:rsidR="00550779" w:rsidRPr="009C3007">
        <w:rPr>
          <w:color w:val="000000"/>
        </w:rPr>
        <w:t xml:space="preserve"> threat</w:t>
      </w:r>
      <w:r w:rsidR="00233073">
        <w:rPr>
          <w:color w:val="000000"/>
        </w:rPr>
        <w:t>s</w:t>
      </w:r>
      <w:r w:rsidRPr="009C3007">
        <w:rPr>
          <w:color w:val="000000"/>
        </w:rPr>
        <w:t xml:space="preserve"> and natural disasters will be monitored and responsive </w:t>
      </w:r>
      <w:r w:rsidR="00DD0AF8" w:rsidRPr="009C3007">
        <w:rPr>
          <w:color w:val="000000"/>
        </w:rPr>
        <w:t xml:space="preserve">programming formulated and implemented </w:t>
      </w:r>
      <w:r w:rsidR="00F91066" w:rsidRPr="009C3007">
        <w:rPr>
          <w:color w:val="000000"/>
        </w:rPr>
        <w:t xml:space="preserve">in consultation with national </w:t>
      </w:r>
      <w:r w:rsidR="003E14E4" w:rsidRPr="009C3007">
        <w:rPr>
          <w:color w:val="000000"/>
        </w:rPr>
        <w:t xml:space="preserve">authorities </w:t>
      </w:r>
      <w:r w:rsidR="003E14E4">
        <w:rPr>
          <w:color w:val="000000"/>
        </w:rPr>
        <w:t>and</w:t>
      </w:r>
      <w:r w:rsidR="00F91066">
        <w:rPr>
          <w:color w:val="000000"/>
        </w:rPr>
        <w:t xml:space="preserve"> </w:t>
      </w:r>
      <w:r w:rsidR="00DD0AF8" w:rsidRPr="009C3007">
        <w:rPr>
          <w:color w:val="000000"/>
        </w:rPr>
        <w:t xml:space="preserve">in </w:t>
      </w:r>
      <w:r w:rsidR="00F91066">
        <w:rPr>
          <w:color w:val="000000"/>
        </w:rPr>
        <w:t>line</w:t>
      </w:r>
      <w:r w:rsidR="00F91066" w:rsidRPr="009C3007">
        <w:rPr>
          <w:color w:val="000000"/>
        </w:rPr>
        <w:t xml:space="preserve"> </w:t>
      </w:r>
      <w:r w:rsidR="00DD0AF8" w:rsidRPr="009C3007">
        <w:rPr>
          <w:color w:val="000000"/>
        </w:rPr>
        <w:t xml:space="preserve">with the UNDP </w:t>
      </w:r>
      <w:r w:rsidR="00F91066">
        <w:rPr>
          <w:color w:val="000000"/>
        </w:rPr>
        <w:t>c</w:t>
      </w:r>
      <w:r w:rsidR="00F91066" w:rsidRPr="009C3007">
        <w:rPr>
          <w:color w:val="000000"/>
        </w:rPr>
        <w:t xml:space="preserve">risis </w:t>
      </w:r>
      <w:r w:rsidR="00F91066">
        <w:rPr>
          <w:color w:val="000000"/>
        </w:rPr>
        <w:t>r</w:t>
      </w:r>
      <w:r w:rsidR="00F91066" w:rsidRPr="009C3007">
        <w:rPr>
          <w:color w:val="000000"/>
        </w:rPr>
        <w:t xml:space="preserve">esponse </w:t>
      </w:r>
      <w:r w:rsidR="00DD0AF8" w:rsidRPr="009C3007">
        <w:rPr>
          <w:color w:val="000000"/>
        </w:rPr>
        <w:t>mechanisms including business continuity plans</w:t>
      </w:r>
      <w:r w:rsidR="00550779" w:rsidRPr="009C3007">
        <w:rPr>
          <w:color w:val="000000"/>
        </w:rPr>
        <w:t>.</w:t>
      </w:r>
      <w:r w:rsidR="00131361" w:rsidRPr="009C3007">
        <w:rPr>
          <w:color w:val="000000"/>
        </w:rPr>
        <w:t xml:space="preserve"> </w:t>
      </w:r>
      <w:r w:rsidRPr="009C3007">
        <w:rPr>
          <w:color w:val="000000"/>
        </w:rPr>
        <w:t>To mitigate fiduciary risks</w:t>
      </w:r>
      <w:r w:rsidRPr="003F2881">
        <w:rPr>
          <w:color w:val="000000"/>
        </w:rPr>
        <w:t xml:space="preserve">, in addition to </w:t>
      </w:r>
      <w:r w:rsidR="00E24A80">
        <w:rPr>
          <w:color w:val="000000"/>
        </w:rPr>
        <w:t xml:space="preserve">employing </w:t>
      </w:r>
      <w:r w:rsidRPr="003F2881">
        <w:rPr>
          <w:color w:val="000000"/>
        </w:rPr>
        <w:t xml:space="preserve">HACT </w:t>
      </w:r>
      <w:r w:rsidR="00E24A80">
        <w:rPr>
          <w:color w:val="000000"/>
        </w:rPr>
        <w:t>tools</w:t>
      </w:r>
      <w:r w:rsidR="00807F73">
        <w:rPr>
          <w:color w:val="000000"/>
        </w:rPr>
        <w:t>,</w:t>
      </w:r>
      <w:r w:rsidRPr="003F2881">
        <w:rPr>
          <w:color w:val="000000"/>
        </w:rPr>
        <w:t xml:space="preserve"> </w:t>
      </w:r>
      <w:r w:rsidR="002765BC" w:rsidRPr="003F2881">
        <w:rPr>
          <w:color w:val="000000"/>
        </w:rPr>
        <w:t>community</w:t>
      </w:r>
      <w:r w:rsidR="00807F73">
        <w:rPr>
          <w:color w:val="000000"/>
        </w:rPr>
        <w:t>-</w:t>
      </w:r>
      <w:r w:rsidR="002765BC" w:rsidRPr="003F2881">
        <w:rPr>
          <w:color w:val="000000"/>
        </w:rPr>
        <w:t xml:space="preserve">level programming will </w:t>
      </w:r>
      <w:r w:rsidR="008E3295">
        <w:rPr>
          <w:color w:val="000000"/>
        </w:rPr>
        <w:t>include</w:t>
      </w:r>
      <w:r w:rsidR="002765BC" w:rsidRPr="003F2881">
        <w:rPr>
          <w:color w:val="000000"/>
        </w:rPr>
        <w:t xml:space="preserve"> local participatory appraisal to </w:t>
      </w:r>
      <w:r w:rsidR="008E3295">
        <w:rPr>
          <w:color w:val="000000"/>
        </w:rPr>
        <w:t>ensure</w:t>
      </w:r>
      <w:r w:rsidR="002765BC" w:rsidRPr="003F2881">
        <w:rPr>
          <w:color w:val="000000"/>
        </w:rPr>
        <w:t xml:space="preserve"> </w:t>
      </w:r>
      <w:r w:rsidR="008E3295">
        <w:rPr>
          <w:color w:val="000000"/>
        </w:rPr>
        <w:t xml:space="preserve">ownership </w:t>
      </w:r>
      <w:r w:rsidR="00E24A80">
        <w:rPr>
          <w:color w:val="000000"/>
        </w:rPr>
        <w:t xml:space="preserve">and validation </w:t>
      </w:r>
      <w:r w:rsidRPr="003F2881">
        <w:rPr>
          <w:color w:val="000000"/>
        </w:rPr>
        <w:t>of design</w:t>
      </w:r>
      <w:r w:rsidR="00455435">
        <w:rPr>
          <w:color w:val="000000"/>
        </w:rPr>
        <w:t>,</w:t>
      </w:r>
      <w:r w:rsidRPr="003F2881">
        <w:rPr>
          <w:color w:val="000000"/>
        </w:rPr>
        <w:t xml:space="preserve"> implementation and </w:t>
      </w:r>
      <w:r w:rsidR="00E24A80">
        <w:rPr>
          <w:color w:val="000000"/>
        </w:rPr>
        <w:t xml:space="preserve">ensure </w:t>
      </w:r>
      <w:r w:rsidRPr="003F2881">
        <w:rPr>
          <w:color w:val="000000"/>
        </w:rPr>
        <w:t>accountability for results.</w:t>
      </w:r>
      <w:r w:rsidR="002765BC" w:rsidRPr="003F2881">
        <w:rPr>
          <w:color w:val="000000"/>
        </w:rPr>
        <w:t xml:space="preserve"> </w:t>
      </w:r>
    </w:p>
    <w:p w14:paraId="4BBB5BD3" w14:textId="3B3B998F" w:rsidR="002765BC" w:rsidRPr="00C122DC" w:rsidRDefault="002765BC" w:rsidP="00812104">
      <w:pPr>
        <w:pStyle w:val="ListParagraph"/>
        <w:ind w:left="1080" w:right="940"/>
        <w:jc w:val="both"/>
        <w:rPr>
          <w:color w:val="000000"/>
        </w:rPr>
      </w:pPr>
    </w:p>
    <w:p w14:paraId="6DBE7941" w14:textId="4A0F1044" w:rsidR="002765BC" w:rsidRPr="003F2881" w:rsidRDefault="002765BC" w:rsidP="007D1253">
      <w:pPr>
        <w:pStyle w:val="Heading2"/>
        <w:spacing w:after="200"/>
        <w:ind w:left="1080" w:right="940" w:hanging="540"/>
        <w:jc w:val="both"/>
        <w:rPr>
          <w:rFonts w:ascii="Times New Roman" w:hAnsi="Times New Roman"/>
          <w:bCs/>
          <w:color w:val="000000"/>
          <w:sz w:val="24"/>
          <w:szCs w:val="24"/>
        </w:rPr>
      </w:pPr>
      <w:r w:rsidRPr="003F2881">
        <w:rPr>
          <w:rFonts w:ascii="Times New Roman" w:hAnsi="Times New Roman"/>
          <w:bCs/>
          <w:color w:val="000000"/>
          <w:sz w:val="24"/>
          <w:szCs w:val="24"/>
        </w:rPr>
        <w:t xml:space="preserve">IV. </w:t>
      </w:r>
      <w:r w:rsidR="007D1253">
        <w:rPr>
          <w:rFonts w:ascii="Times New Roman" w:hAnsi="Times New Roman"/>
          <w:bCs/>
          <w:color w:val="000000"/>
          <w:sz w:val="24"/>
          <w:szCs w:val="24"/>
        </w:rPr>
        <w:tab/>
      </w:r>
      <w:r w:rsidRPr="003F2881">
        <w:rPr>
          <w:rFonts w:ascii="Times New Roman" w:hAnsi="Times New Roman"/>
          <w:bCs/>
          <w:color w:val="000000"/>
          <w:sz w:val="24"/>
          <w:szCs w:val="24"/>
        </w:rPr>
        <w:t xml:space="preserve">Monitoring and </w:t>
      </w:r>
      <w:r w:rsidR="007D1253">
        <w:rPr>
          <w:rFonts w:ascii="Times New Roman" w:hAnsi="Times New Roman"/>
          <w:bCs/>
          <w:color w:val="000000"/>
          <w:sz w:val="24"/>
          <w:szCs w:val="24"/>
        </w:rPr>
        <w:t>e</w:t>
      </w:r>
      <w:r w:rsidRPr="003F2881">
        <w:rPr>
          <w:rFonts w:ascii="Times New Roman" w:hAnsi="Times New Roman"/>
          <w:bCs/>
          <w:color w:val="000000"/>
          <w:sz w:val="24"/>
          <w:szCs w:val="24"/>
        </w:rPr>
        <w:t>valuation</w:t>
      </w:r>
    </w:p>
    <w:p w14:paraId="5F345D93" w14:textId="0D5B3C75" w:rsidR="003F2881" w:rsidRDefault="00F91066" w:rsidP="00812104">
      <w:pPr>
        <w:pStyle w:val="ListParagraph"/>
        <w:numPr>
          <w:ilvl w:val="0"/>
          <w:numId w:val="2"/>
        </w:numPr>
        <w:ind w:left="1080" w:right="940" w:firstLine="0"/>
        <w:jc w:val="both"/>
      </w:pPr>
      <w:r>
        <w:t xml:space="preserve">Five per </w:t>
      </w:r>
      <w:r w:rsidR="000B1661">
        <w:t xml:space="preserve">cent </w:t>
      </w:r>
      <w:r w:rsidR="000B1661" w:rsidRPr="00C122DC">
        <w:t>of</w:t>
      </w:r>
      <w:r w:rsidR="002765BC" w:rsidRPr="00C122DC">
        <w:t xml:space="preserve"> resources </w:t>
      </w:r>
      <w:r w:rsidR="006E0E33">
        <w:t>are</w:t>
      </w:r>
      <w:r w:rsidR="00A32A28">
        <w:t xml:space="preserve"> earmarked for</w:t>
      </w:r>
      <w:r w:rsidR="002E5B85">
        <w:t xml:space="preserve"> </w:t>
      </w:r>
      <w:r>
        <w:t>monitoring and evaluation (</w:t>
      </w:r>
      <w:r w:rsidR="002E5B85">
        <w:t>M&amp;E</w:t>
      </w:r>
      <w:r>
        <w:t>)</w:t>
      </w:r>
      <w:r w:rsidRPr="00EC1F59">
        <w:t xml:space="preserve"> </w:t>
      </w:r>
      <w:r w:rsidR="004412F1">
        <w:t>to</w:t>
      </w:r>
      <w:r w:rsidR="005E25DC" w:rsidRPr="005841BE">
        <w:t xml:space="preserve"> </w:t>
      </w:r>
      <w:r w:rsidR="00A32A28">
        <w:t>support</w:t>
      </w:r>
      <w:r w:rsidR="008E7802">
        <w:t xml:space="preserve"> </w:t>
      </w:r>
      <w:r w:rsidR="005E25DC" w:rsidRPr="005841BE">
        <w:t>data collection</w:t>
      </w:r>
      <w:r w:rsidR="00807F73">
        <w:t>,</w:t>
      </w:r>
      <w:r w:rsidR="005E25DC" w:rsidRPr="005841BE">
        <w:t xml:space="preserve"> </w:t>
      </w:r>
      <w:r w:rsidR="005B0F4F">
        <w:t xml:space="preserve">joint </w:t>
      </w:r>
      <w:r w:rsidR="005E25DC" w:rsidRPr="005841BE">
        <w:t>programmatic visits</w:t>
      </w:r>
      <w:r w:rsidR="00807F73">
        <w:t>,</w:t>
      </w:r>
      <w:r w:rsidR="005B0F4F">
        <w:t xml:space="preserve"> </w:t>
      </w:r>
      <w:r w:rsidR="00AE0AF5" w:rsidRPr="00E308EE">
        <w:t>spot checks</w:t>
      </w:r>
      <w:r w:rsidR="002E5B85">
        <w:t xml:space="preserve"> and evaluations</w:t>
      </w:r>
      <w:r w:rsidR="005E25DC" w:rsidRPr="00730CD7">
        <w:t xml:space="preserve">. In </w:t>
      </w:r>
      <w:r w:rsidR="005B0F4F">
        <w:t>line with the M&amp;E</w:t>
      </w:r>
      <w:r w:rsidR="002765BC" w:rsidRPr="00CA32B7">
        <w:t xml:space="preserve"> strategy</w:t>
      </w:r>
      <w:r w:rsidR="005E25DC" w:rsidRPr="00CA32B7">
        <w:t xml:space="preserve">, </w:t>
      </w:r>
      <w:r w:rsidR="00D177A9">
        <w:t xml:space="preserve">capacities will be </w:t>
      </w:r>
      <w:r w:rsidR="005B0F4F">
        <w:t xml:space="preserve">strengthened </w:t>
      </w:r>
      <w:r w:rsidR="002765BC" w:rsidRPr="001D4D5D">
        <w:t xml:space="preserve">through targeted </w:t>
      </w:r>
      <w:r>
        <w:t xml:space="preserve">results-based management </w:t>
      </w:r>
      <w:r w:rsidR="002765BC" w:rsidRPr="001D4D5D">
        <w:t>training</w:t>
      </w:r>
      <w:r w:rsidR="009936BF">
        <w:t xml:space="preserve"> and </w:t>
      </w:r>
      <w:r w:rsidR="00EB7465">
        <w:t>use of</w:t>
      </w:r>
      <w:r w:rsidR="005B0F4F">
        <w:t xml:space="preserve"> existing </w:t>
      </w:r>
      <w:r w:rsidR="00A55F63">
        <w:t>capa</w:t>
      </w:r>
      <w:r w:rsidR="008E7802">
        <w:t xml:space="preserve">city </w:t>
      </w:r>
      <w:r w:rsidR="00A55F63">
        <w:t xml:space="preserve">to improve results </w:t>
      </w:r>
      <w:r w:rsidR="00D177A9">
        <w:t>reporting</w:t>
      </w:r>
      <w:r>
        <w:t>,</w:t>
      </w:r>
      <w:r w:rsidR="00D177A9">
        <w:t xml:space="preserve"> i</w:t>
      </w:r>
      <w:r w:rsidR="00EB0838">
        <w:t xml:space="preserve">ncluding </w:t>
      </w:r>
      <w:r w:rsidR="004412F1">
        <w:t>using</w:t>
      </w:r>
      <w:r w:rsidR="00EB0838">
        <w:t xml:space="preserve"> t</w:t>
      </w:r>
      <w:r w:rsidR="00EB0838" w:rsidRPr="00EB0838">
        <w:t xml:space="preserve">he UNDP </w:t>
      </w:r>
      <w:r w:rsidR="006E0E33">
        <w:t>g</w:t>
      </w:r>
      <w:r w:rsidR="00EB0838" w:rsidRPr="00EB0838">
        <w:t xml:space="preserve">ender </w:t>
      </w:r>
      <w:r w:rsidR="006E0E33">
        <w:t>m</w:t>
      </w:r>
      <w:r w:rsidR="00EB0838" w:rsidRPr="00EB0838">
        <w:t>arker</w:t>
      </w:r>
      <w:r>
        <w:t>,</w:t>
      </w:r>
      <w:r w:rsidR="00EB0838" w:rsidRPr="00EB0838">
        <w:t xml:space="preserve"> to monitor </w:t>
      </w:r>
      <w:r w:rsidR="001708A1" w:rsidRPr="00EB0838">
        <w:t>expenditures</w:t>
      </w:r>
      <w:r>
        <w:t xml:space="preserve">, </w:t>
      </w:r>
      <w:r w:rsidR="001708A1" w:rsidRPr="00EB0838">
        <w:t>improve</w:t>
      </w:r>
      <w:r w:rsidR="00EB0838" w:rsidRPr="00EB0838">
        <w:t xml:space="preserve"> planning and </w:t>
      </w:r>
      <w:r w:rsidRPr="00EB0838">
        <w:t>decision</w:t>
      </w:r>
      <w:r>
        <w:t>-</w:t>
      </w:r>
      <w:r w:rsidR="00EB0838" w:rsidRPr="00EB0838">
        <w:t>making</w:t>
      </w:r>
      <w:r>
        <w:t xml:space="preserve">, </w:t>
      </w:r>
      <w:r w:rsidR="008C47E9" w:rsidRPr="00EB1AC6">
        <w:t xml:space="preserve">align with the </w:t>
      </w:r>
      <w:r>
        <w:t>S</w:t>
      </w:r>
      <w:r w:rsidRPr="00EB1AC6">
        <w:t>trategi</w:t>
      </w:r>
      <w:r w:rsidRPr="006B7C3C">
        <w:t xml:space="preserve">c </w:t>
      </w:r>
      <w:r>
        <w:t>P</w:t>
      </w:r>
      <w:r w:rsidRPr="006B7C3C">
        <w:t xml:space="preserve">lan </w:t>
      </w:r>
      <w:r w:rsidR="008C47E9" w:rsidRPr="006B7C3C">
        <w:t>and execute the evaluation plan</w:t>
      </w:r>
      <w:r w:rsidR="00664D59">
        <w:t>.</w:t>
      </w:r>
    </w:p>
    <w:p w14:paraId="76F6CA88" w14:textId="77777777" w:rsidR="003F2881" w:rsidRPr="00664D59" w:rsidRDefault="003F2881" w:rsidP="00812104">
      <w:pPr>
        <w:pStyle w:val="ListParagraph"/>
        <w:ind w:left="1080" w:right="940"/>
        <w:jc w:val="both"/>
        <w:rPr>
          <w:sz w:val="12"/>
          <w:szCs w:val="12"/>
        </w:rPr>
      </w:pPr>
    </w:p>
    <w:p w14:paraId="74C4C674" w14:textId="79E4B486" w:rsidR="003F2881" w:rsidRDefault="00CF60FB" w:rsidP="00812104">
      <w:pPr>
        <w:pStyle w:val="ListParagraph"/>
        <w:numPr>
          <w:ilvl w:val="0"/>
          <w:numId w:val="2"/>
        </w:numPr>
        <w:ind w:left="1080" w:right="940" w:firstLine="0"/>
        <w:jc w:val="both"/>
      </w:pPr>
      <w:r>
        <w:t>The g</w:t>
      </w:r>
      <w:r w:rsidR="00807F73">
        <w:t>overnment-</w:t>
      </w:r>
      <w:r w:rsidR="00BC18B3" w:rsidRPr="00BC18B3">
        <w:t xml:space="preserve">led </w:t>
      </w:r>
      <w:r w:rsidR="00F91066">
        <w:t>Sustainable Development Goal</w:t>
      </w:r>
      <w:r w:rsidR="00BC18B3" w:rsidRPr="00BC18B3">
        <w:t xml:space="preserve"> implementation technical group has agreed </w:t>
      </w:r>
      <w:r w:rsidR="00F91066">
        <w:t xml:space="preserve">on </w:t>
      </w:r>
      <w:r w:rsidR="00BC18B3" w:rsidRPr="00BC18B3">
        <w:t>indicat</w:t>
      </w:r>
      <w:r w:rsidR="00461682">
        <w:t>ors and data sources</w:t>
      </w:r>
      <w:r w:rsidR="00B36A73">
        <w:t>,</w:t>
      </w:r>
      <w:r w:rsidR="00BC18B3" w:rsidRPr="00BC18B3">
        <w:t xml:space="preserve"> </w:t>
      </w:r>
      <w:r w:rsidR="001D7063">
        <w:t>which</w:t>
      </w:r>
      <w:r w:rsidR="00461682">
        <w:t xml:space="preserve"> </w:t>
      </w:r>
      <w:r w:rsidR="00BC18B3" w:rsidRPr="00BC18B3">
        <w:t xml:space="preserve">have informed the UNDAF and </w:t>
      </w:r>
      <w:r w:rsidR="00F91066">
        <w:t>country programme</w:t>
      </w:r>
      <w:r w:rsidR="00F91066" w:rsidRPr="00BC18B3">
        <w:t xml:space="preserve"> </w:t>
      </w:r>
      <w:r w:rsidR="00BC18B3" w:rsidRPr="00BC18B3">
        <w:t xml:space="preserve">indicators. </w:t>
      </w:r>
      <w:r w:rsidR="002765BC" w:rsidRPr="00C122DC">
        <w:t xml:space="preserve">The </w:t>
      </w:r>
      <w:r w:rsidR="00461682">
        <w:t xml:space="preserve">programme </w:t>
      </w:r>
      <w:r w:rsidR="00EF2416">
        <w:t>will improve t</w:t>
      </w:r>
      <w:r w:rsidR="002765BC" w:rsidRPr="00470866">
        <w:t xml:space="preserve">he quality of </w:t>
      </w:r>
      <w:r w:rsidR="00491775">
        <w:t xml:space="preserve">evidence-based </w:t>
      </w:r>
      <w:r w:rsidR="002765BC" w:rsidRPr="00470866">
        <w:t xml:space="preserve">reporting </w:t>
      </w:r>
      <w:r w:rsidR="001E0429">
        <w:t xml:space="preserve">working </w:t>
      </w:r>
      <w:r w:rsidR="00491775">
        <w:t>with</w:t>
      </w:r>
      <w:r w:rsidR="002765BC" w:rsidRPr="00470866">
        <w:t xml:space="preserve"> the Kenya National Bureau of Statistics</w:t>
      </w:r>
      <w:r w:rsidR="006E0E33">
        <w:t>,</w:t>
      </w:r>
      <w:r w:rsidR="00491775">
        <w:t xml:space="preserve"> using</w:t>
      </w:r>
      <w:r w:rsidR="00D177A9">
        <w:t xml:space="preserve"> global </w:t>
      </w:r>
      <w:r w:rsidR="00562254">
        <w:t xml:space="preserve">indices </w:t>
      </w:r>
      <w:r w:rsidR="00D555D6">
        <w:t xml:space="preserve">such as </w:t>
      </w:r>
      <w:r w:rsidR="00D177A9">
        <w:t xml:space="preserve">the </w:t>
      </w:r>
      <w:r w:rsidR="002765BC" w:rsidRPr="00470866">
        <w:t xml:space="preserve">Human Development Report, Transparency </w:t>
      </w:r>
      <w:r w:rsidR="00D177A9">
        <w:t xml:space="preserve">Index, </w:t>
      </w:r>
      <w:r w:rsidR="002765BC" w:rsidRPr="00470866">
        <w:t>Mo Ibrahim Governance Index and</w:t>
      </w:r>
      <w:r w:rsidR="006C59C7">
        <w:t>,</w:t>
      </w:r>
      <w:r w:rsidR="002765BC" w:rsidRPr="00470866">
        <w:t xml:space="preserve"> st</w:t>
      </w:r>
      <w:r w:rsidR="002765BC" w:rsidRPr="00B81808">
        <w:t>atutory report</w:t>
      </w:r>
      <w:r w:rsidR="008A49D8" w:rsidRPr="00B81808">
        <w:t>ing to treaty bodies</w:t>
      </w:r>
      <w:r w:rsidR="002765BC" w:rsidRPr="00EC1F59">
        <w:t xml:space="preserve"> </w:t>
      </w:r>
      <w:r w:rsidR="00A55F63" w:rsidRPr="00EC1F59">
        <w:t>including the</w:t>
      </w:r>
      <w:r w:rsidR="002765BC" w:rsidRPr="00EC1F59">
        <w:t xml:space="preserve"> </w:t>
      </w:r>
      <w:r w:rsidR="006E0E33">
        <w:t>universal periodic review</w:t>
      </w:r>
      <w:r w:rsidR="002765BC" w:rsidRPr="00EC1F59">
        <w:t>.</w:t>
      </w:r>
      <w:r w:rsidR="00461682">
        <w:t xml:space="preserve"> </w:t>
      </w:r>
    </w:p>
    <w:p w14:paraId="3BFE4481" w14:textId="77777777" w:rsidR="003F2881" w:rsidRPr="00664D59" w:rsidRDefault="003F2881" w:rsidP="00812104">
      <w:pPr>
        <w:pStyle w:val="ListParagraph"/>
        <w:ind w:left="1080" w:right="940"/>
        <w:rPr>
          <w:sz w:val="12"/>
          <w:szCs w:val="12"/>
        </w:rPr>
      </w:pPr>
    </w:p>
    <w:p w14:paraId="2496E627" w14:textId="2F5A2C9D" w:rsidR="002765BC" w:rsidRPr="003F2881" w:rsidRDefault="00D177A9" w:rsidP="00812104">
      <w:pPr>
        <w:pStyle w:val="ListParagraph"/>
        <w:numPr>
          <w:ilvl w:val="0"/>
          <w:numId w:val="2"/>
        </w:numPr>
        <w:ind w:left="1080" w:right="940" w:firstLine="0"/>
        <w:jc w:val="both"/>
      </w:pPr>
      <w:r>
        <w:t>UN</w:t>
      </w:r>
      <w:r w:rsidR="002765BC" w:rsidRPr="005841BE">
        <w:t xml:space="preserve">DP will </w:t>
      </w:r>
      <w:r>
        <w:t xml:space="preserve">collaborate </w:t>
      </w:r>
      <w:r w:rsidR="002765BC" w:rsidRPr="005841BE">
        <w:t>with the U</w:t>
      </w:r>
      <w:r w:rsidR="00F91066">
        <w:t xml:space="preserve">nited </w:t>
      </w:r>
      <w:r w:rsidR="002765BC" w:rsidRPr="005841BE">
        <w:t>N</w:t>
      </w:r>
      <w:r w:rsidR="00F91066">
        <w:t>ations</w:t>
      </w:r>
      <w:r w:rsidR="002765BC" w:rsidRPr="005841BE">
        <w:t xml:space="preserve"> </w:t>
      </w:r>
      <w:r w:rsidR="004412F1">
        <w:t xml:space="preserve">M&amp;E </w:t>
      </w:r>
      <w:r w:rsidR="002765BC" w:rsidRPr="005841BE">
        <w:t xml:space="preserve">and </w:t>
      </w:r>
      <w:r w:rsidR="00F91066">
        <w:t>Sustainable Development Goal</w:t>
      </w:r>
      <w:r w:rsidR="00F91066" w:rsidRPr="005841BE">
        <w:t xml:space="preserve"> </w:t>
      </w:r>
      <w:r w:rsidR="00F91066">
        <w:t>t</w:t>
      </w:r>
      <w:r w:rsidR="00F91066" w:rsidRPr="005841BE">
        <w:t xml:space="preserve">echnical </w:t>
      </w:r>
      <w:r w:rsidR="00F91066">
        <w:t>w</w:t>
      </w:r>
      <w:r w:rsidR="00F91066" w:rsidRPr="005841BE">
        <w:t xml:space="preserve">orking </w:t>
      </w:r>
      <w:r w:rsidR="00F91066">
        <w:t>g</w:t>
      </w:r>
      <w:r w:rsidR="00F91066" w:rsidRPr="005841BE">
        <w:t xml:space="preserve">roups </w:t>
      </w:r>
      <w:r w:rsidR="002765BC" w:rsidRPr="005841BE">
        <w:t xml:space="preserve">to </w:t>
      </w:r>
      <w:r>
        <w:t>improve</w:t>
      </w:r>
      <w:r w:rsidR="002765BC" w:rsidRPr="005841BE">
        <w:t xml:space="preserve"> </w:t>
      </w:r>
      <w:r>
        <w:t xml:space="preserve">regular </w:t>
      </w:r>
      <w:r w:rsidRPr="00D177A9">
        <w:t xml:space="preserve">data </w:t>
      </w:r>
      <w:r>
        <w:t xml:space="preserve">collection and </w:t>
      </w:r>
      <w:r w:rsidRPr="00D177A9">
        <w:t>track performance</w:t>
      </w:r>
      <w:r>
        <w:t>.</w:t>
      </w:r>
      <w:r w:rsidR="002765BC" w:rsidRPr="00E308EE">
        <w:t xml:space="preserve"> </w:t>
      </w:r>
      <w:r>
        <w:t>B</w:t>
      </w:r>
      <w:r w:rsidR="002765BC" w:rsidRPr="00E308EE">
        <w:t xml:space="preserve">aseline surveys will be </w:t>
      </w:r>
      <w:r>
        <w:t xml:space="preserve">conducted at </w:t>
      </w:r>
      <w:r w:rsidR="00F91066">
        <w:t xml:space="preserve">the </w:t>
      </w:r>
      <w:r>
        <w:t>inception</w:t>
      </w:r>
      <w:r w:rsidR="002765BC" w:rsidRPr="00E308EE">
        <w:t xml:space="preserve"> </w:t>
      </w:r>
      <w:r w:rsidR="00F91066">
        <w:t xml:space="preserve">of the country programme </w:t>
      </w:r>
      <w:r w:rsidR="002765BC" w:rsidRPr="00E308EE">
        <w:t xml:space="preserve">to </w:t>
      </w:r>
      <w:r w:rsidR="00C46461">
        <w:t>finalize</w:t>
      </w:r>
      <w:r w:rsidR="00562254">
        <w:t xml:space="preserve"> </w:t>
      </w:r>
      <w:r w:rsidR="002765BC" w:rsidRPr="00E308EE">
        <w:t xml:space="preserve">output and outcome indicators. UNDP will </w:t>
      </w:r>
      <w:r w:rsidR="00550779">
        <w:t>also seek policy support</w:t>
      </w:r>
      <w:r w:rsidR="00BC18B3">
        <w:t xml:space="preserve"> </w:t>
      </w:r>
      <w:r w:rsidR="00F91066">
        <w:t>from</w:t>
      </w:r>
      <w:r w:rsidR="00BC18B3">
        <w:t xml:space="preserve"> UNDP </w:t>
      </w:r>
      <w:r w:rsidR="00F91066">
        <w:t xml:space="preserve">headquarters </w:t>
      </w:r>
      <w:r w:rsidR="002765BC" w:rsidRPr="00E308EE">
        <w:t xml:space="preserve">and </w:t>
      </w:r>
      <w:r w:rsidR="00F91066">
        <w:t>the U</w:t>
      </w:r>
      <w:r w:rsidR="006E0E33">
        <w:t xml:space="preserve">nited </w:t>
      </w:r>
      <w:r w:rsidR="00F91066">
        <w:t>N</w:t>
      </w:r>
      <w:r w:rsidR="006E0E33">
        <w:t>ations</w:t>
      </w:r>
      <w:r w:rsidR="00A41456">
        <w:t xml:space="preserve"> </w:t>
      </w:r>
      <w:r w:rsidR="00F91066">
        <w:t>Department of Economic and Social Affairs</w:t>
      </w:r>
      <w:r w:rsidR="008C52D2">
        <w:t xml:space="preserve">. </w:t>
      </w:r>
      <w:r w:rsidR="005B3C38">
        <w:t>T</w:t>
      </w:r>
      <w:r w:rsidR="002765BC" w:rsidRPr="00730CD7">
        <w:t xml:space="preserve">o </w:t>
      </w:r>
      <w:r w:rsidR="00562254">
        <w:t xml:space="preserve">better position </w:t>
      </w:r>
      <w:r w:rsidR="002765BC" w:rsidRPr="00730CD7">
        <w:t>UNDP thought leadership</w:t>
      </w:r>
      <w:r w:rsidR="001E0429">
        <w:t xml:space="preserve"> for </w:t>
      </w:r>
      <w:r w:rsidR="002765BC" w:rsidRPr="00730CD7">
        <w:t xml:space="preserve">policy influence and </w:t>
      </w:r>
      <w:r w:rsidR="001E0429">
        <w:t xml:space="preserve">development </w:t>
      </w:r>
      <w:r w:rsidR="005B3C38">
        <w:t>impact</w:t>
      </w:r>
      <w:r w:rsidR="006E0E33">
        <w:t>, t</w:t>
      </w:r>
      <w:r w:rsidR="002765BC" w:rsidRPr="00730CD7">
        <w:t xml:space="preserve">he </w:t>
      </w:r>
      <w:r w:rsidR="00F91066">
        <w:t>country office</w:t>
      </w:r>
      <w:r w:rsidR="00F91066" w:rsidRPr="00730CD7">
        <w:t xml:space="preserve"> </w:t>
      </w:r>
      <w:r w:rsidR="005B3C38">
        <w:t xml:space="preserve">will lead </w:t>
      </w:r>
      <w:r w:rsidR="00562254">
        <w:t xml:space="preserve">initiatives </w:t>
      </w:r>
      <w:r w:rsidR="005B3C38">
        <w:t xml:space="preserve">to </w:t>
      </w:r>
      <w:r w:rsidR="00F876EA">
        <w:t xml:space="preserve">provide credible </w:t>
      </w:r>
      <w:r w:rsidR="00562254">
        <w:t xml:space="preserve">analysis </w:t>
      </w:r>
      <w:r w:rsidR="00AD598C">
        <w:t>to enabl</w:t>
      </w:r>
      <w:r w:rsidR="008C52D2">
        <w:t>e</w:t>
      </w:r>
      <w:r w:rsidR="00AD598C">
        <w:t xml:space="preserve"> space </w:t>
      </w:r>
      <w:r w:rsidR="002765BC" w:rsidRPr="00EC1F59">
        <w:t xml:space="preserve">for public policy </w:t>
      </w:r>
      <w:r w:rsidR="00562254" w:rsidRPr="00EC1F59">
        <w:t>dialogue</w:t>
      </w:r>
      <w:r w:rsidR="00AD598C">
        <w:t xml:space="preserve">. </w:t>
      </w:r>
      <w:r w:rsidR="002765BC" w:rsidRPr="003F2881">
        <w:rPr>
          <w:color w:val="000000"/>
        </w:rPr>
        <w:t xml:space="preserve"> </w:t>
      </w:r>
    </w:p>
    <w:p w14:paraId="3DD5AF9F" w14:textId="5EA308CE" w:rsidR="006B6E78" w:rsidRDefault="006B6E78" w:rsidP="003566BB">
      <w:pPr>
        <w:tabs>
          <w:tab w:val="left" w:pos="5451"/>
        </w:tabs>
      </w:pPr>
    </w:p>
    <w:p w14:paraId="2F95A805" w14:textId="1B5B91D9" w:rsidR="00664D59" w:rsidRDefault="00664D59" w:rsidP="003566BB">
      <w:pPr>
        <w:tabs>
          <w:tab w:val="left" w:pos="5451"/>
        </w:tabs>
      </w:pPr>
    </w:p>
    <w:p w14:paraId="22F6F6FE" w14:textId="77777777" w:rsidR="00664D59" w:rsidRPr="003566BB" w:rsidRDefault="00664D59" w:rsidP="003566BB">
      <w:pPr>
        <w:tabs>
          <w:tab w:val="left" w:pos="5451"/>
        </w:tabs>
        <w:sectPr w:rsidR="00664D59" w:rsidRPr="003566BB" w:rsidSect="00501F31">
          <w:headerReference w:type="even" r:id="rId18"/>
          <w:footerReference w:type="even" r:id="rId19"/>
          <w:footerReference w:type="default" r:id="rId20"/>
          <w:headerReference w:type="first" r:id="rId21"/>
          <w:footerReference w:type="first" r:id="rId22"/>
          <w:pgSz w:w="12240" w:h="15840"/>
          <w:pgMar w:top="1440" w:right="1195" w:bottom="1152" w:left="1195" w:header="720" w:footer="720" w:gutter="0"/>
          <w:cols w:space="720"/>
          <w:titlePg/>
          <w:docGrid w:linePitch="272"/>
        </w:sectPr>
      </w:pPr>
    </w:p>
    <w:p w14:paraId="57D1B825" w14:textId="3E2F8F42" w:rsidR="00664D59" w:rsidRPr="0017292C" w:rsidRDefault="00664D59" w:rsidP="00664D59">
      <w:pPr>
        <w:pStyle w:val="Heading1"/>
        <w:jc w:val="both"/>
        <w:rPr>
          <w:rFonts w:ascii="Times New Roman" w:hAnsi="Times New Roman"/>
          <w:bCs/>
          <w:sz w:val="24"/>
          <w:szCs w:val="24"/>
          <w:lang w:val="en-US"/>
        </w:rPr>
      </w:pPr>
      <w:bookmarkStart w:id="4" w:name="_Toc506821001"/>
      <w:r w:rsidRPr="0017292C">
        <w:rPr>
          <w:rFonts w:ascii="Times New Roman" w:hAnsi="Times New Roman"/>
          <w:bCs/>
          <w:sz w:val="24"/>
          <w:szCs w:val="24"/>
        </w:rPr>
        <w:lastRenderedPageBreak/>
        <w:t>Annex</w:t>
      </w:r>
      <w:r w:rsidRPr="0017292C">
        <w:rPr>
          <w:rFonts w:ascii="Times New Roman" w:hAnsi="Times New Roman"/>
          <w:bCs/>
          <w:sz w:val="24"/>
          <w:szCs w:val="24"/>
          <w:lang w:val="en-US"/>
        </w:rPr>
        <w:t>.</w:t>
      </w:r>
      <w:r w:rsidRPr="0017292C">
        <w:rPr>
          <w:rFonts w:ascii="Times New Roman" w:hAnsi="Times New Roman"/>
          <w:bCs/>
          <w:sz w:val="24"/>
          <w:szCs w:val="24"/>
        </w:rPr>
        <w:t xml:space="preserve"> Results and </w:t>
      </w:r>
      <w:r w:rsidR="006E0E33">
        <w:rPr>
          <w:rFonts w:ascii="Times New Roman" w:hAnsi="Times New Roman"/>
          <w:bCs/>
          <w:sz w:val="24"/>
          <w:szCs w:val="24"/>
          <w:lang w:val="en-US"/>
        </w:rPr>
        <w:t>r</w:t>
      </w:r>
      <w:r w:rsidR="00062067">
        <w:rPr>
          <w:rFonts w:ascii="Times New Roman" w:hAnsi="Times New Roman"/>
          <w:bCs/>
          <w:sz w:val="24"/>
          <w:szCs w:val="24"/>
          <w:lang w:val="en-US"/>
        </w:rPr>
        <w:t xml:space="preserve">esources </w:t>
      </w:r>
      <w:r w:rsidR="006E0E33">
        <w:rPr>
          <w:rFonts w:ascii="Times New Roman" w:hAnsi="Times New Roman"/>
          <w:bCs/>
          <w:sz w:val="24"/>
          <w:szCs w:val="24"/>
          <w:lang w:val="en-US"/>
        </w:rPr>
        <w:t>f</w:t>
      </w:r>
      <w:r w:rsidR="00062067">
        <w:rPr>
          <w:rFonts w:ascii="Times New Roman" w:hAnsi="Times New Roman"/>
          <w:bCs/>
          <w:sz w:val="24"/>
          <w:szCs w:val="24"/>
          <w:lang w:val="en-US"/>
        </w:rPr>
        <w:t>ramework</w:t>
      </w:r>
      <w:r w:rsidRPr="0017292C">
        <w:rPr>
          <w:rFonts w:ascii="Times New Roman" w:hAnsi="Times New Roman"/>
          <w:bCs/>
          <w:sz w:val="24"/>
          <w:szCs w:val="24"/>
        </w:rPr>
        <w:t xml:space="preserve"> </w:t>
      </w:r>
      <w:r w:rsidRPr="0017292C">
        <w:rPr>
          <w:rFonts w:ascii="Times New Roman" w:hAnsi="Times New Roman"/>
          <w:bCs/>
          <w:sz w:val="24"/>
          <w:szCs w:val="24"/>
          <w:lang w:val="en-US"/>
        </w:rPr>
        <w:t xml:space="preserve">for </w:t>
      </w:r>
      <w:r>
        <w:rPr>
          <w:rFonts w:ascii="Times New Roman" w:hAnsi="Times New Roman"/>
          <w:bCs/>
          <w:sz w:val="24"/>
          <w:szCs w:val="24"/>
          <w:lang w:val="en-US"/>
        </w:rPr>
        <w:t>Kenya</w:t>
      </w:r>
      <w:r w:rsidRPr="0017292C">
        <w:rPr>
          <w:rFonts w:ascii="Times New Roman" w:hAnsi="Times New Roman"/>
          <w:bCs/>
          <w:sz w:val="24"/>
          <w:szCs w:val="24"/>
          <w:lang w:val="en-US"/>
        </w:rPr>
        <w:t xml:space="preserve"> (2018-202</w:t>
      </w:r>
      <w:r>
        <w:rPr>
          <w:rFonts w:ascii="Times New Roman" w:hAnsi="Times New Roman"/>
          <w:bCs/>
          <w:sz w:val="24"/>
          <w:szCs w:val="24"/>
          <w:lang w:val="en-US"/>
        </w:rPr>
        <w:t>2</w:t>
      </w:r>
      <w:r w:rsidRPr="0017292C">
        <w:rPr>
          <w:rFonts w:ascii="Times New Roman" w:hAnsi="Times New Roman"/>
          <w:bCs/>
          <w:sz w:val="24"/>
          <w:szCs w:val="24"/>
          <w:lang w:val="en-US"/>
        </w:rPr>
        <w:t>)</w:t>
      </w:r>
      <w:bookmarkEnd w:id="4"/>
    </w:p>
    <w:p w14:paraId="47243C61" w14:textId="77777777" w:rsidR="00E6401F" w:rsidRDefault="00E6401F" w:rsidP="00E6401F"/>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4412F1" w:rsidRPr="006817C1" w14:paraId="28C0FF09" w14:textId="77777777" w:rsidTr="009B2310">
        <w:tc>
          <w:tcPr>
            <w:tcW w:w="5000" w:type="pct"/>
            <w:gridSpan w:val="5"/>
            <w:shd w:val="clear" w:color="auto" w:fill="auto"/>
            <w:tcMar>
              <w:top w:w="72" w:type="dxa"/>
              <w:left w:w="144" w:type="dxa"/>
              <w:bottom w:w="72" w:type="dxa"/>
              <w:right w:w="144" w:type="dxa"/>
            </w:tcMar>
          </w:tcPr>
          <w:p w14:paraId="6436E376" w14:textId="25D3FF37" w:rsidR="004412F1" w:rsidRPr="006817C1" w:rsidRDefault="004412F1" w:rsidP="009B2310">
            <w:pPr>
              <w:rPr>
                <w:color w:val="000000"/>
                <w:sz w:val="17"/>
                <w:szCs w:val="17"/>
              </w:rPr>
            </w:pPr>
            <w:r w:rsidRPr="006817C1">
              <w:rPr>
                <w:b/>
                <w:bCs/>
                <w:color w:val="000000"/>
                <w:sz w:val="17"/>
                <w:szCs w:val="17"/>
                <w:lang w:val="en-GB"/>
              </w:rPr>
              <w:t xml:space="preserve">NATIONAL PRIORITY OR GOAL: </w:t>
            </w:r>
            <w:r w:rsidRPr="006817C1">
              <w:rPr>
                <w:bCs/>
                <w:color w:val="000000"/>
                <w:sz w:val="17"/>
                <w:szCs w:val="17"/>
                <w:lang w:val="en-GB"/>
              </w:rPr>
              <w:t>A democratic political system that is issue-based, people</w:t>
            </w:r>
            <w:r w:rsidR="006E0E33">
              <w:rPr>
                <w:bCs/>
                <w:color w:val="000000"/>
                <w:sz w:val="17"/>
                <w:szCs w:val="17"/>
                <w:lang w:val="en-GB"/>
              </w:rPr>
              <w:t>-</w:t>
            </w:r>
            <w:r w:rsidRPr="006817C1">
              <w:rPr>
                <w:bCs/>
                <w:color w:val="000000"/>
                <w:sz w:val="17"/>
                <w:szCs w:val="17"/>
                <w:lang w:val="en-GB"/>
              </w:rPr>
              <w:t>centred, results</w:t>
            </w:r>
            <w:r w:rsidR="006E0E33">
              <w:rPr>
                <w:bCs/>
                <w:color w:val="000000"/>
                <w:sz w:val="17"/>
                <w:szCs w:val="17"/>
                <w:lang w:val="en-GB"/>
              </w:rPr>
              <w:t>-</w:t>
            </w:r>
            <w:r w:rsidRPr="006817C1">
              <w:rPr>
                <w:bCs/>
                <w:color w:val="000000"/>
                <w:sz w:val="17"/>
                <w:szCs w:val="17"/>
                <w:lang w:val="en-GB"/>
              </w:rPr>
              <w:t>oriented and accountable to the public.</w:t>
            </w:r>
            <w:r w:rsidRPr="006817C1">
              <w:rPr>
                <w:b/>
                <w:bCs/>
                <w:color w:val="000000"/>
                <w:sz w:val="17"/>
                <w:szCs w:val="17"/>
                <w:lang w:val="en-GB"/>
              </w:rPr>
              <w:t xml:space="preserve">  </w:t>
            </w:r>
          </w:p>
        </w:tc>
      </w:tr>
      <w:tr w:rsidR="004412F1" w:rsidRPr="006817C1" w14:paraId="42B739F9" w14:textId="77777777" w:rsidTr="009B2310">
        <w:tc>
          <w:tcPr>
            <w:tcW w:w="5000" w:type="pct"/>
            <w:gridSpan w:val="5"/>
            <w:shd w:val="clear" w:color="auto" w:fill="auto"/>
            <w:tcMar>
              <w:top w:w="72" w:type="dxa"/>
              <w:left w:w="144" w:type="dxa"/>
              <w:bottom w:w="72" w:type="dxa"/>
              <w:right w:w="144" w:type="dxa"/>
            </w:tcMar>
          </w:tcPr>
          <w:p w14:paraId="0F04B598" w14:textId="081BBCD0" w:rsidR="004412F1" w:rsidRPr="006817C1" w:rsidRDefault="004412F1" w:rsidP="009B2310">
            <w:pPr>
              <w:rPr>
                <w:color w:val="000000"/>
                <w:sz w:val="17"/>
                <w:szCs w:val="17"/>
              </w:rPr>
            </w:pPr>
            <w:r w:rsidRPr="006817C1">
              <w:rPr>
                <w:b/>
                <w:bCs/>
                <w:color w:val="000000"/>
                <w:sz w:val="17"/>
                <w:szCs w:val="17"/>
                <w:lang w:val="en-GB"/>
              </w:rPr>
              <w:t>UNDAF OUTCOME</w:t>
            </w:r>
            <w:r w:rsidRPr="006817C1">
              <w:rPr>
                <w:b/>
                <w:iCs/>
                <w:color w:val="000000"/>
                <w:sz w:val="17"/>
                <w:szCs w:val="17"/>
                <w:lang w:val="en-GB"/>
              </w:rPr>
              <w:t xml:space="preserve"> INVOLVING UNDP #1:</w:t>
            </w:r>
            <w:r w:rsidRPr="00A41456">
              <w:rPr>
                <w:iCs/>
                <w:color w:val="000000"/>
                <w:sz w:val="17"/>
                <w:szCs w:val="17"/>
                <w:lang w:val="en-GB"/>
              </w:rPr>
              <w:t xml:space="preserve"> By 2022, people in Kenya access high</w:t>
            </w:r>
            <w:r w:rsidR="006E0E33">
              <w:rPr>
                <w:iCs/>
                <w:color w:val="000000"/>
                <w:sz w:val="17"/>
                <w:szCs w:val="17"/>
                <w:lang w:val="en-GB"/>
              </w:rPr>
              <w:t>-</w:t>
            </w:r>
            <w:r w:rsidRPr="00A41456">
              <w:rPr>
                <w:iCs/>
                <w:color w:val="000000"/>
                <w:sz w:val="17"/>
                <w:szCs w:val="17"/>
                <w:lang w:val="en-GB"/>
              </w:rPr>
              <w:t>quality services at devolved level that are well coordinated, integrated, transparent, equitably resourced and accountable</w:t>
            </w:r>
          </w:p>
        </w:tc>
      </w:tr>
      <w:tr w:rsidR="004412F1" w:rsidRPr="006817C1" w14:paraId="1A3F5226" w14:textId="77777777" w:rsidTr="009B2310">
        <w:tc>
          <w:tcPr>
            <w:tcW w:w="5000" w:type="pct"/>
            <w:gridSpan w:val="5"/>
            <w:shd w:val="clear" w:color="auto" w:fill="auto"/>
            <w:tcMar>
              <w:top w:w="72" w:type="dxa"/>
              <w:left w:w="144" w:type="dxa"/>
              <w:bottom w:w="72" w:type="dxa"/>
              <w:right w:w="144" w:type="dxa"/>
            </w:tcMar>
          </w:tcPr>
          <w:p w14:paraId="0A37D050" w14:textId="77777777" w:rsidR="004412F1" w:rsidRPr="006817C1" w:rsidRDefault="004412F1" w:rsidP="009B2310">
            <w:pPr>
              <w:rPr>
                <w:b/>
                <w:bCs/>
                <w:color w:val="000000"/>
                <w:sz w:val="17"/>
                <w:szCs w:val="17"/>
                <w:lang w:val="en-GB"/>
              </w:rPr>
            </w:pPr>
            <w:r w:rsidRPr="006817C1">
              <w:rPr>
                <w:b/>
                <w:bCs/>
                <w:color w:val="000000"/>
                <w:sz w:val="17"/>
                <w:szCs w:val="17"/>
                <w:lang w:val="en-GB"/>
              </w:rPr>
              <w:t xml:space="preserve">RELATED STRATEGIC PLAN OUTCOME 2: </w:t>
            </w:r>
            <w:r w:rsidRPr="006817C1">
              <w:rPr>
                <w:bCs/>
                <w:color w:val="000000"/>
                <w:sz w:val="17"/>
                <w:szCs w:val="17"/>
                <w:lang w:val="en-GB"/>
              </w:rPr>
              <w:t>Accelerate structural transformation for sustainable development</w:t>
            </w:r>
            <w:r w:rsidRPr="006817C1">
              <w:rPr>
                <w:b/>
                <w:bCs/>
                <w:color w:val="000000"/>
                <w:sz w:val="17"/>
                <w:szCs w:val="17"/>
                <w:lang w:val="en-GB"/>
              </w:rPr>
              <w:t xml:space="preserve">  </w:t>
            </w:r>
          </w:p>
        </w:tc>
      </w:tr>
      <w:tr w:rsidR="004412F1" w:rsidRPr="006817C1" w14:paraId="28FB9F97" w14:textId="77777777" w:rsidTr="009B2310">
        <w:tc>
          <w:tcPr>
            <w:tcW w:w="1097" w:type="pct"/>
            <w:shd w:val="clear" w:color="auto" w:fill="auto"/>
            <w:tcMar>
              <w:top w:w="72" w:type="dxa"/>
              <w:left w:w="144" w:type="dxa"/>
              <w:bottom w:w="72" w:type="dxa"/>
              <w:right w:w="144" w:type="dxa"/>
            </w:tcMar>
            <w:vAlign w:val="center"/>
          </w:tcPr>
          <w:p w14:paraId="0A3F416B" w14:textId="77777777" w:rsidR="004412F1" w:rsidRPr="006817C1" w:rsidRDefault="004412F1" w:rsidP="009B2310">
            <w:pPr>
              <w:jc w:val="center"/>
              <w:rPr>
                <w:color w:val="000000"/>
                <w:sz w:val="17"/>
                <w:szCs w:val="17"/>
              </w:rPr>
            </w:pPr>
            <w:r w:rsidRPr="006817C1">
              <w:rPr>
                <w:b/>
                <w:bCs/>
                <w:color w:val="000000"/>
                <w:sz w:val="17"/>
                <w:szCs w:val="17"/>
                <w:lang w:val="en-GB"/>
              </w:rPr>
              <w:t>UNDAF outcome indicator(s), baselines, target(s)</w:t>
            </w:r>
          </w:p>
        </w:tc>
        <w:tc>
          <w:tcPr>
            <w:tcW w:w="1178" w:type="pct"/>
            <w:shd w:val="clear" w:color="auto" w:fill="auto"/>
            <w:vAlign w:val="center"/>
          </w:tcPr>
          <w:p w14:paraId="37BD4F88" w14:textId="77777777" w:rsidR="004412F1" w:rsidRPr="006817C1" w:rsidRDefault="004412F1" w:rsidP="009B2310">
            <w:pPr>
              <w:jc w:val="center"/>
              <w:rPr>
                <w:b/>
                <w:color w:val="000000"/>
                <w:sz w:val="17"/>
                <w:szCs w:val="17"/>
              </w:rPr>
            </w:pPr>
            <w:r w:rsidRPr="006817C1">
              <w:rPr>
                <w:b/>
                <w:color w:val="000000"/>
                <w:sz w:val="17"/>
                <w:szCs w:val="17"/>
              </w:rPr>
              <w:t>Data source and frequency of data collection, and responsibilities</w:t>
            </w:r>
          </w:p>
        </w:tc>
        <w:tc>
          <w:tcPr>
            <w:tcW w:w="1092" w:type="pct"/>
            <w:shd w:val="clear" w:color="auto" w:fill="auto"/>
            <w:tcMar>
              <w:top w:w="72" w:type="dxa"/>
              <w:left w:w="144" w:type="dxa"/>
              <w:bottom w:w="72" w:type="dxa"/>
              <w:right w:w="144" w:type="dxa"/>
            </w:tcMar>
            <w:vAlign w:val="center"/>
          </w:tcPr>
          <w:p w14:paraId="74A0EDF1" w14:textId="77777777" w:rsidR="004412F1" w:rsidRPr="006817C1" w:rsidRDefault="004412F1" w:rsidP="009B2310">
            <w:pPr>
              <w:jc w:val="center"/>
              <w:rPr>
                <w:color w:val="000000"/>
                <w:sz w:val="17"/>
                <w:szCs w:val="17"/>
              </w:rPr>
            </w:pPr>
            <w:r w:rsidRPr="006817C1">
              <w:rPr>
                <w:b/>
                <w:bCs/>
                <w:color w:val="000000"/>
                <w:sz w:val="17"/>
                <w:szCs w:val="17"/>
                <w:lang w:val="en-GB"/>
              </w:rPr>
              <w:t xml:space="preserve">Indicative country programme outputs </w:t>
            </w:r>
          </w:p>
        </w:tc>
        <w:tc>
          <w:tcPr>
            <w:tcW w:w="675" w:type="pct"/>
            <w:shd w:val="clear" w:color="auto" w:fill="auto"/>
            <w:vAlign w:val="center"/>
          </w:tcPr>
          <w:p w14:paraId="5CD53913" w14:textId="77777777" w:rsidR="004412F1" w:rsidRPr="006817C1" w:rsidRDefault="004412F1" w:rsidP="009B2310">
            <w:pPr>
              <w:jc w:val="center"/>
              <w:rPr>
                <w:b/>
                <w:bCs/>
                <w:color w:val="000000"/>
                <w:sz w:val="17"/>
                <w:szCs w:val="17"/>
                <w:lang w:val="en-GB"/>
              </w:rPr>
            </w:pPr>
            <w:r w:rsidRPr="006817C1">
              <w:rPr>
                <w:b/>
                <w:bCs/>
                <w:color w:val="000000"/>
                <w:sz w:val="17"/>
                <w:szCs w:val="17"/>
                <w:lang w:val="en-GB"/>
              </w:rPr>
              <w:t>Major partners / partnerships</w:t>
            </w:r>
          </w:p>
          <w:p w14:paraId="7AFB77EC" w14:textId="77777777" w:rsidR="004412F1" w:rsidRPr="006817C1" w:rsidRDefault="004412F1" w:rsidP="009B2310">
            <w:pPr>
              <w:jc w:val="center"/>
              <w:rPr>
                <w:b/>
                <w:bCs/>
                <w:color w:val="000000"/>
                <w:sz w:val="17"/>
                <w:szCs w:val="17"/>
                <w:lang w:val="en-GB"/>
              </w:rPr>
            </w:pPr>
            <w:r w:rsidRPr="006817C1">
              <w:rPr>
                <w:b/>
                <w:bCs/>
                <w:color w:val="000000"/>
                <w:sz w:val="17"/>
                <w:szCs w:val="17"/>
                <w:lang w:val="en-GB"/>
              </w:rPr>
              <w:t>frameworks</w:t>
            </w:r>
          </w:p>
        </w:tc>
        <w:tc>
          <w:tcPr>
            <w:tcW w:w="958" w:type="pct"/>
            <w:shd w:val="clear" w:color="auto" w:fill="auto"/>
            <w:tcMar>
              <w:top w:w="15" w:type="dxa"/>
              <w:left w:w="108" w:type="dxa"/>
              <w:bottom w:w="0" w:type="dxa"/>
              <w:right w:w="108" w:type="dxa"/>
            </w:tcMar>
            <w:vAlign w:val="center"/>
          </w:tcPr>
          <w:p w14:paraId="1C3499C3" w14:textId="772C3572" w:rsidR="004412F1" w:rsidRPr="006817C1" w:rsidRDefault="004412F1" w:rsidP="009B2310">
            <w:pPr>
              <w:jc w:val="center"/>
              <w:rPr>
                <w:i/>
                <w:color w:val="0000FF"/>
                <w:sz w:val="17"/>
                <w:szCs w:val="17"/>
              </w:rPr>
            </w:pPr>
            <w:r w:rsidRPr="006817C1">
              <w:rPr>
                <w:b/>
                <w:bCs/>
                <w:color w:val="000000"/>
                <w:sz w:val="17"/>
                <w:szCs w:val="17"/>
                <w:lang w:val="en-GB"/>
              </w:rPr>
              <w:t>Indicative resources by outcome (</w:t>
            </w:r>
            <w:r w:rsidR="0085112D">
              <w:rPr>
                <w:b/>
                <w:bCs/>
                <w:color w:val="000000"/>
                <w:sz w:val="17"/>
                <w:szCs w:val="17"/>
                <w:lang w:val="en-GB"/>
              </w:rPr>
              <w:t>in thousands of</w:t>
            </w:r>
            <w:r w:rsidRPr="006817C1">
              <w:rPr>
                <w:b/>
                <w:bCs/>
                <w:color w:val="000000"/>
                <w:sz w:val="17"/>
                <w:szCs w:val="17"/>
                <w:lang w:val="en-GB"/>
              </w:rPr>
              <w:t xml:space="preserve"> $)</w:t>
            </w:r>
          </w:p>
        </w:tc>
      </w:tr>
      <w:tr w:rsidR="004412F1" w:rsidRPr="006817C1" w14:paraId="6EDA3997" w14:textId="77777777" w:rsidTr="009B2310">
        <w:tc>
          <w:tcPr>
            <w:tcW w:w="1097" w:type="pct"/>
            <w:vMerge w:val="restart"/>
            <w:tcMar>
              <w:top w:w="72" w:type="dxa"/>
              <w:left w:w="144" w:type="dxa"/>
              <w:bottom w:w="72" w:type="dxa"/>
              <w:right w:w="144" w:type="dxa"/>
            </w:tcMar>
          </w:tcPr>
          <w:p w14:paraId="58261DD9" w14:textId="77777777" w:rsidR="004412F1" w:rsidRPr="006817C1" w:rsidRDefault="004412F1" w:rsidP="009B2310">
            <w:pPr>
              <w:rPr>
                <w:b/>
                <w:iCs/>
                <w:sz w:val="17"/>
                <w:szCs w:val="17"/>
                <w:lang w:val="en-GB"/>
              </w:rPr>
            </w:pPr>
            <w:r w:rsidRPr="006817C1">
              <w:rPr>
                <w:b/>
                <w:iCs/>
                <w:sz w:val="17"/>
                <w:szCs w:val="17"/>
                <w:lang w:val="en-GB"/>
              </w:rPr>
              <w:t>1a.</w:t>
            </w:r>
            <w:r w:rsidRPr="006817C1">
              <w:rPr>
                <w:iCs/>
                <w:sz w:val="17"/>
                <w:szCs w:val="17"/>
                <w:lang w:val="en-GB"/>
              </w:rPr>
              <w:t xml:space="preserve"> Primary government expenditures as a proportion of original approved budget, by sector (or by budget codes or similar)</w:t>
            </w:r>
          </w:p>
          <w:p w14:paraId="4953FE4D" w14:textId="068ABF30" w:rsidR="004412F1" w:rsidRPr="006817C1" w:rsidRDefault="004412F1" w:rsidP="009B2310">
            <w:pPr>
              <w:rPr>
                <w:iCs/>
                <w:sz w:val="17"/>
                <w:szCs w:val="17"/>
                <w:lang w:val="en-GB"/>
              </w:rPr>
            </w:pPr>
            <w:r w:rsidRPr="006817C1">
              <w:rPr>
                <w:b/>
                <w:iCs/>
                <w:sz w:val="17"/>
                <w:szCs w:val="17"/>
                <w:lang w:val="en-GB"/>
              </w:rPr>
              <w:t>Baseline:</w:t>
            </w:r>
            <w:r w:rsidRPr="006817C1">
              <w:rPr>
                <w:iCs/>
                <w:sz w:val="17"/>
                <w:szCs w:val="17"/>
                <w:lang w:val="en-GB"/>
              </w:rPr>
              <w:t xml:space="preserve"> 84.7% (</w:t>
            </w:r>
            <w:r w:rsidR="006E0E33">
              <w:rPr>
                <w:iCs/>
                <w:sz w:val="17"/>
                <w:szCs w:val="17"/>
                <w:lang w:val="en-GB"/>
              </w:rPr>
              <w:t>n</w:t>
            </w:r>
            <w:r w:rsidRPr="006817C1">
              <w:rPr>
                <w:iCs/>
                <w:sz w:val="17"/>
                <w:szCs w:val="17"/>
                <w:lang w:val="en-GB"/>
              </w:rPr>
              <w:t>ational Government); 79.9% (</w:t>
            </w:r>
            <w:r w:rsidR="006E0E33">
              <w:rPr>
                <w:iCs/>
                <w:sz w:val="17"/>
                <w:szCs w:val="17"/>
                <w:lang w:val="en-GB"/>
              </w:rPr>
              <w:t>c</w:t>
            </w:r>
            <w:r w:rsidRPr="006817C1">
              <w:rPr>
                <w:iCs/>
                <w:sz w:val="17"/>
                <w:szCs w:val="17"/>
                <w:lang w:val="en-GB"/>
              </w:rPr>
              <w:t xml:space="preserve">ounty </w:t>
            </w:r>
            <w:r>
              <w:rPr>
                <w:iCs/>
                <w:sz w:val="17"/>
                <w:szCs w:val="17"/>
                <w:lang w:val="en-GB"/>
              </w:rPr>
              <w:t>g</w:t>
            </w:r>
            <w:r w:rsidRPr="006817C1">
              <w:rPr>
                <w:iCs/>
                <w:sz w:val="17"/>
                <w:szCs w:val="17"/>
                <w:lang w:val="en-GB"/>
              </w:rPr>
              <w:t>overnment) (2016/17)</w:t>
            </w:r>
          </w:p>
          <w:p w14:paraId="364F9C1A" w14:textId="26015C8A" w:rsidR="004412F1" w:rsidRPr="006817C1" w:rsidRDefault="004412F1" w:rsidP="009B2310">
            <w:pPr>
              <w:rPr>
                <w:i/>
                <w:iCs/>
                <w:sz w:val="17"/>
                <w:szCs w:val="17"/>
                <w:lang w:val="en-GB"/>
              </w:rPr>
            </w:pPr>
            <w:r w:rsidRPr="006817C1">
              <w:rPr>
                <w:b/>
                <w:iCs/>
                <w:sz w:val="17"/>
                <w:szCs w:val="17"/>
                <w:lang w:val="en-GB"/>
              </w:rPr>
              <w:t>Target:</w:t>
            </w:r>
            <w:r w:rsidRPr="006817C1">
              <w:rPr>
                <w:iCs/>
                <w:sz w:val="17"/>
                <w:szCs w:val="17"/>
                <w:lang w:val="en-GB"/>
              </w:rPr>
              <w:t xml:space="preserve"> 80% (</w:t>
            </w:r>
            <w:r w:rsidR="006E0E33">
              <w:rPr>
                <w:iCs/>
                <w:sz w:val="17"/>
                <w:szCs w:val="17"/>
                <w:lang w:val="en-GB"/>
              </w:rPr>
              <w:t>n</w:t>
            </w:r>
            <w:r w:rsidRPr="006817C1">
              <w:rPr>
                <w:iCs/>
                <w:sz w:val="17"/>
                <w:szCs w:val="17"/>
                <w:lang w:val="en-GB"/>
              </w:rPr>
              <w:t>ational Government); 85% (</w:t>
            </w:r>
            <w:r w:rsidR="006E0E33">
              <w:rPr>
                <w:iCs/>
                <w:sz w:val="17"/>
                <w:szCs w:val="17"/>
                <w:lang w:val="en-GB"/>
              </w:rPr>
              <w:t>c</w:t>
            </w:r>
            <w:r w:rsidRPr="006817C1">
              <w:rPr>
                <w:iCs/>
                <w:sz w:val="17"/>
                <w:szCs w:val="17"/>
                <w:lang w:val="en-GB"/>
              </w:rPr>
              <w:t xml:space="preserve">ounty </w:t>
            </w:r>
            <w:r>
              <w:rPr>
                <w:iCs/>
                <w:sz w:val="17"/>
                <w:szCs w:val="17"/>
                <w:lang w:val="en-GB"/>
              </w:rPr>
              <w:t>g</w:t>
            </w:r>
            <w:r w:rsidRPr="006817C1">
              <w:rPr>
                <w:iCs/>
                <w:sz w:val="17"/>
                <w:szCs w:val="17"/>
                <w:lang w:val="en-GB"/>
              </w:rPr>
              <w:t>overnment) (2021</w:t>
            </w:r>
            <w:r>
              <w:rPr>
                <w:iCs/>
                <w:sz w:val="17"/>
                <w:szCs w:val="17"/>
                <w:lang w:val="en-GB"/>
              </w:rPr>
              <w:t>-20</w:t>
            </w:r>
            <w:r w:rsidRPr="006817C1">
              <w:rPr>
                <w:iCs/>
                <w:sz w:val="17"/>
                <w:szCs w:val="17"/>
                <w:lang w:val="en-GB"/>
              </w:rPr>
              <w:t>22</w:t>
            </w:r>
            <w:r w:rsidRPr="006817C1">
              <w:rPr>
                <w:i/>
                <w:iCs/>
                <w:sz w:val="17"/>
                <w:szCs w:val="17"/>
                <w:lang w:val="en-GB"/>
              </w:rPr>
              <w:t>)</w:t>
            </w:r>
          </w:p>
          <w:p w14:paraId="272459E7" w14:textId="77777777" w:rsidR="004412F1" w:rsidRPr="006817C1" w:rsidRDefault="004412F1" w:rsidP="009B2310">
            <w:pPr>
              <w:rPr>
                <w:i/>
                <w:iCs/>
                <w:sz w:val="17"/>
                <w:szCs w:val="17"/>
                <w:lang w:val="en-GB"/>
              </w:rPr>
            </w:pPr>
          </w:p>
          <w:p w14:paraId="3899BF32" w14:textId="77777777" w:rsidR="004412F1" w:rsidRPr="006817C1" w:rsidRDefault="004412F1" w:rsidP="009B2310">
            <w:pPr>
              <w:rPr>
                <w:iCs/>
                <w:sz w:val="17"/>
                <w:szCs w:val="17"/>
                <w:lang w:val="en-GB"/>
              </w:rPr>
            </w:pPr>
            <w:r w:rsidRPr="006817C1">
              <w:rPr>
                <w:iCs/>
                <w:sz w:val="17"/>
                <w:szCs w:val="17"/>
                <w:lang w:val="en-GB"/>
              </w:rPr>
              <w:t xml:space="preserve">1.b Percentage of Kenyans who support devolution </w:t>
            </w:r>
          </w:p>
          <w:p w14:paraId="7D48B78E" w14:textId="77777777" w:rsidR="004412F1" w:rsidRPr="006817C1" w:rsidRDefault="004412F1" w:rsidP="009B2310">
            <w:pPr>
              <w:rPr>
                <w:iCs/>
                <w:sz w:val="17"/>
                <w:szCs w:val="17"/>
                <w:lang w:val="en-GB"/>
              </w:rPr>
            </w:pPr>
            <w:r w:rsidRPr="006817C1">
              <w:rPr>
                <w:b/>
                <w:iCs/>
                <w:sz w:val="17"/>
                <w:szCs w:val="17"/>
                <w:lang w:val="en-GB"/>
              </w:rPr>
              <w:t>Baseline:</w:t>
            </w:r>
            <w:r w:rsidRPr="006817C1">
              <w:rPr>
                <w:iCs/>
                <w:sz w:val="17"/>
                <w:szCs w:val="17"/>
                <w:lang w:val="en-GB"/>
              </w:rPr>
              <w:t xml:space="preserve"> 88% </w:t>
            </w:r>
          </w:p>
          <w:p w14:paraId="69B6ACFB" w14:textId="77777777" w:rsidR="004412F1" w:rsidRPr="006817C1" w:rsidRDefault="004412F1" w:rsidP="009B2310">
            <w:pPr>
              <w:rPr>
                <w:i/>
                <w:iCs/>
                <w:sz w:val="17"/>
                <w:szCs w:val="17"/>
                <w:lang w:val="en-GB"/>
              </w:rPr>
            </w:pPr>
            <w:r w:rsidRPr="006817C1">
              <w:rPr>
                <w:b/>
                <w:iCs/>
                <w:sz w:val="17"/>
                <w:szCs w:val="17"/>
                <w:lang w:val="en-GB"/>
              </w:rPr>
              <w:t>Target</w:t>
            </w:r>
            <w:r w:rsidRPr="006817C1">
              <w:rPr>
                <w:iCs/>
                <w:sz w:val="17"/>
                <w:szCs w:val="17"/>
                <w:lang w:val="en-GB"/>
              </w:rPr>
              <w:t>: 90%</w:t>
            </w:r>
            <w:r w:rsidRPr="006817C1">
              <w:rPr>
                <w:b/>
                <w:iCs/>
                <w:sz w:val="17"/>
                <w:szCs w:val="17"/>
                <w:lang w:val="en-GB"/>
              </w:rPr>
              <w:t xml:space="preserve">  </w:t>
            </w:r>
          </w:p>
        </w:tc>
        <w:tc>
          <w:tcPr>
            <w:tcW w:w="1178" w:type="pct"/>
            <w:vMerge w:val="restart"/>
          </w:tcPr>
          <w:p w14:paraId="201716B1" w14:textId="77777777" w:rsidR="004412F1" w:rsidRPr="006817C1" w:rsidRDefault="004412F1" w:rsidP="009B2310">
            <w:pPr>
              <w:rPr>
                <w:iCs/>
                <w:sz w:val="17"/>
                <w:szCs w:val="17"/>
                <w:lang w:val="en-GB"/>
              </w:rPr>
            </w:pPr>
            <w:r w:rsidRPr="006817C1">
              <w:rPr>
                <w:iCs/>
                <w:sz w:val="17"/>
                <w:szCs w:val="17"/>
                <w:lang w:val="en-GB"/>
              </w:rPr>
              <w:t xml:space="preserve">1a. </w:t>
            </w:r>
            <w:r w:rsidRPr="006817C1">
              <w:rPr>
                <w:b/>
                <w:iCs/>
                <w:sz w:val="17"/>
                <w:szCs w:val="17"/>
                <w:lang w:val="en-GB"/>
              </w:rPr>
              <w:t>Data Source</w:t>
            </w:r>
            <w:r w:rsidRPr="006817C1">
              <w:rPr>
                <w:iCs/>
                <w:sz w:val="17"/>
                <w:szCs w:val="17"/>
                <w:lang w:val="en-GB"/>
              </w:rPr>
              <w:t>:</w:t>
            </w:r>
            <w:r>
              <w:rPr>
                <w:iCs/>
                <w:sz w:val="17"/>
                <w:szCs w:val="17"/>
                <w:lang w:val="en-GB"/>
              </w:rPr>
              <w:t xml:space="preserve"> Office of the Controller of Budget</w:t>
            </w:r>
            <w:r w:rsidRPr="006817C1">
              <w:rPr>
                <w:iCs/>
                <w:sz w:val="17"/>
                <w:szCs w:val="17"/>
                <w:lang w:val="en-GB"/>
              </w:rPr>
              <w:t xml:space="preserve"> </w:t>
            </w:r>
            <w:r>
              <w:rPr>
                <w:iCs/>
                <w:sz w:val="17"/>
                <w:szCs w:val="17"/>
                <w:lang w:val="en-GB"/>
              </w:rPr>
              <w:t>(</w:t>
            </w:r>
            <w:r w:rsidRPr="006817C1">
              <w:rPr>
                <w:iCs/>
                <w:sz w:val="17"/>
                <w:szCs w:val="17"/>
                <w:lang w:val="en-GB"/>
              </w:rPr>
              <w:t>OCOB</w:t>
            </w:r>
            <w:r>
              <w:rPr>
                <w:iCs/>
                <w:sz w:val="17"/>
                <w:szCs w:val="17"/>
                <w:lang w:val="en-GB"/>
              </w:rPr>
              <w:t>)</w:t>
            </w:r>
          </w:p>
          <w:p w14:paraId="30CE414B" w14:textId="77777777" w:rsidR="004412F1" w:rsidRPr="006817C1" w:rsidRDefault="004412F1" w:rsidP="009B2310">
            <w:pPr>
              <w:rPr>
                <w:iCs/>
                <w:sz w:val="17"/>
                <w:szCs w:val="17"/>
                <w:lang w:val="en-GB"/>
              </w:rPr>
            </w:pPr>
            <w:r w:rsidRPr="006817C1">
              <w:rPr>
                <w:b/>
                <w:iCs/>
                <w:sz w:val="17"/>
                <w:szCs w:val="17"/>
                <w:lang w:val="en-GB"/>
              </w:rPr>
              <w:t>Frequency:</w:t>
            </w:r>
            <w:r w:rsidRPr="006817C1">
              <w:rPr>
                <w:iCs/>
                <w:sz w:val="17"/>
                <w:szCs w:val="17"/>
                <w:lang w:val="en-GB"/>
              </w:rPr>
              <w:t xml:space="preserve"> Annual </w:t>
            </w:r>
          </w:p>
          <w:p w14:paraId="73ABAE8A" w14:textId="77777777" w:rsidR="004412F1" w:rsidRPr="006817C1" w:rsidRDefault="004412F1" w:rsidP="009B2310">
            <w:pPr>
              <w:rPr>
                <w:iCs/>
                <w:sz w:val="17"/>
                <w:szCs w:val="17"/>
                <w:lang w:val="en-GB"/>
              </w:rPr>
            </w:pPr>
            <w:r w:rsidRPr="006817C1">
              <w:rPr>
                <w:b/>
                <w:iCs/>
                <w:sz w:val="17"/>
                <w:szCs w:val="17"/>
                <w:lang w:val="en-GB"/>
              </w:rPr>
              <w:t>Responsibilities</w:t>
            </w:r>
            <w:r w:rsidRPr="006817C1">
              <w:rPr>
                <w:iCs/>
                <w:sz w:val="17"/>
                <w:szCs w:val="17"/>
                <w:lang w:val="en-GB"/>
              </w:rPr>
              <w:t>: OCOB</w:t>
            </w:r>
          </w:p>
          <w:p w14:paraId="1C53CB3D" w14:textId="77777777" w:rsidR="004412F1" w:rsidRPr="006817C1" w:rsidRDefault="004412F1" w:rsidP="009B2310">
            <w:pPr>
              <w:ind w:left="360"/>
              <w:rPr>
                <w:i/>
                <w:iCs/>
                <w:sz w:val="17"/>
                <w:szCs w:val="17"/>
                <w:lang w:val="en-GB"/>
              </w:rPr>
            </w:pPr>
          </w:p>
          <w:p w14:paraId="55A8943D" w14:textId="77777777" w:rsidR="004412F1" w:rsidRPr="006817C1" w:rsidRDefault="004412F1" w:rsidP="009B2310">
            <w:pPr>
              <w:ind w:left="360"/>
              <w:rPr>
                <w:i/>
                <w:iCs/>
                <w:sz w:val="17"/>
                <w:szCs w:val="17"/>
                <w:lang w:val="en-GB"/>
              </w:rPr>
            </w:pPr>
          </w:p>
          <w:p w14:paraId="3F4BC107" w14:textId="77777777" w:rsidR="004412F1" w:rsidRPr="006817C1" w:rsidRDefault="004412F1" w:rsidP="009B2310">
            <w:pPr>
              <w:ind w:left="360"/>
              <w:rPr>
                <w:i/>
                <w:iCs/>
                <w:sz w:val="17"/>
                <w:szCs w:val="17"/>
                <w:lang w:val="en-GB"/>
              </w:rPr>
            </w:pPr>
          </w:p>
          <w:p w14:paraId="5838ED5A" w14:textId="77777777" w:rsidR="004412F1" w:rsidRPr="006817C1" w:rsidRDefault="004412F1" w:rsidP="009B2310">
            <w:pPr>
              <w:ind w:left="360"/>
              <w:rPr>
                <w:i/>
                <w:iCs/>
                <w:sz w:val="17"/>
                <w:szCs w:val="17"/>
                <w:lang w:val="en-GB"/>
              </w:rPr>
            </w:pPr>
          </w:p>
          <w:p w14:paraId="1AF67E4C" w14:textId="77777777" w:rsidR="004412F1" w:rsidRPr="006817C1" w:rsidRDefault="004412F1" w:rsidP="009B2310">
            <w:pPr>
              <w:ind w:left="360"/>
              <w:rPr>
                <w:i/>
                <w:iCs/>
                <w:sz w:val="17"/>
                <w:szCs w:val="17"/>
                <w:lang w:val="en-GB"/>
              </w:rPr>
            </w:pPr>
          </w:p>
          <w:p w14:paraId="7D57F2F6" w14:textId="77777777" w:rsidR="004412F1" w:rsidRPr="006817C1" w:rsidRDefault="004412F1" w:rsidP="009B2310">
            <w:pPr>
              <w:ind w:left="360"/>
              <w:rPr>
                <w:i/>
                <w:iCs/>
                <w:sz w:val="17"/>
                <w:szCs w:val="17"/>
                <w:lang w:val="en-GB"/>
              </w:rPr>
            </w:pPr>
          </w:p>
          <w:p w14:paraId="3210C0E7" w14:textId="6933FA39" w:rsidR="004412F1" w:rsidRPr="006817C1" w:rsidRDefault="004412F1" w:rsidP="009B2310">
            <w:pPr>
              <w:rPr>
                <w:iCs/>
                <w:sz w:val="17"/>
                <w:szCs w:val="17"/>
                <w:lang w:val="en-GB"/>
              </w:rPr>
            </w:pPr>
            <w:r w:rsidRPr="006817C1">
              <w:rPr>
                <w:iCs/>
                <w:sz w:val="17"/>
                <w:szCs w:val="17"/>
                <w:lang w:val="en-GB"/>
              </w:rPr>
              <w:t xml:space="preserve">1b. </w:t>
            </w:r>
            <w:r w:rsidRPr="006817C1">
              <w:rPr>
                <w:b/>
                <w:iCs/>
                <w:sz w:val="17"/>
                <w:szCs w:val="17"/>
                <w:lang w:val="en-GB"/>
              </w:rPr>
              <w:t>Data Source</w:t>
            </w:r>
            <w:r w:rsidRPr="006817C1">
              <w:rPr>
                <w:iCs/>
                <w:sz w:val="17"/>
                <w:szCs w:val="17"/>
                <w:lang w:val="en-GB"/>
              </w:rPr>
              <w:t xml:space="preserve">: Public </w:t>
            </w:r>
            <w:r w:rsidR="00751963">
              <w:rPr>
                <w:iCs/>
                <w:sz w:val="17"/>
                <w:szCs w:val="17"/>
                <w:lang w:val="en-GB"/>
              </w:rPr>
              <w:t>o</w:t>
            </w:r>
            <w:r w:rsidRPr="006817C1">
              <w:rPr>
                <w:iCs/>
                <w:sz w:val="17"/>
                <w:szCs w:val="17"/>
                <w:lang w:val="en-GB"/>
              </w:rPr>
              <w:t xml:space="preserve">pinion </w:t>
            </w:r>
            <w:r w:rsidR="00751963">
              <w:rPr>
                <w:iCs/>
                <w:sz w:val="17"/>
                <w:szCs w:val="17"/>
                <w:lang w:val="en-GB"/>
              </w:rPr>
              <w:t>s</w:t>
            </w:r>
            <w:r w:rsidRPr="006817C1">
              <w:rPr>
                <w:iCs/>
                <w:sz w:val="17"/>
                <w:szCs w:val="17"/>
                <w:lang w:val="en-GB"/>
              </w:rPr>
              <w:t>urveys</w:t>
            </w:r>
          </w:p>
          <w:p w14:paraId="47C5295F" w14:textId="77777777" w:rsidR="004412F1" w:rsidRPr="006817C1" w:rsidRDefault="004412F1" w:rsidP="009B2310">
            <w:pPr>
              <w:rPr>
                <w:iCs/>
                <w:sz w:val="17"/>
                <w:szCs w:val="17"/>
                <w:lang w:val="en-GB"/>
              </w:rPr>
            </w:pPr>
            <w:r w:rsidRPr="006817C1">
              <w:rPr>
                <w:b/>
                <w:iCs/>
                <w:sz w:val="17"/>
                <w:szCs w:val="17"/>
                <w:lang w:val="en-GB"/>
              </w:rPr>
              <w:t>Frequency:</w:t>
            </w:r>
            <w:r w:rsidRPr="006817C1">
              <w:rPr>
                <w:iCs/>
                <w:sz w:val="17"/>
                <w:szCs w:val="17"/>
                <w:lang w:val="en-GB"/>
              </w:rPr>
              <w:t xml:space="preserve"> Annual </w:t>
            </w:r>
          </w:p>
          <w:p w14:paraId="71D0F7FA" w14:textId="77777777" w:rsidR="004412F1" w:rsidRPr="006817C1" w:rsidRDefault="004412F1" w:rsidP="009B2310">
            <w:pPr>
              <w:rPr>
                <w:iCs/>
                <w:sz w:val="17"/>
                <w:szCs w:val="17"/>
                <w:lang w:val="en-GB"/>
              </w:rPr>
            </w:pPr>
            <w:r w:rsidRPr="006817C1">
              <w:rPr>
                <w:b/>
                <w:iCs/>
                <w:sz w:val="17"/>
                <w:szCs w:val="17"/>
                <w:lang w:val="en-GB"/>
              </w:rPr>
              <w:t>Responsibilities</w:t>
            </w:r>
            <w:r w:rsidRPr="006817C1">
              <w:rPr>
                <w:iCs/>
                <w:sz w:val="17"/>
                <w:szCs w:val="17"/>
                <w:lang w:val="en-GB"/>
              </w:rPr>
              <w:t xml:space="preserve">: </w:t>
            </w:r>
            <w:r>
              <w:rPr>
                <w:iCs/>
                <w:sz w:val="17"/>
                <w:szCs w:val="17"/>
                <w:lang w:val="en-GB"/>
              </w:rPr>
              <w:t>Kenyan National Bureau of Statistics (</w:t>
            </w:r>
            <w:r w:rsidRPr="006817C1">
              <w:rPr>
                <w:iCs/>
                <w:sz w:val="17"/>
                <w:szCs w:val="17"/>
                <w:lang w:val="en-GB"/>
              </w:rPr>
              <w:t>KNBS</w:t>
            </w:r>
            <w:r>
              <w:rPr>
                <w:iCs/>
                <w:sz w:val="17"/>
                <w:szCs w:val="17"/>
                <w:lang w:val="en-GB"/>
              </w:rPr>
              <w:t>)</w:t>
            </w:r>
          </w:p>
          <w:p w14:paraId="78C6232F" w14:textId="77777777" w:rsidR="004412F1" w:rsidRPr="006817C1" w:rsidRDefault="004412F1" w:rsidP="009B2310">
            <w:pPr>
              <w:rPr>
                <w:b/>
                <w:bCs/>
                <w:i/>
                <w:color w:val="000000"/>
                <w:sz w:val="17"/>
                <w:szCs w:val="17"/>
                <w:lang w:val="en-GB"/>
              </w:rPr>
            </w:pPr>
          </w:p>
        </w:tc>
        <w:tc>
          <w:tcPr>
            <w:tcW w:w="1092" w:type="pct"/>
            <w:vMerge w:val="restart"/>
            <w:shd w:val="clear" w:color="auto" w:fill="auto"/>
            <w:tcMar>
              <w:top w:w="72" w:type="dxa"/>
              <w:left w:w="144" w:type="dxa"/>
              <w:bottom w:w="72" w:type="dxa"/>
              <w:right w:w="144" w:type="dxa"/>
            </w:tcMar>
          </w:tcPr>
          <w:p w14:paraId="6440BB88" w14:textId="1D47D148" w:rsidR="004412F1" w:rsidRPr="006817C1" w:rsidRDefault="004412F1" w:rsidP="009B2310">
            <w:pPr>
              <w:rPr>
                <w:iCs/>
                <w:color w:val="000000"/>
                <w:sz w:val="17"/>
                <w:szCs w:val="17"/>
                <w:lang w:val="en-GB"/>
              </w:rPr>
            </w:pPr>
            <w:r w:rsidRPr="006817C1">
              <w:rPr>
                <w:b/>
                <w:iCs/>
                <w:color w:val="000000"/>
                <w:sz w:val="17"/>
                <w:szCs w:val="17"/>
                <w:lang w:val="en-GB"/>
              </w:rPr>
              <w:t>Output 1.1:</w:t>
            </w:r>
            <w:r w:rsidRPr="006817C1">
              <w:rPr>
                <w:iCs/>
                <w:color w:val="000000"/>
                <w:sz w:val="17"/>
                <w:szCs w:val="17"/>
                <w:lang w:val="en-GB"/>
              </w:rPr>
              <w:t xml:space="preserve"> Government has strengthened policy, legal and institutional mechanisms for coordinated, inclusive and effective service delivery   </w:t>
            </w:r>
          </w:p>
          <w:p w14:paraId="22673B2E" w14:textId="77777777" w:rsidR="004412F1" w:rsidRPr="006817C1" w:rsidRDefault="004412F1" w:rsidP="009B2310">
            <w:pPr>
              <w:rPr>
                <w:iCs/>
                <w:color w:val="000000"/>
                <w:sz w:val="17"/>
                <w:szCs w:val="17"/>
                <w:lang w:val="en-GB"/>
              </w:rPr>
            </w:pPr>
          </w:p>
          <w:p w14:paraId="6D562754" w14:textId="77777777" w:rsidR="004412F1" w:rsidRDefault="004412F1" w:rsidP="009B2310">
            <w:pPr>
              <w:rPr>
                <w:iCs/>
                <w:color w:val="000000"/>
                <w:sz w:val="17"/>
                <w:szCs w:val="17"/>
                <w:lang w:val="en-GB"/>
              </w:rPr>
            </w:pPr>
            <w:r w:rsidRPr="006817C1">
              <w:rPr>
                <w:b/>
                <w:iCs/>
                <w:color w:val="000000"/>
                <w:sz w:val="17"/>
                <w:szCs w:val="17"/>
                <w:lang w:val="en-GB"/>
              </w:rPr>
              <w:t>Indicator 1.1.1.</w:t>
            </w:r>
            <w:r w:rsidRPr="006817C1">
              <w:rPr>
                <w:iCs/>
                <w:color w:val="000000"/>
                <w:sz w:val="17"/>
                <w:szCs w:val="17"/>
                <w:lang w:val="en-GB"/>
              </w:rPr>
              <w:t xml:space="preserve"> Number of counties with</w:t>
            </w:r>
            <w:r>
              <w:rPr>
                <w:iCs/>
                <w:color w:val="000000"/>
                <w:sz w:val="17"/>
                <w:szCs w:val="17"/>
                <w:lang w:val="en-GB"/>
              </w:rPr>
              <w:t>:</w:t>
            </w:r>
            <w:r w:rsidRPr="006817C1">
              <w:rPr>
                <w:iCs/>
                <w:color w:val="000000"/>
                <w:sz w:val="17"/>
                <w:szCs w:val="17"/>
                <w:lang w:val="en-GB"/>
              </w:rPr>
              <w:t xml:space="preserve"> </w:t>
            </w:r>
            <w:r>
              <w:rPr>
                <w:iCs/>
                <w:color w:val="000000"/>
                <w:sz w:val="17"/>
                <w:szCs w:val="17"/>
                <w:lang w:val="en-GB"/>
              </w:rPr>
              <w:t>(</w:t>
            </w:r>
            <w:r w:rsidRPr="006817C1">
              <w:rPr>
                <w:iCs/>
                <w:color w:val="000000"/>
                <w:sz w:val="17"/>
                <w:szCs w:val="17"/>
                <w:lang w:val="en-GB"/>
              </w:rPr>
              <w:t xml:space="preserve">a) established; and </w:t>
            </w:r>
            <w:r>
              <w:rPr>
                <w:iCs/>
                <w:color w:val="000000"/>
                <w:sz w:val="17"/>
                <w:szCs w:val="17"/>
                <w:lang w:val="en-GB"/>
              </w:rPr>
              <w:t>(</w:t>
            </w:r>
            <w:r w:rsidRPr="006817C1">
              <w:rPr>
                <w:iCs/>
                <w:color w:val="000000"/>
                <w:sz w:val="17"/>
                <w:szCs w:val="17"/>
                <w:lang w:val="en-GB"/>
              </w:rPr>
              <w:t xml:space="preserve">b) operational performance management systems </w:t>
            </w:r>
          </w:p>
          <w:p w14:paraId="1D2FB6A2" w14:textId="77777777" w:rsidR="004412F1" w:rsidRPr="006817C1" w:rsidRDefault="004412F1" w:rsidP="009B2310">
            <w:pPr>
              <w:rPr>
                <w:iCs/>
                <w:color w:val="000000"/>
                <w:sz w:val="17"/>
                <w:szCs w:val="17"/>
                <w:lang w:val="en-GB"/>
              </w:rPr>
            </w:pPr>
            <w:r w:rsidRPr="006817C1">
              <w:rPr>
                <w:b/>
                <w:iCs/>
                <w:color w:val="000000"/>
                <w:sz w:val="17"/>
                <w:szCs w:val="17"/>
                <w:lang w:val="en-GB"/>
              </w:rPr>
              <w:t>Baseline:</w:t>
            </w:r>
            <w:r w:rsidRPr="006817C1">
              <w:rPr>
                <w:iCs/>
                <w:color w:val="000000"/>
                <w:sz w:val="17"/>
                <w:szCs w:val="17"/>
                <w:lang w:val="en-GB"/>
              </w:rPr>
              <w:t xml:space="preserve"> a.4; b. 4 (2016)</w:t>
            </w:r>
          </w:p>
          <w:p w14:paraId="4A7E14BB" w14:textId="77777777" w:rsidR="004412F1" w:rsidRPr="006817C1" w:rsidRDefault="004412F1" w:rsidP="009B2310">
            <w:pPr>
              <w:rPr>
                <w:iCs/>
                <w:color w:val="000000"/>
                <w:sz w:val="17"/>
                <w:szCs w:val="17"/>
                <w:lang w:val="en-GB"/>
              </w:rPr>
            </w:pPr>
            <w:r w:rsidRPr="006817C1">
              <w:rPr>
                <w:b/>
                <w:iCs/>
                <w:color w:val="000000"/>
                <w:sz w:val="17"/>
                <w:szCs w:val="17"/>
                <w:lang w:val="en-GB"/>
              </w:rPr>
              <w:t>Target:</w:t>
            </w:r>
            <w:r w:rsidRPr="006817C1">
              <w:rPr>
                <w:iCs/>
                <w:color w:val="000000"/>
                <w:sz w:val="17"/>
                <w:szCs w:val="17"/>
                <w:lang w:val="en-GB"/>
              </w:rPr>
              <w:t xml:space="preserve"> a.10; b. 10 </w:t>
            </w:r>
          </w:p>
          <w:p w14:paraId="61EE2665" w14:textId="77777777" w:rsidR="004412F1" w:rsidRPr="006817C1" w:rsidRDefault="004412F1" w:rsidP="009B2310">
            <w:pPr>
              <w:rPr>
                <w:iCs/>
                <w:color w:val="000000"/>
                <w:sz w:val="17"/>
                <w:szCs w:val="17"/>
                <w:lang w:val="en-GB"/>
              </w:rPr>
            </w:pPr>
            <w:r w:rsidRPr="006817C1">
              <w:rPr>
                <w:b/>
                <w:iCs/>
                <w:color w:val="000000"/>
                <w:sz w:val="17"/>
                <w:szCs w:val="17"/>
                <w:lang w:val="en-GB"/>
              </w:rPr>
              <w:t>Data Source:</w:t>
            </w:r>
            <w:r w:rsidRPr="006817C1">
              <w:rPr>
                <w:iCs/>
                <w:color w:val="000000"/>
                <w:sz w:val="17"/>
                <w:szCs w:val="17"/>
                <w:lang w:val="en-GB"/>
              </w:rPr>
              <w:t xml:space="preserve"> </w:t>
            </w:r>
            <w:r>
              <w:rPr>
                <w:iCs/>
                <w:sz w:val="17"/>
                <w:szCs w:val="17"/>
                <w:lang w:val="en-GB"/>
              </w:rPr>
              <w:t>Council of Governors (</w:t>
            </w:r>
            <w:r w:rsidRPr="006817C1">
              <w:rPr>
                <w:iCs/>
                <w:color w:val="000000"/>
                <w:sz w:val="17"/>
                <w:szCs w:val="17"/>
                <w:lang w:val="en-GB"/>
              </w:rPr>
              <w:t>CoG</w:t>
            </w:r>
            <w:r>
              <w:rPr>
                <w:iCs/>
                <w:color w:val="000000"/>
                <w:sz w:val="17"/>
                <w:szCs w:val="17"/>
                <w:lang w:val="en-GB"/>
              </w:rPr>
              <w:t>)</w:t>
            </w:r>
            <w:r w:rsidRPr="006817C1">
              <w:rPr>
                <w:iCs/>
                <w:color w:val="000000"/>
                <w:sz w:val="17"/>
                <w:szCs w:val="17"/>
                <w:lang w:val="en-GB"/>
              </w:rPr>
              <w:t xml:space="preserve"> </w:t>
            </w:r>
            <w:r w:rsidRPr="006817C1">
              <w:rPr>
                <w:iCs/>
                <w:color w:val="000000"/>
                <w:sz w:val="17"/>
                <w:szCs w:val="17"/>
                <w:lang w:val="en-GB"/>
              </w:rPr>
              <w:tab/>
              <w:t xml:space="preserve">            </w:t>
            </w:r>
          </w:p>
          <w:p w14:paraId="0843D014" w14:textId="77777777" w:rsidR="004412F1" w:rsidRPr="006817C1" w:rsidRDefault="004412F1" w:rsidP="009B2310">
            <w:pPr>
              <w:rPr>
                <w:iCs/>
                <w:color w:val="000000"/>
                <w:sz w:val="17"/>
                <w:szCs w:val="17"/>
                <w:lang w:val="en-GB"/>
              </w:rPr>
            </w:pPr>
            <w:r w:rsidRPr="006817C1">
              <w:rPr>
                <w:b/>
                <w:iCs/>
                <w:color w:val="000000"/>
                <w:sz w:val="17"/>
                <w:szCs w:val="17"/>
                <w:lang w:val="en-GB"/>
              </w:rPr>
              <w:t>Frequency:</w:t>
            </w:r>
            <w:r w:rsidRPr="006817C1">
              <w:rPr>
                <w:iCs/>
                <w:color w:val="000000"/>
                <w:sz w:val="17"/>
                <w:szCs w:val="17"/>
                <w:lang w:val="en-GB"/>
              </w:rPr>
              <w:t xml:space="preserve"> Annual</w:t>
            </w:r>
          </w:p>
          <w:p w14:paraId="2C924B82" w14:textId="77777777" w:rsidR="004412F1" w:rsidRPr="006817C1" w:rsidRDefault="004412F1" w:rsidP="009B2310">
            <w:pPr>
              <w:rPr>
                <w:color w:val="FF0000"/>
                <w:sz w:val="17"/>
                <w:szCs w:val="17"/>
              </w:rPr>
            </w:pPr>
          </w:p>
          <w:p w14:paraId="03679591" w14:textId="77777777" w:rsidR="004412F1" w:rsidRPr="006817C1" w:rsidRDefault="004412F1" w:rsidP="009B2310">
            <w:pPr>
              <w:rPr>
                <w:b/>
                <w:iCs/>
                <w:color w:val="000000"/>
                <w:sz w:val="17"/>
                <w:szCs w:val="17"/>
                <w:lang w:val="en-GB"/>
              </w:rPr>
            </w:pPr>
            <w:r w:rsidRPr="006817C1">
              <w:rPr>
                <w:b/>
                <w:color w:val="000000"/>
                <w:sz w:val="17"/>
                <w:szCs w:val="17"/>
              </w:rPr>
              <w:t>Output 1.2.</w:t>
            </w:r>
            <w:r w:rsidRPr="006817C1">
              <w:rPr>
                <w:color w:val="000000"/>
                <w:sz w:val="17"/>
                <w:szCs w:val="17"/>
              </w:rPr>
              <w:t xml:space="preserve">  Public finance management institutions have strengthened processes and systems for equitable, efficient and accountable service delivery.</w:t>
            </w:r>
          </w:p>
          <w:p w14:paraId="37E19F43" w14:textId="77777777" w:rsidR="004412F1" w:rsidRPr="006817C1" w:rsidRDefault="004412F1" w:rsidP="009B2310">
            <w:pPr>
              <w:rPr>
                <w:iCs/>
                <w:color w:val="000000"/>
                <w:sz w:val="17"/>
                <w:szCs w:val="17"/>
                <w:lang w:val="en-GB"/>
              </w:rPr>
            </w:pPr>
            <w:r w:rsidRPr="006817C1">
              <w:rPr>
                <w:b/>
                <w:iCs/>
                <w:color w:val="000000"/>
                <w:sz w:val="17"/>
                <w:szCs w:val="17"/>
                <w:lang w:val="en-GB"/>
              </w:rPr>
              <w:t>Indicator 1.2.1</w:t>
            </w:r>
            <w:r w:rsidRPr="006817C1">
              <w:rPr>
                <w:iCs/>
                <w:color w:val="000000"/>
                <w:sz w:val="17"/>
                <w:szCs w:val="17"/>
                <w:lang w:val="en-GB"/>
              </w:rPr>
              <w:t xml:space="preserve">:  Number of counties providing detailed public budget information </w:t>
            </w:r>
          </w:p>
          <w:p w14:paraId="65A7A108" w14:textId="77777777" w:rsidR="004412F1" w:rsidRPr="006817C1" w:rsidRDefault="004412F1" w:rsidP="009B2310">
            <w:pPr>
              <w:rPr>
                <w:iCs/>
                <w:sz w:val="17"/>
                <w:szCs w:val="17"/>
                <w:lang w:val="en-GB"/>
              </w:rPr>
            </w:pPr>
            <w:r w:rsidRPr="006817C1">
              <w:rPr>
                <w:b/>
                <w:iCs/>
                <w:sz w:val="17"/>
                <w:szCs w:val="17"/>
                <w:lang w:val="en-GB"/>
              </w:rPr>
              <w:t>Baseline:</w:t>
            </w:r>
            <w:r w:rsidRPr="006817C1">
              <w:rPr>
                <w:iCs/>
                <w:sz w:val="17"/>
                <w:szCs w:val="17"/>
                <w:lang w:val="en-GB"/>
              </w:rPr>
              <w:t xml:space="preserve"> 22 </w:t>
            </w:r>
          </w:p>
          <w:p w14:paraId="6AD9ABFC" w14:textId="77777777" w:rsidR="004412F1" w:rsidRPr="006817C1" w:rsidRDefault="004412F1" w:rsidP="009B2310">
            <w:pPr>
              <w:rPr>
                <w:iCs/>
                <w:sz w:val="17"/>
                <w:szCs w:val="17"/>
                <w:lang w:val="en-GB"/>
              </w:rPr>
            </w:pPr>
            <w:r w:rsidRPr="006817C1">
              <w:rPr>
                <w:b/>
                <w:iCs/>
                <w:sz w:val="17"/>
                <w:szCs w:val="17"/>
                <w:lang w:val="en-GB"/>
              </w:rPr>
              <w:t>Target:</w:t>
            </w:r>
            <w:r w:rsidRPr="006817C1">
              <w:rPr>
                <w:iCs/>
                <w:sz w:val="17"/>
                <w:szCs w:val="17"/>
                <w:lang w:val="en-GB"/>
              </w:rPr>
              <w:t xml:space="preserve"> 30 </w:t>
            </w:r>
          </w:p>
          <w:p w14:paraId="3BA7DAF5" w14:textId="77777777" w:rsidR="004412F1" w:rsidRPr="006817C1" w:rsidRDefault="004412F1" w:rsidP="009B2310">
            <w:pPr>
              <w:rPr>
                <w:iCs/>
                <w:sz w:val="17"/>
                <w:szCs w:val="17"/>
                <w:lang w:val="en-GB"/>
              </w:rPr>
            </w:pPr>
            <w:r w:rsidRPr="006817C1">
              <w:rPr>
                <w:b/>
                <w:iCs/>
                <w:sz w:val="17"/>
                <w:szCs w:val="17"/>
                <w:lang w:val="en-GB"/>
              </w:rPr>
              <w:t>Data Source:</w:t>
            </w:r>
            <w:r w:rsidRPr="006817C1">
              <w:rPr>
                <w:iCs/>
                <w:sz w:val="17"/>
                <w:szCs w:val="17"/>
                <w:lang w:val="en-GB"/>
              </w:rPr>
              <w:t xml:space="preserve"> International Budget Partnership</w:t>
            </w:r>
          </w:p>
          <w:p w14:paraId="3187BEF3" w14:textId="77777777" w:rsidR="004412F1" w:rsidRPr="006817C1" w:rsidRDefault="004412F1" w:rsidP="009B2310">
            <w:pPr>
              <w:rPr>
                <w:color w:val="000000"/>
                <w:sz w:val="17"/>
                <w:szCs w:val="17"/>
              </w:rPr>
            </w:pPr>
          </w:p>
          <w:p w14:paraId="3FB530DE" w14:textId="0A135798" w:rsidR="004412F1" w:rsidRPr="006817C1" w:rsidRDefault="004412F1" w:rsidP="009B2310">
            <w:pPr>
              <w:rPr>
                <w:color w:val="000000"/>
                <w:sz w:val="17"/>
                <w:szCs w:val="17"/>
              </w:rPr>
            </w:pPr>
            <w:r w:rsidRPr="006817C1">
              <w:rPr>
                <w:b/>
                <w:color w:val="000000"/>
                <w:sz w:val="17"/>
                <w:szCs w:val="17"/>
              </w:rPr>
              <w:t>Output 1.3:</w:t>
            </w:r>
            <w:r w:rsidRPr="006817C1">
              <w:rPr>
                <w:color w:val="000000"/>
                <w:sz w:val="17"/>
                <w:szCs w:val="17"/>
              </w:rPr>
              <w:t xml:space="preserve"> County</w:t>
            </w:r>
            <w:r w:rsidR="00751963">
              <w:rPr>
                <w:color w:val="000000"/>
                <w:sz w:val="17"/>
                <w:szCs w:val="17"/>
              </w:rPr>
              <w:t>-</w:t>
            </w:r>
            <w:r w:rsidRPr="006817C1">
              <w:rPr>
                <w:color w:val="000000"/>
                <w:sz w:val="17"/>
                <w:szCs w:val="17"/>
              </w:rPr>
              <w:t xml:space="preserve"> level institutions have strengthened capacity for evidence</w:t>
            </w:r>
            <w:r>
              <w:rPr>
                <w:color w:val="000000"/>
                <w:sz w:val="17"/>
                <w:szCs w:val="17"/>
              </w:rPr>
              <w:t>-</w:t>
            </w:r>
            <w:r w:rsidRPr="006817C1">
              <w:rPr>
                <w:color w:val="000000"/>
                <w:sz w:val="17"/>
                <w:szCs w:val="17"/>
              </w:rPr>
              <w:t xml:space="preserve">based planning, budgeting, implementation, </w:t>
            </w:r>
            <w:r w:rsidRPr="006817C1">
              <w:rPr>
                <w:color w:val="000000"/>
                <w:sz w:val="17"/>
                <w:szCs w:val="17"/>
              </w:rPr>
              <w:lastRenderedPageBreak/>
              <w:t>monitoring and evaluation for accountable service delivery</w:t>
            </w:r>
          </w:p>
          <w:p w14:paraId="25207E28" w14:textId="77777777" w:rsidR="004412F1" w:rsidRPr="006817C1" w:rsidRDefault="004412F1" w:rsidP="009B2310">
            <w:pPr>
              <w:rPr>
                <w:b/>
                <w:iCs/>
                <w:color w:val="000000"/>
                <w:sz w:val="17"/>
                <w:szCs w:val="17"/>
              </w:rPr>
            </w:pPr>
          </w:p>
          <w:p w14:paraId="6A947F46" w14:textId="77777777" w:rsidR="004412F1" w:rsidRPr="006817C1" w:rsidRDefault="004412F1" w:rsidP="009B2310">
            <w:pPr>
              <w:rPr>
                <w:iCs/>
                <w:color w:val="000000"/>
                <w:sz w:val="17"/>
                <w:szCs w:val="17"/>
              </w:rPr>
            </w:pPr>
            <w:r w:rsidRPr="006817C1">
              <w:rPr>
                <w:b/>
                <w:iCs/>
                <w:color w:val="000000"/>
                <w:sz w:val="17"/>
                <w:szCs w:val="17"/>
              </w:rPr>
              <w:t>Indicator 1.3.1.</w:t>
            </w:r>
            <w:r w:rsidRPr="006817C1">
              <w:rPr>
                <w:iCs/>
                <w:color w:val="000000"/>
                <w:sz w:val="17"/>
                <w:szCs w:val="17"/>
              </w:rPr>
              <w:t xml:space="preserve">  Number of counties with improved M&amp;E capacities </w:t>
            </w:r>
          </w:p>
          <w:p w14:paraId="5DE389DA" w14:textId="77777777" w:rsidR="004412F1" w:rsidRPr="006817C1" w:rsidRDefault="004412F1" w:rsidP="009B2310">
            <w:pPr>
              <w:rPr>
                <w:iCs/>
                <w:color w:val="000000"/>
                <w:sz w:val="17"/>
                <w:szCs w:val="17"/>
              </w:rPr>
            </w:pPr>
            <w:r w:rsidRPr="006817C1">
              <w:rPr>
                <w:b/>
                <w:bCs/>
                <w:iCs/>
                <w:color w:val="000000"/>
                <w:sz w:val="17"/>
                <w:szCs w:val="17"/>
              </w:rPr>
              <w:t>Baseline:</w:t>
            </w:r>
            <w:r w:rsidRPr="006817C1">
              <w:rPr>
                <w:bCs/>
                <w:iCs/>
                <w:color w:val="000000"/>
                <w:sz w:val="17"/>
                <w:szCs w:val="17"/>
              </w:rPr>
              <w:t xml:space="preserve"> 7 (2016)</w:t>
            </w:r>
          </w:p>
          <w:p w14:paraId="7D2C5FD6" w14:textId="77777777" w:rsidR="004412F1" w:rsidRPr="006817C1" w:rsidRDefault="004412F1" w:rsidP="009B2310">
            <w:pPr>
              <w:rPr>
                <w:iCs/>
                <w:color w:val="000000"/>
                <w:sz w:val="17"/>
                <w:szCs w:val="17"/>
              </w:rPr>
            </w:pPr>
            <w:r w:rsidRPr="006817C1">
              <w:rPr>
                <w:b/>
                <w:bCs/>
                <w:iCs/>
                <w:color w:val="000000"/>
                <w:sz w:val="17"/>
                <w:szCs w:val="17"/>
              </w:rPr>
              <w:t>Target:</w:t>
            </w:r>
            <w:r w:rsidRPr="006817C1">
              <w:rPr>
                <w:bCs/>
                <w:iCs/>
                <w:color w:val="000000"/>
                <w:sz w:val="17"/>
                <w:szCs w:val="17"/>
              </w:rPr>
              <w:t xml:space="preserve"> 15</w:t>
            </w:r>
          </w:p>
          <w:p w14:paraId="2A65874F" w14:textId="54C98915" w:rsidR="004412F1" w:rsidRPr="006817C1" w:rsidRDefault="004412F1" w:rsidP="009B2310">
            <w:pPr>
              <w:rPr>
                <w:iCs/>
                <w:color w:val="000000"/>
                <w:sz w:val="17"/>
                <w:szCs w:val="17"/>
              </w:rPr>
            </w:pPr>
            <w:r w:rsidRPr="006817C1">
              <w:rPr>
                <w:b/>
                <w:bCs/>
                <w:iCs/>
                <w:color w:val="000000"/>
                <w:sz w:val="17"/>
                <w:szCs w:val="17"/>
              </w:rPr>
              <w:t>Data Source:</w:t>
            </w:r>
            <w:r w:rsidRPr="006817C1">
              <w:rPr>
                <w:bCs/>
                <w:iCs/>
                <w:color w:val="000000"/>
                <w:sz w:val="17"/>
                <w:szCs w:val="17"/>
              </w:rPr>
              <w:t xml:space="preserve"> </w:t>
            </w:r>
            <w:r>
              <w:rPr>
                <w:bCs/>
                <w:iCs/>
                <w:color w:val="000000"/>
                <w:sz w:val="17"/>
                <w:szCs w:val="17"/>
              </w:rPr>
              <w:t xml:space="preserve">Directorate of Monitoring and </w:t>
            </w:r>
            <w:r w:rsidR="00CF3A9F">
              <w:rPr>
                <w:bCs/>
                <w:iCs/>
                <w:color w:val="000000"/>
                <w:sz w:val="17"/>
                <w:szCs w:val="17"/>
              </w:rPr>
              <w:t>Evaluation Frequency</w:t>
            </w:r>
            <w:r w:rsidRPr="006817C1">
              <w:rPr>
                <w:b/>
                <w:bCs/>
                <w:iCs/>
                <w:color w:val="000000"/>
                <w:sz w:val="17"/>
                <w:szCs w:val="17"/>
              </w:rPr>
              <w:t>:</w:t>
            </w:r>
            <w:r w:rsidRPr="006817C1">
              <w:rPr>
                <w:bCs/>
                <w:iCs/>
                <w:color w:val="000000"/>
                <w:sz w:val="17"/>
                <w:szCs w:val="17"/>
              </w:rPr>
              <w:t xml:space="preserve"> Annual</w:t>
            </w:r>
          </w:p>
          <w:p w14:paraId="1404B133" w14:textId="77777777" w:rsidR="004412F1" w:rsidRPr="006817C1" w:rsidRDefault="004412F1" w:rsidP="009B2310">
            <w:pPr>
              <w:rPr>
                <w:iCs/>
                <w:color w:val="000000"/>
                <w:sz w:val="17"/>
                <w:szCs w:val="17"/>
              </w:rPr>
            </w:pPr>
          </w:p>
          <w:p w14:paraId="38019951" w14:textId="77777777" w:rsidR="004412F1" w:rsidRPr="006817C1" w:rsidRDefault="004412F1" w:rsidP="009B2310">
            <w:pPr>
              <w:rPr>
                <w:b/>
                <w:iCs/>
                <w:color w:val="000000"/>
                <w:sz w:val="17"/>
                <w:szCs w:val="17"/>
                <w:lang w:val="en-GB"/>
              </w:rPr>
            </w:pPr>
            <w:r w:rsidRPr="006817C1">
              <w:rPr>
                <w:b/>
                <w:color w:val="000000"/>
                <w:sz w:val="17"/>
                <w:szCs w:val="17"/>
              </w:rPr>
              <w:t>Output 1.4</w:t>
            </w:r>
            <w:r w:rsidRPr="006817C1">
              <w:rPr>
                <w:color w:val="000000"/>
                <w:sz w:val="17"/>
                <w:szCs w:val="17"/>
              </w:rPr>
              <w:t xml:space="preserve">: </w:t>
            </w:r>
            <w:r w:rsidRPr="00641B12">
              <w:rPr>
                <w:color w:val="000000"/>
                <w:sz w:val="17"/>
                <w:szCs w:val="17"/>
              </w:rPr>
              <w:t>People in Kenya have capacity to engage, deepen accountability and transparency in devolution,</w:t>
            </w:r>
            <w:r w:rsidRPr="00641B12" w:rsidDel="00641B12">
              <w:rPr>
                <w:color w:val="000000"/>
                <w:sz w:val="17"/>
                <w:szCs w:val="17"/>
              </w:rPr>
              <w:t xml:space="preserve"> </w:t>
            </w:r>
            <w:r>
              <w:rPr>
                <w:color w:val="000000"/>
                <w:sz w:val="17"/>
                <w:szCs w:val="17"/>
              </w:rPr>
              <w:t xml:space="preserve">especially </w:t>
            </w:r>
            <w:r w:rsidRPr="006817C1">
              <w:rPr>
                <w:color w:val="000000"/>
                <w:sz w:val="17"/>
                <w:szCs w:val="17"/>
              </w:rPr>
              <w:t xml:space="preserve">women, youth </w:t>
            </w:r>
            <w:r>
              <w:rPr>
                <w:color w:val="000000"/>
                <w:sz w:val="17"/>
                <w:szCs w:val="17"/>
              </w:rPr>
              <w:t>and</w:t>
            </w:r>
            <w:r w:rsidRPr="006817C1">
              <w:rPr>
                <w:color w:val="000000"/>
                <w:sz w:val="17"/>
                <w:szCs w:val="17"/>
              </w:rPr>
              <w:t xml:space="preserve"> </w:t>
            </w:r>
            <w:r>
              <w:rPr>
                <w:color w:val="000000"/>
                <w:sz w:val="17"/>
                <w:szCs w:val="17"/>
              </w:rPr>
              <w:t>persons with disability</w:t>
            </w:r>
            <w:r w:rsidRPr="006817C1">
              <w:rPr>
                <w:color w:val="000000"/>
                <w:sz w:val="17"/>
                <w:szCs w:val="17"/>
              </w:rPr>
              <w:t xml:space="preserve"> </w:t>
            </w:r>
          </w:p>
          <w:p w14:paraId="30637951" w14:textId="77777777" w:rsidR="004412F1" w:rsidRPr="006817C1" w:rsidRDefault="004412F1" w:rsidP="009B2310">
            <w:pPr>
              <w:rPr>
                <w:iCs/>
                <w:color w:val="000000"/>
                <w:sz w:val="17"/>
                <w:szCs w:val="17"/>
                <w:lang w:val="en-GB"/>
              </w:rPr>
            </w:pPr>
            <w:r w:rsidRPr="006817C1">
              <w:rPr>
                <w:b/>
                <w:iCs/>
                <w:color w:val="000000"/>
                <w:sz w:val="17"/>
                <w:szCs w:val="17"/>
                <w:lang w:val="en-GB"/>
              </w:rPr>
              <w:t>Indicator 1.4. 1</w:t>
            </w:r>
            <w:r w:rsidRPr="006817C1">
              <w:rPr>
                <w:iCs/>
                <w:color w:val="000000"/>
                <w:sz w:val="17"/>
                <w:szCs w:val="17"/>
                <w:lang w:val="en-GB"/>
              </w:rPr>
              <w:t xml:space="preserve">. Percentage of counties with mechanisms for inclusive public participation of women, youth and </w:t>
            </w:r>
            <w:r>
              <w:rPr>
                <w:color w:val="000000"/>
                <w:sz w:val="17"/>
                <w:szCs w:val="17"/>
              </w:rPr>
              <w:t>persons with a disability</w:t>
            </w:r>
          </w:p>
          <w:p w14:paraId="7331D770" w14:textId="77777777" w:rsidR="004412F1" w:rsidRPr="006817C1" w:rsidRDefault="004412F1" w:rsidP="009B2310">
            <w:pPr>
              <w:rPr>
                <w:iCs/>
                <w:color w:val="000000"/>
                <w:sz w:val="17"/>
                <w:szCs w:val="17"/>
                <w:lang w:val="en-GB"/>
              </w:rPr>
            </w:pPr>
            <w:r w:rsidRPr="006817C1">
              <w:rPr>
                <w:b/>
                <w:iCs/>
                <w:color w:val="000000"/>
                <w:sz w:val="17"/>
                <w:szCs w:val="17"/>
                <w:lang w:val="en-GB"/>
              </w:rPr>
              <w:t>Baseline:</w:t>
            </w:r>
            <w:r w:rsidRPr="006817C1">
              <w:rPr>
                <w:iCs/>
                <w:color w:val="000000"/>
                <w:sz w:val="17"/>
                <w:szCs w:val="17"/>
                <w:lang w:val="en-GB"/>
              </w:rPr>
              <w:t xml:space="preserve"> 33.3 % (2016)</w:t>
            </w:r>
          </w:p>
          <w:p w14:paraId="5A22DAAC" w14:textId="77777777" w:rsidR="004412F1" w:rsidRPr="006817C1" w:rsidRDefault="004412F1" w:rsidP="009B2310">
            <w:pPr>
              <w:rPr>
                <w:iCs/>
                <w:color w:val="000000"/>
                <w:sz w:val="17"/>
                <w:szCs w:val="17"/>
                <w:lang w:val="en-GB"/>
              </w:rPr>
            </w:pPr>
            <w:r w:rsidRPr="006817C1">
              <w:rPr>
                <w:b/>
                <w:iCs/>
                <w:color w:val="000000"/>
                <w:sz w:val="17"/>
                <w:szCs w:val="17"/>
                <w:lang w:val="en-GB"/>
              </w:rPr>
              <w:t>Target:</w:t>
            </w:r>
            <w:r w:rsidRPr="006817C1">
              <w:rPr>
                <w:iCs/>
                <w:color w:val="000000"/>
                <w:sz w:val="17"/>
                <w:szCs w:val="17"/>
                <w:lang w:val="en-GB"/>
              </w:rPr>
              <w:t xml:space="preserve"> 50%</w:t>
            </w:r>
          </w:p>
          <w:p w14:paraId="062BE369" w14:textId="77777777" w:rsidR="004412F1" w:rsidRPr="006817C1" w:rsidRDefault="004412F1" w:rsidP="009B2310">
            <w:pPr>
              <w:rPr>
                <w:iCs/>
                <w:color w:val="000000"/>
                <w:sz w:val="17"/>
                <w:szCs w:val="17"/>
                <w:lang w:val="en-GB"/>
              </w:rPr>
            </w:pPr>
            <w:r w:rsidRPr="006817C1">
              <w:rPr>
                <w:b/>
                <w:iCs/>
                <w:color w:val="000000"/>
                <w:sz w:val="17"/>
                <w:szCs w:val="17"/>
                <w:lang w:val="en-GB"/>
              </w:rPr>
              <w:t>Data source:</w:t>
            </w:r>
            <w:r w:rsidRPr="006817C1">
              <w:rPr>
                <w:iCs/>
                <w:color w:val="000000"/>
                <w:sz w:val="17"/>
                <w:szCs w:val="17"/>
                <w:lang w:val="en-GB"/>
              </w:rPr>
              <w:t xml:space="preserve"> CoG</w:t>
            </w:r>
          </w:p>
          <w:p w14:paraId="5CBFEE56" w14:textId="77777777" w:rsidR="004412F1" w:rsidRPr="006817C1" w:rsidRDefault="004412F1" w:rsidP="009B2310">
            <w:pPr>
              <w:rPr>
                <w:iCs/>
                <w:color w:val="000000"/>
                <w:sz w:val="17"/>
                <w:szCs w:val="17"/>
                <w:lang w:val="en-GB"/>
              </w:rPr>
            </w:pPr>
            <w:r w:rsidRPr="006817C1">
              <w:rPr>
                <w:b/>
                <w:iCs/>
                <w:color w:val="000000"/>
                <w:sz w:val="17"/>
                <w:szCs w:val="17"/>
                <w:lang w:val="en-GB"/>
              </w:rPr>
              <w:t>Frequency:</w:t>
            </w:r>
            <w:r w:rsidRPr="006817C1">
              <w:rPr>
                <w:iCs/>
                <w:color w:val="000000"/>
                <w:sz w:val="17"/>
                <w:szCs w:val="17"/>
                <w:lang w:val="en-GB"/>
              </w:rPr>
              <w:t xml:space="preserve"> Annual</w:t>
            </w:r>
          </w:p>
        </w:tc>
        <w:tc>
          <w:tcPr>
            <w:tcW w:w="675" w:type="pct"/>
            <w:vMerge w:val="restart"/>
          </w:tcPr>
          <w:p w14:paraId="766370B6" w14:textId="77777777" w:rsidR="00F14F57" w:rsidRDefault="004412F1" w:rsidP="009B2310">
            <w:pPr>
              <w:rPr>
                <w:iCs/>
                <w:sz w:val="17"/>
                <w:szCs w:val="17"/>
                <w:lang w:val="en-GB"/>
              </w:rPr>
            </w:pPr>
            <w:r>
              <w:rPr>
                <w:iCs/>
                <w:sz w:val="17"/>
                <w:szCs w:val="17"/>
                <w:lang w:val="en-GB"/>
              </w:rPr>
              <w:lastRenderedPageBreak/>
              <w:t>Ministry of Devolution and Planning (</w:t>
            </w:r>
            <w:r w:rsidRPr="006817C1">
              <w:rPr>
                <w:iCs/>
                <w:sz w:val="17"/>
                <w:szCs w:val="17"/>
                <w:lang w:val="en-GB"/>
              </w:rPr>
              <w:t>MoDP</w:t>
            </w:r>
            <w:r>
              <w:rPr>
                <w:iCs/>
                <w:sz w:val="17"/>
                <w:szCs w:val="17"/>
                <w:lang w:val="en-GB"/>
              </w:rPr>
              <w:t>)</w:t>
            </w:r>
            <w:r w:rsidRPr="006817C1">
              <w:rPr>
                <w:iCs/>
                <w:sz w:val="17"/>
                <w:szCs w:val="17"/>
                <w:lang w:val="en-GB"/>
              </w:rPr>
              <w:t>, CoG,</w:t>
            </w:r>
          </w:p>
          <w:p w14:paraId="7E583EE6" w14:textId="77777777" w:rsidR="00F14F57" w:rsidRDefault="004412F1" w:rsidP="009B2310">
            <w:pPr>
              <w:rPr>
                <w:iCs/>
                <w:sz w:val="17"/>
                <w:szCs w:val="17"/>
                <w:lang w:val="en-GB"/>
              </w:rPr>
            </w:pPr>
            <w:r>
              <w:rPr>
                <w:iCs/>
                <w:sz w:val="17"/>
                <w:szCs w:val="17"/>
                <w:lang w:val="en-GB"/>
              </w:rPr>
              <w:t>Intergovernmental Relations Technical Committee</w:t>
            </w:r>
            <w:r w:rsidRPr="006817C1">
              <w:rPr>
                <w:iCs/>
                <w:sz w:val="17"/>
                <w:szCs w:val="17"/>
                <w:lang w:val="en-GB"/>
              </w:rPr>
              <w:t xml:space="preserve">, </w:t>
            </w:r>
          </w:p>
          <w:p w14:paraId="2431B56E" w14:textId="77777777" w:rsidR="00F14F57" w:rsidRDefault="004412F1" w:rsidP="009B2310">
            <w:pPr>
              <w:rPr>
                <w:iCs/>
                <w:sz w:val="17"/>
                <w:szCs w:val="17"/>
                <w:lang w:val="en-GB"/>
              </w:rPr>
            </w:pPr>
            <w:r>
              <w:rPr>
                <w:iCs/>
                <w:sz w:val="17"/>
                <w:szCs w:val="17"/>
                <w:lang w:val="en-GB"/>
              </w:rPr>
              <w:t>Independent Electoral and Boundaries Commission (</w:t>
            </w:r>
            <w:r w:rsidRPr="006817C1">
              <w:rPr>
                <w:iCs/>
                <w:sz w:val="17"/>
                <w:szCs w:val="17"/>
                <w:lang w:val="en-GB"/>
              </w:rPr>
              <w:t>IE</w:t>
            </w:r>
            <w:r>
              <w:rPr>
                <w:iCs/>
                <w:sz w:val="17"/>
                <w:szCs w:val="17"/>
                <w:lang w:val="en-GB"/>
              </w:rPr>
              <w:t>B</w:t>
            </w:r>
            <w:r w:rsidRPr="006817C1">
              <w:rPr>
                <w:iCs/>
                <w:sz w:val="17"/>
                <w:szCs w:val="17"/>
                <w:lang w:val="en-GB"/>
              </w:rPr>
              <w:t>C</w:t>
            </w:r>
            <w:r w:rsidR="00751963">
              <w:rPr>
                <w:iCs/>
                <w:sz w:val="17"/>
                <w:szCs w:val="17"/>
                <w:lang w:val="en-GB"/>
              </w:rPr>
              <w:t>)</w:t>
            </w:r>
            <w:r w:rsidRPr="006817C1">
              <w:rPr>
                <w:iCs/>
                <w:sz w:val="17"/>
                <w:szCs w:val="17"/>
                <w:lang w:val="en-GB"/>
              </w:rPr>
              <w:t xml:space="preserve">, </w:t>
            </w:r>
            <w:r>
              <w:rPr>
                <w:iCs/>
                <w:sz w:val="17"/>
                <w:szCs w:val="17"/>
                <w:lang w:val="en-GB"/>
              </w:rPr>
              <w:t>Commission on Revenue Allocation</w:t>
            </w:r>
            <w:r w:rsidRPr="006817C1">
              <w:rPr>
                <w:iCs/>
                <w:sz w:val="17"/>
                <w:szCs w:val="17"/>
                <w:lang w:val="en-GB"/>
              </w:rPr>
              <w:t xml:space="preserve">, </w:t>
            </w:r>
            <w:r>
              <w:rPr>
                <w:iCs/>
                <w:sz w:val="17"/>
                <w:szCs w:val="17"/>
                <w:lang w:val="en-GB"/>
              </w:rPr>
              <w:t>Kenya School of Government</w:t>
            </w:r>
            <w:r w:rsidRPr="006817C1">
              <w:rPr>
                <w:iCs/>
                <w:sz w:val="17"/>
                <w:szCs w:val="17"/>
                <w:lang w:val="en-GB"/>
              </w:rPr>
              <w:t xml:space="preserve">, </w:t>
            </w:r>
          </w:p>
          <w:p w14:paraId="25B0EB04" w14:textId="1A720B8C" w:rsidR="00F14F57" w:rsidRDefault="004412F1" w:rsidP="009B2310">
            <w:pPr>
              <w:rPr>
                <w:iCs/>
                <w:sz w:val="17"/>
                <w:szCs w:val="17"/>
                <w:lang w:val="en-GB"/>
              </w:rPr>
            </w:pPr>
            <w:r w:rsidRPr="006817C1">
              <w:rPr>
                <w:iCs/>
                <w:sz w:val="17"/>
                <w:szCs w:val="17"/>
                <w:lang w:val="en-GB"/>
              </w:rPr>
              <w:t xml:space="preserve">National Treasury, County </w:t>
            </w:r>
            <w:r>
              <w:rPr>
                <w:iCs/>
                <w:sz w:val="17"/>
                <w:szCs w:val="17"/>
                <w:lang w:val="en-GB"/>
              </w:rPr>
              <w:t>g</w:t>
            </w:r>
            <w:r w:rsidRPr="006817C1">
              <w:rPr>
                <w:iCs/>
                <w:sz w:val="17"/>
                <w:szCs w:val="17"/>
                <w:lang w:val="en-GB"/>
              </w:rPr>
              <w:t xml:space="preserve">overnments, </w:t>
            </w:r>
            <w:r>
              <w:rPr>
                <w:iCs/>
                <w:sz w:val="17"/>
                <w:szCs w:val="17"/>
                <w:lang w:val="en-GB"/>
              </w:rPr>
              <w:t>c</w:t>
            </w:r>
            <w:r w:rsidRPr="006817C1">
              <w:rPr>
                <w:iCs/>
                <w:sz w:val="17"/>
                <w:szCs w:val="17"/>
                <w:lang w:val="en-GB"/>
              </w:rPr>
              <w:t xml:space="preserve">ivil </w:t>
            </w:r>
            <w:r>
              <w:rPr>
                <w:iCs/>
                <w:sz w:val="17"/>
                <w:szCs w:val="17"/>
                <w:lang w:val="en-GB"/>
              </w:rPr>
              <w:t>s</w:t>
            </w:r>
            <w:r w:rsidRPr="006817C1">
              <w:rPr>
                <w:iCs/>
                <w:sz w:val="17"/>
                <w:szCs w:val="17"/>
                <w:lang w:val="en-GB"/>
              </w:rPr>
              <w:t xml:space="preserve">ociety, </w:t>
            </w:r>
          </w:p>
          <w:p w14:paraId="4A27461D" w14:textId="341BB30E" w:rsidR="004412F1" w:rsidRPr="006817C1" w:rsidRDefault="004412F1" w:rsidP="009B2310">
            <w:pPr>
              <w:rPr>
                <w:iCs/>
                <w:color w:val="000000"/>
                <w:sz w:val="17"/>
                <w:szCs w:val="17"/>
                <w:lang w:val="en-GB"/>
              </w:rPr>
            </w:pPr>
            <w:r w:rsidRPr="006817C1">
              <w:rPr>
                <w:iCs/>
                <w:sz w:val="17"/>
                <w:szCs w:val="17"/>
                <w:lang w:val="en-GB"/>
              </w:rPr>
              <w:t>UN</w:t>
            </w:r>
            <w:r>
              <w:rPr>
                <w:iCs/>
                <w:sz w:val="17"/>
                <w:szCs w:val="17"/>
                <w:lang w:val="en-GB"/>
              </w:rPr>
              <w:t>-</w:t>
            </w:r>
            <w:r w:rsidRPr="006817C1">
              <w:rPr>
                <w:iCs/>
                <w:sz w:val="17"/>
                <w:szCs w:val="17"/>
                <w:lang w:val="en-GB"/>
              </w:rPr>
              <w:t>Women, UNICEF, WFP, UNCDF</w:t>
            </w:r>
          </w:p>
        </w:tc>
        <w:tc>
          <w:tcPr>
            <w:tcW w:w="958" w:type="pct"/>
            <w:tcMar>
              <w:top w:w="15" w:type="dxa"/>
              <w:left w:w="108" w:type="dxa"/>
              <w:bottom w:w="0" w:type="dxa"/>
              <w:right w:w="108" w:type="dxa"/>
            </w:tcMar>
          </w:tcPr>
          <w:p w14:paraId="5FB99D73" w14:textId="77777777" w:rsidR="004412F1" w:rsidRPr="006817C1" w:rsidRDefault="004412F1" w:rsidP="009B2310">
            <w:pPr>
              <w:rPr>
                <w:b/>
                <w:color w:val="000000"/>
                <w:sz w:val="17"/>
                <w:szCs w:val="17"/>
              </w:rPr>
            </w:pPr>
            <w:r w:rsidRPr="006817C1">
              <w:rPr>
                <w:b/>
                <w:color w:val="000000"/>
                <w:sz w:val="17"/>
                <w:szCs w:val="17"/>
              </w:rPr>
              <w:t>Regular:  2,492</w:t>
            </w:r>
          </w:p>
        </w:tc>
      </w:tr>
      <w:tr w:rsidR="004412F1" w:rsidRPr="006817C1" w14:paraId="2ECADD31" w14:textId="77777777" w:rsidTr="009B2310">
        <w:tc>
          <w:tcPr>
            <w:tcW w:w="1097" w:type="pct"/>
            <w:vMerge/>
            <w:tcBorders>
              <w:bottom w:val="single" w:sz="4" w:space="0" w:color="auto"/>
            </w:tcBorders>
            <w:tcMar>
              <w:top w:w="72" w:type="dxa"/>
              <w:left w:w="144" w:type="dxa"/>
              <w:bottom w:w="72" w:type="dxa"/>
              <w:right w:w="144" w:type="dxa"/>
            </w:tcMar>
          </w:tcPr>
          <w:p w14:paraId="44E03683" w14:textId="77777777" w:rsidR="004412F1" w:rsidRPr="006817C1" w:rsidRDefault="004412F1" w:rsidP="009B2310">
            <w:pPr>
              <w:rPr>
                <w:i/>
                <w:iCs/>
                <w:color w:val="000000"/>
                <w:sz w:val="17"/>
                <w:szCs w:val="17"/>
                <w:lang w:val="en-GB"/>
              </w:rPr>
            </w:pPr>
          </w:p>
        </w:tc>
        <w:tc>
          <w:tcPr>
            <w:tcW w:w="1178" w:type="pct"/>
            <w:vMerge/>
            <w:tcBorders>
              <w:bottom w:val="single" w:sz="4" w:space="0" w:color="auto"/>
            </w:tcBorders>
          </w:tcPr>
          <w:p w14:paraId="689825B7" w14:textId="77777777" w:rsidR="004412F1" w:rsidRPr="006817C1" w:rsidRDefault="004412F1" w:rsidP="009B2310">
            <w:pPr>
              <w:rPr>
                <w:i/>
                <w:iCs/>
                <w:color w:val="000000"/>
                <w:sz w:val="17"/>
                <w:szCs w:val="17"/>
                <w:lang w:val="en-GB"/>
              </w:rPr>
            </w:pPr>
          </w:p>
        </w:tc>
        <w:tc>
          <w:tcPr>
            <w:tcW w:w="1092" w:type="pct"/>
            <w:vMerge/>
            <w:tcBorders>
              <w:bottom w:val="single" w:sz="4" w:space="0" w:color="auto"/>
            </w:tcBorders>
            <w:shd w:val="clear" w:color="auto" w:fill="auto"/>
            <w:tcMar>
              <w:top w:w="72" w:type="dxa"/>
              <w:left w:w="144" w:type="dxa"/>
              <w:bottom w:w="72" w:type="dxa"/>
              <w:right w:w="144" w:type="dxa"/>
            </w:tcMar>
          </w:tcPr>
          <w:p w14:paraId="2FEBCD6D" w14:textId="77777777" w:rsidR="004412F1" w:rsidRPr="006817C1" w:rsidRDefault="004412F1" w:rsidP="009B2310">
            <w:pPr>
              <w:rPr>
                <w:i/>
                <w:iCs/>
                <w:color w:val="000000"/>
                <w:sz w:val="17"/>
                <w:szCs w:val="17"/>
                <w:lang w:val="en-GB"/>
              </w:rPr>
            </w:pPr>
          </w:p>
        </w:tc>
        <w:tc>
          <w:tcPr>
            <w:tcW w:w="675" w:type="pct"/>
            <w:vMerge/>
            <w:tcBorders>
              <w:bottom w:val="single" w:sz="4" w:space="0" w:color="auto"/>
            </w:tcBorders>
          </w:tcPr>
          <w:p w14:paraId="04349050" w14:textId="77777777" w:rsidR="004412F1" w:rsidRPr="006817C1" w:rsidRDefault="004412F1" w:rsidP="009B2310">
            <w:pPr>
              <w:rPr>
                <w:i/>
                <w:iCs/>
                <w:color w:val="000000"/>
                <w:sz w:val="17"/>
                <w:szCs w:val="17"/>
                <w:lang w:val="en-GB"/>
              </w:rPr>
            </w:pPr>
          </w:p>
        </w:tc>
        <w:tc>
          <w:tcPr>
            <w:tcW w:w="958" w:type="pct"/>
            <w:tcBorders>
              <w:bottom w:val="single" w:sz="4" w:space="0" w:color="auto"/>
            </w:tcBorders>
            <w:tcMar>
              <w:top w:w="15" w:type="dxa"/>
              <w:left w:w="108" w:type="dxa"/>
              <w:bottom w:w="0" w:type="dxa"/>
              <w:right w:w="108" w:type="dxa"/>
            </w:tcMar>
          </w:tcPr>
          <w:p w14:paraId="6F910C00" w14:textId="77777777" w:rsidR="004412F1" w:rsidRPr="006817C1" w:rsidRDefault="004412F1" w:rsidP="009B2310">
            <w:pPr>
              <w:rPr>
                <w:b/>
                <w:color w:val="000000"/>
                <w:sz w:val="17"/>
                <w:szCs w:val="17"/>
              </w:rPr>
            </w:pPr>
            <w:r w:rsidRPr="006817C1">
              <w:rPr>
                <w:b/>
                <w:color w:val="000000"/>
                <w:sz w:val="17"/>
                <w:szCs w:val="17"/>
              </w:rPr>
              <w:t>Other:   43,750</w:t>
            </w:r>
          </w:p>
          <w:p w14:paraId="2A864C05" w14:textId="77777777" w:rsidR="004412F1" w:rsidRPr="006817C1" w:rsidRDefault="004412F1" w:rsidP="009B2310">
            <w:pPr>
              <w:rPr>
                <w:b/>
                <w:color w:val="000000"/>
                <w:sz w:val="17"/>
                <w:szCs w:val="17"/>
              </w:rPr>
            </w:pPr>
          </w:p>
          <w:p w14:paraId="7D1F2492" w14:textId="77777777" w:rsidR="004412F1" w:rsidRPr="006817C1" w:rsidRDefault="004412F1" w:rsidP="009B2310">
            <w:pPr>
              <w:rPr>
                <w:b/>
                <w:color w:val="000000"/>
                <w:sz w:val="17"/>
                <w:szCs w:val="17"/>
              </w:rPr>
            </w:pPr>
            <w:r w:rsidRPr="006817C1">
              <w:rPr>
                <w:b/>
                <w:color w:val="000000"/>
                <w:sz w:val="17"/>
                <w:szCs w:val="17"/>
              </w:rPr>
              <w:t>Sub</w:t>
            </w:r>
            <w:r>
              <w:rPr>
                <w:b/>
                <w:color w:val="000000"/>
                <w:sz w:val="17"/>
                <w:szCs w:val="17"/>
              </w:rPr>
              <w:t>t</w:t>
            </w:r>
            <w:r w:rsidRPr="006817C1">
              <w:rPr>
                <w:b/>
                <w:color w:val="000000"/>
                <w:sz w:val="17"/>
                <w:szCs w:val="17"/>
              </w:rPr>
              <w:t>otal: 46,242</w:t>
            </w:r>
          </w:p>
        </w:tc>
      </w:tr>
      <w:tr w:rsidR="004412F1" w:rsidRPr="006817C1" w14:paraId="533AD964" w14:textId="77777777" w:rsidTr="009B2310">
        <w:tc>
          <w:tcPr>
            <w:tcW w:w="5000" w:type="pct"/>
            <w:gridSpan w:val="5"/>
            <w:shd w:val="clear" w:color="auto" w:fill="auto"/>
            <w:tcMar>
              <w:top w:w="72" w:type="dxa"/>
              <w:left w:w="144" w:type="dxa"/>
              <w:bottom w:w="72" w:type="dxa"/>
              <w:right w:w="144" w:type="dxa"/>
            </w:tcMar>
          </w:tcPr>
          <w:p w14:paraId="379466DC" w14:textId="77777777" w:rsidR="004412F1" w:rsidRPr="006817C1" w:rsidRDefault="004412F1" w:rsidP="009B2310">
            <w:pPr>
              <w:rPr>
                <w:color w:val="000000"/>
                <w:sz w:val="17"/>
                <w:szCs w:val="17"/>
              </w:rPr>
            </w:pPr>
            <w:r w:rsidRPr="006817C1">
              <w:rPr>
                <w:b/>
                <w:bCs/>
                <w:color w:val="000000"/>
                <w:sz w:val="17"/>
                <w:szCs w:val="17"/>
                <w:lang w:val="en-GB"/>
              </w:rPr>
              <w:t xml:space="preserve">NATIONAL PRIORITY OR GOAL: </w:t>
            </w:r>
            <w:r w:rsidRPr="006817C1">
              <w:rPr>
                <w:bCs/>
                <w:color w:val="000000"/>
                <w:sz w:val="17"/>
                <w:szCs w:val="17"/>
                <w:lang w:val="en-GB"/>
              </w:rPr>
              <w:t>A democratic political system that is issue-based, people</w:t>
            </w:r>
            <w:r>
              <w:rPr>
                <w:bCs/>
                <w:color w:val="000000"/>
                <w:sz w:val="17"/>
                <w:szCs w:val="17"/>
                <w:lang w:val="en-GB"/>
              </w:rPr>
              <w:t>-</w:t>
            </w:r>
            <w:r w:rsidRPr="006817C1">
              <w:rPr>
                <w:bCs/>
                <w:color w:val="000000"/>
                <w:sz w:val="17"/>
                <w:szCs w:val="17"/>
                <w:lang w:val="en-GB"/>
              </w:rPr>
              <w:t>centred, results</w:t>
            </w:r>
            <w:r>
              <w:rPr>
                <w:bCs/>
                <w:color w:val="000000"/>
                <w:sz w:val="17"/>
                <w:szCs w:val="17"/>
                <w:lang w:val="en-GB"/>
              </w:rPr>
              <w:t>-</w:t>
            </w:r>
            <w:r w:rsidRPr="006817C1">
              <w:rPr>
                <w:bCs/>
                <w:color w:val="000000"/>
                <w:sz w:val="17"/>
                <w:szCs w:val="17"/>
                <w:lang w:val="en-GB"/>
              </w:rPr>
              <w:t>oriented and accountable to the public.</w:t>
            </w:r>
          </w:p>
        </w:tc>
      </w:tr>
      <w:tr w:rsidR="004412F1" w:rsidRPr="006817C1" w14:paraId="4A5D0B46" w14:textId="77777777" w:rsidTr="009B2310">
        <w:tc>
          <w:tcPr>
            <w:tcW w:w="5000" w:type="pct"/>
            <w:gridSpan w:val="5"/>
            <w:shd w:val="clear" w:color="auto" w:fill="auto"/>
            <w:tcMar>
              <w:top w:w="72" w:type="dxa"/>
              <w:left w:w="144" w:type="dxa"/>
              <w:bottom w:w="72" w:type="dxa"/>
              <w:right w:w="144" w:type="dxa"/>
            </w:tcMar>
          </w:tcPr>
          <w:p w14:paraId="13B2B882" w14:textId="4B4591C6" w:rsidR="004412F1" w:rsidRPr="006817C1" w:rsidRDefault="004412F1" w:rsidP="009B2310">
            <w:pPr>
              <w:rPr>
                <w:color w:val="000000"/>
                <w:sz w:val="17"/>
                <w:szCs w:val="17"/>
              </w:rPr>
            </w:pPr>
            <w:r w:rsidRPr="006817C1">
              <w:rPr>
                <w:b/>
                <w:bCs/>
                <w:color w:val="000000"/>
                <w:sz w:val="17"/>
                <w:szCs w:val="17"/>
                <w:lang w:val="en-GB"/>
              </w:rPr>
              <w:t>UNDAF OUT</w:t>
            </w:r>
            <w:r w:rsidRPr="006817C1">
              <w:rPr>
                <w:b/>
                <w:iCs/>
                <w:color w:val="000000"/>
                <w:sz w:val="17"/>
                <w:szCs w:val="17"/>
                <w:lang w:val="en-GB"/>
              </w:rPr>
              <w:t xml:space="preserve">COME INVOLVING UNDP #2: </w:t>
            </w:r>
            <w:r w:rsidRPr="006817C1">
              <w:rPr>
                <w:iCs/>
                <w:color w:val="000000"/>
                <w:sz w:val="17"/>
                <w:szCs w:val="17"/>
                <w:lang w:val="en-GB"/>
              </w:rPr>
              <w:t>By 2022, people in Kenya live in a secure, peaceful, inclusive and cohesive society</w:t>
            </w:r>
          </w:p>
        </w:tc>
      </w:tr>
      <w:tr w:rsidR="004412F1" w:rsidRPr="006817C1" w14:paraId="31E4EF89" w14:textId="77777777" w:rsidTr="009B2310">
        <w:tc>
          <w:tcPr>
            <w:tcW w:w="5000" w:type="pct"/>
            <w:gridSpan w:val="5"/>
            <w:shd w:val="clear" w:color="auto" w:fill="auto"/>
            <w:tcMar>
              <w:top w:w="72" w:type="dxa"/>
              <w:left w:w="144" w:type="dxa"/>
              <w:bottom w:w="72" w:type="dxa"/>
              <w:right w:w="144" w:type="dxa"/>
            </w:tcMar>
          </w:tcPr>
          <w:p w14:paraId="6E86512C" w14:textId="77777777" w:rsidR="004412F1" w:rsidRPr="006817C1" w:rsidRDefault="004412F1" w:rsidP="009B2310">
            <w:pPr>
              <w:rPr>
                <w:b/>
                <w:bCs/>
                <w:color w:val="000000"/>
                <w:sz w:val="17"/>
                <w:szCs w:val="17"/>
                <w:lang w:val="en-GB"/>
              </w:rPr>
            </w:pPr>
            <w:r w:rsidRPr="006817C1">
              <w:rPr>
                <w:b/>
                <w:bCs/>
                <w:color w:val="000000"/>
                <w:sz w:val="17"/>
                <w:szCs w:val="17"/>
                <w:lang w:val="en-GB"/>
              </w:rPr>
              <w:t xml:space="preserve">RELATED STRATEGIC PLAN OUTCOME 2: </w:t>
            </w:r>
            <w:r w:rsidRPr="006817C1">
              <w:rPr>
                <w:bCs/>
                <w:color w:val="000000"/>
                <w:sz w:val="17"/>
                <w:szCs w:val="17"/>
                <w:lang w:val="en-GB"/>
              </w:rPr>
              <w:t>Accelerate structural transformation for sustainable development</w:t>
            </w:r>
            <w:r w:rsidRPr="006817C1">
              <w:rPr>
                <w:b/>
                <w:bCs/>
                <w:color w:val="000000"/>
                <w:sz w:val="17"/>
                <w:szCs w:val="17"/>
                <w:lang w:val="en-GB"/>
              </w:rPr>
              <w:t xml:space="preserve">  </w:t>
            </w:r>
          </w:p>
        </w:tc>
      </w:tr>
      <w:tr w:rsidR="004412F1" w:rsidRPr="006817C1" w14:paraId="5D567D0C" w14:textId="77777777" w:rsidTr="0085112D">
        <w:tc>
          <w:tcPr>
            <w:tcW w:w="1097" w:type="pct"/>
            <w:vMerge w:val="restart"/>
            <w:tcMar>
              <w:top w:w="72" w:type="dxa"/>
              <w:left w:w="144" w:type="dxa"/>
              <w:bottom w:w="72" w:type="dxa"/>
              <w:right w:w="144" w:type="dxa"/>
            </w:tcMar>
          </w:tcPr>
          <w:p w14:paraId="36C619A3" w14:textId="77777777" w:rsidR="004412F1" w:rsidRPr="006817C1" w:rsidRDefault="004412F1" w:rsidP="009B2310">
            <w:pPr>
              <w:rPr>
                <w:iCs/>
                <w:sz w:val="17"/>
                <w:szCs w:val="17"/>
                <w:lang w:val="en-GB"/>
              </w:rPr>
            </w:pPr>
            <w:r w:rsidRPr="006817C1">
              <w:rPr>
                <w:b/>
                <w:iCs/>
                <w:sz w:val="17"/>
                <w:szCs w:val="17"/>
                <w:lang w:val="en-GB"/>
              </w:rPr>
              <w:t xml:space="preserve">2.a. </w:t>
            </w:r>
            <w:r w:rsidRPr="006817C1">
              <w:rPr>
                <w:iCs/>
                <w:sz w:val="17"/>
                <w:szCs w:val="17"/>
                <w:lang w:val="en-GB"/>
              </w:rPr>
              <w:t xml:space="preserve">Global Peace Index (Kenya); </w:t>
            </w:r>
          </w:p>
          <w:p w14:paraId="68D244E6" w14:textId="77777777" w:rsidR="004412F1" w:rsidRPr="006817C1" w:rsidRDefault="004412F1" w:rsidP="009B2310">
            <w:pPr>
              <w:rPr>
                <w:iCs/>
                <w:sz w:val="17"/>
                <w:szCs w:val="17"/>
                <w:lang w:val="en-GB"/>
              </w:rPr>
            </w:pPr>
            <w:r w:rsidRPr="006817C1">
              <w:rPr>
                <w:b/>
                <w:iCs/>
                <w:sz w:val="17"/>
                <w:szCs w:val="17"/>
                <w:lang w:val="en-GB"/>
              </w:rPr>
              <w:t xml:space="preserve">Baseline: </w:t>
            </w:r>
            <w:r w:rsidRPr="006817C1">
              <w:rPr>
                <w:iCs/>
                <w:sz w:val="17"/>
                <w:szCs w:val="17"/>
                <w:lang w:val="en-GB"/>
              </w:rPr>
              <w:t>125 out of 163</w:t>
            </w:r>
          </w:p>
          <w:p w14:paraId="65AA1EB8" w14:textId="77777777" w:rsidR="004412F1" w:rsidRPr="006817C1" w:rsidRDefault="004412F1" w:rsidP="009B2310">
            <w:pPr>
              <w:rPr>
                <w:iCs/>
                <w:sz w:val="17"/>
                <w:szCs w:val="17"/>
                <w:lang w:val="en-GB"/>
              </w:rPr>
            </w:pPr>
            <w:r w:rsidRPr="006817C1">
              <w:rPr>
                <w:b/>
                <w:iCs/>
                <w:sz w:val="17"/>
                <w:szCs w:val="17"/>
                <w:lang w:val="en-GB"/>
              </w:rPr>
              <w:t xml:space="preserve">Target: </w:t>
            </w:r>
            <w:r w:rsidRPr="006817C1">
              <w:rPr>
                <w:iCs/>
                <w:sz w:val="17"/>
                <w:szCs w:val="17"/>
                <w:lang w:val="en-GB"/>
              </w:rPr>
              <w:t>120 out of 163</w:t>
            </w:r>
          </w:p>
          <w:p w14:paraId="4A6959A7" w14:textId="77777777" w:rsidR="004412F1" w:rsidRPr="006817C1" w:rsidRDefault="004412F1" w:rsidP="009B2310">
            <w:pPr>
              <w:rPr>
                <w:i/>
                <w:iCs/>
                <w:sz w:val="17"/>
                <w:szCs w:val="17"/>
                <w:lang w:val="en-GB"/>
              </w:rPr>
            </w:pPr>
          </w:p>
        </w:tc>
        <w:tc>
          <w:tcPr>
            <w:tcW w:w="1178" w:type="pct"/>
            <w:vMerge w:val="restart"/>
          </w:tcPr>
          <w:p w14:paraId="46A12938" w14:textId="77777777" w:rsidR="004412F1" w:rsidRPr="006817C1" w:rsidRDefault="004412F1" w:rsidP="009B2310">
            <w:pPr>
              <w:rPr>
                <w:bCs/>
                <w:color w:val="000000"/>
                <w:sz w:val="17"/>
                <w:szCs w:val="17"/>
              </w:rPr>
            </w:pPr>
            <w:r w:rsidRPr="006817C1">
              <w:rPr>
                <w:b/>
                <w:bCs/>
                <w:color w:val="000000"/>
                <w:sz w:val="17"/>
                <w:szCs w:val="17"/>
              </w:rPr>
              <w:t>2a.</w:t>
            </w:r>
            <w:r w:rsidRPr="006817C1">
              <w:rPr>
                <w:bCs/>
                <w:color w:val="000000"/>
                <w:sz w:val="17"/>
                <w:szCs w:val="17"/>
              </w:rPr>
              <w:t xml:space="preserve"> </w:t>
            </w:r>
            <w:r w:rsidRPr="006817C1">
              <w:rPr>
                <w:b/>
                <w:bCs/>
                <w:color w:val="000000"/>
                <w:sz w:val="17"/>
                <w:szCs w:val="17"/>
              </w:rPr>
              <w:t>Data Source</w:t>
            </w:r>
            <w:r w:rsidRPr="006817C1">
              <w:rPr>
                <w:bCs/>
                <w:color w:val="000000"/>
                <w:sz w:val="17"/>
                <w:szCs w:val="17"/>
              </w:rPr>
              <w:t>: Institute for Economics and Peace</w:t>
            </w:r>
          </w:p>
          <w:p w14:paraId="2FB7231C" w14:textId="77777777" w:rsidR="004412F1" w:rsidRPr="006817C1" w:rsidRDefault="004412F1" w:rsidP="009B2310">
            <w:pPr>
              <w:rPr>
                <w:bCs/>
                <w:sz w:val="17"/>
                <w:szCs w:val="17"/>
              </w:rPr>
            </w:pPr>
            <w:r w:rsidRPr="006817C1">
              <w:rPr>
                <w:b/>
                <w:bCs/>
                <w:sz w:val="17"/>
                <w:szCs w:val="17"/>
              </w:rPr>
              <w:t>Frequency:</w:t>
            </w:r>
            <w:r w:rsidRPr="006817C1">
              <w:rPr>
                <w:bCs/>
                <w:sz w:val="17"/>
                <w:szCs w:val="17"/>
              </w:rPr>
              <w:t xml:space="preserve"> Annual</w:t>
            </w:r>
          </w:p>
          <w:p w14:paraId="53F02694" w14:textId="77777777" w:rsidR="00751963" w:rsidRDefault="004412F1" w:rsidP="009B2310">
            <w:pPr>
              <w:rPr>
                <w:iCs/>
                <w:sz w:val="17"/>
                <w:szCs w:val="17"/>
                <w:lang w:val="en-GB"/>
              </w:rPr>
            </w:pPr>
            <w:r w:rsidRPr="006817C1">
              <w:rPr>
                <w:b/>
                <w:bCs/>
                <w:sz w:val="17"/>
                <w:szCs w:val="17"/>
              </w:rPr>
              <w:t>Responsibilities</w:t>
            </w:r>
            <w:r w:rsidRPr="006817C1">
              <w:rPr>
                <w:bCs/>
                <w:sz w:val="17"/>
                <w:szCs w:val="17"/>
              </w:rPr>
              <w:t xml:space="preserve">: </w:t>
            </w:r>
            <w:r w:rsidRPr="006817C1">
              <w:rPr>
                <w:iCs/>
                <w:sz w:val="17"/>
                <w:szCs w:val="17"/>
                <w:lang w:val="en-GB"/>
              </w:rPr>
              <w:t>Ministry of Interior and Coordination</w:t>
            </w:r>
            <w:r w:rsidRPr="006817C1">
              <w:rPr>
                <w:bCs/>
                <w:sz w:val="17"/>
                <w:szCs w:val="17"/>
              </w:rPr>
              <w:t xml:space="preserve"> </w:t>
            </w:r>
            <w:r>
              <w:rPr>
                <w:bCs/>
                <w:sz w:val="17"/>
                <w:szCs w:val="17"/>
              </w:rPr>
              <w:t xml:space="preserve">of </w:t>
            </w:r>
            <w:r w:rsidRPr="006817C1">
              <w:rPr>
                <w:iCs/>
                <w:sz w:val="17"/>
                <w:szCs w:val="17"/>
                <w:lang w:val="en-GB"/>
              </w:rPr>
              <w:t xml:space="preserve">National Government </w:t>
            </w:r>
          </w:p>
          <w:p w14:paraId="1FCAB3E1" w14:textId="3F04D5C1" w:rsidR="004412F1" w:rsidRPr="006817C1" w:rsidRDefault="004412F1" w:rsidP="009B2310">
            <w:pPr>
              <w:rPr>
                <w:bCs/>
                <w:color w:val="FF0000"/>
                <w:sz w:val="17"/>
                <w:szCs w:val="17"/>
              </w:rPr>
            </w:pPr>
            <w:r w:rsidRPr="006817C1">
              <w:rPr>
                <w:iCs/>
                <w:sz w:val="17"/>
                <w:szCs w:val="17"/>
                <w:lang w:val="en-GB"/>
              </w:rPr>
              <w:t>(MI&amp;CNG)</w:t>
            </w:r>
          </w:p>
          <w:p w14:paraId="3E6375E3" w14:textId="77777777" w:rsidR="004412F1" w:rsidRPr="006817C1" w:rsidRDefault="004412F1" w:rsidP="009B2310">
            <w:pPr>
              <w:rPr>
                <w:b/>
                <w:bCs/>
                <w:i/>
                <w:color w:val="000000"/>
                <w:sz w:val="17"/>
                <w:szCs w:val="17"/>
                <w:lang w:val="en-GB"/>
              </w:rPr>
            </w:pPr>
          </w:p>
        </w:tc>
        <w:tc>
          <w:tcPr>
            <w:tcW w:w="1092" w:type="pct"/>
            <w:vMerge w:val="restart"/>
            <w:tcMar>
              <w:top w:w="72" w:type="dxa"/>
              <w:left w:w="144" w:type="dxa"/>
              <w:bottom w:w="72" w:type="dxa"/>
              <w:right w:w="144" w:type="dxa"/>
            </w:tcMar>
          </w:tcPr>
          <w:p w14:paraId="08AE5352" w14:textId="34EAF0B7" w:rsidR="004412F1" w:rsidRPr="006817C1" w:rsidRDefault="004412F1" w:rsidP="009B2310">
            <w:pPr>
              <w:rPr>
                <w:iCs/>
                <w:color w:val="000000"/>
                <w:sz w:val="17"/>
                <w:szCs w:val="17"/>
                <w:lang w:val="en-GB"/>
              </w:rPr>
            </w:pPr>
            <w:r w:rsidRPr="006817C1">
              <w:rPr>
                <w:b/>
                <w:iCs/>
                <w:color w:val="000000"/>
                <w:sz w:val="17"/>
                <w:szCs w:val="17"/>
                <w:lang w:val="en-GB"/>
              </w:rPr>
              <w:t>Output 2.1:</w:t>
            </w:r>
            <w:r w:rsidRPr="006817C1">
              <w:rPr>
                <w:iCs/>
                <w:color w:val="000000"/>
                <w:sz w:val="17"/>
                <w:szCs w:val="17"/>
                <w:lang w:val="en-GB"/>
              </w:rPr>
              <w:t xml:space="preserve"> Government has </w:t>
            </w:r>
            <w:r w:rsidR="00411DBD">
              <w:rPr>
                <w:iCs/>
                <w:color w:val="000000"/>
                <w:sz w:val="17"/>
                <w:szCs w:val="17"/>
                <w:lang w:val="en-GB"/>
              </w:rPr>
              <w:t xml:space="preserve">normative standard </w:t>
            </w:r>
            <w:r w:rsidRPr="006817C1">
              <w:rPr>
                <w:iCs/>
                <w:color w:val="000000"/>
                <w:sz w:val="17"/>
                <w:szCs w:val="17"/>
                <w:lang w:val="en-GB"/>
              </w:rPr>
              <w:t xml:space="preserve">capacities to </w:t>
            </w:r>
            <w:r>
              <w:rPr>
                <w:iCs/>
                <w:color w:val="000000"/>
                <w:sz w:val="17"/>
                <w:szCs w:val="17"/>
                <w:lang w:val="en-GB"/>
              </w:rPr>
              <w:t>operationalize</w:t>
            </w:r>
            <w:r w:rsidRPr="006817C1">
              <w:rPr>
                <w:iCs/>
                <w:color w:val="000000"/>
                <w:sz w:val="17"/>
                <w:szCs w:val="17"/>
                <w:lang w:val="en-GB"/>
              </w:rPr>
              <w:t xml:space="preserve"> policies and legal frameworks on </w:t>
            </w:r>
            <w:r>
              <w:rPr>
                <w:iCs/>
                <w:color w:val="000000"/>
                <w:sz w:val="17"/>
                <w:szCs w:val="17"/>
                <w:lang w:val="en-GB"/>
              </w:rPr>
              <w:t>conflict management, cohesion and human security</w:t>
            </w:r>
            <w:r w:rsidRPr="006817C1">
              <w:rPr>
                <w:iCs/>
                <w:color w:val="000000"/>
                <w:sz w:val="17"/>
                <w:szCs w:val="17"/>
                <w:lang w:val="en-GB"/>
              </w:rPr>
              <w:t xml:space="preserve"> </w:t>
            </w:r>
          </w:p>
          <w:p w14:paraId="22BF19B4" w14:textId="77777777" w:rsidR="004412F1" w:rsidRPr="006817C1" w:rsidRDefault="004412F1" w:rsidP="009B2310">
            <w:pPr>
              <w:rPr>
                <w:iCs/>
                <w:color w:val="000000"/>
                <w:sz w:val="17"/>
                <w:szCs w:val="17"/>
                <w:lang w:val="en-GB"/>
              </w:rPr>
            </w:pPr>
          </w:p>
          <w:p w14:paraId="1849C89D" w14:textId="77777777" w:rsidR="004412F1" w:rsidRPr="006817C1" w:rsidRDefault="004412F1" w:rsidP="009B2310">
            <w:pPr>
              <w:rPr>
                <w:bCs/>
                <w:color w:val="000000"/>
                <w:sz w:val="17"/>
                <w:szCs w:val="17"/>
                <w:lang w:val="en-GB"/>
              </w:rPr>
            </w:pPr>
            <w:r w:rsidRPr="006817C1">
              <w:rPr>
                <w:b/>
                <w:bCs/>
                <w:color w:val="000000"/>
                <w:sz w:val="17"/>
                <w:szCs w:val="17"/>
                <w:lang w:val="en-GB"/>
              </w:rPr>
              <w:t>Indicator 2.1.1.</w:t>
            </w:r>
            <w:r w:rsidRPr="006817C1">
              <w:rPr>
                <w:bCs/>
                <w:color w:val="000000"/>
                <w:sz w:val="17"/>
                <w:szCs w:val="17"/>
                <w:lang w:val="en-GB"/>
              </w:rPr>
              <w:t xml:space="preserve"> Number of peace, social cohesion and human security policy and legal frameworks enacted</w:t>
            </w:r>
            <w:r w:rsidRPr="006817C1">
              <w:rPr>
                <w:sz w:val="17"/>
                <w:szCs w:val="17"/>
              </w:rPr>
              <w:t xml:space="preserve"> </w:t>
            </w:r>
            <w:r w:rsidRPr="006817C1">
              <w:rPr>
                <w:bCs/>
                <w:color w:val="000000"/>
                <w:sz w:val="17"/>
                <w:szCs w:val="17"/>
                <w:lang w:val="en-GB"/>
              </w:rPr>
              <w:t>and implemented</w:t>
            </w:r>
          </w:p>
          <w:p w14:paraId="61A1E7AE" w14:textId="77777777" w:rsidR="004412F1" w:rsidRPr="006817C1" w:rsidRDefault="004412F1" w:rsidP="009B2310">
            <w:pPr>
              <w:rPr>
                <w:bCs/>
                <w:color w:val="000000"/>
                <w:sz w:val="17"/>
                <w:szCs w:val="17"/>
                <w:lang w:val="en-GB"/>
              </w:rPr>
            </w:pPr>
            <w:r w:rsidRPr="006817C1">
              <w:rPr>
                <w:b/>
                <w:bCs/>
                <w:color w:val="000000"/>
                <w:sz w:val="17"/>
                <w:szCs w:val="17"/>
                <w:lang w:val="en-GB"/>
              </w:rPr>
              <w:t>Baseline:</w:t>
            </w:r>
            <w:r w:rsidRPr="006817C1">
              <w:rPr>
                <w:bCs/>
                <w:color w:val="000000"/>
                <w:sz w:val="17"/>
                <w:szCs w:val="17"/>
                <w:lang w:val="en-GB"/>
              </w:rPr>
              <w:t xml:space="preserve"> 2</w:t>
            </w:r>
          </w:p>
          <w:p w14:paraId="1B41E457" w14:textId="77777777" w:rsidR="004412F1" w:rsidRPr="006817C1" w:rsidRDefault="004412F1" w:rsidP="009B2310">
            <w:pPr>
              <w:rPr>
                <w:bCs/>
                <w:color w:val="000000"/>
                <w:sz w:val="17"/>
                <w:szCs w:val="17"/>
                <w:lang w:val="en-GB"/>
              </w:rPr>
            </w:pPr>
            <w:r w:rsidRPr="006817C1">
              <w:rPr>
                <w:b/>
                <w:bCs/>
                <w:color w:val="000000"/>
                <w:sz w:val="17"/>
                <w:szCs w:val="17"/>
                <w:lang w:val="en-GB"/>
              </w:rPr>
              <w:t>Target</w:t>
            </w:r>
            <w:r w:rsidRPr="006817C1">
              <w:rPr>
                <w:bCs/>
                <w:color w:val="000000"/>
                <w:sz w:val="17"/>
                <w:szCs w:val="17"/>
                <w:lang w:val="en-GB"/>
              </w:rPr>
              <w:t xml:space="preserve">: </w:t>
            </w:r>
            <w:r w:rsidRPr="006817C1">
              <w:rPr>
                <w:bCs/>
                <w:sz w:val="17"/>
                <w:szCs w:val="17"/>
                <w:lang w:val="en-GB"/>
              </w:rPr>
              <w:t xml:space="preserve">4 </w:t>
            </w:r>
          </w:p>
          <w:p w14:paraId="49E1A72F" w14:textId="77777777" w:rsidR="004412F1" w:rsidRPr="006817C1" w:rsidRDefault="004412F1" w:rsidP="009B2310">
            <w:pPr>
              <w:rPr>
                <w:bCs/>
                <w:color w:val="000000"/>
                <w:sz w:val="17"/>
                <w:szCs w:val="17"/>
                <w:lang w:val="en-GB"/>
              </w:rPr>
            </w:pPr>
            <w:r w:rsidRPr="006817C1">
              <w:rPr>
                <w:b/>
                <w:bCs/>
                <w:color w:val="000000"/>
                <w:sz w:val="17"/>
                <w:szCs w:val="17"/>
                <w:lang w:val="en-GB"/>
              </w:rPr>
              <w:t>Data Source</w:t>
            </w:r>
            <w:r w:rsidRPr="006817C1">
              <w:rPr>
                <w:bCs/>
                <w:color w:val="000000"/>
                <w:sz w:val="17"/>
                <w:szCs w:val="17"/>
                <w:lang w:val="en-GB"/>
              </w:rPr>
              <w:t xml:space="preserve">: MI&amp;CNG </w:t>
            </w:r>
            <w:r w:rsidRPr="006817C1">
              <w:rPr>
                <w:bCs/>
                <w:color w:val="FF0000"/>
                <w:sz w:val="17"/>
                <w:szCs w:val="17"/>
                <w:lang w:val="en-GB"/>
              </w:rPr>
              <w:t> </w:t>
            </w:r>
          </w:p>
          <w:p w14:paraId="70D79E26" w14:textId="77777777" w:rsidR="004412F1" w:rsidRPr="006817C1" w:rsidRDefault="004412F1" w:rsidP="009B2310">
            <w:pPr>
              <w:rPr>
                <w:bCs/>
                <w:color w:val="000000"/>
                <w:sz w:val="17"/>
                <w:szCs w:val="17"/>
                <w:lang w:val="en-GB"/>
              </w:rPr>
            </w:pPr>
            <w:r w:rsidRPr="006817C1">
              <w:rPr>
                <w:b/>
                <w:bCs/>
                <w:color w:val="000000"/>
                <w:sz w:val="17"/>
                <w:szCs w:val="17"/>
                <w:lang w:val="en-GB"/>
              </w:rPr>
              <w:lastRenderedPageBreak/>
              <w:t>Frequency:</w:t>
            </w:r>
            <w:r w:rsidRPr="006817C1">
              <w:rPr>
                <w:bCs/>
                <w:color w:val="FF0000"/>
                <w:sz w:val="17"/>
                <w:szCs w:val="17"/>
                <w:lang w:val="en-GB"/>
              </w:rPr>
              <w:t xml:space="preserve"> </w:t>
            </w:r>
            <w:r w:rsidRPr="006817C1">
              <w:rPr>
                <w:bCs/>
                <w:sz w:val="17"/>
                <w:szCs w:val="17"/>
                <w:lang w:val="en-GB"/>
              </w:rPr>
              <w:t xml:space="preserve">Annual </w:t>
            </w:r>
          </w:p>
          <w:p w14:paraId="1ADAFD1C" w14:textId="77777777" w:rsidR="004412F1" w:rsidRPr="006817C1" w:rsidRDefault="004412F1" w:rsidP="009B2310">
            <w:pPr>
              <w:rPr>
                <w:color w:val="FF0000"/>
                <w:sz w:val="17"/>
                <w:szCs w:val="17"/>
              </w:rPr>
            </w:pPr>
          </w:p>
          <w:p w14:paraId="5E2CE4D3" w14:textId="77777777" w:rsidR="004412F1" w:rsidRPr="006817C1" w:rsidRDefault="004412F1" w:rsidP="009B2310">
            <w:pPr>
              <w:rPr>
                <w:color w:val="000000"/>
                <w:sz w:val="17"/>
                <w:szCs w:val="17"/>
              </w:rPr>
            </w:pPr>
            <w:r w:rsidRPr="006817C1">
              <w:rPr>
                <w:b/>
                <w:color w:val="000000"/>
                <w:sz w:val="17"/>
                <w:szCs w:val="17"/>
              </w:rPr>
              <w:t>Output 2.2</w:t>
            </w:r>
            <w:r w:rsidRPr="00E27B53">
              <w:t xml:space="preserve"> </w:t>
            </w:r>
            <w:r w:rsidRPr="00E27B53">
              <w:rPr>
                <w:color w:val="000000"/>
                <w:sz w:val="17"/>
                <w:szCs w:val="17"/>
              </w:rPr>
              <w:t>Strengthened capacities of peace architecture at national, county and community levels on peace, inclusion, reconciliation, social cohesion and integration</w:t>
            </w:r>
            <w:r w:rsidRPr="006817C1">
              <w:rPr>
                <w:color w:val="000000"/>
                <w:sz w:val="17"/>
                <w:szCs w:val="17"/>
              </w:rPr>
              <w:t xml:space="preserve"> </w:t>
            </w:r>
          </w:p>
          <w:p w14:paraId="7B5361B1" w14:textId="77777777" w:rsidR="004412F1" w:rsidRPr="006817C1" w:rsidRDefault="004412F1" w:rsidP="009B2310">
            <w:pPr>
              <w:rPr>
                <w:i/>
                <w:color w:val="000000"/>
                <w:sz w:val="17"/>
                <w:szCs w:val="17"/>
              </w:rPr>
            </w:pPr>
          </w:p>
          <w:p w14:paraId="48D7CAD9" w14:textId="77777777" w:rsidR="004412F1" w:rsidRPr="006817C1" w:rsidRDefault="004412F1" w:rsidP="009B2310">
            <w:pPr>
              <w:rPr>
                <w:i/>
                <w:iCs/>
                <w:color w:val="000000"/>
                <w:sz w:val="17"/>
                <w:szCs w:val="17"/>
              </w:rPr>
            </w:pPr>
            <w:r w:rsidRPr="006817C1">
              <w:rPr>
                <w:b/>
                <w:iCs/>
                <w:color w:val="000000"/>
                <w:sz w:val="17"/>
                <w:szCs w:val="17"/>
              </w:rPr>
              <w:t>Indicator 2.2.1.</w:t>
            </w:r>
            <w:r w:rsidRPr="006817C1">
              <w:rPr>
                <w:sz w:val="17"/>
                <w:szCs w:val="17"/>
              </w:rPr>
              <w:t xml:space="preserve"> </w:t>
            </w:r>
            <w:r w:rsidRPr="006817C1">
              <w:rPr>
                <w:iCs/>
                <w:color w:val="000000"/>
                <w:sz w:val="17"/>
                <w:szCs w:val="17"/>
              </w:rPr>
              <w:t xml:space="preserve">Number of mechanisms supported for dialogue, consensus-building and reconciliation with equal participation of women and men </w:t>
            </w:r>
          </w:p>
          <w:p w14:paraId="198DB0F0" w14:textId="77777777" w:rsidR="004412F1" w:rsidRPr="006817C1" w:rsidRDefault="004412F1" w:rsidP="009B2310">
            <w:pPr>
              <w:rPr>
                <w:bCs/>
                <w:iCs/>
                <w:color w:val="000000"/>
                <w:sz w:val="17"/>
                <w:szCs w:val="17"/>
              </w:rPr>
            </w:pPr>
            <w:r w:rsidRPr="006817C1">
              <w:rPr>
                <w:b/>
                <w:bCs/>
                <w:iCs/>
                <w:color w:val="000000"/>
                <w:sz w:val="17"/>
                <w:szCs w:val="17"/>
              </w:rPr>
              <w:t>Baseline:</w:t>
            </w:r>
            <w:r w:rsidRPr="006817C1">
              <w:rPr>
                <w:bCs/>
                <w:iCs/>
                <w:color w:val="000000"/>
                <w:sz w:val="17"/>
                <w:szCs w:val="17"/>
              </w:rPr>
              <w:t xml:space="preserve"> 2 </w:t>
            </w:r>
          </w:p>
          <w:p w14:paraId="6BC9B350" w14:textId="77777777" w:rsidR="004412F1" w:rsidRPr="006817C1" w:rsidRDefault="004412F1" w:rsidP="009B2310">
            <w:pPr>
              <w:rPr>
                <w:iCs/>
                <w:color w:val="000000"/>
                <w:sz w:val="17"/>
                <w:szCs w:val="17"/>
              </w:rPr>
            </w:pPr>
            <w:r w:rsidRPr="006817C1">
              <w:rPr>
                <w:b/>
                <w:bCs/>
                <w:iCs/>
                <w:color w:val="000000"/>
                <w:sz w:val="17"/>
                <w:szCs w:val="17"/>
              </w:rPr>
              <w:t>Target:</w:t>
            </w:r>
            <w:r w:rsidRPr="006817C1">
              <w:rPr>
                <w:bCs/>
                <w:iCs/>
                <w:color w:val="000000"/>
                <w:sz w:val="17"/>
                <w:szCs w:val="17"/>
              </w:rPr>
              <w:t xml:space="preserve"> 10 </w:t>
            </w:r>
          </w:p>
          <w:p w14:paraId="33F0F2E2" w14:textId="77777777" w:rsidR="004412F1" w:rsidRPr="006817C1" w:rsidRDefault="004412F1" w:rsidP="009B2310">
            <w:pPr>
              <w:rPr>
                <w:bCs/>
                <w:iCs/>
                <w:color w:val="000000"/>
                <w:sz w:val="17"/>
                <w:szCs w:val="17"/>
              </w:rPr>
            </w:pPr>
            <w:r w:rsidRPr="006817C1">
              <w:rPr>
                <w:b/>
                <w:bCs/>
                <w:iCs/>
                <w:color w:val="000000"/>
                <w:sz w:val="17"/>
                <w:szCs w:val="17"/>
              </w:rPr>
              <w:t>Data Source:</w:t>
            </w:r>
            <w:r w:rsidRPr="006817C1">
              <w:rPr>
                <w:bCs/>
                <w:iCs/>
                <w:color w:val="000000"/>
                <w:sz w:val="17"/>
                <w:szCs w:val="17"/>
              </w:rPr>
              <w:t xml:space="preserve"> MI&amp;CNG</w:t>
            </w:r>
          </w:p>
          <w:p w14:paraId="3DA29474" w14:textId="77777777" w:rsidR="004412F1" w:rsidRPr="006817C1" w:rsidRDefault="004412F1" w:rsidP="009B2310">
            <w:pPr>
              <w:rPr>
                <w:iCs/>
                <w:color w:val="000000"/>
                <w:sz w:val="17"/>
                <w:szCs w:val="17"/>
              </w:rPr>
            </w:pPr>
            <w:r w:rsidRPr="006817C1">
              <w:rPr>
                <w:b/>
                <w:bCs/>
                <w:iCs/>
                <w:color w:val="000000"/>
                <w:sz w:val="17"/>
                <w:szCs w:val="17"/>
              </w:rPr>
              <w:t>Frequency:</w:t>
            </w:r>
            <w:r w:rsidRPr="006817C1">
              <w:rPr>
                <w:bCs/>
                <w:iCs/>
                <w:color w:val="000000"/>
                <w:sz w:val="17"/>
                <w:szCs w:val="17"/>
              </w:rPr>
              <w:t xml:space="preserve"> Annual</w:t>
            </w:r>
          </w:p>
          <w:p w14:paraId="21260381" w14:textId="77777777" w:rsidR="004412F1" w:rsidRPr="006817C1" w:rsidRDefault="004412F1" w:rsidP="009B2310">
            <w:pPr>
              <w:rPr>
                <w:i/>
                <w:color w:val="000000"/>
                <w:sz w:val="17"/>
                <w:szCs w:val="17"/>
              </w:rPr>
            </w:pPr>
          </w:p>
          <w:p w14:paraId="4A612BC7" w14:textId="056D553A" w:rsidR="004412F1" w:rsidRDefault="004412F1" w:rsidP="009B2310">
            <w:pPr>
              <w:rPr>
                <w:color w:val="000000"/>
                <w:sz w:val="17"/>
                <w:szCs w:val="17"/>
              </w:rPr>
            </w:pPr>
            <w:r w:rsidRPr="006817C1">
              <w:rPr>
                <w:b/>
                <w:color w:val="000000"/>
                <w:sz w:val="17"/>
                <w:szCs w:val="17"/>
              </w:rPr>
              <w:t>Output 2.3</w:t>
            </w:r>
            <w:r w:rsidRPr="006817C1">
              <w:rPr>
                <w:color w:val="000000"/>
                <w:sz w:val="17"/>
                <w:szCs w:val="17"/>
              </w:rPr>
              <w:t>. Government has strengthened capacities for coordination and operationalization of gender</w:t>
            </w:r>
            <w:r w:rsidR="00F14F57">
              <w:rPr>
                <w:color w:val="000000"/>
                <w:sz w:val="17"/>
                <w:szCs w:val="17"/>
              </w:rPr>
              <w:t>-</w:t>
            </w:r>
            <w:r w:rsidRPr="006817C1">
              <w:rPr>
                <w:color w:val="000000"/>
                <w:sz w:val="17"/>
                <w:szCs w:val="17"/>
              </w:rPr>
              <w:t xml:space="preserve"> and human rights</w:t>
            </w:r>
            <w:r w:rsidR="00F14F57">
              <w:rPr>
                <w:color w:val="000000"/>
                <w:sz w:val="17"/>
                <w:szCs w:val="17"/>
              </w:rPr>
              <w:t>-</w:t>
            </w:r>
            <w:r w:rsidRPr="006817C1">
              <w:rPr>
                <w:color w:val="000000"/>
                <w:sz w:val="17"/>
                <w:szCs w:val="17"/>
              </w:rPr>
              <w:t xml:space="preserve">responsive strategies and action plans on </w:t>
            </w:r>
            <w:r>
              <w:rPr>
                <w:color w:val="000000"/>
                <w:sz w:val="17"/>
                <w:szCs w:val="17"/>
              </w:rPr>
              <w:t xml:space="preserve">preventing violent extremism </w:t>
            </w:r>
          </w:p>
          <w:p w14:paraId="0CD948D0" w14:textId="77777777" w:rsidR="004412F1" w:rsidRDefault="004412F1" w:rsidP="009B2310">
            <w:pPr>
              <w:rPr>
                <w:color w:val="000000"/>
                <w:sz w:val="17"/>
                <w:szCs w:val="17"/>
              </w:rPr>
            </w:pPr>
          </w:p>
          <w:p w14:paraId="06CB0D09" w14:textId="3E183D37" w:rsidR="004412F1" w:rsidRPr="006817C1" w:rsidRDefault="004412F1" w:rsidP="009B2310">
            <w:pPr>
              <w:rPr>
                <w:iCs/>
                <w:color w:val="000000"/>
                <w:sz w:val="17"/>
                <w:szCs w:val="17"/>
                <w:lang w:val="en-GB"/>
              </w:rPr>
            </w:pPr>
            <w:r w:rsidRPr="006817C1">
              <w:rPr>
                <w:b/>
                <w:iCs/>
                <w:color w:val="000000"/>
                <w:sz w:val="17"/>
                <w:szCs w:val="17"/>
                <w:lang w:val="en-GB"/>
              </w:rPr>
              <w:t>Indicator 2. 3.1.</w:t>
            </w:r>
            <w:r w:rsidRPr="006817C1">
              <w:rPr>
                <w:iCs/>
                <w:color w:val="000000"/>
                <w:sz w:val="17"/>
                <w:szCs w:val="17"/>
                <w:lang w:val="en-GB"/>
              </w:rPr>
              <w:t xml:space="preserve"> Number of human rights</w:t>
            </w:r>
            <w:r w:rsidR="00F14F57">
              <w:rPr>
                <w:iCs/>
                <w:color w:val="000000"/>
                <w:sz w:val="17"/>
                <w:szCs w:val="17"/>
                <w:lang w:val="en-GB"/>
              </w:rPr>
              <w:t>-</w:t>
            </w:r>
            <w:r w:rsidRPr="006817C1">
              <w:rPr>
                <w:iCs/>
                <w:color w:val="000000"/>
                <w:sz w:val="17"/>
                <w:szCs w:val="17"/>
                <w:lang w:val="en-GB"/>
              </w:rPr>
              <w:t xml:space="preserve"> and gender</w:t>
            </w:r>
            <w:r w:rsidR="00F14F57">
              <w:rPr>
                <w:iCs/>
                <w:color w:val="000000"/>
                <w:sz w:val="17"/>
                <w:szCs w:val="17"/>
                <w:lang w:val="en-GB"/>
              </w:rPr>
              <w:t>-</w:t>
            </w:r>
            <w:r w:rsidRPr="006817C1">
              <w:rPr>
                <w:iCs/>
                <w:color w:val="000000"/>
                <w:sz w:val="17"/>
                <w:szCs w:val="17"/>
                <w:lang w:val="en-GB"/>
              </w:rPr>
              <w:t xml:space="preserve">responsive </w:t>
            </w:r>
            <w:r w:rsidRPr="006817C1">
              <w:rPr>
                <w:iCs/>
                <w:color w:val="000000"/>
                <w:sz w:val="17"/>
                <w:szCs w:val="17"/>
              </w:rPr>
              <w:t xml:space="preserve">  strategies and action plans for </w:t>
            </w:r>
            <w:r w:rsidR="00F14F57">
              <w:rPr>
                <w:iCs/>
                <w:color w:val="000000"/>
                <w:sz w:val="17"/>
                <w:szCs w:val="17"/>
              </w:rPr>
              <w:t xml:space="preserve">preventing violent </w:t>
            </w:r>
            <w:r w:rsidR="00CF3A9F">
              <w:rPr>
                <w:iCs/>
                <w:color w:val="000000"/>
                <w:sz w:val="17"/>
                <w:szCs w:val="17"/>
              </w:rPr>
              <w:t xml:space="preserve">extremism </w:t>
            </w:r>
            <w:r w:rsidR="00CF3A9F" w:rsidRPr="006817C1">
              <w:rPr>
                <w:iCs/>
                <w:color w:val="000000"/>
                <w:sz w:val="17"/>
                <w:szCs w:val="17"/>
              </w:rPr>
              <w:t>formulated</w:t>
            </w:r>
            <w:r w:rsidRPr="006817C1">
              <w:rPr>
                <w:iCs/>
                <w:color w:val="000000"/>
                <w:sz w:val="17"/>
                <w:szCs w:val="17"/>
              </w:rPr>
              <w:t xml:space="preserve"> and implemented</w:t>
            </w:r>
          </w:p>
          <w:p w14:paraId="36BFD1F6" w14:textId="77777777" w:rsidR="004412F1" w:rsidRPr="006817C1" w:rsidRDefault="004412F1" w:rsidP="009B2310">
            <w:pPr>
              <w:rPr>
                <w:iCs/>
                <w:color w:val="000000"/>
                <w:sz w:val="17"/>
                <w:szCs w:val="17"/>
                <w:lang w:val="en-GB"/>
              </w:rPr>
            </w:pPr>
            <w:r w:rsidRPr="006817C1">
              <w:rPr>
                <w:b/>
                <w:iCs/>
                <w:color w:val="000000"/>
                <w:sz w:val="17"/>
                <w:szCs w:val="17"/>
                <w:lang w:val="en-GB"/>
              </w:rPr>
              <w:t>Baseline:</w:t>
            </w:r>
            <w:r w:rsidRPr="006817C1">
              <w:rPr>
                <w:iCs/>
                <w:color w:val="000000"/>
                <w:sz w:val="17"/>
                <w:szCs w:val="17"/>
                <w:lang w:val="en-GB"/>
              </w:rPr>
              <w:t xml:space="preserve"> 1</w:t>
            </w:r>
          </w:p>
          <w:p w14:paraId="77E68CFA" w14:textId="77777777" w:rsidR="004412F1" w:rsidRPr="006817C1" w:rsidRDefault="004412F1" w:rsidP="009B2310">
            <w:pPr>
              <w:rPr>
                <w:iCs/>
                <w:color w:val="000000"/>
                <w:sz w:val="17"/>
                <w:szCs w:val="17"/>
                <w:lang w:val="en-GB"/>
              </w:rPr>
            </w:pPr>
            <w:r w:rsidRPr="006817C1">
              <w:rPr>
                <w:b/>
                <w:iCs/>
                <w:color w:val="000000"/>
                <w:sz w:val="17"/>
                <w:szCs w:val="17"/>
                <w:lang w:val="en-GB"/>
              </w:rPr>
              <w:t xml:space="preserve">Target: </w:t>
            </w:r>
            <w:r w:rsidRPr="006817C1">
              <w:rPr>
                <w:iCs/>
                <w:color w:val="000000"/>
                <w:sz w:val="17"/>
                <w:szCs w:val="17"/>
                <w:lang w:val="en-GB"/>
              </w:rPr>
              <w:t xml:space="preserve">2 </w:t>
            </w:r>
          </w:p>
          <w:p w14:paraId="62BB3F04" w14:textId="77777777" w:rsidR="004412F1" w:rsidRPr="006817C1" w:rsidRDefault="004412F1" w:rsidP="009B2310">
            <w:pPr>
              <w:rPr>
                <w:iCs/>
                <w:color w:val="000000"/>
                <w:sz w:val="17"/>
                <w:szCs w:val="17"/>
                <w:lang w:val="en-GB"/>
              </w:rPr>
            </w:pPr>
            <w:r w:rsidRPr="006817C1">
              <w:rPr>
                <w:b/>
                <w:iCs/>
                <w:color w:val="000000"/>
                <w:sz w:val="17"/>
                <w:szCs w:val="17"/>
                <w:lang w:val="en-GB"/>
              </w:rPr>
              <w:t>Data source:</w:t>
            </w:r>
            <w:r w:rsidRPr="006817C1">
              <w:rPr>
                <w:iCs/>
                <w:color w:val="000000"/>
                <w:sz w:val="17"/>
                <w:szCs w:val="17"/>
                <w:lang w:val="en-GB"/>
              </w:rPr>
              <w:t xml:space="preserve"> NCTC</w:t>
            </w:r>
          </w:p>
          <w:p w14:paraId="446D6162" w14:textId="77777777" w:rsidR="004412F1" w:rsidRPr="006817C1" w:rsidRDefault="004412F1" w:rsidP="009B2310">
            <w:pPr>
              <w:rPr>
                <w:iCs/>
                <w:color w:val="000000"/>
                <w:sz w:val="17"/>
                <w:szCs w:val="17"/>
                <w:lang w:val="en-GB"/>
              </w:rPr>
            </w:pPr>
            <w:r w:rsidRPr="006817C1">
              <w:rPr>
                <w:b/>
                <w:iCs/>
                <w:color w:val="000000"/>
                <w:sz w:val="17"/>
                <w:szCs w:val="17"/>
                <w:lang w:val="en-GB"/>
              </w:rPr>
              <w:t>Frequency:</w:t>
            </w:r>
            <w:r w:rsidRPr="006817C1">
              <w:rPr>
                <w:iCs/>
                <w:color w:val="000000"/>
                <w:sz w:val="17"/>
                <w:szCs w:val="17"/>
                <w:lang w:val="en-GB"/>
              </w:rPr>
              <w:t xml:space="preserve"> Annual</w:t>
            </w:r>
          </w:p>
          <w:p w14:paraId="333DB9C7" w14:textId="77777777" w:rsidR="004412F1" w:rsidRPr="006817C1" w:rsidRDefault="004412F1" w:rsidP="009B2310">
            <w:pPr>
              <w:rPr>
                <w:b/>
                <w:i/>
                <w:color w:val="000000"/>
                <w:sz w:val="17"/>
                <w:szCs w:val="17"/>
              </w:rPr>
            </w:pPr>
          </w:p>
          <w:p w14:paraId="620CE494" w14:textId="77777777" w:rsidR="004412F1" w:rsidRPr="006817C1" w:rsidRDefault="004412F1" w:rsidP="009B2310">
            <w:pPr>
              <w:rPr>
                <w:i/>
                <w:color w:val="000000"/>
                <w:sz w:val="17"/>
                <w:szCs w:val="17"/>
              </w:rPr>
            </w:pPr>
            <w:r w:rsidRPr="006817C1">
              <w:rPr>
                <w:b/>
                <w:color w:val="000000"/>
                <w:sz w:val="17"/>
                <w:szCs w:val="17"/>
              </w:rPr>
              <w:t>Output</w:t>
            </w:r>
            <w:r w:rsidRPr="006817C1">
              <w:rPr>
                <w:b/>
                <w:i/>
                <w:color w:val="000000"/>
                <w:sz w:val="17"/>
                <w:szCs w:val="17"/>
              </w:rPr>
              <w:t xml:space="preserve"> </w:t>
            </w:r>
            <w:r w:rsidRPr="006817C1">
              <w:rPr>
                <w:b/>
                <w:color w:val="000000"/>
                <w:sz w:val="17"/>
                <w:szCs w:val="17"/>
              </w:rPr>
              <w:t>2.4:</w:t>
            </w:r>
            <w:r w:rsidRPr="006817C1">
              <w:rPr>
                <w:color w:val="000000"/>
                <w:sz w:val="17"/>
                <w:szCs w:val="17"/>
              </w:rPr>
              <w:t xml:space="preserve"> Electoral management bod</w:t>
            </w:r>
            <w:r>
              <w:rPr>
                <w:color w:val="000000"/>
                <w:sz w:val="17"/>
                <w:szCs w:val="17"/>
              </w:rPr>
              <w:t>ies</w:t>
            </w:r>
            <w:r w:rsidRPr="006817C1">
              <w:rPr>
                <w:color w:val="000000"/>
                <w:sz w:val="17"/>
                <w:szCs w:val="17"/>
              </w:rPr>
              <w:t xml:space="preserve"> have technical</w:t>
            </w:r>
            <w:r>
              <w:rPr>
                <w:color w:val="000000"/>
                <w:sz w:val="17"/>
                <w:szCs w:val="17"/>
              </w:rPr>
              <w:t xml:space="preserve"> and</w:t>
            </w:r>
            <w:r w:rsidRPr="006817C1">
              <w:rPr>
                <w:color w:val="000000"/>
                <w:sz w:val="17"/>
                <w:szCs w:val="17"/>
              </w:rPr>
              <w:t xml:space="preserve"> financial capacities to </w:t>
            </w:r>
            <w:r>
              <w:rPr>
                <w:color w:val="000000"/>
                <w:sz w:val="17"/>
                <w:szCs w:val="17"/>
              </w:rPr>
              <w:t>deliver peaceful and democratic</w:t>
            </w:r>
            <w:r w:rsidRPr="006817C1">
              <w:rPr>
                <w:color w:val="000000"/>
                <w:sz w:val="17"/>
                <w:szCs w:val="17"/>
              </w:rPr>
              <w:t xml:space="preserve"> elections. </w:t>
            </w:r>
          </w:p>
          <w:p w14:paraId="472C718A" w14:textId="77777777" w:rsidR="004412F1" w:rsidRPr="006817C1" w:rsidRDefault="004412F1" w:rsidP="009B2310">
            <w:pPr>
              <w:rPr>
                <w:b/>
                <w:bCs/>
                <w:iCs/>
                <w:color w:val="000000"/>
                <w:sz w:val="17"/>
                <w:szCs w:val="17"/>
              </w:rPr>
            </w:pPr>
          </w:p>
          <w:p w14:paraId="0F0C9A98" w14:textId="77777777" w:rsidR="004412F1" w:rsidRPr="006817C1" w:rsidRDefault="004412F1" w:rsidP="009B2310">
            <w:pPr>
              <w:rPr>
                <w:iCs/>
                <w:color w:val="000000"/>
                <w:sz w:val="17"/>
                <w:szCs w:val="17"/>
                <w:lang w:val="en-GB"/>
              </w:rPr>
            </w:pPr>
            <w:r w:rsidRPr="006817C1">
              <w:rPr>
                <w:b/>
                <w:bCs/>
                <w:iCs/>
                <w:color w:val="000000"/>
                <w:sz w:val="17"/>
                <w:szCs w:val="17"/>
              </w:rPr>
              <w:t>Indicator 2.4.1.:</w:t>
            </w:r>
            <w:r w:rsidRPr="006817C1">
              <w:rPr>
                <w:iCs/>
                <w:color w:val="000000"/>
                <w:sz w:val="17"/>
                <w:szCs w:val="17"/>
              </w:rPr>
              <w:t xml:space="preserve"> Number of registered voters by sex and age group</w:t>
            </w:r>
          </w:p>
          <w:p w14:paraId="71937C6D" w14:textId="77777777" w:rsidR="004412F1" w:rsidRPr="006817C1" w:rsidRDefault="004412F1" w:rsidP="009B2310">
            <w:pPr>
              <w:rPr>
                <w:iCs/>
                <w:color w:val="000000"/>
                <w:sz w:val="17"/>
                <w:szCs w:val="17"/>
              </w:rPr>
            </w:pPr>
            <w:r w:rsidRPr="006817C1">
              <w:rPr>
                <w:b/>
                <w:bCs/>
                <w:iCs/>
                <w:color w:val="000000"/>
                <w:sz w:val="17"/>
                <w:szCs w:val="17"/>
              </w:rPr>
              <w:t>Baseline:</w:t>
            </w:r>
            <w:r w:rsidRPr="006817C1">
              <w:rPr>
                <w:bCs/>
                <w:iCs/>
                <w:color w:val="000000"/>
                <w:sz w:val="17"/>
                <w:szCs w:val="17"/>
              </w:rPr>
              <w:t xml:space="preserve"> </w:t>
            </w:r>
            <w:r w:rsidRPr="006817C1">
              <w:rPr>
                <w:iCs/>
                <w:color w:val="000000"/>
                <w:sz w:val="17"/>
                <w:szCs w:val="17"/>
              </w:rPr>
              <w:t>19,611,423 (47% women and 51% youth)</w:t>
            </w:r>
          </w:p>
          <w:p w14:paraId="42195F2D" w14:textId="77777777" w:rsidR="004412F1" w:rsidRPr="006817C1" w:rsidRDefault="004412F1" w:rsidP="009B2310">
            <w:pPr>
              <w:rPr>
                <w:iCs/>
                <w:color w:val="000000"/>
                <w:sz w:val="17"/>
                <w:szCs w:val="17"/>
              </w:rPr>
            </w:pPr>
            <w:r w:rsidRPr="006817C1">
              <w:rPr>
                <w:b/>
                <w:bCs/>
                <w:iCs/>
                <w:color w:val="000000"/>
                <w:sz w:val="17"/>
                <w:szCs w:val="17"/>
              </w:rPr>
              <w:t>Target:</w:t>
            </w:r>
            <w:r w:rsidRPr="006817C1">
              <w:rPr>
                <w:iCs/>
                <w:color w:val="000000"/>
                <w:sz w:val="17"/>
                <w:szCs w:val="17"/>
              </w:rPr>
              <w:t xml:space="preserve"> 21,000,000 (50% women and 51% youth)</w:t>
            </w:r>
          </w:p>
          <w:p w14:paraId="62652BAB" w14:textId="77777777" w:rsidR="004412F1" w:rsidRPr="006817C1" w:rsidRDefault="004412F1" w:rsidP="009B2310">
            <w:pPr>
              <w:rPr>
                <w:iCs/>
                <w:color w:val="000000"/>
                <w:sz w:val="17"/>
                <w:szCs w:val="17"/>
              </w:rPr>
            </w:pPr>
            <w:r w:rsidRPr="006817C1">
              <w:rPr>
                <w:b/>
                <w:iCs/>
                <w:color w:val="000000"/>
                <w:sz w:val="17"/>
                <w:szCs w:val="17"/>
              </w:rPr>
              <w:lastRenderedPageBreak/>
              <w:t>Data source:</w:t>
            </w:r>
            <w:r w:rsidRPr="006817C1">
              <w:rPr>
                <w:iCs/>
                <w:color w:val="000000"/>
                <w:sz w:val="17"/>
                <w:szCs w:val="17"/>
              </w:rPr>
              <w:t xml:space="preserve"> IEBC</w:t>
            </w:r>
          </w:p>
          <w:p w14:paraId="5E4935A8" w14:textId="77777777" w:rsidR="004412F1" w:rsidRPr="006817C1" w:rsidRDefault="004412F1" w:rsidP="009B2310">
            <w:pPr>
              <w:rPr>
                <w:iCs/>
                <w:color w:val="000000"/>
                <w:sz w:val="17"/>
                <w:szCs w:val="17"/>
              </w:rPr>
            </w:pPr>
            <w:r w:rsidRPr="006817C1">
              <w:rPr>
                <w:b/>
                <w:iCs/>
                <w:color w:val="000000"/>
                <w:sz w:val="17"/>
                <w:szCs w:val="17"/>
              </w:rPr>
              <w:t>Frequency:</w:t>
            </w:r>
            <w:r w:rsidRPr="006817C1">
              <w:rPr>
                <w:iCs/>
                <w:color w:val="000000"/>
                <w:sz w:val="17"/>
                <w:szCs w:val="17"/>
              </w:rPr>
              <w:t xml:space="preserve"> Annual</w:t>
            </w:r>
          </w:p>
          <w:p w14:paraId="399C5582" w14:textId="77777777" w:rsidR="004412F1" w:rsidRPr="006817C1" w:rsidRDefault="004412F1" w:rsidP="009B2310">
            <w:pPr>
              <w:rPr>
                <w:b/>
                <w:bCs/>
                <w:iCs/>
                <w:color w:val="000000"/>
                <w:sz w:val="17"/>
                <w:szCs w:val="17"/>
              </w:rPr>
            </w:pPr>
          </w:p>
          <w:p w14:paraId="3D893026" w14:textId="77777777" w:rsidR="004412F1" w:rsidRPr="006817C1" w:rsidRDefault="004412F1" w:rsidP="009B2310">
            <w:pPr>
              <w:rPr>
                <w:iCs/>
                <w:color w:val="000000"/>
                <w:sz w:val="17"/>
                <w:szCs w:val="17"/>
              </w:rPr>
            </w:pPr>
            <w:r w:rsidRPr="006817C1">
              <w:rPr>
                <w:b/>
                <w:bCs/>
                <w:iCs/>
                <w:color w:val="000000"/>
                <w:sz w:val="17"/>
                <w:szCs w:val="17"/>
              </w:rPr>
              <w:t>Indicator 2.4.2</w:t>
            </w:r>
            <w:r w:rsidRPr="006817C1">
              <w:rPr>
                <w:b/>
                <w:iCs/>
                <w:color w:val="000000"/>
                <w:sz w:val="17"/>
                <w:szCs w:val="17"/>
                <w:lang w:val="en-GB"/>
              </w:rPr>
              <w:t>.:</w:t>
            </w:r>
            <w:r w:rsidRPr="006817C1">
              <w:rPr>
                <w:bCs/>
                <w:iCs/>
                <w:color w:val="000000"/>
                <w:sz w:val="17"/>
                <w:szCs w:val="17"/>
              </w:rPr>
              <w:t xml:space="preserve"> </w:t>
            </w:r>
            <w:r w:rsidRPr="006817C1">
              <w:rPr>
                <w:iCs/>
                <w:color w:val="000000"/>
                <w:sz w:val="17"/>
                <w:szCs w:val="17"/>
              </w:rPr>
              <w:t xml:space="preserve">Proportion of seats held by women in </w:t>
            </w:r>
            <w:r>
              <w:rPr>
                <w:iCs/>
                <w:color w:val="000000"/>
                <w:sz w:val="17"/>
                <w:szCs w:val="17"/>
              </w:rPr>
              <w:t>P</w:t>
            </w:r>
            <w:r w:rsidRPr="006817C1">
              <w:rPr>
                <w:iCs/>
                <w:color w:val="000000"/>
                <w:sz w:val="17"/>
                <w:szCs w:val="17"/>
              </w:rPr>
              <w:t xml:space="preserve">arliament and county assemblies </w:t>
            </w:r>
          </w:p>
          <w:p w14:paraId="5308E610" w14:textId="77777777" w:rsidR="004412F1" w:rsidRPr="006817C1" w:rsidRDefault="004412F1" w:rsidP="009B2310">
            <w:pPr>
              <w:rPr>
                <w:iCs/>
                <w:color w:val="000000"/>
                <w:sz w:val="17"/>
                <w:szCs w:val="17"/>
              </w:rPr>
            </w:pPr>
            <w:r w:rsidRPr="006817C1">
              <w:rPr>
                <w:b/>
                <w:bCs/>
                <w:iCs/>
                <w:color w:val="000000"/>
                <w:sz w:val="17"/>
                <w:szCs w:val="17"/>
              </w:rPr>
              <w:t>Baseline:</w:t>
            </w:r>
            <w:r w:rsidRPr="006817C1">
              <w:rPr>
                <w:bCs/>
                <w:iCs/>
                <w:color w:val="000000"/>
                <w:sz w:val="17"/>
                <w:szCs w:val="17"/>
              </w:rPr>
              <w:t xml:space="preserve"> </w:t>
            </w:r>
            <w:r w:rsidRPr="006817C1">
              <w:rPr>
                <w:iCs/>
                <w:color w:val="000000"/>
                <w:sz w:val="17"/>
                <w:szCs w:val="17"/>
              </w:rPr>
              <w:t>Parliament: 21%</w:t>
            </w:r>
            <w:r w:rsidRPr="006817C1">
              <w:rPr>
                <w:iCs/>
                <w:sz w:val="17"/>
                <w:szCs w:val="17"/>
              </w:rPr>
              <w:t xml:space="preserve">, </w:t>
            </w:r>
            <w:r w:rsidRPr="006817C1">
              <w:rPr>
                <w:iCs/>
                <w:color w:val="000000"/>
                <w:sz w:val="17"/>
                <w:szCs w:val="17"/>
              </w:rPr>
              <w:t xml:space="preserve">County </w:t>
            </w:r>
            <w:r>
              <w:rPr>
                <w:iCs/>
                <w:color w:val="000000"/>
                <w:sz w:val="17"/>
                <w:szCs w:val="17"/>
              </w:rPr>
              <w:t>a</w:t>
            </w:r>
            <w:r w:rsidRPr="006817C1">
              <w:rPr>
                <w:iCs/>
                <w:color w:val="000000"/>
                <w:sz w:val="17"/>
                <w:szCs w:val="17"/>
              </w:rPr>
              <w:t xml:space="preserve">ssembly: </w:t>
            </w:r>
            <w:r w:rsidRPr="006817C1">
              <w:rPr>
                <w:iCs/>
                <w:sz w:val="17"/>
                <w:szCs w:val="17"/>
              </w:rPr>
              <w:t xml:space="preserve">6.76%) </w:t>
            </w:r>
          </w:p>
          <w:p w14:paraId="176EDFDD" w14:textId="77777777" w:rsidR="004412F1" w:rsidRPr="006817C1" w:rsidRDefault="004412F1" w:rsidP="009B2310">
            <w:pPr>
              <w:rPr>
                <w:iCs/>
                <w:color w:val="000000"/>
                <w:sz w:val="17"/>
                <w:szCs w:val="17"/>
              </w:rPr>
            </w:pPr>
            <w:r w:rsidRPr="006817C1">
              <w:rPr>
                <w:b/>
                <w:bCs/>
                <w:iCs/>
                <w:color w:val="000000"/>
                <w:sz w:val="17"/>
                <w:szCs w:val="17"/>
              </w:rPr>
              <w:t>Target:</w:t>
            </w:r>
            <w:r w:rsidRPr="006817C1">
              <w:rPr>
                <w:iCs/>
                <w:color w:val="000000"/>
                <w:sz w:val="17"/>
                <w:szCs w:val="17"/>
              </w:rPr>
              <w:t xml:space="preserve"> Parliament </w:t>
            </w:r>
            <w:r w:rsidRPr="006817C1">
              <w:rPr>
                <w:iCs/>
                <w:sz w:val="17"/>
                <w:szCs w:val="17"/>
              </w:rPr>
              <w:t>30%</w:t>
            </w:r>
            <w:r w:rsidRPr="006817C1">
              <w:rPr>
                <w:iCs/>
                <w:color w:val="000000"/>
                <w:sz w:val="17"/>
                <w:szCs w:val="17"/>
              </w:rPr>
              <w:t xml:space="preserve">; County </w:t>
            </w:r>
            <w:r>
              <w:rPr>
                <w:iCs/>
                <w:color w:val="000000"/>
                <w:sz w:val="17"/>
                <w:szCs w:val="17"/>
              </w:rPr>
              <w:t>a</w:t>
            </w:r>
            <w:r w:rsidRPr="006817C1">
              <w:rPr>
                <w:iCs/>
                <w:color w:val="000000"/>
                <w:sz w:val="17"/>
                <w:szCs w:val="17"/>
              </w:rPr>
              <w:t xml:space="preserve">ssembly </w:t>
            </w:r>
            <w:r w:rsidRPr="006817C1">
              <w:rPr>
                <w:iCs/>
                <w:sz w:val="17"/>
                <w:szCs w:val="17"/>
              </w:rPr>
              <w:t>10%</w:t>
            </w:r>
          </w:p>
          <w:p w14:paraId="138ED1EB" w14:textId="77777777" w:rsidR="004412F1" w:rsidRPr="006817C1" w:rsidRDefault="004412F1" w:rsidP="009B2310">
            <w:pPr>
              <w:rPr>
                <w:iCs/>
                <w:sz w:val="17"/>
                <w:szCs w:val="17"/>
                <w:lang w:val="en-GB"/>
              </w:rPr>
            </w:pPr>
          </w:p>
          <w:p w14:paraId="6917D36D" w14:textId="1E4CCEE9" w:rsidR="004412F1" w:rsidRPr="006817C1" w:rsidRDefault="004412F1" w:rsidP="009B2310">
            <w:pPr>
              <w:rPr>
                <w:iCs/>
                <w:sz w:val="17"/>
                <w:szCs w:val="17"/>
              </w:rPr>
            </w:pPr>
            <w:r w:rsidRPr="006817C1">
              <w:rPr>
                <w:b/>
                <w:iCs/>
                <w:sz w:val="17"/>
                <w:szCs w:val="17"/>
                <w:lang w:val="en-GB"/>
              </w:rPr>
              <w:t>Output 2.5.</w:t>
            </w:r>
            <w:r w:rsidRPr="006817C1">
              <w:rPr>
                <w:iCs/>
                <w:sz w:val="17"/>
                <w:szCs w:val="17"/>
                <w:lang w:val="en-GB"/>
              </w:rPr>
              <w:t xml:space="preserve"> </w:t>
            </w:r>
            <w:r w:rsidRPr="006817C1">
              <w:rPr>
                <w:iCs/>
                <w:sz w:val="17"/>
                <w:szCs w:val="17"/>
              </w:rPr>
              <w:t xml:space="preserve">Rule of law, justice and legislative institutions have technical and financial capacities to deliver </w:t>
            </w:r>
            <w:r w:rsidR="00411DBD">
              <w:rPr>
                <w:iCs/>
                <w:sz w:val="17"/>
                <w:szCs w:val="17"/>
              </w:rPr>
              <w:t xml:space="preserve">normative </w:t>
            </w:r>
            <w:r w:rsidRPr="006817C1">
              <w:rPr>
                <w:iCs/>
                <w:sz w:val="17"/>
                <w:szCs w:val="17"/>
              </w:rPr>
              <w:t>inclusive, accountable, equitable services</w:t>
            </w:r>
            <w:r>
              <w:rPr>
                <w:iCs/>
                <w:sz w:val="17"/>
                <w:szCs w:val="17"/>
              </w:rPr>
              <w:t xml:space="preserve"> </w:t>
            </w:r>
          </w:p>
          <w:p w14:paraId="5216D922" w14:textId="77777777" w:rsidR="004412F1" w:rsidRPr="006817C1" w:rsidRDefault="004412F1" w:rsidP="009B2310">
            <w:pPr>
              <w:rPr>
                <w:iCs/>
                <w:color w:val="000000"/>
                <w:sz w:val="17"/>
                <w:szCs w:val="17"/>
              </w:rPr>
            </w:pPr>
            <w:r w:rsidRPr="006817C1">
              <w:rPr>
                <w:b/>
                <w:iCs/>
                <w:color w:val="000000"/>
                <w:sz w:val="17"/>
                <w:szCs w:val="17"/>
                <w:lang w:val="en-GB"/>
              </w:rPr>
              <w:t>Indicator 2.5.1.:</w:t>
            </w:r>
            <w:r w:rsidRPr="006817C1">
              <w:rPr>
                <w:bCs/>
                <w:iCs/>
                <w:color w:val="000000"/>
                <w:sz w:val="17"/>
                <w:szCs w:val="17"/>
              </w:rPr>
              <w:t xml:space="preserve"> Proportion </w:t>
            </w:r>
            <w:r w:rsidRPr="006817C1">
              <w:rPr>
                <w:iCs/>
                <w:color w:val="000000"/>
                <w:sz w:val="17"/>
                <w:szCs w:val="17"/>
              </w:rPr>
              <w:t xml:space="preserve">of the marginalized population who have access to formal justice system, </w:t>
            </w:r>
          </w:p>
          <w:p w14:paraId="5194D3B4" w14:textId="77777777" w:rsidR="004412F1" w:rsidRPr="006817C1" w:rsidRDefault="004412F1" w:rsidP="009B2310">
            <w:pPr>
              <w:rPr>
                <w:iCs/>
                <w:color w:val="000000"/>
                <w:sz w:val="17"/>
                <w:szCs w:val="17"/>
              </w:rPr>
            </w:pPr>
            <w:r w:rsidRPr="006817C1">
              <w:rPr>
                <w:b/>
                <w:bCs/>
                <w:iCs/>
                <w:color w:val="000000"/>
                <w:sz w:val="17"/>
                <w:szCs w:val="17"/>
              </w:rPr>
              <w:t>Baseline:</w:t>
            </w:r>
            <w:r w:rsidRPr="006817C1">
              <w:rPr>
                <w:bCs/>
                <w:iCs/>
                <w:color w:val="000000"/>
                <w:sz w:val="17"/>
                <w:szCs w:val="17"/>
              </w:rPr>
              <w:t xml:space="preserve"> </w:t>
            </w:r>
            <w:r w:rsidRPr="006817C1">
              <w:rPr>
                <w:iCs/>
                <w:color w:val="000000"/>
                <w:sz w:val="17"/>
                <w:szCs w:val="17"/>
              </w:rPr>
              <w:t>15%</w:t>
            </w:r>
            <w:r w:rsidRPr="006817C1">
              <w:rPr>
                <w:iCs/>
                <w:sz w:val="17"/>
                <w:szCs w:val="17"/>
              </w:rPr>
              <w:t xml:space="preserve"> </w:t>
            </w:r>
          </w:p>
          <w:p w14:paraId="558A7EE0" w14:textId="77777777" w:rsidR="004412F1" w:rsidRPr="006817C1" w:rsidRDefault="004412F1" w:rsidP="009B2310">
            <w:pPr>
              <w:rPr>
                <w:iCs/>
                <w:color w:val="000000"/>
                <w:sz w:val="17"/>
                <w:szCs w:val="17"/>
              </w:rPr>
            </w:pPr>
            <w:r w:rsidRPr="006817C1">
              <w:rPr>
                <w:b/>
                <w:bCs/>
                <w:iCs/>
                <w:color w:val="000000"/>
                <w:sz w:val="17"/>
                <w:szCs w:val="17"/>
              </w:rPr>
              <w:t>Target:</w:t>
            </w:r>
            <w:r w:rsidRPr="006817C1">
              <w:rPr>
                <w:iCs/>
                <w:color w:val="000000"/>
                <w:sz w:val="17"/>
                <w:szCs w:val="17"/>
              </w:rPr>
              <w:t xml:space="preserve"> 40%</w:t>
            </w:r>
          </w:p>
          <w:p w14:paraId="3D323316" w14:textId="77777777" w:rsidR="004412F1" w:rsidRPr="006817C1" w:rsidRDefault="004412F1" w:rsidP="009B2310">
            <w:pPr>
              <w:rPr>
                <w:iCs/>
                <w:color w:val="000000"/>
                <w:sz w:val="17"/>
                <w:szCs w:val="17"/>
              </w:rPr>
            </w:pPr>
            <w:r w:rsidRPr="006817C1">
              <w:rPr>
                <w:b/>
                <w:iCs/>
                <w:color w:val="000000"/>
                <w:sz w:val="17"/>
                <w:szCs w:val="17"/>
              </w:rPr>
              <w:t>Data source:</w:t>
            </w:r>
            <w:r w:rsidRPr="006817C1">
              <w:rPr>
                <w:iCs/>
                <w:color w:val="000000"/>
                <w:sz w:val="17"/>
                <w:szCs w:val="17"/>
              </w:rPr>
              <w:t xml:space="preserve"> UNDP</w:t>
            </w:r>
          </w:p>
          <w:p w14:paraId="49DEB96B" w14:textId="77777777" w:rsidR="004412F1" w:rsidRPr="006817C1" w:rsidRDefault="004412F1" w:rsidP="009B2310">
            <w:pPr>
              <w:rPr>
                <w:iCs/>
                <w:sz w:val="17"/>
                <w:szCs w:val="17"/>
                <w:lang w:val="en-GB"/>
              </w:rPr>
            </w:pPr>
            <w:r w:rsidRPr="006817C1">
              <w:rPr>
                <w:b/>
                <w:iCs/>
                <w:sz w:val="17"/>
                <w:szCs w:val="17"/>
                <w:lang w:val="en-GB"/>
              </w:rPr>
              <w:t>Frequency:</w:t>
            </w:r>
            <w:r w:rsidRPr="006817C1">
              <w:rPr>
                <w:iCs/>
                <w:sz w:val="17"/>
                <w:szCs w:val="17"/>
                <w:lang w:val="en-GB"/>
              </w:rPr>
              <w:t xml:space="preserve"> Annual</w:t>
            </w:r>
          </w:p>
          <w:p w14:paraId="007C2354" w14:textId="77777777" w:rsidR="004412F1" w:rsidRPr="006817C1" w:rsidRDefault="004412F1" w:rsidP="009B2310">
            <w:pPr>
              <w:rPr>
                <w:iCs/>
                <w:color w:val="000000"/>
                <w:sz w:val="17"/>
                <w:szCs w:val="17"/>
              </w:rPr>
            </w:pPr>
          </w:p>
        </w:tc>
        <w:tc>
          <w:tcPr>
            <w:tcW w:w="675" w:type="pct"/>
            <w:vMerge w:val="restart"/>
          </w:tcPr>
          <w:p w14:paraId="6DC46436" w14:textId="77777777" w:rsidR="00F14F57" w:rsidRDefault="004412F1" w:rsidP="009B2310">
            <w:pPr>
              <w:rPr>
                <w:iCs/>
                <w:sz w:val="17"/>
                <w:szCs w:val="17"/>
                <w:lang w:val="en-GB"/>
              </w:rPr>
            </w:pPr>
            <w:r w:rsidRPr="006817C1">
              <w:rPr>
                <w:iCs/>
                <w:sz w:val="17"/>
                <w:szCs w:val="17"/>
                <w:lang w:val="en-GB"/>
              </w:rPr>
              <w:lastRenderedPageBreak/>
              <w:t xml:space="preserve">MI&amp;CNG, </w:t>
            </w:r>
          </w:p>
          <w:p w14:paraId="5929ECEF" w14:textId="77777777" w:rsidR="00F14F57" w:rsidRDefault="004412F1" w:rsidP="009B2310">
            <w:pPr>
              <w:rPr>
                <w:iCs/>
                <w:sz w:val="17"/>
                <w:szCs w:val="17"/>
                <w:lang w:val="en-GB"/>
              </w:rPr>
            </w:pPr>
            <w:r w:rsidRPr="006817C1">
              <w:rPr>
                <w:iCs/>
                <w:sz w:val="17"/>
                <w:szCs w:val="17"/>
                <w:lang w:val="en-GB"/>
              </w:rPr>
              <w:t xml:space="preserve">Judiciary, </w:t>
            </w:r>
          </w:p>
          <w:p w14:paraId="3ED47251" w14:textId="77777777" w:rsidR="00F14F57" w:rsidRDefault="004412F1" w:rsidP="009B2310">
            <w:pPr>
              <w:rPr>
                <w:iCs/>
                <w:sz w:val="17"/>
                <w:szCs w:val="17"/>
                <w:lang w:val="en-GB"/>
              </w:rPr>
            </w:pPr>
            <w:r w:rsidRPr="006817C1">
              <w:rPr>
                <w:iCs/>
                <w:sz w:val="17"/>
                <w:szCs w:val="17"/>
                <w:lang w:val="en-GB"/>
              </w:rPr>
              <w:t xml:space="preserve">Attorney General’s Office, </w:t>
            </w:r>
          </w:p>
          <w:p w14:paraId="64264812" w14:textId="77777777" w:rsidR="00F14F57" w:rsidRDefault="004412F1" w:rsidP="009B2310">
            <w:pPr>
              <w:rPr>
                <w:iCs/>
                <w:sz w:val="17"/>
                <w:szCs w:val="17"/>
                <w:lang w:val="en-GB"/>
              </w:rPr>
            </w:pPr>
            <w:r w:rsidRPr="006817C1">
              <w:rPr>
                <w:iCs/>
                <w:sz w:val="17"/>
                <w:szCs w:val="17"/>
                <w:lang w:val="en-GB"/>
              </w:rPr>
              <w:t xml:space="preserve">National Police Service, </w:t>
            </w:r>
            <w:r w:rsidR="00751963">
              <w:rPr>
                <w:iCs/>
                <w:sz w:val="17"/>
                <w:szCs w:val="17"/>
                <w:lang w:val="en-GB"/>
              </w:rPr>
              <w:t>CoG</w:t>
            </w:r>
            <w:r w:rsidRPr="006817C1">
              <w:rPr>
                <w:iCs/>
                <w:sz w:val="17"/>
                <w:szCs w:val="17"/>
                <w:lang w:val="en-GB"/>
              </w:rPr>
              <w:t xml:space="preserve">, </w:t>
            </w:r>
          </w:p>
          <w:p w14:paraId="5F1E181C" w14:textId="77777777" w:rsidR="00F14F57" w:rsidRDefault="004412F1" w:rsidP="009B2310">
            <w:pPr>
              <w:rPr>
                <w:iCs/>
                <w:sz w:val="17"/>
                <w:szCs w:val="17"/>
                <w:lang w:val="en-GB"/>
              </w:rPr>
            </w:pPr>
            <w:r w:rsidRPr="006817C1">
              <w:rPr>
                <w:iCs/>
                <w:sz w:val="17"/>
                <w:szCs w:val="17"/>
                <w:lang w:val="en-GB"/>
              </w:rPr>
              <w:t>N</w:t>
            </w:r>
            <w:r>
              <w:rPr>
                <w:iCs/>
                <w:sz w:val="17"/>
                <w:szCs w:val="17"/>
                <w:lang w:val="en-GB"/>
              </w:rPr>
              <w:t xml:space="preserve">ational </w:t>
            </w:r>
            <w:r w:rsidRPr="006817C1">
              <w:rPr>
                <w:iCs/>
                <w:sz w:val="17"/>
                <w:szCs w:val="17"/>
                <w:lang w:val="en-GB"/>
              </w:rPr>
              <w:t>S</w:t>
            </w:r>
            <w:r>
              <w:rPr>
                <w:iCs/>
                <w:sz w:val="17"/>
                <w:szCs w:val="17"/>
                <w:lang w:val="en-GB"/>
              </w:rPr>
              <w:t xml:space="preserve">teering </w:t>
            </w:r>
            <w:r w:rsidRPr="006817C1">
              <w:rPr>
                <w:iCs/>
                <w:sz w:val="17"/>
                <w:szCs w:val="17"/>
                <w:lang w:val="en-GB"/>
              </w:rPr>
              <w:t>C</w:t>
            </w:r>
            <w:r>
              <w:rPr>
                <w:iCs/>
                <w:sz w:val="17"/>
                <w:szCs w:val="17"/>
                <w:lang w:val="en-GB"/>
              </w:rPr>
              <w:t>ommittee</w:t>
            </w:r>
            <w:r w:rsidRPr="006817C1">
              <w:rPr>
                <w:iCs/>
                <w:sz w:val="17"/>
                <w:szCs w:val="17"/>
                <w:lang w:val="en-GB"/>
              </w:rPr>
              <w:t xml:space="preserve">, </w:t>
            </w:r>
          </w:p>
          <w:p w14:paraId="4AC08653" w14:textId="77777777" w:rsidR="00F14F57" w:rsidRDefault="004412F1" w:rsidP="009B2310">
            <w:pPr>
              <w:rPr>
                <w:iCs/>
                <w:sz w:val="17"/>
                <w:szCs w:val="17"/>
                <w:lang w:val="en-GB"/>
              </w:rPr>
            </w:pPr>
            <w:r>
              <w:rPr>
                <w:iCs/>
                <w:sz w:val="17"/>
                <w:szCs w:val="17"/>
                <w:lang w:val="en-GB"/>
              </w:rPr>
              <w:t>National Cohesion and Integration Commission</w:t>
            </w:r>
            <w:r w:rsidRPr="006817C1">
              <w:rPr>
                <w:iCs/>
                <w:sz w:val="17"/>
                <w:szCs w:val="17"/>
                <w:lang w:val="en-GB"/>
              </w:rPr>
              <w:t xml:space="preserve">, </w:t>
            </w:r>
            <w:r>
              <w:rPr>
                <w:iCs/>
                <w:sz w:val="17"/>
                <w:szCs w:val="17"/>
                <w:lang w:val="en-GB"/>
              </w:rPr>
              <w:t>Kenya National Commission on Human Rights</w:t>
            </w:r>
            <w:r w:rsidRPr="006817C1">
              <w:rPr>
                <w:iCs/>
                <w:sz w:val="17"/>
                <w:szCs w:val="17"/>
                <w:lang w:val="en-GB"/>
              </w:rPr>
              <w:t xml:space="preserve">, </w:t>
            </w:r>
          </w:p>
          <w:p w14:paraId="02D996BE" w14:textId="77777777" w:rsidR="00F14F57" w:rsidRDefault="004412F1" w:rsidP="009B2310">
            <w:pPr>
              <w:rPr>
                <w:iCs/>
                <w:sz w:val="17"/>
                <w:szCs w:val="17"/>
                <w:lang w:val="en-GB"/>
              </w:rPr>
            </w:pPr>
            <w:r>
              <w:rPr>
                <w:iCs/>
                <w:sz w:val="17"/>
                <w:szCs w:val="17"/>
                <w:lang w:val="en-GB"/>
              </w:rPr>
              <w:lastRenderedPageBreak/>
              <w:t>National Gender and Equality Commission</w:t>
            </w:r>
            <w:r w:rsidRPr="006817C1">
              <w:rPr>
                <w:iCs/>
                <w:sz w:val="17"/>
                <w:szCs w:val="17"/>
                <w:lang w:val="en-GB"/>
              </w:rPr>
              <w:t xml:space="preserve">, CSOs, </w:t>
            </w:r>
          </w:p>
          <w:p w14:paraId="5F3A8D4B" w14:textId="77777777" w:rsidR="00F14F57" w:rsidRDefault="004412F1" w:rsidP="009B2310">
            <w:pPr>
              <w:rPr>
                <w:iCs/>
                <w:sz w:val="17"/>
                <w:szCs w:val="17"/>
                <w:lang w:val="en-GB"/>
              </w:rPr>
            </w:pPr>
            <w:r>
              <w:rPr>
                <w:iCs/>
                <w:sz w:val="17"/>
                <w:szCs w:val="17"/>
                <w:lang w:val="en-GB"/>
              </w:rPr>
              <w:t>faith-based organizations</w:t>
            </w:r>
            <w:r w:rsidRPr="006817C1">
              <w:rPr>
                <w:iCs/>
                <w:sz w:val="17"/>
                <w:szCs w:val="17"/>
                <w:lang w:val="en-GB"/>
              </w:rPr>
              <w:t xml:space="preserve">, </w:t>
            </w:r>
          </w:p>
          <w:p w14:paraId="3BCFBA6C" w14:textId="7078A40D" w:rsidR="00751963" w:rsidRDefault="004412F1" w:rsidP="009B2310">
            <w:pPr>
              <w:rPr>
                <w:iCs/>
                <w:sz w:val="17"/>
                <w:szCs w:val="17"/>
                <w:lang w:val="en-GB"/>
              </w:rPr>
            </w:pPr>
            <w:r>
              <w:rPr>
                <w:iCs/>
                <w:sz w:val="17"/>
                <w:szCs w:val="17"/>
                <w:lang w:val="en-GB"/>
              </w:rPr>
              <w:t>National Counter Terrorism Centre (</w:t>
            </w:r>
            <w:r w:rsidRPr="006817C1">
              <w:rPr>
                <w:iCs/>
                <w:sz w:val="17"/>
                <w:szCs w:val="17"/>
                <w:lang w:val="en-GB"/>
              </w:rPr>
              <w:t>NCTC</w:t>
            </w:r>
            <w:r>
              <w:rPr>
                <w:iCs/>
                <w:sz w:val="17"/>
                <w:szCs w:val="17"/>
                <w:lang w:val="en-GB"/>
              </w:rPr>
              <w:t>)</w:t>
            </w:r>
            <w:r w:rsidRPr="006817C1">
              <w:rPr>
                <w:iCs/>
                <w:sz w:val="17"/>
                <w:szCs w:val="17"/>
                <w:lang w:val="en-GB"/>
              </w:rPr>
              <w:t xml:space="preserve">, </w:t>
            </w:r>
            <w:r>
              <w:rPr>
                <w:iCs/>
                <w:sz w:val="17"/>
                <w:szCs w:val="17"/>
                <w:lang w:val="en-GB"/>
              </w:rPr>
              <w:t>Intergovernmental Authority on Development</w:t>
            </w:r>
            <w:r w:rsidRPr="006817C1">
              <w:rPr>
                <w:iCs/>
                <w:sz w:val="17"/>
                <w:szCs w:val="17"/>
                <w:lang w:val="en-GB"/>
              </w:rPr>
              <w:t xml:space="preserve">, </w:t>
            </w:r>
          </w:p>
          <w:p w14:paraId="02200DCB" w14:textId="77777777" w:rsidR="00F14F57" w:rsidRDefault="004412F1" w:rsidP="009B2310">
            <w:pPr>
              <w:rPr>
                <w:iCs/>
                <w:sz w:val="17"/>
                <w:szCs w:val="17"/>
                <w:lang w:val="en-GB"/>
              </w:rPr>
            </w:pPr>
            <w:r w:rsidRPr="006817C1">
              <w:rPr>
                <w:iCs/>
                <w:sz w:val="17"/>
                <w:szCs w:val="17"/>
                <w:lang w:val="en-GB"/>
              </w:rPr>
              <w:t>A</w:t>
            </w:r>
            <w:r>
              <w:rPr>
                <w:iCs/>
                <w:sz w:val="17"/>
                <w:szCs w:val="17"/>
                <w:lang w:val="en-GB"/>
              </w:rPr>
              <w:t xml:space="preserve">frican </w:t>
            </w:r>
            <w:r w:rsidRPr="006817C1">
              <w:rPr>
                <w:iCs/>
                <w:sz w:val="17"/>
                <w:szCs w:val="17"/>
                <w:lang w:val="en-GB"/>
              </w:rPr>
              <w:t>U</w:t>
            </w:r>
            <w:r>
              <w:rPr>
                <w:iCs/>
                <w:sz w:val="17"/>
                <w:szCs w:val="17"/>
                <w:lang w:val="en-GB"/>
              </w:rPr>
              <w:t>nion</w:t>
            </w:r>
            <w:r w:rsidRPr="006817C1">
              <w:rPr>
                <w:iCs/>
                <w:sz w:val="17"/>
                <w:szCs w:val="17"/>
                <w:lang w:val="en-GB"/>
              </w:rPr>
              <w:t xml:space="preserve">, </w:t>
            </w:r>
          </w:p>
          <w:p w14:paraId="348A54B1" w14:textId="3D0EF6D5" w:rsidR="00751963" w:rsidRDefault="004412F1" w:rsidP="009B2310">
            <w:pPr>
              <w:rPr>
                <w:iCs/>
                <w:sz w:val="17"/>
                <w:szCs w:val="17"/>
                <w:lang w:val="en-GB"/>
              </w:rPr>
            </w:pPr>
            <w:r w:rsidRPr="00BD13D4">
              <w:rPr>
                <w:iCs/>
                <w:sz w:val="17"/>
                <w:szCs w:val="17"/>
              </w:rPr>
              <w:t>Regional Centre on Small Arms and Light Weapons in the Great Lakes Region, the Horn of Africa and Bordering States</w:t>
            </w:r>
            <w:r w:rsidRPr="006817C1">
              <w:rPr>
                <w:iCs/>
                <w:sz w:val="17"/>
                <w:szCs w:val="17"/>
                <w:lang w:val="en-GB"/>
              </w:rPr>
              <w:t>,</w:t>
            </w:r>
          </w:p>
          <w:p w14:paraId="3563FEBF" w14:textId="39DFE1F8" w:rsidR="004412F1" w:rsidRPr="006817C1" w:rsidRDefault="004412F1" w:rsidP="009B2310">
            <w:pPr>
              <w:rPr>
                <w:iCs/>
                <w:color w:val="000000"/>
                <w:sz w:val="17"/>
                <w:szCs w:val="17"/>
                <w:lang w:val="en-GB"/>
              </w:rPr>
            </w:pPr>
            <w:r w:rsidRPr="006817C1">
              <w:rPr>
                <w:iCs/>
                <w:sz w:val="17"/>
                <w:szCs w:val="17"/>
                <w:lang w:val="en-GB"/>
              </w:rPr>
              <w:t>UN</w:t>
            </w:r>
            <w:r>
              <w:rPr>
                <w:iCs/>
                <w:sz w:val="17"/>
                <w:szCs w:val="17"/>
                <w:lang w:val="en-GB"/>
              </w:rPr>
              <w:t>-</w:t>
            </w:r>
            <w:r w:rsidRPr="006817C1">
              <w:rPr>
                <w:iCs/>
                <w:sz w:val="17"/>
                <w:szCs w:val="17"/>
                <w:lang w:val="en-GB"/>
              </w:rPr>
              <w:t>Women, OHCHR</w:t>
            </w:r>
          </w:p>
        </w:tc>
        <w:tc>
          <w:tcPr>
            <w:tcW w:w="958" w:type="pct"/>
            <w:tcBorders>
              <w:bottom w:val="single" w:sz="4" w:space="0" w:color="auto"/>
            </w:tcBorders>
            <w:tcMar>
              <w:top w:w="15" w:type="dxa"/>
              <w:left w:w="108" w:type="dxa"/>
              <w:bottom w:w="0" w:type="dxa"/>
              <w:right w:w="108" w:type="dxa"/>
            </w:tcMar>
          </w:tcPr>
          <w:p w14:paraId="5830A5D3" w14:textId="77777777" w:rsidR="004412F1" w:rsidRPr="006817C1" w:rsidRDefault="004412F1" w:rsidP="009B2310">
            <w:pPr>
              <w:rPr>
                <w:b/>
                <w:color w:val="000000"/>
                <w:sz w:val="17"/>
                <w:szCs w:val="17"/>
              </w:rPr>
            </w:pPr>
            <w:r w:rsidRPr="006817C1">
              <w:rPr>
                <w:b/>
                <w:color w:val="000000"/>
                <w:sz w:val="17"/>
                <w:szCs w:val="17"/>
              </w:rPr>
              <w:lastRenderedPageBreak/>
              <w:t>Regular: 2,492</w:t>
            </w:r>
          </w:p>
        </w:tc>
      </w:tr>
      <w:tr w:rsidR="004412F1" w:rsidRPr="006817C1" w14:paraId="31979DDD" w14:textId="77777777" w:rsidTr="0085112D">
        <w:tc>
          <w:tcPr>
            <w:tcW w:w="1097" w:type="pct"/>
            <w:vMerge/>
            <w:tcMar>
              <w:top w:w="72" w:type="dxa"/>
              <w:left w:w="144" w:type="dxa"/>
              <w:bottom w:w="72" w:type="dxa"/>
              <w:right w:w="144" w:type="dxa"/>
            </w:tcMar>
          </w:tcPr>
          <w:p w14:paraId="5A0816B1" w14:textId="77777777" w:rsidR="004412F1" w:rsidRPr="006817C1" w:rsidRDefault="004412F1" w:rsidP="009B2310">
            <w:pPr>
              <w:rPr>
                <w:i/>
                <w:iCs/>
                <w:color w:val="000000"/>
                <w:sz w:val="17"/>
                <w:szCs w:val="17"/>
                <w:lang w:val="en-GB"/>
              </w:rPr>
            </w:pPr>
          </w:p>
        </w:tc>
        <w:tc>
          <w:tcPr>
            <w:tcW w:w="1178" w:type="pct"/>
            <w:vMerge/>
          </w:tcPr>
          <w:p w14:paraId="035B5C45" w14:textId="77777777" w:rsidR="004412F1" w:rsidRPr="006817C1" w:rsidRDefault="004412F1" w:rsidP="009B2310">
            <w:pPr>
              <w:rPr>
                <w:i/>
                <w:iCs/>
                <w:color w:val="000000"/>
                <w:sz w:val="17"/>
                <w:szCs w:val="17"/>
                <w:lang w:val="en-GB"/>
              </w:rPr>
            </w:pPr>
          </w:p>
        </w:tc>
        <w:tc>
          <w:tcPr>
            <w:tcW w:w="1092" w:type="pct"/>
            <w:vMerge/>
            <w:tcMar>
              <w:top w:w="72" w:type="dxa"/>
              <w:left w:w="144" w:type="dxa"/>
              <w:bottom w:w="72" w:type="dxa"/>
              <w:right w:w="144" w:type="dxa"/>
            </w:tcMar>
          </w:tcPr>
          <w:p w14:paraId="62EF7FFB" w14:textId="77777777" w:rsidR="004412F1" w:rsidRPr="006817C1" w:rsidRDefault="004412F1" w:rsidP="009B2310">
            <w:pPr>
              <w:rPr>
                <w:i/>
                <w:iCs/>
                <w:color w:val="000000"/>
                <w:sz w:val="17"/>
                <w:szCs w:val="17"/>
                <w:lang w:val="en-GB"/>
              </w:rPr>
            </w:pPr>
          </w:p>
        </w:tc>
        <w:tc>
          <w:tcPr>
            <w:tcW w:w="675" w:type="pct"/>
            <w:vMerge/>
          </w:tcPr>
          <w:p w14:paraId="190DB3E0" w14:textId="77777777" w:rsidR="004412F1" w:rsidRPr="006817C1" w:rsidRDefault="004412F1" w:rsidP="009B2310">
            <w:pPr>
              <w:rPr>
                <w:i/>
                <w:iCs/>
                <w:color w:val="000000"/>
                <w:sz w:val="17"/>
                <w:szCs w:val="17"/>
                <w:lang w:val="en-GB"/>
              </w:rPr>
            </w:pPr>
          </w:p>
        </w:tc>
        <w:tc>
          <w:tcPr>
            <w:tcW w:w="958" w:type="pct"/>
            <w:tcBorders>
              <w:bottom w:val="nil"/>
            </w:tcBorders>
            <w:tcMar>
              <w:top w:w="15" w:type="dxa"/>
              <w:left w:w="108" w:type="dxa"/>
              <w:bottom w:w="0" w:type="dxa"/>
              <w:right w:w="108" w:type="dxa"/>
            </w:tcMar>
          </w:tcPr>
          <w:p w14:paraId="3DBA5D3C" w14:textId="77777777" w:rsidR="004412F1" w:rsidRPr="006817C1" w:rsidRDefault="004412F1" w:rsidP="009B2310">
            <w:pPr>
              <w:rPr>
                <w:b/>
                <w:color w:val="000000"/>
                <w:sz w:val="17"/>
                <w:szCs w:val="17"/>
              </w:rPr>
            </w:pPr>
            <w:r w:rsidRPr="006817C1">
              <w:rPr>
                <w:b/>
                <w:color w:val="000000"/>
                <w:sz w:val="17"/>
                <w:szCs w:val="17"/>
              </w:rPr>
              <w:t>Other:   43,750</w:t>
            </w:r>
          </w:p>
        </w:tc>
      </w:tr>
      <w:tr w:rsidR="004412F1" w:rsidRPr="006817C1" w14:paraId="44D56273" w14:textId="77777777" w:rsidTr="0085112D">
        <w:tc>
          <w:tcPr>
            <w:tcW w:w="1097" w:type="pct"/>
            <w:vMerge/>
            <w:tcBorders>
              <w:bottom w:val="single" w:sz="4" w:space="0" w:color="auto"/>
            </w:tcBorders>
            <w:tcMar>
              <w:top w:w="72" w:type="dxa"/>
              <w:left w:w="144" w:type="dxa"/>
              <w:bottom w:w="72" w:type="dxa"/>
              <w:right w:w="144" w:type="dxa"/>
            </w:tcMar>
          </w:tcPr>
          <w:p w14:paraId="209003AD" w14:textId="77777777" w:rsidR="004412F1" w:rsidRPr="006817C1" w:rsidRDefault="004412F1" w:rsidP="009B2310">
            <w:pPr>
              <w:rPr>
                <w:i/>
                <w:iCs/>
                <w:color w:val="000000"/>
                <w:sz w:val="17"/>
                <w:szCs w:val="17"/>
                <w:lang w:val="en-GB"/>
              </w:rPr>
            </w:pPr>
          </w:p>
        </w:tc>
        <w:tc>
          <w:tcPr>
            <w:tcW w:w="1178" w:type="pct"/>
            <w:vMerge/>
            <w:tcBorders>
              <w:bottom w:val="single" w:sz="4" w:space="0" w:color="auto"/>
            </w:tcBorders>
          </w:tcPr>
          <w:p w14:paraId="4FE9B5E6" w14:textId="77777777" w:rsidR="004412F1" w:rsidRPr="006817C1" w:rsidRDefault="004412F1" w:rsidP="009B2310">
            <w:pPr>
              <w:rPr>
                <w:i/>
                <w:iCs/>
                <w:color w:val="000000"/>
                <w:sz w:val="17"/>
                <w:szCs w:val="17"/>
                <w:lang w:val="en-GB"/>
              </w:rPr>
            </w:pPr>
          </w:p>
        </w:tc>
        <w:tc>
          <w:tcPr>
            <w:tcW w:w="1092" w:type="pct"/>
            <w:vMerge/>
            <w:tcBorders>
              <w:bottom w:val="single" w:sz="4" w:space="0" w:color="auto"/>
            </w:tcBorders>
            <w:tcMar>
              <w:top w:w="72" w:type="dxa"/>
              <w:left w:w="144" w:type="dxa"/>
              <w:bottom w:w="72" w:type="dxa"/>
              <w:right w:w="144" w:type="dxa"/>
            </w:tcMar>
          </w:tcPr>
          <w:p w14:paraId="53F41F48" w14:textId="77777777" w:rsidR="004412F1" w:rsidRPr="006817C1" w:rsidRDefault="004412F1" w:rsidP="009B2310">
            <w:pPr>
              <w:rPr>
                <w:i/>
                <w:iCs/>
                <w:color w:val="000000"/>
                <w:sz w:val="17"/>
                <w:szCs w:val="17"/>
                <w:lang w:val="en-GB"/>
              </w:rPr>
            </w:pPr>
          </w:p>
        </w:tc>
        <w:tc>
          <w:tcPr>
            <w:tcW w:w="675" w:type="pct"/>
            <w:vMerge/>
            <w:tcBorders>
              <w:bottom w:val="single" w:sz="4" w:space="0" w:color="auto"/>
            </w:tcBorders>
          </w:tcPr>
          <w:p w14:paraId="5760E81E" w14:textId="77777777" w:rsidR="004412F1" w:rsidRPr="006817C1" w:rsidRDefault="004412F1" w:rsidP="009B2310">
            <w:pPr>
              <w:rPr>
                <w:i/>
                <w:iCs/>
                <w:color w:val="000000"/>
                <w:sz w:val="17"/>
                <w:szCs w:val="17"/>
                <w:lang w:val="en-GB"/>
              </w:rPr>
            </w:pPr>
          </w:p>
        </w:tc>
        <w:tc>
          <w:tcPr>
            <w:tcW w:w="958" w:type="pct"/>
            <w:tcBorders>
              <w:top w:val="nil"/>
              <w:bottom w:val="single" w:sz="4" w:space="0" w:color="auto"/>
            </w:tcBorders>
            <w:tcMar>
              <w:top w:w="15" w:type="dxa"/>
              <w:left w:w="108" w:type="dxa"/>
              <w:bottom w:w="0" w:type="dxa"/>
              <w:right w:w="108" w:type="dxa"/>
            </w:tcMar>
          </w:tcPr>
          <w:p w14:paraId="3BB5B45F" w14:textId="77777777" w:rsidR="004412F1" w:rsidRPr="006817C1" w:rsidRDefault="004412F1" w:rsidP="009B2310">
            <w:pPr>
              <w:rPr>
                <w:b/>
                <w:color w:val="000000"/>
                <w:sz w:val="17"/>
                <w:szCs w:val="17"/>
              </w:rPr>
            </w:pPr>
            <w:r w:rsidRPr="006817C1">
              <w:rPr>
                <w:b/>
                <w:color w:val="000000"/>
                <w:sz w:val="17"/>
                <w:szCs w:val="17"/>
              </w:rPr>
              <w:t>Subtotal: 46,242</w:t>
            </w:r>
          </w:p>
        </w:tc>
      </w:tr>
      <w:tr w:rsidR="004412F1" w:rsidRPr="006817C1" w14:paraId="1E2E1C6B" w14:textId="77777777" w:rsidTr="009B2310">
        <w:tc>
          <w:tcPr>
            <w:tcW w:w="5000" w:type="pct"/>
            <w:gridSpan w:val="5"/>
            <w:shd w:val="clear" w:color="auto" w:fill="auto"/>
            <w:tcMar>
              <w:top w:w="72" w:type="dxa"/>
              <w:left w:w="144" w:type="dxa"/>
              <w:bottom w:w="72" w:type="dxa"/>
              <w:right w:w="144" w:type="dxa"/>
            </w:tcMar>
          </w:tcPr>
          <w:p w14:paraId="492EA99F" w14:textId="7BEDF025" w:rsidR="004412F1" w:rsidRPr="006817C1" w:rsidRDefault="004412F1" w:rsidP="009B2310">
            <w:pPr>
              <w:rPr>
                <w:color w:val="000000"/>
                <w:sz w:val="17"/>
                <w:szCs w:val="17"/>
              </w:rPr>
            </w:pPr>
            <w:r w:rsidRPr="006817C1">
              <w:rPr>
                <w:b/>
                <w:bCs/>
                <w:color w:val="000000"/>
                <w:sz w:val="17"/>
                <w:szCs w:val="17"/>
                <w:lang w:val="en-GB"/>
              </w:rPr>
              <w:lastRenderedPageBreak/>
              <w:t xml:space="preserve">NATIONAL PRIORITY OR GOAL: </w:t>
            </w:r>
            <w:r w:rsidRPr="006817C1">
              <w:rPr>
                <w:bCs/>
                <w:color w:val="000000"/>
                <w:sz w:val="17"/>
                <w:szCs w:val="17"/>
                <w:lang w:val="en-GB"/>
              </w:rPr>
              <w:t xml:space="preserve">Improved prosperity by maintaining a sustained economic growth of 10 </w:t>
            </w:r>
            <w:r w:rsidR="00F14F57">
              <w:rPr>
                <w:bCs/>
                <w:color w:val="000000"/>
                <w:sz w:val="17"/>
                <w:szCs w:val="17"/>
                <w:lang w:val="en-GB"/>
              </w:rPr>
              <w:t>per cent per year</w:t>
            </w:r>
            <w:r w:rsidRPr="006817C1">
              <w:rPr>
                <w:bCs/>
                <w:color w:val="000000"/>
                <w:sz w:val="17"/>
                <w:szCs w:val="17"/>
                <w:lang w:val="en-GB"/>
              </w:rPr>
              <w:t>.</w:t>
            </w:r>
          </w:p>
        </w:tc>
      </w:tr>
      <w:tr w:rsidR="004412F1" w:rsidRPr="006817C1" w14:paraId="5CAB0977" w14:textId="77777777" w:rsidTr="009B2310">
        <w:tc>
          <w:tcPr>
            <w:tcW w:w="5000" w:type="pct"/>
            <w:gridSpan w:val="5"/>
            <w:tcBorders>
              <w:bottom w:val="single" w:sz="4" w:space="0" w:color="auto"/>
            </w:tcBorders>
            <w:shd w:val="clear" w:color="auto" w:fill="FFFFFF"/>
            <w:tcMar>
              <w:top w:w="72" w:type="dxa"/>
              <w:left w:w="144" w:type="dxa"/>
              <w:bottom w:w="72" w:type="dxa"/>
              <w:right w:w="144" w:type="dxa"/>
            </w:tcMar>
          </w:tcPr>
          <w:p w14:paraId="6A04FEAC" w14:textId="56629D65" w:rsidR="004412F1" w:rsidRPr="006817C1" w:rsidRDefault="004412F1" w:rsidP="009B2310">
            <w:pPr>
              <w:rPr>
                <w:color w:val="000000"/>
                <w:sz w:val="17"/>
                <w:szCs w:val="17"/>
              </w:rPr>
            </w:pPr>
            <w:r w:rsidRPr="006817C1">
              <w:rPr>
                <w:b/>
                <w:bCs/>
                <w:color w:val="000000"/>
                <w:sz w:val="17"/>
                <w:szCs w:val="17"/>
                <w:lang w:val="en-GB"/>
              </w:rPr>
              <w:t>UNDAF OUTCOME INVOLVING UNDP #3:</w:t>
            </w:r>
            <w:r w:rsidRPr="006817C1">
              <w:rPr>
                <w:color w:val="000000"/>
                <w:sz w:val="17"/>
                <w:szCs w:val="17"/>
                <w:lang w:val="en-GB"/>
              </w:rPr>
              <w:t xml:space="preserve"> </w:t>
            </w:r>
            <w:r w:rsidRPr="000B1661">
              <w:rPr>
                <w:iCs/>
                <w:sz w:val="17"/>
                <w:szCs w:val="17"/>
                <w:lang w:val="en-GB"/>
              </w:rPr>
              <w:t>By 2022,</w:t>
            </w:r>
            <w:r>
              <w:t xml:space="preserve"> </w:t>
            </w:r>
            <w:r w:rsidRPr="00D72731">
              <w:rPr>
                <w:iCs/>
                <w:sz w:val="17"/>
                <w:szCs w:val="17"/>
                <w:lang w:val="en-GB"/>
              </w:rPr>
              <w:t xml:space="preserve">productivity in services sectors, agriculture, manufacturing, extractives, </w:t>
            </w:r>
            <w:r w:rsidR="00F14F57">
              <w:rPr>
                <w:iCs/>
                <w:sz w:val="17"/>
                <w:szCs w:val="17"/>
                <w:lang w:val="en-GB"/>
              </w:rPr>
              <w:t>“</w:t>
            </w:r>
            <w:r w:rsidRPr="00D72731">
              <w:rPr>
                <w:iCs/>
                <w:sz w:val="17"/>
                <w:szCs w:val="17"/>
                <w:lang w:val="en-GB"/>
              </w:rPr>
              <w:t>blue</w:t>
            </w:r>
            <w:r w:rsidR="00F14F57">
              <w:rPr>
                <w:iCs/>
                <w:sz w:val="17"/>
                <w:szCs w:val="17"/>
                <w:lang w:val="en-GB"/>
              </w:rPr>
              <w:t>”</w:t>
            </w:r>
            <w:r w:rsidRPr="00D72731">
              <w:rPr>
                <w:iCs/>
                <w:sz w:val="17"/>
                <w:szCs w:val="17"/>
                <w:lang w:val="en-GB"/>
              </w:rPr>
              <w:t xml:space="preserve"> economy and their value chains increased</w:t>
            </w:r>
            <w:r w:rsidRPr="000B1661">
              <w:rPr>
                <w:iCs/>
                <w:sz w:val="17"/>
                <w:szCs w:val="17"/>
                <w:lang w:val="en-GB"/>
              </w:rPr>
              <w:t>.</w:t>
            </w:r>
            <w:r w:rsidRPr="006817C1">
              <w:rPr>
                <w:i/>
                <w:iCs/>
                <w:sz w:val="17"/>
                <w:szCs w:val="17"/>
                <w:lang w:val="en-GB"/>
              </w:rPr>
              <w:t xml:space="preserve">  </w:t>
            </w:r>
          </w:p>
        </w:tc>
      </w:tr>
      <w:tr w:rsidR="004412F1" w:rsidRPr="006817C1" w14:paraId="41FBA9C3" w14:textId="77777777" w:rsidTr="009B2310">
        <w:tc>
          <w:tcPr>
            <w:tcW w:w="5000" w:type="pct"/>
            <w:gridSpan w:val="5"/>
            <w:shd w:val="clear" w:color="auto" w:fill="auto"/>
            <w:tcMar>
              <w:top w:w="72" w:type="dxa"/>
              <w:left w:w="144" w:type="dxa"/>
              <w:bottom w:w="72" w:type="dxa"/>
              <w:right w:w="144" w:type="dxa"/>
            </w:tcMar>
          </w:tcPr>
          <w:p w14:paraId="2896F32C" w14:textId="77777777" w:rsidR="004412F1" w:rsidRPr="006817C1" w:rsidRDefault="004412F1" w:rsidP="009B2310">
            <w:pPr>
              <w:rPr>
                <w:b/>
                <w:bCs/>
                <w:color w:val="000000"/>
                <w:sz w:val="17"/>
                <w:szCs w:val="17"/>
                <w:lang w:val="en-GB"/>
              </w:rPr>
            </w:pPr>
            <w:r w:rsidRPr="006817C1">
              <w:rPr>
                <w:b/>
                <w:bCs/>
                <w:color w:val="000000"/>
                <w:sz w:val="17"/>
                <w:szCs w:val="17"/>
                <w:lang w:val="en-GB"/>
              </w:rPr>
              <w:t xml:space="preserve">RELATED STRATEGIC PLAN OUTCOME 1: </w:t>
            </w:r>
            <w:r w:rsidRPr="006817C1">
              <w:rPr>
                <w:bCs/>
                <w:color w:val="000000"/>
                <w:sz w:val="17"/>
                <w:szCs w:val="17"/>
                <w:lang w:val="en-GB"/>
              </w:rPr>
              <w:t>Eradicate poverty in all its forms</w:t>
            </w:r>
          </w:p>
        </w:tc>
      </w:tr>
      <w:tr w:rsidR="004412F1" w:rsidRPr="006817C1" w14:paraId="68CFB8D5" w14:textId="77777777" w:rsidTr="009B2310">
        <w:tc>
          <w:tcPr>
            <w:tcW w:w="1097" w:type="pct"/>
            <w:vMerge w:val="restart"/>
            <w:tcMar>
              <w:top w:w="72" w:type="dxa"/>
              <w:left w:w="144" w:type="dxa"/>
              <w:bottom w:w="72" w:type="dxa"/>
              <w:right w:w="144" w:type="dxa"/>
            </w:tcMar>
          </w:tcPr>
          <w:p w14:paraId="6EAC8251" w14:textId="77777777" w:rsidR="004412F1" w:rsidRPr="006817C1" w:rsidRDefault="004412F1" w:rsidP="009B2310">
            <w:pPr>
              <w:rPr>
                <w:iCs/>
                <w:sz w:val="17"/>
                <w:szCs w:val="17"/>
                <w:lang w:val="en-GB"/>
              </w:rPr>
            </w:pPr>
            <w:r w:rsidRPr="006817C1">
              <w:rPr>
                <w:b/>
                <w:bCs/>
                <w:iCs/>
                <w:sz w:val="17"/>
                <w:szCs w:val="17"/>
                <w:lang w:val="en-GB"/>
              </w:rPr>
              <w:t xml:space="preserve">3a. </w:t>
            </w:r>
            <w:r w:rsidRPr="006817C1">
              <w:rPr>
                <w:iCs/>
                <w:sz w:val="17"/>
                <w:szCs w:val="17"/>
                <w:lang w:val="en-GB"/>
              </w:rPr>
              <w:t xml:space="preserve">Share of manufacturing sector to GDP </w:t>
            </w:r>
          </w:p>
          <w:p w14:paraId="6B104D84" w14:textId="77777777" w:rsidR="004412F1" w:rsidRPr="006817C1" w:rsidRDefault="004412F1" w:rsidP="009B2310">
            <w:pPr>
              <w:rPr>
                <w:b/>
                <w:iCs/>
                <w:sz w:val="17"/>
                <w:szCs w:val="17"/>
                <w:lang w:val="en-GB"/>
              </w:rPr>
            </w:pPr>
            <w:r w:rsidRPr="006817C1">
              <w:rPr>
                <w:b/>
                <w:iCs/>
                <w:sz w:val="17"/>
                <w:szCs w:val="17"/>
                <w:lang w:val="en-GB"/>
              </w:rPr>
              <w:t xml:space="preserve">Baseline: </w:t>
            </w:r>
            <w:r w:rsidRPr="006817C1">
              <w:rPr>
                <w:iCs/>
                <w:sz w:val="17"/>
                <w:szCs w:val="17"/>
                <w:lang w:val="en-GB"/>
              </w:rPr>
              <w:t>9.2% (2016)</w:t>
            </w:r>
          </w:p>
          <w:p w14:paraId="6B7AB6F6" w14:textId="77777777" w:rsidR="004412F1" w:rsidRPr="006817C1" w:rsidRDefault="004412F1" w:rsidP="009B2310">
            <w:pPr>
              <w:rPr>
                <w:b/>
                <w:iCs/>
                <w:sz w:val="17"/>
                <w:szCs w:val="17"/>
                <w:lang w:val="en-GB"/>
              </w:rPr>
            </w:pPr>
            <w:r w:rsidRPr="006817C1">
              <w:rPr>
                <w:b/>
                <w:iCs/>
                <w:sz w:val="17"/>
                <w:szCs w:val="17"/>
                <w:lang w:val="en-GB"/>
              </w:rPr>
              <w:t xml:space="preserve">Target: </w:t>
            </w:r>
            <w:r w:rsidRPr="006817C1">
              <w:rPr>
                <w:iCs/>
                <w:sz w:val="17"/>
                <w:szCs w:val="17"/>
                <w:shd w:val="clear" w:color="auto" w:fill="FFFFFF"/>
                <w:lang w:val="en-GB"/>
              </w:rPr>
              <w:t>20% (2023)</w:t>
            </w:r>
          </w:p>
          <w:p w14:paraId="5DC9FEDD" w14:textId="77777777" w:rsidR="004412F1" w:rsidRPr="006817C1" w:rsidRDefault="004412F1" w:rsidP="009B2310">
            <w:pPr>
              <w:rPr>
                <w:iCs/>
                <w:sz w:val="17"/>
                <w:szCs w:val="17"/>
                <w:lang w:val="en-GB"/>
              </w:rPr>
            </w:pPr>
          </w:p>
          <w:p w14:paraId="29435C19" w14:textId="77777777" w:rsidR="004412F1" w:rsidRPr="006817C1" w:rsidRDefault="004412F1" w:rsidP="009B2310">
            <w:pPr>
              <w:rPr>
                <w:iCs/>
                <w:sz w:val="17"/>
                <w:szCs w:val="17"/>
              </w:rPr>
            </w:pPr>
          </w:p>
          <w:p w14:paraId="1830EF92" w14:textId="77777777" w:rsidR="004412F1" w:rsidRPr="006817C1" w:rsidRDefault="004412F1" w:rsidP="009B2310">
            <w:pPr>
              <w:rPr>
                <w:iCs/>
                <w:sz w:val="17"/>
                <w:szCs w:val="17"/>
                <w:lang w:val="en-GB"/>
              </w:rPr>
            </w:pPr>
            <w:r w:rsidRPr="006817C1">
              <w:rPr>
                <w:b/>
                <w:bCs/>
                <w:iCs/>
                <w:sz w:val="17"/>
                <w:szCs w:val="17"/>
                <w:lang w:val="en-GB"/>
              </w:rPr>
              <w:t xml:space="preserve">3b. </w:t>
            </w:r>
            <w:r w:rsidRPr="006817C1">
              <w:rPr>
                <w:iCs/>
                <w:sz w:val="17"/>
                <w:szCs w:val="17"/>
                <w:lang w:val="en-GB"/>
              </w:rPr>
              <w:t xml:space="preserve">Share of </w:t>
            </w:r>
            <w:r>
              <w:rPr>
                <w:iCs/>
                <w:sz w:val="17"/>
                <w:szCs w:val="17"/>
                <w:lang w:val="en-GB"/>
              </w:rPr>
              <w:t>a</w:t>
            </w:r>
            <w:r w:rsidRPr="006817C1">
              <w:rPr>
                <w:iCs/>
                <w:sz w:val="17"/>
                <w:szCs w:val="17"/>
                <w:lang w:val="en-GB"/>
              </w:rPr>
              <w:t xml:space="preserve">gro-processing to exports </w:t>
            </w:r>
          </w:p>
          <w:p w14:paraId="28636844" w14:textId="77777777" w:rsidR="004412F1" w:rsidRPr="006817C1" w:rsidRDefault="004412F1" w:rsidP="009B2310">
            <w:pPr>
              <w:rPr>
                <w:b/>
                <w:iCs/>
                <w:sz w:val="17"/>
                <w:szCs w:val="17"/>
                <w:lang w:val="en-GB"/>
              </w:rPr>
            </w:pPr>
            <w:r w:rsidRPr="006817C1">
              <w:rPr>
                <w:b/>
                <w:iCs/>
                <w:sz w:val="17"/>
                <w:szCs w:val="17"/>
                <w:lang w:val="en-GB"/>
              </w:rPr>
              <w:t xml:space="preserve">Baseline: </w:t>
            </w:r>
            <w:r w:rsidRPr="006817C1">
              <w:rPr>
                <w:iCs/>
                <w:sz w:val="17"/>
                <w:szCs w:val="17"/>
                <w:lang w:val="en-GB"/>
              </w:rPr>
              <w:t>16% (2016)</w:t>
            </w:r>
          </w:p>
          <w:p w14:paraId="08A3C356" w14:textId="77777777" w:rsidR="004412F1" w:rsidRPr="006817C1" w:rsidRDefault="004412F1" w:rsidP="009B2310">
            <w:pPr>
              <w:rPr>
                <w:b/>
                <w:iCs/>
                <w:sz w:val="17"/>
                <w:szCs w:val="17"/>
                <w:lang w:val="en-GB"/>
              </w:rPr>
            </w:pPr>
            <w:r w:rsidRPr="006817C1">
              <w:rPr>
                <w:b/>
                <w:iCs/>
                <w:sz w:val="17"/>
                <w:szCs w:val="17"/>
                <w:lang w:val="en-GB"/>
              </w:rPr>
              <w:t xml:space="preserve">Target: </w:t>
            </w:r>
            <w:r w:rsidRPr="006817C1">
              <w:rPr>
                <w:iCs/>
                <w:sz w:val="17"/>
                <w:szCs w:val="17"/>
                <w:shd w:val="clear" w:color="auto" w:fill="FFFFFF"/>
                <w:lang w:val="en-GB"/>
              </w:rPr>
              <w:t>50% (2023)</w:t>
            </w:r>
          </w:p>
          <w:p w14:paraId="0D896A6D" w14:textId="77777777" w:rsidR="004412F1" w:rsidRPr="006817C1" w:rsidRDefault="004412F1" w:rsidP="009B2310">
            <w:pPr>
              <w:rPr>
                <w:b/>
                <w:bCs/>
                <w:color w:val="000000"/>
                <w:sz w:val="17"/>
                <w:szCs w:val="17"/>
                <w:lang w:val="en-GB"/>
              </w:rPr>
            </w:pPr>
          </w:p>
        </w:tc>
        <w:tc>
          <w:tcPr>
            <w:tcW w:w="1178" w:type="pct"/>
            <w:vMerge w:val="restart"/>
          </w:tcPr>
          <w:p w14:paraId="6BC48334" w14:textId="77777777" w:rsidR="004412F1" w:rsidRPr="006817C1" w:rsidRDefault="004412F1" w:rsidP="009B2310">
            <w:pPr>
              <w:rPr>
                <w:bCs/>
                <w:sz w:val="17"/>
                <w:szCs w:val="17"/>
              </w:rPr>
            </w:pPr>
            <w:r w:rsidRPr="006817C1">
              <w:rPr>
                <w:b/>
                <w:bCs/>
                <w:color w:val="000000"/>
                <w:sz w:val="17"/>
                <w:szCs w:val="17"/>
              </w:rPr>
              <w:t>3a &amp; b.</w:t>
            </w:r>
            <w:r w:rsidRPr="006817C1">
              <w:rPr>
                <w:bCs/>
                <w:color w:val="000000"/>
                <w:sz w:val="17"/>
                <w:szCs w:val="17"/>
              </w:rPr>
              <w:t xml:space="preserve"> </w:t>
            </w:r>
            <w:r w:rsidRPr="006817C1">
              <w:rPr>
                <w:b/>
                <w:bCs/>
                <w:color w:val="000000"/>
                <w:sz w:val="17"/>
                <w:szCs w:val="17"/>
              </w:rPr>
              <w:t>Data source</w:t>
            </w:r>
            <w:r w:rsidRPr="006817C1">
              <w:rPr>
                <w:bCs/>
                <w:color w:val="000000"/>
                <w:sz w:val="17"/>
                <w:szCs w:val="17"/>
              </w:rPr>
              <w:t xml:space="preserve">: Economic Survey </w:t>
            </w:r>
            <w:r w:rsidRPr="006817C1">
              <w:rPr>
                <w:b/>
                <w:bCs/>
                <w:sz w:val="17"/>
                <w:szCs w:val="17"/>
              </w:rPr>
              <w:t>Frequency</w:t>
            </w:r>
            <w:r w:rsidRPr="006817C1">
              <w:rPr>
                <w:bCs/>
                <w:sz w:val="17"/>
                <w:szCs w:val="17"/>
              </w:rPr>
              <w:t>: Annually</w:t>
            </w:r>
          </w:p>
          <w:p w14:paraId="6CEA5727" w14:textId="77777777" w:rsidR="004412F1" w:rsidRPr="006817C1" w:rsidRDefault="004412F1" w:rsidP="009B2310">
            <w:pPr>
              <w:rPr>
                <w:bCs/>
                <w:color w:val="FF0000"/>
                <w:sz w:val="17"/>
                <w:szCs w:val="17"/>
              </w:rPr>
            </w:pPr>
            <w:r w:rsidRPr="006817C1">
              <w:rPr>
                <w:b/>
                <w:bCs/>
                <w:sz w:val="17"/>
                <w:szCs w:val="17"/>
              </w:rPr>
              <w:t>Responsibilities</w:t>
            </w:r>
            <w:r w:rsidRPr="006817C1">
              <w:rPr>
                <w:bCs/>
                <w:sz w:val="17"/>
                <w:szCs w:val="17"/>
              </w:rPr>
              <w:t xml:space="preserve">: KNBS </w:t>
            </w:r>
          </w:p>
          <w:p w14:paraId="751E5758" w14:textId="77777777" w:rsidR="004412F1" w:rsidRPr="006817C1" w:rsidRDefault="004412F1" w:rsidP="009B2310">
            <w:pPr>
              <w:rPr>
                <w:b/>
                <w:bCs/>
                <w:color w:val="000000"/>
                <w:sz w:val="17"/>
                <w:szCs w:val="17"/>
                <w:lang w:val="en-GB"/>
              </w:rPr>
            </w:pPr>
            <w:r w:rsidRPr="006817C1">
              <w:rPr>
                <w:b/>
                <w:bCs/>
                <w:color w:val="000000"/>
                <w:sz w:val="17"/>
                <w:szCs w:val="17"/>
                <w:lang w:val="en-GB"/>
              </w:rPr>
              <w:t xml:space="preserve"> </w:t>
            </w:r>
          </w:p>
        </w:tc>
        <w:tc>
          <w:tcPr>
            <w:tcW w:w="1092" w:type="pct"/>
            <w:vMerge w:val="restart"/>
            <w:shd w:val="clear" w:color="auto" w:fill="FFFFFF"/>
            <w:tcMar>
              <w:top w:w="72" w:type="dxa"/>
              <w:left w:w="144" w:type="dxa"/>
              <w:bottom w:w="72" w:type="dxa"/>
              <w:right w:w="144" w:type="dxa"/>
            </w:tcMar>
          </w:tcPr>
          <w:p w14:paraId="2809C5A1" w14:textId="203D072E" w:rsidR="004412F1" w:rsidRPr="006817C1" w:rsidRDefault="004412F1" w:rsidP="009B2310">
            <w:pPr>
              <w:rPr>
                <w:iCs/>
                <w:sz w:val="17"/>
                <w:szCs w:val="17"/>
                <w:lang w:val="en-GB"/>
              </w:rPr>
            </w:pPr>
            <w:r w:rsidRPr="006817C1">
              <w:rPr>
                <w:b/>
                <w:sz w:val="17"/>
                <w:szCs w:val="17"/>
              </w:rPr>
              <w:t>Output 3.1</w:t>
            </w:r>
            <w:r w:rsidRPr="006817C1">
              <w:rPr>
                <w:sz w:val="17"/>
                <w:szCs w:val="17"/>
              </w:rPr>
              <w:t xml:space="preserve">: Human and institutional capability increased in manufacturing, fishing, artisanal mining and agro-processing sectors value chains </w:t>
            </w:r>
          </w:p>
          <w:p w14:paraId="19EF724E" w14:textId="77777777" w:rsidR="004412F1" w:rsidRPr="006817C1" w:rsidRDefault="004412F1" w:rsidP="009B2310">
            <w:pPr>
              <w:rPr>
                <w:b/>
                <w:iCs/>
                <w:sz w:val="17"/>
                <w:szCs w:val="17"/>
                <w:lang w:val="en-GB"/>
              </w:rPr>
            </w:pPr>
          </w:p>
          <w:p w14:paraId="1200D263" w14:textId="77777777" w:rsidR="004412F1" w:rsidRPr="006817C1" w:rsidRDefault="004412F1" w:rsidP="009B2310">
            <w:pPr>
              <w:shd w:val="clear" w:color="auto" w:fill="FFFFFF"/>
              <w:rPr>
                <w:iCs/>
                <w:sz w:val="17"/>
                <w:szCs w:val="17"/>
                <w:lang w:val="en-GB"/>
              </w:rPr>
            </w:pPr>
            <w:r w:rsidRPr="006817C1">
              <w:rPr>
                <w:b/>
                <w:iCs/>
                <w:sz w:val="17"/>
                <w:szCs w:val="17"/>
                <w:lang w:val="en-GB"/>
              </w:rPr>
              <w:t>Indicator 3.1.1</w:t>
            </w:r>
            <w:r w:rsidRPr="006817C1">
              <w:rPr>
                <w:iCs/>
                <w:sz w:val="17"/>
                <w:szCs w:val="17"/>
                <w:lang w:val="en-GB"/>
              </w:rPr>
              <w:t xml:space="preserve">: Number of people benefitting from jobs and improved livelihoods in productive sectors disaggregated by sex  </w:t>
            </w:r>
          </w:p>
          <w:p w14:paraId="4493CE58" w14:textId="6049413B" w:rsidR="004412F1" w:rsidRPr="006817C1" w:rsidRDefault="004412F1" w:rsidP="009B2310">
            <w:pPr>
              <w:shd w:val="clear" w:color="auto" w:fill="FFFFFF"/>
              <w:rPr>
                <w:iCs/>
                <w:sz w:val="17"/>
                <w:szCs w:val="17"/>
                <w:lang w:val="en-GB"/>
              </w:rPr>
            </w:pPr>
            <w:r w:rsidRPr="006817C1">
              <w:rPr>
                <w:b/>
                <w:iCs/>
                <w:sz w:val="17"/>
                <w:szCs w:val="17"/>
                <w:lang w:val="en-GB"/>
              </w:rPr>
              <w:t>Baseline:</w:t>
            </w:r>
            <w:r w:rsidRPr="006817C1">
              <w:rPr>
                <w:iCs/>
                <w:sz w:val="17"/>
                <w:szCs w:val="17"/>
                <w:lang w:val="en-GB"/>
              </w:rPr>
              <w:t xml:space="preserve"> Male: 22</w:t>
            </w:r>
            <w:r>
              <w:rPr>
                <w:iCs/>
                <w:sz w:val="17"/>
                <w:szCs w:val="17"/>
                <w:lang w:val="en-GB"/>
              </w:rPr>
              <w:t>,</w:t>
            </w:r>
            <w:r w:rsidRPr="006817C1">
              <w:rPr>
                <w:iCs/>
                <w:sz w:val="17"/>
                <w:szCs w:val="17"/>
                <w:lang w:val="en-GB"/>
              </w:rPr>
              <w:t>973; Female, 18</w:t>
            </w:r>
            <w:r w:rsidR="00F14F57">
              <w:rPr>
                <w:iCs/>
                <w:sz w:val="17"/>
                <w:szCs w:val="17"/>
                <w:lang w:val="en-GB"/>
              </w:rPr>
              <w:t>,</w:t>
            </w:r>
            <w:r w:rsidRPr="006817C1">
              <w:rPr>
                <w:iCs/>
                <w:sz w:val="17"/>
                <w:szCs w:val="17"/>
                <w:lang w:val="en-GB"/>
              </w:rPr>
              <w:t>437</w:t>
            </w:r>
          </w:p>
          <w:p w14:paraId="755FF084" w14:textId="77777777" w:rsidR="004412F1" w:rsidRPr="006817C1" w:rsidRDefault="004412F1" w:rsidP="009B2310">
            <w:pPr>
              <w:shd w:val="clear" w:color="auto" w:fill="FFFFFF"/>
              <w:rPr>
                <w:iCs/>
                <w:sz w:val="17"/>
                <w:szCs w:val="17"/>
                <w:lang w:val="en-GB"/>
              </w:rPr>
            </w:pPr>
            <w:r w:rsidRPr="006817C1">
              <w:rPr>
                <w:b/>
                <w:iCs/>
                <w:sz w:val="17"/>
                <w:szCs w:val="17"/>
                <w:lang w:val="en-GB"/>
              </w:rPr>
              <w:t>Target:</w:t>
            </w:r>
            <w:r w:rsidRPr="006817C1">
              <w:rPr>
                <w:iCs/>
                <w:sz w:val="17"/>
                <w:szCs w:val="17"/>
                <w:lang w:val="en-GB"/>
              </w:rPr>
              <w:t xml:space="preserve"> Male: 24</w:t>
            </w:r>
            <w:r>
              <w:rPr>
                <w:iCs/>
                <w:sz w:val="17"/>
                <w:szCs w:val="17"/>
                <w:lang w:val="en-GB"/>
              </w:rPr>
              <w:t>,</w:t>
            </w:r>
            <w:r w:rsidRPr="006817C1">
              <w:rPr>
                <w:iCs/>
                <w:sz w:val="17"/>
                <w:szCs w:val="17"/>
                <w:lang w:val="en-GB"/>
              </w:rPr>
              <w:t>973; Female, 19937</w:t>
            </w:r>
          </w:p>
          <w:p w14:paraId="7C9ADD07" w14:textId="77777777" w:rsidR="004412F1" w:rsidRPr="006817C1" w:rsidRDefault="004412F1" w:rsidP="009B2310">
            <w:pPr>
              <w:shd w:val="clear" w:color="auto" w:fill="FFFFFF"/>
              <w:rPr>
                <w:iCs/>
                <w:sz w:val="17"/>
                <w:szCs w:val="17"/>
                <w:lang w:val="en-GB"/>
              </w:rPr>
            </w:pPr>
            <w:r w:rsidRPr="006817C1">
              <w:rPr>
                <w:b/>
                <w:iCs/>
                <w:sz w:val="17"/>
                <w:szCs w:val="17"/>
                <w:lang w:val="en-GB"/>
              </w:rPr>
              <w:lastRenderedPageBreak/>
              <w:t>Data source:</w:t>
            </w:r>
            <w:r w:rsidRPr="006817C1">
              <w:rPr>
                <w:iCs/>
                <w:sz w:val="17"/>
                <w:szCs w:val="17"/>
                <w:lang w:val="en-GB"/>
              </w:rPr>
              <w:t xml:space="preserve"> Ministry of Trade and Industry </w:t>
            </w:r>
          </w:p>
          <w:p w14:paraId="5C1E5718" w14:textId="77777777" w:rsidR="004412F1" w:rsidRPr="006817C1" w:rsidRDefault="004412F1" w:rsidP="009B2310">
            <w:pPr>
              <w:shd w:val="clear" w:color="auto" w:fill="FFFFFF"/>
              <w:rPr>
                <w:iCs/>
                <w:sz w:val="17"/>
                <w:szCs w:val="17"/>
                <w:lang w:val="en-GB"/>
              </w:rPr>
            </w:pPr>
            <w:r w:rsidRPr="006817C1">
              <w:rPr>
                <w:b/>
                <w:iCs/>
                <w:sz w:val="17"/>
                <w:szCs w:val="17"/>
                <w:lang w:val="en-GB"/>
              </w:rPr>
              <w:t>Frequency:</w:t>
            </w:r>
            <w:r w:rsidRPr="006817C1">
              <w:rPr>
                <w:iCs/>
                <w:sz w:val="17"/>
                <w:szCs w:val="17"/>
                <w:lang w:val="en-GB"/>
              </w:rPr>
              <w:t xml:space="preserve"> Annual </w:t>
            </w:r>
          </w:p>
          <w:p w14:paraId="13000FCF" w14:textId="77777777" w:rsidR="004412F1" w:rsidRPr="006817C1" w:rsidRDefault="004412F1" w:rsidP="009B2310">
            <w:pPr>
              <w:shd w:val="clear" w:color="auto" w:fill="FFFFFF"/>
              <w:rPr>
                <w:iCs/>
                <w:sz w:val="17"/>
                <w:szCs w:val="17"/>
                <w:lang w:val="en-GB"/>
              </w:rPr>
            </w:pPr>
          </w:p>
          <w:p w14:paraId="046B34BF" w14:textId="03A9CC02" w:rsidR="004412F1" w:rsidRPr="006817C1" w:rsidRDefault="004412F1" w:rsidP="009B2310">
            <w:pPr>
              <w:rPr>
                <w:b/>
                <w:sz w:val="17"/>
                <w:szCs w:val="17"/>
              </w:rPr>
            </w:pPr>
            <w:r w:rsidRPr="006817C1">
              <w:rPr>
                <w:b/>
                <w:iCs/>
                <w:sz w:val="17"/>
                <w:szCs w:val="17"/>
                <w:lang w:val="en-GB"/>
              </w:rPr>
              <w:t xml:space="preserve">Output 3.2: </w:t>
            </w:r>
            <w:r w:rsidRPr="00D72731">
              <w:rPr>
                <w:iCs/>
                <w:sz w:val="17"/>
                <w:szCs w:val="17"/>
                <w:lang w:val="en-GB"/>
              </w:rPr>
              <w:t>Inclusive and evidence-based policy and regulatory frameworks</w:t>
            </w:r>
            <w:r w:rsidRPr="006817C1">
              <w:rPr>
                <w:color w:val="000000"/>
                <w:sz w:val="17"/>
                <w:szCs w:val="17"/>
              </w:rPr>
              <w:t xml:space="preserve"> in manufacturing, affordable housing, health and food security</w:t>
            </w:r>
            <w:r w:rsidR="008D2433">
              <w:rPr>
                <w:color w:val="000000"/>
                <w:sz w:val="17"/>
                <w:szCs w:val="17"/>
              </w:rPr>
              <w:t xml:space="preserve"> sectors</w:t>
            </w:r>
            <w:r w:rsidRPr="006817C1">
              <w:rPr>
                <w:color w:val="000000"/>
                <w:sz w:val="17"/>
                <w:szCs w:val="17"/>
              </w:rPr>
              <w:t>.</w:t>
            </w:r>
          </w:p>
          <w:p w14:paraId="1FD32DE0" w14:textId="77777777" w:rsidR="004412F1" w:rsidRPr="006817C1" w:rsidRDefault="004412F1" w:rsidP="009B2310">
            <w:pPr>
              <w:rPr>
                <w:b/>
                <w:iCs/>
                <w:sz w:val="17"/>
                <w:szCs w:val="17"/>
                <w:lang w:val="en-GB"/>
              </w:rPr>
            </w:pPr>
          </w:p>
          <w:p w14:paraId="03939D7B" w14:textId="77777777" w:rsidR="004412F1" w:rsidRPr="006817C1" w:rsidRDefault="004412F1" w:rsidP="009B2310">
            <w:pPr>
              <w:shd w:val="clear" w:color="auto" w:fill="FFFFFF"/>
              <w:rPr>
                <w:iCs/>
                <w:sz w:val="17"/>
                <w:szCs w:val="17"/>
                <w:lang w:val="en-GB"/>
              </w:rPr>
            </w:pPr>
            <w:r w:rsidRPr="006817C1">
              <w:rPr>
                <w:b/>
                <w:iCs/>
                <w:sz w:val="17"/>
                <w:szCs w:val="17"/>
                <w:lang w:val="en-GB"/>
              </w:rPr>
              <w:t>Indicator 3.2.1</w:t>
            </w:r>
            <w:r w:rsidRPr="006817C1">
              <w:rPr>
                <w:iCs/>
                <w:sz w:val="17"/>
                <w:szCs w:val="17"/>
                <w:lang w:val="en-GB"/>
              </w:rPr>
              <w:t>: Number of new policies, legal, regulatory and institutional frameworks in key priority sectors</w:t>
            </w:r>
          </w:p>
          <w:p w14:paraId="510D2683" w14:textId="77777777" w:rsidR="004412F1" w:rsidRPr="006817C1" w:rsidRDefault="004412F1" w:rsidP="009B2310">
            <w:pPr>
              <w:shd w:val="clear" w:color="auto" w:fill="FFFFFF"/>
              <w:rPr>
                <w:iCs/>
                <w:sz w:val="17"/>
                <w:szCs w:val="17"/>
                <w:lang w:val="en-GB"/>
              </w:rPr>
            </w:pPr>
            <w:r w:rsidRPr="006817C1">
              <w:rPr>
                <w:b/>
                <w:iCs/>
                <w:sz w:val="17"/>
                <w:szCs w:val="17"/>
                <w:lang w:val="en-GB"/>
              </w:rPr>
              <w:t>Baseline:</w:t>
            </w:r>
            <w:r w:rsidRPr="006817C1">
              <w:rPr>
                <w:iCs/>
                <w:sz w:val="17"/>
                <w:szCs w:val="17"/>
                <w:lang w:val="en-GB"/>
              </w:rPr>
              <w:t xml:space="preserve"> 3 </w:t>
            </w:r>
          </w:p>
          <w:p w14:paraId="008B5D97" w14:textId="77777777" w:rsidR="004412F1" w:rsidRPr="006817C1" w:rsidRDefault="004412F1" w:rsidP="009B2310">
            <w:pPr>
              <w:shd w:val="clear" w:color="auto" w:fill="FFFFFF"/>
              <w:rPr>
                <w:iCs/>
                <w:sz w:val="17"/>
                <w:szCs w:val="17"/>
                <w:lang w:val="en-GB"/>
              </w:rPr>
            </w:pPr>
            <w:r w:rsidRPr="006817C1">
              <w:rPr>
                <w:b/>
                <w:iCs/>
                <w:sz w:val="17"/>
                <w:szCs w:val="17"/>
                <w:lang w:val="en-GB"/>
              </w:rPr>
              <w:t>Target:</w:t>
            </w:r>
            <w:r w:rsidRPr="006817C1">
              <w:rPr>
                <w:iCs/>
                <w:sz w:val="17"/>
                <w:szCs w:val="17"/>
                <w:lang w:val="en-GB"/>
              </w:rPr>
              <w:t xml:space="preserve"> 5 </w:t>
            </w:r>
          </w:p>
          <w:p w14:paraId="7D920FD7" w14:textId="77777777" w:rsidR="004412F1" w:rsidRPr="006817C1" w:rsidRDefault="004412F1" w:rsidP="009B2310">
            <w:pPr>
              <w:shd w:val="clear" w:color="auto" w:fill="FFFFFF"/>
              <w:rPr>
                <w:iCs/>
                <w:sz w:val="17"/>
                <w:szCs w:val="17"/>
                <w:lang w:val="en-GB"/>
              </w:rPr>
            </w:pPr>
            <w:r w:rsidRPr="006817C1">
              <w:rPr>
                <w:b/>
                <w:iCs/>
                <w:sz w:val="17"/>
                <w:szCs w:val="17"/>
                <w:lang w:val="en-GB"/>
              </w:rPr>
              <w:t>Data source:</w:t>
            </w:r>
            <w:r w:rsidRPr="006817C1">
              <w:rPr>
                <w:iCs/>
                <w:sz w:val="17"/>
                <w:szCs w:val="17"/>
                <w:lang w:val="en-GB"/>
              </w:rPr>
              <w:t xml:space="preserve"> KNBS</w:t>
            </w:r>
          </w:p>
          <w:p w14:paraId="6776AED4" w14:textId="77777777" w:rsidR="004412F1" w:rsidRPr="006817C1" w:rsidRDefault="004412F1" w:rsidP="009B2310">
            <w:pPr>
              <w:shd w:val="clear" w:color="auto" w:fill="FFFFFF"/>
              <w:rPr>
                <w:iCs/>
                <w:sz w:val="17"/>
                <w:szCs w:val="17"/>
                <w:lang w:val="en-GB"/>
              </w:rPr>
            </w:pPr>
            <w:r w:rsidRPr="006817C1">
              <w:rPr>
                <w:b/>
                <w:iCs/>
                <w:sz w:val="17"/>
                <w:szCs w:val="17"/>
                <w:lang w:val="en-GB"/>
              </w:rPr>
              <w:t>Frequency:</w:t>
            </w:r>
            <w:r w:rsidRPr="006817C1">
              <w:rPr>
                <w:iCs/>
                <w:sz w:val="17"/>
                <w:szCs w:val="17"/>
                <w:lang w:val="en-GB"/>
              </w:rPr>
              <w:t xml:space="preserve"> Annual </w:t>
            </w:r>
          </w:p>
        </w:tc>
        <w:tc>
          <w:tcPr>
            <w:tcW w:w="675" w:type="pct"/>
            <w:vMerge w:val="restart"/>
          </w:tcPr>
          <w:p w14:paraId="01F1858D" w14:textId="77777777" w:rsidR="00277688" w:rsidRDefault="004412F1" w:rsidP="009B2310">
            <w:pPr>
              <w:rPr>
                <w:iCs/>
                <w:color w:val="000000"/>
                <w:sz w:val="17"/>
                <w:szCs w:val="17"/>
                <w:lang w:val="en-GB"/>
              </w:rPr>
            </w:pPr>
            <w:r w:rsidRPr="006817C1">
              <w:rPr>
                <w:iCs/>
                <w:color w:val="000000"/>
                <w:sz w:val="17"/>
                <w:szCs w:val="17"/>
                <w:lang w:val="en-GB"/>
              </w:rPr>
              <w:lastRenderedPageBreak/>
              <w:t xml:space="preserve">MoDP, </w:t>
            </w:r>
          </w:p>
          <w:p w14:paraId="0B210833" w14:textId="77777777" w:rsidR="00277688" w:rsidRDefault="004412F1" w:rsidP="009B2310">
            <w:pPr>
              <w:rPr>
                <w:iCs/>
                <w:color w:val="000000"/>
                <w:sz w:val="17"/>
                <w:szCs w:val="17"/>
                <w:lang w:val="en-GB"/>
              </w:rPr>
            </w:pPr>
            <w:r w:rsidRPr="006817C1">
              <w:rPr>
                <w:iCs/>
                <w:color w:val="000000"/>
                <w:sz w:val="17"/>
                <w:szCs w:val="17"/>
                <w:lang w:val="en-GB"/>
              </w:rPr>
              <w:t xml:space="preserve">Ministry of Trade and Industry, </w:t>
            </w:r>
          </w:p>
          <w:p w14:paraId="0E0D7B67" w14:textId="77777777" w:rsidR="00277688" w:rsidRDefault="004412F1" w:rsidP="009B2310">
            <w:pPr>
              <w:rPr>
                <w:iCs/>
                <w:color w:val="000000"/>
                <w:sz w:val="17"/>
                <w:szCs w:val="17"/>
                <w:lang w:val="en-GB"/>
              </w:rPr>
            </w:pPr>
            <w:r w:rsidRPr="006817C1">
              <w:rPr>
                <w:iCs/>
                <w:color w:val="000000"/>
                <w:sz w:val="17"/>
                <w:szCs w:val="17"/>
                <w:lang w:val="en-GB"/>
              </w:rPr>
              <w:t xml:space="preserve">National Treasury, Kenya Industrial Training Institute, </w:t>
            </w:r>
            <w:r>
              <w:rPr>
                <w:iCs/>
                <w:color w:val="000000"/>
                <w:sz w:val="17"/>
                <w:szCs w:val="17"/>
                <w:lang w:val="en-GB"/>
              </w:rPr>
              <w:t>National Industrial Training Authority</w:t>
            </w:r>
            <w:r w:rsidRPr="006817C1">
              <w:rPr>
                <w:iCs/>
                <w:color w:val="000000"/>
                <w:sz w:val="17"/>
                <w:szCs w:val="17"/>
                <w:lang w:val="en-GB"/>
              </w:rPr>
              <w:t xml:space="preserve">, </w:t>
            </w:r>
            <w:r>
              <w:rPr>
                <w:iCs/>
                <w:color w:val="000000"/>
                <w:sz w:val="17"/>
                <w:szCs w:val="17"/>
                <w:lang w:val="en-GB"/>
              </w:rPr>
              <w:t>Kenyan National Chamber of Commerce and Industry</w:t>
            </w:r>
            <w:r w:rsidRPr="006817C1">
              <w:rPr>
                <w:iCs/>
                <w:color w:val="000000"/>
                <w:sz w:val="17"/>
                <w:szCs w:val="17"/>
                <w:lang w:val="en-GB"/>
              </w:rPr>
              <w:t xml:space="preserve">, </w:t>
            </w:r>
          </w:p>
          <w:p w14:paraId="61961E59" w14:textId="77777777" w:rsidR="00277688" w:rsidRDefault="004412F1" w:rsidP="009B2310">
            <w:pPr>
              <w:rPr>
                <w:iCs/>
                <w:color w:val="000000"/>
                <w:sz w:val="17"/>
                <w:szCs w:val="17"/>
                <w:lang w:val="en-GB"/>
              </w:rPr>
            </w:pPr>
            <w:r>
              <w:rPr>
                <w:iCs/>
                <w:color w:val="000000"/>
                <w:sz w:val="17"/>
                <w:szCs w:val="17"/>
                <w:lang w:val="en-GB"/>
              </w:rPr>
              <w:t>Kenya Private Sector Alliance</w:t>
            </w:r>
            <w:r w:rsidRPr="006817C1">
              <w:rPr>
                <w:iCs/>
                <w:color w:val="000000"/>
                <w:sz w:val="17"/>
                <w:szCs w:val="17"/>
                <w:lang w:val="en-GB"/>
              </w:rPr>
              <w:t xml:space="preserve">, </w:t>
            </w:r>
          </w:p>
          <w:p w14:paraId="2BD7265D" w14:textId="77777777" w:rsidR="00277688" w:rsidRDefault="004412F1" w:rsidP="009B2310">
            <w:pPr>
              <w:rPr>
                <w:iCs/>
                <w:color w:val="000000"/>
                <w:sz w:val="17"/>
                <w:szCs w:val="17"/>
                <w:lang w:val="en-GB"/>
              </w:rPr>
            </w:pPr>
            <w:r>
              <w:rPr>
                <w:iCs/>
                <w:color w:val="000000"/>
                <w:sz w:val="17"/>
                <w:szCs w:val="17"/>
                <w:lang w:val="en-GB"/>
              </w:rPr>
              <w:lastRenderedPageBreak/>
              <w:t>Kenya Investment Authority</w:t>
            </w:r>
            <w:r w:rsidRPr="006817C1">
              <w:rPr>
                <w:iCs/>
                <w:color w:val="000000"/>
                <w:sz w:val="17"/>
                <w:szCs w:val="17"/>
                <w:lang w:val="en-GB"/>
              </w:rPr>
              <w:t xml:space="preserve">, </w:t>
            </w:r>
          </w:p>
          <w:p w14:paraId="4F1DECD5" w14:textId="571716EB" w:rsidR="004412F1" w:rsidRPr="006817C1" w:rsidRDefault="004412F1" w:rsidP="009B2310">
            <w:pPr>
              <w:rPr>
                <w:iCs/>
                <w:color w:val="000000"/>
                <w:sz w:val="17"/>
                <w:szCs w:val="17"/>
                <w:lang w:val="en-GB"/>
              </w:rPr>
            </w:pPr>
            <w:r w:rsidRPr="006817C1">
              <w:rPr>
                <w:iCs/>
                <w:color w:val="000000"/>
                <w:sz w:val="17"/>
                <w:szCs w:val="17"/>
                <w:lang w:val="en-GB"/>
              </w:rPr>
              <w:t>ILO, UNIDO, FAO, UNCDF</w:t>
            </w:r>
          </w:p>
        </w:tc>
        <w:tc>
          <w:tcPr>
            <w:tcW w:w="958" w:type="pct"/>
            <w:tcMar>
              <w:top w:w="15" w:type="dxa"/>
              <w:left w:w="108" w:type="dxa"/>
              <w:bottom w:w="0" w:type="dxa"/>
              <w:right w:w="108" w:type="dxa"/>
            </w:tcMar>
          </w:tcPr>
          <w:p w14:paraId="4A137DD9" w14:textId="77777777" w:rsidR="004412F1" w:rsidRPr="006817C1" w:rsidRDefault="004412F1" w:rsidP="009B2310">
            <w:pPr>
              <w:rPr>
                <w:b/>
                <w:color w:val="000000"/>
                <w:sz w:val="17"/>
                <w:szCs w:val="17"/>
              </w:rPr>
            </w:pPr>
            <w:r w:rsidRPr="006817C1">
              <w:rPr>
                <w:b/>
                <w:color w:val="000000"/>
                <w:sz w:val="17"/>
                <w:szCs w:val="17"/>
              </w:rPr>
              <w:lastRenderedPageBreak/>
              <w:t>Regular: 2,000</w:t>
            </w:r>
          </w:p>
        </w:tc>
      </w:tr>
      <w:tr w:rsidR="004412F1" w:rsidRPr="006817C1" w14:paraId="1022BBA1" w14:textId="77777777" w:rsidTr="009B2310">
        <w:tc>
          <w:tcPr>
            <w:tcW w:w="1097" w:type="pct"/>
            <w:vMerge/>
            <w:tcBorders>
              <w:bottom w:val="single" w:sz="4" w:space="0" w:color="auto"/>
            </w:tcBorders>
            <w:tcMar>
              <w:top w:w="72" w:type="dxa"/>
              <w:left w:w="144" w:type="dxa"/>
              <w:bottom w:w="72" w:type="dxa"/>
              <w:right w:w="144" w:type="dxa"/>
            </w:tcMar>
          </w:tcPr>
          <w:p w14:paraId="03F2BCC4" w14:textId="77777777" w:rsidR="004412F1" w:rsidRPr="006817C1" w:rsidRDefault="004412F1" w:rsidP="009B2310">
            <w:pPr>
              <w:rPr>
                <w:i/>
                <w:iCs/>
                <w:color w:val="000000"/>
                <w:sz w:val="17"/>
                <w:szCs w:val="17"/>
                <w:lang w:val="en-GB"/>
              </w:rPr>
            </w:pPr>
          </w:p>
        </w:tc>
        <w:tc>
          <w:tcPr>
            <w:tcW w:w="1178" w:type="pct"/>
            <w:vMerge/>
            <w:tcBorders>
              <w:bottom w:val="single" w:sz="4" w:space="0" w:color="auto"/>
            </w:tcBorders>
          </w:tcPr>
          <w:p w14:paraId="12406893" w14:textId="77777777" w:rsidR="004412F1" w:rsidRPr="006817C1" w:rsidRDefault="004412F1" w:rsidP="009B2310">
            <w:pPr>
              <w:rPr>
                <w:i/>
                <w:iCs/>
                <w:color w:val="000000"/>
                <w:sz w:val="17"/>
                <w:szCs w:val="17"/>
                <w:lang w:val="en-GB"/>
              </w:rPr>
            </w:pPr>
          </w:p>
        </w:tc>
        <w:tc>
          <w:tcPr>
            <w:tcW w:w="1092" w:type="pct"/>
            <w:vMerge/>
            <w:tcBorders>
              <w:bottom w:val="single" w:sz="4" w:space="0" w:color="auto"/>
            </w:tcBorders>
            <w:shd w:val="clear" w:color="auto" w:fill="FFFFFF"/>
            <w:tcMar>
              <w:top w:w="72" w:type="dxa"/>
              <w:left w:w="144" w:type="dxa"/>
              <w:bottom w:w="72" w:type="dxa"/>
              <w:right w:w="144" w:type="dxa"/>
            </w:tcMar>
          </w:tcPr>
          <w:p w14:paraId="4BF879D0" w14:textId="77777777" w:rsidR="004412F1" w:rsidRPr="006817C1" w:rsidRDefault="004412F1" w:rsidP="009B2310">
            <w:pPr>
              <w:rPr>
                <w:i/>
                <w:iCs/>
                <w:color w:val="000000"/>
                <w:sz w:val="17"/>
                <w:szCs w:val="17"/>
                <w:lang w:val="en-GB"/>
              </w:rPr>
            </w:pPr>
          </w:p>
        </w:tc>
        <w:tc>
          <w:tcPr>
            <w:tcW w:w="675" w:type="pct"/>
            <w:vMerge/>
            <w:tcBorders>
              <w:bottom w:val="single" w:sz="4" w:space="0" w:color="auto"/>
            </w:tcBorders>
          </w:tcPr>
          <w:p w14:paraId="1665F310" w14:textId="77777777" w:rsidR="004412F1" w:rsidRPr="006817C1" w:rsidRDefault="004412F1" w:rsidP="009B2310">
            <w:pPr>
              <w:rPr>
                <w:i/>
                <w:iCs/>
                <w:color w:val="000000"/>
                <w:sz w:val="17"/>
                <w:szCs w:val="17"/>
                <w:lang w:val="en-GB"/>
              </w:rPr>
            </w:pPr>
          </w:p>
        </w:tc>
        <w:tc>
          <w:tcPr>
            <w:tcW w:w="958" w:type="pct"/>
            <w:tcBorders>
              <w:bottom w:val="single" w:sz="4" w:space="0" w:color="auto"/>
            </w:tcBorders>
            <w:tcMar>
              <w:top w:w="15" w:type="dxa"/>
              <w:left w:w="108" w:type="dxa"/>
              <w:bottom w:w="0" w:type="dxa"/>
              <w:right w:w="108" w:type="dxa"/>
            </w:tcMar>
          </w:tcPr>
          <w:p w14:paraId="602A5FC3" w14:textId="77777777" w:rsidR="004412F1" w:rsidRPr="006817C1" w:rsidRDefault="004412F1" w:rsidP="009B2310">
            <w:pPr>
              <w:rPr>
                <w:b/>
                <w:color w:val="000000"/>
                <w:sz w:val="17"/>
                <w:szCs w:val="17"/>
              </w:rPr>
            </w:pPr>
            <w:r w:rsidRPr="006817C1">
              <w:rPr>
                <w:b/>
                <w:color w:val="000000"/>
                <w:sz w:val="17"/>
                <w:szCs w:val="17"/>
              </w:rPr>
              <w:t>Other:    35, 000</w:t>
            </w:r>
          </w:p>
          <w:p w14:paraId="54A8A976" w14:textId="77777777" w:rsidR="004412F1" w:rsidRPr="006817C1" w:rsidRDefault="004412F1" w:rsidP="009B2310">
            <w:pPr>
              <w:rPr>
                <w:b/>
                <w:color w:val="000000"/>
                <w:sz w:val="17"/>
                <w:szCs w:val="17"/>
              </w:rPr>
            </w:pPr>
          </w:p>
          <w:p w14:paraId="6579E3BD" w14:textId="77777777" w:rsidR="004412F1" w:rsidRPr="006817C1" w:rsidRDefault="004412F1" w:rsidP="009B2310">
            <w:pPr>
              <w:rPr>
                <w:b/>
                <w:color w:val="000000"/>
                <w:sz w:val="17"/>
                <w:szCs w:val="17"/>
              </w:rPr>
            </w:pPr>
            <w:r w:rsidRPr="006817C1">
              <w:rPr>
                <w:b/>
                <w:color w:val="000000"/>
                <w:sz w:val="17"/>
                <w:szCs w:val="17"/>
              </w:rPr>
              <w:t>Subtotal: 37,000</w:t>
            </w:r>
          </w:p>
        </w:tc>
      </w:tr>
      <w:tr w:rsidR="004412F1" w:rsidRPr="006817C1" w14:paraId="44CD9D2B" w14:textId="77777777" w:rsidTr="009B2310">
        <w:tc>
          <w:tcPr>
            <w:tcW w:w="5000" w:type="pct"/>
            <w:gridSpan w:val="5"/>
            <w:shd w:val="clear" w:color="auto" w:fill="auto"/>
            <w:tcMar>
              <w:top w:w="72" w:type="dxa"/>
              <w:left w:w="144" w:type="dxa"/>
              <w:bottom w:w="72" w:type="dxa"/>
              <w:right w:w="144" w:type="dxa"/>
            </w:tcMar>
          </w:tcPr>
          <w:p w14:paraId="1F84CD88" w14:textId="42662C6F" w:rsidR="004412F1" w:rsidRPr="006817C1" w:rsidRDefault="004412F1" w:rsidP="009B2310">
            <w:pPr>
              <w:rPr>
                <w:color w:val="000000"/>
                <w:sz w:val="17"/>
                <w:szCs w:val="17"/>
              </w:rPr>
            </w:pPr>
            <w:r w:rsidRPr="006817C1">
              <w:rPr>
                <w:b/>
                <w:bCs/>
                <w:color w:val="000000"/>
                <w:sz w:val="17"/>
                <w:szCs w:val="17"/>
                <w:lang w:val="en-GB"/>
              </w:rPr>
              <w:t xml:space="preserve">NATIONAL PRIORITY OR GOAL: </w:t>
            </w:r>
            <w:r w:rsidRPr="006817C1">
              <w:rPr>
                <w:bCs/>
                <w:color w:val="000000"/>
                <w:sz w:val="17"/>
                <w:szCs w:val="17"/>
                <w:lang w:val="en-GB"/>
              </w:rPr>
              <w:t xml:space="preserve">Improved prosperity by maintaining a sustained economic growth of 10 </w:t>
            </w:r>
            <w:r w:rsidR="00F14F57">
              <w:rPr>
                <w:bCs/>
                <w:color w:val="000000"/>
                <w:sz w:val="17"/>
                <w:szCs w:val="17"/>
                <w:lang w:val="en-GB"/>
              </w:rPr>
              <w:t>per cent per year</w:t>
            </w:r>
            <w:r w:rsidRPr="006817C1">
              <w:rPr>
                <w:bCs/>
                <w:color w:val="000000"/>
                <w:sz w:val="17"/>
                <w:szCs w:val="17"/>
                <w:lang w:val="en-GB"/>
              </w:rPr>
              <w:t>.</w:t>
            </w:r>
          </w:p>
        </w:tc>
      </w:tr>
      <w:tr w:rsidR="004412F1" w:rsidRPr="006817C1" w14:paraId="42B32F04" w14:textId="77777777" w:rsidTr="009B2310">
        <w:tc>
          <w:tcPr>
            <w:tcW w:w="5000" w:type="pct"/>
            <w:gridSpan w:val="5"/>
            <w:shd w:val="clear" w:color="auto" w:fill="auto"/>
            <w:tcMar>
              <w:top w:w="72" w:type="dxa"/>
              <w:left w:w="144" w:type="dxa"/>
              <w:bottom w:w="72" w:type="dxa"/>
              <w:right w:w="144" w:type="dxa"/>
            </w:tcMar>
          </w:tcPr>
          <w:p w14:paraId="1F134E65" w14:textId="7558663F" w:rsidR="004412F1" w:rsidRPr="006817C1" w:rsidRDefault="004412F1" w:rsidP="009B2310">
            <w:pPr>
              <w:rPr>
                <w:color w:val="000000"/>
                <w:sz w:val="17"/>
                <w:szCs w:val="17"/>
              </w:rPr>
            </w:pPr>
            <w:r w:rsidRPr="006817C1">
              <w:rPr>
                <w:b/>
                <w:bCs/>
                <w:color w:val="000000"/>
                <w:sz w:val="17"/>
                <w:szCs w:val="17"/>
                <w:lang w:val="en-GB"/>
              </w:rPr>
              <w:t>UNDAF OUT</w:t>
            </w:r>
            <w:r w:rsidRPr="006817C1">
              <w:rPr>
                <w:b/>
                <w:iCs/>
                <w:color w:val="000000"/>
                <w:sz w:val="17"/>
                <w:szCs w:val="17"/>
                <w:lang w:val="en-GB"/>
              </w:rPr>
              <w:t xml:space="preserve">COME INVOLVING UNDP #4: </w:t>
            </w:r>
            <w:r w:rsidRPr="006817C1">
              <w:rPr>
                <w:bCs/>
                <w:color w:val="000000"/>
                <w:sz w:val="17"/>
                <w:szCs w:val="17"/>
                <w:lang w:val="en-GB"/>
              </w:rPr>
              <w:t>By 2022, people in Kenya benefit from sustainable natural resource management and resilient green economy</w:t>
            </w:r>
          </w:p>
        </w:tc>
      </w:tr>
      <w:tr w:rsidR="004412F1" w:rsidRPr="006817C1" w14:paraId="25A6B17C" w14:textId="77777777" w:rsidTr="009B2310">
        <w:tc>
          <w:tcPr>
            <w:tcW w:w="5000" w:type="pct"/>
            <w:gridSpan w:val="5"/>
            <w:shd w:val="clear" w:color="auto" w:fill="auto"/>
            <w:tcMar>
              <w:top w:w="72" w:type="dxa"/>
              <w:left w:w="144" w:type="dxa"/>
              <w:bottom w:w="72" w:type="dxa"/>
              <w:right w:w="144" w:type="dxa"/>
            </w:tcMar>
          </w:tcPr>
          <w:p w14:paraId="6F1F7A60" w14:textId="77777777" w:rsidR="004412F1" w:rsidRPr="006817C1" w:rsidRDefault="004412F1" w:rsidP="009B2310">
            <w:pPr>
              <w:rPr>
                <w:b/>
                <w:bCs/>
                <w:color w:val="000000"/>
                <w:sz w:val="17"/>
                <w:szCs w:val="17"/>
                <w:lang w:val="en-GB"/>
              </w:rPr>
            </w:pPr>
            <w:r w:rsidRPr="006817C1">
              <w:rPr>
                <w:b/>
                <w:bCs/>
                <w:color w:val="000000"/>
                <w:sz w:val="17"/>
                <w:szCs w:val="17"/>
                <w:lang w:val="en-GB"/>
              </w:rPr>
              <w:t xml:space="preserve">RELATED STRATEGIC PLAN OUTCOME 3: </w:t>
            </w:r>
            <w:r w:rsidRPr="006817C1">
              <w:rPr>
                <w:bCs/>
                <w:color w:val="000000"/>
                <w:sz w:val="17"/>
                <w:szCs w:val="17"/>
                <w:lang w:val="en-GB"/>
              </w:rPr>
              <w:t>Build resilience to shocks and crisis</w:t>
            </w:r>
          </w:p>
        </w:tc>
      </w:tr>
      <w:tr w:rsidR="004412F1" w:rsidRPr="006817C1" w14:paraId="1B39F22A" w14:textId="77777777" w:rsidTr="009B2310">
        <w:tc>
          <w:tcPr>
            <w:tcW w:w="1097" w:type="pct"/>
            <w:vMerge w:val="restart"/>
            <w:tcMar>
              <w:top w:w="72" w:type="dxa"/>
              <w:left w:w="144" w:type="dxa"/>
              <w:bottom w:w="72" w:type="dxa"/>
              <w:right w:w="144" w:type="dxa"/>
            </w:tcMar>
          </w:tcPr>
          <w:p w14:paraId="06F39839" w14:textId="77777777" w:rsidR="004412F1" w:rsidRPr="006817C1" w:rsidRDefault="004412F1" w:rsidP="009B2310">
            <w:pPr>
              <w:rPr>
                <w:iCs/>
                <w:sz w:val="17"/>
                <w:szCs w:val="17"/>
                <w:lang w:val="en-GB"/>
              </w:rPr>
            </w:pPr>
            <w:r w:rsidRPr="006817C1">
              <w:rPr>
                <w:b/>
                <w:iCs/>
                <w:sz w:val="17"/>
                <w:szCs w:val="17"/>
                <w:lang w:val="en-GB"/>
              </w:rPr>
              <w:t xml:space="preserve">4a. </w:t>
            </w:r>
            <w:r w:rsidRPr="006817C1">
              <w:rPr>
                <w:iCs/>
                <w:sz w:val="17"/>
                <w:szCs w:val="17"/>
                <w:lang w:val="en-GB"/>
              </w:rPr>
              <w:t xml:space="preserve">Proportion of population with primary reliance on clean fuels and technology </w:t>
            </w:r>
          </w:p>
          <w:p w14:paraId="4A2382B2" w14:textId="77777777" w:rsidR="004412F1" w:rsidRPr="006817C1" w:rsidRDefault="004412F1" w:rsidP="009B2310">
            <w:pPr>
              <w:rPr>
                <w:b/>
                <w:iCs/>
                <w:sz w:val="17"/>
                <w:szCs w:val="17"/>
              </w:rPr>
            </w:pPr>
            <w:r w:rsidRPr="006817C1">
              <w:rPr>
                <w:b/>
                <w:iCs/>
                <w:sz w:val="17"/>
                <w:szCs w:val="17"/>
                <w:lang w:val="en-GB"/>
              </w:rPr>
              <w:t>Baseline:</w:t>
            </w:r>
            <w:r w:rsidRPr="006817C1">
              <w:rPr>
                <w:color w:val="000000"/>
                <w:kern w:val="24"/>
                <w:sz w:val="17"/>
                <w:szCs w:val="17"/>
              </w:rPr>
              <w:t xml:space="preserve"> </w:t>
            </w:r>
            <w:r w:rsidRPr="006817C1">
              <w:rPr>
                <w:iCs/>
                <w:sz w:val="17"/>
                <w:szCs w:val="17"/>
              </w:rPr>
              <w:t>11.9%</w:t>
            </w:r>
            <w:r w:rsidRPr="006817C1">
              <w:rPr>
                <w:iCs/>
                <w:sz w:val="17"/>
                <w:szCs w:val="17"/>
                <w:vertAlign w:val="superscript"/>
              </w:rPr>
              <w:footnoteReference w:id="27"/>
            </w:r>
            <w:r w:rsidRPr="006817C1">
              <w:rPr>
                <w:iCs/>
                <w:sz w:val="17"/>
                <w:szCs w:val="17"/>
              </w:rPr>
              <w:t xml:space="preserve"> (2014)</w:t>
            </w:r>
          </w:p>
          <w:p w14:paraId="4F59C526" w14:textId="77777777" w:rsidR="004412F1" w:rsidRPr="006817C1" w:rsidRDefault="004412F1" w:rsidP="009B2310">
            <w:pPr>
              <w:rPr>
                <w:b/>
                <w:iCs/>
                <w:sz w:val="17"/>
                <w:szCs w:val="17"/>
                <w:lang w:val="en-GB"/>
              </w:rPr>
            </w:pPr>
            <w:r w:rsidRPr="006817C1">
              <w:rPr>
                <w:b/>
                <w:iCs/>
                <w:sz w:val="17"/>
                <w:szCs w:val="17"/>
                <w:lang w:val="en-GB"/>
              </w:rPr>
              <w:t xml:space="preserve">Target: </w:t>
            </w:r>
            <w:r w:rsidRPr="006817C1">
              <w:rPr>
                <w:iCs/>
                <w:sz w:val="17"/>
                <w:szCs w:val="17"/>
                <w:lang w:val="en-GB"/>
              </w:rPr>
              <w:t>15% (2022)</w:t>
            </w:r>
          </w:p>
          <w:p w14:paraId="41ED1E84" w14:textId="77777777" w:rsidR="004412F1" w:rsidRPr="006817C1" w:rsidRDefault="004412F1" w:rsidP="009B2310">
            <w:pPr>
              <w:rPr>
                <w:b/>
                <w:iCs/>
                <w:sz w:val="17"/>
                <w:szCs w:val="17"/>
                <w:lang w:val="en-GB"/>
              </w:rPr>
            </w:pPr>
          </w:p>
          <w:p w14:paraId="40B89461" w14:textId="77777777" w:rsidR="004412F1" w:rsidRPr="006817C1" w:rsidRDefault="004412F1" w:rsidP="009B2310">
            <w:pPr>
              <w:rPr>
                <w:iCs/>
                <w:sz w:val="17"/>
                <w:szCs w:val="17"/>
                <w:lang w:val="en-GB"/>
              </w:rPr>
            </w:pPr>
            <w:r w:rsidRPr="006817C1">
              <w:rPr>
                <w:b/>
                <w:bCs/>
                <w:color w:val="000000"/>
                <w:sz w:val="17"/>
                <w:szCs w:val="17"/>
                <w:lang w:val="en-GB"/>
              </w:rPr>
              <w:t>4b.</w:t>
            </w:r>
            <w:r w:rsidRPr="006817C1">
              <w:rPr>
                <w:bCs/>
                <w:color w:val="000000"/>
                <w:sz w:val="17"/>
                <w:szCs w:val="17"/>
                <w:lang w:val="en-GB"/>
              </w:rPr>
              <w:t xml:space="preserve"> </w:t>
            </w:r>
            <w:r w:rsidRPr="006817C1">
              <w:rPr>
                <w:iCs/>
                <w:sz w:val="17"/>
                <w:szCs w:val="17"/>
                <w:lang w:val="en-GB"/>
              </w:rPr>
              <w:t>Proportion of people affected by disasters</w:t>
            </w:r>
            <w:r w:rsidRPr="006817C1">
              <w:rPr>
                <w:iCs/>
                <w:sz w:val="17"/>
                <w:szCs w:val="17"/>
                <w:vertAlign w:val="superscript"/>
              </w:rPr>
              <w:footnoteReference w:id="28"/>
            </w:r>
            <w:r w:rsidRPr="006817C1">
              <w:rPr>
                <w:iCs/>
                <w:sz w:val="17"/>
                <w:szCs w:val="17"/>
                <w:vertAlign w:val="superscript"/>
              </w:rPr>
              <w:t xml:space="preserve"> </w:t>
            </w:r>
            <w:r w:rsidRPr="006817C1">
              <w:rPr>
                <w:iCs/>
                <w:sz w:val="17"/>
                <w:szCs w:val="17"/>
                <w:lang w:val="en-GB"/>
              </w:rPr>
              <w:t>that are covered by early warning information through local governments or through national dissemination mechanisms (disaggregated by sex)</w:t>
            </w:r>
          </w:p>
          <w:p w14:paraId="042132B2" w14:textId="77777777" w:rsidR="004412F1" w:rsidRPr="006817C1" w:rsidRDefault="004412F1" w:rsidP="009B2310">
            <w:pPr>
              <w:rPr>
                <w:iCs/>
                <w:sz w:val="17"/>
                <w:szCs w:val="17"/>
                <w:lang w:val="en-GB"/>
              </w:rPr>
            </w:pPr>
            <w:r w:rsidRPr="006817C1">
              <w:rPr>
                <w:iCs/>
                <w:sz w:val="17"/>
                <w:szCs w:val="17"/>
                <w:lang w:val="en-GB"/>
              </w:rPr>
              <w:t>Baseline: 40%</w:t>
            </w:r>
          </w:p>
          <w:p w14:paraId="08A287E5" w14:textId="77777777" w:rsidR="004412F1" w:rsidRPr="006817C1" w:rsidRDefault="004412F1" w:rsidP="009B2310">
            <w:pPr>
              <w:rPr>
                <w:iCs/>
                <w:sz w:val="17"/>
                <w:szCs w:val="17"/>
                <w:lang w:val="en-GB"/>
              </w:rPr>
            </w:pPr>
            <w:r w:rsidRPr="006817C1">
              <w:rPr>
                <w:iCs/>
                <w:sz w:val="17"/>
                <w:szCs w:val="17"/>
                <w:lang w:val="en-GB"/>
              </w:rPr>
              <w:t>Target: 20%</w:t>
            </w:r>
          </w:p>
          <w:p w14:paraId="5E441CA1" w14:textId="77777777" w:rsidR="004412F1" w:rsidRPr="006817C1" w:rsidRDefault="004412F1" w:rsidP="009B2310">
            <w:pPr>
              <w:ind w:left="360"/>
              <w:rPr>
                <w:bCs/>
                <w:i/>
                <w:color w:val="000000"/>
                <w:sz w:val="17"/>
                <w:szCs w:val="17"/>
                <w:lang w:val="en-GB"/>
              </w:rPr>
            </w:pPr>
          </w:p>
        </w:tc>
        <w:tc>
          <w:tcPr>
            <w:tcW w:w="1178" w:type="pct"/>
            <w:vMerge w:val="restart"/>
          </w:tcPr>
          <w:p w14:paraId="760B2E6B" w14:textId="77777777" w:rsidR="004412F1" w:rsidRPr="006817C1" w:rsidRDefault="004412F1" w:rsidP="009B2310">
            <w:pPr>
              <w:rPr>
                <w:bCs/>
                <w:color w:val="FF0000"/>
                <w:sz w:val="17"/>
                <w:szCs w:val="17"/>
              </w:rPr>
            </w:pPr>
            <w:r w:rsidRPr="006817C1">
              <w:rPr>
                <w:b/>
                <w:bCs/>
                <w:color w:val="000000"/>
                <w:sz w:val="17"/>
                <w:szCs w:val="17"/>
              </w:rPr>
              <w:t>4a.</w:t>
            </w:r>
            <w:r w:rsidRPr="006817C1">
              <w:rPr>
                <w:bCs/>
                <w:color w:val="000000"/>
                <w:sz w:val="17"/>
                <w:szCs w:val="17"/>
              </w:rPr>
              <w:t xml:space="preserve"> </w:t>
            </w:r>
            <w:r w:rsidRPr="006817C1">
              <w:rPr>
                <w:b/>
                <w:bCs/>
                <w:color w:val="000000"/>
                <w:sz w:val="17"/>
                <w:szCs w:val="17"/>
              </w:rPr>
              <w:t>Data source</w:t>
            </w:r>
            <w:r w:rsidRPr="006817C1">
              <w:rPr>
                <w:bCs/>
                <w:color w:val="000000"/>
                <w:sz w:val="17"/>
                <w:szCs w:val="17"/>
              </w:rPr>
              <w:t>: Ministry of Environment</w:t>
            </w:r>
            <w:r>
              <w:rPr>
                <w:bCs/>
                <w:color w:val="000000"/>
                <w:sz w:val="17"/>
                <w:szCs w:val="17"/>
              </w:rPr>
              <w:t xml:space="preserve"> (MoE)</w:t>
            </w:r>
            <w:r w:rsidRPr="006817C1">
              <w:rPr>
                <w:bCs/>
                <w:color w:val="000000"/>
                <w:sz w:val="17"/>
                <w:szCs w:val="17"/>
              </w:rPr>
              <w:t>, National Environment Management Authority</w:t>
            </w:r>
            <w:r>
              <w:rPr>
                <w:bCs/>
                <w:color w:val="000000"/>
                <w:sz w:val="17"/>
                <w:szCs w:val="17"/>
              </w:rPr>
              <w:t xml:space="preserve"> (NEMA)</w:t>
            </w:r>
            <w:r w:rsidRPr="006817C1">
              <w:rPr>
                <w:bCs/>
                <w:color w:val="000000"/>
                <w:sz w:val="17"/>
                <w:szCs w:val="17"/>
              </w:rPr>
              <w:t xml:space="preserve"> </w:t>
            </w:r>
          </w:p>
          <w:p w14:paraId="2600A839" w14:textId="77777777" w:rsidR="004412F1" w:rsidRPr="006817C1" w:rsidRDefault="004412F1" w:rsidP="009B2310">
            <w:pPr>
              <w:rPr>
                <w:bCs/>
                <w:sz w:val="17"/>
                <w:szCs w:val="17"/>
              </w:rPr>
            </w:pPr>
            <w:r w:rsidRPr="006817C1">
              <w:rPr>
                <w:b/>
                <w:bCs/>
                <w:sz w:val="17"/>
                <w:szCs w:val="17"/>
              </w:rPr>
              <w:t>Frequency</w:t>
            </w:r>
            <w:r w:rsidRPr="006817C1">
              <w:rPr>
                <w:bCs/>
                <w:sz w:val="17"/>
                <w:szCs w:val="17"/>
              </w:rPr>
              <w:t xml:space="preserve">: Annual </w:t>
            </w:r>
          </w:p>
          <w:p w14:paraId="0242552C" w14:textId="77777777" w:rsidR="004412F1" w:rsidRPr="006817C1" w:rsidRDefault="004412F1" w:rsidP="009B2310">
            <w:pPr>
              <w:rPr>
                <w:bCs/>
                <w:color w:val="FF0000"/>
                <w:sz w:val="17"/>
                <w:szCs w:val="17"/>
              </w:rPr>
            </w:pPr>
            <w:r w:rsidRPr="006817C1">
              <w:rPr>
                <w:b/>
                <w:bCs/>
                <w:sz w:val="17"/>
                <w:szCs w:val="17"/>
              </w:rPr>
              <w:t>Responsibilities:</w:t>
            </w:r>
            <w:r w:rsidRPr="006817C1">
              <w:rPr>
                <w:bCs/>
                <w:sz w:val="17"/>
                <w:szCs w:val="17"/>
              </w:rPr>
              <w:t xml:space="preserve"> MoE, NEMA</w:t>
            </w:r>
          </w:p>
          <w:p w14:paraId="45CA30E1" w14:textId="77777777" w:rsidR="004412F1" w:rsidRPr="006817C1" w:rsidRDefault="004412F1" w:rsidP="009B2310">
            <w:pPr>
              <w:rPr>
                <w:b/>
                <w:bCs/>
                <w:color w:val="000000"/>
                <w:sz w:val="17"/>
                <w:szCs w:val="17"/>
              </w:rPr>
            </w:pPr>
          </w:p>
          <w:p w14:paraId="78C214E8" w14:textId="77777777" w:rsidR="004412F1" w:rsidRPr="006817C1" w:rsidRDefault="004412F1" w:rsidP="009B2310">
            <w:pPr>
              <w:rPr>
                <w:bCs/>
                <w:color w:val="000000"/>
                <w:sz w:val="17"/>
                <w:szCs w:val="17"/>
              </w:rPr>
            </w:pPr>
            <w:r w:rsidRPr="006817C1">
              <w:rPr>
                <w:b/>
                <w:bCs/>
                <w:color w:val="000000"/>
                <w:sz w:val="17"/>
                <w:szCs w:val="17"/>
              </w:rPr>
              <w:t>4b. Data source:</w:t>
            </w:r>
            <w:r w:rsidRPr="006817C1">
              <w:rPr>
                <w:bCs/>
                <w:color w:val="000000"/>
                <w:sz w:val="17"/>
                <w:szCs w:val="17"/>
              </w:rPr>
              <w:t xml:space="preserve"> National Drought Management Authority</w:t>
            </w:r>
            <w:r>
              <w:rPr>
                <w:bCs/>
                <w:color w:val="000000"/>
                <w:sz w:val="17"/>
                <w:szCs w:val="17"/>
              </w:rPr>
              <w:t xml:space="preserve"> (NDMA)</w:t>
            </w:r>
            <w:r w:rsidRPr="006817C1">
              <w:rPr>
                <w:bCs/>
                <w:color w:val="000000"/>
                <w:sz w:val="17"/>
                <w:szCs w:val="17"/>
              </w:rPr>
              <w:t xml:space="preserve"> </w:t>
            </w:r>
          </w:p>
          <w:p w14:paraId="48A91213" w14:textId="77777777" w:rsidR="004412F1" w:rsidRPr="006817C1" w:rsidRDefault="004412F1" w:rsidP="009B2310">
            <w:pPr>
              <w:rPr>
                <w:bCs/>
                <w:sz w:val="17"/>
                <w:szCs w:val="17"/>
              </w:rPr>
            </w:pPr>
            <w:r w:rsidRPr="006817C1">
              <w:rPr>
                <w:b/>
                <w:bCs/>
                <w:sz w:val="17"/>
                <w:szCs w:val="17"/>
              </w:rPr>
              <w:t>Frequency</w:t>
            </w:r>
            <w:r w:rsidRPr="006817C1">
              <w:rPr>
                <w:bCs/>
                <w:sz w:val="17"/>
                <w:szCs w:val="17"/>
              </w:rPr>
              <w:t>: Annual</w:t>
            </w:r>
          </w:p>
          <w:p w14:paraId="19273E3E" w14:textId="77777777" w:rsidR="004412F1" w:rsidRPr="006817C1" w:rsidRDefault="004412F1" w:rsidP="009B2310">
            <w:pPr>
              <w:rPr>
                <w:bCs/>
                <w:color w:val="FF0000"/>
                <w:sz w:val="17"/>
                <w:szCs w:val="17"/>
              </w:rPr>
            </w:pPr>
            <w:r w:rsidRPr="006817C1">
              <w:rPr>
                <w:b/>
                <w:bCs/>
                <w:sz w:val="17"/>
                <w:szCs w:val="17"/>
              </w:rPr>
              <w:t xml:space="preserve">Responsibilities: </w:t>
            </w:r>
            <w:r w:rsidRPr="006817C1">
              <w:rPr>
                <w:bCs/>
                <w:sz w:val="17"/>
                <w:szCs w:val="17"/>
              </w:rPr>
              <w:t>NDMA</w:t>
            </w:r>
          </w:p>
          <w:p w14:paraId="118B941D" w14:textId="77777777" w:rsidR="004412F1" w:rsidRPr="006817C1" w:rsidRDefault="004412F1" w:rsidP="009B2310">
            <w:pPr>
              <w:rPr>
                <w:b/>
                <w:bCs/>
                <w:i/>
                <w:color w:val="000000"/>
                <w:sz w:val="17"/>
                <w:szCs w:val="17"/>
                <w:lang w:val="en-GB"/>
              </w:rPr>
            </w:pPr>
          </w:p>
        </w:tc>
        <w:tc>
          <w:tcPr>
            <w:tcW w:w="1092" w:type="pct"/>
            <w:vMerge w:val="restart"/>
            <w:tcMar>
              <w:top w:w="72" w:type="dxa"/>
              <w:left w:w="144" w:type="dxa"/>
              <w:bottom w:w="72" w:type="dxa"/>
              <w:right w:w="144" w:type="dxa"/>
            </w:tcMar>
          </w:tcPr>
          <w:p w14:paraId="32BDC9DE" w14:textId="77777777" w:rsidR="004412F1" w:rsidRPr="006817C1" w:rsidRDefault="004412F1" w:rsidP="009B2310">
            <w:pPr>
              <w:rPr>
                <w:iCs/>
                <w:color w:val="000000"/>
                <w:sz w:val="17"/>
                <w:szCs w:val="17"/>
                <w:lang w:val="en-GB"/>
              </w:rPr>
            </w:pPr>
            <w:r w:rsidRPr="006817C1">
              <w:rPr>
                <w:b/>
                <w:iCs/>
                <w:color w:val="000000"/>
                <w:sz w:val="17"/>
                <w:szCs w:val="17"/>
                <w:lang w:val="en-GB"/>
              </w:rPr>
              <w:t>Output 4.1:</w:t>
            </w:r>
            <w:r w:rsidRPr="006817C1">
              <w:rPr>
                <w:iCs/>
                <w:color w:val="000000"/>
                <w:sz w:val="17"/>
                <w:szCs w:val="17"/>
                <w:lang w:val="en-GB"/>
              </w:rPr>
              <w:t xml:space="preserve"> Government, private sector and communities have </w:t>
            </w:r>
            <w:r>
              <w:rPr>
                <w:iCs/>
                <w:color w:val="000000"/>
                <w:sz w:val="17"/>
                <w:szCs w:val="17"/>
                <w:lang w:val="en-GB"/>
              </w:rPr>
              <w:t>enhanced capacity for increased access to cost-effective</w:t>
            </w:r>
            <w:r w:rsidRPr="006817C1">
              <w:rPr>
                <w:iCs/>
                <w:color w:val="000000"/>
                <w:sz w:val="17"/>
                <w:szCs w:val="17"/>
                <w:lang w:val="en-GB"/>
              </w:rPr>
              <w:t xml:space="preserve"> and clean energy.  </w:t>
            </w:r>
          </w:p>
          <w:p w14:paraId="35F61F5E" w14:textId="77777777" w:rsidR="004412F1" w:rsidRPr="006817C1" w:rsidRDefault="004412F1" w:rsidP="009B2310">
            <w:pPr>
              <w:rPr>
                <w:b/>
                <w:iCs/>
                <w:color w:val="000000"/>
                <w:sz w:val="17"/>
                <w:szCs w:val="17"/>
                <w:lang w:val="en-GB"/>
              </w:rPr>
            </w:pPr>
          </w:p>
          <w:p w14:paraId="3E1E2B32" w14:textId="77777777" w:rsidR="004412F1" w:rsidRPr="006817C1" w:rsidRDefault="004412F1" w:rsidP="009B2310">
            <w:pPr>
              <w:rPr>
                <w:kern w:val="24"/>
                <w:sz w:val="17"/>
                <w:szCs w:val="17"/>
                <w:lang w:val="en-GB"/>
              </w:rPr>
            </w:pPr>
            <w:r w:rsidRPr="006817C1">
              <w:rPr>
                <w:b/>
                <w:iCs/>
                <w:color w:val="000000"/>
                <w:sz w:val="17"/>
                <w:szCs w:val="17"/>
                <w:lang w:val="en-GB"/>
              </w:rPr>
              <w:t>Indicator 4.1.1</w:t>
            </w:r>
            <w:r w:rsidRPr="006817C1">
              <w:rPr>
                <w:b/>
                <w:iCs/>
                <w:sz w:val="17"/>
                <w:szCs w:val="17"/>
                <w:lang w:val="en-GB"/>
              </w:rPr>
              <w:t>:</w:t>
            </w:r>
            <w:r w:rsidRPr="006817C1">
              <w:rPr>
                <w:kern w:val="24"/>
                <w:sz w:val="17"/>
                <w:szCs w:val="17"/>
                <w:lang w:val="en-GB"/>
              </w:rPr>
              <w:t xml:space="preserve"> Proportion of women headed households with access to clean and efficient energy </w:t>
            </w:r>
          </w:p>
          <w:p w14:paraId="266BF309" w14:textId="77777777" w:rsidR="004412F1" w:rsidRPr="006817C1" w:rsidRDefault="004412F1" w:rsidP="009B2310">
            <w:pPr>
              <w:rPr>
                <w:iCs/>
                <w:color w:val="000000"/>
                <w:sz w:val="17"/>
                <w:szCs w:val="17"/>
                <w:lang w:val="en-GB"/>
              </w:rPr>
            </w:pPr>
            <w:r w:rsidRPr="006817C1">
              <w:rPr>
                <w:b/>
                <w:iCs/>
                <w:color w:val="000000"/>
                <w:sz w:val="17"/>
                <w:szCs w:val="17"/>
                <w:lang w:val="en-GB"/>
              </w:rPr>
              <w:t>Baseline:</w:t>
            </w:r>
            <w:r w:rsidRPr="006817C1">
              <w:rPr>
                <w:iCs/>
                <w:color w:val="000000"/>
                <w:sz w:val="17"/>
                <w:szCs w:val="17"/>
                <w:lang w:val="en-GB"/>
              </w:rPr>
              <w:t xml:space="preserve"> 13%</w:t>
            </w:r>
          </w:p>
          <w:p w14:paraId="165759E4" w14:textId="77777777" w:rsidR="004412F1" w:rsidRPr="006817C1" w:rsidRDefault="004412F1" w:rsidP="009B2310">
            <w:pPr>
              <w:rPr>
                <w:iCs/>
                <w:color w:val="000000"/>
                <w:sz w:val="17"/>
                <w:szCs w:val="17"/>
                <w:lang w:val="en-GB"/>
              </w:rPr>
            </w:pPr>
            <w:r w:rsidRPr="006817C1">
              <w:rPr>
                <w:b/>
                <w:iCs/>
                <w:color w:val="000000"/>
                <w:sz w:val="17"/>
                <w:szCs w:val="17"/>
                <w:lang w:val="en-GB"/>
              </w:rPr>
              <w:t>Target:</w:t>
            </w:r>
            <w:r w:rsidRPr="006817C1">
              <w:rPr>
                <w:iCs/>
                <w:color w:val="000000"/>
                <w:sz w:val="17"/>
                <w:szCs w:val="17"/>
                <w:lang w:val="en-GB"/>
              </w:rPr>
              <w:t xml:space="preserve"> 18%</w:t>
            </w:r>
          </w:p>
          <w:p w14:paraId="30204D75" w14:textId="77777777" w:rsidR="004412F1" w:rsidRPr="006817C1" w:rsidRDefault="004412F1" w:rsidP="009B2310">
            <w:pPr>
              <w:rPr>
                <w:iCs/>
                <w:color w:val="000000"/>
                <w:sz w:val="17"/>
                <w:szCs w:val="17"/>
                <w:lang w:val="en-GB"/>
              </w:rPr>
            </w:pPr>
            <w:r w:rsidRPr="006817C1">
              <w:rPr>
                <w:b/>
                <w:iCs/>
                <w:color w:val="000000"/>
                <w:sz w:val="17"/>
                <w:szCs w:val="17"/>
                <w:lang w:val="en-GB"/>
              </w:rPr>
              <w:t>Data source:</w:t>
            </w:r>
            <w:r w:rsidRPr="006817C1">
              <w:rPr>
                <w:iCs/>
                <w:color w:val="000000"/>
                <w:sz w:val="17"/>
                <w:szCs w:val="17"/>
                <w:lang w:val="en-GB"/>
              </w:rPr>
              <w:t xml:space="preserve"> Ministry of Energy</w:t>
            </w:r>
          </w:p>
          <w:p w14:paraId="62483BDF" w14:textId="77777777" w:rsidR="004412F1" w:rsidRPr="006817C1" w:rsidRDefault="004412F1" w:rsidP="009B2310">
            <w:pPr>
              <w:rPr>
                <w:b/>
                <w:bCs/>
                <w:color w:val="000000"/>
                <w:sz w:val="17"/>
                <w:szCs w:val="17"/>
                <w:lang w:val="en-GB"/>
              </w:rPr>
            </w:pPr>
            <w:r w:rsidRPr="006817C1">
              <w:rPr>
                <w:b/>
                <w:iCs/>
                <w:color w:val="000000"/>
                <w:sz w:val="17"/>
                <w:szCs w:val="17"/>
                <w:lang w:val="en-GB"/>
              </w:rPr>
              <w:t>Frequency:</w:t>
            </w:r>
            <w:r w:rsidRPr="006817C1">
              <w:rPr>
                <w:iCs/>
                <w:color w:val="000000"/>
                <w:sz w:val="17"/>
                <w:szCs w:val="17"/>
                <w:lang w:val="en-GB"/>
              </w:rPr>
              <w:t xml:space="preserve"> Annual</w:t>
            </w:r>
          </w:p>
          <w:p w14:paraId="082DC6F6" w14:textId="77777777" w:rsidR="004412F1" w:rsidRPr="006817C1" w:rsidRDefault="004412F1" w:rsidP="009B2310">
            <w:pPr>
              <w:rPr>
                <w:i/>
                <w:color w:val="FF0000"/>
                <w:sz w:val="17"/>
                <w:szCs w:val="17"/>
              </w:rPr>
            </w:pPr>
          </w:p>
          <w:p w14:paraId="5F3682E3" w14:textId="77777777" w:rsidR="004412F1" w:rsidRPr="006817C1" w:rsidRDefault="004412F1" w:rsidP="009B2310">
            <w:pPr>
              <w:rPr>
                <w:color w:val="000000"/>
                <w:sz w:val="17"/>
                <w:szCs w:val="17"/>
              </w:rPr>
            </w:pPr>
            <w:r w:rsidRPr="006817C1">
              <w:rPr>
                <w:b/>
                <w:color w:val="000000"/>
                <w:sz w:val="17"/>
                <w:szCs w:val="17"/>
              </w:rPr>
              <w:t>Output 4.2.:</w:t>
            </w:r>
            <w:r w:rsidRPr="006817C1">
              <w:rPr>
                <w:color w:val="000000"/>
                <w:sz w:val="17"/>
                <w:szCs w:val="17"/>
              </w:rPr>
              <w:t xml:space="preserve"> </w:t>
            </w:r>
            <w:r w:rsidRPr="00D72731">
              <w:rPr>
                <w:color w:val="000000"/>
                <w:sz w:val="17"/>
                <w:szCs w:val="17"/>
              </w:rPr>
              <w:t>Improved institutional and community capacity to deliver pro-poor, sustainable natural resource management initiatives</w:t>
            </w:r>
            <w:r w:rsidRPr="006817C1">
              <w:rPr>
                <w:color w:val="000000"/>
                <w:sz w:val="17"/>
                <w:szCs w:val="17"/>
              </w:rPr>
              <w:t>.</w:t>
            </w:r>
          </w:p>
          <w:p w14:paraId="7145F290" w14:textId="29DC5A21" w:rsidR="004412F1" w:rsidRPr="006817C1" w:rsidRDefault="004412F1" w:rsidP="009B2310">
            <w:pPr>
              <w:rPr>
                <w:iCs/>
                <w:sz w:val="17"/>
                <w:szCs w:val="17"/>
                <w:lang w:val="en-GB"/>
              </w:rPr>
            </w:pPr>
            <w:r w:rsidRPr="006817C1">
              <w:rPr>
                <w:b/>
                <w:iCs/>
                <w:sz w:val="17"/>
                <w:szCs w:val="17"/>
                <w:lang w:val="en-GB"/>
              </w:rPr>
              <w:lastRenderedPageBreak/>
              <w:t>Indicator 4.2.1.</w:t>
            </w:r>
            <w:r w:rsidRPr="006817C1">
              <w:rPr>
                <w:iCs/>
                <w:sz w:val="17"/>
                <w:szCs w:val="17"/>
                <w:lang w:val="en-GB"/>
              </w:rPr>
              <w:t xml:space="preserve"> Number of natural resources</w:t>
            </w:r>
            <w:r w:rsidRPr="006817C1">
              <w:rPr>
                <w:iCs/>
                <w:sz w:val="17"/>
                <w:szCs w:val="17"/>
                <w:vertAlign w:val="superscript"/>
                <w:lang w:val="en-GB"/>
              </w:rPr>
              <w:footnoteReference w:id="29"/>
            </w:r>
            <w:r w:rsidRPr="006817C1">
              <w:rPr>
                <w:iCs/>
                <w:sz w:val="17"/>
                <w:szCs w:val="17"/>
                <w:lang w:val="en-GB"/>
              </w:rPr>
              <w:t xml:space="preserve"> managed </w:t>
            </w:r>
            <w:r w:rsidR="008D2433">
              <w:rPr>
                <w:iCs/>
                <w:sz w:val="17"/>
                <w:szCs w:val="17"/>
                <w:lang w:val="en-GB"/>
              </w:rPr>
              <w:t>through</w:t>
            </w:r>
            <w:r w:rsidRPr="006817C1">
              <w:rPr>
                <w:iCs/>
                <w:sz w:val="17"/>
                <w:szCs w:val="17"/>
                <w:lang w:val="en-GB"/>
              </w:rPr>
              <w:t xml:space="preserve"> a sustainable use, conservation, access and benefit-sharing regime </w:t>
            </w:r>
          </w:p>
          <w:p w14:paraId="237760C5" w14:textId="77777777" w:rsidR="004412F1" w:rsidRPr="006817C1" w:rsidRDefault="004412F1" w:rsidP="009B2310">
            <w:pPr>
              <w:rPr>
                <w:iCs/>
                <w:sz w:val="17"/>
                <w:szCs w:val="17"/>
                <w:lang w:val="en-GB"/>
              </w:rPr>
            </w:pPr>
            <w:r w:rsidRPr="006817C1">
              <w:rPr>
                <w:b/>
                <w:iCs/>
                <w:sz w:val="17"/>
                <w:szCs w:val="17"/>
                <w:lang w:val="en-GB"/>
              </w:rPr>
              <w:t>Baseline:</w:t>
            </w:r>
            <w:r w:rsidRPr="006817C1">
              <w:rPr>
                <w:iCs/>
                <w:sz w:val="17"/>
                <w:szCs w:val="17"/>
                <w:lang w:val="en-GB"/>
              </w:rPr>
              <w:t xml:space="preserve"> a. 16 b. 1 c. 0</w:t>
            </w:r>
          </w:p>
          <w:p w14:paraId="35C8331E" w14:textId="77777777" w:rsidR="004412F1" w:rsidRPr="006817C1" w:rsidRDefault="004412F1" w:rsidP="009B2310">
            <w:pPr>
              <w:rPr>
                <w:iCs/>
                <w:sz w:val="17"/>
                <w:szCs w:val="17"/>
                <w:lang w:val="en-GB"/>
              </w:rPr>
            </w:pPr>
            <w:r w:rsidRPr="006817C1">
              <w:rPr>
                <w:b/>
                <w:iCs/>
                <w:sz w:val="17"/>
                <w:szCs w:val="17"/>
                <w:lang w:val="en-GB"/>
              </w:rPr>
              <w:t>Target:</w:t>
            </w:r>
            <w:r w:rsidRPr="006817C1">
              <w:rPr>
                <w:iCs/>
                <w:sz w:val="17"/>
                <w:szCs w:val="17"/>
                <w:lang w:val="en-GB"/>
              </w:rPr>
              <w:t xml:space="preserve"> a. 18 b. 3 c. 2</w:t>
            </w:r>
          </w:p>
          <w:p w14:paraId="5C5DDFA9" w14:textId="22C07DA3" w:rsidR="004412F1" w:rsidRPr="006817C1" w:rsidRDefault="004412F1" w:rsidP="009B2310">
            <w:pPr>
              <w:rPr>
                <w:iCs/>
                <w:sz w:val="17"/>
                <w:szCs w:val="17"/>
                <w:lang w:val="en-GB"/>
              </w:rPr>
            </w:pPr>
            <w:r w:rsidRPr="006817C1">
              <w:rPr>
                <w:b/>
                <w:iCs/>
                <w:sz w:val="17"/>
                <w:szCs w:val="17"/>
                <w:lang w:val="en-GB"/>
              </w:rPr>
              <w:t>Data source:</w:t>
            </w:r>
            <w:r w:rsidRPr="006817C1">
              <w:rPr>
                <w:iCs/>
                <w:sz w:val="17"/>
                <w:szCs w:val="17"/>
                <w:lang w:val="en-GB"/>
              </w:rPr>
              <w:t xml:space="preserve"> </w:t>
            </w:r>
            <w:r w:rsidR="00277688">
              <w:rPr>
                <w:iCs/>
                <w:sz w:val="17"/>
                <w:szCs w:val="17"/>
                <w:lang w:val="en-GB"/>
              </w:rPr>
              <w:t>MoE</w:t>
            </w:r>
            <w:r w:rsidRPr="006817C1">
              <w:rPr>
                <w:iCs/>
                <w:sz w:val="17"/>
                <w:szCs w:val="17"/>
                <w:lang w:val="en-GB"/>
              </w:rPr>
              <w:t xml:space="preserve"> </w:t>
            </w:r>
          </w:p>
          <w:p w14:paraId="185A4777" w14:textId="77777777" w:rsidR="004412F1" w:rsidRPr="006817C1" w:rsidRDefault="004412F1" w:rsidP="009B2310">
            <w:pPr>
              <w:rPr>
                <w:b/>
                <w:bCs/>
                <w:sz w:val="17"/>
                <w:szCs w:val="17"/>
                <w:lang w:val="en-GB"/>
              </w:rPr>
            </w:pPr>
            <w:r w:rsidRPr="006817C1">
              <w:rPr>
                <w:b/>
                <w:iCs/>
                <w:sz w:val="17"/>
                <w:szCs w:val="17"/>
                <w:lang w:val="en-GB"/>
              </w:rPr>
              <w:t>Frequency:</w:t>
            </w:r>
            <w:r w:rsidRPr="006817C1">
              <w:rPr>
                <w:iCs/>
                <w:sz w:val="17"/>
                <w:szCs w:val="17"/>
                <w:lang w:val="en-GB"/>
              </w:rPr>
              <w:t xml:space="preserve"> Annual</w:t>
            </w:r>
          </w:p>
          <w:p w14:paraId="5A745760" w14:textId="77777777" w:rsidR="004412F1" w:rsidRPr="006817C1" w:rsidRDefault="004412F1" w:rsidP="009B2310">
            <w:pPr>
              <w:rPr>
                <w:i/>
                <w:color w:val="000000"/>
                <w:sz w:val="17"/>
                <w:szCs w:val="17"/>
              </w:rPr>
            </w:pPr>
          </w:p>
          <w:p w14:paraId="3C48F217" w14:textId="6E91F879" w:rsidR="004412F1" w:rsidRPr="006817C1" w:rsidRDefault="004412F1" w:rsidP="009B2310">
            <w:pPr>
              <w:rPr>
                <w:iCs/>
                <w:sz w:val="17"/>
                <w:szCs w:val="17"/>
                <w:lang w:val="en-GB"/>
              </w:rPr>
            </w:pPr>
            <w:r w:rsidRPr="006817C1">
              <w:rPr>
                <w:b/>
                <w:iCs/>
                <w:sz w:val="17"/>
                <w:szCs w:val="17"/>
                <w:lang w:val="en-GB"/>
              </w:rPr>
              <w:t>Output 4.3:</w:t>
            </w:r>
            <w:r w:rsidRPr="006817C1">
              <w:rPr>
                <w:iCs/>
                <w:sz w:val="17"/>
                <w:szCs w:val="17"/>
                <w:lang w:val="en-GB"/>
              </w:rPr>
              <w:t xml:space="preserve"> National and county governments have improved capacities to reduce disaster risk and climate change </w:t>
            </w:r>
            <w:r>
              <w:rPr>
                <w:iCs/>
                <w:sz w:val="17"/>
                <w:szCs w:val="17"/>
                <w:lang w:val="en-GB"/>
              </w:rPr>
              <w:t>impact</w:t>
            </w:r>
            <w:r w:rsidRPr="006817C1">
              <w:rPr>
                <w:iCs/>
                <w:sz w:val="17"/>
                <w:szCs w:val="17"/>
                <w:lang w:val="en-GB"/>
              </w:rPr>
              <w:t xml:space="preserve"> </w:t>
            </w:r>
          </w:p>
          <w:p w14:paraId="557C2BA1" w14:textId="77777777" w:rsidR="004412F1" w:rsidRPr="006817C1" w:rsidRDefault="004412F1" w:rsidP="009B2310">
            <w:pPr>
              <w:rPr>
                <w:iCs/>
                <w:sz w:val="17"/>
                <w:szCs w:val="17"/>
                <w:lang w:val="en-GB"/>
              </w:rPr>
            </w:pPr>
          </w:p>
          <w:p w14:paraId="17A2A013" w14:textId="77777777" w:rsidR="004412F1" w:rsidRPr="006817C1" w:rsidRDefault="004412F1" w:rsidP="009B2310">
            <w:pPr>
              <w:rPr>
                <w:iCs/>
                <w:sz w:val="17"/>
                <w:szCs w:val="17"/>
                <w:lang w:val="en-GB"/>
              </w:rPr>
            </w:pPr>
            <w:r w:rsidRPr="006817C1">
              <w:rPr>
                <w:b/>
                <w:iCs/>
                <w:sz w:val="17"/>
                <w:szCs w:val="17"/>
                <w:lang w:val="en-GB"/>
              </w:rPr>
              <w:t>Indicator 4.3.1:</w:t>
            </w:r>
            <w:r w:rsidRPr="006817C1">
              <w:rPr>
                <w:sz w:val="17"/>
                <w:szCs w:val="17"/>
              </w:rPr>
              <w:t xml:space="preserve"> </w:t>
            </w:r>
            <w:r w:rsidRPr="006817C1">
              <w:rPr>
                <w:sz w:val="17"/>
                <w:szCs w:val="17"/>
                <w:lang w:val="en-GB"/>
              </w:rPr>
              <w:t>Number of counties with data-informed</w:t>
            </w:r>
            <w:r w:rsidRPr="006817C1">
              <w:rPr>
                <w:sz w:val="17"/>
                <w:szCs w:val="17"/>
                <w:vertAlign w:val="superscript"/>
                <w:lang w:val="en-GB"/>
              </w:rPr>
              <w:footnoteReference w:id="30"/>
            </w:r>
            <w:r w:rsidRPr="006817C1">
              <w:rPr>
                <w:sz w:val="17"/>
                <w:szCs w:val="17"/>
                <w:lang w:val="en-GB"/>
              </w:rPr>
              <w:t xml:space="preserve"> development and investment plans that incorporate solutions to enable climate change adaptation and mitigation</w:t>
            </w:r>
            <w:r w:rsidRPr="006817C1">
              <w:rPr>
                <w:iCs/>
                <w:sz w:val="17"/>
                <w:szCs w:val="17"/>
                <w:lang w:val="en-GB"/>
              </w:rPr>
              <w:t xml:space="preserve"> </w:t>
            </w:r>
          </w:p>
          <w:p w14:paraId="54E3B18C" w14:textId="77777777" w:rsidR="004412F1" w:rsidRPr="006817C1" w:rsidRDefault="004412F1" w:rsidP="009B2310">
            <w:pPr>
              <w:rPr>
                <w:iCs/>
                <w:sz w:val="17"/>
                <w:szCs w:val="17"/>
                <w:lang w:val="en-GB"/>
              </w:rPr>
            </w:pPr>
            <w:r w:rsidRPr="006817C1">
              <w:rPr>
                <w:b/>
                <w:iCs/>
                <w:sz w:val="17"/>
                <w:szCs w:val="17"/>
                <w:lang w:val="en-GB"/>
              </w:rPr>
              <w:t xml:space="preserve">Baseline: </w:t>
            </w:r>
            <w:r w:rsidRPr="006817C1">
              <w:rPr>
                <w:iCs/>
                <w:sz w:val="17"/>
                <w:szCs w:val="17"/>
                <w:lang w:val="en-GB"/>
              </w:rPr>
              <w:t xml:space="preserve">0 </w:t>
            </w:r>
          </w:p>
          <w:p w14:paraId="3E1F2DFD" w14:textId="77777777" w:rsidR="004412F1" w:rsidRPr="006817C1" w:rsidRDefault="004412F1" w:rsidP="009B2310">
            <w:pPr>
              <w:rPr>
                <w:iCs/>
                <w:sz w:val="17"/>
                <w:szCs w:val="17"/>
                <w:lang w:val="en-GB"/>
              </w:rPr>
            </w:pPr>
            <w:r w:rsidRPr="006817C1">
              <w:rPr>
                <w:b/>
                <w:iCs/>
                <w:sz w:val="17"/>
                <w:szCs w:val="17"/>
                <w:lang w:val="en-GB"/>
              </w:rPr>
              <w:t>Target</w:t>
            </w:r>
            <w:r w:rsidRPr="006817C1">
              <w:rPr>
                <w:iCs/>
                <w:sz w:val="17"/>
                <w:szCs w:val="17"/>
                <w:lang w:val="en-GB"/>
              </w:rPr>
              <w:t xml:space="preserve">: 7 </w:t>
            </w:r>
          </w:p>
          <w:p w14:paraId="4D340C7D" w14:textId="77777777" w:rsidR="004412F1" w:rsidRPr="006817C1" w:rsidRDefault="004412F1" w:rsidP="009B2310">
            <w:pPr>
              <w:rPr>
                <w:b/>
                <w:bCs/>
                <w:sz w:val="17"/>
                <w:szCs w:val="17"/>
                <w:lang w:val="en-GB"/>
              </w:rPr>
            </w:pPr>
            <w:r w:rsidRPr="006817C1">
              <w:rPr>
                <w:b/>
                <w:iCs/>
                <w:sz w:val="17"/>
                <w:szCs w:val="17"/>
                <w:lang w:val="en-GB"/>
              </w:rPr>
              <w:t>Data source:</w:t>
            </w:r>
            <w:r w:rsidRPr="006817C1">
              <w:rPr>
                <w:iCs/>
                <w:sz w:val="17"/>
                <w:szCs w:val="17"/>
                <w:lang w:val="en-GB"/>
              </w:rPr>
              <w:t xml:space="preserve"> NDMA</w:t>
            </w:r>
          </w:p>
          <w:p w14:paraId="60CFFF7C" w14:textId="77777777" w:rsidR="004412F1" w:rsidRPr="006817C1" w:rsidRDefault="004412F1" w:rsidP="009B2310">
            <w:pPr>
              <w:rPr>
                <w:iCs/>
                <w:sz w:val="17"/>
                <w:szCs w:val="17"/>
                <w:lang w:val="en-GB"/>
              </w:rPr>
            </w:pPr>
            <w:r w:rsidRPr="006817C1">
              <w:rPr>
                <w:b/>
                <w:iCs/>
                <w:sz w:val="17"/>
                <w:szCs w:val="17"/>
                <w:lang w:val="en-GB"/>
              </w:rPr>
              <w:t>Frequency:</w:t>
            </w:r>
            <w:r w:rsidRPr="006817C1">
              <w:rPr>
                <w:iCs/>
                <w:sz w:val="17"/>
                <w:szCs w:val="17"/>
                <w:lang w:val="en-GB"/>
              </w:rPr>
              <w:t xml:space="preserve"> Annual</w:t>
            </w:r>
          </w:p>
          <w:p w14:paraId="26891D5A" w14:textId="77777777" w:rsidR="004412F1" w:rsidRPr="006817C1" w:rsidRDefault="004412F1" w:rsidP="009B2310">
            <w:pPr>
              <w:rPr>
                <w:iCs/>
                <w:sz w:val="17"/>
                <w:szCs w:val="17"/>
                <w:lang w:val="en-GB"/>
              </w:rPr>
            </w:pPr>
          </w:p>
          <w:p w14:paraId="7537CF59" w14:textId="77777777" w:rsidR="004412F1" w:rsidRPr="006817C1" w:rsidRDefault="004412F1" w:rsidP="009B2310">
            <w:pPr>
              <w:rPr>
                <w:iCs/>
                <w:sz w:val="17"/>
                <w:szCs w:val="17"/>
              </w:rPr>
            </w:pPr>
            <w:r w:rsidRPr="006817C1">
              <w:rPr>
                <w:b/>
                <w:iCs/>
                <w:sz w:val="17"/>
                <w:szCs w:val="17"/>
                <w:lang w:val="en-GB"/>
              </w:rPr>
              <w:t>Indicator 4.3.2</w:t>
            </w:r>
            <w:r w:rsidRPr="006817C1">
              <w:rPr>
                <w:iCs/>
                <w:sz w:val="17"/>
                <w:szCs w:val="17"/>
                <w:lang w:val="en-GB"/>
              </w:rPr>
              <w:t>:</w:t>
            </w:r>
            <w:r w:rsidRPr="006817C1">
              <w:rPr>
                <w:kern w:val="24"/>
                <w:sz w:val="17"/>
                <w:szCs w:val="17"/>
              </w:rPr>
              <w:t xml:space="preserve"> </w:t>
            </w:r>
            <w:r w:rsidRPr="006817C1">
              <w:rPr>
                <w:iCs/>
                <w:sz w:val="17"/>
                <w:szCs w:val="17"/>
              </w:rPr>
              <w:t>Number of counties with gender</w:t>
            </w:r>
            <w:r>
              <w:rPr>
                <w:iCs/>
                <w:sz w:val="17"/>
                <w:szCs w:val="17"/>
              </w:rPr>
              <w:t>-</w:t>
            </w:r>
            <w:r w:rsidRPr="006817C1">
              <w:rPr>
                <w:iCs/>
                <w:sz w:val="17"/>
                <w:szCs w:val="17"/>
              </w:rPr>
              <w:t>responsive policies and legal framework for disaster risk reduction.</w:t>
            </w:r>
          </w:p>
          <w:p w14:paraId="791A785F" w14:textId="77777777" w:rsidR="004412F1" w:rsidRPr="006817C1" w:rsidRDefault="004412F1" w:rsidP="009B2310">
            <w:pPr>
              <w:rPr>
                <w:iCs/>
                <w:sz w:val="17"/>
                <w:szCs w:val="17"/>
                <w:lang w:val="en-GB"/>
              </w:rPr>
            </w:pPr>
            <w:r w:rsidRPr="006817C1">
              <w:rPr>
                <w:b/>
                <w:iCs/>
                <w:sz w:val="17"/>
                <w:szCs w:val="17"/>
                <w:lang w:val="en-GB"/>
              </w:rPr>
              <w:t>Baseline:</w:t>
            </w:r>
            <w:r w:rsidRPr="006817C1">
              <w:rPr>
                <w:iCs/>
                <w:sz w:val="17"/>
                <w:szCs w:val="17"/>
                <w:lang w:val="en-GB"/>
              </w:rPr>
              <w:t xml:space="preserve"> 3</w:t>
            </w:r>
          </w:p>
          <w:p w14:paraId="0788DC36" w14:textId="77777777" w:rsidR="004412F1" w:rsidRPr="006817C1" w:rsidRDefault="004412F1" w:rsidP="009B2310">
            <w:pPr>
              <w:rPr>
                <w:iCs/>
                <w:sz w:val="17"/>
                <w:szCs w:val="17"/>
                <w:lang w:val="en-GB"/>
              </w:rPr>
            </w:pPr>
            <w:r w:rsidRPr="006817C1">
              <w:rPr>
                <w:b/>
                <w:iCs/>
                <w:sz w:val="17"/>
                <w:szCs w:val="17"/>
                <w:lang w:val="en-GB"/>
              </w:rPr>
              <w:t>Target:</w:t>
            </w:r>
            <w:r w:rsidRPr="006817C1">
              <w:rPr>
                <w:iCs/>
                <w:sz w:val="17"/>
                <w:szCs w:val="17"/>
                <w:lang w:val="en-GB"/>
              </w:rPr>
              <w:t xml:space="preserve">10 </w:t>
            </w:r>
          </w:p>
          <w:p w14:paraId="2874B54C" w14:textId="77777777" w:rsidR="004412F1" w:rsidRPr="006817C1" w:rsidRDefault="004412F1" w:rsidP="009B2310">
            <w:pPr>
              <w:rPr>
                <w:iCs/>
                <w:sz w:val="17"/>
                <w:szCs w:val="17"/>
                <w:lang w:val="en-GB"/>
              </w:rPr>
            </w:pPr>
            <w:bookmarkStart w:id="5" w:name="_Hlk503484064"/>
            <w:r w:rsidRPr="006817C1">
              <w:rPr>
                <w:b/>
                <w:iCs/>
                <w:sz w:val="17"/>
                <w:szCs w:val="17"/>
                <w:lang w:val="en-GB"/>
              </w:rPr>
              <w:t>Data source:</w:t>
            </w:r>
            <w:r w:rsidRPr="006817C1">
              <w:rPr>
                <w:iCs/>
                <w:sz w:val="17"/>
                <w:szCs w:val="17"/>
                <w:lang w:val="en-GB"/>
              </w:rPr>
              <w:t xml:space="preserve"> NDMA  </w:t>
            </w:r>
          </w:p>
          <w:p w14:paraId="205BE87F" w14:textId="77777777" w:rsidR="004412F1" w:rsidRPr="006817C1" w:rsidRDefault="004412F1" w:rsidP="009B2310">
            <w:pPr>
              <w:rPr>
                <w:b/>
                <w:bCs/>
                <w:iCs/>
                <w:sz w:val="17"/>
                <w:szCs w:val="17"/>
                <w:lang w:val="en-GB"/>
              </w:rPr>
            </w:pPr>
            <w:r w:rsidRPr="006817C1">
              <w:rPr>
                <w:b/>
                <w:iCs/>
                <w:sz w:val="17"/>
                <w:szCs w:val="17"/>
                <w:lang w:val="en-GB"/>
              </w:rPr>
              <w:t>Frequency:</w:t>
            </w:r>
            <w:r w:rsidRPr="006817C1">
              <w:rPr>
                <w:iCs/>
                <w:sz w:val="17"/>
                <w:szCs w:val="17"/>
                <w:lang w:val="en-GB"/>
              </w:rPr>
              <w:t xml:space="preserve"> Annual</w:t>
            </w:r>
          </w:p>
          <w:bookmarkEnd w:id="5"/>
          <w:p w14:paraId="00F31959" w14:textId="77777777" w:rsidR="004412F1" w:rsidRPr="006817C1" w:rsidRDefault="004412F1" w:rsidP="009B2310">
            <w:pPr>
              <w:rPr>
                <w:iCs/>
                <w:sz w:val="17"/>
                <w:szCs w:val="17"/>
                <w:lang w:val="en-GB"/>
              </w:rPr>
            </w:pPr>
          </w:p>
          <w:p w14:paraId="09200A35" w14:textId="77777777" w:rsidR="004412F1" w:rsidRPr="006817C1" w:rsidRDefault="004412F1" w:rsidP="009B2310">
            <w:pPr>
              <w:rPr>
                <w:iCs/>
                <w:sz w:val="17"/>
                <w:szCs w:val="17"/>
                <w:lang w:val="en-GB"/>
              </w:rPr>
            </w:pPr>
            <w:r w:rsidRPr="006817C1">
              <w:rPr>
                <w:b/>
                <w:iCs/>
                <w:sz w:val="17"/>
                <w:szCs w:val="17"/>
                <w:lang w:val="en-GB"/>
              </w:rPr>
              <w:t>Output 4.4</w:t>
            </w:r>
            <w:r w:rsidRPr="006817C1">
              <w:rPr>
                <w:iCs/>
                <w:sz w:val="17"/>
                <w:szCs w:val="17"/>
                <w:lang w:val="en-GB"/>
              </w:rPr>
              <w:t xml:space="preserve">: Communities have improved </w:t>
            </w:r>
            <w:r>
              <w:rPr>
                <w:iCs/>
                <w:sz w:val="17"/>
                <w:szCs w:val="17"/>
                <w:lang w:val="en-GB"/>
              </w:rPr>
              <w:t xml:space="preserve">adaptive capacity to disasters including from climate change </w:t>
            </w:r>
          </w:p>
          <w:p w14:paraId="2D344070" w14:textId="77777777" w:rsidR="004412F1" w:rsidRPr="006817C1" w:rsidRDefault="004412F1" w:rsidP="009B2310">
            <w:pPr>
              <w:rPr>
                <w:iCs/>
                <w:sz w:val="17"/>
                <w:szCs w:val="17"/>
                <w:lang w:val="en-GB"/>
              </w:rPr>
            </w:pPr>
          </w:p>
          <w:p w14:paraId="4898DBF8" w14:textId="0954B562" w:rsidR="004412F1" w:rsidRPr="006817C1" w:rsidRDefault="004412F1" w:rsidP="009B2310">
            <w:pPr>
              <w:rPr>
                <w:iCs/>
                <w:sz w:val="17"/>
                <w:szCs w:val="17"/>
                <w:lang w:val="en-GB"/>
              </w:rPr>
            </w:pPr>
            <w:r w:rsidRPr="006817C1">
              <w:rPr>
                <w:b/>
                <w:iCs/>
                <w:sz w:val="17"/>
                <w:szCs w:val="17"/>
                <w:lang w:val="en-GB"/>
              </w:rPr>
              <w:t>Indicator 4.4.1:</w:t>
            </w:r>
            <w:r w:rsidRPr="006817C1">
              <w:rPr>
                <w:sz w:val="17"/>
                <w:szCs w:val="17"/>
                <w:lang w:val="en-GB" w:eastAsia="ja-JP"/>
              </w:rPr>
              <w:t xml:space="preserve"> </w:t>
            </w:r>
            <w:r w:rsidRPr="006817C1">
              <w:rPr>
                <w:iCs/>
                <w:sz w:val="17"/>
                <w:szCs w:val="17"/>
                <w:lang w:val="en-GB"/>
              </w:rPr>
              <w:t xml:space="preserve">Number of men </w:t>
            </w:r>
            <w:r w:rsidR="00F14F57">
              <w:rPr>
                <w:iCs/>
                <w:sz w:val="17"/>
                <w:szCs w:val="17"/>
                <w:lang w:val="en-GB"/>
              </w:rPr>
              <w:t>and</w:t>
            </w:r>
            <w:r w:rsidRPr="006817C1">
              <w:rPr>
                <w:iCs/>
                <w:sz w:val="17"/>
                <w:szCs w:val="17"/>
                <w:lang w:val="en-GB"/>
              </w:rPr>
              <w:t xml:space="preserve"> women benefiting from improved </w:t>
            </w:r>
            <w:r w:rsidRPr="006817C1">
              <w:rPr>
                <w:iCs/>
                <w:sz w:val="17"/>
                <w:szCs w:val="17"/>
                <w:lang w:val="en-GB"/>
              </w:rPr>
              <w:lastRenderedPageBreak/>
              <w:t xml:space="preserve">climate proofed income generating activities </w:t>
            </w:r>
          </w:p>
          <w:p w14:paraId="2B3BA208" w14:textId="77777777" w:rsidR="004412F1" w:rsidRPr="006817C1" w:rsidRDefault="004412F1" w:rsidP="009B2310">
            <w:pPr>
              <w:rPr>
                <w:iCs/>
                <w:sz w:val="17"/>
                <w:szCs w:val="17"/>
                <w:lang w:val="en-GB"/>
              </w:rPr>
            </w:pPr>
            <w:r w:rsidRPr="006817C1">
              <w:rPr>
                <w:b/>
                <w:iCs/>
                <w:sz w:val="17"/>
                <w:szCs w:val="17"/>
                <w:lang w:val="en-GB"/>
              </w:rPr>
              <w:t>Baseline:</w:t>
            </w:r>
            <w:r w:rsidRPr="006817C1">
              <w:rPr>
                <w:iCs/>
                <w:sz w:val="17"/>
                <w:szCs w:val="17"/>
                <w:lang w:val="en-GB"/>
              </w:rPr>
              <w:t xml:space="preserve"> 13,499 (7,560 women) </w:t>
            </w:r>
          </w:p>
          <w:p w14:paraId="29C3E27A" w14:textId="77777777" w:rsidR="004412F1" w:rsidRPr="006817C1" w:rsidRDefault="004412F1" w:rsidP="009B2310">
            <w:pPr>
              <w:rPr>
                <w:iCs/>
                <w:sz w:val="17"/>
                <w:szCs w:val="17"/>
                <w:lang w:val="en-GB"/>
              </w:rPr>
            </w:pPr>
            <w:r w:rsidRPr="006817C1">
              <w:rPr>
                <w:b/>
                <w:iCs/>
                <w:sz w:val="17"/>
                <w:szCs w:val="17"/>
                <w:lang w:val="en-GB"/>
              </w:rPr>
              <w:t>Target:</w:t>
            </w:r>
            <w:r w:rsidRPr="006817C1">
              <w:rPr>
                <w:iCs/>
                <w:sz w:val="17"/>
                <w:szCs w:val="17"/>
                <w:lang w:val="en-GB"/>
              </w:rPr>
              <w:t xml:space="preserve"> 50,000 (28,000 women)</w:t>
            </w:r>
          </w:p>
          <w:p w14:paraId="5AD4266E" w14:textId="77777777" w:rsidR="004412F1" w:rsidRPr="006817C1" w:rsidRDefault="004412F1" w:rsidP="009B2310">
            <w:pPr>
              <w:rPr>
                <w:iCs/>
                <w:sz w:val="17"/>
                <w:szCs w:val="17"/>
                <w:lang w:val="en-GB"/>
              </w:rPr>
            </w:pPr>
            <w:r w:rsidRPr="006817C1">
              <w:rPr>
                <w:b/>
                <w:iCs/>
                <w:sz w:val="17"/>
                <w:szCs w:val="17"/>
                <w:lang w:val="en-GB"/>
              </w:rPr>
              <w:t>Data source:</w:t>
            </w:r>
            <w:r w:rsidRPr="006817C1">
              <w:rPr>
                <w:iCs/>
                <w:sz w:val="17"/>
                <w:szCs w:val="17"/>
                <w:lang w:val="en-GB"/>
              </w:rPr>
              <w:t xml:space="preserve"> NDMA  </w:t>
            </w:r>
          </w:p>
          <w:p w14:paraId="17D32813" w14:textId="77777777" w:rsidR="004412F1" w:rsidRPr="006817C1" w:rsidRDefault="004412F1" w:rsidP="009B2310">
            <w:pPr>
              <w:rPr>
                <w:iCs/>
                <w:sz w:val="17"/>
                <w:szCs w:val="17"/>
                <w:lang w:val="en-GB"/>
              </w:rPr>
            </w:pPr>
            <w:r w:rsidRPr="006817C1">
              <w:rPr>
                <w:b/>
                <w:iCs/>
                <w:sz w:val="17"/>
                <w:szCs w:val="17"/>
                <w:lang w:val="en-GB"/>
              </w:rPr>
              <w:t>Frequency</w:t>
            </w:r>
            <w:r w:rsidRPr="006817C1">
              <w:rPr>
                <w:iCs/>
                <w:sz w:val="17"/>
                <w:szCs w:val="17"/>
                <w:lang w:val="en-GB"/>
              </w:rPr>
              <w:t>: Annual</w:t>
            </w:r>
          </w:p>
        </w:tc>
        <w:tc>
          <w:tcPr>
            <w:tcW w:w="675" w:type="pct"/>
            <w:vMerge w:val="restart"/>
          </w:tcPr>
          <w:p w14:paraId="0A322C7E" w14:textId="77777777" w:rsidR="00277688" w:rsidRDefault="004412F1" w:rsidP="009B2310">
            <w:pPr>
              <w:rPr>
                <w:iCs/>
                <w:sz w:val="17"/>
                <w:szCs w:val="17"/>
                <w:lang w:val="en-GB"/>
              </w:rPr>
            </w:pPr>
            <w:r w:rsidRPr="006817C1">
              <w:rPr>
                <w:iCs/>
                <w:sz w:val="17"/>
                <w:szCs w:val="17"/>
                <w:lang w:val="en-GB"/>
              </w:rPr>
              <w:lastRenderedPageBreak/>
              <w:t xml:space="preserve">MoE, </w:t>
            </w:r>
          </w:p>
          <w:p w14:paraId="35E1F4A7" w14:textId="77777777" w:rsidR="00277688" w:rsidRDefault="004412F1" w:rsidP="009B2310">
            <w:pPr>
              <w:rPr>
                <w:iCs/>
                <w:sz w:val="17"/>
                <w:szCs w:val="17"/>
                <w:lang w:val="en-GB"/>
              </w:rPr>
            </w:pPr>
            <w:r w:rsidRPr="006817C1">
              <w:rPr>
                <w:iCs/>
                <w:sz w:val="17"/>
                <w:szCs w:val="17"/>
                <w:lang w:val="en-GB"/>
              </w:rPr>
              <w:t xml:space="preserve">NEMA, </w:t>
            </w:r>
          </w:p>
          <w:p w14:paraId="41D4CABA" w14:textId="77777777" w:rsidR="00277688" w:rsidRDefault="004412F1" w:rsidP="009B2310">
            <w:pPr>
              <w:rPr>
                <w:iCs/>
                <w:sz w:val="17"/>
                <w:szCs w:val="17"/>
                <w:lang w:val="en-GB"/>
              </w:rPr>
            </w:pPr>
            <w:r w:rsidRPr="006817C1">
              <w:rPr>
                <w:iCs/>
                <w:sz w:val="17"/>
                <w:szCs w:val="17"/>
                <w:lang w:val="en-GB"/>
              </w:rPr>
              <w:t xml:space="preserve">NDMA, </w:t>
            </w:r>
          </w:p>
          <w:p w14:paraId="1AB519C7" w14:textId="70258D33" w:rsidR="004412F1" w:rsidRPr="006817C1" w:rsidRDefault="00277688" w:rsidP="00277688">
            <w:pPr>
              <w:rPr>
                <w:i/>
                <w:iCs/>
                <w:color w:val="000000"/>
                <w:sz w:val="17"/>
                <w:szCs w:val="17"/>
                <w:lang w:val="en-GB"/>
              </w:rPr>
            </w:pPr>
            <w:r w:rsidRPr="006817C1">
              <w:rPr>
                <w:iCs/>
                <w:sz w:val="17"/>
                <w:szCs w:val="17"/>
                <w:lang w:val="en-GB"/>
              </w:rPr>
              <w:t>UNEP,</w:t>
            </w:r>
            <w:r>
              <w:rPr>
                <w:iCs/>
                <w:sz w:val="17"/>
                <w:szCs w:val="17"/>
                <w:lang w:val="en-GB"/>
              </w:rPr>
              <w:t xml:space="preserve"> </w:t>
            </w:r>
            <w:r w:rsidR="004412F1" w:rsidRPr="006817C1">
              <w:rPr>
                <w:iCs/>
                <w:sz w:val="17"/>
                <w:szCs w:val="17"/>
                <w:lang w:val="en-GB"/>
              </w:rPr>
              <w:t>WFP, FAO</w:t>
            </w:r>
          </w:p>
        </w:tc>
        <w:tc>
          <w:tcPr>
            <w:tcW w:w="958" w:type="pct"/>
            <w:tcMar>
              <w:top w:w="15" w:type="dxa"/>
              <w:left w:w="108" w:type="dxa"/>
              <w:bottom w:w="0" w:type="dxa"/>
              <w:right w:w="108" w:type="dxa"/>
            </w:tcMar>
          </w:tcPr>
          <w:p w14:paraId="30AA959A" w14:textId="77777777" w:rsidR="004412F1" w:rsidRPr="006817C1" w:rsidRDefault="004412F1" w:rsidP="009B2310">
            <w:pPr>
              <w:rPr>
                <w:b/>
                <w:color w:val="000000"/>
                <w:sz w:val="17"/>
                <w:szCs w:val="17"/>
              </w:rPr>
            </w:pPr>
            <w:r w:rsidRPr="006817C1">
              <w:rPr>
                <w:b/>
                <w:color w:val="000000"/>
                <w:sz w:val="17"/>
                <w:szCs w:val="17"/>
              </w:rPr>
              <w:t>Regular:     3,259</w:t>
            </w:r>
          </w:p>
        </w:tc>
      </w:tr>
      <w:tr w:rsidR="004412F1" w:rsidRPr="006817C1" w14:paraId="378B70CD" w14:textId="77777777" w:rsidTr="009B2310">
        <w:tc>
          <w:tcPr>
            <w:tcW w:w="1097" w:type="pct"/>
            <w:vMerge/>
            <w:tcMar>
              <w:top w:w="72" w:type="dxa"/>
              <w:left w:w="144" w:type="dxa"/>
              <w:bottom w:w="72" w:type="dxa"/>
              <w:right w:w="144" w:type="dxa"/>
            </w:tcMar>
          </w:tcPr>
          <w:p w14:paraId="190BF819" w14:textId="77777777" w:rsidR="004412F1" w:rsidRPr="006817C1" w:rsidRDefault="004412F1" w:rsidP="009B2310">
            <w:pPr>
              <w:rPr>
                <w:i/>
                <w:iCs/>
                <w:color w:val="000000"/>
                <w:sz w:val="17"/>
                <w:szCs w:val="17"/>
                <w:lang w:val="en-GB"/>
              </w:rPr>
            </w:pPr>
          </w:p>
        </w:tc>
        <w:tc>
          <w:tcPr>
            <w:tcW w:w="1178" w:type="pct"/>
            <w:vMerge/>
          </w:tcPr>
          <w:p w14:paraId="7B398B74" w14:textId="77777777" w:rsidR="004412F1" w:rsidRPr="006817C1" w:rsidRDefault="004412F1" w:rsidP="009B2310">
            <w:pPr>
              <w:rPr>
                <w:i/>
                <w:iCs/>
                <w:color w:val="000000"/>
                <w:sz w:val="17"/>
                <w:szCs w:val="17"/>
                <w:lang w:val="en-GB"/>
              </w:rPr>
            </w:pPr>
          </w:p>
        </w:tc>
        <w:tc>
          <w:tcPr>
            <w:tcW w:w="1092" w:type="pct"/>
            <w:vMerge/>
            <w:tcMar>
              <w:top w:w="72" w:type="dxa"/>
              <w:left w:w="144" w:type="dxa"/>
              <w:bottom w:w="72" w:type="dxa"/>
              <w:right w:w="144" w:type="dxa"/>
            </w:tcMar>
          </w:tcPr>
          <w:p w14:paraId="69A7E011" w14:textId="77777777" w:rsidR="004412F1" w:rsidRPr="006817C1" w:rsidRDefault="004412F1" w:rsidP="009B2310">
            <w:pPr>
              <w:rPr>
                <w:i/>
                <w:iCs/>
                <w:color w:val="000000"/>
                <w:sz w:val="17"/>
                <w:szCs w:val="17"/>
                <w:lang w:val="en-GB"/>
              </w:rPr>
            </w:pPr>
          </w:p>
        </w:tc>
        <w:tc>
          <w:tcPr>
            <w:tcW w:w="675" w:type="pct"/>
            <w:vMerge/>
          </w:tcPr>
          <w:p w14:paraId="684BE0FD" w14:textId="77777777" w:rsidR="004412F1" w:rsidRPr="006817C1" w:rsidRDefault="004412F1" w:rsidP="009B2310">
            <w:pPr>
              <w:rPr>
                <w:i/>
                <w:iCs/>
                <w:color w:val="000000"/>
                <w:sz w:val="17"/>
                <w:szCs w:val="17"/>
                <w:lang w:val="en-GB"/>
              </w:rPr>
            </w:pPr>
          </w:p>
        </w:tc>
        <w:tc>
          <w:tcPr>
            <w:tcW w:w="958" w:type="pct"/>
            <w:tcMar>
              <w:top w:w="15" w:type="dxa"/>
              <w:left w:w="108" w:type="dxa"/>
              <w:bottom w:w="0" w:type="dxa"/>
              <w:right w:w="108" w:type="dxa"/>
            </w:tcMar>
          </w:tcPr>
          <w:p w14:paraId="42032A91" w14:textId="77777777" w:rsidR="004412F1" w:rsidRPr="006817C1" w:rsidRDefault="004412F1" w:rsidP="009B2310">
            <w:pPr>
              <w:rPr>
                <w:b/>
                <w:color w:val="000000"/>
                <w:sz w:val="17"/>
                <w:szCs w:val="17"/>
              </w:rPr>
            </w:pPr>
            <w:r w:rsidRPr="006817C1">
              <w:rPr>
                <w:b/>
                <w:color w:val="000000"/>
                <w:sz w:val="17"/>
                <w:szCs w:val="17"/>
              </w:rPr>
              <w:t>Other:       52,500</w:t>
            </w:r>
          </w:p>
          <w:p w14:paraId="0E84E2A8" w14:textId="77777777" w:rsidR="004412F1" w:rsidRPr="006817C1" w:rsidRDefault="004412F1" w:rsidP="009B2310">
            <w:pPr>
              <w:rPr>
                <w:b/>
                <w:color w:val="000000"/>
                <w:sz w:val="17"/>
                <w:szCs w:val="17"/>
              </w:rPr>
            </w:pPr>
          </w:p>
          <w:p w14:paraId="1AF802AD" w14:textId="77777777" w:rsidR="004412F1" w:rsidRPr="006817C1" w:rsidRDefault="004412F1" w:rsidP="009B2310">
            <w:pPr>
              <w:rPr>
                <w:b/>
                <w:color w:val="000000"/>
                <w:sz w:val="17"/>
                <w:szCs w:val="17"/>
              </w:rPr>
            </w:pPr>
            <w:r w:rsidRPr="006817C1">
              <w:rPr>
                <w:b/>
                <w:color w:val="000000"/>
                <w:sz w:val="17"/>
                <w:szCs w:val="17"/>
              </w:rPr>
              <w:t>Subtotal: 55,759</w:t>
            </w:r>
          </w:p>
        </w:tc>
      </w:tr>
      <w:tr w:rsidR="004412F1" w:rsidRPr="006817C1" w14:paraId="228EC8E5" w14:textId="77777777" w:rsidTr="009B2310">
        <w:tc>
          <w:tcPr>
            <w:tcW w:w="1097" w:type="pct"/>
            <w:tcMar>
              <w:top w:w="72" w:type="dxa"/>
              <w:left w:w="144" w:type="dxa"/>
              <w:bottom w:w="72" w:type="dxa"/>
              <w:right w:w="144" w:type="dxa"/>
            </w:tcMar>
          </w:tcPr>
          <w:p w14:paraId="7B734D06" w14:textId="77777777" w:rsidR="004412F1" w:rsidRPr="006817C1" w:rsidRDefault="004412F1" w:rsidP="009B2310">
            <w:pPr>
              <w:rPr>
                <w:i/>
                <w:iCs/>
                <w:color w:val="000000"/>
                <w:sz w:val="17"/>
                <w:szCs w:val="17"/>
                <w:lang w:val="en-GB"/>
              </w:rPr>
            </w:pPr>
          </w:p>
        </w:tc>
        <w:tc>
          <w:tcPr>
            <w:tcW w:w="1178" w:type="pct"/>
          </w:tcPr>
          <w:p w14:paraId="115ED63E" w14:textId="77777777" w:rsidR="004412F1" w:rsidRPr="006817C1" w:rsidRDefault="004412F1" w:rsidP="009B2310">
            <w:pPr>
              <w:rPr>
                <w:i/>
                <w:iCs/>
                <w:color w:val="000000"/>
                <w:sz w:val="17"/>
                <w:szCs w:val="17"/>
                <w:lang w:val="en-GB"/>
              </w:rPr>
            </w:pPr>
          </w:p>
        </w:tc>
        <w:tc>
          <w:tcPr>
            <w:tcW w:w="1092" w:type="pct"/>
            <w:tcMar>
              <w:top w:w="72" w:type="dxa"/>
              <w:left w:w="144" w:type="dxa"/>
              <w:bottom w:w="72" w:type="dxa"/>
              <w:right w:w="144" w:type="dxa"/>
            </w:tcMar>
          </w:tcPr>
          <w:p w14:paraId="7E4DD41F" w14:textId="77777777" w:rsidR="004412F1" w:rsidRPr="006817C1" w:rsidRDefault="004412F1" w:rsidP="009B2310">
            <w:pPr>
              <w:rPr>
                <w:i/>
                <w:iCs/>
                <w:color w:val="000000"/>
                <w:sz w:val="17"/>
                <w:szCs w:val="17"/>
                <w:lang w:val="en-GB"/>
              </w:rPr>
            </w:pPr>
          </w:p>
        </w:tc>
        <w:tc>
          <w:tcPr>
            <w:tcW w:w="675" w:type="pct"/>
          </w:tcPr>
          <w:p w14:paraId="0ACFB408" w14:textId="77777777" w:rsidR="004412F1" w:rsidRPr="006817C1" w:rsidRDefault="004412F1" w:rsidP="009B2310">
            <w:pPr>
              <w:rPr>
                <w:i/>
                <w:iCs/>
                <w:color w:val="000000"/>
                <w:sz w:val="17"/>
                <w:szCs w:val="17"/>
                <w:lang w:val="en-GB"/>
              </w:rPr>
            </w:pPr>
          </w:p>
        </w:tc>
        <w:tc>
          <w:tcPr>
            <w:tcW w:w="958" w:type="pct"/>
            <w:tcMar>
              <w:top w:w="15" w:type="dxa"/>
              <w:left w:w="108" w:type="dxa"/>
              <w:bottom w:w="0" w:type="dxa"/>
              <w:right w:w="108" w:type="dxa"/>
            </w:tcMar>
          </w:tcPr>
          <w:p w14:paraId="5D3A59AA" w14:textId="77777777" w:rsidR="004412F1" w:rsidRPr="006817C1" w:rsidRDefault="004412F1" w:rsidP="009B2310">
            <w:pPr>
              <w:rPr>
                <w:b/>
                <w:color w:val="000000"/>
                <w:sz w:val="17"/>
                <w:szCs w:val="17"/>
              </w:rPr>
            </w:pPr>
            <w:r w:rsidRPr="006817C1">
              <w:rPr>
                <w:b/>
                <w:color w:val="000000"/>
                <w:sz w:val="17"/>
                <w:szCs w:val="17"/>
              </w:rPr>
              <w:t>Total: 185,243</w:t>
            </w:r>
          </w:p>
        </w:tc>
      </w:tr>
    </w:tbl>
    <w:p w14:paraId="28852C51" w14:textId="1964AA37" w:rsidR="001E7154" w:rsidRDefault="001E7154" w:rsidP="003566BB">
      <w:pPr>
        <w:rPr>
          <w:b/>
          <w:bCs/>
          <w:color w:val="000000"/>
        </w:rPr>
      </w:pPr>
    </w:p>
    <w:p w14:paraId="45E2BAF3" w14:textId="31860031" w:rsidR="000E5EA8" w:rsidRDefault="000E5EA8" w:rsidP="000E5EA8">
      <w:pPr>
        <w:jc w:val="center"/>
        <w:rPr>
          <w:b/>
          <w:bCs/>
          <w:color w:val="000000"/>
        </w:rPr>
      </w:pPr>
      <w:r w:rsidRPr="00AE4C43">
        <w:rPr>
          <w:b/>
          <w:noProof/>
          <w:color w:val="000000"/>
          <w:sz w:val="16"/>
          <w:szCs w:val="16"/>
        </w:rPr>
        <w:drawing>
          <wp:inline distT="0" distB="0" distL="0" distR="0" wp14:anchorId="7CC23289" wp14:editId="4119B0B3">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0E5EA8" w:rsidSect="003566BB">
      <w:headerReference w:type="even" r:id="rId24"/>
      <w:headerReference w:type="default" r:id="rId25"/>
      <w:footerReference w:type="defaul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4C40" w14:textId="77777777" w:rsidR="002667E9" w:rsidRDefault="002667E9" w:rsidP="00441061">
      <w:r>
        <w:separator/>
      </w:r>
    </w:p>
  </w:endnote>
  <w:endnote w:type="continuationSeparator" w:id="0">
    <w:p w14:paraId="3D24F417" w14:textId="77777777" w:rsidR="002667E9" w:rsidRDefault="002667E9" w:rsidP="00441061">
      <w:r>
        <w:continuationSeparator/>
      </w:r>
    </w:p>
  </w:endnote>
  <w:endnote w:type="continuationNotice" w:id="1">
    <w:p w14:paraId="300DEFBF" w14:textId="77777777" w:rsidR="002667E9" w:rsidRDefault="0026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779E" w14:textId="77777777" w:rsidR="00E6791D" w:rsidRPr="005841A3" w:rsidRDefault="00E6791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6</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1387" w14:textId="77777777" w:rsidR="00E6791D" w:rsidRPr="005841A3" w:rsidRDefault="00E6791D">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2AA0EDF2" w14:textId="77777777" w:rsidR="00E6791D" w:rsidRDefault="00E6791D"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871671"/>
      <w:docPartObj>
        <w:docPartGallery w:val="Page Numbers (Bottom of Page)"/>
        <w:docPartUnique/>
      </w:docPartObj>
    </w:sdtPr>
    <w:sdtEndPr>
      <w:rPr>
        <w:b/>
        <w:noProof/>
        <w:sz w:val="17"/>
        <w:szCs w:val="17"/>
      </w:rPr>
    </w:sdtEndPr>
    <w:sdtContent>
      <w:p w14:paraId="00D15736" w14:textId="64A1F4FC" w:rsidR="00E6791D" w:rsidRPr="00A9631A" w:rsidRDefault="00E6791D" w:rsidP="00A9631A">
        <w:pPr>
          <w:pStyle w:val="Footer"/>
          <w:rPr>
            <w:b/>
            <w:sz w:val="17"/>
            <w:szCs w:val="17"/>
          </w:rPr>
        </w:pPr>
        <w:r w:rsidRPr="00A9631A">
          <w:rPr>
            <w:b/>
            <w:sz w:val="17"/>
            <w:szCs w:val="17"/>
          </w:rPr>
          <w:fldChar w:fldCharType="begin"/>
        </w:r>
        <w:r w:rsidRPr="00A9631A">
          <w:rPr>
            <w:b/>
            <w:sz w:val="17"/>
            <w:szCs w:val="17"/>
          </w:rPr>
          <w:instrText xml:space="preserve"> PAGE   \* MERGEFORMAT </w:instrText>
        </w:r>
        <w:r w:rsidRPr="00A9631A">
          <w:rPr>
            <w:b/>
            <w:sz w:val="17"/>
            <w:szCs w:val="17"/>
          </w:rPr>
          <w:fldChar w:fldCharType="separate"/>
        </w:r>
        <w:r>
          <w:rPr>
            <w:b/>
            <w:noProof/>
            <w:sz w:val="17"/>
            <w:szCs w:val="17"/>
          </w:rPr>
          <w:t>16</w:t>
        </w:r>
        <w:r w:rsidRPr="00A9631A">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384001"/>
      <w:docPartObj>
        <w:docPartGallery w:val="Page Numbers (Bottom of Page)"/>
        <w:docPartUnique/>
      </w:docPartObj>
    </w:sdtPr>
    <w:sdtEndPr>
      <w:rPr>
        <w:b/>
        <w:noProof/>
        <w:sz w:val="17"/>
        <w:szCs w:val="17"/>
      </w:rPr>
    </w:sdtEndPr>
    <w:sdtContent>
      <w:p w14:paraId="059161F4" w14:textId="46D27376" w:rsidR="00E6791D" w:rsidRPr="00A9631A" w:rsidRDefault="00E6791D" w:rsidP="00A9631A">
        <w:pPr>
          <w:pStyle w:val="Footer"/>
          <w:jc w:val="right"/>
          <w:rPr>
            <w:b/>
            <w:sz w:val="17"/>
            <w:szCs w:val="17"/>
          </w:rPr>
        </w:pPr>
        <w:r w:rsidRPr="00A9631A">
          <w:rPr>
            <w:b/>
            <w:sz w:val="17"/>
            <w:szCs w:val="17"/>
          </w:rPr>
          <w:fldChar w:fldCharType="begin"/>
        </w:r>
        <w:r w:rsidRPr="00A9631A">
          <w:rPr>
            <w:b/>
            <w:sz w:val="17"/>
            <w:szCs w:val="17"/>
          </w:rPr>
          <w:instrText xml:space="preserve"> PAGE   \* MERGEFORMAT </w:instrText>
        </w:r>
        <w:r w:rsidRPr="00A9631A">
          <w:rPr>
            <w:b/>
            <w:sz w:val="17"/>
            <w:szCs w:val="17"/>
          </w:rPr>
          <w:fldChar w:fldCharType="separate"/>
        </w:r>
        <w:r>
          <w:rPr>
            <w:b/>
            <w:noProof/>
            <w:sz w:val="17"/>
            <w:szCs w:val="17"/>
          </w:rPr>
          <w:t>9</w:t>
        </w:r>
        <w:r w:rsidRPr="00A9631A">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254515"/>
      <w:docPartObj>
        <w:docPartGallery w:val="Page Numbers (Bottom of Page)"/>
        <w:docPartUnique/>
      </w:docPartObj>
    </w:sdtPr>
    <w:sdtEndPr>
      <w:rPr>
        <w:b/>
        <w:noProof/>
        <w:sz w:val="17"/>
        <w:szCs w:val="17"/>
      </w:rPr>
    </w:sdtEndPr>
    <w:sdtContent>
      <w:p w14:paraId="363299C6" w14:textId="0EF2A257" w:rsidR="00E6791D" w:rsidRPr="00FC55C3" w:rsidRDefault="00E6791D">
        <w:pPr>
          <w:pStyle w:val="Footer"/>
          <w:rPr>
            <w:b/>
            <w:sz w:val="17"/>
            <w:szCs w:val="17"/>
          </w:rPr>
        </w:pPr>
        <w:r w:rsidRPr="00FC55C3">
          <w:rPr>
            <w:b/>
            <w:sz w:val="17"/>
            <w:szCs w:val="17"/>
          </w:rPr>
          <w:fldChar w:fldCharType="begin"/>
        </w:r>
        <w:r w:rsidRPr="00FC55C3">
          <w:rPr>
            <w:b/>
            <w:sz w:val="17"/>
            <w:szCs w:val="17"/>
          </w:rPr>
          <w:instrText xml:space="preserve"> PAGE   \* MERGEFORMAT </w:instrText>
        </w:r>
        <w:r w:rsidRPr="00FC55C3">
          <w:rPr>
            <w:b/>
            <w:sz w:val="17"/>
            <w:szCs w:val="17"/>
          </w:rPr>
          <w:fldChar w:fldCharType="separate"/>
        </w:r>
        <w:r>
          <w:rPr>
            <w:b/>
            <w:noProof/>
            <w:sz w:val="17"/>
            <w:szCs w:val="17"/>
          </w:rPr>
          <w:t>2</w:t>
        </w:r>
        <w:r w:rsidRPr="00FC55C3">
          <w:rPr>
            <w:b/>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387793"/>
      <w:docPartObj>
        <w:docPartGallery w:val="Page Numbers (Bottom of Page)"/>
        <w:docPartUnique/>
      </w:docPartObj>
    </w:sdtPr>
    <w:sdtEndPr>
      <w:rPr>
        <w:b/>
        <w:noProof/>
        <w:sz w:val="17"/>
        <w:szCs w:val="17"/>
      </w:rPr>
    </w:sdtEndPr>
    <w:sdtContent>
      <w:p w14:paraId="356671CF" w14:textId="4D9FA8AD" w:rsidR="00E6791D" w:rsidRPr="00A9631A" w:rsidRDefault="00E6791D" w:rsidP="00A9631A">
        <w:pPr>
          <w:pStyle w:val="Footer"/>
          <w:ind w:right="396"/>
          <w:jc w:val="right"/>
          <w:rPr>
            <w:b/>
            <w:sz w:val="17"/>
            <w:szCs w:val="17"/>
          </w:rPr>
        </w:pPr>
        <w:r w:rsidRPr="00A9631A">
          <w:rPr>
            <w:b/>
            <w:sz w:val="17"/>
            <w:szCs w:val="17"/>
          </w:rPr>
          <w:fldChar w:fldCharType="begin"/>
        </w:r>
        <w:r w:rsidRPr="00A9631A">
          <w:rPr>
            <w:b/>
            <w:sz w:val="17"/>
            <w:szCs w:val="17"/>
          </w:rPr>
          <w:instrText xml:space="preserve"> PAGE   \* MERGEFORMAT </w:instrText>
        </w:r>
        <w:r w:rsidRPr="00A9631A">
          <w:rPr>
            <w:b/>
            <w:sz w:val="17"/>
            <w:szCs w:val="17"/>
          </w:rPr>
          <w:fldChar w:fldCharType="separate"/>
        </w:r>
        <w:r>
          <w:rPr>
            <w:b/>
            <w:noProof/>
            <w:sz w:val="17"/>
            <w:szCs w:val="17"/>
          </w:rPr>
          <w:t>15</w:t>
        </w:r>
        <w:r w:rsidRPr="00A9631A">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8425" w14:textId="77777777" w:rsidR="002667E9" w:rsidRDefault="002667E9" w:rsidP="00441061">
      <w:r>
        <w:separator/>
      </w:r>
    </w:p>
  </w:footnote>
  <w:footnote w:type="continuationSeparator" w:id="0">
    <w:p w14:paraId="2BFC1D51" w14:textId="77777777" w:rsidR="002667E9" w:rsidRDefault="002667E9" w:rsidP="00441061">
      <w:r>
        <w:continuationSeparator/>
      </w:r>
    </w:p>
  </w:footnote>
  <w:footnote w:type="continuationNotice" w:id="1">
    <w:p w14:paraId="75C433FE" w14:textId="77777777" w:rsidR="002667E9" w:rsidRDefault="002667E9"/>
  </w:footnote>
  <w:footnote w:id="2">
    <w:p w14:paraId="2D675674" w14:textId="7537B674"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Kenya Economic Survey, 2017.</w:t>
      </w:r>
    </w:p>
  </w:footnote>
  <w:footnote w:id="3">
    <w:p w14:paraId="706C5D5B" w14:textId="24939473"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Medium-term Expenditure Framework, 2017.</w:t>
      </w:r>
    </w:p>
  </w:footnote>
  <w:footnote w:id="4">
    <w:p w14:paraId="08465543" w14:textId="0197D654"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Human Development Report, 2016.</w:t>
      </w:r>
    </w:p>
  </w:footnote>
  <w:footnote w:id="5">
    <w:p w14:paraId="0D419FB8" w14:textId="4E3C07B9"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Ibid.</w:t>
      </w:r>
    </w:p>
  </w:footnote>
  <w:footnote w:id="6">
    <w:p w14:paraId="2999080C" w14:textId="7BE289AD"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Kenya Voluntary National Report, 2017.</w:t>
      </w:r>
    </w:p>
  </w:footnote>
  <w:footnote w:id="7">
    <w:p w14:paraId="6ED682A8" w14:textId="38BE4CE8"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World Bank, 2014.</w:t>
      </w:r>
    </w:p>
  </w:footnote>
  <w:footnote w:id="8">
    <w:p w14:paraId="365F601E" w14:textId="425B24A0"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Commission on Revenue Allocation, 2013.</w:t>
      </w:r>
    </w:p>
  </w:footnote>
  <w:footnote w:id="9">
    <w:p w14:paraId="03F726C2" w14:textId="2C715335"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World Bank, 2014 and 2016.</w:t>
      </w:r>
    </w:p>
  </w:footnote>
  <w:footnote w:id="10">
    <w:p w14:paraId="3B969B5F" w14:textId="39060CDD"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World Bank, 2014</w:t>
      </w:r>
    </w:p>
  </w:footnote>
  <w:footnote w:id="11">
    <w:p w14:paraId="1BD35C83" w14:textId="77777777"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Ibid.</w:t>
      </w:r>
    </w:p>
  </w:footnote>
  <w:footnote w:id="12">
    <w:p w14:paraId="1690CEA1" w14:textId="3D98D6F5"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Oxford Poverty and Human Development Initiative, 2017</w:t>
      </w:r>
    </w:p>
  </w:footnote>
  <w:footnote w:id="13">
    <w:p w14:paraId="4C53C370" w14:textId="771E8052"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w:t>
      </w:r>
      <w:r w:rsidR="006E0E33" w:rsidRPr="007D6C5D">
        <w:rPr>
          <w:rFonts w:ascii="Times New Roman" w:hAnsi="Times New Roman"/>
          <w:sz w:val="17"/>
          <w:szCs w:val="17"/>
        </w:rPr>
        <w:t xml:space="preserve">Joint United Nations Programme on HIV/AIDS, </w:t>
      </w:r>
      <w:r w:rsidRPr="007D6C5D">
        <w:rPr>
          <w:rFonts w:ascii="Times New Roman" w:hAnsi="Times New Roman"/>
          <w:sz w:val="17"/>
          <w:szCs w:val="17"/>
        </w:rPr>
        <w:t>2017.</w:t>
      </w:r>
    </w:p>
  </w:footnote>
  <w:footnote w:id="14">
    <w:p w14:paraId="447D8E6E" w14:textId="0694C4E4"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Human Development Report, 2016.</w:t>
      </w:r>
    </w:p>
  </w:footnote>
  <w:footnote w:id="15">
    <w:p w14:paraId="1FCDFDA3" w14:textId="77777777"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Ibid.</w:t>
      </w:r>
    </w:p>
  </w:footnote>
  <w:footnote w:id="16">
    <w:p w14:paraId="3C880A5E" w14:textId="2B7B3DC3"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Kenya National Bureau of Statistics, 2017.</w:t>
      </w:r>
    </w:p>
  </w:footnote>
  <w:footnote w:id="17">
    <w:p w14:paraId="4A027BCF" w14:textId="77777777"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World Bank, 2017</w:t>
      </w:r>
    </w:p>
  </w:footnote>
  <w:footnote w:id="18">
    <w:p w14:paraId="5C548EDC" w14:textId="2CEA4B9B"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Hope Sr., 2014; Booth et al, 2014.</w:t>
      </w:r>
    </w:p>
  </w:footnote>
  <w:footnote w:id="19">
    <w:p w14:paraId="32F985E2" w14:textId="3ADA4EC6"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MTP II Mid-term Report, 2017; MTP III Concept Note, 2017; United Nations Common Country Assessment, 2017.</w:t>
      </w:r>
    </w:p>
  </w:footnote>
  <w:footnote w:id="20">
    <w:p w14:paraId="29920186" w14:textId="75BE2AE4"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Independent Electoral and Boundaries Commission, 2017</w:t>
      </w:r>
    </w:p>
  </w:footnote>
  <w:footnote w:id="21">
    <w:p w14:paraId="61514406" w14:textId="2C6D055C"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National Counter Terrorism Centre, 2016.</w:t>
      </w:r>
    </w:p>
  </w:footnote>
  <w:footnote w:id="22">
    <w:p w14:paraId="05AB8BED" w14:textId="340FF4EE"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UNDP, 2017.</w:t>
      </w:r>
    </w:p>
  </w:footnote>
  <w:footnote w:id="23">
    <w:p w14:paraId="2123AC3C" w14:textId="313F1797"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African Development Bank, 2014; Ministry of Environment and Natural Resources, 2015.</w:t>
      </w:r>
    </w:p>
  </w:footnote>
  <w:footnote w:id="24">
    <w:p w14:paraId="709348EB" w14:textId="5C78C4E9"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Government of Kenya, 2017.</w:t>
      </w:r>
    </w:p>
  </w:footnote>
  <w:footnote w:id="25">
    <w:p w14:paraId="5D615861" w14:textId="77777777"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Overseas Development Institute, 2017</w:t>
      </w:r>
    </w:p>
  </w:footnote>
  <w:footnote w:id="26">
    <w:p w14:paraId="7A886890" w14:textId="4B339AD3" w:rsidR="00E6791D" w:rsidRPr="007D6C5D" w:rsidRDefault="00E6791D">
      <w:pPr>
        <w:pStyle w:val="FootnoteText"/>
        <w:rPr>
          <w:rFonts w:ascii="Times New Roman" w:hAnsi="Times New Roman"/>
          <w:sz w:val="17"/>
          <w:szCs w:val="17"/>
        </w:rPr>
      </w:pPr>
      <w:r w:rsidRPr="007D6C5D">
        <w:rPr>
          <w:rStyle w:val="FootnoteReference"/>
          <w:rFonts w:ascii="Times New Roman" w:hAnsi="Times New Roman"/>
          <w:sz w:val="17"/>
          <w:szCs w:val="17"/>
        </w:rPr>
        <w:footnoteRef/>
      </w:r>
      <w:r w:rsidRPr="007D6C5D">
        <w:rPr>
          <w:rFonts w:ascii="Times New Roman" w:hAnsi="Times New Roman"/>
          <w:sz w:val="17"/>
          <w:szCs w:val="17"/>
        </w:rPr>
        <w:t xml:space="preserve"> F</w:t>
      </w:r>
      <w:r w:rsidR="006E0E33" w:rsidRPr="007D6C5D">
        <w:rPr>
          <w:rFonts w:ascii="Times New Roman" w:hAnsi="Times New Roman"/>
          <w:sz w:val="17"/>
          <w:szCs w:val="17"/>
        </w:rPr>
        <w:t>ood and Agricultural Organization</w:t>
      </w:r>
      <w:r w:rsidRPr="007D6C5D">
        <w:rPr>
          <w:rFonts w:ascii="Times New Roman" w:hAnsi="Times New Roman"/>
          <w:sz w:val="17"/>
          <w:szCs w:val="17"/>
        </w:rPr>
        <w:t>, 2017.</w:t>
      </w:r>
    </w:p>
  </w:footnote>
  <w:footnote w:id="27">
    <w:p w14:paraId="5ABDAF83" w14:textId="77777777" w:rsidR="00E6791D" w:rsidRPr="008D2433" w:rsidRDefault="00E6791D" w:rsidP="004412F1">
      <w:pPr>
        <w:pStyle w:val="FootnoteText"/>
        <w:rPr>
          <w:rFonts w:ascii="Times New Roman" w:hAnsi="Times New Roman"/>
          <w:sz w:val="18"/>
          <w:szCs w:val="18"/>
        </w:rPr>
      </w:pPr>
      <w:r w:rsidRPr="008D2433">
        <w:rPr>
          <w:rStyle w:val="FootnoteReference"/>
          <w:rFonts w:ascii="Times New Roman" w:hAnsi="Times New Roman"/>
          <w:sz w:val="18"/>
          <w:szCs w:val="18"/>
        </w:rPr>
        <w:footnoteRef/>
      </w:r>
      <w:r w:rsidRPr="008D2433">
        <w:rPr>
          <w:rFonts w:ascii="Times New Roman" w:hAnsi="Times New Roman"/>
          <w:sz w:val="18"/>
          <w:szCs w:val="18"/>
        </w:rPr>
        <w:t xml:space="preserve"> </w:t>
      </w:r>
      <w:r w:rsidRPr="008D2433">
        <w:rPr>
          <w:rFonts w:ascii="Times New Roman" w:hAnsi="Times New Roman"/>
          <w:iCs/>
          <w:sz w:val="18"/>
          <w:szCs w:val="18"/>
          <w:lang w:val="en-GB"/>
        </w:rPr>
        <w:t>Refers to percentage of households. 'Clean' includes only Electricity (0.4) and liquified petroleum gas/biogas (11.5%)</w:t>
      </w:r>
    </w:p>
  </w:footnote>
  <w:footnote w:id="28">
    <w:p w14:paraId="3A0328E1" w14:textId="77777777" w:rsidR="00E6791D" w:rsidRPr="008D2433" w:rsidRDefault="00E6791D" w:rsidP="004412F1">
      <w:pPr>
        <w:pStyle w:val="FootnoteText"/>
        <w:rPr>
          <w:rFonts w:ascii="Times New Roman" w:hAnsi="Times New Roman"/>
          <w:sz w:val="18"/>
          <w:szCs w:val="18"/>
        </w:rPr>
      </w:pPr>
      <w:r w:rsidRPr="008D2433">
        <w:rPr>
          <w:rStyle w:val="FootnoteReference"/>
          <w:rFonts w:ascii="Times New Roman" w:hAnsi="Times New Roman"/>
          <w:sz w:val="18"/>
          <w:szCs w:val="18"/>
        </w:rPr>
        <w:footnoteRef/>
      </w:r>
      <w:r w:rsidRPr="008D2433">
        <w:rPr>
          <w:rFonts w:ascii="Times New Roman" w:hAnsi="Times New Roman"/>
          <w:sz w:val="18"/>
          <w:szCs w:val="18"/>
        </w:rPr>
        <w:t xml:space="preserve"> Covers Arid and Semi-Arid Areas, with the objective of reducing the proportion of population affected</w:t>
      </w:r>
    </w:p>
  </w:footnote>
  <w:footnote w:id="29">
    <w:p w14:paraId="264415FC" w14:textId="66A30E29" w:rsidR="00E6791D" w:rsidRPr="008D2433" w:rsidRDefault="00E6791D" w:rsidP="004412F1">
      <w:pPr>
        <w:pStyle w:val="FootnoteText"/>
        <w:rPr>
          <w:sz w:val="18"/>
          <w:szCs w:val="18"/>
        </w:rPr>
      </w:pPr>
      <w:r w:rsidRPr="008D2433">
        <w:rPr>
          <w:rStyle w:val="FootnoteReference"/>
          <w:rFonts w:ascii="Times New Roman" w:hAnsi="Times New Roman"/>
          <w:sz w:val="18"/>
          <w:szCs w:val="18"/>
        </w:rPr>
        <w:footnoteRef/>
      </w:r>
      <w:r w:rsidRPr="008D2433">
        <w:rPr>
          <w:rFonts w:ascii="Times New Roman" w:hAnsi="Times New Roman"/>
          <w:sz w:val="18"/>
          <w:szCs w:val="18"/>
        </w:rPr>
        <w:t xml:space="preserve"> Includes</w:t>
      </w:r>
      <w:r w:rsidR="00F14F57">
        <w:rPr>
          <w:rFonts w:ascii="Times New Roman" w:hAnsi="Times New Roman"/>
          <w:sz w:val="18"/>
          <w:szCs w:val="18"/>
        </w:rPr>
        <w:t>:</w:t>
      </w:r>
      <w:r w:rsidRPr="008D2433">
        <w:rPr>
          <w:rFonts w:ascii="Times New Roman" w:hAnsi="Times New Roman"/>
          <w:sz w:val="18"/>
          <w:szCs w:val="18"/>
        </w:rPr>
        <w:t xml:space="preserve"> </w:t>
      </w:r>
      <w:r w:rsidR="00F14F57">
        <w:rPr>
          <w:rFonts w:ascii="Times New Roman" w:hAnsi="Times New Roman"/>
          <w:sz w:val="18"/>
          <w:szCs w:val="18"/>
        </w:rPr>
        <w:t>(</w:t>
      </w:r>
      <w:r w:rsidRPr="008D2433">
        <w:rPr>
          <w:rFonts w:ascii="Times New Roman" w:hAnsi="Times New Roman"/>
          <w:sz w:val="18"/>
          <w:szCs w:val="18"/>
        </w:rPr>
        <w:t xml:space="preserve">a) </w:t>
      </w:r>
      <w:r w:rsidR="00F14F57">
        <w:rPr>
          <w:rFonts w:ascii="Times New Roman" w:hAnsi="Times New Roman"/>
          <w:sz w:val="18"/>
          <w:szCs w:val="18"/>
        </w:rPr>
        <w:t>f</w:t>
      </w:r>
      <w:r w:rsidRPr="008D2433">
        <w:rPr>
          <w:rFonts w:ascii="Times New Roman" w:hAnsi="Times New Roman"/>
          <w:sz w:val="18"/>
          <w:szCs w:val="18"/>
        </w:rPr>
        <w:t>orest areas</w:t>
      </w:r>
      <w:r w:rsidR="00F14F57">
        <w:rPr>
          <w:rFonts w:ascii="Times New Roman" w:hAnsi="Times New Roman"/>
          <w:sz w:val="18"/>
          <w:szCs w:val="18"/>
        </w:rPr>
        <w:t>;</w:t>
      </w:r>
      <w:r w:rsidRPr="008D2433">
        <w:rPr>
          <w:rFonts w:ascii="Times New Roman" w:hAnsi="Times New Roman"/>
          <w:sz w:val="18"/>
          <w:szCs w:val="18"/>
        </w:rPr>
        <w:t xml:space="preserve"> </w:t>
      </w:r>
      <w:r w:rsidR="00F14F57">
        <w:rPr>
          <w:rFonts w:ascii="Times New Roman" w:hAnsi="Times New Roman"/>
          <w:sz w:val="18"/>
          <w:szCs w:val="18"/>
        </w:rPr>
        <w:t>(</w:t>
      </w:r>
      <w:r w:rsidRPr="008D2433">
        <w:rPr>
          <w:rFonts w:ascii="Times New Roman" w:hAnsi="Times New Roman"/>
          <w:sz w:val="18"/>
          <w:szCs w:val="18"/>
        </w:rPr>
        <w:t xml:space="preserve">b) </w:t>
      </w:r>
      <w:r w:rsidR="00F14F57">
        <w:rPr>
          <w:rFonts w:ascii="Times New Roman" w:hAnsi="Times New Roman"/>
          <w:sz w:val="18"/>
          <w:szCs w:val="18"/>
        </w:rPr>
        <w:t>p</w:t>
      </w:r>
      <w:r w:rsidRPr="008D2433">
        <w:rPr>
          <w:rFonts w:ascii="Times New Roman" w:hAnsi="Times New Roman"/>
          <w:sz w:val="18"/>
          <w:szCs w:val="18"/>
        </w:rPr>
        <w:t>rotected areas</w:t>
      </w:r>
      <w:r w:rsidR="00F14F57">
        <w:rPr>
          <w:rFonts w:ascii="Times New Roman" w:hAnsi="Times New Roman"/>
          <w:sz w:val="18"/>
          <w:szCs w:val="18"/>
        </w:rPr>
        <w:t>; and (</w:t>
      </w:r>
      <w:r w:rsidRPr="008D2433">
        <w:rPr>
          <w:rFonts w:ascii="Times New Roman" w:hAnsi="Times New Roman"/>
          <w:sz w:val="18"/>
          <w:szCs w:val="18"/>
        </w:rPr>
        <w:t>c) shared water ecosystems</w:t>
      </w:r>
      <w:r w:rsidR="00F14F57">
        <w:rPr>
          <w:rFonts w:ascii="Times New Roman" w:hAnsi="Times New Roman"/>
          <w:sz w:val="18"/>
          <w:szCs w:val="18"/>
        </w:rPr>
        <w:t>.</w:t>
      </w:r>
    </w:p>
  </w:footnote>
  <w:footnote w:id="30">
    <w:p w14:paraId="1D0C1AA6" w14:textId="2E52A89F" w:rsidR="00E6791D" w:rsidRPr="008D2433" w:rsidRDefault="00E6791D" w:rsidP="004412F1">
      <w:pPr>
        <w:pStyle w:val="FootnoteText"/>
        <w:jc w:val="both"/>
        <w:rPr>
          <w:rFonts w:ascii="Times New Roman" w:hAnsi="Times New Roman"/>
          <w:sz w:val="18"/>
          <w:szCs w:val="18"/>
        </w:rPr>
      </w:pPr>
      <w:r w:rsidRPr="008D2433">
        <w:rPr>
          <w:rStyle w:val="FootnoteReference"/>
          <w:rFonts w:ascii="Times New Roman" w:hAnsi="Times New Roman"/>
          <w:sz w:val="18"/>
          <w:szCs w:val="18"/>
        </w:rPr>
        <w:footnoteRef/>
      </w:r>
      <w:r w:rsidRPr="008D2433">
        <w:rPr>
          <w:rFonts w:ascii="Times New Roman" w:hAnsi="Times New Roman"/>
          <w:sz w:val="18"/>
          <w:szCs w:val="18"/>
        </w:rPr>
        <w:t xml:space="preserve"> Refers to available evidence regarding disaster</w:t>
      </w:r>
      <w:r w:rsidR="00F14F57">
        <w:rPr>
          <w:rFonts w:ascii="Times New Roman" w:hAnsi="Times New Roman"/>
          <w:sz w:val="18"/>
          <w:szCs w:val="18"/>
        </w:rPr>
        <w:t>-</w:t>
      </w:r>
      <w:r w:rsidRPr="008D2433">
        <w:rPr>
          <w:rFonts w:ascii="Times New Roman" w:hAnsi="Times New Roman"/>
          <w:sz w:val="18"/>
          <w:szCs w:val="18"/>
        </w:rPr>
        <w:t>prone areas and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D764" w14:textId="7B465DC5" w:rsidR="00E6791D" w:rsidRPr="003C26C1" w:rsidRDefault="00E6791D" w:rsidP="00A24133">
    <w:pPr>
      <w:pStyle w:val="Header"/>
      <w:jc w:val="center"/>
      <w:rPr>
        <w:rFonts w:ascii="Times New Roman" w:hAnsi="Times New Roman"/>
        <w:sz w:val="18"/>
        <w:lang w:val="en-US"/>
      </w:rPr>
    </w:pPr>
    <w:r>
      <w:rPr>
        <w:rFonts w:ascii="Times New Roman" w:hAnsi="Times New Roman"/>
        <w:b/>
        <w:sz w:val="18"/>
        <w:lang w:val="en-US"/>
      </w:rPr>
      <w:t>Version Date</w:t>
    </w:r>
    <w:r w:rsidRPr="003C26C1">
      <w:rPr>
        <w:rFonts w:ascii="Times New Roman" w:hAnsi="Times New Roman"/>
        <w:b/>
        <w:sz w:val="18"/>
      </w:rPr>
      <w:t>:</w:t>
    </w:r>
    <w:r w:rsidRPr="003C26C1">
      <w:rPr>
        <w:rFonts w:ascii="Times New Roman" w:hAnsi="Times New Roman"/>
        <w:sz w:val="18"/>
        <w:lang w:val="en-US"/>
      </w:rPr>
      <w:t xml:space="preserve"> </w:t>
    </w:r>
    <w:r>
      <w:rPr>
        <w:rFonts w:ascii="Times New Roman" w:hAnsi="Times New Roman"/>
        <w:sz w:val="18"/>
        <w:lang w:val="en-US"/>
      </w:rPr>
      <w:t>21 February 2018</w:t>
    </w:r>
  </w:p>
  <w:p w14:paraId="61480818" w14:textId="77777777" w:rsidR="00E6791D" w:rsidRDefault="00E6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6791D" w:rsidRPr="006359F8" w14:paraId="15D4F30B" w14:textId="77777777" w:rsidTr="00A9631A">
      <w:trPr>
        <w:trHeight w:hRule="exact" w:val="864"/>
      </w:trPr>
      <w:tc>
        <w:tcPr>
          <w:tcW w:w="4838" w:type="dxa"/>
          <w:tcBorders>
            <w:bottom w:val="single" w:sz="4" w:space="0" w:color="auto"/>
          </w:tcBorders>
          <w:vAlign w:val="bottom"/>
        </w:tcPr>
        <w:p w14:paraId="1FBF000E" w14:textId="77777777" w:rsidR="00E6791D" w:rsidRPr="006359F8" w:rsidRDefault="00E6791D" w:rsidP="00FC55C3">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7D71E7C2" w14:textId="0537779B" w:rsidR="00E6791D" w:rsidRPr="006359F8" w:rsidRDefault="00E6791D" w:rsidP="00FC55C3">
          <w:pPr>
            <w:widowControl w:val="0"/>
            <w:tabs>
              <w:tab w:val="center" w:pos="4320"/>
              <w:tab w:val="right" w:pos="8640"/>
            </w:tabs>
            <w:jc w:val="right"/>
            <w:rPr>
              <w:sz w:val="17"/>
              <w:szCs w:val="17"/>
            </w:rPr>
          </w:pPr>
          <w:r w:rsidRPr="006359F8">
            <w:rPr>
              <w:b/>
              <w:sz w:val="17"/>
              <w:szCs w:val="17"/>
            </w:rPr>
            <w:t>DP/DCP/</w:t>
          </w:r>
          <w:r>
            <w:rPr>
              <w:b/>
              <w:sz w:val="17"/>
              <w:szCs w:val="17"/>
            </w:rPr>
            <w:t>KEN</w:t>
          </w:r>
          <w:r w:rsidRPr="006359F8">
            <w:rPr>
              <w:b/>
              <w:sz w:val="17"/>
              <w:szCs w:val="17"/>
            </w:rPr>
            <w:t>/</w:t>
          </w:r>
          <w:r>
            <w:rPr>
              <w:b/>
              <w:sz w:val="17"/>
              <w:szCs w:val="17"/>
            </w:rPr>
            <w:t>3</w:t>
          </w:r>
        </w:p>
      </w:tc>
    </w:tr>
  </w:tbl>
  <w:p w14:paraId="41FC2D12" w14:textId="77777777" w:rsidR="00E6791D" w:rsidRDefault="00E67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E6791D" w14:paraId="2CD5F4DE" w14:textId="77777777">
      <w:trPr>
        <w:trHeight w:hRule="exact" w:val="864"/>
      </w:trPr>
      <w:tc>
        <w:tcPr>
          <w:tcW w:w="1267" w:type="dxa"/>
          <w:tcBorders>
            <w:top w:val="nil"/>
            <w:left w:val="nil"/>
            <w:bottom w:val="nil"/>
            <w:right w:val="nil"/>
          </w:tcBorders>
          <w:vAlign w:val="bottom"/>
        </w:tcPr>
        <w:p w14:paraId="60A53BA7" w14:textId="77777777" w:rsidR="00E6791D" w:rsidRPr="007C6F85" w:rsidRDefault="00E6791D">
          <w:pPr>
            <w:pStyle w:val="Header"/>
            <w:spacing w:after="120"/>
            <w:rPr>
              <w:lang w:val="en-US" w:eastAsia="en-US"/>
            </w:rPr>
          </w:pPr>
        </w:p>
      </w:tc>
      <w:tc>
        <w:tcPr>
          <w:tcW w:w="1872" w:type="dxa"/>
          <w:tcBorders>
            <w:top w:val="nil"/>
            <w:left w:val="nil"/>
            <w:bottom w:val="nil"/>
            <w:right w:val="nil"/>
          </w:tcBorders>
          <w:vAlign w:val="bottom"/>
        </w:tcPr>
        <w:p w14:paraId="3DEE7160" w14:textId="77777777" w:rsidR="00E6791D" w:rsidRDefault="00E6791D">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7F804571" w14:textId="77777777" w:rsidR="00E6791D" w:rsidRPr="007C6F85" w:rsidRDefault="00E6791D">
          <w:pPr>
            <w:pStyle w:val="Header"/>
            <w:spacing w:after="120"/>
            <w:rPr>
              <w:lang w:val="en-US" w:eastAsia="en-US"/>
            </w:rPr>
          </w:pPr>
        </w:p>
      </w:tc>
      <w:tc>
        <w:tcPr>
          <w:tcW w:w="6876" w:type="dxa"/>
          <w:gridSpan w:val="3"/>
          <w:tcBorders>
            <w:top w:val="nil"/>
            <w:left w:val="nil"/>
            <w:bottom w:val="nil"/>
            <w:right w:val="nil"/>
          </w:tcBorders>
          <w:vAlign w:val="bottom"/>
        </w:tcPr>
        <w:p w14:paraId="76F4EA85" w14:textId="177F9BB2" w:rsidR="00E6791D" w:rsidRDefault="00E6791D" w:rsidP="00441061">
          <w:pPr>
            <w:spacing w:after="80"/>
            <w:jc w:val="center"/>
            <w:rPr>
              <w:position w:val="-4"/>
            </w:rPr>
          </w:pPr>
          <w:r>
            <w:rPr>
              <w:position w:val="-4"/>
              <w:sz w:val="40"/>
            </w:rPr>
            <w:t xml:space="preserve">                         DP</w:t>
          </w:r>
          <w:r>
            <w:rPr>
              <w:position w:val="-4"/>
            </w:rPr>
            <w:t>/DCP/KEN/3</w:t>
          </w:r>
        </w:p>
      </w:tc>
    </w:tr>
    <w:tr w:rsidR="00E6791D" w14:paraId="624A5DEB" w14:textId="77777777" w:rsidTr="008B7186">
      <w:trPr>
        <w:trHeight w:hRule="exact" w:val="1936"/>
      </w:trPr>
      <w:tc>
        <w:tcPr>
          <w:tcW w:w="1267" w:type="dxa"/>
          <w:tcBorders>
            <w:top w:val="single" w:sz="4" w:space="0" w:color="auto"/>
            <w:left w:val="nil"/>
            <w:bottom w:val="single" w:sz="12" w:space="0" w:color="auto"/>
            <w:right w:val="nil"/>
          </w:tcBorders>
        </w:tcPr>
        <w:p w14:paraId="271FA890" w14:textId="77777777" w:rsidR="00E6791D" w:rsidRPr="007C6F85" w:rsidRDefault="00E6791D">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5F77C633" wp14:editId="10FB7D01">
                <wp:extent cx="716280" cy="586740"/>
                <wp:effectExtent l="0" t="0" r="7620" b="381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49273D5" w14:textId="77777777" w:rsidR="00E6791D" w:rsidRPr="007C6F85" w:rsidRDefault="00E6791D">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01726BDA" w14:textId="77777777" w:rsidR="00E6791D" w:rsidRDefault="00E6791D">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DA049E3" w14:textId="77777777" w:rsidR="00E6791D" w:rsidRPr="007C6F85" w:rsidRDefault="00E6791D">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93F4C14" w14:textId="77777777" w:rsidR="00E6791D" w:rsidRDefault="00E6791D">
          <w:pPr>
            <w:spacing w:before="240"/>
          </w:pPr>
          <w:r>
            <w:t>Distr.: General</w:t>
          </w:r>
        </w:p>
        <w:p w14:paraId="7C566C99" w14:textId="30E60C32" w:rsidR="00E6791D" w:rsidRDefault="00E6791D" w:rsidP="00441061">
          <w:r>
            <w:t>12 March 2018</w:t>
          </w:r>
        </w:p>
        <w:p w14:paraId="1A911D29" w14:textId="77777777" w:rsidR="00E6791D" w:rsidRDefault="00E6791D"/>
        <w:p w14:paraId="4C187B98" w14:textId="1A3A0AE7" w:rsidR="00E6791D" w:rsidRDefault="00E6791D">
          <w:r>
            <w:t>Original: English</w:t>
          </w:r>
        </w:p>
      </w:tc>
    </w:tr>
  </w:tbl>
  <w:p w14:paraId="5A01E932" w14:textId="77777777" w:rsidR="00E6791D" w:rsidRDefault="00E6791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E6791D" w:rsidRPr="005841A3" w14:paraId="53B943BC" w14:textId="77777777" w:rsidTr="001E3896">
      <w:trPr>
        <w:trHeight w:hRule="exact" w:val="864"/>
      </w:trPr>
      <w:tc>
        <w:tcPr>
          <w:tcW w:w="4838" w:type="dxa"/>
          <w:tcBorders>
            <w:bottom w:val="single" w:sz="4" w:space="0" w:color="auto"/>
          </w:tcBorders>
          <w:vAlign w:val="bottom"/>
        </w:tcPr>
        <w:p w14:paraId="06590F89" w14:textId="77777777" w:rsidR="00E6791D" w:rsidRPr="007C6F85" w:rsidRDefault="00E6791D" w:rsidP="00A9631A">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KEN/3</w:t>
          </w:r>
        </w:p>
      </w:tc>
      <w:tc>
        <w:tcPr>
          <w:tcW w:w="4792" w:type="dxa"/>
          <w:tcBorders>
            <w:bottom w:val="single" w:sz="4" w:space="0" w:color="auto"/>
          </w:tcBorders>
          <w:vAlign w:val="bottom"/>
        </w:tcPr>
        <w:p w14:paraId="21B5BA50" w14:textId="77777777" w:rsidR="00E6791D" w:rsidRPr="007C6F85" w:rsidRDefault="00E6791D" w:rsidP="00A9631A">
          <w:pPr>
            <w:pStyle w:val="Header"/>
            <w:rPr>
              <w:rFonts w:ascii="Times New Roman" w:hAnsi="Times New Roman"/>
              <w:sz w:val="17"/>
              <w:szCs w:val="17"/>
              <w:lang w:val="en-US" w:eastAsia="en-US"/>
            </w:rPr>
          </w:pPr>
        </w:p>
      </w:tc>
    </w:tr>
  </w:tbl>
  <w:p w14:paraId="2BA10180" w14:textId="77777777" w:rsidR="00E6791D" w:rsidRPr="00501F31" w:rsidRDefault="00E6791D" w:rsidP="00501F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E6791D" w:rsidRPr="005841A3" w14:paraId="77899747" w14:textId="77777777" w:rsidTr="00FC55C3">
      <w:trPr>
        <w:trHeight w:hRule="exact" w:val="864"/>
      </w:trPr>
      <w:tc>
        <w:tcPr>
          <w:tcW w:w="4838" w:type="dxa"/>
          <w:tcBorders>
            <w:bottom w:val="single" w:sz="4" w:space="0" w:color="auto"/>
          </w:tcBorders>
          <w:vAlign w:val="bottom"/>
        </w:tcPr>
        <w:p w14:paraId="03B9D8D9" w14:textId="12929335" w:rsidR="00E6791D" w:rsidRPr="007C6F85" w:rsidRDefault="00E6791D" w:rsidP="00FC55C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KEN/3</w:t>
          </w:r>
        </w:p>
      </w:tc>
      <w:tc>
        <w:tcPr>
          <w:tcW w:w="4792" w:type="dxa"/>
          <w:tcBorders>
            <w:bottom w:val="single" w:sz="4" w:space="0" w:color="auto"/>
          </w:tcBorders>
          <w:vAlign w:val="bottom"/>
        </w:tcPr>
        <w:p w14:paraId="0BC09E67" w14:textId="77777777" w:rsidR="00E6791D" w:rsidRPr="007C6F85" w:rsidRDefault="00E6791D" w:rsidP="00FC55C3">
          <w:pPr>
            <w:pStyle w:val="Header"/>
            <w:rPr>
              <w:rFonts w:ascii="Times New Roman" w:hAnsi="Times New Roman"/>
              <w:sz w:val="17"/>
              <w:szCs w:val="17"/>
              <w:lang w:val="en-US" w:eastAsia="en-US"/>
            </w:rPr>
          </w:pPr>
        </w:p>
      </w:tc>
    </w:tr>
  </w:tbl>
  <w:p w14:paraId="21BF5E4E" w14:textId="77777777" w:rsidR="00E6791D" w:rsidRDefault="00E6791D">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CB1D" w14:textId="77777777" w:rsidR="00E6791D" w:rsidRDefault="00E6791D">
    <w:pPr>
      <w:pStyle w:val="Header"/>
    </w:pPr>
    <w:r>
      <w:rPr>
        <w:noProof/>
        <w:lang w:val="en-US" w:eastAsia="en-US"/>
      </w:rPr>
      <mc:AlternateContent>
        <mc:Choice Requires="wps">
          <w:drawing>
            <wp:anchor distT="0" distB="0" distL="114300" distR="114300" simplePos="0" relativeHeight="251657216" behindDoc="0" locked="0" layoutInCell="0" allowOverlap="1" wp14:anchorId="1AF7471D" wp14:editId="1B6FDC69">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E6791D" w:rsidRPr="005841A3" w14:paraId="2DAAFF60" w14:textId="77777777">
                            <w:trPr>
                              <w:trHeight w:hRule="exact" w:val="864"/>
                            </w:trPr>
                            <w:tc>
                              <w:tcPr>
                                <w:tcW w:w="4838" w:type="dxa"/>
                                <w:tcBorders>
                                  <w:bottom w:val="single" w:sz="4" w:space="0" w:color="auto"/>
                                </w:tcBorders>
                                <w:vAlign w:val="bottom"/>
                              </w:tcPr>
                              <w:p w14:paraId="724DCCDC" w14:textId="5128B9CE" w:rsidR="00E6791D" w:rsidRPr="007C6F85" w:rsidRDefault="00E6791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KEN/3</w:t>
                                </w:r>
                              </w:p>
                            </w:tc>
                            <w:tc>
                              <w:tcPr>
                                <w:tcW w:w="8276" w:type="dxa"/>
                                <w:tcBorders>
                                  <w:bottom w:val="single" w:sz="4" w:space="0" w:color="auto"/>
                                </w:tcBorders>
                                <w:vAlign w:val="bottom"/>
                              </w:tcPr>
                              <w:p w14:paraId="2DB902BE" w14:textId="77777777" w:rsidR="00E6791D" w:rsidRPr="007C6F85" w:rsidRDefault="00E6791D">
                                <w:pPr>
                                  <w:pStyle w:val="Header"/>
                                  <w:rPr>
                                    <w:rFonts w:ascii="Times New Roman" w:hAnsi="Times New Roman"/>
                                    <w:sz w:val="17"/>
                                    <w:szCs w:val="17"/>
                                    <w:lang w:val="en-US" w:eastAsia="en-US"/>
                                  </w:rPr>
                                </w:pPr>
                              </w:p>
                            </w:tc>
                          </w:tr>
                        </w:tbl>
                        <w:p w14:paraId="1413E33D" w14:textId="77777777" w:rsidR="00E6791D" w:rsidRDefault="00E6791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AF7471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E6791D" w:rsidRPr="005841A3" w14:paraId="2DAAFF60" w14:textId="77777777">
                      <w:trPr>
                        <w:trHeight w:hRule="exact" w:val="864"/>
                      </w:trPr>
                      <w:tc>
                        <w:tcPr>
                          <w:tcW w:w="4838" w:type="dxa"/>
                          <w:tcBorders>
                            <w:bottom w:val="single" w:sz="4" w:space="0" w:color="auto"/>
                          </w:tcBorders>
                          <w:vAlign w:val="bottom"/>
                        </w:tcPr>
                        <w:p w14:paraId="724DCCDC" w14:textId="5128B9CE" w:rsidR="00E6791D" w:rsidRPr="007C6F85" w:rsidRDefault="00E6791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KEN/3</w:t>
                          </w:r>
                        </w:p>
                      </w:tc>
                      <w:tc>
                        <w:tcPr>
                          <w:tcW w:w="8276" w:type="dxa"/>
                          <w:tcBorders>
                            <w:bottom w:val="single" w:sz="4" w:space="0" w:color="auto"/>
                          </w:tcBorders>
                          <w:vAlign w:val="bottom"/>
                        </w:tcPr>
                        <w:p w14:paraId="2DB902BE" w14:textId="77777777" w:rsidR="00E6791D" w:rsidRPr="007C6F85" w:rsidRDefault="00E6791D">
                          <w:pPr>
                            <w:pStyle w:val="Header"/>
                            <w:rPr>
                              <w:rFonts w:ascii="Times New Roman" w:hAnsi="Times New Roman"/>
                              <w:sz w:val="17"/>
                              <w:szCs w:val="17"/>
                              <w:lang w:val="en-US" w:eastAsia="en-US"/>
                            </w:rPr>
                          </w:pPr>
                        </w:p>
                      </w:tc>
                    </w:tr>
                  </w:tbl>
                  <w:p w14:paraId="1413E33D" w14:textId="77777777" w:rsidR="00E6791D" w:rsidRDefault="00E6791D"/>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E6791D" w:rsidRPr="006359F8" w14:paraId="7BB2C08E" w14:textId="77777777" w:rsidTr="00A9631A">
      <w:trPr>
        <w:trHeight w:hRule="exact" w:val="864"/>
      </w:trPr>
      <w:tc>
        <w:tcPr>
          <w:tcW w:w="4838" w:type="dxa"/>
          <w:tcBorders>
            <w:bottom w:val="single" w:sz="4" w:space="0" w:color="auto"/>
          </w:tcBorders>
          <w:vAlign w:val="bottom"/>
        </w:tcPr>
        <w:p w14:paraId="2B1C6342" w14:textId="77777777" w:rsidR="00E6791D" w:rsidRPr="006359F8" w:rsidRDefault="00E6791D" w:rsidP="00FC55C3">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7B18A65A" w14:textId="77777777" w:rsidR="00E6791D" w:rsidRPr="006359F8" w:rsidRDefault="00E6791D" w:rsidP="00FC55C3">
          <w:pPr>
            <w:widowControl w:val="0"/>
            <w:tabs>
              <w:tab w:val="center" w:pos="4320"/>
              <w:tab w:val="right" w:pos="8640"/>
            </w:tabs>
            <w:jc w:val="right"/>
            <w:rPr>
              <w:sz w:val="17"/>
              <w:szCs w:val="17"/>
            </w:rPr>
          </w:pPr>
          <w:r w:rsidRPr="006359F8">
            <w:rPr>
              <w:b/>
              <w:sz w:val="17"/>
              <w:szCs w:val="17"/>
            </w:rPr>
            <w:t>DP/DCP/</w:t>
          </w:r>
          <w:r>
            <w:rPr>
              <w:b/>
              <w:sz w:val="17"/>
              <w:szCs w:val="17"/>
            </w:rPr>
            <w:t>KEN</w:t>
          </w:r>
          <w:r w:rsidRPr="006359F8">
            <w:rPr>
              <w:b/>
              <w:sz w:val="17"/>
              <w:szCs w:val="17"/>
            </w:rPr>
            <w:t>/</w:t>
          </w:r>
          <w:r>
            <w:rPr>
              <w:b/>
              <w:sz w:val="17"/>
              <w:szCs w:val="17"/>
            </w:rPr>
            <w:t>3</w:t>
          </w:r>
        </w:p>
      </w:tc>
    </w:tr>
  </w:tbl>
  <w:p w14:paraId="1391FD27" w14:textId="77777777" w:rsidR="00E6791D" w:rsidRDefault="00E6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FE2EB8"/>
    <w:multiLevelType w:val="hybridMultilevel"/>
    <w:tmpl w:val="F33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840DE"/>
    <w:multiLevelType w:val="hybridMultilevel"/>
    <w:tmpl w:val="A5985EB4"/>
    <w:lvl w:ilvl="0" w:tplc="56C8BE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90B72"/>
    <w:multiLevelType w:val="hybridMultilevel"/>
    <w:tmpl w:val="1E82B790"/>
    <w:lvl w:ilvl="0" w:tplc="F09630A4">
      <w:start w:val="1"/>
      <w:numFmt w:val="decimal"/>
      <w:lvlText w:val="%1."/>
      <w:lvlJc w:val="left"/>
      <w:pPr>
        <w:ind w:left="1030" w:hanging="360"/>
      </w:pPr>
      <w:rPr>
        <w:rFonts w:hint="default"/>
        <w:color w:val="auto"/>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15:restartNumberingAfterBreak="0">
    <w:nsid w:val="5F42364F"/>
    <w:multiLevelType w:val="hybridMultilevel"/>
    <w:tmpl w:val="5994D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C7E45"/>
    <w:multiLevelType w:val="hybridMultilevel"/>
    <w:tmpl w:val="F878B820"/>
    <w:lvl w:ilvl="0" w:tplc="626C234E">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A34C9"/>
    <w:multiLevelType w:val="multilevel"/>
    <w:tmpl w:val="A1441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9F721E"/>
    <w:multiLevelType w:val="hybridMultilevel"/>
    <w:tmpl w:val="B720C93C"/>
    <w:lvl w:ilvl="0" w:tplc="56C8BE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5E26"/>
    <w:rsid w:val="000074AA"/>
    <w:rsid w:val="00007F8B"/>
    <w:rsid w:val="000103BE"/>
    <w:rsid w:val="00011F78"/>
    <w:rsid w:val="0001309E"/>
    <w:rsid w:val="00013AA9"/>
    <w:rsid w:val="00014316"/>
    <w:rsid w:val="0001594D"/>
    <w:rsid w:val="00015D40"/>
    <w:rsid w:val="00015FDE"/>
    <w:rsid w:val="00016217"/>
    <w:rsid w:val="0001672E"/>
    <w:rsid w:val="00016861"/>
    <w:rsid w:val="000200CF"/>
    <w:rsid w:val="000205F1"/>
    <w:rsid w:val="00022047"/>
    <w:rsid w:val="00022C73"/>
    <w:rsid w:val="0002521D"/>
    <w:rsid w:val="00026886"/>
    <w:rsid w:val="000274B9"/>
    <w:rsid w:val="0002758B"/>
    <w:rsid w:val="000276A0"/>
    <w:rsid w:val="00031615"/>
    <w:rsid w:val="000330DB"/>
    <w:rsid w:val="0003429F"/>
    <w:rsid w:val="00034CB4"/>
    <w:rsid w:val="0003562A"/>
    <w:rsid w:val="00036095"/>
    <w:rsid w:val="00036AF4"/>
    <w:rsid w:val="00036B78"/>
    <w:rsid w:val="000406B8"/>
    <w:rsid w:val="000409BD"/>
    <w:rsid w:val="00041C10"/>
    <w:rsid w:val="0004243C"/>
    <w:rsid w:val="00043804"/>
    <w:rsid w:val="000441A1"/>
    <w:rsid w:val="00046649"/>
    <w:rsid w:val="00047247"/>
    <w:rsid w:val="00050869"/>
    <w:rsid w:val="000523F7"/>
    <w:rsid w:val="000561C1"/>
    <w:rsid w:val="00056204"/>
    <w:rsid w:val="000570D1"/>
    <w:rsid w:val="000571A9"/>
    <w:rsid w:val="00057F3B"/>
    <w:rsid w:val="00060290"/>
    <w:rsid w:val="000602CC"/>
    <w:rsid w:val="00062067"/>
    <w:rsid w:val="000622F0"/>
    <w:rsid w:val="00063E24"/>
    <w:rsid w:val="00072195"/>
    <w:rsid w:val="00072229"/>
    <w:rsid w:val="00073CF1"/>
    <w:rsid w:val="00074309"/>
    <w:rsid w:val="00074BD0"/>
    <w:rsid w:val="00074D9A"/>
    <w:rsid w:val="00074DB9"/>
    <w:rsid w:val="000753AE"/>
    <w:rsid w:val="000753C4"/>
    <w:rsid w:val="00075A19"/>
    <w:rsid w:val="00075DF0"/>
    <w:rsid w:val="000762CA"/>
    <w:rsid w:val="000771A0"/>
    <w:rsid w:val="000803A4"/>
    <w:rsid w:val="000806E3"/>
    <w:rsid w:val="0008339E"/>
    <w:rsid w:val="00084EEC"/>
    <w:rsid w:val="00090AD1"/>
    <w:rsid w:val="00090C25"/>
    <w:rsid w:val="00090F4F"/>
    <w:rsid w:val="00091476"/>
    <w:rsid w:val="00092879"/>
    <w:rsid w:val="000938FC"/>
    <w:rsid w:val="00094E87"/>
    <w:rsid w:val="00096F45"/>
    <w:rsid w:val="00096F84"/>
    <w:rsid w:val="00097FB2"/>
    <w:rsid w:val="000A151D"/>
    <w:rsid w:val="000A24C5"/>
    <w:rsid w:val="000A3F7F"/>
    <w:rsid w:val="000A62C7"/>
    <w:rsid w:val="000B1661"/>
    <w:rsid w:val="000B1937"/>
    <w:rsid w:val="000B1B59"/>
    <w:rsid w:val="000B1C13"/>
    <w:rsid w:val="000B299E"/>
    <w:rsid w:val="000B2A0F"/>
    <w:rsid w:val="000B3A13"/>
    <w:rsid w:val="000B4BB2"/>
    <w:rsid w:val="000B5A2C"/>
    <w:rsid w:val="000B6379"/>
    <w:rsid w:val="000C04F3"/>
    <w:rsid w:val="000C112A"/>
    <w:rsid w:val="000C123C"/>
    <w:rsid w:val="000C149B"/>
    <w:rsid w:val="000C2258"/>
    <w:rsid w:val="000C7526"/>
    <w:rsid w:val="000C76B0"/>
    <w:rsid w:val="000C7BBE"/>
    <w:rsid w:val="000D0BE3"/>
    <w:rsid w:val="000D1957"/>
    <w:rsid w:val="000D2475"/>
    <w:rsid w:val="000D3177"/>
    <w:rsid w:val="000D35A6"/>
    <w:rsid w:val="000D442C"/>
    <w:rsid w:val="000D4DC4"/>
    <w:rsid w:val="000D7F0B"/>
    <w:rsid w:val="000E1243"/>
    <w:rsid w:val="000E1B05"/>
    <w:rsid w:val="000E3D9C"/>
    <w:rsid w:val="000E5EA8"/>
    <w:rsid w:val="000E612D"/>
    <w:rsid w:val="000E6AB1"/>
    <w:rsid w:val="000E745A"/>
    <w:rsid w:val="000E7E9E"/>
    <w:rsid w:val="000F0044"/>
    <w:rsid w:val="000F07B6"/>
    <w:rsid w:val="000F5541"/>
    <w:rsid w:val="000F69AC"/>
    <w:rsid w:val="000F703B"/>
    <w:rsid w:val="000F72ED"/>
    <w:rsid w:val="000F7A4C"/>
    <w:rsid w:val="00101509"/>
    <w:rsid w:val="00102155"/>
    <w:rsid w:val="001025B8"/>
    <w:rsid w:val="00106EF8"/>
    <w:rsid w:val="00107A30"/>
    <w:rsid w:val="001101A2"/>
    <w:rsid w:val="00111489"/>
    <w:rsid w:val="00111792"/>
    <w:rsid w:val="00111797"/>
    <w:rsid w:val="00111B19"/>
    <w:rsid w:val="00112C98"/>
    <w:rsid w:val="001144EE"/>
    <w:rsid w:val="00114A64"/>
    <w:rsid w:val="00115F59"/>
    <w:rsid w:val="00116913"/>
    <w:rsid w:val="00116C1A"/>
    <w:rsid w:val="00116F8B"/>
    <w:rsid w:val="00117592"/>
    <w:rsid w:val="001211AD"/>
    <w:rsid w:val="00121818"/>
    <w:rsid w:val="00121F3E"/>
    <w:rsid w:val="0012229E"/>
    <w:rsid w:val="00123849"/>
    <w:rsid w:val="00123A5E"/>
    <w:rsid w:val="00125010"/>
    <w:rsid w:val="00125266"/>
    <w:rsid w:val="00125B82"/>
    <w:rsid w:val="00126970"/>
    <w:rsid w:val="00126C59"/>
    <w:rsid w:val="0012738C"/>
    <w:rsid w:val="001305E6"/>
    <w:rsid w:val="00131361"/>
    <w:rsid w:val="0013239A"/>
    <w:rsid w:val="00132D93"/>
    <w:rsid w:val="00137155"/>
    <w:rsid w:val="0013761A"/>
    <w:rsid w:val="0014423A"/>
    <w:rsid w:val="001443EC"/>
    <w:rsid w:val="00145B87"/>
    <w:rsid w:val="00147042"/>
    <w:rsid w:val="001471A7"/>
    <w:rsid w:val="001506F6"/>
    <w:rsid w:val="00151737"/>
    <w:rsid w:val="00154032"/>
    <w:rsid w:val="001547D3"/>
    <w:rsid w:val="00155407"/>
    <w:rsid w:val="001559BD"/>
    <w:rsid w:val="00157B0C"/>
    <w:rsid w:val="00157F09"/>
    <w:rsid w:val="00157F79"/>
    <w:rsid w:val="00160EEC"/>
    <w:rsid w:val="001619BD"/>
    <w:rsid w:val="00163E84"/>
    <w:rsid w:val="001668AA"/>
    <w:rsid w:val="001675B1"/>
    <w:rsid w:val="0016789D"/>
    <w:rsid w:val="00167C87"/>
    <w:rsid w:val="001708A1"/>
    <w:rsid w:val="001710A2"/>
    <w:rsid w:val="001725FB"/>
    <w:rsid w:val="00172EE3"/>
    <w:rsid w:val="00177E7E"/>
    <w:rsid w:val="00181779"/>
    <w:rsid w:val="00181EC7"/>
    <w:rsid w:val="00182EB0"/>
    <w:rsid w:val="0018356F"/>
    <w:rsid w:val="00184F43"/>
    <w:rsid w:val="001876C5"/>
    <w:rsid w:val="00187D68"/>
    <w:rsid w:val="00190155"/>
    <w:rsid w:val="001902CF"/>
    <w:rsid w:val="001906B5"/>
    <w:rsid w:val="00192063"/>
    <w:rsid w:val="00194163"/>
    <w:rsid w:val="00194FEB"/>
    <w:rsid w:val="001970A4"/>
    <w:rsid w:val="00197AD1"/>
    <w:rsid w:val="001A02A6"/>
    <w:rsid w:val="001A07F1"/>
    <w:rsid w:val="001A0E4B"/>
    <w:rsid w:val="001A2B13"/>
    <w:rsid w:val="001A4811"/>
    <w:rsid w:val="001B0020"/>
    <w:rsid w:val="001B1437"/>
    <w:rsid w:val="001B3F87"/>
    <w:rsid w:val="001B4026"/>
    <w:rsid w:val="001B44FA"/>
    <w:rsid w:val="001B598C"/>
    <w:rsid w:val="001B5D3E"/>
    <w:rsid w:val="001B76A6"/>
    <w:rsid w:val="001B7F17"/>
    <w:rsid w:val="001C07F8"/>
    <w:rsid w:val="001C1147"/>
    <w:rsid w:val="001C2F59"/>
    <w:rsid w:val="001C42C6"/>
    <w:rsid w:val="001C6C08"/>
    <w:rsid w:val="001D2056"/>
    <w:rsid w:val="001D3D51"/>
    <w:rsid w:val="001D42D1"/>
    <w:rsid w:val="001D4600"/>
    <w:rsid w:val="001D4D5D"/>
    <w:rsid w:val="001D64E5"/>
    <w:rsid w:val="001D6EB8"/>
    <w:rsid w:val="001D7063"/>
    <w:rsid w:val="001E003C"/>
    <w:rsid w:val="001E0429"/>
    <w:rsid w:val="001E05EC"/>
    <w:rsid w:val="001E0F90"/>
    <w:rsid w:val="001E13FD"/>
    <w:rsid w:val="001E247E"/>
    <w:rsid w:val="001E36AB"/>
    <w:rsid w:val="001E3896"/>
    <w:rsid w:val="001E396F"/>
    <w:rsid w:val="001E3C35"/>
    <w:rsid w:val="001E4809"/>
    <w:rsid w:val="001E4F4F"/>
    <w:rsid w:val="001E7154"/>
    <w:rsid w:val="001F090F"/>
    <w:rsid w:val="001F1114"/>
    <w:rsid w:val="001F2533"/>
    <w:rsid w:val="001F27F4"/>
    <w:rsid w:val="001F3DC0"/>
    <w:rsid w:val="001F4C5A"/>
    <w:rsid w:val="001F4EA9"/>
    <w:rsid w:val="001F4F73"/>
    <w:rsid w:val="001F6425"/>
    <w:rsid w:val="001F6772"/>
    <w:rsid w:val="001F7421"/>
    <w:rsid w:val="00200195"/>
    <w:rsid w:val="00200B5F"/>
    <w:rsid w:val="00201EEF"/>
    <w:rsid w:val="0020346B"/>
    <w:rsid w:val="0020478C"/>
    <w:rsid w:val="002047C8"/>
    <w:rsid w:val="002052B3"/>
    <w:rsid w:val="00205453"/>
    <w:rsid w:val="00205669"/>
    <w:rsid w:val="002058F9"/>
    <w:rsid w:val="00207F32"/>
    <w:rsid w:val="00210EF9"/>
    <w:rsid w:val="002126B0"/>
    <w:rsid w:val="00212B1F"/>
    <w:rsid w:val="00213340"/>
    <w:rsid w:val="00213D7C"/>
    <w:rsid w:val="00214102"/>
    <w:rsid w:val="00214513"/>
    <w:rsid w:val="002155B7"/>
    <w:rsid w:val="0021766A"/>
    <w:rsid w:val="002225D3"/>
    <w:rsid w:val="00222A35"/>
    <w:rsid w:val="0022301D"/>
    <w:rsid w:val="002238E2"/>
    <w:rsid w:val="00224B2C"/>
    <w:rsid w:val="00225C5E"/>
    <w:rsid w:val="00226791"/>
    <w:rsid w:val="00227E55"/>
    <w:rsid w:val="00232AA0"/>
    <w:rsid w:val="00233073"/>
    <w:rsid w:val="00234CDF"/>
    <w:rsid w:val="002363A9"/>
    <w:rsid w:val="00236B91"/>
    <w:rsid w:val="002376BA"/>
    <w:rsid w:val="00241632"/>
    <w:rsid w:val="002424C0"/>
    <w:rsid w:val="00242617"/>
    <w:rsid w:val="00242CAA"/>
    <w:rsid w:val="0024503B"/>
    <w:rsid w:val="00245D74"/>
    <w:rsid w:val="0024675A"/>
    <w:rsid w:val="00246D03"/>
    <w:rsid w:val="00246DDF"/>
    <w:rsid w:val="0025022D"/>
    <w:rsid w:val="002521B1"/>
    <w:rsid w:val="002530D8"/>
    <w:rsid w:val="002573CC"/>
    <w:rsid w:val="00260FAA"/>
    <w:rsid w:val="00261DC0"/>
    <w:rsid w:val="002622C3"/>
    <w:rsid w:val="00262338"/>
    <w:rsid w:val="00263938"/>
    <w:rsid w:val="002646D7"/>
    <w:rsid w:val="002657CD"/>
    <w:rsid w:val="00265C99"/>
    <w:rsid w:val="002667E9"/>
    <w:rsid w:val="002671D7"/>
    <w:rsid w:val="002707A4"/>
    <w:rsid w:val="00271312"/>
    <w:rsid w:val="0027259C"/>
    <w:rsid w:val="00273543"/>
    <w:rsid w:val="00274C82"/>
    <w:rsid w:val="0027654D"/>
    <w:rsid w:val="002765BC"/>
    <w:rsid w:val="00277688"/>
    <w:rsid w:val="002810DF"/>
    <w:rsid w:val="002812AB"/>
    <w:rsid w:val="002812C3"/>
    <w:rsid w:val="002816D8"/>
    <w:rsid w:val="00281C3A"/>
    <w:rsid w:val="00282A8C"/>
    <w:rsid w:val="002843E9"/>
    <w:rsid w:val="002854EE"/>
    <w:rsid w:val="0028565C"/>
    <w:rsid w:val="0028723F"/>
    <w:rsid w:val="002875DE"/>
    <w:rsid w:val="00287E07"/>
    <w:rsid w:val="00290EB2"/>
    <w:rsid w:val="00290EB3"/>
    <w:rsid w:val="00292846"/>
    <w:rsid w:val="00292A90"/>
    <w:rsid w:val="00293BCE"/>
    <w:rsid w:val="00294800"/>
    <w:rsid w:val="00295F54"/>
    <w:rsid w:val="002961B5"/>
    <w:rsid w:val="002971D6"/>
    <w:rsid w:val="002973AC"/>
    <w:rsid w:val="002A2F08"/>
    <w:rsid w:val="002A3641"/>
    <w:rsid w:val="002A495F"/>
    <w:rsid w:val="002A706F"/>
    <w:rsid w:val="002A70EA"/>
    <w:rsid w:val="002A712D"/>
    <w:rsid w:val="002A7363"/>
    <w:rsid w:val="002A7F43"/>
    <w:rsid w:val="002B0E3B"/>
    <w:rsid w:val="002B365E"/>
    <w:rsid w:val="002B3E6C"/>
    <w:rsid w:val="002B3F47"/>
    <w:rsid w:val="002B4215"/>
    <w:rsid w:val="002B489A"/>
    <w:rsid w:val="002B6341"/>
    <w:rsid w:val="002C031A"/>
    <w:rsid w:val="002C0526"/>
    <w:rsid w:val="002C1710"/>
    <w:rsid w:val="002C27A8"/>
    <w:rsid w:val="002C333E"/>
    <w:rsid w:val="002C36C8"/>
    <w:rsid w:val="002C3716"/>
    <w:rsid w:val="002C4736"/>
    <w:rsid w:val="002C51A0"/>
    <w:rsid w:val="002C5333"/>
    <w:rsid w:val="002C57E0"/>
    <w:rsid w:val="002C7537"/>
    <w:rsid w:val="002C7971"/>
    <w:rsid w:val="002D0584"/>
    <w:rsid w:val="002D2E2A"/>
    <w:rsid w:val="002D3011"/>
    <w:rsid w:val="002D4274"/>
    <w:rsid w:val="002D430F"/>
    <w:rsid w:val="002D4713"/>
    <w:rsid w:val="002D5295"/>
    <w:rsid w:val="002D52BF"/>
    <w:rsid w:val="002D5C9F"/>
    <w:rsid w:val="002D6515"/>
    <w:rsid w:val="002D6579"/>
    <w:rsid w:val="002D68FA"/>
    <w:rsid w:val="002D7DF6"/>
    <w:rsid w:val="002D7ECA"/>
    <w:rsid w:val="002E0141"/>
    <w:rsid w:val="002E04A3"/>
    <w:rsid w:val="002E0B5D"/>
    <w:rsid w:val="002E0B76"/>
    <w:rsid w:val="002E1495"/>
    <w:rsid w:val="002E2466"/>
    <w:rsid w:val="002E2900"/>
    <w:rsid w:val="002E3C0D"/>
    <w:rsid w:val="002E43EC"/>
    <w:rsid w:val="002E4883"/>
    <w:rsid w:val="002E5B3C"/>
    <w:rsid w:val="002E5B85"/>
    <w:rsid w:val="002E6415"/>
    <w:rsid w:val="002E7A79"/>
    <w:rsid w:val="002F1D9E"/>
    <w:rsid w:val="002F2C6E"/>
    <w:rsid w:val="002F3C88"/>
    <w:rsid w:val="002F4067"/>
    <w:rsid w:val="002F47EB"/>
    <w:rsid w:val="002F7339"/>
    <w:rsid w:val="002F7461"/>
    <w:rsid w:val="003025E2"/>
    <w:rsid w:val="00305264"/>
    <w:rsid w:val="00306D24"/>
    <w:rsid w:val="00306F33"/>
    <w:rsid w:val="003070AA"/>
    <w:rsid w:val="00307712"/>
    <w:rsid w:val="003115C3"/>
    <w:rsid w:val="00311723"/>
    <w:rsid w:val="0031404A"/>
    <w:rsid w:val="00314B7C"/>
    <w:rsid w:val="00314E49"/>
    <w:rsid w:val="00315445"/>
    <w:rsid w:val="00317183"/>
    <w:rsid w:val="00317317"/>
    <w:rsid w:val="00317B59"/>
    <w:rsid w:val="003204AE"/>
    <w:rsid w:val="003208EF"/>
    <w:rsid w:val="00323339"/>
    <w:rsid w:val="00324846"/>
    <w:rsid w:val="00324ABD"/>
    <w:rsid w:val="00324D9B"/>
    <w:rsid w:val="003272A6"/>
    <w:rsid w:val="003273CB"/>
    <w:rsid w:val="00327C7D"/>
    <w:rsid w:val="0033125E"/>
    <w:rsid w:val="00331ECB"/>
    <w:rsid w:val="0033263B"/>
    <w:rsid w:val="0033325E"/>
    <w:rsid w:val="00336913"/>
    <w:rsid w:val="0033718C"/>
    <w:rsid w:val="00337407"/>
    <w:rsid w:val="00337BB8"/>
    <w:rsid w:val="00340E02"/>
    <w:rsid w:val="00341065"/>
    <w:rsid w:val="00341D0B"/>
    <w:rsid w:val="00343E6E"/>
    <w:rsid w:val="00343E9A"/>
    <w:rsid w:val="003450C8"/>
    <w:rsid w:val="00346AC4"/>
    <w:rsid w:val="0034782B"/>
    <w:rsid w:val="003504D3"/>
    <w:rsid w:val="00351082"/>
    <w:rsid w:val="00351BB6"/>
    <w:rsid w:val="00351E5C"/>
    <w:rsid w:val="00353EFA"/>
    <w:rsid w:val="0035580F"/>
    <w:rsid w:val="00355F19"/>
    <w:rsid w:val="003566BB"/>
    <w:rsid w:val="00357CB4"/>
    <w:rsid w:val="003604EE"/>
    <w:rsid w:val="00360B8A"/>
    <w:rsid w:val="0036286B"/>
    <w:rsid w:val="00362A1C"/>
    <w:rsid w:val="00363371"/>
    <w:rsid w:val="003638AB"/>
    <w:rsid w:val="00364989"/>
    <w:rsid w:val="00365D2D"/>
    <w:rsid w:val="00366401"/>
    <w:rsid w:val="003664C0"/>
    <w:rsid w:val="00366769"/>
    <w:rsid w:val="00367A28"/>
    <w:rsid w:val="00367E04"/>
    <w:rsid w:val="00370E1A"/>
    <w:rsid w:val="0037114B"/>
    <w:rsid w:val="00374F6F"/>
    <w:rsid w:val="003761F2"/>
    <w:rsid w:val="0037648F"/>
    <w:rsid w:val="00376A05"/>
    <w:rsid w:val="00376C5F"/>
    <w:rsid w:val="003774FE"/>
    <w:rsid w:val="003802AE"/>
    <w:rsid w:val="00380DDB"/>
    <w:rsid w:val="00383D40"/>
    <w:rsid w:val="003841CD"/>
    <w:rsid w:val="00390E30"/>
    <w:rsid w:val="00393ABE"/>
    <w:rsid w:val="003941F2"/>
    <w:rsid w:val="0039458D"/>
    <w:rsid w:val="00394D61"/>
    <w:rsid w:val="00396C38"/>
    <w:rsid w:val="003A1520"/>
    <w:rsid w:val="003A1B60"/>
    <w:rsid w:val="003A1F5A"/>
    <w:rsid w:val="003A20C4"/>
    <w:rsid w:val="003A2ECE"/>
    <w:rsid w:val="003A3E23"/>
    <w:rsid w:val="003A4252"/>
    <w:rsid w:val="003A539A"/>
    <w:rsid w:val="003A62A4"/>
    <w:rsid w:val="003A6D5C"/>
    <w:rsid w:val="003A7476"/>
    <w:rsid w:val="003A7D86"/>
    <w:rsid w:val="003B0AA1"/>
    <w:rsid w:val="003B243D"/>
    <w:rsid w:val="003B304F"/>
    <w:rsid w:val="003B3A30"/>
    <w:rsid w:val="003B4AF7"/>
    <w:rsid w:val="003B5D18"/>
    <w:rsid w:val="003B795D"/>
    <w:rsid w:val="003C26A6"/>
    <w:rsid w:val="003C26C1"/>
    <w:rsid w:val="003C2883"/>
    <w:rsid w:val="003C297A"/>
    <w:rsid w:val="003C33EF"/>
    <w:rsid w:val="003C5A8A"/>
    <w:rsid w:val="003C5C11"/>
    <w:rsid w:val="003C6A5A"/>
    <w:rsid w:val="003C6AAD"/>
    <w:rsid w:val="003C76E4"/>
    <w:rsid w:val="003D1D4D"/>
    <w:rsid w:val="003D3682"/>
    <w:rsid w:val="003D37DD"/>
    <w:rsid w:val="003D3A64"/>
    <w:rsid w:val="003D45DF"/>
    <w:rsid w:val="003D47C6"/>
    <w:rsid w:val="003D7E38"/>
    <w:rsid w:val="003D7EAC"/>
    <w:rsid w:val="003E14E4"/>
    <w:rsid w:val="003E1AFA"/>
    <w:rsid w:val="003E379A"/>
    <w:rsid w:val="003E52B0"/>
    <w:rsid w:val="003E64DC"/>
    <w:rsid w:val="003E74EF"/>
    <w:rsid w:val="003E7A43"/>
    <w:rsid w:val="003F0B58"/>
    <w:rsid w:val="003F0D40"/>
    <w:rsid w:val="003F1E61"/>
    <w:rsid w:val="003F2236"/>
    <w:rsid w:val="003F27B7"/>
    <w:rsid w:val="003F2881"/>
    <w:rsid w:val="003F4051"/>
    <w:rsid w:val="003F5077"/>
    <w:rsid w:val="003F5812"/>
    <w:rsid w:val="003F625A"/>
    <w:rsid w:val="003F6AA4"/>
    <w:rsid w:val="003F6EA1"/>
    <w:rsid w:val="00400E4A"/>
    <w:rsid w:val="00402E9A"/>
    <w:rsid w:val="00403FA8"/>
    <w:rsid w:val="00404040"/>
    <w:rsid w:val="00404213"/>
    <w:rsid w:val="004048AC"/>
    <w:rsid w:val="00404B8E"/>
    <w:rsid w:val="004052D0"/>
    <w:rsid w:val="004054A6"/>
    <w:rsid w:val="004068C2"/>
    <w:rsid w:val="00406A9B"/>
    <w:rsid w:val="00411DBD"/>
    <w:rsid w:val="004124D7"/>
    <w:rsid w:val="00412559"/>
    <w:rsid w:val="00415E7F"/>
    <w:rsid w:val="004201E3"/>
    <w:rsid w:val="00420288"/>
    <w:rsid w:val="004219CB"/>
    <w:rsid w:val="00421C78"/>
    <w:rsid w:val="004224CE"/>
    <w:rsid w:val="00424A78"/>
    <w:rsid w:val="004254DB"/>
    <w:rsid w:val="00427EEA"/>
    <w:rsid w:val="00430B50"/>
    <w:rsid w:val="00431836"/>
    <w:rsid w:val="004321E6"/>
    <w:rsid w:val="0043278E"/>
    <w:rsid w:val="00433BFF"/>
    <w:rsid w:val="00433F20"/>
    <w:rsid w:val="00434866"/>
    <w:rsid w:val="00434EAD"/>
    <w:rsid w:val="004360AC"/>
    <w:rsid w:val="00436B83"/>
    <w:rsid w:val="00436CCB"/>
    <w:rsid w:val="00441061"/>
    <w:rsid w:val="00441096"/>
    <w:rsid w:val="004412F1"/>
    <w:rsid w:val="0044305F"/>
    <w:rsid w:val="004447DF"/>
    <w:rsid w:val="0044560C"/>
    <w:rsid w:val="004501C9"/>
    <w:rsid w:val="00450C70"/>
    <w:rsid w:val="00450CE1"/>
    <w:rsid w:val="00451499"/>
    <w:rsid w:val="00453344"/>
    <w:rsid w:val="00454E76"/>
    <w:rsid w:val="00455435"/>
    <w:rsid w:val="00457080"/>
    <w:rsid w:val="004574B0"/>
    <w:rsid w:val="00460891"/>
    <w:rsid w:val="00461682"/>
    <w:rsid w:val="00462180"/>
    <w:rsid w:val="004629AA"/>
    <w:rsid w:val="00464FB2"/>
    <w:rsid w:val="004662A8"/>
    <w:rsid w:val="00466CDC"/>
    <w:rsid w:val="0046700A"/>
    <w:rsid w:val="0046745E"/>
    <w:rsid w:val="00470866"/>
    <w:rsid w:val="004736BE"/>
    <w:rsid w:val="0047555B"/>
    <w:rsid w:val="0047556D"/>
    <w:rsid w:val="00475789"/>
    <w:rsid w:val="00475BCE"/>
    <w:rsid w:val="00476170"/>
    <w:rsid w:val="00481DC8"/>
    <w:rsid w:val="004820B0"/>
    <w:rsid w:val="00482117"/>
    <w:rsid w:val="00482A69"/>
    <w:rsid w:val="00482AB4"/>
    <w:rsid w:val="00482B14"/>
    <w:rsid w:val="00482E2F"/>
    <w:rsid w:val="0048467F"/>
    <w:rsid w:val="004859B4"/>
    <w:rsid w:val="00486ACD"/>
    <w:rsid w:val="00486BFB"/>
    <w:rsid w:val="0048779D"/>
    <w:rsid w:val="00490B8D"/>
    <w:rsid w:val="00491775"/>
    <w:rsid w:val="00491E29"/>
    <w:rsid w:val="00492358"/>
    <w:rsid w:val="00492C65"/>
    <w:rsid w:val="004930C2"/>
    <w:rsid w:val="0049403F"/>
    <w:rsid w:val="00494323"/>
    <w:rsid w:val="00494349"/>
    <w:rsid w:val="00494485"/>
    <w:rsid w:val="00496D67"/>
    <w:rsid w:val="004975FA"/>
    <w:rsid w:val="0049762B"/>
    <w:rsid w:val="0049784D"/>
    <w:rsid w:val="00497CCE"/>
    <w:rsid w:val="004A0F27"/>
    <w:rsid w:val="004A0F37"/>
    <w:rsid w:val="004A0F68"/>
    <w:rsid w:val="004A0FB3"/>
    <w:rsid w:val="004A2042"/>
    <w:rsid w:val="004A2D9A"/>
    <w:rsid w:val="004A3608"/>
    <w:rsid w:val="004A4FBD"/>
    <w:rsid w:val="004A67C3"/>
    <w:rsid w:val="004A67F7"/>
    <w:rsid w:val="004A7810"/>
    <w:rsid w:val="004A7DCB"/>
    <w:rsid w:val="004A7E93"/>
    <w:rsid w:val="004B378A"/>
    <w:rsid w:val="004B3CFB"/>
    <w:rsid w:val="004B5D6B"/>
    <w:rsid w:val="004B6BB3"/>
    <w:rsid w:val="004B6C23"/>
    <w:rsid w:val="004B76F8"/>
    <w:rsid w:val="004C1FA6"/>
    <w:rsid w:val="004C454C"/>
    <w:rsid w:val="004C4A0A"/>
    <w:rsid w:val="004C5CFD"/>
    <w:rsid w:val="004D08CA"/>
    <w:rsid w:val="004D12C0"/>
    <w:rsid w:val="004D18EA"/>
    <w:rsid w:val="004D3713"/>
    <w:rsid w:val="004D6254"/>
    <w:rsid w:val="004D63CA"/>
    <w:rsid w:val="004D70FD"/>
    <w:rsid w:val="004D7E99"/>
    <w:rsid w:val="004E00CE"/>
    <w:rsid w:val="004E04BD"/>
    <w:rsid w:val="004E04D0"/>
    <w:rsid w:val="004E2BDB"/>
    <w:rsid w:val="004F1C37"/>
    <w:rsid w:val="004F3758"/>
    <w:rsid w:val="004F3B4D"/>
    <w:rsid w:val="004F4C9B"/>
    <w:rsid w:val="004F50AF"/>
    <w:rsid w:val="004F626C"/>
    <w:rsid w:val="004F681D"/>
    <w:rsid w:val="004F6E14"/>
    <w:rsid w:val="004F70E9"/>
    <w:rsid w:val="00500A96"/>
    <w:rsid w:val="00500F98"/>
    <w:rsid w:val="00501BA5"/>
    <w:rsid w:val="00501F31"/>
    <w:rsid w:val="00502143"/>
    <w:rsid w:val="0050228C"/>
    <w:rsid w:val="00502857"/>
    <w:rsid w:val="00503003"/>
    <w:rsid w:val="005034CA"/>
    <w:rsid w:val="005044A9"/>
    <w:rsid w:val="005046E6"/>
    <w:rsid w:val="0050575B"/>
    <w:rsid w:val="00505994"/>
    <w:rsid w:val="00505FD4"/>
    <w:rsid w:val="00506E25"/>
    <w:rsid w:val="0051132C"/>
    <w:rsid w:val="00513483"/>
    <w:rsid w:val="00514A55"/>
    <w:rsid w:val="00514EF5"/>
    <w:rsid w:val="0051782D"/>
    <w:rsid w:val="0052087E"/>
    <w:rsid w:val="00522074"/>
    <w:rsid w:val="0052315E"/>
    <w:rsid w:val="00524596"/>
    <w:rsid w:val="005255C2"/>
    <w:rsid w:val="00526009"/>
    <w:rsid w:val="00527926"/>
    <w:rsid w:val="00530ED3"/>
    <w:rsid w:val="0053438E"/>
    <w:rsid w:val="0053449A"/>
    <w:rsid w:val="005346B7"/>
    <w:rsid w:val="005355EE"/>
    <w:rsid w:val="00535B16"/>
    <w:rsid w:val="005366D0"/>
    <w:rsid w:val="00537AE4"/>
    <w:rsid w:val="00537E27"/>
    <w:rsid w:val="00540B4D"/>
    <w:rsid w:val="00540FFA"/>
    <w:rsid w:val="00541A95"/>
    <w:rsid w:val="00542930"/>
    <w:rsid w:val="005435B3"/>
    <w:rsid w:val="005443A5"/>
    <w:rsid w:val="005453B6"/>
    <w:rsid w:val="00545D9D"/>
    <w:rsid w:val="00546080"/>
    <w:rsid w:val="00550779"/>
    <w:rsid w:val="00550849"/>
    <w:rsid w:val="00550866"/>
    <w:rsid w:val="00554BF3"/>
    <w:rsid w:val="0055655F"/>
    <w:rsid w:val="0055657D"/>
    <w:rsid w:val="005606C4"/>
    <w:rsid w:val="00560D0D"/>
    <w:rsid w:val="00562254"/>
    <w:rsid w:val="00565F79"/>
    <w:rsid w:val="00565FB1"/>
    <w:rsid w:val="005662FB"/>
    <w:rsid w:val="0056699E"/>
    <w:rsid w:val="00567781"/>
    <w:rsid w:val="00567ECC"/>
    <w:rsid w:val="00570721"/>
    <w:rsid w:val="0057078E"/>
    <w:rsid w:val="005713B1"/>
    <w:rsid w:val="00576ACB"/>
    <w:rsid w:val="00580C84"/>
    <w:rsid w:val="005810C4"/>
    <w:rsid w:val="005816FB"/>
    <w:rsid w:val="00583090"/>
    <w:rsid w:val="005835F4"/>
    <w:rsid w:val="00583EFE"/>
    <w:rsid w:val="00584076"/>
    <w:rsid w:val="005841A3"/>
    <w:rsid w:val="005841BE"/>
    <w:rsid w:val="00586D9A"/>
    <w:rsid w:val="0058734B"/>
    <w:rsid w:val="00590EAE"/>
    <w:rsid w:val="0059112A"/>
    <w:rsid w:val="00593216"/>
    <w:rsid w:val="00594BC3"/>
    <w:rsid w:val="00595CA5"/>
    <w:rsid w:val="00596CA7"/>
    <w:rsid w:val="00596DC8"/>
    <w:rsid w:val="00596E16"/>
    <w:rsid w:val="005A16A3"/>
    <w:rsid w:val="005A17CC"/>
    <w:rsid w:val="005A1C48"/>
    <w:rsid w:val="005A253A"/>
    <w:rsid w:val="005A40AF"/>
    <w:rsid w:val="005A64BF"/>
    <w:rsid w:val="005B0817"/>
    <w:rsid w:val="005B0F4F"/>
    <w:rsid w:val="005B3C38"/>
    <w:rsid w:val="005B4421"/>
    <w:rsid w:val="005B755F"/>
    <w:rsid w:val="005B7929"/>
    <w:rsid w:val="005C23AF"/>
    <w:rsid w:val="005C23B2"/>
    <w:rsid w:val="005C25D1"/>
    <w:rsid w:val="005C35A9"/>
    <w:rsid w:val="005C464B"/>
    <w:rsid w:val="005C4E5F"/>
    <w:rsid w:val="005C567F"/>
    <w:rsid w:val="005C60AE"/>
    <w:rsid w:val="005C74A0"/>
    <w:rsid w:val="005C761A"/>
    <w:rsid w:val="005C7B0C"/>
    <w:rsid w:val="005D02A9"/>
    <w:rsid w:val="005D052C"/>
    <w:rsid w:val="005D16FE"/>
    <w:rsid w:val="005D3BF8"/>
    <w:rsid w:val="005D4084"/>
    <w:rsid w:val="005D4777"/>
    <w:rsid w:val="005D4C2B"/>
    <w:rsid w:val="005D5171"/>
    <w:rsid w:val="005E0BB7"/>
    <w:rsid w:val="005E14FA"/>
    <w:rsid w:val="005E1A8A"/>
    <w:rsid w:val="005E2509"/>
    <w:rsid w:val="005E25DC"/>
    <w:rsid w:val="005E33E5"/>
    <w:rsid w:val="005E4A7B"/>
    <w:rsid w:val="005E5DF5"/>
    <w:rsid w:val="005E6B93"/>
    <w:rsid w:val="005E6F5B"/>
    <w:rsid w:val="005E7953"/>
    <w:rsid w:val="005E7E82"/>
    <w:rsid w:val="005F2C42"/>
    <w:rsid w:val="005F6C28"/>
    <w:rsid w:val="005F7AB6"/>
    <w:rsid w:val="005F7E3C"/>
    <w:rsid w:val="005F7FBE"/>
    <w:rsid w:val="00600FA8"/>
    <w:rsid w:val="00604B76"/>
    <w:rsid w:val="00605457"/>
    <w:rsid w:val="006063DA"/>
    <w:rsid w:val="00606CD0"/>
    <w:rsid w:val="00606CE3"/>
    <w:rsid w:val="00607C7F"/>
    <w:rsid w:val="00611DD3"/>
    <w:rsid w:val="00611EF0"/>
    <w:rsid w:val="00612219"/>
    <w:rsid w:val="00612E04"/>
    <w:rsid w:val="006141E5"/>
    <w:rsid w:val="006145B8"/>
    <w:rsid w:val="006173A4"/>
    <w:rsid w:val="00617C44"/>
    <w:rsid w:val="00620086"/>
    <w:rsid w:val="00620A57"/>
    <w:rsid w:val="00622CE4"/>
    <w:rsid w:val="006234A7"/>
    <w:rsid w:val="00623F8E"/>
    <w:rsid w:val="00624142"/>
    <w:rsid w:val="006249B7"/>
    <w:rsid w:val="00625917"/>
    <w:rsid w:val="0062789F"/>
    <w:rsid w:val="006301BE"/>
    <w:rsid w:val="0063096E"/>
    <w:rsid w:val="00630EA1"/>
    <w:rsid w:val="0063221F"/>
    <w:rsid w:val="00633349"/>
    <w:rsid w:val="00633522"/>
    <w:rsid w:val="00633551"/>
    <w:rsid w:val="00633D61"/>
    <w:rsid w:val="0063402B"/>
    <w:rsid w:val="00634578"/>
    <w:rsid w:val="00636570"/>
    <w:rsid w:val="00637859"/>
    <w:rsid w:val="00637901"/>
    <w:rsid w:val="00637E1B"/>
    <w:rsid w:val="006402DF"/>
    <w:rsid w:val="00640CBA"/>
    <w:rsid w:val="0064164B"/>
    <w:rsid w:val="00644468"/>
    <w:rsid w:val="00645F5E"/>
    <w:rsid w:val="006469EE"/>
    <w:rsid w:val="00647B1E"/>
    <w:rsid w:val="00647C55"/>
    <w:rsid w:val="0065008B"/>
    <w:rsid w:val="00651B40"/>
    <w:rsid w:val="00653001"/>
    <w:rsid w:val="00653A3B"/>
    <w:rsid w:val="00653FD9"/>
    <w:rsid w:val="00654D42"/>
    <w:rsid w:val="00655482"/>
    <w:rsid w:val="00656328"/>
    <w:rsid w:val="00660279"/>
    <w:rsid w:val="00660A94"/>
    <w:rsid w:val="006622B9"/>
    <w:rsid w:val="00662E1E"/>
    <w:rsid w:val="0066371E"/>
    <w:rsid w:val="00664D59"/>
    <w:rsid w:val="0066575F"/>
    <w:rsid w:val="006712CE"/>
    <w:rsid w:val="006724AD"/>
    <w:rsid w:val="00672BAB"/>
    <w:rsid w:val="0067314A"/>
    <w:rsid w:val="00673D1E"/>
    <w:rsid w:val="006779CF"/>
    <w:rsid w:val="00677A8F"/>
    <w:rsid w:val="00677D34"/>
    <w:rsid w:val="00677D63"/>
    <w:rsid w:val="00677F8A"/>
    <w:rsid w:val="00680ED6"/>
    <w:rsid w:val="006817C1"/>
    <w:rsid w:val="00681942"/>
    <w:rsid w:val="006821E3"/>
    <w:rsid w:val="0068247A"/>
    <w:rsid w:val="00682FD2"/>
    <w:rsid w:val="00683A17"/>
    <w:rsid w:val="00683AD6"/>
    <w:rsid w:val="006842AE"/>
    <w:rsid w:val="006875BA"/>
    <w:rsid w:val="0069097D"/>
    <w:rsid w:val="00693FEA"/>
    <w:rsid w:val="00694C68"/>
    <w:rsid w:val="0069794F"/>
    <w:rsid w:val="006A0FF2"/>
    <w:rsid w:val="006A136D"/>
    <w:rsid w:val="006A5773"/>
    <w:rsid w:val="006A5804"/>
    <w:rsid w:val="006A58F0"/>
    <w:rsid w:val="006A620A"/>
    <w:rsid w:val="006A6262"/>
    <w:rsid w:val="006A7BFA"/>
    <w:rsid w:val="006B0372"/>
    <w:rsid w:val="006B0764"/>
    <w:rsid w:val="006B081C"/>
    <w:rsid w:val="006B4467"/>
    <w:rsid w:val="006B6C46"/>
    <w:rsid w:val="006B6E78"/>
    <w:rsid w:val="006B796F"/>
    <w:rsid w:val="006B7C3C"/>
    <w:rsid w:val="006C0039"/>
    <w:rsid w:val="006C0EDE"/>
    <w:rsid w:val="006C144D"/>
    <w:rsid w:val="006C1840"/>
    <w:rsid w:val="006C1927"/>
    <w:rsid w:val="006C2585"/>
    <w:rsid w:val="006C3A50"/>
    <w:rsid w:val="006C4008"/>
    <w:rsid w:val="006C4E2C"/>
    <w:rsid w:val="006C5931"/>
    <w:rsid w:val="006C59C7"/>
    <w:rsid w:val="006C73EF"/>
    <w:rsid w:val="006D024B"/>
    <w:rsid w:val="006D1723"/>
    <w:rsid w:val="006D185C"/>
    <w:rsid w:val="006D4359"/>
    <w:rsid w:val="006D5D3F"/>
    <w:rsid w:val="006D60ED"/>
    <w:rsid w:val="006D75DC"/>
    <w:rsid w:val="006E0E33"/>
    <w:rsid w:val="006E1166"/>
    <w:rsid w:val="006E1356"/>
    <w:rsid w:val="006E24D9"/>
    <w:rsid w:val="006E4599"/>
    <w:rsid w:val="006E596E"/>
    <w:rsid w:val="006E65E0"/>
    <w:rsid w:val="006E7450"/>
    <w:rsid w:val="006F033F"/>
    <w:rsid w:val="006F24AE"/>
    <w:rsid w:val="006F24D8"/>
    <w:rsid w:val="006F33B8"/>
    <w:rsid w:val="006F4393"/>
    <w:rsid w:val="006F4C9C"/>
    <w:rsid w:val="006F4DAC"/>
    <w:rsid w:val="006F5B37"/>
    <w:rsid w:val="006F640F"/>
    <w:rsid w:val="006F75E2"/>
    <w:rsid w:val="006F762A"/>
    <w:rsid w:val="00701B6B"/>
    <w:rsid w:val="00702CA2"/>
    <w:rsid w:val="0070384F"/>
    <w:rsid w:val="00703A9E"/>
    <w:rsid w:val="00703D6D"/>
    <w:rsid w:val="00704095"/>
    <w:rsid w:val="00704152"/>
    <w:rsid w:val="00704FB5"/>
    <w:rsid w:val="00706B71"/>
    <w:rsid w:val="0071022A"/>
    <w:rsid w:val="0071277A"/>
    <w:rsid w:val="00712EE5"/>
    <w:rsid w:val="00713493"/>
    <w:rsid w:val="00713494"/>
    <w:rsid w:val="00713741"/>
    <w:rsid w:val="00714031"/>
    <w:rsid w:val="0071412D"/>
    <w:rsid w:val="0071466E"/>
    <w:rsid w:val="00714A6C"/>
    <w:rsid w:val="00714CD3"/>
    <w:rsid w:val="00717B81"/>
    <w:rsid w:val="007204CF"/>
    <w:rsid w:val="007206A8"/>
    <w:rsid w:val="0072116D"/>
    <w:rsid w:val="0072226F"/>
    <w:rsid w:val="0072505D"/>
    <w:rsid w:val="00725B78"/>
    <w:rsid w:val="00727082"/>
    <w:rsid w:val="00730CD7"/>
    <w:rsid w:val="0073233C"/>
    <w:rsid w:val="0073276F"/>
    <w:rsid w:val="00732D0C"/>
    <w:rsid w:val="00733A4A"/>
    <w:rsid w:val="00733EAD"/>
    <w:rsid w:val="00734F54"/>
    <w:rsid w:val="00736D93"/>
    <w:rsid w:val="00737C04"/>
    <w:rsid w:val="00737F64"/>
    <w:rsid w:val="00744110"/>
    <w:rsid w:val="00744595"/>
    <w:rsid w:val="00746B94"/>
    <w:rsid w:val="00747A52"/>
    <w:rsid w:val="00747DB6"/>
    <w:rsid w:val="00750F1E"/>
    <w:rsid w:val="00751963"/>
    <w:rsid w:val="00751C12"/>
    <w:rsid w:val="00752691"/>
    <w:rsid w:val="007528F2"/>
    <w:rsid w:val="007575C4"/>
    <w:rsid w:val="00757D63"/>
    <w:rsid w:val="00762A1B"/>
    <w:rsid w:val="00762BBF"/>
    <w:rsid w:val="00762D6D"/>
    <w:rsid w:val="00763700"/>
    <w:rsid w:val="0076427C"/>
    <w:rsid w:val="00764964"/>
    <w:rsid w:val="00765217"/>
    <w:rsid w:val="007659AA"/>
    <w:rsid w:val="0076621A"/>
    <w:rsid w:val="00766334"/>
    <w:rsid w:val="00766C37"/>
    <w:rsid w:val="0077002B"/>
    <w:rsid w:val="0077266C"/>
    <w:rsid w:val="00772802"/>
    <w:rsid w:val="0077393E"/>
    <w:rsid w:val="00775066"/>
    <w:rsid w:val="00776406"/>
    <w:rsid w:val="0078005A"/>
    <w:rsid w:val="00781B6F"/>
    <w:rsid w:val="00781F9C"/>
    <w:rsid w:val="00782DFD"/>
    <w:rsid w:val="00784424"/>
    <w:rsid w:val="00784D2D"/>
    <w:rsid w:val="0078522D"/>
    <w:rsid w:val="00785474"/>
    <w:rsid w:val="00787B99"/>
    <w:rsid w:val="00791C03"/>
    <w:rsid w:val="007925B6"/>
    <w:rsid w:val="00793179"/>
    <w:rsid w:val="0079421C"/>
    <w:rsid w:val="0079526D"/>
    <w:rsid w:val="00795A2C"/>
    <w:rsid w:val="00797390"/>
    <w:rsid w:val="007A0054"/>
    <w:rsid w:val="007A05B6"/>
    <w:rsid w:val="007A1C0A"/>
    <w:rsid w:val="007A1C59"/>
    <w:rsid w:val="007A2C01"/>
    <w:rsid w:val="007A2C4B"/>
    <w:rsid w:val="007A4791"/>
    <w:rsid w:val="007A50FA"/>
    <w:rsid w:val="007A5B41"/>
    <w:rsid w:val="007B0DE2"/>
    <w:rsid w:val="007B169A"/>
    <w:rsid w:val="007B2D6B"/>
    <w:rsid w:val="007B3A5E"/>
    <w:rsid w:val="007B3A76"/>
    <w:rsid w:val="007B5792"/>
    <w:rsid w:val="007B6F8D"/>
    <w:rsid w:val="007C116E"/>
    <w:rsid w:val="007C31E2"/>
    <w:rsid w:val="007C4600"/>
    <w:rsid w:val="007C5CE1"/>
    <w:rsid w:val="007C6F85"/>
    <w:rsid w:val="007D0569"/>
    <w:rsid w:val="007D1253"/>
    <w:rsid w:val="007D16B1"/>
    <w:rsid w:val="007D19E4"/>
    <w:rsid w:val="007D4441"/>
    <w:rsid w:val="007D4D66"/>
    <w:rsid w:val="007D64B8"/>
    <w:rsid w:val="007D6C5D"/>
    <w:rsid w:val="007D7400"/>
    <w:rsid w:val="007D7761"/>
    <w:rsid w:val="007D7880"/>
    <w:rsid w:val="007D79FF"/>
    <w:rsid w:val="007E02A7"/>
    <w:rsid w:val="007E468A"/>
    <w:rsid w:val="007E51A5"/>
    <w:rsid w:val="007E7F4C"/>
    <w:rsid w:val="007F2EC6"/>
    <w:rsid w:val="007F3018"/>
    <w:rsid w:val="007F328F"/>
    <w:rsid w:val="007F44C2"/>
    <w:rsid w:val="007F478D"/>
    <w:rsid w:val="007F54A6"/>
    <w:rsid w:val="007F6862"/>
    <w:rsid w:val="008013FC"/>
    <w:rsid w:val="00802376"/>
    <w:rsid w:val="008060C3"/>
    <w:rsid w:val="008063A1"/>
    <w:rsid w:val="00806613"/>
    <w:rsid w:val="00807F00"/>
    <w:rsid w:val="00807F73"/>
    <w:rsid w:val="00811021"/>
    <w:rsid w:val="00812095"/>
    <w:rsid w:val="00812104"/>
    <w:rsid w:val="0081324C"/>
    <w:rsid w:val="008134BD"/>
    <w:rsid w:val="00814656"/>
    <w:rsid w:val="00817419"/>
    <w:rsid w:val="00820B9E"/>
    <w:rsid w:val="00820E45"/>
    <w:rsid w:val="00821071"/>
    <w:rsid w:val="00821E2C"/>
    <w:rsid w:val="008221D4"/>
    <w:rsid w:val="00822835"/>
    <w:rsid w:val="008237F9"/>
    <w:rsid w:val="00823BF8"/>
    <w:rsid w:val="00823CDC"/>
    <w:rsid w:val="0082459B"/>
    <w:rsid w:val="00825917"/>
    <w:rsid w:val="00826758"/>
    <w:rsid w:val="008270FC"/>
    <w:rsid w:val="00827FB4"/>
    <w:rsid w:val="008317CD"/>
    <w:rsid w:val="008353E0"/>
    <w:rsid w:val="008365F0"/>
    <w:rsid w:val="00836E4E"/>
    <w:rsid w:val="00840B40"/>
    <w:rsid w:val="00841534"/>
    <w:rsid w:val="00842619"/>
    <w:rsid w:val="00843930"/>
    <w:rsid w:val="0084563E"/>
    <w:rsid w:val="008460B9"/>
    <w:rsid w:val="008462F1"/>
    <w:rsid w:val="00846930"/>
    <w:rsid w:val="00847D4B"/>
    <w:rsid w:val="00850FDE"/>
    <w:rsid w:val="0085112D"/>
    <w:rsid w:val="00851682"/>
    <w:rsid w:val="00852876"/>
    <w:rsid w:val="008543F5"/>
    <w:rsid w:val="00855004"/>
    <w:rsid w:val="00855237"/>
    <w:rsid w:val="008572C4"/>
    <w:rsid w:val="0085733E"/>
    <w:rsid w:val="0085765A"/>
    <w:rsid w:val="008604A8"/>
    <w:rsid w:val="00860E64"/>
    <w:rsid w:val="008615B0"/>
    <w:rsid w:val="008616F7"/>
    <w:rsid w:val="008618C6"/>
    <w:rsid w:val="00861AC2"/>
    <w:rsid w:val="00861AFA"/>
    <w:rsid w:val="00863C61"/>
    <w:rsid w:val="00865522"/>
    <w:rsid w:val="00865ADF"/>
    <w:rsid w:val="00865E57"/>
    <w:rsid w:val="0086623F"/>
    <w:rsid w:val="0086644C"/>
    <w:rsid w:val="008666B5"/>
    <w:rsid w:val="008703B3"/>
    <w:rsid w:val="008729C4"/>
    <w:rsid w:val="00873F27"/>
    <w:rsid w:val="00875D9A"/>
    <w:rsid w:val="00876985"/>
    <w:rsid w:val="008772E6"/>
    <w:rsid w:val="00883780"/>
    <w:rsid w:val="00883B99"/>
    <w:rsid w:val="00884828"/>
    <w:rsid w:val="00885066"/>
    <w:rsid w:val="00885F85"/>
    <w:rsid w:val="0088665E"/>
    <w:rsid w:val="00887F48"/>
    <w:rsid w:val="008919B9"/>
    <w:rsid w:val="00891CD7"/>
    <w:rsid w:val="008923C8"/>
    <w:rsid w:val="008924B5"/>
    <w:rsid w:val="00892CD8"/>
    <w:rsid w:val="00893260"/>
    <w:rsid w:val="008932A8"/>
    <w:rsid w:val="00893756"/>
    <w:rsid w:val="00893D01"/>
    <w:rsid w:val="00893FF1"/>
    <w:rsid w:val="00894A9E"/>
    <w:rsid w:val="008950F6"/>
    <w:rsid w:val="008957A3"/>
    <w:rsid w:val="00896815"/>
    <w:rsid w:val="008A0656"/>
    <w:rsid w:val="008A0744"/>
    <w:rsid w:val="008A07B0"/>
    <w:rsid w:val="008A0A6E"/>
    <w:rsid w:val="008A0D0F"/>
    <w:rsid w:val="008A2CDA"/>
    <w:rsid w:val="008A2EC9"/>
    <w:rsid w:val="008A2FB3"/>
    <w:rsid w:val="008A398B"/>
    <w:rsid w:val="008A49D8"/>
    <w:rsid w:val="008A5601"/>
    <w:rsid w:val="008A59AD"/>
    <w:rsid w:val="008A6FD3"/>
    <w:rsid w:val="008A71FC"/>
    <w:rsid w:val="008B0EEB"/>
    <w:rsid w:val="008B257B"/>
    <w:rsid w:val="008B431D"/>
    <w:rsid w:val="008B51FD"/>
    <w:rsid w:val="008B5789"/>
    <w:rsid w:val="008B6766"/>
    <w:rsid w:val="008B7084"/>
    <w:rsid w:val="008B7186"/>
    <w:rsid w:val="008B7192"/>
    <w:rsid w:val="008B7D98"/>
    <w:rsid w:val="008C054B"/>
    <w:rsid w:val="008C1583"/>
    <w:rsid w:val="008C1939"/>
    <w:rsid w:val="008C1C62"/>
    <w:rsid w:val="008C3396"/>
    <w:rsid w:val="008C47E9"/>
    <w:rsid w:val="008C52D2"/>
    <w:rsid w:val="008C621C"/>
    <w:rsid w:val="008C697C"/>
    <w:rsid w:val="008C7196"/>
    <w:rsid w:val="008C7448"/>
    <w:rsid w:val="008C75ED"/>
    <w:rsid w:val="008C7649"/>
    <w:rsid w:val="008D2433"/>
    <w:rsid w:val="008D4016"/>
    <w:rsid w:val="008D7B54"/>
    <w:rsid w:val="008E0991"/>
    <w:rsid w:val="008E3295"/>
    <w:rsid w:val="008E338E"/>
    <w:rsid w:val="008E57FE"/>
    <w:rsid w:val="008E67C0"/>
    <w:rsid w:val="008E6E59"/>
    <w:rsid w:val="008E7802"/>
    <w:rsid w:val="008F2665"/>
    <w:rsid w:val="008F3A2A"/>
    <w:rsid w:val="008F507E"/>
    <w:rsid w:val="008F5251"/>
    <w:rsid w:val="008F6305"/>
    <w:rsid w:val="008F6376"/>
    <w:rsid w:val="008F672A"/>
    <w:rsid w:val="00900108"/>
    <w:rsid w:val="00900CC2"/>
    <w:rsid w:val="0090143B"/>
    <w:rsid w:val="00901770"/>
    <w:rsid w:val="009019FB"/>
    <w:rsid w:val="00902AA5"/>
    <w:rsid w:val="009052B7"/>
    <w:rsid w:val="00905B05"/>
    <w:rsid w:val="0090681A"/>
    <w:rsid w:val="0090753C"/>
    <w:rsid w:val="009075C0"/>
    <w:rsid w:val="00911B66"/>
    <w:rsid w:val="00912A7E"/>
    <w:rsid w:val="00913C49"/>
    <w:rsid w:val="00915330"/>
    <w:rsid w:val="00916E69"/>
    <w:rsid w:val="00917525"/>
    <w:rsid w:val="0091777D"/>
    <w:rsid w:val="00917C39"/>
    <w:rsid w:val="0092057D"/>
    <w:rsid w:val="009218DE"/>
    <w:rsid w:val="00922D00"/>
    <w:rsid w:val="00923F17"/>
    <w:rsid w:val="009240CC"/>
    <w:rsid w:val="009266DA"/>
    <w:rsid w:val="00926E75"/>
    <w:rsid w:val="00930297"/>
    <w:rsid w:val="00930487"/>
    <w:rsid w:val="00930DE8"/>
    <w:rsid w:val="009318DD"/>
    <w:rsid w:val="00935117"/>
    <w:rsid w:val="00935413"/>
    <w:rsid w:val="00935F5D"/>
    <w:rsid w:val="0093669F"/>
    <w:rsid w:val="009368E0"/>
    <w:rsid w:val="0094183C"/>
    <w:rsid w:val="0094260B"/>
    <w:rsid w:val="00942661"/>
    <w:rsid w:val="00945307"/>
    <w:rsid w:val="0094558D"/>
    <w:rsid w:val="00946828"/>
    <w:rsid w:val="00946FCE"/>
    <w:rsid w:val="009515BC"/>
    <w:rsid w:val="00952519"/>
    <w:rsid w:val="00953187"/>
    <w:rsid w:val="0095349A"/>
    <w:rsid w:val="00953B5B"/>
    <w:rsid w:val="00953ED0"/>
    <w:rsid w:val="00954385"/>
    <w:rsid w:val="0095492E"/>
    <w:rsid w:val="00955F7D"/>
    <w:rsid w:val="00956A85"/>
    <w:rsid w:val="009608A3"/>
    <w:rsid w:val="0096242F"/>
    <w:rsid w:val="00962DA0"/>
    <w:rsid w:val="00962E3B"/>
    <w:rsid w:val="00962E4A"/>
    <w:rsid w:val="00962FF5"/>
    <w:rsid w:val="00964A4E"/>
    <w:rsid w:val="00965B02"/>
    <w:rsid w:val="00965C07"/>
    <w:rsid w:val="00965D2D"/>
    <w:rsid w:val="00970A16"/>
    <w:rsid w:val="00971847"/>
    <w:rsid w:val="009722E3"/>
    <w:rsid w:val="00972964"/>
    <w:rsid w:val="00973D9D"/>
    <w:rsid w:val="00976D2E"/>
    <w:rsid w:val="00977235"/>
    <w:rsid w:val="0097762F"/>
    <w:rsid w:val="009816B8"/>
    <w:rsid w:val="00981BA6"/>
    <w:rsid w:val="009831A1"/>
    <w:rsid w:val="00983B45"/>
    <w:rsid w:val="00983B5C"/>
    <w:rsid w:val="00986EDC"/>
    <w:rsid w:val="0098766F"/>
    <w:rsid w:val="00990D2E"/>
    <w:rsid w:val="00992363"/>
    <w:rsid w:val="009936BF"/>
    <w:rsid w:val="00993912"/>
    <w:rsid w:val="00994050"/>
    <w:rsid w:val="009962CF"/>
    <w:rsid w:val="009969D6"/>
    <w:rsid w:val="009A3CC9"/>
    <w:rsid w:val="009A4543"/>
    <w:rsid w:val="009A5DB1"/>
    <w:rsid w:val="009A7C5A"/>
    <w:rsid w:val="009A7E51"/>
    <w:rsid w:val="009B10BE"/>
    <w:rsid w:val="009B1FB2"/>
    <w:rsid w:val="009B21B9"/>
    <w:rsid w:val="009B2310"/>
    <w:rsid w:val="009B2532"/>
    <w:rsid w:val="009B29C3"/>
    <w:rsid w:val="009B2FAD"/>
    <w:rsid w:val="009B37CB"/>
    <w:rsid w:val="009B45BB"/>
    <w:rsid w:val="009B4CD0"/>
    <w:rsid w:val="009B4DA7"/>
    <w:rsid w:val="009B5650"/>
    <w:rsid w:val="009B5F08"/>
    <w:rsid w:val="009C21C6"/>
    <w:rsid w:val="009C3007"/>
    <w:rsid w:val="009C383B"/>
    <w:rsid w:val="009C3A80"/>
    <w:rsid w:val="009C41EC"/>
    <w:rsid w:val="009C5238"/>
    <w:rsid w:val="009C583D"/>
    <w:rsid w:val="009C7E7E"/>
    <w:rsid w:val="009D12B4"/>
    <w:rsid w:val="009D1E70"/>
    <w:rsid w:val="009D2135"/>
    <w:rsid w:val="009D2FA7"/>
    <w:rsid w:val="009D4CAE"/>
    <w:rsid w:val="009D4EE4"/>
    <w:rsid w:val="009D55F9"/>
    <w:rsid w:val="009D5A11"/>
    <w:rsid w:val="009D5B6D"/>
    <w:rsid w:val="009D6BB6"/>
    <w:rsid w:val="009D765F"/>
    <w:rsid w:val="009D7760"/>
    <w:rsid w:val="009E11A5"/>
    <w:rsid w:val="009E16E6"/>
    <w:rsid w:val="009E1E62"/>
    <w:rsid w:val="009E2953"/>
    <w:rsid w:val="009E29A9"/>
    <w:rsid w:val="009E30CE"/>
    <w:rsid w:val="009E4CDF"/>
    <w:rsid w:val="009E4DFC"/>
    <w:rsid w:val="009E7DDA"/>
    <w:rsid w:val="009E7E1D"/>
    <w:rsid w:val="009F04C3"/>
    <w:rsid w:val="009F0760"/>
    <w:rsid w:val="009F1DAB"/>
    <w:rsid w:val="009F3B29"/>
    <w:rsid w:val="009F4860"/>
    <w:rsid w:val="009F4A2B"/>
    <w:rsid w:val="00A00057"/>
    <w:rsid w:val="00A00485"/>
    <w:rsid w:val="00A01A5F"/>
    <w:rsid w:val="00A025AC"/>
    <w:rsid w:val="00A02C96"/>
    <w:rsid w:val="00A02E65"/>
    <w:rsid w:val="00A0340A"/>
    <w:rsid w:val="00A0440C"/>
    <w:rsid w:val="00A047AE"/>
    <w:rsid w:val="00A05301"/>
    <w:rsid w:val="00A0585F"/>
    <w:rsid w:val="00A0694A"/>
    <w:rsid w:val="00A077AC"/>
    <w:rsid w:val="00A07A33"/>
    <w:rsid w:val="00A10A30"/>
    <w:rsid w:val="00A1137C"/>
    <w:rsid w:val="00A113D7"/>
    <w:rsid w:val="00A11F0F"/>
    <w:rsid w:val="00A11F97"/>
    <w:rsid w:val="00A153D1"/>
    <w:rsid w:val="00A158C7"/>
    <w:rsid w:val="00A1590F"/>
    <w:rsid w:val="00A16126"/>
    <w:rsid w:val="00A16F20"/>
    <w:rsid w:val="00A17B9D"/>
    <w:rsid w:val="00A21C6C"/>
    <w:rsid w:val="00A2365A"/>
    <w:rsid w:val="00A24133"/>
    <w:rsid w:val="00A262BF"/>
    <w:rsid w:val="00A26605"/>
    <w:rsid w:val="00A27809"/>
    <w:rsid w:val="00A30533"/>
    <w:rsid w:val="00A317B0"/>
    <w:rsid w:val="00A32093"/>
    <w:rsid w:val="00A32A28"/>
    <w:rsid w:val="00A34591"/>
    <w:rsid w:val="00A34E44"/>
    <w:rsid w:val="00A35B48"/>
    <w:rsid w:val="00A3640F"/>
    <w:rsid w:val="00A37ECF"/>
    <w:rsid w:val="00A405B0"/>
    <w:rsid w:val="00A40CE2"/>
    <w:rsid w:val="00A41456"/>
    <w:rsid w:val="00A42FAE"/>
    <w:rsid w:val="00A46217"/>
    <w:rsid w:val="00A47176"/>
    <w:rsid w:val="00A475C5"/>
    <w:rsid w:val="00A4768C"/>
    <w:rsid w:val="00A50A68"/>
    <w:rsid w:val="00A50D3B"/>
    <w:rsid w:val="00A50E38"/>
    <w:rsid w:val="00A510C6"/>
    <w:rsid w:val="00A51510"/>
    <w:rsid w:val="00A518AA"/>
    <w:rsid w:val="00A525E7"/>
    <w:rsid w:val="00A526C7"/>
    <w:rsid w:val="00A52E27"/>
    <w:rsid w:val="00A52F9E"/>
    <w:rsid w:val="00A549C3"/>
    <w:rsid w:val="00A55665"/>
    <w:rsid w:val="00A55F63"/>
    <w:rsid w:val="00A56348"/>
    <w:rsid w:val="00A56E46"/>
    <w:rsid w:val="00A5703F"/>
    <w:rsid w:val="00A57390"/>
    <w:rsid w:val="00A57D39"/>
    <w:rsid w:val="00A6316B"/>
    <w:rsid w:val="00A65316"/>
    <w:rsid w:val="00A674FF"/>
    <w:rsid w:val="00A70F69"/>
    <w:rsid w:val="00A72611"/>
    <w:rsid w:val="00A72B53"/>
    <w:rsid w:val="00A73ABB"/>
    <w:rsid w:val="00A751A1"/>
    <w:rsid w:val="00A76D2C"/>
    <w:rsid w:val="00A77746"/>
    <w:rsid w:val="00A806AA"/>
    <w:rsid w:val="00A80AA5"/>
    <w:rsid w:val="00A83BF6"/>
    <w:rsid w:val="00A86E85"/>
    <w:rsid w:val="00A879C6"/>
    <w:rsid w:val="00A87B4F"/>
    <w:rsid w:val="00A87F31"/>
    <w:rsid w:val="00A90D27"/>
    <w:rsid w:val="00A9103B"/>
    <w:rsid w:val="00A91284"/>
    <w:rsid w:val="00A918A7"/>
    <w:rsid w:val="00A92871"/>
    <w:rsid w:val="00A955EB"/>
    <w:rsid w:val="00A9631A"/>
    <w:rsid w:val="00AA1F49"/>
    <w:rsid w:val="00AA3A2E"/>
    <w:rsid w:val="00AA3B1F"/>
    <w:rsid w:val="00AA4099"/>
    <w:rsid w:val="00AA442A"/>
    <w:rsid w:val="00AA514A"/>
    <w:rsid w:val="00AA657B"/>
    <w:rsid w:val="00AA6913"/>
    <w:rsid w:val="00AB2190"/>
    <w:rsid w:val="00AB39EB"/>
    <w:rsid w:val="00AB3F27"/>
    <w:rsid w:val="00AB3FD9"/>
    <w:rsid w:val="00AB49E4"/>
    <w:rsid w:val="00AB62E2"/>
    <w:rsid w:val="00AB7DE7"/>
    <w:rsid w:val="00AC03AB"/>
    <w:rsid w:val="00AC0650"/>
    <w:rsid w:val="00AC1BE7"/>
    <w:rsid w:val="00AC275F"/>
    <w:rsid w:val="00AC3C8E"/>
    <w:rsid w:val="00AC3EE4"/>
    <w:rsid w:val="00AC50A4"/>
    <w:rsid w:val="00AC5912"/>
    <w:rsid w:val="00AC5A95"/>
    <w:rsid w:val="00AC5B98"/>
    <w:rsid w:val="00AC6074"/>
    <w:rsid w:val="00AC6471"/>
    <w:rsid w:val="00AC753C"/>
    <w:rsid w:val="00AC7543"/>
    <w:rsid w:val="00AC7E4A"/>
    <w:rsid w:val="00AD00E2"/>
    <w:rsid w:val="00AD123A"/>
    <w:rsid w:val="00AD1751"/>
    <w:rsid w:val="00AD2B6E"/>
    <w:rsid w:val="00AD3443"/>
    <w:rsid w:val="00AD36E4"/>
    <w:rsid w:val="00AD4B3C"/>
    <w:rsid w:val="00AD598C"/>
    <w:rsid w:val="00AD68A5"/>
    <w:rsid w:val="00AE0AF5"/>
    <w:rsid w:val="00AE185D"/>
    <w:rsid w:val="00AE1BFE"/>
    <w:rsid w:val="00AE3842"/>
    <w:rsid w:val="00AE3D83"/>
    <w:rsid w:val="00AE4374"/>
    <w:rsid w:val="00AE466A"/>
    <w:rsid w:val="00AE485C"/>
    <w:rsid w:val="00AE6192"/>
    <w:rsid w:val="00AE786A"/>
    <w:rsid w:val="00AE7D4F"/>
    <w:rsid w:val="00AE7FE4"/>
    <w:rsid w:val="00AF0117"/>
    <w:rsid w:val="00AF0D96"/>
    <w:rsid w:val="00AF17D3"/>
    <w:rsid w:val="00AF1D77"/>
    <w:rsid w:val="00AF1FDC"/>
    <w:rsid w:val="00AF2559"/>
    <w:rsid w:val="00AF35F9"/>
    <w:rsid w:val="00AF38BA"/>
    <w:rsid w:val="00AF4F67"/>
    <w:rsid w:val="00AF5811"/>
    <w:rsid w:val="00AF59AF"/>
    <w:rsid w:val="00AF6509"/>
    <w:rsid w:val="00AF6775"/>
    <w:rsid w:val="00AF68C7"/>
    <w:rsid w:val="00B00BBE"/>
    <w:rsid w:val="00B0456E"/>
    <w:rsid w:val="00B06A05"/>
    <w:rsid w:val="00B06A06"/>
    <w:rsid w:val="00B06BF6"/>
    <w:rsid w:val="00B06F7F"/>
    <w:rsid w:val="00B100F0"/>
    <w:rsid w:val="00B102BA"/>
    <w:rsid w:val="00B12999"/>
    <w:rsid w:val="00B12CD7"/>
    <w:rsid w:val="00B1402E"/>
    <w:rsid w:val="00B14865"/>
    <w:rsid w:val="00B15B0E"/>
    <w:rsid w:val="00B17A2B"/>
    <w:rsid w:val="00B17A70"/>
    <w:rsid w:val="00B17D08"/>
    <w:rsid w:val="00B2033F"/>
    <w:rsid w:val="00B21D50"/>
    <w:rsid w:val="00B22F9B"/>
    <w:rsid w:val="00B23747"/>
    <w:rsid w:val="00B23E0A"/>
    <w:rsid w:val="00B24090"/>
    <w:rsid w:val="00B257E3"/>
    <w:rsid w:val="00B260C7"/>
    <w:rsid w:val="00B27494"/>
    <w:rsid w:val="00B279B9"/>
    <w:rsid w:val="00B27B78"/>
    <w:rsid w:val="00B27BFD"/>
    <w:rsid w:val="00B33189"/>
    <w:rsid w:val="00B338AD"/>
    <w:rsid w:val="00B34F48"/>
    <w:rsid w:val="00B36A73"/>
    <w:rsid w:val="00B402CA"/>
    <w:rsid w:val="00B41F49"/>
    <w:rsid w:val="00B4312B"/>
    <w:rsid w:val="00B43339"/>
    <w:rsid w:val="00B461EA"/>
    <w:rsid w:val="00B51BA0"/>
    <w:rsid w:val="00B52DDC"/>
    <w:rsid w:val="00B535BD"/>
    <w:rsid w:val="00B53701"/>
    <w:rsid w:val="00B53ADD"/>
    <w:rsid w:val="00B56A26"/>
    <w:rsid w:val="00B57E90"/>
    <w:rsid w:val="00B6021A"/>
    <w:rsid w:val="00B6110A"/>
    <w:rsid w:val="00B6176A"/>
    <w:rsid w:val="00B6301A"/>
    <w:rsid w:val="00B64CAD"/>
    <w:rsid w:val="00B651FA"/>
    <w:rsid w:val="00B65FE1"/>
    <w:rsid w:val="00B66751"/>
    <w:rsid w:val="00B6682E"/>
    <w:rsid w:val="00B66A18"/>
    <w:rsid w:val="00B67AA6"/>
    <w:rsid w:val="00B7066C"/>
    <w:rsid w:val="00B717D8"/>
    <w:rsid w:val="00B72DF3"/>
    <w:rsid w:val="00B74146"/>
    <w:rsid w:val="00B75140"/>
    <w:rsid w:val="00B76F6C"/>
    <w:rsid w:val="00B77154"/>
    <w:rsid w:val="00B8080B"/>
    <w:rsid w:val="00B811EF"/>
    <w:rsid w:val="00B81459"/>
    <w:rsid w:val="00B81808"/>
    <w:rsid w:val="00B81EF3"/>
    <w:rsid w:val="00B831B9"/>
    <w:rsid w:val="00B83DFE"/>
    <w:rsid w:val="00B84988"/>
    <w:rsid w:val="00B86EF1"/>
    <w:rsid w:val="00B90674"/>
    <w:rsid w:val="00B90A0B"/>
    <w:rsid w:val="00B91477"/>
    <w:rsid w:val="00B91643"/>
    <w:rsid w:val="00B91FFF"/>
    <w:rsid w:val="00B934E3"/>
    <w:rsid w:val="00B94323"/>
    <w:rsid w:val="00B94444"/>
    <w:rsid w:val="00B9566B"/>
    <w:rsid w:val="00B95F92"/>
    <w:rsid w:val="00B961B7"/>
    <w:rsid w:val="00B963D4"/>
    <w:rsid w:val="00B9772B"/>
    <w:rsid w:val="00BA2599"/>
    <w:rsid w:val="00BA2DEF"/>
    <w:rsid w:val="00BA35F2"/>
    <w:rsid w:val="00BA3EAC"/>
    <w:rsid w:val="00BA42FB"/>
    <w:rsid w:val="00BA4768"/>
    <w:rsid w:val="00BA4A92"/>
    <w:rsid w:val="00BA516F"/>
    <w:rsid w:val="00BA628C"/>
    <w:rsid w:val="00BA7059"/>
    <w:rsid w:val="00BB0051"/>
    <w:rsid w:val="00BB02C6"/>
    <w:rsid w:val="00BB1082"/>
    <w:rsid w:val="00BB1E41"/>
    <w:rsid w:val="00BB2127"/>
    <w:rsid w:val="00BB274B"/>
    <w:rsid w:val="00BB3805"/>
    <w:rsid w:val="00BB4589"/>
    <w:rsid w:val="00BB52A5"/>
    <w:rsid w:val="00BB5893"/>
    <w:rsid w:val="00BB6740"/>
    <w:rsid w:val="00BB6E39"/>
    <w:rsid w:val="00BB7EA1"/>
    <w:rsid w:val="00BB7F81"/>
    <w:rsid w:val="00BC18B3"/>
    <w:rsid w:val="00BC269B"/>
    <w:rsid w:val="00BC27D2"/>
    <w:rsid w:val="00BC3C2F"/>
    <w:rsid w:val="00BC7755"/>
    <w:rsid w:val="00BD0437"/>
    <w:rsid w:val="00BD0651"/>
    <w:rsid w:val="00BD13D4"/>
    <w:rsid w:val="00BD35E1"/>
    <w:rsid w:val="00BD40C4"/>
    <w:rsid w:val="00BD54FC"/>
    <w:rsid w:val="00BD63C3"/>
    <w:rsid w:val="00BD67CE"/>
    <w:rsid w:val="00BD76A4"/>
    <w:rsid w:val="00BE1C8A"/>
    <w:rsid w:val="00BE3CF4"/>
    <w:rsid w:val="00BE3FC6"/>
    <w:rsid w:val="00BE4857"/>
    <w:rsid w:val="00BE4EE0"/>
    <w:rsid w:val="00BE5847"/>
    <w:rsid w:val="00BE5BE0"/>
    <w:rsid w:val="00BE697B"/>
    <w:rsid w:val="00BE70E8"/>
    <w:rsid w:val="00BF0C38"/>
    <w:rsid w:val="00BF0E76"/>
    <w:rsid w:val="00BF19DC"/>
    <w:rsid w:val="00BF2B3E"/>
    <w:rsid w:val="00BF2D28"/>
    <w:rsid w:val="00BF2DAF"/>
    <w:rsid w:val="00BF427D"/>
    <w:rsid w:val="00BF4E1B"/>
    <w:rsid w:val="00BF5151"/>
    <w:rsid w:val="00BF5178"/>
    <w:rsid w:val="00C01083"/>
    <w:rsid w:val="00C04146"/>
    <w:rsid w:val="00C046A8"/>
    <w:rsid w:val="00C0480F"/>
    <w:rsid w:val="00C06F52"/>
    <w:rsid w:val="00C1043C"/>
    <w:rsid w:val="00C122DC"/>
    <w:rsid w:val="00C12A51"/>
    <w:rsid w:val="00C12CD1"/>
    <w:rsid w:val="00C137A3"/>
    <w:rsid w:val="00C1591E"/>
    <w:rsid w:val="00C15CA4"/>
    <w:rsid w:val="00C1700D"/>
    <w:rsid w:val="00C173EE"/>
    <w:rsid w:val="00C17F6B"/>
    <w:rsid w:val="00C20D36"/>
    <w:rsid w:val="00C20D5E"/>
    <w:rsid w:val="00C21038"/>
    <w:rsid w:val="00C2267B"/>
    <w:rsid w:val="00C2286B"/>
    <w:rsid w:val="00C23340"/>
    <w:rsid w:val="00C2396B"/>
    <w:rsid w:val="00C26865"/>
    <w:rsid w:val="00C2785F"/>
    <w:rsid w:val="00C30BA6"/>
    <w:rsid w:val="00C31467"/>
    <w:rsid w:val="00C32423"/>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5D88"/>
    <w:rsid w:val="00C46461"/>
    <w:rsid w:val="00C4694A"/>
    <w:rsid w:val="00C46E94"/>
    <w:rsid w:val="00C4713F"/>
    <w:rsid w:val="00C47C9B"/>
    <w:rsid w:val="00C52097"/>
    <w:rsid w:val="00C52BA5"/>
    <w:rsid w:val="00C52F47"/>
    <w:rsid w:val="00C53323"/>
    <w:rsid w:val="00C54D8C"/>
    <w:rsid w:val="00C57493"/>
    <w:rsid w:val="00C574C1"/>
    <w:rsid w:val="00C605E6"/>
    <w:rsid w:val="00C64D07"/>
    <w:rsid w:val="00C65F89"/>
    <w:rsid w:val="00C66CEF"/>
    <w:rsid w:val="00C670FE"/>
    <w:rsid w:val="00C71087"/>
    <w:rsid w:val="00C71C6E"/>
    <w:rsid w:val="00C71E3C"/>
    <w:rsid w:val="00C73C17"/>
    <w:rsid w:val="00C74D93"/>
    <w:rsid w:val="00C75492"/>
    <w:rsid w:val="00C77C78"/>
    <w:rsid w:val="00C8146C"/>
    <w:rsid w:val="00C8231E"/>
    <w:rsid w:val="00C846DD"/>
    <w:rsid w:val="00C8493C"/>
    <w:rsid w:val="00C85CA6"/>
    <w:rsid w:val="00C873DA"/>
    <w:rsid w:val="00C87572"/>
    <w:rsid w:val="00C90604"/>
    <w:rsid w:val="00C90A7F"/>
    <w:rsid w:val="00C9147E"/>
    <w:rsid w:val="00C91755"/>
    <w:rsid w:val="00C91CE0"/>
    <w:rsid w:val="00C925ED"/>
    <w:rsid w:val="00C92AED"/>
    <w:rsid w:val="00C9339F"/>
    <w:rsid w:val="00C93E6C"/>
    <w:rsid w:val="00C96A10"/>
    <w:rsid w:val="00C9753B"/>
    <w:rsid w:val="00CA0C87"/>
    <w:rsid w:val="00CA1860"/>
    <w:rsid w:val="00CA19CD"/>
    <w:rsid w:val="00CA32B7"/>
    <w:rsid w:val="00CA4A62"/>
    <w:rsid w:val="00CA561E"/>
    <w:rsid w:val="00CA5B58"/>
    <w:rsid w:val="00CA659E"/>
    <w:rsid w:val="00CB0C51"/>
    <w:rsid w:val="00CB23DD"/>
    <w:rsid w:val="00CB24BE"/>
    <w:rsid w:val="00CB2757"/>
    <w:rsid w:val="00CB2FE7"/>
    <w:rsid w:val="00CB3B57"/>
    <w:rsid w:val="00CB42AE"/>
    <w:rsid w:val="00CB6768"/>
    <w:rsid w:val="00CB793A"/>
    <w:rsid w:val="00CC05E9"/>
    <w:rsid w:val="00CC17DB"/>
    <w:rsid w:val="00CC2F01"/>
    <w:rsid w:val="00CC4B25"/>
    <w:rsid w:val="00CC6453"/>
    <w:rsid w:val="00CC7685"/>
    <w:rsid w:val="00CD0DB9"/>
    <w:rsid w:val="00CD276D"/>
    <w:rsid w:val="00CD2D8A"/>
    <w:rsid w:val="00CD31EA"/>
    <w:rsid w:val="00CD4874"/>
    <w:rsid w:val="00CD602B"/>
    <w:rsid w:val="00CD692F"/>
    <w:rsid w:val="00CE0392"/>
    <w:rsid w:val="00CE0D22"/>
    <w:rsid w:val="00CE1A13"/>
    <w:rsid w:val="00CE2303"/>
    <w:rsid w:val="00CE28AE"/>
    <w:rsid w:val="00CE5481"/>
    <w:rsid w:val="00CE564B"/>
    <w:rsid w:val="00CE5866"/>
    <w:rsid w:val="00CF003F"/>
    <w:rsid w:val="00CF0045"/>
    <w:rsid w:val="00CF1A36"/>
    <w:rsid w:val="00CF209B"/>
    <w:rsid w:val="00CF3A9F"/>
    <w:rsid w:val="00CF60FB"/>
    <w:rsid w:val="00CF7194"/>
    <w:rsid w:val="00CF7C90"/>
    <w:rsid w:val="00CF7EA0"/>
    <w:rsid w:val="00D00600"/>
    <w:rsid w:val="00D00A29"/>
    <w:rsid w:val="00D02612"/>
    <w:rsid w:val="00D0329F"/>
    <w:rsid w:val="00D04BA0"/>
    <w:rsid w:val="00D04DAA"/>
    <w:rsid w:val="00D04F9C"/>
    <w:rsid w:val="00D06299"/>
    <w:rsid w:val="00D07EA9"/>
    <w:rsid w:val="00D1045D"/>
    <w:rsid w:val="00D111F3"/>
    <w:rsid w:val="00D1338F"/>
    <w:rsid w:val="00D133AA"/>
    <w:rsid w:val="00D13B0B"/>
    <w:rsid w:val="00D13CCF"/>
    <w:rsid w:val="00D14CF7"/>
    <w:rsid w:val="00D1576E"/>
    <w:rsid w:val="00D15E67"/>
    <w:rsid w:val="00D162E1"/>
    <w:rsid w:val="00D16E90"/>
    <w:rsid w:val="00D177A9"/>
    <w:rsid w:val="00D2085A"/>
    <w:rsid w:val="00D20ABB"/>
    <w:rsid w:val="00D2263F"/>
    <w:rsid w:val="00D24AEE"/>
    <w:rsid w:val="00D26A33"/>
    <w:rsid w:val="00D27730"/>
    <w:rsid w:val="00D3073E"/>
    <w:rsid w:val="00D31676"/>
    <w:rsid w:val="00D316C8"/>
    <w:rsid w:val="00D337D5"/>
    <w:rsid w:val="00D34817"/>
    <w:rsid w:val="00D35579"/>
    <w:rsid w:val="00D365BB"/>
    <w:rsid w:val="00D369DD"/>
    <w:rsid w:val="00D3795A"/>
    <w:rsid w:val="00D37AB5"/>
    <w:rsid w:val="00D40C74"/>
    <w:rsid w:val="00D43282"/>
    <w:rsid w:val="00D43EA4"/>
    <w:rsid w:val="00D44508"/>
    <w:rsid w:val="00D456AF"/>
    <w:rsid w:val="00D47810"/>
    <w:rsid w:val="00D47B0C"/>
    <w:rsid w:val="00D50907"/>
    <w:rsid w:val="00D5128E"/>
    <w:rsid w:val="00D52FD0"/>
    <w:rsid w:val="00D53406"/>
    <w:rsid w:val="00D54385"/>
    <w:rsid w:val="00D5524D"/>
    <w:rsid w:val="00D5554F"/>
    <w:rsid w:val="00D555D6"/>
    <w:rsid w:val="00D6259C"/>
    <w:rsid w:val="00D6359D"/>
    <w:rsid w:val="00D63B91"/>
    <w:rsid w:val="00D64A4A"/>
    <w:rsid w:val="00D64C6F"/>
    <w:rsid w:val="00D65ABA"/>
    <w:rsid w:val="00D65E2A"/>
    <w:rsid w:val="00D6615A"/>
    <w:rsid w:val="00D6679C"/>
    <w:rsid w:val="00D671A0"/>
    <w:rsid w:val="00D72F5D"/>
    <w:rsid w:val="00D73AB0"/>
    <w:rsid w:val="00D73D01"/>
    <w:rsid w:val="00D73EE6"/>
    <w:rsid w:val="00D741C7"/>
    <w:rsid w:val="00D742D2"/>
    <w:rsid w:val="00D744DC"/>
    <w:rsid w:val="00D75530"/>
    <w:rsid w:val="00D75CF7"/>
    <w:rsid w:val="00D75F59"/>
    <w:rsid w:val="00D762DA"/>
    <w:rsid w:val="00D776C3"/>
    <w:rsid w:val="00D80153"/>
    <w:rsid w:val="00D809BA"/>
    <w:rsid w:val="00D81AC7"/>
    <w:rsid w:val="00D83E45"/>
    <w:rsid w:val="00D842CD"/>
    <w:rsid w:val="00D8495C"/>
    <w:rsid w:val="00D86737"/>
    <w:rsid w:val="00D8696A"/>
    <w:rsid w:val="00D902BC"/>
    <w:rsid w:val="00D90F5A"/>
    <w:rsid w:val="00D9153B"/>
    <w:rsid w:val="00D93339"/>
    <w:rsid w:val="00D95903"/>
    <w:rsid w:val="00D95D78"/>
    <w:rsid w:val="00D96154"/>
    <w:rsid w:val="00DA0810"/>
    <w:rsid w:val="00DA16A9"/>
    <w:rsid w:val="00DA3FCE"/>
    <w:rsid w:val="00DB1865"/>
    <w:rsid w:val="00DB2BE7"/>
    <w:rsid w:val="00DB4203"/>
    <w:rsid w:val="00DB422B"/>
    <w:rsid w:val="00DB4972"/>
    <w:rsid w:val="00DB7CA1"/>
    <w:rsid w:val="00DC094F"/>
    <w:rsid w:val="00DC11B6"/>
    <w:rsid w:val="00DC1F68"/>
    <w:rsid w:val="00DC207B"/>
    <w:rsid w:val="00DC24B5"/>
    <w:rsid w:val="00DC25DA"/>
    <w:rsid w:val="00DC3286"/>
    <w:rsid w:val="00DC4C59"/>
    <w:rsid w:val="00DC4FBE"/>
    <w:rsid w:val="00DC5149"/>
    <w:rsid w:val="00DC68E1"/>
    <w:rsid w:val="00DC7FCE"/>
    <w:rsid w:val="00DD0AF8"/>
    <w:rsid w:val="00DD1B88"/>
    <w:rsid w:val="00DD240C"/>
    <w:rsid w:val="00DD334C"/>
    <w:rsid w:val="00DD3C08"/>
    <w:rsid w:val="00DD3C1F"/>
    <w:rsid w:val="00DE0476"/>
    <w:rsid w:val="00DE1A1A"/>
    <w:rsid w:val="00DE1B2F"/>
    <w:rsid w:val="00DE1C5A"/>
    <w:rsid w:val="00DE2AAC"/>
    <w:rsid w:val="00DE501D"/>
    <w:rsid w:val="00DE5AE8"/>
    <w:rsid w:val="00DE5E04"/>
    <w:rsid w:val="00DE6634"/>
    <w:rsid w:val="00DF09CC"/>
    <w:rsid w:val="00DF1125"/>
    <w:rsid w:val="00DF27AC"/>
    <w:rsid w:val="00DF28E7"/>
    <w:rsid w:val="00DF2CD6"/>
    <w:rsid w:val="00DF2FD1"/>
    <w:rsid w:val="00DF399A"/>
    <w:rsid w:val="00DF447B"/>
    <w:rsid w:val="00DF6280"/>
    <w:rsid w:val="00DF7B14"/>
    <w:rsid w:val="00E00009"/>
    <w:rsid w:val="00E01EF4"/>
    <w:rsid w:val="00E02CF2"/>
    <w:rsid w:val="00E04947"/>
    <w:rsid w:val="00E069F7"/>
    <w:rsid w:val="00E06C35"/>
    <w:rsid w:val="00E0710D"/>
    <w:rsid w:val="00E07651"/>
    <w:rsid w:val="00E07F71"/>
    <w:rsid w:val="00E114D8"/>
    <w:rsid w:val="00E1256E"/>
    <w:rsid w:val="00E12F82"/>
    <w:rsid w:val="00E1347F"/>
    <w:rsid w:val="00E15485"/>
    <w:rsid w:val="00E1621B"/>
    <w:rsid w:val="00E16252"/>
    <w:rsid w:val="00E21114"/>
    <w:rsid w:val="00E22843"/>
    <w:rsid w:val="00E22B84"/>
    <w:rsid w:val="00E24A80"/>
    <w:rsid w:val="00E25609"/>
    <w:rsid w:val="00E26045"/>
    <w:rsid w:val="00E26BDB"/>
    <w:rsid w:val="00E27304"/>
    <w:rsid w:val="00E27B77"/>
    <w:rsid w:val="00E304D5"/>
    <w:rsid w:val="00E308EE"/>
    <w:rsid w:val="00E32112"/>
    <w:rsid w:val="00E321A9"/>
    <w:rsid w:val="00E33084"/>
    <w:rsid w:val="00E337F5"/>
    <w:rsid w:val="00E339E4"/>
    <w:rsid w:val="00E34593"/>
    <w:rsid w:val="00E34EBC"/>
    <w:rsid w:val="00E3570D"/>
    <w:rsid w:val="00E37211"/>
    <w:rsid w:val="00E37848"/>
    <w:rsid w:val="00E4034D"/>
    <w:rsid w:val="00E404B3"/>
    <w:rsid w:val="00E40AD0"/>
    <w:rsid w:val="00E41018"/>
    <w:rsid w:val="00E41EE7"/>
    <w:rsid w:val="00E42084"/>
    <w:rsid w:val="00E42BF9"/>
    <w:rsid w:val="00E4376D"/>
    <w:rsid w:val="00E44854"/>
    <w:rsid w:val="00E4642C"/>
    <w:rsid w:val="00E477C2"/>
    <w:rsid w:val="00E52A5D"/>
    <w:rsid w:val="00E55808"/>
    <w:rsid w:val="00E5596F"/>
    <w:rsid w:val="00E559EA"/>
    <w:rsid w:val="00E5696D"/>
    <w:rsid w:val="00E56CA9"/>
    <w:rsid w:val="00E56E45"/>
    <w:rsid w:val="00E57937"/>
    <w:rsid w:val="00E60A9E"/>
    <w:rsid w:val="00E6161C"/>
    <w:rsid w:val="00E62C1C"/>
    <w:rsid w:val="00E62DEC"/>
    <w:rsid w:val="00E62E1D"/>
    <w:rsid w:val="00E63233"/>
    <w:rsid w:val="00E63FE6"/>
    <w:rsid w:val="00E6401F"/>
    <w:rsid w:val="00E65616"/>
    <w:rsid w:val="00E65960"/>
    <w:rsid w:val="00E65F8A"/>
    <w:rsid w:val="00E66ECB"/>
    <w:rsid w:val="00E672BE"/>
    <w:rsid w:val="00E67486"/>
    <w:rsid w:val="00E6791D"/>
    <w:rsid w:val="00E727CE"/>
    <w:rsid w:val="00E72A75"/>
    <w:rsid w:val="00E73D84"/>
    <w:rsid w:val="00E749E1"/>
    <w:rsid w:val="00E773F5"/>
    <w:rsid w:val="00E8007A"/>
    <w:rsid w:val="00E80578"/>
    <w:rsid w:val="00E80B43"/>
    <w:rsid w:val="00E81EEA"/>
    <w:rsid w:val="00E833CB"/>
    <w:rsid w:val="00E83995"/>
    <w:rsid w:val="00E83CBA"/>
    <w:rsid w:val="00E83D2E"/>
    <w:rsid w:val="00E83FB2"/>
    <w:rsid w:val="00E844D4"/>
    <w:rsid w:val="00E84728"/>
    <w:rsid w:val="00E85274"/>
    <w:rsid w:val="00E86C0C"/>
    <w:rsid w:val="00E87DEF"/>
    <w:rsid w:val="00E90245"/>
    <w:rsid w:val="00E90615"/>
    <w:rsid w:val="00E918EB"/>
    <w:rsid w:val="00E91FE0"/>
    <w:rsid w:val="00E95AC2"/>
    <w:rsid w:val="00E95C91"/>
    <w:rsid w:val="00E97167"/>
    <w:rsid w:val="00E97178"/>
    <w:rsid w:val="00E97DBB"/>
    <w:rsid w:val="00EA0169"/>
    <w:rsid w:val="00EA093A"/>
    <w:rsid w:val="00EA219A"/>
    <w:rsid w:val="00EA2682"/>
    <w:rsid w:val="00EA2B3F"/>
    <w:rsid w:val="00EA3781"/>
    <w:rsid w:val="00EA4D22"/>
    <w:rsid w:val="00EA5023"/>
    <w:rsid w:val="00EA60DE"/>
    <w:rsid w:val="00EA7061"/>
    <w:rsid w:val="00EA7C5B"/>
    <w:rsid w:val="00EB0838"/>
    <w:rsid w:val="00EB13FE"/>
    <w:rsid w:val="00EB18FC"/>
    <w:rsid w:val="00EB1AC6"/>
    <w:rsid w:val="00EB254B"/>
    <w:rsid w:val="00EB39F1"/>
    <w:rsid w:val="00EB3D41"/>
    <w:rsid w:val="00EB460F"/>
    <w:rsid w:val="00EB472E"/>
    <w:rsid w:val="00EB5434"/>
    <w:rsid w:val="00EB5538"/>
    <w:rsid w:val="00EB5D6C"/>
    <w:rsid w:val="00EB678C"/>
    <w:rsid w:val="00EB6A9B"/>
    <w:rsid w:val="00EB7465"/>
    <w:rsid w:val="00EB76D6"/>
    <w:rsid w:val="00EC0178"/>
    <w:rsid w:val="00EC049F"/>
    <w:rsid w:val="00EC11E3"/>
    <w:rsid w:val="00EC1F59"/>
    <w:rsid w:val="00EC29B5"/>
    <w:rsid w:val="00EC2D32"/>
    <w:rsid w:val="00EC32A4"/>
    <w:rsid w:val="00EC5966"/>
    <w:rsid w:val="00EC5E93"/>
    <w:rsid w:val="00EC6BCA"/>
    <w:rsid w:val="00ED024E"/>
    <w:rsid w:val="00ED02E6"/>
    <w:rsid w:val="00ED1859"/>
    <w:rsid w:val="00ED194C"/>
    <w:rsid w:val="00ED1CD2"/>
    <w:rsid w:val="00ED2C26"/>
    <w:rsid w:val="00ED379F"/>
    <w:rsid w:val="00ED382D"/>
    <w:rsid w:val="00ED3898"/>
    <w:rsid w:val="00ED5EC2"/>
    <w:rsid w:val="00ED74E8"/>
    <w:rsid w:val="00EE0DF2"/>
    <w:rsid w:val="00EE1124"/>
    <w:rsid w:val="00EE21DD"/>
    <w:rsid w:val="00EE56DF"/>
    <w:rsid w:val="00EE5ED7"/>
    <w:rsid w:val="00EE64CC"/>
    <w:rsid w:val="00EE678C"/>
    <w:rsid w:val="00EE690B"/>
    <w:rsid w:val="00EE6D6B"/>
    <w:rsid w:val="00EF1A24"/>
    <w:rsid w:val="00EF1BF1"/>
    <w:rsid w:val="00EF2416"/>
    <w:rsid w:val="00EF50B9"/>
    <w:rsid w:val="00EF65F8"/>
    <w:rsid w:val="00EF71E1"/>
    <w:rsid w:val="00F01BD5"/>
    <w:rsid w:val="00F024E3"/>
    <w:rsid w:val="00F0264E"/>
    <w:rsid w:val="00F02815"/>
    <w:rsid w:val="00F035BF"/>
    <w:rsid w:val="00F05EAF"/>
    <w:rsid w:val="00F06805"/>
    <w:rsid w:val="00F06D7C"/>
    <w:rsid w:val="00F1049D"/>
    <w:rsid w:val="00F119F0"/>
    <w:rsid w:val="00F11D92"/>
    <w:rsid w:val="00F139E3"/>
    <w:rsid w:val="00F147FD"/>
    <w:rsid w:val="00F14F57"/>
    <w:rsid w:val="00F15FC1"/>
    <w:rsid w:val="00F166CE"/>
    <w:rsid w:val="00F17762"/>
    <w:rsid w:val="00F23C5A"/>
    <w:rsid w:val="00F23E91"/>
    <w:rsid w:val="00F23ECE"/>
    <w:rsid w:val="00F25453"/>
    <w:rsid w:val="00F261BC"/>
    <w:rsid w:val="00F277D4"/>
    <w:rsid w:val="00F31104"/>
    <w:rsid w:val="00F33E65"/>
    <w:rsid w:val="00F34852"/>
    <w:rsid w:val="00F34E93"/>
    <w:rsid w:val="00F36B07"/>
    <w:rsid w:val="00F40D9B"/>
    <w:rsid w:val="00F414F3"/>
    <w:rsid w:val="00F43F5A"/>
    <w:rsid w:val="00F44511"/>
    <w:rsid w:val="00F4474B"/>
    <w:rsid w:val="00F5097D"/>
    <w:rsid w:val="00F513E5"/>
    <w:rsid w:val="00F5219B"/>
    <w:rsid w:val="00F52FB9"/>
    <w:rsid w:val="00F53138"/>
    <w:rsid w:val="00F534C0"/>
    <w:rsid w:val="00F5491E"/>
    <w:rsid w:val="00F54930"/>
    <w:rsid w:val="00F5523B"/>
    <w:rsid w:val="00F623B6"/>
    <w:rsid w:val="00F6280F"/>
    <w:rsid w:val="00F62819"/>
    <w:rsid w:val="00F63536"/>
    <w:rsid w:val="00F6394B"/>
    <w:rsid w:val="00F6653B"/>
    <w:rsid w:val="00F708D9"/>
    <w:rsid w:val="00F720FB"/>
    <w:rsid w:val="00F721C2"/>
    <w:rsid w:val="00F7283A"/>
    <w:rsid w:val="00F73044"/>
    <w:rsid w:val="00F80602"/>
    <w:rsid w:val="00F81376"/>
    <w:rsid w:val="00F82F4C"/>
    <w:rsid w:val="00F8396F"/>
    <w:rsid w:val="00F84C20"/>
    <w:rsid w:val="00F85130"/>
    <w:rsid w:val="00F85A8E"/>
    <w:rsid w:val="00F87614"/>
    <w:rsid w:val="00F876EA"/>
    <w:rsid w:val="00F91066"/>
    <w:rsid w:val="00F9187A"/>
    <w:rsid w:val="00F92112"/>
    <w:rsid w:val="00F9230A"/>
    <w:rsid w:val="00F92366"/>
    <w:rsid w:val="00F92753"/>
    <w:rsid w:val="00F93745"/>
    <w:rsid w:val="00F93A1F"/>
    <w:rsid w:val="00F9598E"/>
    <w:rsid w:val="00F96065"/>
    <w:rsid w:val="00F96B32"/>
    <w:rsid w:val="00F97352"/>
    <w:rsid w:val="00F9735A"/>
    <w:rsid w:val="00F979B5"/>
    <w:rsid w:val="00FA42F4"/>
    <w:rsid w:val="00FA6502"/>
    <w:rsid w:val="00FB0730"/>
    <w:rsid w:val="00FB0BC1"/>
    <w:rsid w:val="00FB14A0"/>
    <w:rsid w:val="00FB2C68"/>
    <w:rsid w:val="00FB4E4A"/>
    <w:rsid w:val="00FB5170"/>
    <w:rsid w:val="00FB5DB5"/>
    <w:rsid w:val="00FB6D3A"/>
    <w:rsid w:val="00FB7924"/>
    <w:rsid w:val="00FB7F35"/>
    <w:rsid w:val="00FC0B86"/>
    <w:rsid w:val="00FC11D6"/>
    <w:rsid w:val="00FC1A9B"/>
    <w:rsid w:val="00FC2AB4"/>
    <w:rsid w:val="00FC4283"/>
    <w:rsid w:val="00FC48DD"/>
    <w:rsid w:val="00FC55C3"/>
    <w:rsid w:val="00FC569E"/>
    <w:rsid w:val="00FC67E5"/>
    <w:rsid w:val="00FC6BFF"/>
    <w:rsid w:val="00FC7B5F"/>
    <w:rsid w:val="00FD04EB"/>
    <w:rsid w:val="00FD0FE6"/>
    <w:rsid w:val="00FD1036"/>
    <w:rsid w:val="00FD131D"/>
    <w:rsid w:val="00FD2DC3"/>
    <w:rsid w:val="00FD3F28"/>
    <w:rsid w:val="00FD5177"/>
    <w:rsid w:val="00FD551C"/>
    <w:rsid w:val="00FE007B"/>
    <w:rsid w:val="00FE1A45"/>
    <w:rsid w:val="00FE35E1"/>
    <w:rsid w:val="00FE3AFC"/>
    <w:rsid w:val="00FE4105"/>
    <w:rsid w:val="00FE5A98"/>
    <w:rsid w:val="00FE6D86"/>
    <w:rsid w:val="00FF0558"/>
    <w:rsid w:val="00FF0DA7"/>
    <w:rsid w:val="00FF1836"/>
    <w:rsid w:val="00FF29CC"/>
    <w:rsid w:val="00FF3276"/>
    <w:rsid w:val="00FF3C71"/>
    <w:rsid w:val="00FF4397"/>
    <w:rsid w:val="00FF57A6"/>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781E72"/>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NormalWeb">
    <w:name w:val="Normal (Web)"/>
    <w:basedOn w:val="Normal"/>
    <w:uiPriority w:val="99"/>
    <w:unhideWhenUsed/>
    <w:rsid w:val="002765BC"/>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FF1836"/>
    <w:rPr>
      <w:color w:val="808080"/>
      <w:shd w:val="clear" w:color="auto" w:fill="E6E6E6"/>
    </w:rPr>
  </w:style>
  <w:style w:type="character" w:customStyle="1" w:styleId="A5">
    <w:name w:val="A5"/>
    <w:uiPriority w:val="99"/>
    <w:rsid w:val="006B7C3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POPP-11-2424</_dlc_DocId>
    <_dlc_DocIdUrl xmlns="8264c5cc-ec60-4b56-8111-ce635d3d139a">
      <Url>https://popp.undp.org/_layouts/15/DocIdRedir.aspx?ID=POPP-11-2424</Url>
      <Description>POPP-11-2424</Description>
    </_dlc_DocIdUrl>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2/8/2017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2017-02-08T23:00:00+00:00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CPD template - 2017</UNDP_POPP_TITLE_EN>
    <UNDP_POPP_FOCALPOINT xmlns="8264c5cc-ec60-4b56-8111-ce635d3d139a">
      <UserInfo>
        <DisplayName>Jessica Murray</DisplayName>
        <AccountId>68</AccountId>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DLCPolicyLabelValue xmlns="e560140e-7b2f-4392-90df-e7567e3021a3">Effective Date: 2/8/2017                                                Version #: 9.0</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60E3-00A5-4523-943D-88A8E69B177A}">
  <ds:schemaRefs>
    <ds:schemaRef ds:uri="http://schemas.microsoft.com/sharepoint/events"/>
  </ds:schemaRefs>
</ds:datastoreItem>
</file>

<file path=customXml/itemProps2.xml><?xml version="1.0" encoding="utf-8"?>
<ds:datastoreItem xmlns:ds="http://schemas.openxmlformats.org/officeDocument/2006/customXml" ds:itemID="{6CDB61DF-94A5-4A62-9F17-E3CFAB4C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7856045-984C-4B01-98AC-C787EE0C89F8}">
  <ds:schemaRefs>
    <ds:schemaRef ds:uri="office.server.policy"/>
  </ds:schemaRefs>
</ds:datastoreItem>
</file>

<file path=customXml/itemProps6.xml><?xml version="1.0" encoding="utf-8"?>
<ds:datastoreItem xmlns:ds="http://schemas.openxmlformats.org/officeDocument/2006/customXml" ds:itemID="{79D1FC36-B436-45A9-93D7-C21AC35F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5844</Words>
  <Characters>36238</Characters>
  <Application>Microsoft Office Word</Application>
  <DocSecurity>0</DocSecurity>
  <Lines>905</Lines>
  <Paragraphs>307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41775</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jessica.murray@undp.org;amanda.serumaga@undp.org;joyce.deloge@undp.org;david.maina@undp.org;rogers.dhliwayo@undp.org;evelyn.koech@undp.org;francis.matheka@undp.org</dc:creator>
  <cp:lastModifiedBy>Svetlana Iazykova</cp:lastModifiedBy>
  <cp:revision>3</cp:revision>
  <cp:lastPrinted>2018-01-19T15:17:00Z</cp:lastPrinted>
  <dcterms:created xsi:type="dcterms:W3CDTF">2018-03-12T20:52:00Z</dcterms:created>
  <dcterms:modified xsi:type="dcterms:W3CDTF">2018-03-12T20:55:00Z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13b70ff1-437e-43cd-801d-b45cb0ae5d8a</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