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782A" w14:textId="65645FB4" w:rsidR="003B11CB" w:rsidRPr="00D202D0" w:rsidRDefault="003B11CB" w:rsidP="003B11CB">
      <w:pPr>
        <w:pStyle w:val="Heading3"/>
        <w:jc w:val="left"/>
        <w:rPr>
          <w:rFonts w:ascii="Calibri" w:hAnsi="Calibri"/>
          <w:b/>
          <w:bCs w:val="0"/>
          <w:sz w:val="24"/>
          <w:szCs w:val="24"/>
        </w:rPr>
      </w:pPr>
      <w:r w:rsidRPr="00D202D0">
        <w:rPr>
          <w:rFonts w:ascii="Calibri" w:hAnsi="Calibri"/>
          <w:sz w:val="24"/>
          <w:szCs w:val="24"/>
        </w:rPr>
        <w:t>Country:</w:t>
      </w:r>
      <w:r w:rsidRPr="00D202D0">
        <w:rPr>
          <w:rFonts w:ascii="Calibri" w:hAnsi="Calibri"/>
          <w:sz w:val="24"/>
          <w:szCs w:val="24"/>
        </w:rPr>
        <w:tab/>
      </w:r>
      <w:r w:rsidR="001D6086" w:rsidRPr="00D202D0">
        <w:rPr>
          <w:rFonts w:ascii="Calibri" w:hAnsi="Calibri"/>
          <w:sz w:val="24"/>
          <w:szCs w:val="24"/>
        </w:rPr>
        <w:tab/>
      </w:r>
      <w:r w:rsidR="001D6086" w:rsidRPr="00D202D0">
        <w:rPr>
          <w:rFonts w:ascii="Calibri" w:hAnsi="Calibri"/>
          <w:sz w:val="24"/>
          <w:szCs w:val="24"/>
        </w:rPr>
        <w:tab/>
      </w:r>
      <w:r w:rsidR="001D6086" w:rsidRPr="00D202D0">
        <w:rPr>
          <w:rFonts w:ascii="Calibri" w:hAnsi="Calibri"/>
          <w:sz w:val="24"/>
          <w:szCs w:val="24"/>
        </w:rPr>
        <w:tab/>
        <w:t xml:space="preserve">        </w:t>
      </w:r>
      <w:r w:rsidR="00EC1643" w:rsidRPr="00D202D0">
        <w:rPr>
          <w:rFonts w:ascii="Calibri" w:hAnsi="Calibri"/>
          <w:b/>
          <w:bCs w:val="0"/>
          <w:sz w:val="24"/>
          <w:szCs w:val="24"/>
        </w:rPr>
        <w:t>Guyana</w:t>
      </w:r>
    </w:p>
    <w:p w14:paraId="201D9157" w14:textId="77777777" w:rsidR="003B11CB" w:rsidRPr="00D202D0" w:rsidRDefault="003B11CB" w:rsidP="003B11CB">
      <w:pPr>
        <w:pStyle w:val="Heading3"/>
        <w:rPr>
          <w:rFonts w:ascii="Calibri" w:hAnsi="Calibri"/>
          <w:sz w:val="24"/>
          <w:szCs w:val="24"/>
        </w:rPr>
      </w:pPr>
    </w:p>
    <w:p w14:paraId="295D8548" w14:textId="45C53DB6" w:rsidR="003B11CB" w:rsidRPr="00D202D0" w:rsidRDefault="003B11CB" w:rsidP="003B11CB">
      <w:pPr>
        <w:pStyle w:val="Heading3"/>
        <w:rPr>
          <w:rFonts w:ascii="Calibri" w:hAnsi="Calibri"/>
          <w:b/>
          <w:bCs w:val="0"/>
          <w:sz w:val="24"/>
          <w:szCs w:val="24"/>
        </w:rPr>
      </w:pPr>
      <w:r w:rsidRPr="00D202D0">
        <w:rPr>
          <w:rFonts w:ascii="Calibri" w:hAnsi="Calibri"/>
          <w:b/>
          <w:bCs w:val="0"/>
          <w:sz w:val="24"/>
          <w:szCs w:val="24"/>
        </w:rPr>
        <w:t>COUNTRY PROGRAMME PERFORMANCE SUMMARY</w:t>
      </w:r>
    </w:p>
    <w:p w14:paraId="03CEEA5C" w14:textId="77777777" w:rsidR="003B11CB" w:rsidRPr="00D202D0" w:rsidRDefault="003B11CB" w:rsidP="003B11CB">
      <w:pPr>
        <w:pStyle w:val="Heading3"/>
        <w:rPr>
          <w:rFonts w:ascii="Calibri" w:hAnsi="Calibri"/>
          <w:b/>
          <w:sz w:val="24"/>
          <w:szCs w:val="24"/>
        </w:rPr>
      </w:pPr>
    </w:p>
    <w:p w14:paraId="34017EAD" w14:textId="6E7D5541" w:rsidR="003B11CB" w:rsidRPr="00D202D0" w:rsidRDefault="003B11CB" w:rsidP="003B11CB">
      <w:pPr>
        <w:pStyle w:val="Heading3"/>
        <w:jc w:val="left"/>
        <w:rPr>
          <w:rFonts w:ascii="Calibri" w:hAnsi="Calibri"/>
          <w:b/>
          <w:bCs w:val="0"/>
          <w:sz w:val="24"/>
          <w:szCs w:val="24"/>
        </w:rPr>
      </w:pPr>
      <w:r w:rsidRPr="00D202D0">
        <w:rPr>
          <w:rFonts w:ascii="Calibri" w:hAnsi="Calibri"/>
          <w:sz w:val="24"/>
          <w:szCs w:val="24"/>
        </w:rPr>
        <w:t xml:space="preserve">Reporting period: </w:t>
      </w:r>
      <w:r w:rsidRPr="00D202D0">
        <w:rPr>
          <w:rFonts w:ascii="Calibri" w:hAnsi="Calibri"/>
          <w:sz w:val="24"/>
          <w:szCs w:val="24"/>
        </w:rPr>
        <w:tab/>
      </w:r>
      <w:r w:rsidR="001D6086" w:rsidRPr="00D202D0">
        <w:rPr>
          <w:rFonts w:ascii="Calibri" w:hAnsi="Calibri"/>
          <w:sz w:val="24"/>
          <w:szCs w:val="24"/>
        </w:rPr>
        <w:tab/>
      </w:r>
      <w:r w:rsidR="001D6086" w:rsidRPr="00D202D0">
        <w:rPr>
          <w:rFonts w:ascii="Calibri" w:hAnsi="Calibri"/>
          <w:sz w:val="24"/>
          <w:szCs w:val="24"/>
        </w:rPr>
        <w:tab/>
        <w:t xml:space="preserve">      </w:t>
      </w:r>
      <w:r w:rsidR="00EC1643" w:rsidRPr="00D202D0">
        <w:rPr>
          <w:rFonts w:ascii="Calibri" w:hAnsi="Calibri"/>
          <w:b/>
          <w:bCs w:val="0"/>
          <w:sz w:val="24"/>
          <w:szCs w:val="24"/>
        </w:rPr>
        <w:t>2017-2021</w:t>
      </w:r>
    </w:p>
    <w:p w14:paraId="38656F9E" w14:textId="208652D8" w:rsidR="003B11CB" w:rsidRPr="00D202D0" w:rsidRDefault="00435597" w:rsidP="00435597">
      <w:pPr>
        <w:pStyle w:val="Heading3"/>
        <w:jc w:val="right"/>
        <w:rPr>
          <w:rFonts w:ascii="Calibri" w:hAnsi="Calibri"/>
          <w:sz w:val="24"/>
          <w:szCs w:val="24"/>
        </w:rPr>
      </w:pPr>
      <w:r w:rsidRPr="00D202D0">
        <w:rPr>
          <w:rFonts w:ascii="Calibri" w:hAnsi="Calibri"/>
          <w:sz w:val="24"/>
          <w:szCs w:val="24"/>
        </w:rPr>
        <w:t>20 September 2021</w:t>
      </w:r>
    </w:p>
    <w:p w14:paraId="2677BFCA" w14:textId="77777777" w:rsidR="003B11CB" w:rsidRPr="00037115" w:rsidRDefault="003B11CB" w:rsidP="003B11CB">
      <w:pPr>
        <w:rPr>
          <w:rFonts w:ascii="Calibri" w:hAnsi="Calibri"/>
          <w:sz w:val="28"/>
          <w:szCs w:val="28"/>
        </w:rPr>
      </w:pPr>
    </w:p>
    <w:p w14:paraId="5B05757C" w14:textId="2FF8B74D" w:rsidR="003B11CB" w:rsidRPr="00037115" w:rsidRDefault="003B11CB" w:rsidP="003B11CB">
      <w:pPr>
        <w:pStyle w:val="Heading3"/>
        <w:rPr>
          <w:rFonts w:ascii="Calibri" w:hAnsi="Calibri"/>
          <w:b/>
          <w:bCs w:val="0"/>
          <w:sz w:val="28"/>
          <w:szCs w:val="28"/>
        </w:rPr>
      </w:pPr>
      <w:r w:rsidRPr="00037115">
        <w:rPr>
          <w:rFonts w:ascii="Calibri" w:hAnsi="Calibri"/>
          <w:b/>
          <w:bCs w:val="0"/>
          <w:sz w:val="28"/>
          <w:szCs w:val="28"/>
        </w:rPr>
        <w:t xml:space="preserve">I.  </w:t>
      </w:r>
      <w:r w:rsidRPr="00C53B7C">
        <w:rPr>
          <w:rFonts w:ascii="Calibri" w:hAnsi="Calibri"/>
          <w:b/>
          <w:bCs w:val="0"/>
          <w:sz w:val="20"/>
          <w:szCs w:val="20"/>
        </w:rPr>
        <w:t>EXECUTIVE SUMMARY</w:t>
      </w:r>
      <w:r w:rsidR="006052E9" w:rsidRPr="00037115">
        <w:rPr>
          <w:rFonts w:ascii="Calibri" w:hAnsi="Calibri"/>
          <w:b/>
          <w:bCs w:val="0"/>
          <w:sz w:val="28"/>
          <w:szCs w:val="28"/>
        </w:rPr>
        <w:t xml:space="preserve"> </w:t>
      </w:r>
    </w:p>
    <w:p w14:paraId="3FB66980" w14:textId="77777777" w:rsidR="00636F98" w:rsidRPr="00037115" w:rsidRDefault="00636F98" w:rsidP="003F42A7">
      <w:pPr>
        <w:pStyle w:val="BodyText2"/>
        <w:jc w:val="both"/>
        <w:rPr>
          <w:sz w:val="28"/>
          <w:szCs w:val="28"/>
        </w:rPr>
      </w:pPr>
    </w:p>
    <w:p w14:paraId="39D56A27" w14:textId="27A32FBB" w:rsidR="009978FD" w:rsidRPr="00C53B7C" w:rsidRDefault="002808B8" w:rsidP="009978FD">
      <w:pPr>
        <w:pStyle w:val="BodyText2"/>
        <w:jc w:val="both"/>
        <w:rPr>
          <w:rFonts w:ascii="Calibri" w:hAnsi="Calibri"/>
          <w:szCs w:val="20"/>
          <w:lang w:val="en-GB"/>
        </w:rPr>
      </w:pPr>
      <w:r w:rsidRPr="00C53B7C">
        <w:rPr>
          <w:rFonts w:ascii="Calibri" w:hAnsi="Calibri"/>
          <w:szCs w:val="20"/>
        </w:rPr>
        <w:t xml:space="preserve">The discovery of oil and gas </w:t>
      </w:r>
      <w:r w:rsidR="009D4401" w:rsidRPr="00C53B7C">
        <w:rPr>
          <w:rFonts w:ascii="Calibri" w:hAnsi="Calibri"/>
          <w:szCs w:val="20"/>
        </w:rPr>
        <w:t xml:space="preserve">and COVID-19 have been the biggest development change factors in Guyana during the 2017-2021 Country Programme </w:t>
      </w:r>
      <w:r w:rsidR="00EB4513" w:rsidRPr="00C53B7C">
        <w:rPr>
          <w:rFonts w:ascii="Calibri" w:hAnsi="Calibri"/>
          <w:szCs w:val="20"/>
        </w:rPr>
        <w:t xml:space="preserve">(CP) </w:t>
      </w:r>
      <w:r w:rsidR="009D4401" w:rsidRPr="00C53B7C">
        <w:rPr>
          <w:rFonts w:ascii="Calibri" w:hAnsi="Calibri"/>
          <w:szCs w:val="20"/>
        </w:rPr>
        <w:t>period. An extended period of political uncertainty</w:t>
      </w:r>
      <w:r w:rsidR="00441EEF" w:rsidRPr="00C53B7C">
        <w:rPr>
          <w:rFonts w:ascii="Calibri" w:hAnsi="Calibri"/>
          <w:szCs w:val="20"/>
        </w:rPr>
        <w:t xml:space="preserve"> </w:t>
      </w:r>
      <w:r w:rsidR="009D4401" w:rsidRPr="00C53B7C">
        <w:rPr>
          <w:rFonts w:ascii="Calibri" w:hAnsi="Calibri"/>
          <w:szCs w:val="20"/>
        </w:rPr>
        <w:t xml:space="preserve">also influenced the implementation of the CP. </w:t>
      </w:r>
      <w:r w:rsidR="00440EBD" w:rsidRPr="00C53B7C">
        <w:rPr>
          <w:rFonts w:ascii="Calibri" w:hAnsi="Calibri"/>
          <w:szCs w:val="20"/>
        </w:rPr>
        <w:t xml:space="preserve">Guyana's off-shore oil reserves </w:t>
      </w:r>
      <w:r w:rsidR="00EB4513" w:rsidRPr="00C53B7C">
        <w:rPr>
          <w:rFonts w:ascii="Calibri" w:hAnsi="Calibri"/>
          <w:szCs w:val="20"/>
        </w:rPr>
        <w:t>are</w:t>
      </w:r>
      <w:r w:rsidR="00440EBD" w:rsidRPr="00C53B7C">
        <w:rPr>
          <w:rFonts w:ascii="Calibri" w:hAnsi="Calibri"/>
          <w:szCs w:val="20"/>
        </w:rPr>
        <w:t xml:space="preserve"> in excess of 9 billion barrels, from which a major boost in economic growth is expected to be derived during the present decade</w:t>
      </w:r>
      <w:r w:rsidR="009978FD" w:rsidRPr="00C53B7C">
        <w:rPr>
          <w:rFonts w:ascii="Calibri" w:hAnsi="Calibri"/>
          <w:szCs w:val="20"/>
        </w:rPr>
        <w:t xml:space="preserve"> that can open opportunities for Guyana to transform its economy, generate jobs and secure its own funds for the country's development.</w:t>
      </w:r>
      <w:r w:rsidR="00440EBD" w:rsidRPr="00C53B7C">
        <w:rPr>
          <w:rFonts w:ascii="Calibri" w:hAnsi="Calibri"/>
          <w:szCs w:val="20"/>
        </w:rPr>
        <w:t xml:space="preserve"> The World Bank projects </w:t>
      </w:r>
      <w:r w:rsidR="00440EBD" w:rsidRPr="00C53B7C">
        <w:rPr>
          <w:rFonts w:ascii="Calibri" w:hAnsi="Calibri"/>
          <w:szCs w:val="20"/>
          <w:lang w:val="en-GB"/>
        </w:rPr>
        <w:t>growth rates of 20.9, 26.0 and 23.0 percent in 2021, 2022 and-2023</w:t>
      </w:r>
      <w:r w:rsidR="009978FD" w:rsidRPr="00C53B7C">
        <w:rPr>
          <w:rFonts w:ascii="Calibri" w:hAnsi="Calibri"/>
          <w:szCs w:val="20"/>
          <w:lang w:val="en-GB"/>
        </w:rPr>
        <w:t xml:space="preserve"> </w:t>
      </w:r>
      <w:r w:rsidR="00440EBD" w:rsidRPr="00C53B7C">
        <w:rPr>
          <w:rFonts w:ascii="Calibri" w:hAnsi="Calibri"/>
          <w:szCs w:val="20"/>
          <w:lang w:val="en-GB"/>
        </w:rPr>
        <w:t>(</w:t>
      </w:r>
      <w:r w:rsidR="009978FD" w:rsidRPr="00C53B7C">
        <w:rPr>
          <w:rFonts w:ascii="Calibri" w:hAnsi="Calibri"/>
          <w:szCs w:val="20"/>
          <w:lang w:val="en-GB"/>
        </w:rPr>
        <w:t xml:space="preserve">World Bank 2021). </w:t>
      </w:r>
      <w:r w:rsidR="009978FD" w:rsidRPr="00C53B7C">
        <w:rPr>
          <w:rFonts w:ascii="Calibri" w:hAnsi="Calibri"/>
          <w:szCs w:val="20"/>
        </w:rPr>
        <w:t xml:space="preserve"> T</w:t>
      </w:r>
      <w:r w:rsidR="009978FD" w:rsidRPr="00C53B7C">
        <w:rPr>
          <w:rFonts w:ascii="Calibri" w:hAnsi="Calibri"/>
          <w:szCs w:val="20"/>
          <w:lang w:val="en-GB"/>
        </w:rPr>
        <w:t xml:space="preserve">he COVID-19 pandemic has however re-focused a spotlight on the situation of the already vulnerable groups (including Amerindians, people with disabilities, unemployed or out-of-school young people [VNR 2019]). A UNDP-supported Socio-Economic Impact Assessment of COVID-19 on households in 2020 reported 21.8 per cent of households skipping meals due to the outbreak, 80 percent of household businesses closed temporarily or reduced operating hours, and school attendance more than halved. The uncertain political climate prevailing over Guyana from the passage of a no confidence motion against the former Administration in December 2018, until the assumption of a new Government in August 2020 following </w:t>
      </w:r>
      <w:r w:rsidR="00EB4513" w:rsidRPr="00C53B7C">
        <w:rPr>
          <w:rFonts w:ascii="Calibri" w:hAnsi="Calibri"/>
          <w:szCs w:val="20"/>
          <w:lang w:val="en-GB"/>
        </w:rPr>
        <w:t xml:space="preserve">a </w:t>
      </w:r>
      <w:r w:rsidR="009978FD" w:rsidRPr="00C53B7C">
        <w:rPr>
          <w:rFonts w:ascii="Calibri" w:hAnsi="Calibri"/>
          <w:szCs w:val="20"/>
          <w:lang w:val="en-GB"/>
        </w:rPr>
        <w:t xml:space="preserve">4 four month protracted </w:t>
      </w:r>
      <w:r w:rsidR="00EB4513" w:rsidRPr="00C53B7C">
        <w:rPr>
          <w:rFonts w:ascii="Calibri" w:hAnsi="Calibri"/>
          <w:szCs w:val="20"/>
          <w:lang w:val="en-GB"/>
        </w:rPr>
        <w:t>period</w:t>
      </w:r>
      <w:r w:rsidR="009978FD" w:rsidRPr="00C53B7C">
        <w:rPr>
          <w:rFonts w:ascii="Calibri" w:hAnsi="Calibri"/>
          <w:szCs w:val="20"/>
          <w:lang w:val="en-GB"/>
        </w:rPr>
        <w:t xml:space="preserve"> over election results, negatively impacted the Office’s delivery and performance during the programming cycle, as detailed in this report. </w:t>
      </w:r>
    </w:p>
    <w:p w14:paraId="242C0E63" w14:textId="4B561F8D" w:rsidR="009978FD" w:rsidRPr="00C53B7C" w:rsidRDefault="009978FD" w:rsidP="009978FD">
      <w:pPr>
        <w:pStyle w:val="BodyText2"/>
        <w:jc w:val="both"/>
        <w:rPr>
          <w:rFonts w:ascii="Calibri" w:hAnsi="Calibri"/>
          <w:szCs w:val="20"/>
          <w:lang w:val="en-GB"/>
        </w:rPr>
      </w:pPr>
    </w:p>
    <w:p w14:paraId="20DCBADF" w14:textId="7B8541B1" w:rsidR="0059487F" w:rsidRPr="00C53B7C" w:rsidRDefault="00751225" w:rsidP="003F42A7">
      <w:pPr>
        <w:pStyle w:val="BodyText2"/>
        <w:jc w:val="both"/>
        <w:rPr>
          <w:rFonts w:ascii="Calibri" w:hAnsi="Calibri"/>
          <w:szCs w:val="20"/>
          <w:lang w:val="en-GB"/>
        </w:rPr>
      </w:pPr>
      <w:r w:rsidRPr="00C53B7C">
        <w:rPr>
          <w:rFonts w:ascii="Calibri" w:hAnsi="Calibri"/>
          <w:szCs w:val="20"/>
          <w:lang w:val="en-GB"/>
        </w:rPr>
        <w:t xml:space="preserve">Against this backdrop, the UNDP-Guyana CO has made some significant inroads </w:t>
      </w:r>
      <w:r w:rsidR="00494D36" w:rsidRPr="00C53B7C">
        <w:rPr>
          <w:rFonts w:ascii="Calibri" w:hAnsi="Calibri"/>
          <w:szCs w:val="20"/>
          <w:lang w:val="en-GB"/>
        </w:rPr>
        <w:t xml:space="preserve">to improve development outcomes in the short-term and to help prepare the country towards a potential transition to a more advanced development status. </w:t>
      </w:r>
    </w:p>
    <w:p w14:paraId="3EB4CFF0" w14:textId="77777777" w:rsidR="00431568" w:rsidRPr="00C53B7C" w:rsidRDefault="00431568" w:rsidP="003F42A7">
      <w:pPr>
        <w:pStyle w:val="BodyText2"/>
        <w:jc w:val="both"/>
        <w:rPr>
          <w:rFonts w:ascii="Calibri" w:hAnsi="Calibri"/>
          <w:bCs/>
          <w:szCs w:val="20"/>
        </w:rPr>
      </w:pPr>
    </w:p>
    <w:p w14:paraId="2D64C3F9" w14:textId="7EB9B554" w:rsidR="0059487F" w:rsidRPr="00C53B7C" w:rsidRDefault="009978FD" w:rsidP="003F42A7">
      <w:pPr>
        <w:pStyle w:val="BodyText2"/>
        <w:jc w:val="both"/>
        <w:rPr>
          <w:rFonts w:ascii="Calibri" w:hAnsi="Calibri"/>
          <w:szCs w:val="20"/>
        </w:rPr>
      </w:pPr>
      <w:r w:rsidRPr="00C53B7C">
        <w:rPr>
          <w:rFonts w:ascii="Calibri" w:hAnsi="Calibri"/>
          <w:szCs w:val="20"/>
          <w:lang w:val="en-GB"/>
        </w:rPr>
        <w:t xml:space="preserve">UNDP played a key role in the UN COVID-19 response, conducting the national Socio-Economic Impact Assessment of COVID-19 on households and leading the preparation of the United Nations Country Team's socio-economic response plan. On </w:t>
      </w:r>
      <w:r w:rsidR="00431568" w:rsidRPr="00C53B7C">
        <w:rPr>
          <w:rFonts w:ascii="Calibri" w:hAnsi="Calibri"/>
          <w:bCs/>
          <w:szCs w:val="20"/>
        </w:rPr>
        <w:t xml:space="preserve">public health services, </w:t>
      </w:r>
      <w:r w:rsidR="00431568" w:rsidRPr="00C53B7C">
        <w:rPr>
          <w:rFonts w:ascii="Calibri" w:hAnsi="Calibri"/>
          <w:bCs/>
          <w:iCs/>
          <w:szCs w:val="20"/>
        </w:rPr>
        <w:t>UNDP</w:t>
      </w:r>
      <w:r w:rsidR="00431568" w:rsidRPr="00C53B7C">
        <w:rPr>
          <w:rFonts w:ascii="Calibri" w:hAnsi="Calibri"/>
          <w:iCs/>
          <w:szCs w:val="20"/>
        </w:rPr>
        <w:t xml:space="preserve"> focused its work on people living with HIV-AIDS (PL</w:t>
      </w:r>
      <w:r w:rsidR="00D54EEE" w:rsidRPr="00C53B7C">
        <w:rPr>
          <w:rFonts w:ascii="Calibri" w:hAnsi="Calibri"/>
          <w:iCs/>
          <w:szCs w:val="20"/>
        </w:rPr>
        <w:t>HIV</w:t>
      </w:r>
      <w:r w:rsidR="00431568" w:rsidRPr="00C53B7C">
        <w:rPr>
          <w:rFonts w:ascii="Calibri" w:hAnsi="Calibri"/>
          <w:iCs/>
          <w:szCs w:val="20"/>
        </w:rPr>
        <w:t>). Civil Society Organizations</w:t>
      </w:r>
      <w:r w:rsidR="00257ECF" w:rsidRPr="00C53B7C">
        <w:rPr>
          <w:rFonts w:ascii="Calibri" w:hAnsi="Calibri"/>
          <w:iCs/>
          <w:szCs w:val="20"/>
        </w:rPr>
        <w:t xml:space="preserve"> (CSOs)</w:t>
      </w:r>
      <w:r w:rsidR="00431568" w:rsidRPr="00C53B7C">
        <w:rPr>
          <w:rFonts w:ascii="Calibri" w:hAnsi="Calibri"/>
          <w:iCs/>
          <w:szCs w:val="20"/>
        </w:rPr>
        <w:t xml:space="preserve"> </w:t>
      </w:r>
      <w:r w:rsidR="0008666C" w:rsidRPr="00C53B7C">
        <w:rPr>
          <w:rFonts w:ascii="Calibri" w:hAnsi="Calibri"/>
          <w:iCs/>
          <w:szCs w:val="20"/>
        </w:rPr>
        <w:t>were supported to</w:t>
      </w:r>
      <w:r w:rsidR="00431568" w:rsidRPr="00C53B7C">
        <w:rPr>
          <w:rFonts w:ascii="Calibri" w:hAnsi="Calibri"/>
          <w:iCs/>
          <w:szCs w:val="20"/>
        </w:rPr>
        <w:t xml:space="preserve"> enhance their capacity to better deliver HIV services</w:t>
      </w:r>
      <w:r w:rsidR="00245582" w:rsidRPr="00C53B7C">
        <w:rPr>
          <w:rFonts w:ascii="Calibri" w:hAnsi="Calibri"/>
          <w:iCs/>
          <w:szCs w:val="20"/>
        </w:rPr>
        <w:t xml:space="preserve"> (including by partnering with Government in contracts to provide such services)</w:t>
      </w:r>
      <w:r w:rsidR="00431568" w:rsidRPr="00C53B7C">
        <w:rPr>
          <w:rFonts w:ascii="Calibri" w:hAnsi="Calibri"/>
          <w:iCs/>
          <w:szCs w:val="20"/>
        </w:rPr>
        <w:t xml:space="preserve">, and for the implementation of recommendations from the National Dialogue on HIV and the Law Report. </w:t>
      </w:r>
      <w:r w:rsidR="0008666C" w:rsidRPr="00C53B7C">
        <w:rPr>
          <w:rFonts w:ascii="Calibri" w:hAnsi="Calibri"/>
          <w:iCs/>
          <w:szCs w:val="20"/>
        </w:rPr>
        <w:t>UNDP</w:t>
      </w:r>
      <w:r w:rsidR="00245582" w:rsidRPr="00C53B7C">
        <w:rPr>
          <w:rFonts w:ascii="Calibri" w:hAnsi="Calibri"/>
          <w:iCs/>
          <w:szCs w:val="20"/>
        </w:rPr>
        <w:t xml:space="preserve"> also provided direct support during the COVID-19 pandemic so that </w:t>
      </w:r>
      <w:r w:rsidR="00D54EEE" w:rsidRPr="00C53B7C">
        <w:rPr>
          <w:rFonts w:ascii="Calibri" w:hAnsi="Calibri"/>
          <w:iCs/>
          <w:szCs w:val="20"/>
        </w:rPr>
        <w:t>PLHIV</w:t>
      </w:r>
      <w:r w:rsidR="00245582" w:rsidRPr="00C53B7C">
        <w:rPr>
          <w:rFonts w:ascii="Calibri" w:hAnsi="Calibri"/>
          <w:iCs/>
          <w:szCs w:val="20"/>
        </w:rPr>
        <w:t xml:space="preserve"> </w:t>
      </w:r>
      <w:r w:rsidR="00573361" w:rsidRPr="00C53B7C">
        <w:rPr>
          <w:rFonts w:ascii="Calibri" w:hAnsi="Calibri"/>
          <w:iCs/>
          <w:szCs w:val="20"/>
        </w:rPr>
        <w:t xml:space="preserve">could access </w:t>
      </w:r>
      <w:r w:rsidR="00245582" w:rsidRPr="00C53B7C">
        <w:rPr>
          <w:rFonts w:ascii="Calibri" w:hAnsi="Calibri"/>
          <w:iCs/>
          <w:szCs w:val="20"/>
        </w:rPr>
        <w:t xml:space="preserve">their treatment and services, via the </w:t>
      </w:r>
      <w:r w:rsidR="00431568" w:rsidRPr="00C53B7C">
        <w:rPr>
          <w:rFonts w:ascii="Calibri" w:hAnsi="Calibri"/>
          <w:iCs/>
          <w:szCs w:val="20"/>
        </w:rPr>
        <w:t>National AIDS Programme Secretariat</w:t>
      </w:r>
      <w:r w:rsidR="00257ECF" w:rsidRPr="00C53B7C">
        <w:rPr>
          <w:rFonts w:ascii="Calibri" w:hAnsi="Calibri"/>
          <w:iCs/>
          <w:szCs w:val="20"/>
        </w:rPr>
        <w:t xml:space="preserve"> </w:t>
      </w:r>
      <w:r w:rsidR="00EB4513" w:rsidRPr="00C53B7C">
        <w:rPr>
          <w:rFonts w:ascii="Calibri" w:hAnsi="Calibri"/>
          <w:iCs/>
          <w:szCs w:val="20"/>
        </w:rPr>
        <w:t xml:space="preserve">(NAPS) </w:t>
      </w:r>
      <w:r w:rsidR="00257ECF" w:rsidRPr="00C53B7C">
        <w:rPr>
          <w:rFonts w:ascii="Calibri" w:hAnsi="Calibri"/>
          <w:iCs/>
          <w:szCs w:val="20"/>
        </w:rPr>
        <w:t>and CSOs including the Society Against Sexual Orientation Discrimination</w:t>
      </w:r>
      <w:r w:rsidR="00EB4513" w:rsidRPr="00C53B7C">
        <w:rPr>
          <w:rFonts w:ascii="Calibri" w:hAnsi="Calibri"/>
          <w:iCs/>
          <w:szCs w:val="20"/>
        </w:rPr>
        <w:t xml:space="preserve"> (SASOD)</w:t>
      </w:r>
      <w:r w:rsidR="00245582" w:rsidRPr="00C53B7C">
        <w:rPr>
          <w:rFonts w:ascii="Calibri" w:hAnsi="Calibri"/>
          <w:iCs/>
          <w:szCs w:val="20"/>
        </w:rPr>
        <w:t xml:space="preserve">. Moreover, </w:t>
      </w:r>
      <w:r w:rsidR="0008666C" w:rsidRPr="00C53B7C">
        <w:rPr>
          <w:rFonts w:ascii="Calibri" w:hAnsi="Calibri"/>
          <w:iCs/>
          <w:szCs w:val="20"/>
        </w:rPr>
        <w:t xml:space="preserve">UNDP </w:t>
      </w:r>
      <w:r w:rsidR="00245582" w:rsidRPr="00C53B7C">
        <w:rPr>
          <w:rFonts w:ascii="Calibri" w:hAnsi="Calibri"/>
          <w:iCs/>
          <w:szCs w:val="20"/>
        </w:rPr>
        <w:t xml:space="preserve">provided technical </w:t>
      </w:r>
      <w:r w:rsidR="00573361" w:rsidRPr="00C53B7C">
        <w:rPr>
          <w:rFonts w:ascii="Calibri" w:hAnsi="Calibri"/>
          <w:iCs/>
          <w:szCs w:val="20"/>
        </w:rPr>
        <w:t>review of</w:t>
      </w:r>
      <w:r w:rsidR="00431568" w:rsidRPr="00C53B7C">
        <w:rPr>
          <w:rFonts w:ascii="Calibri" w:hAnsi="Calibri"/>
          <w:iCs/>
          <w:szCs w:val="20"/>
        </w:rPr>
        <w:t xml:space="preserve"> the 2021-2025 National HIV Strategic Plan. </w:t>
      </w:r>
    </w:p>
    <w:p w14:paraId="36DEB0A6" w14:textId="77777777" w:rsidR="00494D36" w:rsidRPr="00C53B7C" w:rsidRDefault="00494D36" w:rsidP="003F42A7">
      <w:pPr>
        <w:pStyle w:val="BodyText2"/>
        <w:jc w:val="both"/>
        <w:rPr>
          <w:rFonts w:ascii="Calibri" w:hAnsi="Calibri"/>
          <w:szCs w:val="20"/>
          <w:lang w:val="en-GB"/>
        </w:rPr>
      </w:pPr>
    </w:p>
    <w:p w14:paraId="47E7F1CA" w14:textId="5D305394" w:rsidR="00245582" w:rsidRPr="00C53B7C" w:rsidRDefault="0059487F" w:rsidP="003F42A7">
      <w:pPr>
        <w:pStyle w:val="BodyText2"/>
        <w:jc w:val="both"/>
        <w:rPr>
          <w:rFonts w:ascii="Calibri" w:hAnsi="Calibri"/>
          <w:szCs w:val="20"/>
        </w:rPr>
      </w:pPr>
      <w:r w:rsidRPr="00C53B7C">
        <w:rPr>
          <w:rFonts w:ascii="Calibri" w:hAnsi="Calibri"/>
          <w:szCs w:val="20"/>
          <w:lang w:val="en-GB"/>
        </w:rPr>
        <w:t xml:space="preserve">On sustainable livelihoods, </w:t>
      </w:r>
      <w:r w:rsidR="0008666C" w:rsidRPr="00C53B7C">
        <w:rPr>
          <w:rFonts w:ascii="Calibri" w:hAnsi="Calibri"/>
          <w:szCs w:val="20"/>
          <w:lang w:val="en-GB"/>
        </w:rPr>
        <w:t>UNDP</w:t>
      </w:r>
      <w:r w:rsidRPr="00C53B7C">
        <w:rPr>
          <w:rFonts w:ascii="Calibri" w:hAnsi="Calibri"/>
          <w:szCs w:val="20"/>
          <w:lang w:val="en-GB"/>
        </w:rPr>
        <w:t xml:space="preserve"> implemented a microgrant scheme aimed at enhancing food security for rural farmers and enhanced local community economic development through the distribution </w:t>
      </w:r>
      <w:r w:rsidR="00E30B95" w:rsidRPr="00C53B7C">
        <w:rPr>
          <w:rFonts w:ascii="Calibri" w:hAnsi="Calibri"/>
          <w:szCs w:val="20"/>
          <w:lang w:val="en-GB"/>
        </w:rPr>
        <w:t xml:space="preserve">of </w:t>
      </w:r>
      <w:r w:rsidRPr="00C53B7C">
        <w:rPr>
          <w:rFonts w:ascii="Calibri" w:hAnsi="Calibri"/>
          <w:szCs w:val="20"/>
          <w:lang w:val="en-GB"/>
        </w:rPr>
        <w:t>grants (worth US$3.8 million) to over 150 indigenous communities around the nation</w:t>
      </w:r>
      <w:r w:rsidR="00431568" w:rsidRPr="00C53B7C">
        <w:rPr>
          <w:rFonts w:ascii="Calibri" w:hAnsi="Calibri"/>
          <w:szCs w:val="20"/>
          <w:lang w:val="en-GB"/>
        </w:rPr>
        <w:t xml:space="preserve">, partnering with </w:t>
      </w:r>
      <w:r w:rsidRPr="00C53B7C">
        <w:rPr>
          <w:rFonts w:ascii="Calibri" w:hAnsi="Calibri"/>
          <w:szCs w:val="20"/>
          <w:lang w:val="en-GB"/>
        </w:rPr>
        <w:t xml:space="preserve">the </w:t>
      </w:r>
      <w:r w:rsidR="00573361" w:rsidRPr="00C53B7C">
        <w:rPr>
          <w:rFonts w:ascii="Calibri" w:hAnsi="Calibri"/>
          <w:szCs w:val="20"/>
          <w:lang w:val="en-GB"/>
        </w:rPr>
        <w:t>Ministry of Indigenous Peoples Affairs (</w:t>
      </w:r>
      <w:proofErr w:type="spellStart"/>
      <w:r w:rsidR="00573361" w:rsidRPr="00C53B7C">
        <w:rPr>
          <w:rFonts w:ascii="Calibri" w:hAnsi="Calibri"/>
          <w:szCs w:val="20"/>
          <w:lang w:val="en-GB"/>
        </w:rPr>
        <w:t>MoIPA</w:t>
      </w:r>
      <w:proofErr w:type="spellEnd"/>
      <w:r w:rsidR="00573361" w:rsidRPr="00C53B7C">
        <w:rPr>
          <w:rFonts w:ascii="Calibri" w:hAnsi="Calibri"/>
          <w:szCs w:val="20"/>
          <w:lang w:val="en-GB"/>
        </w:rPr>
        <w:t xml:space="preserve">) now </w:t>
      </w:r>
      <w:r w:rsidRPr="00C53B7C">
        <w:rPr>
          <w:rFonts w:ascii="Calibri" w:hAnsi="Calibri"/>
          <w:szCs w:val="20"/>
          <w:lang w:val="en-GB"/>
        </w:rPr>
        <w:t xml:space="preserve">Ministry of Amerindian Affairs (MOAA). </w:t>
      </w:r>
      <w:r w:rsidR="00245582" w:rsidRPr="00C53B7C">
        <w:rPr>
          <w:rFonts w:ascii="Calibri" w:hAnsi="Calibri"/>
          <w:szCs w:val="20"/>
          <w:lang w:val="en-GB"/>
        </w:rPr>
        <w:t xml:space="preserve">There were also advances on the strategic issue of land-titling for Amerindian people, </w:t>
      </w:r>
      <w:r w:rsidR="003F42A7" w:rsidRPr="00C53B7C">
        <w:rPr>
          <w:rFonts w:ascii="Calibri" w:hAnsi="Calibri"/>
          <w:szCs w:val="20"/>
          <w:lang w:val="en-GB"/>
        </w:rPr>
        <w:t xml:space="preserve">which is key for </w:t>
      </w:r>
      <w:proofErr w:type="spellStart"/>
      <w:r w:rsidR="003F42A7" w:rsidRPr="00C53B7C">
        <w:rPr>
          <w:rFonts w:ascii="Calibri" w:hAnsi="Calibri"/>
          <w:szCs w:val="20"/>
          <w:lang w:val="en-GB"/>
        </w:rPr>
        <w:t>catalyzing</w:t>
      </w:r>
      <w:proofErr w:type="spellEnd"/>
      <w:r w:rsidR="003F42A7" w:rsidRPr="00C53B7C">
        <w:rPr>
          <w:rFonts w:ascii="Calibri" w:hAnsi="Calibri"/>
          <w:szCs w:val="20"/>
          <w:lang w:val="en-GB"/>
        </w:rPr>
        <w:t xml:space="preserve"> various types of actions and investments in those territories (including those from REDD+). </w:t>
      </w:r>
      <w:r w:rsidR="00245582" w:rsidRPr="00C53B7C">
        <w:rPr>
          <w:rFonts w:ascii="Calibri" w:hAnsi="Calibri"/>
          <w:szCs w:val="20"/>
          <w:lang w:val="en-GB"/>
        </w:rPr>
        <w:t xml:space="preserve"> </w:t>
      </w:r>
    </w:p>
    <w:p w14:paraId="54D9C2FC" w14:textId="77777777" w:rsidR="00494D36" w:rsidRPr="00C53B7C" w:rsidRDefault="00494D36" w:rsidP="003F42A7">
      <w:pPr>
        <w:pStyle w:val="BodyText2"/>
        <w:jc w:val="both"/>
        <w:rPr>
          <w:rFonts w:ascii="Calibri" w:hAnsi="Calibri"/>
          <w:szCs w:val="20"/>
          <w:lang w:val="en-GB"/>
        </w:rPr>
      </w:pPr>
    </w:p>
    <w:p w14:paraId="21B51A7E" w14:textId="16973CB4" w:rsidR="00494D36" w:rsidRPr="00C53B7C" w:rsidRDefault="0059487F" w:rsidP="003F42A7">
      <w:pPr>
        <w:pStyle w:val="BodyText2"/>
        <w:jc w:val="both"/>
        <w:rPr>
          <w:rFonts w:ascii="Calibri" w:hAnsi="Calibri"/>
          <w:szCs w:val="20"/>
          <w:lang w:val="en-GB"/>
        </w:rPr>
      </w:pPr>
      <w:r w:rsidRPr="00C53B7C">
        <w:rPr>
          <w:rFonts w:ascii="Calibri" w:hAnsi="Calibri"/>
          <w:szCs w:val="20"/>
          <w:lang w:val="en-GB"/>
        </w:rPr>
        <w:t>UNDP carried out a multidimensional approach to environmental sustainability and resilience with the Ministry of Natural Resources</w:t>
      </w:r>
      <w:r w:rsidR="00EB4513" w:rsidRPr="00C53B7C">
        <w:rPr>
          <w:rFonts w:ascii="Calibri" w:hAnsi="Calibri"/>
          <w:szCs w:val="20"/>
          <w:lang w:val="en-GB"/>
        </w:rPr>
        <w:t xml:space="preserve"> (MNR)</w:t>
      </w:r>
      <w:r w:rsidRPr="00C53B7C">
        <w:rPr>
          <w:rFonts w:ascii="Calibri" w:hAnsi="Calibri"/>
          <w:szCs w:val="20"/>
          <w:lang w:val="en-GB"/>
        </w:rPr>
        <w:t>, Office of Climate Change</w:t>
      </w:r>
      <w:r w:rsidR="00EB4513" w:rsidRPr="00C53B7C">
        <w:rPr>
          <w:rFonts w:ascii="Calibri" w:hAnsi="Calibri"/>
          <w:szCs w:val="20"/>
          <w:lang w:val="en-GB"/>
        </w:rPr>
        <w:t xml:space="preserve"> (OCC)</w:t>
      </w:r>
      <w:r w:rsidRPr="00C53B7C">
        <w:rPr>
          <w:rFonts w:ascii="Calibri" w:hAnsi="Calibri"/>
          <w:szCs w:val="20"/>
          <w:lang w:val="en-GB"/>
        </w:rPr>
        <w:t>, Ministry of Agriculture</w:t>
      </w:r>
      <w:r w:rsidR="00EB4513" w:rsidRPr="00C53B7C">
        <w:rPr>
          <w:rFonts w:ascii="Calibri" w:hAnsi="Calibri"/>
          <w:szCs w:val="20"/>
          <w:lang w:val="en-GB"/>
        </w:rPr>
        <w:t xml:space="preserve"> (MOA)</w:t>
      </w:r>
      <w:r w:rsidRPr="00C53B7C">
        <w:rPr>
          <w:rFonts w:ascii="Calibri" w:hAnsi="Calibri"/>
          <w:szCs w:val="20"/>
          <w:lang w:val="en-GB"/>
        </w:rPr>
        <w:t>, C</w:t>
      </w:r>
      <w:r w:rsidR="007B5F9F" w:rsidRPr="00C53B7C">
        <w:rPr>
          <w:rFonts w:ascii="Calibri" w:hAnsi="Calibri"/>
          <w:szCs w:val="20"/>
          <w:lang w:val="en-GB"/>
        </w:rPr>
        <w:t xml:space="preserve">ivil </w:t>
      </w:r>
      <w:r w:rsidRPr="00C53B7C">
        <w:rPr>
          <w:rFonts w:ascii="Calibri" w:hAnsi="Calibri"/>
          <w:szCs w:val="20"/>
          <w:lang w:val="en-GB"/>
        </w:rPr>
        <w:t>D</w:t>
      </w:r>
      <w:r w:rsidR="007B5F9F" w:rsidRPr="00C53B7C">
        <w:rPr>
          <w:rFonts w:ascii="Calibri" w:hAnsi="Calibri"/>
          <w:szCs w:val="20"/>
          <w:lang w:val="en-GB"/>
        </w:rPr>
        <w:t xml:space="preserve">efence </w:t>
      </w:r>
      <w:r w:rsidRPr="00C53B7C">
        <w:rPr>
          <w:rFonts w:ascii="Calibri" w:hAnsi="Calibri"/>
          <w:szCs w:val="20"/>
          <w:lang w:val="en-GB"/>
        </w:rPr>
        <w:t>C</w:t>
      </w:r>
      <w:r w:rsidR="007B5F9F" w:rsidRPr="00C53B7C">
        <w:rPr>
          <w:rFonts w:ascii="Calibri" w:hAnsi="Calibri"/>
          <w:szCs w:val="20"/>
          <w:lang w:val="en-GB"/>
        </w:rPr>
        <w:t>ommission</w:t>
      </w:r>
      <w:r w:rsidR="00D368F2" w:rsidRPr="00C53B7C">
        <w:rPr>
          <w:rFonts w:ascii="Calibri" w:hAnsi="Calibri"/>
          <w:szCs w:val="20"/>
          <w:lang w:val="en-GB"/>
        </w:rPr>
        <w:t xml:space="preserve"> (CDC)</w:t>
      </w:r>
      <w:r w:rsidRPr="00C53B7C">
        <w:rPr>
          <w:rFonts w:ascii="Calibri" w:hAnsi="Calibri"/>
          <w:szCs w:val="20"/>
          <w:lang w:val="en-GB"/>
        </w:rPr>
        <w:t xml:space="preserve"> and Department of Environment</w:t>
      </w:r>
      <w:r w:rsidR="00EB4513" w:rsidRPr="00C53B7C">
        <w:rPr>
          <w:rFonts w:ascii="Calibri" w:hAnsi="Calibri"/>
          <w:szCs w:val="20"/>
          <w:lang w:val="en-GB"/>
        </w:rPr>
        <w:t xml:space="preserve"> (DOE)</w:t>
      </w:r>
      <w:r w:rsidRPr="00C53B7C">
        <w:rPr>
          <w:rFonts w:ascii="Calibri" w:hAnsi="Calibri"/>
          <w:szCs w:val="20"/>
          <w:lang w:val="en-GB"/>
        </w:rPr>
        <w:t xml:space="preserve">, by (i) </w:t>
      </w:r>
      <w:r w:rsidR="0011056D" w:rsidRPr="00C53B7C">
        <w:rPr>
          <w:rFonts w:ascii="Calibri" w:hAnsi="Calibri"/>
          <w:iCs/>
          <w:szCs w:val="20"/>
        </w:rPr>
        <w:t>developing systems and tools for enhanced adaptation to climate change and for disaster management, such as the National Flood Forecasting System platform; (ii)</w:t>
      </w:r>
      <w:r w:rsidR="0011056D" w:rsidRPr="00C53B7C">
        <w:rPr>
          <w:rFonts w:ascii="Calibri" w:hAnsi="Calibri"/>
          <w:szCs w:val="20"/>
          <w:lang w:val="en-GB"/>
        </w:rPr>
        <w:t xml:space="preserve">. </w:t>
      </w:r>
      <w:r w:rsidRPr="00C53B7C">
        <w:rPr>
          <w:rFonts w:ascii="Calibri" w:hAnsi="Calibri"/>
          <w:szCs w:val="20"/>
          <w:lang w:val="en-GB"/>
        </w:rPr>
        <w:t>improving capacities for management of natural resource and hazardous chemicals</w:t>
      </w:r>
      <w:r w:rsidR="0011056D" w:rsidRPr="00C53B7C">
        <w:rPr>
          <w:rFonts w:ascii="Calibri" w:hAnsi="Calibri"/>
          <w:szCs w:val="20"/>
          <w:lang w:val="en-GB"/>
        </w:rPr>
        <w:t>, including Ozone Depleting Substances (ODS)</w:t>
      </w:r>
      <w:r w:rsidRPr="00C53B7C">
        <w:rPr>
          <w:rFonts w:ascii="Calibri" w:hAnsi="Calibri"/>
          <w:szCs w:val="20"/>
          <w:lang w:val="en-GB"/>
        </w:rPr>
        <w:t>, (i</w:t>
      </w:r>
      <w:r w:rsidR="0075189B" w:rsidRPr="00C53B7C">
        <w:rPr>
          <w:rFonts w:ascii="Calibri" w:hAnsi="Calibri"/>
          <w:szCs w:val="20"/>
          <w:lang w:val="en-GB"/>
        </w:rPr>
        <w:t>i</w:t>
      </w:r>
      <w:r w:rsidRPr="00C53B7C">
        <w:rPr>
          <w:rFonts w:ascii="Calibri" w:hAnsi="Calibri"/>
          <w:szCs w:val="20"/>
          <w:lang w:val="en-GB"/>
        </w:rPr>
        <w:t xml:space="preserve">i) helping to provide clean, renewable and affordable energy services in hinterland communities via </w:t>
      </w:r>
      <w:r w:rsidR="0075189B" w:rsidRPr="00C53B7C">
        <w:rPr>
          <w:rFonts w:ascii="Calibri" w:hAnsi="Calibri"/>
          <w:szCs w:val="20"/>
          <w:lang w:val="en-GB"/>
        </w:rPr>
        <w:t xml:space="preserve">photovoltaics and energy-efficient </w:t>
      </w:r>
      <w:r w:rsidRPr="00C53B7C">
        <w:rPr>
          <w:rFonts w:ascii="Calibri" w:hAnsi="Calibri"/>
          <w:szCs w:val="20"/>
          <w:lang w:val="en-GB"/>
        </w:rPr>
        <w:t xml:space="preserve">LED lighting, </w:t>
      </w:r>
      <w:r w:rsidR="0075189B" w:rsidRPr="00C53B7C">
        <w:rPr>
          <w:rFonts w:ascii="Calibri" w:hAnsi="Calibri"/>
          <w:szCs w:val="20"/>
          <w:lang w:val="en-GB"/>
        </w:rPr>
        <w:t xml:space="preserve">(iv) providing information and </w:t>
      </w:r>
      <w:r w:rsidR="0075189B" w:rsidRPr="00C53B7C">
        <w:rPr>
          <w:rFonts w:ascii="Calibri" w:hAnsi="Calibri"/>
          <w:szCs w:val="20"/>
          <w:lang w:val="en-GB"/>
        </w:rPr>
        <w:lastRenderedPageBreak/>
        <w:t xml:space="preserve">information tools to farmers about threats of climate change and disasters to enhance their resilience for food production, </w:t>
      </w:r>
      <w:r w:rsidRPr="00C53B7C">
        <w:rPr>
          <w:rFonts w:ascii="Calibri" w:hAnsi="Calibri"/>
          <w:szCs w:val="20"/>
          <w:lang w:val="en-GB"/>
        </w:rPr>
        <w:t>and (</w:t>
      </w:r>
      <w:r w:rsidR="0075189B" w:rsidRPr="00C53B7C">
        <w:rPr>
          <w:rFonts w:ascii="Calibri" w:hAnsi="Calibri"/>
          <w:szCs w:val="20"/>
          <w:lang w:val="en-GB"/>
        </w:rPr>
        <w:t>v</w:t>
      </w:r>
      <w:r w:rsidRPr="00C53B7C">
        <w:rPr>
          <w:rFonts w:ascii="Calibri" w:hAnsi="Calibri"/>
          <w:szCs w:val="20"/>
          <w:lang w:val="en-GB"/>
        </w:rPr>
        <w:t>) promoting women's leadership and empowerment in disaster risk reduction strategies</w:t>
      </w:r>
      <w:r w:rsidR="0075189B" w:rsidRPr="00C53B7C">
        <w:rPr>
          <w:rFonts w:ascii="Calibri" w:hAnsi="Calibri"/>
          <w:szCs w:val="20"/>
          <w:lang w:val="en-GB"/>
        </w:rPr>
        <w:t>.</w:t>
      </w:r>
    </w:p>
    <w:p w14:paraId="3855C54F" w14:textId="3F963630" w:rsidR="00494D36" w:rsidRPr="00C53B7C" w:rsidRDefault="00494D36" w:rsidP="003F42A7">
      <w:pPr>
        <w:pStyle w:val="BodyText2"/>
        <w:jc w:val="both"/>
        <w:rPr>
          <w:rFonts w:ascii="Calibri" w:hAnsi="Calibri"/>
          <w:szCs w:val="20"/>
          <w:lang w:val="en-GB"/>
        </w:rPr>
      </w:pPr>
    </w:p>
    <w:p w14:paraId="0B089986" w14:textId="1B87CA10" w:rsidR="00A313D2" w:rsidRPr="00C53B7C" w:rsidRDefault="0008666C" w:rsidP="003F42A7">
      <w:pPr>
        <w:pStyle w:val="BodyText2"/>
        <w:jc w:val="both"/>
        <w:rPr>
          <w:rFonts w:ascii="Calibri" w:hAnsi="Calibri"/>
          <w:iCs/>
          <w:szCs w:val="20"/>
        </w:rPr>
      </w:pPr>
      <w:r w:rsidRPr="00C53B7C">
        <w:rPr>
          <w:rFonts w:ascii="Calibri" w:hAnsi="Calibri"/>
          <w:szCs w:val="20"/>
          <w:lang w:val="en-GB"/>
        </w:rPr>
        <w:t>UNDP</w:t>
      </w:r>
      <w:r w:rsidR="0059487F" w:rsidRPr="00C53B7C">
        <w:rPr>
          <w:rFonts w:ascii="Calibri" w:hAnsi="Calibri"/>
          <w:szCs w:val="20"/>
          <w:lang w:val="en-GB"/>
        </w:rPr>
        <w:t xml:space="preserve"> also supported democratic governance by strengthening government and non-governmental institutions capacities to fulfil Human Rights obligations including the </w:t>
      </w:r>
      <w:r w:rsidR="00EB4513" w:rsidRPr="00C53B7C">
        <w:rPr>
          <w:rFonts w:ascii="Calibri" w:hAnsi="Calibri"/>
          <w:szCs w:val="20"/>
          <w:lang w:val="en-GB"/>
        </w:rPr>
        <w:t>NAPS</w:t>
      </w:r>
      <w:r w:rsidR="0059487F" w:rsidRPr="00C53B7C">
        <w:rPr>
          <w:rFonts w:ascii="Calibri" w:hAnsi="Calibri"/>
          <w:szCs w:val="20"/>
          <w:lang w:val="en-GB"/>
        </w:rPr>
        <w:t xml:space="preserve"> and </w:t>
      </w:r>
      <w:r w:rsidR="00EB4513" w:rsidRPr="00C53B7C">
        <w:rPr>
          <w:rFonts w:ascii="Calibri" w:hAnsi="Calibri"/>
          <w:szCs w:val="20"/>
          <w:lang w:val="en-GB"/>
        </w:rPr>
        <w:t>PLHIV</w:t>
      </w:r>
      <w:r w:rsidR="0059487F" w:rsidRPr="00C53B7C">
        <w:rPr>
          <w:rFonts w:ascii="Calibri" w:hAnsi="Calibri"/>
          <w:szCs w:val="20"/>
          <w:lang w:val="en-GB"/>
        </w:rPr>
        <w:t xml:space="preserve"> </w:t>
      </w:r>
      <w:r w:rsidR="00EB4513" w:rsidRPr="00C53B7C">
        <w:rPr>
          <w:rFonts w:ascii="Calibri" w:hAnsi="Calibri"/>
          <w:szCs w:val="20"/>
          <w:lang w:val="en-GB"/>
        </w:rPr>
        <w:t>CSOs</w:t>
      </w:r>
      <w:r w:rsidR="0059487F" w:rsidRPr="00C53B7C">
        <w:rPr>
          <w:rFonts w:ascii="Calibri" w:hAnsi="Calibri"/>
          <w:szCs w:val="20"/>
          <w:lang w:val="en-GB"/>
        </w:rPr>
        <w:t>.</w:t>
      </w:r>
      <w:r w:rsidR="00431568" w:rsidRPr="00C53B7C">
        <w:rPr>
          <w:rFonts w:ascii="Calibri" w:hAnsi="Calibri"/>
          <w:szCs w:val="20"/>
          <w:lang w:val="en-GB"/>
        </w:rPr>
        <w:t xml:space="preserve"> </w:t>
      </w:r>
      <w:r w:rsidR="00A313D2" w:rsidRPr="00C53B7C">
        <w:rPr>
          <w:rFonts w:ascii="Calibri" w:hAnsi="Calibri"/>
          <w:iCs/>
          <w:szCs w:val="20"/>
        </w:rPr>
        <w:t xml:space="preserve">Another significant undertaking </w:t>
      </w:r>
      <w:r w:rsidR="00431568" w:rsidRPr="00C53B7C">
        <w:rPr>
          <w:rFonts w:ascii="Calibri" w:hAnsi="Calibri"/>
          <w:iCs/>
          <w:szCs w:val="20"/>
        </w:rPr>
        <w:t xml:space="preserve">was </w:t>
      </w:r>
      <w:r w:rsidR="00A313D2" w:rsidRPr="00C53B7C">
        <w:rPr>
          <w:rFonts w:ascii="Calibri" w:hAnsi="Calibri"/>
          <w:iCs/>
          <w:szCs w:val="20"/>
        </w:rPr>
        <w:t>the ICT for Hinterland, Poor and Remote Communities (HPRCs) initiative to expand Internet access</w:t>
      </w:r>
      <w:r w:rsidR="00431568" w:rsidRPr="00C53B7C">
        <w:rPr>
          <w:rFonts w:ascii="Calibri" w:hAnsi="Calibri"/>
          <w:iCs/>
          <w:szCs w:val="20"/>
        </w:rPr>
        <w:t xml:space="preserve"> </w:t>
      </w:r>
      <w:r w:rsidR="00A313D2" w:rsidRPr="00C53B7C">
        <w:rPr>
          <w:rFonts w:ascii="Calibri" w:hAnsi="Calibri"/>
          <w:iCs/>
          <w:szCs w:val="20"/>
        </w:rPr>
        <w:t xml:space="preserve">and e-Government services to hinterland communities, which can over time mitigate the rural digital divide substantially across the country. </w:t>
      </w:r>
    </w:p>
    <w:p w14:paraId="51B09D36" w14:textId="77777777" w:rsidR="00EC1643" w:rsidRPr="00C53B7C" w:rsidRDefault="00EC1643" w:rsidP="003F42A7">
      <w:pPr>
        <w:pStyle w:val="BodyText2"/>
        <w:autoSpaceDE/>
        <w:autoSpaceDN/>
        <w:adjustRightInd/>
        <w:jc w:val="both"/>
        <w:rPr>
          <w:rFonts w:ascii="Calibri" w:hAnsi="Calibri"/>
          <w:szCs w:val="20"/>
        </w:rPr>
      </w:pPr>
    </w:p>
    <w:p w14:paraId="3A126C89" w14:textId="667AAB7A" w:rsidR="00EC1643" w:rsidRPr="00C53B7C" w:rsidRDefault="00EC1643" w:rsidP="009978FD">
      <w:pPr>
        <w:pStyle w:val="BodyText2"/>
        <w:rPr>
          <w:rFonts w:ascii="Calibri" w:hAnsi="Calibri"/>
          <w:i/>
          <w:iCs/>
          <w:szCs w:val="20"/>
          <w:u w:val="single"/>
        </w:rPr>
      </w:pPr>
      <w:r w:rsidRPr="00C53B7C">
        <w:rPr>
          <w:rFonts w:ascii="Calibri" w:hAnsi="Calibri"/>
          <w:i/>
          <w:iCs/>
          <w:szCs w:val="20"/>
          <w:u w:val="single"/>
        </w:rPr>
        <w:t>Major achievements in achieving gender equality and women’s empowerment should be highlighted</w:t>
      </w:r>
    </w:p>
    <w:p w14:paraId="0B9C9F77" w14:textId="27376E89" w:rsidR="002E77E2" w:rsidRPr="00C53B7C" w:rsidRDefault="00800AD2" w:rsidP="0008666C">
      <w:pPr>
        <w:pStyle w:val="BodyText2"/>
        <w:numPr>
          <w:ilvl w:val="0"/>
          <w:numId w:val="21"/>
        </w:numPr>
        <w:autoSpaceDE/>
        <w:autoSpaceDN/>
        <w:adjustRightInd/>
        <w:spacing w:before="120"/>
        <w:ind w:left="714" w:hanging="357"/>
        <w:jc w:val="both"/>
        <w:rPr>
          <w:rFonts w:ascii="Calibri" w:hAnsi="Calibri"/>
          <w:szCs w:val="20"/>
        </w:rPr>
      </w:pPr>
      <w:r w:rsidRPr="00C53B7C">
        <w:rPr>
          <w:rFonts w:ascii="Calibri" w:hAnsi="Calibri"/>
          <w:szCs w:val="20"/>
        </w:rPr>
        <w:t>The initiatives targeting LGBTI</w:t>
      </w:r>
      <w:r w:rsidR="00216733" w:rsidRPr="00C53B7C">
        <w:rPr>
          <w:rFonts w:ascii="Calibri" w:hAnsi="Calibri"/>
          <w:szCs w:val="20"/>
        </w:rPr>
        <w:t>+</w:t>
      </w:r>
      <w:r w:rsidRPr="00C53B7C">
        <w:rPr>
          <w:rFonts w:ascii="Calibri" w:hAnsi="Calibri"/>
          <w:szCs w:val="20"/>
        </w:rPr>
        <w:t xml:space="preserve"> persons, including PLHIV, </w:t>
      </w:r>
      <w:r w:rsidR="0008666C" w:rsidRPr="00C53B7C">
        <w:rPr>
          <w:rFonts w:ascii="Calibri" w:hAnsi="Calibri"/>
          <w:szCs w:val="20"/>
        </w:rPr>
        <w:t>involve</w:t>
      </w:r>
      <w:r w:rsidRPr="00C53B7C">
        <w:rPr>
          <w:rFonts w:ascii="Calibri" w:hAnsi="Calibri"/>
          <w:szCs w:val="20"/>
        </w:rPr>
        <w:t xml:space="preserve"> women and sexual minority groups as direct beneficiaries</w:t>
      </w:r>
      <w:r w:rsidR="003F42A7" w:rsidRPr="00C53B7C">
        <w:rPr>
          <w:rFonts w:ascii="Calibri" w:hAnsi="Calibri"/>
          <w:szCs w:val="20"/>
        </w:rPr>
        <w:t xml:space="preserve">, and </w:t>
      </w:r>
      <w:r w:rsidRPr="00C53B7C">
        <w:rPr>
          <w:rFonts w:ascii="Calibri" w:hAnsi="Calibri"/>
          <w:szCs w:val="20"/>
        </w:rPr>
        <w:t>directly contribut</w:t>
      </w:r>
      <w:r w:rsidR="002E77E2" w:rsidRPr="00C53B7C">
        <w:rPr>
          <w:rFonts w:ascii="Calibri" w:hAnsi="Calibri"/>
          <w:szCs w:val="20"/>
        </w:rPr>
        <w:t xml:space="preserve">e </w:t>
      </w:r>
      <w:r w:rsidRPr="00C53B7C">
        <w:rPr>
          <w:rFonts w:ascii="Calibri" w:hAnsi="Calibri"/>
          <w:szCs w:val="20"/>
        </w:rPr>
        <w:t xml:space="preserve">to gender equality and women's empowerment. </w:t>
      </w:r>
    </w:p>
    <w:p w14:paraId="4D13CFAB" w14:textId="672F1933" w:rsidR="00855230" w:rsidRPr="00C53B7C" w:rsidRDefault="00364941" w:rsidP="0008666C">
      <w:pPr>
        <w:pStyle w:val="BodyText2"/>
        <w:numPr>
          <w:ilvl w:val="0"/>
          <w:numId w:val="21"/>
        </w:numPr>
        <w:autoSpaceDE/>
        <w:autoSpaceDN/>
        <w:adjustRightInd/>
        <w:spacing w:before="120"/>
        <w:ind w:left="714" w:hanging="357"/>
        <w:jc w:val="both"/>
        <w:rPr>
          <w:rFonts w:ascii="Calibri" w:hAnsi="Calibri"/>
          <w:szCs w:val="20"/>
        </w:rPr>
      </w:pPr>
      <w:r w:rsidRPr="00C53B7C">
        <w:rPr>
          <w:rFonts w:ascii="Calibri" w:hAnsi="Calibri"/>
          <w:szCs w:val="20"/>
        </w:rPr>
        <w:t xml:space="preserve">Regarding the </w:t>
      </w:r>
      <w:r w:rsidR="00855230" w:rsidRPr="00C53B7C">
        <w:rPr>
          <w:rFonts w:ascii="Calibri" w:hAnsi="Calibri"/>
          <w:szCs w:val="20"/>
        </w:rPr>
        <w:t>Amerindian Development Fund</w:t>
      </w:r>
      <w:r w:rsidR="00216733" w:rsidRPr="00C53B7C">
        <w:rPr>
          <w:rFonts w:ascii="Calibri" w:hAnsi="Calibri"/>
          <w:szCs w:val="20"/>
        </w:rPr>
        <w:t xml:space="preserve"> (ADF)</w:t>
      </w:r>
      <w:r w:rsidR="00855230" w:rsidRPr="00C53B7C">
        <w:rPr>
          <w:rFonts w:ascii="Calibri" w:hAnsi="Calibri"/>
          <w:szCs w:val="20"/>
        </w:rPr>
        <w:t xml:space="preserve">, </w:t>
      </w:r>
      <w:r w:rsidRPr="00C53B7C">
        <w:rPr>
          <w:rFonts w:ascii="Calibri" w:hAnsi="Calibri"/>
          <w:szCs w:val="20"/>
        </w:rPr>
        <w:t>women made up 55 percent of the participants in creating the Community Development Plans, and 52 percent of the persons trained on livelihood-relevant topics. Session</w:t>
      </w:r>
      <w:r w:rsidR="00EB4513" w:rsidRPr="00C53B7C">
        <w:rPr>
          <w:rFonts w:ascii="Calibri" w:hAnsi="Calibri"/>
          <w:szCs w:val="20"/>
        </w:rPr>
        <w:t>s</w:t>
      </w:r>
      <w:r w:rsidRPr="00C53B7C">
        <w:rPr>
          <w:rFonts w:ascii="Calibri" w:hAnsi="Calibri"/>
          <w:szCs w:val="20"/>
        </w:rPr>
        <w:t xml:space="preserve"> to t</w:t>
      </w:r>
      <w:r w:rsidR="00855230" w:rsidRPr="00C53B7C">
        <w:rPr>
          <w:rFonts w:ascii="Calibri" w:hAnsi="Calibri"/>
          <w:szCs w:val="20"/>
        </w:rPr>
        <w:t>rain community management teams emphasized the importance, value and involvement of male and female managers.</w:t>
      </w:r>
      <w:r w:rsidR="0008666C" w:rsidRPr="00C53B7C">
        <w:rPr>
          <w:rFonts w:ascii="Calibri" w:hAnsi="Calibri"/>
          <w:szCs w:val="20"/>
        </w:rPr>
        <w:t xml:space="preserve"> </w:t>
      </w:r>
    </w:p>
    <w:p w14:paraId="5D9551AE" w14:textId="3DDEA02C" w:rsidR="006D02FC" w:rsidRPr="00C53B7C" w:rsidRDefault="002E77E2" w:rsidP="0008666C">
      <w:pPr>
        <w:pStyle w:val="BodyText2"/>
        <w:numPr>
          <w:ilvl w:val="0"/>
          <w:numId w:val="21"/>
        </w:numPr>
        <w:spacing w:before="120"/>
        <w:ind w:left="714" w:hanging="357"/>
        <w:jc w:val="both"/>
        <w:rPr>
          <w:rFonts w:ascii="Calibri" w:hAnsi="Calibri"/>
          <w:szCs w:val="20"/>
        </w:rPr>
      </w:pPr>
      <w:r w:rsidRPr="00C53B7C">
        <w:rPr>
          <w:rFonts w:ascii="Calibri" w:hAnsi="Calibri"/>
          <w:szCs w:val="20"/>
        </w:rPr>
        <w:t xml:space="preserve">The </w:t>
      </w:r>
      <w:proofErr w:type="spellStart"/>
      <w:r w:rsidRPr="00C53B7C">
        <w:rPr>
          <w:rFonts w:ascii="Calibri" w:hAnsi="Calibri"/>
          <w:szCs w:val="20"/>
        </w:rPr>
        <w:t>CariSecure</w:t>
      </w:r>
      <w:proofErr w:type="spellEnd"/>
      <w:r w:rsidR="00C2335F" w:rsidRPr="00C53B7C">
        <w:rPr>
          <w:rFonts w:ascii="Calibri" w:hAnsi="Calibri"/>
          <w:szCs w:val="20"/>
        </w:rPr>
        <w:t xml:space="preserve"> initiative</w:t>
      </w:r>
      <w:r w:rsidRPr="00C53B7C">
        <w:rPr>
          <w:rFonts w:ascii="Calibri" w:hAnsi="Calibri"/>
          <w:szCs w:val="20"/>
        </w:rPr>
        <w:t xml:space="preserve"> </w:t>
      </w:r>
      <w:r w:rsidR="007B5F9F" w:rsidRPr="00C53B7C">
        <w:rPr>
          <w:rFonts w:ascii="Calibri" w:hAnsi="Calibri"/>
          <w:szCs w:val="20"/>
        </w:rPr>
        <w:t>s</w:t>
      </w:r>
      <w:r w:rsidR="00364941" w:rsidRPr="00C53B7C">
        <w:rPr>
          <w:rFonts w:ascii="Calibri" w:hAnsi="Calibri"/>
          <w:szCs w:val="20"/>
        </w:rPr>
        <w:t>ought</w:t>
      </w:r>
      <w:r w:rsidR="007B5F9F" w:rsidRPr="00C53B7C">
        <w:rPr>
          <w:rFonts w:ascii="Calibri" w:hAnsi="Calibri"/>
          <w:szCs w:val="20"/>
        </w:rPr>
        <w:t xml:space="preserve"> </w:t>
      </w:r>
      <w:r w:rsidRPr="00C53B7C">
        <w:rPr>
          <w:rFonts w:ascii="Calibri" w:hAnsi="Calibri"/>
          <w:szCs w:val="20"/>
        </w:rPr>
        <w:t xml:space="preserve">to make quality gender equality statistics available and accessible to meet policy and </w:t>
      </w:r>
      <w:r w:rsidR="00364941" w:rsidRPr="00C53B7C">
        <w:rPr>
          <w:rFonts w:ascii="Calibri" w:hAnsi="Calibri"/>
          <w:szCs w:val="20"/>
        </w:rPr>
        <w:t xml:space="preserve">international </w:t>
      </w:r>
      <w:r w:rsidRPr="00C53B7C">
        <w:rPr>
          <w:rFonts w:ascii="Calibri" w:hAnsi="Calibri"/>
          <w:szCs w:val="20"/>
        </w:rPr>
        <w:t>reporting commitments</w:t>
      </w:r>
      <w:r w:rsidR="00364941" w:rsidRPr="00C53B7C">
        <w:rPr>
          <w:rFonts w:ascii="Calibri" w:hAnsi="Calibri"/>
          <w:szCs w:val="20"/>
        </w:rPr>
        <w:t xml:space="preserve">. </w:t>
      </w:r>
      <w:r w:rsidR="00D8022B" w:rsidRPr="00C53B7C">
        <w:rPr>
          <w:rFonts w:ascii="Calibri" w:hAnsi="Calibri"/>
          <w:szCs w:val="20"/>
        </w:rPr>
        <w:t xml:space="preserve">The Women's Health and </w:t>
      </w:r>
      <w:r w:rsidR="006D02FC" w:rsidRPr="00C53B7C">
        <w:rPr>
          <w:rFonts w:ascii="Calibri" w:hAnsi="Calibri"/>
          <w:szCs w:val="20"/>
        </w:rPr>
        <w:t xml:space="preserve">Life Experiences </w:t>
      </w:r>
      <w:r w:rsidR="00D8022B" w:rsidRPr="00C53B7C">
        <w:rPr>
          <w:rFonts w:ascii="Calibri" w:hAnsi="Calibri"/>
          <w:szCs w:val="20"/>
        </w:rPr>
        <w:t>survey undertaken</w:t>
      </w:r>
      <w:r w:rsidR="00364941" w:rsidRPr="00C53B7C">
        <w:rPr>
          <w:rFonts w:ascii="Calibri" w:hAnsi="Calibri"/>
          <w:szCs w:val="20"/>
        </w:rPr>
        <w:t xml:space="preserve"> with various partners </w:t>
      </w:r>
      <w:r w:rsidR="006D02FC" w:rsidRPr="00C53B7C">
        <w:rPr>
          <w:rFonts w:ascii="Calibri" w:hAnsi="Calibri"/>
          <w:szCs w:val="20"/>
        </w:rPr>
        <w:t>provided for the first time in Guyana</w:t>
      </w:r>
      <w:r w:rsidR="00A658DD" w:rsidRPr="00C53B7C">
        <w:rPr>
          <w:rFonts w:ascii="Calibri" w:hAnsi="Calibri"/>
          <w:szCs w:val="20"/>
        </w:rPr>
        <w:t xml:space="preserve"> </w:t>
      </w:r>
      <w:r w:rsidR="006D02FC" w:rsidRPr="00C53B7C">
        <w:rPr>
          <w:rFonts w:ascii="Calibri" w:hAnsi="Calibri"/>
          <w:szCs w:val="20"/>
        </w:rPr>
        <w:t xml:space="preserve">national prevalence data on gender-based violence </w:t>
      </w:r>
      <w:r w:rsidR="00D8022B" w:rsidRPr="00C53B7C">
        <w:rPr>
          <w:rFonts w:ascii="Calibri" w:hAnsi="Calibri"/>
          <w:szCs w:val="20"/>
        </w:rPr>
        <w:t>and has filled a significant and long-standing data gap</w:t>
      </w:r>
      <w:r w:rsidR="00364941" w:rsidRPr="00C53B7C">
        <w:rPr>
          <w:rFonts w:ascii="Calibri" w:hAnsi="Calibri"/>
          <w:szCs w:val="20"/>
        </w:rPr>
        <w:t>.</w:t>
      </w:r>
      <w:r w:rsidR="006D02FC" w:rsidRPr="00C53B7C">
        <w:rPr>
          <w:rFonts w:ascii="Calibri" w:hAnsi="Calibri"/>
          <w:szCs w:val="20"/>
        </w:rPr>
        <w:t xml:space="preserve"> </w:t>
      </w:r>
    </w:p>
    <w:p w14:paraId="290C4731" w14:textId="21571ACB" w:rsidR="002E77E2" w:rsidRPr="00C53B7C" w:rsidRDefault="00D8022B" w:rsidP="0008666C">
      <w:pPr>
        <w:pStyle w:val="BodyText2"/>
        <w:numPr>
          <w:ilvl w:val="0"/>
          <w:numId w:val="21"/>
        </w:numPr>
        <w:spacing w:before="120"/>
        <w:ind w:left="714" w:hanging="357"/>
        <w:jc w:val="both"/>
        <w:rPr>
          <w:rFonts w:ascii="Calibri" w:hAnsi="Calibri"/>
          <w:szCs w:val="20"/>
        </w:rPr>
      </w:pPr>
      <w:r w:rsidRPr="00C53B7C">
        <w:rPr>
          <w:rFonts w:ascii="Calibri" w:hAnsi="Calibri"/>
          <w:szCs w:val="20"/>
        </w:rPr>
        <w:t>The Spotlight initiative</w:t>
      </w:r>
      <w:r w:rsidR="00364941" w:rsidRPr="00C53B7C">
        <w:rPr>
          <w:rFonts w:ascii="Calibri" w:hAnsi="Calibri"/>
          <w:szCs w:val="20"/>
        </w:rPr>
        <w:t>,</w:t>
      </w:r>
      <w:r w:rsidR="00573361" w:rsidRPr="00C53B7C">
        <w:rPr>
          <w:rFonts w:ascii="Calibri" w:hAnsi="Calibri"/>
          <w:szCs w:val="20"/>
        </w:rPr>
        <w:t xml:space="preserve"> currently underway</w:t>
      </w:r>
      <w:r w:rsidR="00364941" w:rsidRPr="00C53B7C">
        <w:rPr>
          <w:rFonts w:ascii="Calibri" w:hAnsi="Calibri"/>
          <w:szCs w:val="20"/>
        </w:rPr>
        <w:t xml:space="preserve">, </w:t>
      </w:r>
      <w:r w:rsidR="002E77E2" w:rsidRPr="00C53B7C">
        <w:rPr>
          <w:rFonts w:ascii="Calibri" w:hAnsi="Calibri"/>
          <w:szCs w:val="20"/>
        </w:rPr>
        <w:t>seek</w:t>
      </w:r>
      <w:r w:rsidR="00364941" w:rsidRPr="00C53B7C">
        <w:rPr>
          <w:rFonts w:ascii="Calibri" w:hAnsi="Calibri"/>
          <w:szCs w:val="20"/>
        </w:rPr>
        <w:t>s</w:t>
      </w:r>
      <w:r w:rsidR="002E77E2" w:rsidRPr="00C53B7C">
        <w:rPr>
          <w:rFonts w:ascii="Calibri" w:hAnsi="Calibri"/>
          <w:szCs w:val="20"/>
        </w:rPr>
        <w:t xml:space="preserve"> to enhance data collection systems and capacity towards decision making in addressing violence against women and girls. </w:t>
      </w:r>
    </w:p>
    <w:p w14:paraId="32551B59" w14:textId="77777777" w:rsidR="00800AD2" w:rsidRPr="00C53B7C" w:rsidRDefault="00800AD2" w:rsidP="0008666C">
      <w:pPr>
        <w:pStyle w:val="BodyText2"/>
        <w:jc w:val="both"/>
        <w:rPr>
          <w:rFonts w:ascii="Calibri" w:hAnsi="Calibri"/>
          <w:szCs w:val="20"/>
        </w:rPr>
      </w:pPr>
    </w:p>
    <w:p w14:paraId="4D52C2F8" w14:textId="2840CF1A" w:rsidR="008303B6" w:rsidRPr="00C53B7C" w:rsidRDefault="00EC1643" w:rsidP="009978FD">
      <w:pPr>
        <w:pStyle w:val="BodyText2"/>
        <w:rPr>
          <w:rFonts w:ascii="Calibri" w:hAnsi="Calibri"/>
          <w:i/>
          <w:iCs/>
          <w:szCs w:val="20"/>
          <w:u w:val="single"/>
        </w:rPr>
      </w:pPr>
      <w:r w:rsidRPr="00C53B7C">
        <w:rPr>
          <w:rFonts w:ascii="Calibri" w:hAnsi="Calibri"/>
          <w:i/>
          <w:iCs/>
          <w:szCs w:val="20"/>
          <w:u w:val="single"/>
        </w:rPr>
        <w:t>Major achievements in developing capacity should be highlighted</w:t>
      </w:r>
    </w:p>
    <w:p w14:paraId="4C4F796B" w14:textId="1C531B38" w:rsidR="00B9703B" w:rsidRPr="00C53B7C" w:rsidRDefault="00B9703B" w:rsidP="0008666C">
      <w:pPr>
        <w:pStyle w:val="BodyText2"/>
        <w:numPr>
          <w:ilvl w:val="0"/>
          <w:numId w:val="22"/>
        </w:numPr>
        <w:spacing w:before="120"/>
        <w:ind w:left="714" w:hanging="357"/>
        <w:jc w:val="both"/>
        <w:rPr>
          <w:rFonts w:ascii="Calibri" w:hAnsi="Calibri"/>
          <w:szCs w:val="20"/>
          <w:lang w:val="en-GB"/>
        </w:rPr>
      </w:pPr>
      <w:r w:rsidRPr="00C53B7C">
        <w:rPr>
          <w:rFonts w:ascii="Calibri" w:hAnsi="Calibri"/>
          <w:szCs w:val="20"/>
          <w:lang w:val="en-GB"/>
        </w:rPr>
        <w:t xml:space="preserve">Actions to improve capacities for management of natural resources across the </w:t>
      </w:r>
      <w:r w:rsidR="00216733" w:rsidRPr="00C53B7C">
        <w:rPr>
          <w:rFonts w:ascii="Calibri" w:hAnsi="Calibri"/>
          <w:szCs w:val="20"/>
          <w:lang w:val="en-GB"/>
        </w:rPr>
        <w:t xml:space="preserve">energy, environment and extractive industry </w:t>
      </w:r>
      <w:r w:rsidRPr="00C53B7C">
        <w:rPr>
          <w:rFonts w:ascii="Calibri" w:hAnsi="Calibri"/>
          <w:szCs w:val="20"/>
          <w:lang w:val="en-GB"/>
        </w:rPr>
        <w:t>portfolio, with all key Government entities</w:t>
      </w:r>
      <w:r w:rsidR="00364941" w:rsidRPr="00C53B7C">
        <w:rPr>
          <w:rFonts w:ascii="Calibri" w:hAnsi="Calibri"/>
          <w:szCs w:val="20"/>
          <w:lang w:val="en-GB"/>
        </w:rPr>
        <w:t xml:space="preserve">, as well as with over </w:t>
      </w:r>
      <w:r w:rsidR="00172B56" w:rsidRPr="00C53B7C">
        <w:rPr>
          <w:rFonts w:ascii="Calibri" w:hAnsi="Calibri"/>
          <w:szCs w:val="20"/>
          <w:lang w:val="en-GB"/>
        </w:rPr>
        <w:t>66</w:t>
      </w:r>
      <w:r w:rsidR="00364941" w:rsidRPr="00C53B7C">
        <w:rPr>
          <w:rFonts w:ascii="Calibri" w:hAnsi="Calibri"/>
          <w:szCs w:val="20"/>
          <w:lang w:val="en-GB"/>
        </w:rPr>
        <w:t>0</w:t>
      </w:r>
      <w:r w:rsidR="00EC41AE" w:rsidRPr="00C53B7C">
        <w:rPr>
          <w:rFonts w:ascii="Calibri" w:hAnsi="Calibri"/>
          <w:szCs w:val="20"/>
          <w:lang w:val="en-GB"/>
        </w:rPr>
        <w:t xml:space="preserve"> </w:t>
      </w:r>
      <w:r w:rsidR="00A658DD" w:rsidRPr="00C53B7C">
        <w:rPr>
          <w:rFonts w:ascii="Calibri" w:hAnsi="Calibri"/>
          <w:szCs w:val="20"/>
          <w:lang w:val="en-GB"/>
        </w:rPr>
        <w:t>farmers to u</w:t>
      </w:r>
      <w:r w:rsidR="00364941" w:rsidRPr="00C53B7C">
        <w:rPr>
          <w:rFonts w:ascii="Calibri" w:hAnsi="Calibri"/>
          <w:szCs w:val="20"/>
          <w:lang w:val="en-GB"/>
        </w:rPr>
        <w:t xml:space="preserve">se </w:t>
      </w:r>
      <w:r w:rsidR="00A658DD" w:rsidRPr="00C53B7C">
        <w:rPr>
          <w:rFonts w:ascii="Calibri" w:hAnsi="Calibri"/>
          <w:szCs w:val="20"/>
          <w:lang w:val="en-GB"/>
        </w:rPr>
        <w:t>a new Participatory Integrated Climate Services for Agriculture (PICSA) tool</w:t>
      </w:r>
      <w:r w:rsidR="00EC41AE" w:rsidRPr="00C53B7C">
        <w:rPr>
          <w:rFonts w:ascii="Calibri" w:hAnsi="Calibri"/>
          <w:szCs w:val="20"/>
          <w:lang w:val="en-GB"/>
        </w:rPr>
        <w:t xml:space="preserve"> </w:t>
      </w:r>
      <w:r w:rsidR="00216733" w:rsidRPr="00C53B7C">
        <w:rPr>
          <w:rFonts w:ascii="Calibri" w:hAnsi="Calibri"/>
          <w:szCs w:val="20"/>
          <w:lang w:val="en-GB"/>
        </w:rPr>
        <w:t xml:space="preserve">to enhance </w:t>
      </w:r>
      <w:r w:rsidR="00A658DD" w:rsidRPr="00C53B7C">
        <w:rPr>
          <w:rFonts w:ascii="Calibri" w:hAnsi="Calibri"/>
          <w:szCs w:val="20"/>
          <w:lang w:val="en-GB"/>
        </w:rPr>
        <w:t>informed decisions on climate smart farming practices</w:t>
      </w:r>
      <w:r w:rsidR="00EC41AE" w:rsidRPr="00C53B7C">
        <w:rPr>
          <w:rFonts w:ascii="Calibri" w:hAnsi="Calibri"/>
          <w:szCs w:val="20"/>
          <w:lang w:val="en-GB"/>
        </w:rPr>
        <w:t>.</w:t>
      </w:r>
      <w:r w:rsidRPr="00C53B7C">
        <w:rPr>
          <w:rFonts w:ascii="Calibri" w:hAnsi="Calibri"/>
          <w:szCs w:val="20"/>
          <w:lang w:val="en-GB"/>
        </w:rPr>
        <w:t xml:space="preserve"> </w:t>
      </w:r>
    </w:p>
    <w:p w14:paraId="0DD99B6C" w14:textId="66EE8347" w:rsidR="00B9703B" w:rsidRPr="00C53B7C" w:rsidRDefault="00364941" w:rsidP="0008666C">
      <w:pPr>
        <w:pStyle w:val="BodyText2"/>
        <w:numPr>
          <w:ilvl w:val="0"/>
          <w:numId w:val="22"/>
        </w:numPr>
        <w:spacing w:before="120"/>
        <w:ind w:left="714" w:hanging="357"/>
        <w:jc w:val="both"/>
        <w:rPr>
          <w:rFonts w:ascii="Calibri" w:hAnsi="Calibri"/>
          <w:iCs/>
          <w:szCs w:val="20"/>
        </w:rPr>
      </w:pPr>
      <w:r w:rsidRPr="00C53B7C">
        <w:rPr>
          <w:rFonts w:ascii="Calibri" w:hAnsi="Calibri"/>
          <w:szCs w:val="20"/>
          <w:lang w:val="en-GB"/>
        </w:rPr>
        <w:t>S</w:t>
      </w:r>
      <w:r w:rsidR="00B9703B" w:rsidRPr="00C53B7C">
        <w:rPr>
          <w:rFonts w:ascii="Calibri" w:hAnsi="Calibri"/>
          <w:szCs w:val="20"/>
          <w:lang w:val="en-GB"/>
        </w:rPr>
        <w:t>trengthen</w:t>
      </w:r>
      <w:r w:rsidRPr="00C53B7C">
        <w:rPr>
          <w:rFonts w:ascii="Calibri" w:hAnsi="Calibri"/>
          <w:szCs w:val="20"/>
          <w:lang w:val="en-GB"/>
        </w:rPr>
        <w:t>ing</w:t>
      </w:r>
      <w:r w:rsidR="00B9703B" w:rsidRPr="00C53B7C">
        <w:rPr>
          <w:rFonts w:ascii="Calibri" w:hAnsi="Calibri"/>
          <w:szCs w:val="20"/>
          <w:lang w:val="en-GB"/>
        </w:rPr>
        <w:t xml:space="preserve"> capacities </w:t>
      </w:r>
      <w:r w:rsidR="00216733" w:rsidRPr="00C53B7C">
        <w:rPr>
          <w:rFonts w:ascii="Calibri" w:hAnsi="Calibri"/>
          <w:szCs w:val="20"/>
          <w:lang w:val="en-GB"/>
        </w:rPr>
        <w:t>of</w:t>
      </w:r>
      <w:r w:rsidR="00B9703B" w:rsidRPr="00C53B7C">
        <w:rPr>
          <w:rFonts w:ascii="Calibri" w:hAnsi="Calibri"/>
          <w:szCs w:val="20"/>
          <w:lang w:val="en-GB"/>
        </w:rPr>
        <w:t xml:space="preserve"> </w:t>
      </w:r>
      <w:r w:rsidR="00EB4513" w:rsidRPr="00C53B7C">
        <w:rPr>
          <w:rFonts w:ascii="Calibri" w:hAnsi="Calibri"/>
          <w:szCs w:val="20"/>
          <w:lang w:val="en-GB"/>
        </w:rPr>
        <w:t>CSOs</w:t>
      </w:r>
      <w:r w:rsidR="00B9703B" w:rsidRPr="00C53B7C">
        <w:rPr>
          <w:rFonts w:ascii="Calibri" w:hAnsi="Calibri"/>
          <w:szCs w:val="20"/>
          <w:lang w:val="en-GB"/>
        </w:rPr>
        <w:t xml:space="preserve"> working with </w:t>
      </w:r>
      <w:r w:rsidR="00D54EEE" w:rsidRPr="00C53B7C">
        <w:rPr>
          <w:rFonts w:ascii="Calibri" w:hAnsi="Calibri"/>
          <w:szCs w:val="20"/>
          <w:lang w:val="en-GB"/>
        </w:rPr>
        <w:t>PLHIV</w:t>
      </w:r>
      <w:r w:rsidR="00B9703B" w:rsidRPr="00C53B7C">
        <w:rPr>
          <w:rFonts w:ascii="Calibri" w:hAnsi="Calibri"/>
          <w:szCs w:val="20"/>
          <w:lang w:val="en-GB"/>
        </w:rPr>
        <w:t xml:space="preserve"> and LGB</w:t>
      </w:r>
      <w:r w:rsidR="00216733" w:rsidRPr="00C53B7C">
        <w:rPr>
          <w:rFonts w:ascii="Calibri" w:hAnsi="Calibri"/>
          <w:szCs w:val="20"/>
          <w:lang w:val="en-GB"/>
        </w:rPr>
        <w:t>T</w:t>
      </w:r>
      <w:r w:rsidR="00B9703B" w:rsidRPr="00C53B7C">
        <w:rPr>
          <w:rFonts w:ascii="Calibri" w:hAnsi="Calibri"/>
          <w:szCs w:val="20"/>
          <w:lang w:val="en-GB"/>
        </w:rPr>
        <w:t>I+ people, to deliver health and care services, a</w:t>
      </w:r>
      <w:r w:rsidRPr="00C53B7C">
        <w:rPr>
          <w:rFonts w:ascii="Calibri" w:hAnsi="Calibri"/>
          <w:szCs w:val="20"/>
          <w:lang w:val="en-GB"/>
        </w:rPr>
        <w:t>nd to</w:t>
      </w:r>
      <w:r w:rsidR="00B9703B" w:rsidRPr="00C53B7C">
        <w:rPr>
          <w:rFonts w:ascii="Calibri" w:hAnsi="Calibri"/>
          <w:szCs w:val="20"/>
          <w:lang w:val="en-GB"/>
        </w:rPr>
        <w:t xml:space="preserve"> implement </w:t>
      </w:r>
      <w:r w:rsidRPr="00C53B7C">
        <w:rPr>
          <w:rFonts w:ascii="Calibri" w:hAnsi="Calibri"/>
          <w:szCs w:val="20"/>
          <w:lang w:val="en-GB"/>
        </w:rPr>
        <w:t xml:space="preserve">behaviour change </w:t>
      </w:r>
      <w:r w:rsidR="00B9703B" w:rsidRPr="00C53B7C">
        <w:rPr>
          <w:rFonts w:ascii="Calibri" w:hAnsi="Calibri"/>
          <w:szCs w:val="20"/>
          <w:lang w:val="en-GB"/>
        </w:rPr>
        <w:t>strategies stemming from</w:t>
      </w:r>
      <w:r w:rsidR="00B9703B" w:rsidRPr="00C53B7C">
        <w:rPr>
          <w:rFonts w:ascii="Calibri" w:hAnsi="Calibri"/>
          <w:iCs/>
          <w:szCs w:val="20"/>
        </w:rPr>
        <w:t xml:space="preserve"> the National Dialogue on HIV and the Law Report for reduction of stigma and discrimination.</w:t>
      </w:r>
      <w:r w:rsidR="00B9703B" w:rsidRPr="00C53B7C">
        <w:rPr>
          <w:rFonts w:ascii="Calibri" w:hAnsi="Calibri"/>
          <w:iCs/>
          <w:szCs w:val="20"/>
          <w:u w:val="single"/>
        </w:rPr>
        <w:t xml:space="preserve"> </w:t>
      </w:r>
    </w:p>
    <w:p w14:paraId="71CB34C4" w14:textId="58F3DF51" w:rsidR="00984C07" w:rsidRPr="00C53B7C" w:rsidRDefault="00364941" w:rsidP="0008666C">
      <w:pPr>
        <w:pStyle w:val="BodyText2"/>
        <w:numPr>
          <w:ilvl w:val="0"/>
          <w:numId w:val="22"/>
        </w:numPr>
        <w:spacing w:before="120"/>
        <w:ind w:left="714" w:hanging="357"/>
        <w:jc w:val="both"/>
        <w:rPr>
          <w:rFonts w:ascii="Calibri" w:hAnsi="Calibri"/>
          <w:iCs/>
          <w:szCs w:val="20"/>
        </w:rPr>
      </w:pPr>
      <w:r w:rsidRPr="00C53B7C">
        <w:rPr>
          <w:rFonts w:ascii="Calibri" w:hAnsi="Calibri"/>
          <w:iCs/>
          <w:szCs w:val="20"/>
        </w:rPr>
        <w:t xml:space="preserve">Trainings </w:t>
      </w:r>
      <w:r w:rsidR="00440EBD" w:rsidRPr="00C53B7C">
        <w:rPr>
          <w:rFonts w:ascii="Calibri" w:hAnsi="Calibri"/>
          <w:iCs/>
          <w:szCs w:val="20"/>
        </w:rPr>
        <w:t xml:space="preserve">of </w:t>
      </w:r>
      <w:r w:rsidRPr="00C53B7C">
        <w:rPr>
          <w:rFonts w:ascii="Calibri" w:hAnsi="Calibri"/>
          <w:iCs/>
          <w:szCs w:val="20"/>
        </w:rPr>
        <w:t>counterpart agencies to effectively address ozone depleting substances (ODS) in the refrigerant, air conditioning and cooling sectors</w:t>
      </w:r>
      <w:r w:rsidR="00440EBD" w:rsidRPr="00C53B7C">
        <w:rPr>
          <w:rFonts w:ascii="Calibri" w:hAnsi="Calibri"/>
          <w:iCs/>
          <w:szCs w:val="20"/>
        </w:rPr>
        <w:t xml:space="preserve">, under the </w:t>
      </w:r>
      <w:r w:rsidR="00B9302C" w:rsidRPr="00C53B7C">
        <w:rPr>
          <w:rFonts w:ascii="Calibri" w:hAnsi="Calibri"/>
          <w:iCs/>
          <w:szCs w:val="20"/>
        </w:rPr>
        <w:t>Montreal protocol’s Kigali Amendment</w:t>
      </w:r>
      <w:r w:rsidR="00440EBD" w:rsidRPr="00C53B7C">
        <w:rPr>
          <w:rFonts w:ascii="Calibri" w:hAnsi="Calibri"/>
          <w:iCs/>
          <w:szCs w:val="20"/>
        </w:rPr>
        <w:t xml:space="preserve">. </w:t>
      </w:r>
    </w:p>
    <w:p w14:paraId="32BC02FB" w14:textId="6403FBAB" w:rsidR="00984C07" w:rsidRPr="00C53B7C" w:rsidRDefault="00440EBD" w:rsidP="0008666C">
      <w:pPr>
        <w:pStyle w:val="BodyText2"/>
        <w:numPr>
          <w:ilvl w:val="0"/>
          <w:numId w:val="22"/>
        </w:numPr>
        <w:spacing w:before="120"/>
        <w:ind w:left="714" w:hanging="357"/>
        <w:jc w:val="both"/>
        <w:rPr>
          <w:rFonts w:ascii="Calibri" w:hAnsi="Calibri"/>
          <w:szCs w:val="20"/>
        </w:rPr>
      </w:pPr>
      <w:r w:rsidRPr="00C53B7C">
        <w:rPr>
          <w:rFonts w:ascii="Calibri" w:hAnsi="Calibri"/>
          <w:iCs/>
          <w:szCs w:val="20"/>
        </w:rPr>
        <w:t>Official c</w:t>
      </w:r>
      <w:r w:rsidR="00B9302C" w:rsidRPr="00C53B7C">
        <w:rPr>
          <w:rFonts w:ascii="Calibri" w:hAnsi="Calibri"/>
          <w:iCs/>
          <w:szCs w:val="20"/>
        </w:rPr>
        <w:t>ertifi</w:t>
      </w:r>
      <w:r w:rsidRPr="00C53B7C">
        <w:rPr>
          <w:rFonts w:ascii="Calibri" w:hAnsi="Calibri"/>
          <w:iCs/>
          <w:szCs w:val="20"/>
        </w:rPr>
        <w:t xml:space="preserve">cation courses on </w:t>
      </w:r>
      <w:r w:rsidR="00B9302C" w:rsidRPr="00C53B7C">
        <w:rPr>
          <w:rFonts w:ascii="Calibri" w:hAnsi="Calibri"/>
          <w:iCs/>
          <w:szCs w:val="20"/>
        </w:rPr>
        <w:t xml:space="preserve">installation and management of solar PV systems and services </w:t>
      </w:r>
      <w:r w:rsidRPr="00C53B7C">
        <w:rPr>
          <w:rFonts w:ascii="Calibri" w:hAnsi="Calibri"/>
          <w:iCs/>
          <w:szCs w:val="20"/>
        </w:rPr>
        <w:t xml:space="preserve">for </w:t>
      </w:r>
      <w:r w:rsidR="00B9302C" w:rsidRPr="00C53B7C">
        <w:rPr>
          <w:rFonts w:ascii="Calibri" w:hAnsi="Calibri"/>
          <w:iCs/>
          <w:szCs w:val="20"/>
        </w:rPr>
        <w:t>Guyana Energy Agency, Guyana Power and Light Inc.</w:t>
      </w:r>
      <w:r w:rsidRPr="00C53B7C">
        <w:rPr>
          <w:rFonts w:ascii="Calibri" w:hAnsi="Calibri"/>
          <w:iCs/>
          <w:szCs w:val="20"/>
        </w:rPr>
        <w:t xml:space="preserve"> and</w:t>
      </w:r>
      <w:r w:rsidR="00B9302C" w:rsidRPr="00C53B7C">
        <w:rPr>
          <w:rFonts w:ascii="Calibri" w:hAnsi="Calibri"/>
          <w:iCs/>
          <w:szCs w:val="20"/>
        </w:rPr>
        <w:t xml:space="preserve"> Hinterland Electrification Company Inc. to support the introduction</w:t>
      </w:r>
      <w:r w:rsidRPr="00C53B7C">
        <w:rPr>
          <w:rFonts w:ascii="Calibri" w:hAnsi="Calibri"/>
          <w:iCs/>
          <w:szCs w:val="20"/>
        </w:rPr>
        <w:t>/</w:t>
      </w:r>
      <w:r w:rsidR="00B9302C" w:rsidRPr="00C53B7C">
        <w:rPr>
          <w:rFonts w:ascii="Calibri" w:hAnsi="Calibri"/>
          <w:iCs/>
          <w:szCs w:val="20"/>
        </w:rPr>
        <w:t xml:space="preserve">scaling of sustainable energy services in hinterland and other rural regions. </w:t>
      </w:r>
    </w:p>
    <w:p w14:paraId="7C75C6A6" w14:textId="77777777" w:rsidR="008303B6" w:rsidRPr="00C53B7C" w:rsidRDefault="008303B6" w:rsidP="0008666C">
      <w:pPr>
        <w:pStyle w:val="BodyText2"/>
        <w:jc w:val="both"/>
        <w:rPr>
          <w:rFonts w:ascii="Calibri" w:hAnsi="Calibri"/>
          <w:szCs w:val="20"/>
          <w:lang w:val="en-GB"/>
        </w:rPr>
      </w:pPr>
    </w:p>
    <w:p w14:paraId="2D3145A2" w14:textId="7B0E76E3" w:rsidR="00EC1643" w:rsidRPr="00C53B7C" w:rsidRDefault="00EC1643" w:rsidP="009978FD">
      <w:pPr>
        <w:pStyle w:val="BodyText2"/>
        <w:rPr>
          <w:rFonts w:ascii="Calibri" w:hAnsi="Calibri"/>
          <w:i/>
          <w:iCs/>
          <w:szCs w:val="20"/>
          <w:u w:val="single"/>
        </w:rPr>
      </w:pPr>
      <w:r w:rsidRPr="00C53B7C">
        <w:rPr>
          <w:rFonts w:ascii="Calibri" w:hAnsi="Calibri"/>
          <w:i/>
          <w:iCs/>
          <w:szCs w:val="20"/>
          <w:u w:val="single"/>
        </w:rPr>
        <w:t>Key partnerships and inter-agency collaboration undertaken and their impact on results</w:t>
      </w:r>
    </w:p>
    <w:p w14:paraId="577DCB81" w14:textId="48BF3E3A" w:rsidR="00440EBD" w:rsidRPr="00C53B7C" w:rsidRDefault="00440EBD" w:rsidP="00440EBD">
      <w:pPr>
        <w:pStyle w:val="BodyText2"/>
        <w:numPr>
          <w:ilvl w:val="0"/>
          <w:numId w:val="23"/>
        </w:numPr>
        <w:spacing w:before="120"/>
        <w:ind w:left="714" w:hanging="357"/>
        <w:jc w:val="both"/>
        <w:rPr>
          <w:rFonts w:ascii="Calibri" w:hAnsi="Calibri"/>
          <w:szCs w:val="20"/>
        </w:rPr>
      </w:pPr>
      <w:r w:rsidRPr="00C53B7C">
        <w:rPr>
          <w:rFonts w:ascii="Calibri" w:hAnsi="Calibri"/>
          <w:szCs w:val="20"/>
        </w:rPr>
        <w:t xml:space="preserve">The Guyana REDD+ Investment </w:t>
      </w:r>
      <w:r w:rsidR="00EB4513" w:rsidRPr="00C53B7C">
        <w:rPr>
          <w:rFonts w:ascii="Calibri" w:hAnsi="Calibri"/>
          <w:szCs w:val="20"/>
        </w:rPr>
        <w:t>F</w:t>
      </w:r>
      <w:r w:rsidRPr="00C53B7C">
        <w:rPr>
          <w:rFonts w:ascii="Calibri" w:hAnsi="Calibri"/>
          <w:szCs w:val="20"/>
        </w:rPr>
        <w:t xml:space="preserve">und </w:t>
      </w:r>
      <w:r w:rsidR="00EB4513" w:rsidRPr="00C53B7C">
        <w:rPr>
          <w:rFonts w:ascii="Calibri" w:hAnsi="Calibri"/>
          <w:szCs w:val="20"/>
        </w:rPr>
        <w:t xml:space="preserve">(GRIF) </w:t>
      </w:r>
      <w:r w:rsidRPr="00C53B7C">
        <w:rPr>
          <w:rFonts w:ascii="Calibri" w:hAnsi="Calibri"/>
          <w:szCs w:val="20"/>
        </w:rPr>
        <w:t>through which the ADF was executed was implemented in partnership with the Norwegian Agency for Development Cooperation.</w:t>
      </w:r>
    </w:p>
    <w:p w14:paraId="52EE41DF" w14:textId="5A25C75B" w:rsidR="00D8022B" w:rsidRPr="00C53B7C" w:rsidRDefault="00440EBD" w:rsidP="0008666C">
      <w:pPr>
        <w:pStyle w:val="BodyText2"/>
        <w:numPr>
          <w:ilvl w:val="0"/>
          <w:numId w:val="23"/>
        </w:numPr>
        <w:autoSpaceDE/>
        <w:autoSpaceDN/>
        <w:adjustRightInd/>
        <w:spacing w:before="120"/>
        <w:ind w:left="714" w:hanging="357"/>
        <w:jc w:val="both"/>
        <w:rPr>
          <w:rFonts w:ascii="Calibri" w:hAnsi="Calibri"/>
          <w:szCs w:val="20"/>
        </w:rPr>
      </w:pPr>
      <w:r w:rsidRPr="00C53B7C">
        <w:rPr>
          <w:rFonts w:ascii="Calibri" w:hAnsi="Calibri"/>
          <w:szCs w:val="20"/>
        </w:rPr>
        <w:t xml:space="preserve">Participation in </w:t>
      </w:r>
      <w:r w:rsidR="00D8022B" w:rsidRPr="00C53B7C">
        <w:rPr>
          <w:rFonts w:ascii="Calibri" w:hAnsi="Calibri"/>
          <w:szCs w:val="20"/>
        </w:rPr>
        <w:t>the UN Joint Team on HIV/AIDS</w:t>
      </w:r>
      <w:r w:rsidRPr="00C53B7C">
        <w:rPr>
          <w:rFonts w:ascii="Calibri" w:hAnsi="Calibri"/>
          <w:szCs w:val="20"/>
        </w:rPr>
        <w:t>, b</w:t>
      </w:r>
      <w:r w:rsidR="00D8022B" w:rsidRPr="00C53B7C">
        <w:rPr>
          <w:rFonts w:ascii="Calibri" w:hAnsi="Calibri"/>
          <w:szCs w:val="20"/>
        </w:rPr>
        <w:t xml:space="preserve">uilding on </w:t>
      </w:r>
      <w:r w:rsidRPr="00C53B7C">
        <w:rPr>
          <w:rFonts w:ascii="Calibri" w:hAnsi="Calibri"/>
          <w:szCs w:val="20"/>
        </w:rPr>
        <w:t xml:space="preserve">successful </w:t>
      </w:r>
      <w:r w:rsidR="00D8022B" w:rsidRPr="00C53B7C">
        <w:rPr>
          <w:rFonts w:ascii="Calibri" w:hAnsi="Calibri"/>
          <w:szCs w:val="20"/>
        </w:rPr>
        <w:t xml:space="preserve">National Dialogue on HIV and the Law, </w:t>
      </w:r>
      <w:r w:rsidRPr="00C53B7C">
        <w:rPr>
          <w:rFonts w:ascii="Calibri" w:hAnsi="Calibri"/>
          <w:szCs w:val="20"/>
        </w:rPr>
        <w:t xml:space="preserve">leading to </w:t>
      </w:r>
      <w:r w:rsidR="00D8022B" w:rsidRPr="00C53B7C">
        <w:rPr>
          <w:rFonts w:ascii="Calibri" w:hAnsi="Calibri"/>
          <w:szCs w:val="20"/>
        </w:rPr>
        <w:t>successful application</w:t>
      </w:r>
      <w:r w:rsidRPr="00C53B7C">
        <w:rPr>
          <w:rFonts w:ascii="Calibri" w:hAnsi="Calibri"/>
          <w:szCs w:val="20"/>
        </w:rPr>
        <w:t xml:space="preserve"> for /implementation of </w:t>
      </w:r>
      <w:r w:rsidR="00D8022B" w:rsidRPr="00C53B7C">
        <w:rPr>
          <w:rFonts w:ascii="Calibri" w:hAnsi="Calibri"/>
          <w:szCs w:val="20"/>
        </w:rPr>
        <w:t>the Business Unusual Fund</w:t>
      </w:r>
      <w:r w:rsidRPr="00C53B7C">
        <w:rPr>
          <w:rFonts w:ascii="Calibri" w:hAnsi="Calibri"/>
          <w:szCs w:val="20"/>
        </w:rPr>
        <w:t xml:space="preserve">. </w:t>
      </w:r>
    </w:p>
    <w:p w14:paraId="4C32F342" w14:textId="747E9734" w:rsidR="00D8022B" w:rsidRPr="00C53B7C" w:rsidRDefault="00440EBD" w:rsidP="0008666C">
      <w:pPr>
        <w:pStyle w:val="BodyText2"/>
        <w:numPr>
          <w:ilvl w:val="0"/>
          <w:numId w:val="23"/>
        </w:numPr>
        <w:spacing w:before="120"/>
        <w:ind w:left="714" w:hanging="357"/>
        <w:jc w:val="both"/>
        <w:rPr>
          <w:rFonts w:ascii="Calibri" w:hAnsi="Calibri"/>
          <w:szCs w:val="20"/>
        </w:rPr>
      </w:pPr>
      <w:r w:rsidRPr="00C53B7C">
        <w:rPr>
          <w:rFonts w:ascii="Calibri" w:hAnsi="Calibri"/>
          <w:szCs w:val="20"/>
        </w:rPr>
        <w:t xml:space="preserve">Development and implementation of the Spotlight Initiative with </w:t>
      </w:r>
      <w:r w:rsidR="00D8022B" w:rsidRPr="00C53B7C">
        <w:rPr>
          <w:rFonts w:ascii="Calibri" w:hAnsi="Calibri"/>
          <w:szCs w:val="20"/>
        </w:rPr>
        <w:t xml:space="preserve">UNICEF, UNFPA and </w:t>
      </w:r>
      <w:proofErr w:type="spellStart"/>
      <w:r w:rsidR="00D8022B" w:rsidRPr="00C53B7C">
        <w:rPr>
          <w:rFonts w:ascii="Calibri" w:hAnsi="Calibri"/>
          <w:szCs w:val="20"/>
        </w:rPr>
        <w:t>UNWomen</w:t>
      </w:r>
      <w:proofErr w:type="spellEnd"/>
      <w:r w:rsidRPr="00C53B7C">
        <w:rPr>
          <w:rFonts w:ascii="Calibri" w:hAnsi="Calibri"/>
          <w:szCs w:val="20"/>
        </w:rPr>
        <w:t xml:space="preserve">, coordinated by </w:t>
      </w:r>
      <w:r w:rsidR="00D8022B" w:rsidRPr="00C53B7C">
        <w:rPr>
          <w:rFonts w:ascii="Calibri" w:hAnsi="Calibri"/>
          <w:szCs w:val="20"/>
        </w:rPr>
        <w:t>the Resident Coordinator</w:t>
      </w:r>
      <w:r w:rsidR="00573361" w:rsidRPr="00C53B7C">
        <w:rPr>
          <w:rFonts w:ascii="Calibri" w:hAnsi="Calibri"/>
          <w:szCs w:val="20"/>
        </w:rPr>
        <w:t xml:space="preserve"> and in partnership with the European Union</w:t>
      </w:r>
      <w:r w:rsidR="00D8022B" w:rsidRPr="00C53B7C">
        <w:rPr>
          <w:rFonts w:ascii="Calibri" w:hAnsi="Calibri"/>
          <w:szCs w:val="20"/>
        </w:rPr>
        <w:t xml:space="preserve">. </w:t>
      </w:r>
    </w:p>
    <w:p w14:paraId="4733796E" w14:textId="08AB5E87" w:rsidR="001B29DE" w:rsidRPr="00C53B7C" w:rsidRDefault="001B29DE" w:rsidP="0008666C">
      <w:pPr>
        <w:pStyle w:val="BodyText2"/>
        <w:numPr>
          <w:ilvl w:val="0"/>
          <w:numId w:val="23"/>
        </w:numPr>
        <w:spacing w:before="120"/>
        <w:ind w:left="714" w:hanging="357"/>
        <w:jc w:val="both"/>
        <w:rPr>
          <w:rFonts w:ascii="Calibri" w:hAnsi="Calibri"/>
          <w:szCs w:val="20"/>
        </w:rPr>
      </w:pPr>
      <w:r w:rsidRPr="00C53B7C">
        <w:rPr>
          <w:rFonts w:ascii="Calibri" w:hAnsi="Calibri"/>
          <w:szCs w:val="20"/>
        </w:rPr>
        <w:t xml:space="preserve">Women's Health and </w:t>
      </w:r>
      <w:r w:rsidR="00C23175" w:rsidRPr="00C53B7C">
        <w:rPr>
          <w:rFonts w:ascii="Calibri" w:hAnsi="Calibri"/>
          <w:szCs w:val="20"/>
        </w:rPr>
        <w:t xml:space="preserve">Life Experiences </w:t>
      </w:r>
      <w:r w:rsidRPr="00C53B7C">
        <w:rPr>
          <w:rFonts w:ascii="Calibri" w:hAnsi="Calibri"/>
          <w:szCs w:val="20"/>
        </w:rPr>
        <w:t xml:space="preserve">survey undertaken in collaboration with USAID, </w:t>
      </w:r>
      <w:proofErr w:type="spellStart"/>
      <w:r w:rsidRPr="00C53B7C">
        <w:rPr>
          <w:rFonts w:ascii="Calibri" w:hAnsi="Calibri"/>
          <w:szCs w:val="20"/>
        </w:rPr>
        <w:t>UNWomen</w:t>
      </w:r>
      <w:proofErr w:type="spellEnd"/>
      <w:r w:rsidRPr="00C53B7C">
        <w:rPr>
          <w:rFonts w:ascii="Calibri" w:hAnsi="Calibri"/>
          <w:szCs w:val="20"/>
        </w:rPr>
        <w:t>, the Inter-American Development Bank</w:t>
      </w:r>
      <w:r w:rsidR="00216733" w:rsidRPr="00C53B7C">
        <w:rPr>
          <w:rFonts w:ascii="Calibri" w:hAnsi="Calibri"/>
          <w:szCs w:val="20"/>
        </w:rPr>
        <w:t xml:space="preserve">, </w:t>
      </w:r>
      <w:r w:rsidRPr="00C53B7C">
        <w:rPr>
          <w:rFonts w:ascii="Calibri" w:hAnsi="Calibri"/>
          <w:szCs w:val="20"/>
        </w:rPr>
        <w:t>the Bureau of Statistics</w:t>
      </w:r>
      <w:r w:rsidR="00C23175" w:rsidRPr="00C53B7C">
        <w:rPr>
          <w:rFonts w:ascii="Calibri" w:hAnsi="Calibri"/>
          <w:szCs w:val="20"/>
        </w:rPr>
        <w:t>, Global Women’s Institute of George Washington University and the University of Guyana</w:t>
      </w:r>
      <w:r w:rsidR="00440EBD" w:rsidRPr="00C53B7C">
        <w:rPr>
          <w:rFonts w:ascii="Calibri" w:hAnsi="Calibri"/>
          <w:szCs w:val="20"/>
        </w:rPr>
        <w:t>.</w:t>
      </w:r>
      <w:r w:rsidRPr="00C53B7C">
        <w:rPr>
          <w:rFonts w:ascii="Calibri" w:hAnsi="Calibri"/>
          <w:szCs w:val="20"/>
        </w:rPr>
        <w:t xml:space="preserve"> </w:t>
      </w:r>
    </w:p>
    <w:p w14:paraId="7CF78276" w14:textId="77777777" w:rsidR="00800AD2" w:rsidRPr="00037115" w:rsidRDefault="00800AD2" w:rsidP="00FF5820">
      <w:pPr>
        <w:pStyle w:val="BodyText2"/>
        <w:rPr>
          <w:rFonts w:ascii="Calibri" w:hAnsi="Calibri"/>
          <w:sz w:val="28"/>
          <w:szCs w:val="28"/>
        </w:rPr>
      </w:pPr>
    </w:p>
    <w:p w14:paraId="0762854F" w14:textId="77777777" w:rsidR="003B11CB" w:rsidRPr="00037115" w:rsidRDefault="003B11CB" w:rsidP="003B11CB">
      <w:pPr>
        <w:pStyle w:val="BodyText2"/>
        <w:jc w:val="center"/>
        <w:rPr>
          <w:rFonts w:ascii="Times New Roman" w:hAnsi="Times New Roman"/>
          <w:b/>
          <w:sz w:val="28"/>
          <w:szCs w:val="28"/>
        </w:rPr>
      </w:pPr>
    </w:p>
    <w:p w14:paraId="69A0E7C3" w14:textId="77777777" w:rsidR="003B11CB" w:rsidRPr="00037115" w:rsidRDefault="003B11CB" w:rsidP="003B11CB">
      <w:pPr>
        <w:pStyle w:val="BodyText2"/>
        <w:jc w:val="center"/>
        <w:rPr>
          <w:rFonts w:ascii="Times New Roman" w:hAnsi="Times New Roman"/>
          <w:b/>
          <w:sz w:val="28"/>
          <w:szCs w:val="28"/>
        </w:rPr>
        <w:sectPr w:rsidR="003B11CB" w:rsidRPr="00037115">
          <w:footerReference w:type="default" r:id="rId13"/>
          <w:endnotePr>
            <w:numFmt w:val="decimal"/>
          </w:endnotePr>
          <w:pgSz w:w="11907" w:h="16840" w:code="9"/>
          <w:pgMar w:top="1440" w:right="1440" w:bottom="1440" w:left="1440" w:header="720" w:footer="720" w:gutter="0"/>
          <w:cols w:space="720"/>
        </w:sectPr>
      </w:pPr>
    </w:p>
    <w:p w14:paraId="5CE8094B" w14:textId="77777777" w:rsidR="003B11CB" w:rsidRPr="00C53B7C" w:rsidRDefault="003B11CB" w:rsidP="003B11CB">
      <w:pPr>
        <w:pStyle w:val="Heading3"/>
        <w:jc w:val="left"/>
        <w:rPr>
          <w:rFonts w:ascii="Calibri" w:hAnsi="Calibri"/>
          <w:b/>
          <w:sz w:val="20"/>
          <w:szCs w:val="20"/>
        </w:rPr>
      </w:pPr>
      <w:r w:rsidRPr="00C53B7C">
        <w:rPr>
          <w:rFonts w:ascii="Calibri" w:hAnsi="Calibri"/>
          <w:b/>
          <w:sz w:val="20"/>
          <w:szCs w:val="20"/>
        </w:rPr>
        <w:lastRenderedPageBreak/>
        <w:t>II: Country Programme Performance Summary</w:t>
      </w:r>
    </w:p>
    <w:p w14:paraId="4CB959D6" w14:textId="77777777" w:rsidR="003B11CB" w:rsidRPr="00037115" w:rsidRDefault="003B11CB" w:rsidP="003B11CB">
      <w:pPr>
        <w:pStyle w:val="BodyText2"/>
        <w:jc w:val="center"/>
        <w:rPr>
          <w:rFonts w:ascii="Times New Roman" w:hAnsi="Times New Roman"/>
          <w:b/>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3B11CB" w:rsidRPr="00C53B7C" w14:paraId="30EDD206" w14:textId="77777777" w:rsidTr="005304FE">
        <w:tc>
          <w:tcPr>
            <w:tcW w:w="3150" w:type="dxa"/>
            <w:gridSpan w:val="2"/>
            <w:tcBorders>
              <w:right w:val="nil"/>
            </w:tcBorders>
            <w:shd w:val="clear" w:color="auto" w:fill="FFC000"/>
          </w:tcPr>
          <w:p w14:paraId="7DB84D8A" w14:textId="77777777" w:rsidR="003B11CB" w:rsidRPr="00C53B7C" w:rsidRDefault="003B11CB" w:rsidP="003F4D86">
            <w:pPr>
              <w:pStyle w:val="BodyText2"/>
              <w:rPr>
                <w:rFonts w:ascii="Calibri" w:hAnsi="Calibri"/>
                <w:b/>
                <w:szCs w:val="20"/>
              </w:rPr>
            </w:pPr>
            <w:r w:rsidRPr="00C53B7C">
              <w:rPr>
                <w:rFonts w:ascii="Calibri" w:hAnsi="Calibri"/>
                <w:b/>
                <w:szCs w:val="20"/>
              </w:rPr>
              <w:t>Country information</w:t>
            </w:r>
          </w:p>
        </w:tc>
        <w:tc>
          <w:tcPr>
            <w:tcW w:w="10890" w:type="dxa"/>
            <w:gridSpan w:val="3"/>
            <w:tcBorders>
              <w:left w:val="nil"/>
            </w:tcBorders>
            <w:shd w:val="clear" w:color="auto" w:fill="FFC000"/>
          </w:tcPr>
          <w:p w14:paraId="2283AF6E" w14:textId="77777777" w:rsidR="003B11CB" w:rsidRPr="00C53B7C" w:rsidRDefault="003B11CB" w:rsidP="003F4D86">
            <w:pPr>
              <w:pStyle w:val="BodyText2"/>
              <w:rPr>
                <w:rFonts w:ascii="Calibri" w:hAnsi="Calibri"/>
                <w:b/>
                <w:szCs w:val="20"/>
              </w:rPr>
            </w:pPr>
          </w:p>
        </w:tc>
      </w:tr>
      <w:tr w:rsidR="003B11CB" w:rsidRPr="00C53B7C" w14:paraId="23D4F012" w14:textId="77777777" w:rsidTr="005304FE">
        <w:tc>
          <w:tcPr>
            <w:tcW w:w="14040" w:type="dxa"/>
            <w:gridSpan w:val="5"/>
          </w:tcPr>
          <w:p w14:paraId="2E9EF976" w14:textId="16DE99CA" w:rsidR="003B11CB" w:rsidRPr="00C53B7C" w:rsidRDefault="003B11CB" w:rsidP="003F4D86">
            <w:pPr>
              <w:pStyle w:val="BodyText2"/>
              <w:rPr>
                <w:rFonts w:ascii="Calibri" w:hAnsi="Calibri"/>
                <w:b/>
                <w:szCs w:val="20"/>
              </w:rPr>
            </w:pPr>
            <w:r w:rsidRPr="00C53B7C">
              <w:rPr>
                <w:rFonts w:ascii="Calibri" w:hAnsi="Calibri"/>
                <w:b/>
                <w:szCs w:val="20"/>
              </w:rPr>
              <w:t>Country name:</w:t>
            </w:r>
            <w:r w:rsidR="008560A1" w:rsidRPr="00C53B7C">
              <w:rPr>
                <w:rFonts w:ascii="Calibri" w:hAnsi="Calibri"/>
                <w:b/>
                <w:szCs w:val="20"/>
              </w:rPr>
              <w:t xml:space="preserve"> GUYANA</w:t>
            </w:r>
          </w:p>
        </w:tc>
      </w:tr>
      <w:tr w:rsidR="003B11CB" w:rsidRPr="00C53B7C" w14:paraId="245A18E3" w14:textId="77777777" w:rsidTr="005304FE">
        <w:tc>
          <w:tcPr>
            <w:tcW w:w="14040" w:type="dxa"/>
            <w:gridSpan w:val="5"/>
          </w:tcPr>
          <w:p w14:paraId="3B0AB1F7" w14:textId="08214136" w:rsidR="003B11CB" w:rsidRPr="00C53B7C" w:rsidRDefault="003B11CB" w:rsidP="003F4D86">
            <w:pPr>
              <w:pStyle w:val="BodyText2"/>
              <w:rPr>
                <w:rFonts w:ascii="Calibri" w:hAnsi="Calibri"/>
                <w:b/>
                <w:szCs w:val="20"/>
              </w:rPr>
            </w:pPr>
            <w:r w:rsidRPr="00C53B7C">
              <w:rPr>
                <w:rFonts w:ascii="Calibri" w:hAnsi="Calibri"/>
                <w:b/>
                <w:szCs w:val="20"/>
              </w:rPr>
              <w:t>Current country programme period:</w:t>
            </w:r>
            <w:r w:rsidR="008560A1" w:rsidRPr="00C53B7C">
              <w:rPr>
                <w:rFonts w:ascii="Calibri" w:hAnsi="Calibri"/>
                <w:b/>
                <w:szCs w:val="20"/>
              </w:rPr>
              <w:t xml:space="preserve"> 2017-2021</w:t>
            </w:r>
          </w:p>
        </w:tc>
      </w:tr>
      <w:tr w:rsidR="003B11CB" w:rsidRPr="00C53B7C" w14:paraId="7F0EE83F" w14:textId="77777777" w:rsidTr="005304FE">
        <w:tc>
          <w:tcPr>
            <w:tcW w:w="3150" w:type="dxa"/>
            <w:gridSpan w:val="2"/>
          </w:tcPr>
          <w:p w14:paraId="2F79933C" w14:textId="77777777" w:rsidR="003B11CB" w:rsidRPr="00C53B7C" w:rsidRDefault="003B11CB" w:rsidP="003F4D86">
            <w:pPr>
              <w:pStyle w:val="BodyText2"/>
              <w:rPr>
                <w:rFonts w:ascii="Calibri" w:hAnsi="Calibri"/>
                <w:b/>
                <w:szCs w:val="20"/>
              </w:rPr>
            </w:pPr>
            <w:r w:rsidRPr="00C53B7C">
              <w:rPr>
                <w:rFonts w:ascii="Calibri" w:hAnsi="Calibri"/>
                <w:b/>
                <w:szCs w:val="20"/>
              </w:rPr>
              <w:t>Outcomes</w:t>
            </w:r>
          </w:p>
        </w:tc>
        <w:tc>
          <w:tcPr>
            <w:tcW w:w="1440" w:type="dxa"/>
            <w:shd w:val="clear" w:color="auto" w:fill="auto"/>
          </w:tcPr>
          <w:p w14:paraId="6612254F" w14:textId="77777777" w:rsidR="003B11CB" w:rsidRPr="00C53B7C" w:rsidRDefault="003B11CB" w:rsidP="003F4D86">
            <w:pPr>
              <w:pStyle w:val="BodyText2"/>
              <w:rPr>
                <w:rFonts w:ascii="Calibri" w:hAnsi="Calibri"/>
                <w:b/>
                <w:szCs w:val="20"/>
              </w:rPr>
            </w:pPr>
            <w:r w:rsidRPr="00C53B7C">
              <w:rPr>
                <w:rFonts w:ascii="Calibri" w:hAnsi="Calibri"/>
                <w:b/>
                <w:szCs w:val="20"/>
              </w:rPr>
              <w:t>Total Expenditure</w:t>
            </w:r>
          </w:p>
        </w:tc>
        <w:tc>
          <w:tcPr>
            <w:tcW w:w="3960" w:type="dxa"/>
            <w:tcBorders>
              <w:left w:val="single" w:sz="4" w:space="0" w:color="auto"/>
            </w:tcBorders>
          </w:tcPr>
          <w:p w14:paraId="612E3099" w14:textId="77777777" w:rsidR="003B11CB" w:rsidRPr="00C53B7C" w:rsidRDefault="003B11CB" w:rsidP="003F4D86">
            <w:pPr>
              <w:pStyle w:val="BodyText2"/>
              <w:rPr>
                <w:rFonts w:ascii="Calibri" w:hAnsi="Calibri"/>
                <w:b/>
                <w:szCs w:val="20"/>
              </w:rPr>
            </w:pPr>
            <w:r w:rsidRPr="00C53B7C">
              <w:rPr>
                <w:rFonts w:ascii="Calibri" w:hAnsi="Calibri"/>
                <w:b/>
                <w:szCs w:val="20"/>
              </w:rPr>
              <w:t>Key Indicators of outcome (1-4 per outcome)</w:t>
            </w:r>
          </w:p>
        </w:tc>
        <w:tc>
          <w:tcPr>
            <w:tcW w:w="5490" w:type="dxa"/>
          </w:tcPr>
          <w:p w14:paraId="440B42CF" w14:textId="77777777" w:rsidR="003B11CB" w:rsidRPr="00C53B7C" w:rsidRDefault="003B11CB" w:rsidP="003F4D86">
            <w:pPr>
              <w:pStyle w:val="BodyText2"/>
              <w:rPr>
                <w:rFonts w:ascii="Calibri" w:hAnsi="Calibri"/>
                <w:b/>
                <w:szCs w:val="20"/>
              </w:rPr>
            </w:pPr>
            <w:r w:rsidRPr="00C53B7C">
              <w:rPr>
                <w:rFonts w:ascii="Calibri" w:hAnsi="Calibri"/>
                <w:b/>
                <w:szCs w:val="20"/>
              </w:rPr>
              <w:t>Progress made against key indicators</w:t>
            </w:r>
          </w:p>
        </w:tc>
      </w:tr>
      <w:tr w:rsidR="003B11CB" w:rsidRPr="00C53B7C" w14:paraId="1399E727" w14:textId="77777777" w:rsidTr="005304FE">
        <w:tc>
          <w:tcPr>
            <w:tcW w:w="3150" w:type="dxa"/>
            <w:gridSpan w:val="2"/>
            <w:tcBorders>
              <w:bottom w:val="single" w:sz="4" w:space="0" w:color="auto"/>
            </w:tcBorders>
            <w:shd w:val="clear" w:color="auto" w:fill="8EAADB"/>
          </w:tcPr>
          <w:p w14:paraId="79F0AC0C" w14:textId="518107EB" w:rsidR="003B11CB" w:rsidRPr="00C53B7C" w:rsidRDefault="003B11CB" w:rsidP="003F4D86">
            <w:pPr>
              <w:pStyle w:val="BodyText2"/>
              <w:rPr>
                <w:rFonts w:ascii="Calibri" w:hAnsi="Calibri"/>
                <w:b/>
                <w:szCs w:val="20"/>
              </w:rPr>
            </w:pPr>
            <w:r w:rsidRPr="00C53B7C">
              <w:rPr>
                <w:rFonts w:ascii="Calibri" w:hAnsi="Calibri"/>
                <w:b/>
                <w:szCs w:val="20"/>
              </w:rPr>
              <w:t xml:space="preserve">1. </w:t>
            </w:r>
            <w:r w:rsidR="008560A1" w:rsidRPr="00C53B7C">
              <w:rPr>
                <w:rFonts w:ascii="Calibri" w:hAnsi="Calibri"/>
                <w:b/>
                <w:szCs w:val="20"/>
              </w:rPr>
              <w:t>Universal access to quality health-care services and systems improved (MSDCF Outcome 1)</w:t>
            </w:r>
            <w:r w:rsidRPr="00C53B7C">
              <w:rPr>
                <w:rFonts w:ascii="Calibri" w:hAnsi="Calibri"/>
                <w:b/>
                <w:i/>
                <w:szCs w:val="20"/>
              </w:rPr>
              <w:t>.</w:t>
            </w:r>
          </w:p>
        </w:tc>
        <w:tc>
          <w:tcPr>
            <w:tcW w:w="1440" w:type="dxa"/>
            <w:tcBorders>
              <w:bottom w:val="single" w:sz="4" w:space="0" w:color="auto"/>
            </w:tcBorders>
            <w:shd w:val="clear" w:color="auto" w:fill="auto"/>
          </w:tcPr>
          <w:p w14:paraId="21054F9B" w14:textId="4B2B846E" w:rsidR="003B11CB" w:rsidRPr="00C53B7C" w:rsidRDefault="00121F6A" w:rsidP="003F4D86">
            <w:pPr>
              <w:pStyle w:val="BodyText2"/>
              <w:rPr>
                <w:rFonts w:ascii="Calibri" w:hAnsi="Calibri"/>
                <w:szCs w:val="20"/>
              </w:rPr>
            </w:pPr>
            <w:r w:rsidRPr="00C53B7C">
              <w:rPr>
                <w:rFonts w:ascii="Calibri" w:hAnsi="Calibri"/>
                <w:szCs w:val="20"/>
              </w:rPr>
              <w:t>$0.03M</w:t>
            </w:r>
          </w:p>
        </w:tc>
        <w:tc>
          <w:tcPr>
            <w:tcW w:w="3960" w:type="dxa"/>
            <w:tcBorders>
              <w:left w:val="single" w:sz="4" w:space="0" w:color="auto"/>
              <w:bottom w:val="single" w:sz="4" w:space="0" w:color="auto"/>
            </w:tcBorders>
          </w:tcPr>
          <w:p w14:paraId="1ADA9788" w14:textId="6D604CC3" w:rsidR="003B11CB" w:rsidRPr="00C53B7C" w:rsidRDefault="008560A1" w:rsidP="008560A1">
            <w:pPr>
              <w:pStyle w:val="BodyText2"/>
              <w:numPr>
                <w:ilvl w:val="0"/>
                <w:numId w:val="13"/>
              </w:numPr>
              <w:rPr>
                <w:rFonts w:ascii="Calibri" w:hAnsi="Calibri"/>
                <w:i/>
                <w:szCs w:val="20"/>
              </w:rPr>
            </w:pPr>
            <w:r w:rsidRPr="00C53B7C">
              <w:rPr>
                <w:rFonts w:ascii="Calibri" w:hAnsi="Calibri"/>
                <w:i/>
                <w:szCs w:val="20"/>
              </w:rPr>
              <w:t>Percentage of births attended by skilled health personnel; Baseline: 92% (2014); Target: 100% (2021)</w:t>
            </w:r>
          </w:p>
          <w:p w14:paraId="1F82BD52" w14:textId="77777777" w:rsidR="008560A1" w:rsidRPr="00C53B7C" w:rsidRDefault="008560A1" w:rsidP="008560A1">
            <w:pPr>
              <w:pStyle w:val="BodyText2"/>
              <w:numPr>
                <w:ilvl w:val="0"/>
                <w:numId w:val="13"/>
              </w:numPr>
              <w:rPr>
                <w:rFonts w:ascii="Calibri" w:hAnsi="Calibri"/>
                <w:i/>
                <w:szCs w:val="20"/>
              </w:rPr>
            </w:pPr>
            <w:r w:rsidRPr="00C53B7C">
              <w:rPr>
                <w:rFonts w:ascii="Calibri" w:hAnsi="Calibri"/>
                <w:i/>
                <w:szCs w:val="20"/>
              </w:rPr>
              <w:t>HIV coverage: 90/90/90 (age, gender, key groups); Baseline: ART coverage (nº, %:</w:t>
            </w:r>
          </w:p>
          <w:p w14:paraId="4EF4035D" w14:textId="4101E7C1" w:rsidR="003B11CB" w:rsidRPr="00C53B7C" w:rsidRDefault="008560A1" w:rsidP="001B4FA0">
            <w:pPr>
              <w:pStyle w:val="BodyText2"/>
              <w:ind w:left="360"/>
              <w:rPr>
                <w:rFonts w:ascii="Calibri" w:hAnsi="Calibri"/>
                <w:i/>
                <w:szCs w:val="20"/>
              </w:rPr>
            </w:pPr>
            <w:r w:rsidRPr="00C53B7C">
              <w:rPr>
                <w:rFonts w:ascii="Calibri" w:hAnsi="Calibri"/>
                <w:i/>
                <w:szCs w:val="20"/>
              </w:rPr>
              <w:t>&gt; 15 yrs. Old: 4,121 (45%)</w:t>
            </w:r>
            <w:r w:rsidR="001B4FA0" w:rsidRPr="00C53B7C">
              <w:rPr>
                <w:rFonts w:ascii="Calibri" w:hAnsi="Calibri"/>
                <w:i/>
                <w:szCs w:val="20"/>
              </w:rPr>
              <w:t xml:space="preserve">; </w:t>
            </w:r>
            <w:r w:rsidRPr="00C53B7C">
              <w:rPr>
                <w:rFonts w:ascii="Calibri" w:hAnsi="Calibri"/>
                <w:i/>
                <w:szCs w:val="20"/>
              </w:rPr>
              <w:t>0-14 yrs. Old: 174 (42%)</w:t>
            </w:r>
            <w:r w:rsidR="001B4FA0" w:rsidRPr="00C53B7C">
              <w:rPr>
                <w:rFonts w:ascii="Calibri" w:hAnsi="Calibri"/>
                <w:i/>
                <w:szCs w:val="20"/>
              </w:rPr>
              <w:t xml:space="preserve">; </w:t>
            </w:r>
            <w:r w:rsidRPr="00C53B7C">
              <w:rPr>
                <w:rFonts w:ascii="Calibri" w:hAnsi="Calibri"/>
                <w:i/>
                <w:szCs w:val="20"/>
              </w:rPr>
              <w:t>Target: 90%</w:t>
            </w:r>
          </w:p>
        </w:tc>
        <w:tc>
          <w:tcPr>
            <w:tcW w:w="5490" w:type="dxa"/>
            <w:tcBorders>
              <w:bottom w:val="single" w:sz="4" w:space="0" w:color="auto"/>
            </w:tcBorders>
            <w:shd w:val="clear" w:color="auto" w:fill="auto"/>
          </w:tcPr>
          <w:p w14:paraId="0231E127" w14:textId="0CC1210D" w:rsidR="003B11CB" w:rsidRPr="00C53B7C" w:rsidRDefault="00BE277D" w:rsidP="003F4D86">
            <w:pPr>
              <w:pStyle w:val="BodyText2"/>
              <w:numPr>
                <w:ilvl w:val="0"/>
                <w:numId w:val="14"/>
              </w:numPr>
              <w:rPr>
                <w:rFonts w:ascii="Calibri" w:hAnsi="Calibri"/>
                <w:i/>
                <w:szCs w:val="20"/>
              </w:rPr>
            </w:pPr>
            <w:r w:rsidRPr="00C53B7C">
              <w:rPr>
                <w:rFonts w:ascii="Calibri" w:hAnsi="Calibri"/>
                <w:i/>
                <w:szCs w:val="20"/>
              </w:rPr>
              <w:t>--</w:t>
            </w:r>
            <w:r w:rsidR="003B11CB" w:rsidRPr="00C53B7C">
              <w:rPr>
                <w:rFonts w:ascii="Calibri" w:hAnsi="Calibri"/>
                <w:i/>
                <w:szCs w:val="20"/>
              </w:rPr>
              <w:t>.</w:t>
            </w:r>
          </w:p>
          <w:p w14:paraId="1D20EFBD" w14:textId="2137F543" w:rsidR="003B11CB" w:rsidRPr="00C53B7C" w:rsidRDefault="00B43B58" w:rsidP="003F4D86">
            <w:pPr>
              <w:pStyle w:val="BodyText2"/>
              <w:numPr>
                <w:ilvl w:val="0"/>
                <w:numId w:val="14"/>
              </w:numPr>
              <w:rPr>
                <w:rFonts w:ascii="Calibri" w:hAnsi="Calibri"/>
                <w:i/>
                <w:szCs w:val="20"/>
              </w:rPr>
            </w:pPr>
            <w:r w:rsidRPr="00C53B7C">
              <w:rPr>
                <w:rFonts w:ascii="Calibri" w:hAnsi="Calibri"/>
                <w:i/>
                <w:szCs w:val="20"/>
              </w:rPr>
              <w:t>(2019 data) 8,700 PLHIVs; 94% aware of their HIV status (first 90 achieved); 73% on sustained antiretroviral therapy; 75% virally supressed.</w:t>
            </w:r>
          </w:p>
        </w:tc>
      </w:tr>
      <w:tr w:rsidR="003B11CB" w:rsidRPr="00C53B7C" w14:paraId="14F01D28" w14:textId="77777777" w:rsidTr="005304FE">
        <w:tc>
          <w:tcPr>
            <w:tcW w:w="14040" w:type="dxa"/>
            <w:gridSpan w:val="5"/>
          </w:tcPr>
          <w:p w14:paraId="12456D35" w14:textId="77777777" w:rsidR="003B11CB" w:rsidRPr="00C53B7C" w:rsidRDefault="003B11CB" w:rsidP="003F4D86">
            <w:pPr>
              <w:pStyle w:val="BodyText2"/>
              <w:rPr>
                <w:rFonts w:ascii="Calibri" w:hAnsi="Calibri"/>
                <w:b/>
                <w:szCs w:val="20"/>
              </w:rPr>
            </w:pPr>
            <w:r w:rsidRPr="00C53B7C">
              <w:rPr>
                <w:rFonts w:ascii="Calibri" w:hAnsi="Calibri"/>
                <w:b/>
                <w:szCs w:val="20"/>
              </w:rPr>
              <w:t>UNDP Contribution:</w:t>
            </w:r>
          </w:p>
          <w:p w14:paraId="1C279D88" w14:textId="77777777" w:rsidR="00AF012F" w:rsidRPr="00C53B7C" w:rsidRDefault="00AF012F" w:rsidP="003F4D86">
            <w:pPr>
              <w:pStyle w:val="BodyText2"/>
              <w:rPr>
                <w:rFonts w:ascii="Calibri" w:hAnsi="Calibri"/>
                <w:szCs w:val="20"/>
              </w:rPr>
            </w:pPr>
          </w:p>
          <w:p w14:paraId="1623DE70" w14:textId="17578D1F" w:rsidR="00800AD2" w:rsidRPr="00C53B7C" w:rsidRDefault="00EB27D4" w:rsidP="00800AD2">
            <w:pPr>
              <w:pStyle w:val="BodyText2"/>
              <w:autoSpaceDE/>
              <w:autoSpaceDN/>
              <w:adjustRightInd/>
              <w:rPr>
                <w:rFonts w:ascii="Calibri" w:hAnsi="Calibri"/>
                <w:szCs w:val="20"/>
              </w:rPr>
            </w:pPr>
            <w:r w:rsidRPr="00C53B7C">
              <w:rPr>
                <w:rFonts w:ascii="Calibri" w:hAnsi="Calibri"/>
                <w:szCs w:val="20"/>
              </w:rPr>
              <w:t xml:space="preserve">The UNDP contribution </w:t>
            </w:r>
            <w:r w:rsidR="00800AD2" w:rsidRPr="00C53B7C">
              <w:rPr>
                <w:rFonts w:ascii="Calibri" w:hAnsi="Calibri"/>
                <w:szCs w:val="20"/>
              </w:rPr>
              <w:t>to th</w:t>
            </w:r>
            <w:r w:rsidR="00671BCB" w:rsidRPr="00C53B7C">
              <w:rPr>
                <w:rFonts w:ascii="Calibri" w:hAnsi="Calibri"/>
                <w:szCs w:val="20"/>
              </w:rPr>
              <w:t xml:space="preserve">is </w:t>
            </w:r>
            <w:r w:rsidR="00800AD2" w:rsidRPr="00C53B7C">
              <w:rPr>
                <w:rFonts w:ascii="Calibri" w:hAnsi="Calibri"/>
                <w:szCs w:val="20"/>
              </w:rPr>
              <w:t xml:space="preserve">outcome </w:t>
            </w:r>
            <w:r w:rsidR="00671BCB" w:rsidRPr="00C53B7C">
              <w:rPr>
                <w:rFonts w:ascii="Calibri" w:hAnsi="Calibri"/>
                <w:szCs w:val="20"/>
              </w:rPr>
              <w:t xml:space="preserve">derived from its </w:t>
            </w:r>
            <w:r w:rsidR="00800AD2" w:rsidRPr="00C53B7C">
              <w:rPr>
                <w:rFonts w:ascii="Calibri" w:hAnsi="Calibri"/>
                <w:szCs w:val="20"/>
              </w:rPr>
              <w:t>focus on expanding the proportion of HIV coverage</w:t>
            </w:r>
            <w:r w:rsidR="00CC5B48" w:rsidRPr="00C53B7C">
              <w:rPr>
                <w:rFonts w:ascii="Calibri" w:hAnsi="Calibri"/>
                <w:szCs w:val="20"/>
              </w:rPr>
              <w:t xml:space="preserve"> through </w:t>
            </w:r>
            <w:r w:rsidR="00800AD2" w:rsidRPr="00C53B7C">
              <w:rPr>
                <w:rFonts w:ascii="Calibri" w:hAnsi="Calibri"/>
                <w:szCs w:val="20"/>
              </w:rPr>
              <w:t>support</w:t>
            </w:r>
            <w:r w:rsidR="00CC5B48" w:rsidRPr="00C53B7C">
              <w:rPr>
                <w:rFonts w:ascii="Calibri" w:hAnsi="Calibri"/>
                <w:szCs w:val="20"/>
              </w:rPr>
              <w:t xml:space="preserve"> to </w:t>
            </w:r>
            <w:r w:rsidR="00800AD2" w:rsidRPr="00C53B7C">
              <w:rPr>
                <w:rFonts w:ascii="Calibri" w:hAnsi="Calibri"/>
                <w:szCs w:val="20"/>
              </w:rPr>
              <w:t>relevant institutions</w:t>
            </w:r>
            <w:r w:rsidR="00CC5B48" w:rsidRPr="00C53B7C">
              <w:rPr>
                <w:rFonts w:ascii="Calibri" w:hAnsi="Calibri"/>
                <w:szCs w:val="20"/>
              </w:rPr>
              <w:t xml:space="preserve">, making significant contributions towards the </w:t>
            </w:r>
            <w:r w:rsidR="00800AD2" w:rsidRPr="00C53B7C">
              <w:rPr>
                <w:rFonts w:ascii="Calibri" w:hAnsi="Calibri"/>
                <w:szCs w:val="20"/>
              </w:rPr>
              <w:t>targeted 90%.</w:t>
            </w:r>
            <w:r w:rsidR="00CC5B48" w:rsidRPr="00C53B7C">
              <w:rPr>
                <w:rFonts w:ascii="Calibri" w:hAnsi="Calibri"/>
                <w:szCs w:val="20"/>
              </w:rPr>
              <w:t xml:space="preserve"> </w:t>
            </w:r>
          </w:p>
          <w:p w14:paraId="52F34AC5" w14:textId="79192921" w:rsidR="00EB27D4" w:rsidRPr="00C53B7C" w:rsidRDefault="00EB27D4" w:rsidP="003F4D86">
            <w:pPr>
              <w:pStyle w:val="BodyText2"/>
              <w:rPr>
                <w:rFonts w:ascii="Calibri" w:hAnsi="Calibri"/>
                <w:szCs w:val="20"/>
              </w:rPr>
            </w:pPr>
          </w:p>
          <w:p w14:paraId="62CF7E01" w14:textId="6BC316C0" w:rsidR="001227EF" w:rsidRPr="00C53B7C" w:rsidRDefault="00BB6A6B" w:rsidP="001227EF">
            <w:pPr>
              <w:pStyle w:val="BodyText2"/>
              <w:rPr>
                <w:rFonts w:ascii="Calibri" w:hAnsi="Calibri"/>
                <w:szCs w:val="20"/>
              </w:rPr>
            </w:pPr>
            <w:r w:rsidRPr="00C53B7C">
              <w:rPr>
                <w:rFonts w:ascii="Calibri" w:hAnsi="Calibri"/>
                <w:szCs w:val="20"/>
              </w:rPr>
              <w:t>Through this work, UNDP contribute</w:t>
            </w:r>
            <w:r w:rsidR="00CC5B48" w:rsidRPr="00C53B7C">
              <w:rPr>
                <w:rFonts w:ascii="Calibri" w:hAnsi="Calibri"/>
                <w:szCs w:val="20"/>
              </w:rPr>
              <w:t>d</w:t>
            </w:r>
            <w:r w:rsidRPr="00C53B7C">
              <w:rPr>
                <w:rFonts w:ascii="Calibri" w:hAnsi="Calibri"/>
                <w:szCs w:val="20"/>
              </w:rPr>
              <w:t xml:space="preserve"> to Outcome 3 of the 2014-2017 </w:t>
            </w:r>
            <w:r w:rsidR="001227EF" w:rsidRPr="00C53B7C">
              <w:rPr>
                <w:rFonts w:ascii="Calibri" w:hAnsi="Calibri"/>
                <w:szCs w:val="20"/>
              </w:rPr>
              <w:t xml:space="preserve">Strategic Plan, </w:t>
            </w:r>
            <w:r w:rsidRPr="00C53B7C">
              <w:rPr>
                <w:rFonts w:ascii="Calibri" w:hAnsi="Calibri"/>
                <w:szCs w:val="20"/>
              </w:rPr>
              <w:t>‘</w:t>
            </w:r>
            <w:r w:rsidR="001227EF" w:rsidRPr="00C53B7C">
              <w:rPr>
                <w:rFonts w:ascii="Calibri" w:hAnsi="Calibri"/>
                <w:i/>
                <w:iCs/>
                <w:szCs w:val="20"/>
              </w:rPr>
              <w:t>Countries have strengthened institutions to progressively deliver universal access to basic services</w:t>
            </w:r>
            <w:r w:rsidRPr="00C53B7C">
              <w:rPr>
                <w:rFonts w:ascii="Calibri" w:hAnsi="Calibri"/>
                <w:szCs w:val="20"/>
              </w:rPr>
              <w:t xml:space="preserve">.’ </w:t>
            </w:r>
            <w:r w:rsidR="0024591C" w:rsidRPr="00C53B7C">
              <w:rPr>
                <w:rFonts w:ascii="Calibri" w:hAnsi="Calibri"/>
                <w:szCs w:val="20"/>
              </w:rPr>
              <w:t>It also contributed to Outcome 1 of the 2018-2021 Strategic Plan, ‘</w:t>
            </w:r>
            <w:r w:rsidR="0024591C" w:rsidRPr="00C53B7C">
              <w:rPr>
                <w:rFonts w:ascii="Calibri" w:hAnsi="Calibri"/>
                <w:i/>
                <w:iCs/>
                <w:szCs w:val="20"/>
              </w:rPr>
              <w:t>Eradicate poverty in all its forms and dimension</w:t>
            </w:r>
            <w:r w:rsidR="0024591C" w:rsidRPr="00C53B7C">
              <w:rPr>
                <w:rFonts w:ascii="Calibri" w:hAnsi="Calibri"/>
                <w:szCs w:val="20"/>
              </w:rPr>
              <w:t xml:space="preserve">.’ </w:t>
            </w:r>
            <w:r w:rsidRPr="00C53B7C">
              <w:rPr>
                <w:rFonts w:ascii="Calibri" w:hAnsi="Calibri"/>
                <w:szCs w:val="20"/>
              </w:rPr>
              <w:t>In terms of SDGs, it</w:t>
            </w:r>
            <w:r w:rsidR="00CC5B48" w:rsidRPr="00C53B7C">
              <w:rPr>
                <w:rFonts w:ascii="Calibri" w:hAnsi="Calibri"/>
                <w:szCs w:val="20"/>
              </w:rPr>
              <w:t xml:space="preserve">’s </w:t>
            </w:r>
            <w:r w:rsidRPr="00C53B7C">
              <w:rPr>
                <w:rFonts w:ascii="Calibri" w:hAnsi="Calibri"/>
                <w:szCs w:val="20"/>
              </w:rPr>
              <w:t>refer</w:t>
            </w:r>
            <w:r w:rsidR="00CC5B48" w:rsidRPr="00C53B7C">
              <w:rPr>
                <w:rFonts w:ascii="Calibri" w:hAnsi="Calibri"/>
                <w:szCs w:val="20"/>
              </w:rPr>
              <w:t>red</w:t>
            </w:r>
            <w:r w:rsidRPr="00C53B7C">
              <w:rPr>
                <w:rFonts w:ascii="Calibri" w:hAnsi="Calibri"/>
                <w:szCs w:val="20"/>
              </w:rPr>
              <w:t xml:space="preserve"> directly to SDG 3 (Health), and indirectly to SDGs 1 (Poverty) and 10 (Inequality)</w:t>
            </w:r>
            <w:r w:rsidR="00AE32E5" w:rsidRPr="00C53B7C">
              <w:rPr>
                <w:rFonts w:ascii="Calibri" w:hAnsi="Calibri"/>
                <w:szCs w:val="20"/>
              </w:rPr>
              <w:t>.</w:t>
            </w:r>
          </w:p>
          <w:p w14:paraId="6E696733" w14:textId="77777777" w:rsidR="003B11CB" w:rsidRPr="00C53B7C" w:rsidRDefault="003B11CB" w:rsidP="003F4D86">
            <w:pPr>
              <w:pStyle w:val="BodyText2"/>
              <w:rPr>
                <w:rFonts w:ascii="Calibri" w:hAnsi="Calibri"/>
                <w:szCs w:val="20"/>
              </w:rPr>
            </w:pPr>
          </w:p>
          <w:p w14:paraId="5CA8FB46" w14:textId="77777777" w:rsidR="003B11CB" w:rsidRPr="00C53B7C" w:rsidRDefault="003B11CB" w:rsidP="003F4D86">
            <w:pPr>
              <w:pStyle w:val="BodyText2"/>
              <w:rPr>
                <w:rFonts w:ascii="Calibri" w:hAnsi="Calibri"/>
                <w:szCs w:val="20"/>
              </w:rPr>
            </w:pPr>
            <w:r w:rsidRPr="00C53B7C">
              <w:rPr>
                <w:rFonts w:ascii="Calibri" w:hAnsi="Calibri"/>
                <w:szCs w:val="20"/>
                <w:u w:val="single"/>
              </w:rPr>
              <w:t>CP Outputs</w:t>
            </w:r>
            <w:r w:rsidRPr="00C53B7C">
              <w:rPr>
                <w:rFonts w:ascii="Calibri" w:hAnsi="Calibri"/>
                <w:szCs w:val="20"/>
              </w:rPr>
              <w:t>:</w:t>
            </w:r>
          </w:p>
          <w:p w14:paraId="00D6E2DD" w14:textId="23804427" w:rsidR="00E2222D" w:rsidRPr="00C53B7C" w:rsidRDefault="00E2222D" w:rsidP="00E2222D">
            <w:pPr>
              <w:pStyle w:val="BodyText2"/>
              <w:rPr>
                <w:rFonts w:ascii="Calibri" w:hAnsi="Calibri"/>
                <w:iCs/>
                <w:szCs w:val="20"/>
              </w:rPr>
            </w:pPr>
            <w:r w:rsidRPr="00C53B7C">
              <w:rPr>
                <w:rFonts w:ascii="Calibri" w:hAnsi="Calibri"/>
                <w:iCs/>
                <w:szCs w:val="20"/>
              </w:rPr>
              <w:t>The indicative output(s) identified in the CP were: (1) National and subnational institutions and organizations’ capacities strengthened for the delivery of maternal health and related services; (</w:t>
            </w:r>
            <w:r w:rsidR="00E9146D" w:rsidRPr="00C53B7C">
              <w:rPr>
                <w:rFonts w:ascii="Calibri" w:hAnsi="Calibri"/>
                <w:iCs/>
                <w:szCs w:val="20"/>
              </w:rPr>
              <w:t>2</w:t>
            </w:r>
            <w:r w:rsidRPr="00C53B7C">
              <w:rPr>
                <w:rFonts w:ascii="Calibri" w:hAnsi="Calibri"/>
                <w:iCs/>
                <w:szCs w:val="20"/>
              </w:rPr>
              <w:t>) National/subnational institutions and CSOs have systems and policies in place to deliver HIV and NCD services</w:t>
            </w:r>
          </w:p>
          <w:p w14:paraId="410285C9" w14:textId="77777777" w:rsidR="001227EF" w:rsidRPr="00C53B7C" w:rsidRDefault="001227EF" w:rsidP="00EB27D4">
            <w:pPr>
              <w:pStyle w:val="BodyText2"/>
              <w:rPr>
                <w:rFonts w:ascii="Calibri" w:hAnsi="Calibri"/>
                <w:szCs w:val="20"/>
              </w:rPr>
            </w:pPr>
          </w:p>
          <w:p w14:paraId="4D10EEAE" w14:textId="77777777" w:rsidR="003B11CB" w:rsidRPr="00C53B7C" w:rsidRDefault="003B11CB" w:rsidP="003F4D86">
            <w:pPr>
              <w:pStyle w:val="BodyText2"/>
              <w:rPr>
                <w:rFonts w:ascii="Calibri" w:hAnsi="Calibri"/>
                <w:szCs w:val="20"/>
              </w:rPr>
            </w:pPr>
            <w:r w:rsidRPr="00C53B7C">
              <w:rPr>
                <w:rFonts w:ascii="Calibri" w:hAnsi="Calibri"/>
                <w:szCs w:val="20"/>
                <w:u w:val="single"/>
              </w:rPr>
              <w:t>Progress and Achievements</w:t>
            </w:r>
            <w:r w:rsidRPr="00C53B7C">
              <w:rPr>
                <w:rFonts w:ascii="Calibri" w:hAnsi="Calibri"/>
                <w:szCs w:val="20"/>
              </w:rPr>
              <w:t>:</w:t>
            </w:r>
          </w:p>
          <w:p w14:paraId="48CAF731" w14:textId="3648BC63" w:rsidR="00E9146D" w:rsidRPr="00C53B7C" w:rsidRDefault="00E9146D" w:rsidP="003F4D86">
            <w:pPr>
              <w:pStyle w:val="BodyText2"/>
              <w:rPr>
                <w:rFonts w:ascii="Calibri" w:hAnsi="Calibri"/>
                <w:iCs/>
                <w:szCs w:val="20"/>
              </w:rPr>
            </w:pPr>
            <w:r w:rsidRPr="00C53B7C">
              <w:rPr>
                <w:rFonts w:ascii="Calibri" w:hAnsi="Calibri"/>
                <w:iCs/>
                <w:szCs w:val="20"/>
              </w:rPr>
              <w:t>Work under this Outcome concentrated on Output 2, and specifically focused on HIV/AIDS</w:t>
            </w:r>
            <w:r w:rsidR="00236F9E" w:rsidRPr="00C53B7C">
              <w:rPr>
                <w:rFonts w:ascii="Calibri" w:hAnsi="Calibri"/>
                <w:iCs/>
                <w:szCs w:val="20"/>
              </w:rPr>
              <w:t xml:space="preserve"> services</w:t>
            </w:r>
            <w:r w:rsidRPr="00C53B7C">
              <w:rPr>
                <w:rFonts w:ascii="Calibri" w:hAnsi="Calibri"/>
                <w:iCs/>
                <w:szCs w:val="20"/>
              </w:rPr>
              <w:t xml:space="preserve">. </w:t>
            </w:r>
          </w:p>
          <w:p w14:paraId="3C18052E" w14:textId="77777777" w:rsidR="008651FB" w:rsidRPr="00C53B7C" w:rsidRDefault="008651FB" w:rsidP="008651FB">
            <w:pPr>
              <w:pStyle w:val="BodyText2"/>
              <w:autoSpaceDE/>
              <w:autoSpaceDN/>
              <w:adjustRightInd/>
              <w:rPr>
                <w:rFonts w:ascii="Calibri" w:hAnsi="Calibri"/>
                <w:iCs/>
                <w:szCs w:val="20"/>
              </w:rPr>
            </w:pPr>
          </w:p>
          <w:p w14:paraId="008B8238" w14:textId="1030DCE4" w:rsidR="008651FB" w:rsidRPr="00C53B7C" w:rsidRDefault="008651FB" w:rsidP="008651FB">
            <w:pPr>
              <w:pStyle w:val="BodyText2"/>
              <w:rPr>
                <w:rFonts w:ascii="Calibri" w:hAnsi="Calibri"/>
                <w:iCs/>
                <w:szCs w:val="20"/>
              </w:rPr>
            </w:pPr>
            <w:r w:rsidRPr="00C53B7C">
              <w:rPr>
                <w:rFonts w:ascii="Calibri" w:hAnsi="Calibri"/>
                <w:iCs/>
                <w:szCs w:val="20"/>
              </w:rPr>
              <w:t>Progress towards th</w:t>
            </w:r>
            <w:r w:rsidR="00486426" w:rsidRPr="00C53B7C">
              <w:rPr>
                <w:rFonts w:ascii="Calibri" w:hAnsi="Calibri"/>
                <w:iCs/>
                <w:szCs w:val="20"/>
              </w:rPr>
              <w:t xml:space="preserve">e related </w:t>
            </w:r>
            <w:r w:rsidR="00800AD2" w:rsidRPr="00C53B7C">
              <w:rPr>
                <w:rFonts w:ascii="Calibri" w:hAnsi="Calibri"/>
                <w:iCs/>
                <w:szCs w:val="20"/>
              </w:rPr>
              <w:t>outcome target</w:t>
            </w:r>
            <w:r w:rsidR="00486426" w:rsidRPr="00C53B7C">
              <w:rPr>
                <w:rFonts w:ascii="Calibri" w:hAnsi="Calibri"/>
                <w:iCs/>
                <w:szCs w:val="20"/>
              </w:rPr>
              <w:t xml:space="preserve"> on HIV coverage</w:t>
            </w:r>
            <w:r w:rsidR="00800AD2" w:rsidRPr="00C53B7C">
              <w:rPr>
                <w:rFonts w:ascii="Calibri" w:hAnsi="Calibri"/>
                <w:iCs/>
                <w:szCs w:val="20"/>
              </w:rPr>
              <w:t xml:space="preserve"> was </w:t>
            </w:r>
            <w:r w:rsidRPr="00C53B7C">
              <w:rPr>
                <w:rFonts w:ascii="Calibri" w:hAnsi="Calibri"/>
                <w:iCs/>
                <w:szCs w:val="20"/>
              </w:rPr>
              <w:t xml:space="preserve">incremental. UNDP </w:t>
            </w:r>
            <w:r w:rsidR="00800AD2" w:rsidRPr="00C53B7C">
              <w:rPr>
                <w:rFonts w:ascii="Calibri" w:hAnsi="Calibri"/>
                <w:iCs/>
                <w:szCs w:val="20"/>
              </w:rPr>
              <w:t xml:space="preserve">supported </w:t>
            </w:r>
            <w:r w:rsidRPr="00C53B7C">
              <w:rPr>
                <w:rFonts w:ascii="Calibri" w:hAnsi="Calibri"/>
                <w:iCs/>
                <w:szCs w:val="20"/>
              </w:rPr>
              <w:t xml:space="preserve">CSOs </w:t>
            </w:r>
            <w:r w:rsidR="00800AD2" w:rsidRPr="00C53B7C">
              <w:rPr>
                <w:rFonts w:ascii="Calibri" w:hAnsi="Calibri"/>
                <w:iCs/>
                <w:szCs w:val="20"/>
              </w:rPr>
              <w:t xml:space="preserve">to </w:t>
            </w:r>
            <w:r w:rsidRPr="00C53B7C">
              <w:rPr>
                <w:rFonts w:ascii="Calibri" w:hAnsi="Calibri"/>
                <w:iCs/>
                <w:szCs w:val="20"/>
              </w:rPr>
              <w:t>enhanc</w:t>
            </w:r>
            <w:r w:rsidR="00800AD2" w:rsidRPr="00C53B7C">
              <w:rPr>
                <w:rFonts w:ascii="Calibri" w:hAnsi="Calibri"/>
                <w:iCs/>
                <w:szCs w:val="20"/>
              </w:rPr>
              <w:t>e</w:t>
            </w:r>
            <w:r w:rsidRPr="00C53B7C">
              <w:rPr>
                <w:rFonts w:ascii="Calibri" w:hAnsi="Calibri"/>
                <w:iCs/>
                <w:szCs w:val="20"/>
              </w:rPr>
              <w:t xml:space="preserve"> their capacity to better deliver HIV services (including HIV/STI information; Risk reduction counselling; HIV testing; STI screening; Condom and lubricant distribution; Psychosocial support; Social services; Referral for </w:t>
            </w:r>
            <w:proofErr w:type="spellStart"/>
            <w:r w:rsidRPr="00C53B7C">
              <w:rPr>
                <w:rFonts w:ascii="Calibri" w:hAnsi="Calibri"/>
                <w:iCs/>
                <w:szCs w:val="20"/>
              </w:rPr>
              <w:t>Anti Retroviral</w:t>
            </w:r>
            <w:proofErr w:type="spellEnd"/>
            <w:r w:rsidRPr="00C53B7C">
              <w:rPr>
                <w:rFonts w:ascii="Calibri" w:hAnsi="Calibri"/>
                <w:iCs/>
                <w:szCs w:val="20"/>
              </w:rPr>
              <w:t xml:space="preserve"> Treatment, STI, Tuberculosis; and community and palliative care). </w:t>
            </w:r>
            <w:r w:rsidR="00800AD2" w:rsidRPr="00C53B7C">
              <w:rPr>
                <w:rFonts w:ascii="Calibri" w:hAnsi="Calibri"/>
                <w:iCs/>
                <w:szCs w:val="20"/>
              </w:rPr>
              <w:t>In addition, a</w:t>
            </w:r>
            <w:r w:rsidRPr="00C53B7C">
              <w:rPr>
                <w:rFonts w:ascii="Calibri" w:hAnsi="Calibri"/>
                <w:iCs/>
                <w:szCs w:val="20"/>
              </w:rPr>
              <w:t>s part of promoting behaviour change UNDP also work</w:t>
            </w:r>
            <w:r w:rsidR="00800AD2" w:rsidRPr="00C53B7C">
              <w:rPr>
                <w:rFonts w:ascii="Calibri" w:hAnsi="Calibri"/>
                <w:iCs/>
                <w:szCs w:val="20"/>
              </w:rPr>
              <w:t>ed</w:t>
            </w:r>
            <w:r w:rsidRPr="00C53B7C">
              <w:rPr>
                <w:rFonts w:ascii="Calibri" w:hAnsi="Calibri"/>
                <w:iCs/>
                <w:szCs w:val="20"/>
              </w:rPr>
              <w:t xml:space="preserve"> with CSOs in implementing recommendations emanating from the National Dialogue on HIV and the Law Report</w:t>
            </w:r>
            <w:r w:rsidR="001E3250" w:rsidRPr="00C53B7C">
              <w:rPr>
                <w:rFonts w:ascii="Calibri" w:hAnsi="Calibri"/>
                <w:iCs/>
                <w:szCs w:val="20"/>
              </w:rPr>
              <w:t>. Th</w:t>
            </w:r>
            <w:r w:rsidR="004230D2" w:rsidRPr="00C53B7C">
              <w:rPr>
                <w:rFonts w:ascii="Calibri" w:hAnsi="Calibri"/>
                <w:iCs/>
                <w:szCs w:val="20"/>
              </w:rPr>
              <w:t xml:space="preserve">is included the </w:t>
            </w:r>
            <w:r w:rsidRPr="00C53B7C">
              <w:rPr>
                <w:rFonts w:ascii="Calibri" w:hAnsi="Calibri"/>
                <w:iCs/>
                <w:szCs w:val="20"/>
              </w:rPr>
              <w:t>reduc</w:t>
            </w:r>
            <w:r w:rsidR="004230D2" w:rsidRPr="00C53B7C">
              <w:rPr>
                <w:rFonts w:ascii="Calibri" w:hAnsi="Calibri"/>
                <w:iCs/>
                <w:szCs w:val="20"/>
              </w:rPr>
              <w:t xml:space="preserve">tion of </w:t>
            </w:r>
            <w:r w:rsidRPr="00C53B7C">
              <w:rPr>
                <w:rFonts w:ascii="Calibri" w:hAnsi="Calibri"/>
                <w:iCs/>
                <w:szCs w:val="20"/>
              </w:rPr>
              <w:t>stigma</w:t>
            </w:r>
            <w:r w:rsidR="001E3250" w:rsidRPr="00C53B7C">
              <w:rPr>
                <w:rFonts w:ascii="Calibri" w:hAnsi="Calibri"/>
                <w:iCs/>
                <w:szCs w:val="20"/>
              </w:rPr>
              <w:t xml:space="preserve"> </w:t>
            </w:r>
            <w:r w:rsidRPr="00C53B7C">
              <w:rPr>
                <w:rFonts w:ascii="Calibri" w:hAnsi="Calibri"/>
                <w:iCs/>
                <w:szCs w:val="20"/>
              </w:rPr>
              <w:t>and discrimination</w:t>
            </w:r>
            <w:r w:rsidR="004230D2" w:rsidRPr="00C53B7C">
              <w:rPr>
                <w:rFonts w:ascii="Calibri" w:hAnsi="Calibri"/>
                <w:iCs/>
                <w:szCs w:val="20"/>
              </w:rPr>
              <w:t xml:space="preserve"> </w:t>
            </w:r>
            <w:r w:rsidRPr="00C53B7C">
              <w:rPr>
                <w:rFonts w:ascii="Calibri" w:hAnsi="Calibri"/>
                <w:iCs/>
                <w:szCs w:val="20"/>
              </w:rPr>
              <w:t>and increase</w:t>
            </w:r>
            <w:r w:rsidR="004230D2" w:rsidRPr="00C53B7C">
              <w:rPr>
                <w:rFonts w:ascii="Calibri" w:hAnsi="Calibri"/>
                <w:iCs/>
                <w:szCs w:val="20"/>
              </w:rPr>
              <w:t>d</w:t>
            </w:r>
            <w:r w:rsidRPr="00C53B7C">
              <w:rPr>
                <w:rFonts w:ascii="Calibri" w:hAnsi="Calibri"/>
                <w:iCs/>
                <w:szCs w:val="20"/>
              </w:rPr>
              <w:t xml:space="preserve"> access </w:t>
            </w:r>
            <w:r w:rsidR="004230D2" w:rsidRPr="00C53B7C">
              <w:rPr>
                <w:rFonts w:ascii="Calibri" w:hAnsi="Calibri"/>
                <w:iCs/>
                <w:szCs w:val="20"/>
              </w:rPr>
              <w:t>and referral of PLHIVs to relevant support services (inclusive of treatment services)</w:t>
            </w:r>
            <w:r w:rsidRPr="00C53B7C">
              <w:rPr>
                <w:rFonts w:ascii="Calibri" w:hAnsi="Calibri"/>
                <w:iCs/>
                <w:szCs w:val="20"/>
              </w:rPr>
              <w:t>.</w:t>
            </w:r>
            <w:r w:rsidR="001E3250" w:rsidRPr="00C53B7C">
              <w:rPr>
                <w:rFonts w:ascii="Calibri" w:hAnsi="Calibri"/>
                <w:iCs/>
                <w:szCs w:val="20"/>
              </w:rPr>
              <w:t xml:space="preserve"> </w:t>
            </w:r>
          </w:p>
          <w:p w14:paraId="6BF077E6" w14:textId="03349996" w:rsidR="00E9146D" w:rsidRPr="00C53B7C" w:rsidRDefault="00E9146D" w:rsidP="008651FB">
            <w:pPr>
              <w:pStyle w:val="BodyText2"/>
              <w:rPr>
                <w:rFonts w:ascii="Calibri" w:hAnsi="Calibri"/>
                <w:iCs/>
                <w:szCs w:val="20"/>
              </w:rPr>
            </w:pPr>
          </w:p>
          <w:p w14:paraId="383EB5E7" w14:textId="4E484581" w:rsidR="00E9146D" w:rsidRPr="00C53B7C" w:rsidRDefault="001E3250" w:rsidP="008A4D36">
            <w:pPr>
              <w:pStyle w:val="BodyText2"/>
              <w:jc w:val="both"/>
              <w:rPr>
                <w:rFonts w:ascii="Calibri" w:hAnsi="Calibri"/>
                <w:iCs/>
                <w:szCs w:val="20"/>
              </w:rPr>
            </w:pPr>
            <w:r w:rsidRPr="00C53B7C">
              <w:rPr>
                <w:rFonts w:ascii="Calibri" w:hAnsi="Calibri"/>
                <w:iCs/>
                <w:szCs w:val="20"/>
              </w:rPr>
              <w:lastRenderedPageBreak/>
              <w:t xml:space="preserve">Various UNDP </w:t>
            </w:r>
            <w:r w:rsidR="00E9146D" w:rsidRPr="00C53B7C">
              <w:rPr>
                <w:rFonts w:ascii="Calibri" w:hAnsi="Calibri"/>
                <w:iCs/>
                <w:szCs w:val="20"/>
              </w:rPr>
              <w:t xml:space="preserve">interventions </w:t>
            </w:r>
            <w:r w:rsidR="00DB75F8" w:rsidRPr="00C53B7C">
              <w:rPr>
                <w:rFonts w:ascii="Calibri" w:hAnsi="Calibri"/>
                <w:iCs/>
                <w:szCs w:val="20"/>
              </w:rPr>
              <w:t xml:space="preserve">were carried out. One involved collaboration with </w:t>
            </w:r>
            <w:r w:rsidR="00E9146D" w:rsidRPr="00C53B7C">
              <w:rPr>
                <w:rFonts w:ascii="Calibri" w:hAnsi="Calibri"/>
                <w:iCs/>
                <w:szCs w:val="20"/>
              </w:rPr>
              <w:t xml:space="preserve">the </w:t>
            </w:r>
            <w:r w:rsidR="00EB4513" w:rsidRPr="00C53B7C">
              <w:rPr>
                <w:rFonts w:ascii="Calibri" w:hAnsi="Calibri"/>
                <w:iCs/>
                <w:szCs w:val="20"/>
              </w:rPr>
              <w:t>NAPS</w:t>
            </w:r>
            <w:r w:rsidR="00E9146D" w:rsidRPr="00C53B7C">
              <w:rPr>
                <w:rFonts w:ascii="Calibri" w:hAnsi="Calibri"/>
                <w:iCs/>
                <w:szCs w:val="20"/>
              </w:rPr>
              <w:t xml:space="preserve"> and the </w:t>
            </w:r>
            <w:r w:rsidR="00EB4513" w:rsidRPr="00C53B7C">
              <w:rPr>
                <w:rFonts w:ascii="Calibri" w:hAnsi="Calibri"/>
                <w:iCs/>
                <w:szCs w:val="20"/>
              </w:rPr>
              <w:t>SASOD</w:t>
            </w:r>
            <w:r w:rsidR="00DB75F8" w:rsidRPr="00C53B7C">
              <w:rPr>
                <w:rFonts w:ascii="Calibri" w:hAnsi="Calibri"/>
                <w:iCs/>
                <w:szCs w:val="20"/>
              </w:rPr>
              <w:t>,</w:t>
            </w:r>
            <w:r w:rsidR="00E9146D" w:rsidRPr="00C53B7C">
              <w:rPr>
                <w:rFonts w:ascii="Calibri" w:hAnsi="Calibri"/>
                <w:iCs/>
                <w:szCs w:val="20"/>
              </w:rPr>
              <w:t xml:space="preserve"> providing nutritional support to 470 PLHIV and members of the LGBTI community. NAPS paired this support with the distribution of Antiretroviral Therapy to PLHIV to ensure that persons </w:t>
            </w:r>
            <w:r w:rsidR="002E0CD5" w:rsidRPr="00C53B7C">
              <w:rPr>
                <w:rFonts w:ascii="Calibri" w:hAnsi="Calibri"/>
                <w:iCs/>
                <w:szCs w:val="20"/>
              </w:rPr>
              <w:t xml:space="preserve">still had access to and were </w:t>
            </w:r>
            <w:r w:rsidR="00E9146D" w:rsidRPr="00C53B7C">
              <w:rPr>
                <w:rFonts w:ascii="Calibri" w:hAnsi="Calibri"/>
                <w:iCs/>
                <w:szCs w:val="20"/>
              </w:rPr>
              <w:t xml:space="preserve"> following their treatment during the COVID-19 pandemic. CSOs were strengthened to partner with Government in Social Contracting for the provision of HIV services to key populations. </w:t>
            </w:r>
            <w:r w:rsidR="009B3C95" w:rsidRPr="00C53B7C">
              <w:rPr>
                <w:rFonts w:ascii="Calibri" w:hAnsi="Calibri"/>
                <w:iCs/>
                <w:szCs w:val="20"/>
              </w:rPr>
              <w:t>A t</w:t>
            </w:r>
            <w:r w:rsidR="00E9146D" w:rsidRPr="00C53B7C">
              <w:rPr>
                <w:rFonts w:ascii="Calibri" w:hAnsi="Calibri"/>
                <w:iCs/>
                <w:szCs w:val="20"/>
              </w:rPr>
              <w:t xml:space="preserve">echnical </w:t>
            </w:r>
            <w:r w:rsidR="009B3C95" w:rsidRPr="00C53B7C">
              <w:rPr>
                <w:rFonts w:ascii="Calibri" w:hAnsi="Calibri"/>
                <w:iCs/>
                <w:szCs w:val="20"/>
              </w:rPr>
              <w:t>review of the draft</w:t>
            </w:r>
            <w:r w:rsidR="00F457CD" w:rsidRPr="00C53B7C">
              <w:rPr>
                <w:rFonts w:ascii="Calibri" w:hAnsi="Calibri"/>
                <w:iCs/>
                <w:szCs w:val="20"/>
              </w:rPr>
              <w:t xml:space="preserve"> </w:t>
            </w:r>
            <w:r w:rsidR="00E9146D" w:rsidRPr="00C53B7C">
              <w:rPr>
                <w:rFonts w:ascii="Calibri" w:hAnsi="Calibri"/>
                <w:iCs/>
                <w:szCs w:val="20"/>
              </w:rPr>
              <w:t>2021-2025 National HIV Strategic Plan</w:t>
            </w:r>
            <w:r w:rsidR="009B3C95" w:rsidRPr="00C53B7C">
              <w:rPr>
                <w:rFonts w:ascii="Calibri" w:hAnsi="Calibri"/>
                <w:iCs/>
                <w:szCs w:val="20"/>
              </w:rPr>
              <w:t xml:space="preserve"> was undertaken. This strategy was</w:t>
            </w:r>
            <w:r w:rsidR="00E9146D" w:rsidRPr="00C53B7C">
              <w:rPr>
                <w:rFonts w:ascii="Calibri" w:hAnsi="Calibri"/>
                <w:iCs/>
                <w:szCs w:val="20"/>
              </w:rPr>
              <w:t xml:space="preserve"> launched on January 5, 2021. </w:t>
            </w:r>
            <w:r w:rsidRPr="00C53B7C">
              <w:rPr>
                <w:rFonts w:ascii="Calibri" w:hAnsi="Calibri"/>
                <w:iCs/>
                <w:szCs w:val="20"/>
              </w:rPr>
              <w:t xml:space="preserve">An assessment of the impact of COVID-19 on LGBTI people, including HIV key populations, was undertaken and the results used to garner support for these vulnerable persons, given the impact of COVID-19 on their livelihoods. In addition, an </w:t>
            </w:r>
            <w:r w:rsidR="00E9146D" w:rsidRPr="00C53B7C">
              <w:rPr>
                <w:rFonts w:ascii="Calibri" w:hAnsi="Calibri"/>
                <w:iCs/>
                <w:szCs w:val="20"/>
              </w:rPr>
              <w:t>updated research report on issues affecting LGBTI people, plans for national and regional dialogues and the</w:t>
            </w:r>
            <w:r w:rsidR="00E8493D" w:rsidRPr="00C53B7C">
              <w:rPr>
                <w:rFonts w:ascii="Calibri" w:hAnsi="Calibri"/>
                <w:iCs/>
                <w:szCs w:val="20"/>
              </w:rPr>
              <w:t xml:space="preserve"> continued strengthening of CSOs to engage in social </w:t>
            </w:r>
            <w:r w:rsidR="00C2335F" w:rsidRPr="00C53B7C">
              <w:rPr>
                <w:rFonts w:ascii="Calibri" w:hAnsi="Calibri"/>
                <w:iCs/>
                <w:szCs w:val="20"/>
              </w:rPr>
              <w:t xml:space="preserve">contracting </w:t>
            </w:r>
            <w:r w:rsidR="00E9146D" w:rsidRPr="00C53B7C">
              <w:rPr>
                <w:rFonts w:ascii="Calibri" w:hAnsi="Calibri"/>
                <w:iCs/>
                <w:szCs w:val="20"/>
              </w:rPr>
              <w:t xml:space="preserve">are </w:t>
            </w:r>
            <w:r w:rsidRPr="00C53B7C">
              <w:rPr>
                <w:rFonts w:ascii="Calibri" w:hAnsi="Calibri"/>
                <w:iCs/>
                <w:szCs w:val="20"/>
              </w:rPr>
              <w:t xml:space="preserve">in the pipeline. </w:t>
            </w:r>
          </w:p>
          <w:p w14:paraId="58D5402C" w14:textId="77777777" w:rsidR="00E9146D" w:rsidRPr="00C53B7C" w:rsidRDefault="00E9146D" w:rsidP="008A4D36">
            <w:pPr>
              <w:pStyle w:val="BodyText2"/>
              <w:jc w:val="both"/>
              <w:rPr>
                <w:rFonts w:ascii="Calibri" w:hAnsi="Calibri"/>
                <w:iCs/>
                <w:szCs w:val="20"/>
              </w:rPr>
            </w:pPr>
          </w:p>
          <w:p w14:paraId="7D13C11E" w14:textId="3A48767B" w:rsidR="00800AD2" w:rsidRPr="00C53B7C" w:rsidRDefault="00800AD2" w:rsidP="008A4D36">
            <w:pPr>
              <w:pStyle w:val="BodyText2"/>
              <w:autoSpaceDE/>
              <w:autoSpaceDN/>
              <w:adjustRightInd/>
              <w:jc w:val="both"/>
              <w:rPr>
                <w:rFonts w:ascii="Calibri" w:hAnsi="Calibri"/>
                <w:iCs/>
                <w:szCs w:val="20"/>
              </w:rPr>
            </w:pPr>
            <w:r w:rsidRPr="00C53B7C">
              <w:rPr>
                <w:rFonts w:ascii="Calibri" w:hAnsi="Calibri"/>
                <w:iCs/>
                <w:szCs w:val="20"/>
              </w:rPr>
              <w:t xml:space="preserve">The target beneficiaries are considered as groups that are </w:t>
            </w:r>
            <w:r w:rsidR="001E3250" w:rsidRPr="00C53B7C">
              <w:rPr>
                <w:rFonts w:ascii="Calibri" w:hAnsi="Calibri"/>
                <w:iCs/>
                <w:szCs w:val="20"/>
              </w:rPr>
              <w:t xml:space="preserve">among the </w:t>
            </w:r>
            <w:r w:rsidRPr="00C53B7C">
              <w:rPr>
                <w:rFonts w:ascii="Calibri" w:hAnsi="Calibri"/>
                <w:iCs/>
                <w:szCs w:val="20"/>
              </w:rPr>
              <w:t>furthest behind as a result of the stigma and discrimination faced in access to HIV services. The</w:t>
            </w:r>
            <w:r w:rsidR="001E3250" w:rsidRPr="00C53B7C">
              <w:rPr>
                <w:rFonts w:ascii="Calibri" w:hAnsi="Calibri"/>
                <w:iCs/>
                <w:szCs w:val="20"/>
              </w:rPr>
              <w:t xml:space="preserve"> work on this area is </w:t>
            </w:r>
            <w:r w:rsidRPr="00C53B7C">
              <w:rPr>
                <w:rFonts w:ascii="Calibri" w:hAnsi="Calibri"/>
                <w:iCs/>
                <w:szCs w:val="20"/>
              </w:rPr>
              <w:t>contributing to the Leave No One Behind objective of Agenda 2030</w:t>
            </w:r>
            <w:r w:rsidR="00AE32E5" w:rsidRPr="00C53B7C">
              <w:rPr>
                <w:rFonts w:ascii="Calibri" w:hAnsi="Calibri"/>
                <w:iCs/>
                <w:szCs w:val="20"/>
              </w:rPr>
              <w:t>.</w:t>
            </w:r>
          </w:p>
          <w:p w14:paraId="50EF2862" w14:textId="0B26C4C3" w:rsidR="00800AD2" w:rsidRPr="00C53B7C" w:rsidRDefault="00800AD2" w:rsidP="008A4D36">
            <w:pPr>
              <w:pStyle w:val="BodyText2"/>
              <w:autoSpaceDE/>
              <w:autoSpaceDN/>
              <w:adjustRightInd/>
              <w:jc w:val="both"/>
              <w:rPr>
                <w:rFonts w:ascii="Calibri" w:hAnsi="Calibri"/>
                <w:iCs/>
                <w:szCs w:val="20"/>
              </w:rPr>
            </w:pPr>
          </w:p>
          <w:p w14:paraId="17A3FB37" w14:textId="1C92F8FC" w:rsidR="00486426" w:rsidRPr="00C53B7C" w:rsidRDefault="00486426" w:rsidP="008A4D36">
            <w:pPr>
              <w:pStyle w:val="BodyText2"/>
              <w:autoSpaceDE/>
              <w:autoSpaceDN/>
              <w:adjustRightInd/>
              <w:jc w:val="both"/>
              <w:rPr>
                <w:rFonts w:ascii="Calibri" w:hAnsi="Calibri"/>
                <w:iCs/>
                <w:szCs w:val="20"/>
              </w:rPr>
            </w:pPr>
            <w:r w:rsidRPr="00C53B7C">
              <w:rPr>
                <w:rFonts w:ascii="Calibri" w:hAnsi="Calibri"/>
                <w:iCs/>
                <w:szCs w:val="20"/>
              </w:rPr>
              <w:t xml:space="preserve">By the end of 2019, the </w:t>
            </w:r>
            <w:r w:rsidR="00EB4513" w:rsidRPr="00C53B7C">
              <w:rPr>
                <w:rFonts w:ascii="Calibri" w:hAnsi="Calibri"/>
                <w:iCs/>
                <w:szCs w:val="20"/>
              </w:rPr>
              <w:t>NAPS</w:t>
            </w:r>
            <w:r w:rsidRPr="00C53B7C">
              <w:rPr>
                <w:rFonts w:ascii="Calibri" w:hAnsi="Calibri"/>
                <w:iCs/>
                <w:szCs w:val="20"/>
              </w:rPr>
              <w:t xml:space="preserve"> reported that Guyana had recorded some 8,700 PLHIVs, 94% of whom were aware of their HIV status (first 90 achieved), 73% were on sustained antiretroviral therapy while 75% were virally supressed. UNDP’s work with the CSOs</w:t>
            </w:r>
            <w:r w:rsidR="00364C9C" w:rsidRPr="00C53B7C">
              <w:rPr>
                <w:rFonts w:ascii="Calibri" w:hAnsi="Calibri"/>
                <w:iCs/>
                <w:szCs w:val="20"/>
              </w:rPr>
              <w:t xml:space="preserve"> and governmental entities, including with continuing actions during 2020-2021 </w:t>
            </w:r>
            <w:r w:rsidRPr="00C53B7C">
              <w:rPr>
                <w:rFonts w:ascii="Calibri" w:hAnsi="Calibri"/>
                <w:iCs/>
                <w:szCs w:val="20"/>
              </w:rPr>
              <w:t xml:space="preserve">is expected to contribute to positive progress on the indicator. </w:t>
            </w:r>
          </w:p>
          <w:p w14:paraId="695716B9" w14:textId="4D0FA5A7" w:rsidR="00486426" w:rsidRPr="00C53B7C" w:rsidRDefault="00486426" w:rsidP="008A4D36">
            <w:pPr>
              <w:pStyle w:val="BodyText2"/>
              <w:autoSpaceDE/>
              <w:autoSpaceDN/>
              <w:adjustRightInd/>
              <w:jc w:val="both"/>
              <w:rPr>
                <w:rFonts w:ascii="Calibri" w:hAnsi="Calibri"/>
                <w:iCs/>
                <w:szCs w:val="20"/>
              </w:rPr>
            </w:pPr>
          </w:p>
          <w:p w14:paraId="20CE6BEB" w14:textId="522CB244" w:rsidR="00AF781D" w:rsidRPr="00C53B7C" w:rsidRDefault="00AF781D" w:rsidP="008A4D36">
            <w:pPr>
              <w:pStyle w:val="BodyText2"/>
              <w:autoSpaceDE/>
              <w:autoSpaceDN/>
              <w:adjustRightInd/>
              <w:jc w:val="both"/>
              <w:rPr>
                <w:rFonts w:ascii="Calibri" w:hAnsi="Calibri"/>
                <w:iCs/>
                <w:szCs w:val="20"/>
                <w:u w:val="single"/>
              </w:rPr>
            </w:pPr>
            <w:r w:rsidRPr="00C53B7C">
              <w:rPr>
                <w:rFonts w:ascii="Calibri" w:hAnsi="Calibri"/>
                <w:iCs/>
                <w:szCs w:val="20"/>
                <w:u w:val="single"/>
              </w:rPr>
              <w:t>Limitations</w:t>
            </w:r>
          </w:p>
          <w:p w14:paraId="16EEDE26" w14:textId="77777777" w:rsidR="00AF781D" w:rsidRPr="00C53B7C" w:rsidRDefault="00AF781D" w:rsidP="008A4D36">
            <w:pPr>
              <w:pStyle w:val="BodyText2"/>
              <w:autoSpaceDE/>
              <w:autoSpaceDN/>
              <w:adjustRightInd/>
              <w:jc w:val="both"/>
              <w:rPr>
                <w:rFonts w:ascii="Calibri" w:hAnsi="Calibri"/>
                <w:iCs/>
                <w:szCs w:val="20"/>
              </w:rPr>
            </w:pPr>
          </w:p>
          <w:p w14:paraId="06FD1D0F" w14:textId="08C9CC26" w:rsidR="00CC5B48" w:rsidRPr="00C53B7C" w:rsidRDefault="00AF781D" w:rsidP="008A4D36">
            <w:pPr>
              <w:pStyle w:val="BodyText2"/>
              <w:jc w:val="both"/>
              <w:rPr>
                <w:rFonts w:ascii="Calibri" w:hAnsi="Calibri"/>
                <w:iCs/>
                <w:szCs w:val="20"/>
              </w:rPr>
            </w:pPr>
            <w:r w:rsidRPr="00C53B7C">
              <w:rPr>
                <w:rFonts w:ascii="Calibri" w:hAnsi="Calibri"/>
                <w:iCs/>
                <w:szCs w:val="20"/>
              </w:rPr>
              <w:t>T</w:t>
            </w:r>
            <w:r w:rsidR="00DB75F8" w:rsidRPr="00C53B7C">
              <w:rPr>
                <w:rFonts w:ascii="Calibri" w:hAnsi="Calibri"/>
                <w:iCs/>
                <w:szCs w:val="20"/>
              </w:rPr>
              <w:t xml:space="preserve">here was no </w:t>
            </w:r>
            <w:r w:rsidRPr="00C53B7C">
              <w:rPr>
                <w:rFonts w:ascii="Calibri" w:hAnsi="Calibri"/>
                <w:iCs/>
                <w:szCs w:val="20"/>
              </w:rPr>
              <w:t xml:space="preserve">work performed on </w:t>
            </w:r>
            <w:r w:rsidR="00DB75F8" w:rsidRPr="00C53B7C">
              <w:rPr>
                <w:rFonts w:ascii="Calibri" w:hAnsi="Calibri"/>
                <w:iCs/>
                <w:szCs w:val="20"/>
              </w:rPr>
              <w:t>Output 1, ‘National and subnational institutions and organizations’ capacities strengthened for the delivery of maternal health and related services</w:t>
            </w:r>
            <w:r w:rsidR="00364C9C" w:rsidRPr="00C53B7C">
              <w:rPr>
                <w:rFonts w:ascii="Calibri" w:hAnsi="Calibri"/>
                <w:iCs/>
                <w:szCs w:val="20"/>
              </w:rPr>
              <w:t>,</w:t>
            </w:r>
            <w:r w:rsidR="00DB75F8" w:rsidRPr="00C53B7C">
              <w:rPr>
                <w:rFonts w:ascii="Calibri" w:hAnsi="Calibri"/>
                <w:iCs/>
                <w:szCs w:val="20"/>
              </w:rPr>
              <w:t>’</w:t>
            </w:r>
            <w:r w:rsidR="00364C9C" w:rsidRPr="00C53B7C">
              <w:rPr>
                <w:rFonts w:ascii="Calibri" w:hAnsi="Calibri"/>
                <w:iCs/>
                <w:szCs w:val="20"/>
              </w:rPr>
              <w:t xml:space="preserve"> as joint actions by PAHO/WHO and Ministry of Public Health addressed this and other health areas.</w:t>
            </w:r>
            <w:r w:rsidR="00DB75F8" w:rsidRPr="00C53B7C">
              <w:rPr>
                <w:rFonts w:ascii="Calibri" w:hAnsi="Calibri"/>
                <w:iCs/>
                <w:szCs w:val="20"/>
              </w:rPr>
              <w:t xml:space="preserve"> </w:t>
            </w:r>
            <w:r w:rsidR="00FB7271" w:rsidRPr="00C53B7C">
              <w:rPr>
                <w:rFonts w:ascii="Calibri" w:hAnsi="Calibri"/>
                <w:iCs/>
                <w:szCs w:val="20"/>
              </w:rPr>
              <w:t xml:space="preserve"> Furthermore, t</w:t>
            </w:r>
            <w:r w:rsidR="00CC5B48" w:rsidRPr="00C53B7C">
              <w:rPr>
                <w:rFonts w:ascii="Calibri" w:hAnsi="Calibri"/>
                <w:iCs/>
                <w:szCs w:val="20"/>
              </w:rPr>
              <w:t>here were no interventions in relation to the provision of Non-Communicable Disease (NCD) services. UNDP considered since 2019 a shift on this area towards support for Persons Living with Disabilities (PWD) as the National Commission for Disability had previously reached out for critical support for the more than 11,000 persons (1.47% of the population) with functional diversity, a population included in the vulnerable groups that are furthest behind in Guyana</w:t>
            </w:r>
            <w:r w:rsidR="0018421D" w:rsidRPr="00C53B7C">
              <w:rPr>
                <w:rFonts w:ascii="Calibri" w:hAnsi="Calibri"/>
                <w:iCs/>
                <w:szCs w:val="20"/>
              </w:rPr>
              <w:t>, but due to funding challenges this did not materialize</w:t>
            </w:r>
            <w:r w:rsidR="00CC5B48" w:rsidRPr="00C53B7C">
              <w:rPr>
                <w:rFonts w:ascii="Calibri" w:hAnsi="Calibri"/>
                <w:iCs/>
                <w:szCs w:val="20"/>
              </w:rPr>
              <w:t>.</w:t>
            </w:r>
          </w:p>
          <w:p w14:paraId="6107BC97" w14:textId="77777777" w:rsidR="00CC5B48" w:rsidRPr="00C53B7C" w:rsidRDefault="00CC5B48" w:rsidP="008A4D36">
            <w:pPr>
              <w:pStyle w:val="BodyText2"/>
              <w:autoSpaceDE/>
              <w:autoSpaceDN/>
              <w:adjustRightInd/>
              <w:jc w:val="both"/>
              <w:rPr>
                <w:rFonts w:ascii="Calibri" w:hAnsi="Calibri"/>
                <w:iCs/>
                <w:szCs w:val="20"/>
              </w:rPr>
            </w:pPr>
          </w:p>
          <w:p w14:paraId="5B0E2300" w14:textId="72C333C4" w:rsidR="008651FB" w:rsidRPr="00C53B7C" w:rsidRDefault="008651FB" w:rsidP="008A4D36">
            <w:pPr>
              <w:pStyle w:val="BodyText2"/>
              <w:autoSpaceDE/>
              <w:autoSpaceDN/>
              <w:adjustRightInd/>
              <w:jc w:val="both"/>
              <w:rPr>
                <w:rFonts w:ascii="Calibri" w:hAnsi="Calibri"/>
                <w:iCs/>
                <w:szCs w:val="20"/>
              </w:rPr>
            </w:pPr>
            <w:r w:rsidRPr="00C53B7C">
              <w:rPr>
                <w:rFonts w:ascii="Calibri" w:hAnsi="Calibri"/>
                <w:iCs/>
                <w:szCs w:val="20"/>
              </w:rPr>
              <w:t xml:space="preserve">The enactment of the amendment of the Prevention of Discrimination Act (1997), </w:t>
            </w:r>
            <w:r w:rsidR="003F0A96" w:rsidRPr="00C53B7C">
              <w:rPr>
                <w:rFonts w:ascii="Calibri" w:hAnsi="Calibri"/>
                <w:iCs/>
                <w:szCs w:val="20"/>
              </w:rPr>
              <w:t xml:space="preserve">supported by </w:t>
            </w:r>
            <w:r w:rsidRPr="00C53B7C">
              <w:rPr>
                <w:rFonts w:ascii="Calibri" w:hAnsi="Calibri"/>
                <w:iCs/>
                <w:szCs w:val="20"/>
              </w:rPr>
              <w:t>UNDP in 201</w:t>
            </w:r>
            <w:r w:rsidR="0018421D" w:rsidRPr="00C53B7C">
              <w:rPr>
                <w:rFonts w:ascii="Calibri" w:hAnsi="Calibri"/>
                <w:iCs/>
                <w:szCs w:val="20"/>
              </w:rPr>
              <w:t>8</w:t>
            </w:r>
            <w:r w:rsidRPr="00C53B7C">
              <w:rPr>
                <w:rFonts w:ascii="Calibri" w:hAnsi="Calibri"/>
                <w:iCs/>
                <w:szCs w:val="20"/>
              </w:rPr>
              <w:t xml:space="preserve">, </w:t>
            </w:r>
            <w:r w:rsidR="0018421D" w:rsidRPr="00C53B7C">
              <w:rPr>
                <w:rFonts w:ascii="Calibri" w:hAnsi="Calibri"/>
                <w:iCs/>
                <w:szCs w:val="20"/>
              </w:rPr>
              <w:t xml:space="preserve">has </w:t>
            </w:r>
            <w:r w:rsidR="00A05796" w:rsidRPr="00C53B7C">
              <w:rPr>
                <w:rFonts w:ascii="Calibri" w:hAnsi="Calibri"/>
                <w:iCs/>
                <w:szCs w:val="20"/>
              </w:rPr>
              <w:t>yet to be tabled in the National Assemb</w:t>
            </w:r>
            <w:r w:rsidR="00EB4513" w:rsidRPr="00C53B7C">
              <w:rPr>
                <w:rFonts w:ascii="Calibri" w:hAnsi="Calibri"/>
                <w:iCs/>
                <w:szCs w:val="20"/>
              </w:rPr>
              <w:t>l</w:t>
            </w:r>
            <w:r w:rsidR="00A05796" w:rsidRPr="00C53B7C">
              <w:rPr>
                <w:rFonts w:ascii="Calibri" w:hAnsi="Calibri"/>
                <w:iCs/>
                <w:szCs w:val="20"/>
              </w:rPr>
              <w:t>y</w:t>
            </w:r>
            <w:r w:rsidR="003F0A96" w:rsidRPr="00C53B7C">
              <w:rPr>
                <w:rFonts w:ascii="Calibri" w:hAnsi="Calibri"/>
                <w:iCs/>
                <w:szCs w:val="20"/>
              </w:rPr>
              <w:t xml:space="preserve">. Also because of </w:t>
            </w:r>
            <w:r w:rsidRPr="00C53B7C">
              <w:rPr>
                <w:rFonts w:ascii="Calibri" w:hAnsi="Calibri"/>
                <w:iCs/>
                <w:szCs w:val="20"/>
              </w:rPr>
              <w:t>COVID-19, funds for the Stigma Index were re-allocated to provide nutritional support to PLHIV key populations and members of the LGBTI community</w:t>
            </w:r>
            <w:r w:rsidR="003F0A96" w:rsidRPr="00C53B7C">
              <w:rPr>
                <w:rFonts w:ascii="Calibri" w:hAnsi="Calibri"/>
                <w:iCs/>
                <w:szCs w:val="20"/>
              </w:rPr>
              <w:t xml:space="preserve">, interrupting </w:t>
            </w:r>
            <w:r w:rsidR="001C57EE" w:rsidRPr="00C53B7C">
              <w:rPr>
                <w:rFonts w:ascii="Calibri" w:hAnsi="Calibri"/>
                <w:iCs/>
                <w:szCs w:val="20"/>
              </w:rPr>
              <w:t>the completion of the survey</w:t>
            </w:r>
            <w:r w:rsidR="00F13258" w:rsidRPr="00C53B7C">
              <w:rPr>
                <w:rFonts w:ascii="Calibri" w:hAnsi="Calibri"/>
                <w:iCs/>
                <w:szCs w:val="20"/>
              </w:rPr>
              <w:t xml:space="preserve"> </w:t>
            </w:r>
            <w:r w:rsidR="003F0A96" w:rsidRPr="00C53B7C">
              <w:rPr>
                <w:rFonts w:ascii="Calibri" w:hAnsi="Calibri"/>
                <w:iCs/>
                <w:szCs w:val="20"/>
              </w:rPr>
              <w:t xml:space="preserve">(funding being explored). </w:t>
            </w:r>
          </w:p>
          <w:p w14:paraId="486198A2" w14:textId="77777777" w:rsidR="008651FB" w:rsidRPr="00C53B7C" w:rsidRDefault="008651FB" w:rsidP="008651FB">
            <w:pPr>
              <w:pStyle w:val="BodyText2"/>
              <w:autoSpaceDE/>
              <w:autoSpaceDN/>
              <w:adjustRightInd/>
              <w:rPr>
                <w:rFonts w:ascii="Calibri" w:hAnsi="Calibri"/>
                <w:iCs/>
                <w:szCs w:val="20"/>
              </w:rPr>
            </w:pPr>
          </w:p>
          <w:p w14:paraId="51BB2E68" w14:textId="77777777" w:rsidR="003B11CB" w:rsidRPr="00C53B7C" w:rsidRDefault="003B11CB" w:rsidP="00AF781D">
            <w:pPr>
              <w:pStyle w:val="BodyText2"/>
              <w:rPr>
                <w:rFonts w:ascii="Calibri" w:hAnsi="Calibri"/>
                <w:szCs w:val="20"/>
              </w:rPr>
            </w:pPr>
          </w:p>
        </w:tc>
      </w:tr>
      <w:tr w:rsidR="003B11CB" w:rsidRPr="00C53B7C" w14:paraId="51D40023" w14:textId="77777777" w:rsidTr="005304FE">
        <w:tc>
          <w:tcPr>
            <w:tcW w:w="3060" w:type="dxa"/>
            <w:shd w:val="clear" w:color="auto" w:fill="8EAADB"/>
          </w:tcPr>
          <w:p w14:paraId="5A9B450C" w14:textId="43A06CD2" w:rsidR="003B11CB" w:rsidRPr="00C53B7C" w:rsidRDefault="003B11CB" w:rsidP="003F4D86">
            <w:pPr>
              <w:pStyle w:val="BodyText2"/>
              <w:rPr>
                <w:rFonts w:ascii="Calibri" w:hAnsi="Calibri"/>
                <w:b/>
                <w:szCs w:val="20"/>
              </w:rPr>
            </w:pPr>
            <w:r w:rsidRPr="00C53B7C">
              <w:rPr>
                <w:rFonts w:ascii="Calibri" w:hAnsi="Calibri"/>
                <w:b/>
                <w:szCs w:val="20"/>
              </w:rPr>
              <w:lastRenderedPageBreak/>
              <w:t xml:space="preserve">2. </w:t>
            </w:r>
            <w:r w:rsidR="00E2222D" w:rsidRPr="00C53B7C">
              <w:rPr>
                <w:rFonts w:ascii="Calibri" w:hAnsi="Calibri"/>
                <w:b/>
                <w:bCs/>
                <w:szCs w:val="20"/>
                <w:lang w:val="en-GB"/>
              </w:rPr>
              <w:t>Access to equitable social protection systems and quality services and sustainable economic opportunities improved (MSDCF Outcome 2)</w:t>
            </w:r>
          </w:p>
        </w:tc>
        <w:tc>
          <w:tcPr>
            <w:tcW w:w="1530" w:type="dxa"/>
            <w:gridSpan w:val="2"/>
            <w:shd w:val="clear" w:color="auto" w:fill="auto"/>
          </w:tcPr>
          <w:p w14:paraId="2F1757B0" w14:textId="50C522C1" w:rsidR="00AF012F" w:rsidRPr="00C53B7C" w:rsidRDefault="00121F6A" w:rsidP="00AF012F">
            <w:pPr>
              <w:pStyle w:val="BodyText2"/>
              <w:rPr>
                <w:rFonts w:ascii="Calibri" w:hAnsi="Calibri"/>
                <w:szCs w:val="20"/>
              </w:rPr>
            </w:pPr>
            <w:r w:rsidRPr="00C53B7C">
              <w:rPr>
                <w:rFonts w:ascii="Calibri" w:hAnsi="Calibri"/>
                <w:szCs w:val="20"/>
              </w:rPr>
              <w:t>$5M</w:t>
            </w:r>
          </w:p>
          <w:p w14:paraId="06540D3B" w14:textId="77777777" w:rsidR="00AF012F" w:rsidRPr="00C53B7C" w:rsidRDefault="00AF012F" w:rsidP="00AF012F">
            <w:pPr>
              <w:pStyle w:val="BodyText2"/>
              <w:rPr>
                <w:rFonts w:ascii="Calibri" w:hAnsi="Calibri"/>
                <w:szCs w:val="20"/>
              </w:rPr>
            </w:pPr>
          </w:p>
          <w:p w14:paraId="11B4BC12" w14:textId="5A331E35" w:rsidR="003B11CB" w:rsidRPr="00C53B7C" w:rsidRDefault="003B11CB" w:rsidP="003F4D86">
            <w:pPr>
              <w:pStyle w:val="BodyText2"/>
              <w:rPr>
                <w:rFonts w:ascii="Calibri" w:hAnsi="Calibri"/>
                <w:szCs w:val="20"/>
              </w:rPr>
            </w:pPr>
          </w:p>
        </w:tc>
        <w:tc>
          <w:tcPr>
            <w:tcW w:w="3960" w:type="dxa"/>
            <w:tcBorders>
              <w:left w:val="single" w:sz="4" w:space="0" w:color="auto"/>
            </w:tcBorders>
          </w:tcPr>
          <w:p w14:paraId="7C18E97B" w14:textId="77777777" w:rsidR="00AF012F" w:rsidRPr="00C53B7C" w:rsidRDefault="00AF012F" w:rsidP="00AF012F">
            <w:pPr>
              <w:pStyle w:val="BodyText2"/>
              <w:numPr>
                <w:ilvl w:val="0"/>
                <w:numId w:val="15"/>
              </w:numPr>
              <w:rPr>
                <w:rFonts w:ascii="Calibri" w:hAnsi="Calibri"/>
                <w:i/>
                <w:szCs w:val="20"/>
              </w:rPr>
            </w:pPr>
            <w:r w:rsidRPr="00C53B7C">
              <w:rPr>
                <w:rFonts w:ascii="Calibri" w:hAnsi="Calibri"/>
                <w:i/>
                <w:szCs w:val="20"/>
              </w:rPr>
              <w:t>Number of actionable mechanisms and policies aimed at decent-work creation and protection, the promotion of entrepreneurship, and the formalization and growth of enterprises.</w:t>
            </w:r>
          </w:p>
          <w:p w14:paraId="62C21455" w14:textId="77777777" w:rsidR="00AF012F" w:rsidRPr="00C53B7C" w:rsidRDefault="00AF012F" w:rsidP="00AF012F">
            <w:pPr>
              <w:pStyle w:val="BodyText2"/>
              <w:rPr>
                <w:rFonts w:ascii="Calibri" w:hAnsi="Calibri"/>
                <w:i/>
                <w:szCs w:val="20"/>
              </w:rPr>
            </w:pPr>
            <w:r w:rsidRPr="00C53B7C">
              <w:rPr>
                <w:rFonts w:ascii="Calibri" w:hAnsi="Calibri"/>
                <w:i/>
                <w:szCs w:val="20"/>
              </w:rPr>
              <w:t>Baseline: 1</w:t>
            </w:r>
          </w:p>
          <w:p w14:paraId="55E6EDCF" w14:textId="64C6ECFC" w:rsidR="003B11CB" w:rsidRPr="00C53B7C" w:rsidRDefault="00AF012F" w:rsidP="00AF012F">
            <w:pPr>
              <w:pStyle w:val="BodyText2"/>
              <w:rPr>
                <w:rFonts w:ascii="Calibri" w:hAnsi="Calibri"/>
                <w:i/>
                <w:szCs w:val="20"/>
              </w:rPr>
            </w:pPr>
            <w:r w:rsidRPr="00C53B7C">
              <w:rPr>
                <w:rFonts w:ascii="Calibri" w:hAnsi="Calibri"/>
                <w:i/>
                <w:szCs w:val="20"/>
              </w:rPr>
              <w:t>Target: 9</w:t>
            </w:r>
          </w:p>
        </w:tc>
        <w:tc>
          <w:tcPr>
            <w:tcW w:w="5490" w:type="dxa"/>
            <w:shd w:val="clear" w:color="auto" w:fill="auto"/>
          </w:tcPr>
          <w:p w14:paraId="173E04C7" w14:textId="10080413" w:rsidR="003B11CB" w:rsidRPr="00C53B7C" w:rsidRDefault="00F50717" w:rsidP="003F4D86">
            <w:pPr>
              <w:pStyle w:val="BodyText2"/>
              <w:numPr>
                <w:ilvl w:val="0"/>
                <w:numId w:val="16"/>
              </w:numPr>
              <w:rPr>
                <w:rFonts w:ascii="Calibri" w:hAnsi="Calibri"/>
                <w:i/>
                <w:szCs w:val="20"/>
              </w:rPr>
            </w:pPr>
            <w:r w:rsidRPr="00C53B7C">
              <w:rPr>
                <w:rFonts w:ascii="Calibri" w:hAnsi="Calibri"/>
                <w:i/>
                <w:szCs w:val="20"/>
              </w:rPr>
              <w:t xml:space="preserve"> </w:t>
            </w:r>
            <w:r w:rsidR="007245C3" w:rsidRPr="00C53B7C">
              <w:rPr>
                <w:rFonts w:ascii="Calibri" w:hAnsi="Calibri"/>
                <w:i/>
                <w:szCs w:val="20"/>
              </w:rPr>
              <w:t>2 as of 2020 (</w:t>
            </w:r>
            <w:r w:rsidR="00D93731" w:rsidRPr="00C53B7C">
              <w:rPr>
                <w:rFonts w:ascii="Calibri" w:hAnsi="Calibri"/>
                <w:i/>
                <w:szCs w:val="20"/>
              </w:rPr>
              <w:t xml:space="preserve">one being the </w:t>
            </w:r>
            <w:r w:rsidR="007245C3" w:rsidRPr="00C53B7C">
              <w:rPr>
                <w:rFonts w:ascii="Calibri" w:hAnsi="Calibri"/>
                <w:i/>
                <w:szCs w:val="20"/>
              </w:rPr>
              <w:t xml:space="preserve">ADF). </w:t>
            </w:r>
          </w:p>
          <w:p w14:paraId="414A1352" w14:textId="03EB1C53" w:rsidR="003B11CB" w:rsidRPr="00C53B7C" w:rsidRDefault="003B11CB" w:rsidP="00AF012F">
            <w:pPr>
              <w:pStyle w:val="BodyText2"/>
              <w:rPr>
                <w:rFonts w:ascii="Calibri" w:hAnsi="Calibri"/>
                <w:i/>
                <w:szCs w:val="20"/>
              </w:rPr>
            </w:pPr>
          </w:p>
        </w:tc>
      </w:tr>
      <w:tr w:rsidR="003B11CB" w:rsidRPr="00C53B7C" w14:paraId="58F97127" w14:textId="77777777" w:rsidTr="005304FE">
        <w:tc>
          <w:tcPr>
            <w:tcW w:w="14040" w:type="dxa"/>
            <w:gridSpan w:val="5"/>
          </w:tcPr>
          <w:p w14:paraId="4D162644" w14:textId="79223A04" w:rsidR="003B11CB" w:rsidRPr="00C53B7C" w:rsidRDefault="003B11CB" w:rsidP="003F4D86">
            <w:pPr>
              <w:pStyle w:val="BodyText2"/>
              <w:rPr>
                <w:rFonts w:ascii="Calibri" w:hAnsi="Calibri"/>
                <w:b/>
                <w:szCs w:val="20"/>
              </w:rPr>
            </w:pPr>
            <w:r w:rsidRPr="00C53B7C">
              <w:rPr>
                <w:rFonts w:ascii="Calibri" w:hAnsi="Calibri"/>
                <w:b/>
                <w:szCs w:val="20"/>
              </w:rPr>
              <w:t>UNDP Contribution:</w:t>
            </w:r>
          </w:p>
          <w:p w14:paraId="31189DCC" w14:textId="186A612C" w:rsidR="00E63D35" w:rsidRPr="00C53B7C" w:rsidRDefault="00E63D35" w:rsidP="003F4D86">
            <w:pPr>
              <w:pStyle w:val="BodyText2"/>
              <w:rPr>
                <w:rFonts w:ascii="Calibri" w:hAnsi="Calibri"/>
                <w:bCs/>
                <w:szCs w:val="20"/>
              </w:rPr>
            </w:pPr>
          </w:p>
          <w:p w14:paraId="7285BA45" w14:textId="2145A6DA" w:rsidR="00671BCB" w:rsidRPr="00C53B7C" w:rsidRDefault="00D06076" w:rsidP="006D25EA">
            <w:pPr>
              <w:pStyle w:val="BodyText2"/>
              <w:jc w:val="both"/>
              <w:rPr>
                <w:rFonts w:ascii="Calibri" w:hAnsi="Calibri"/>
                <w:bCs/>
                <w:szCs w:val="20"/>
              </w:rPr>
            </w:pPr>
            <w:r w:rsidRPr="00C53B7C">
              <w:rPr>
                <w:rFonts w:ascii="Calibri" w:hAnsi="Calibri"/>
                <w:bCs/>
                <w:szCs w:val="20"/>
              </w:rPr>
              <w:t>UNDP’s contribution to this outcome through its support to actionable mechanisms and policies aimed at decent work creation and the promotion of entrepreneurship</w:t>
            </w:r>
            <w:r w:rsidR="005D3F57" w:rsidRPr="00C53B7C">
              <w:rPr>
                <w:rFonts w:ascii="Calibri" w:hAnsi="Calibri"/>
                <w:bCs/>
                <w:szCs w:val="20"/>
              </w:rPr>
              <w:t>, particularly through the Amerindian Development Fund,</w:t>
            </w:r>
            <w:r w:rsidRPr="00C53B7C">
              <w:rPr>
                <w:rFonts w:ascii="Calibri" w:hAnsi="Calibri"/>
                <w:bCs/>
                <w:szCs w:val="20"/>
              </w:rPr>
              <w:t xml:space="preserve"> have </w:t>
            </w:r>
            <w:r w:rsidR="00671BCB" w:rsidRPr="00C53B7C">
              <w:rPr>
                <w:rFonts w:ascii="Calibri" w:hAnsi="Calibri"/>
                <w:bCs/>
                <w:szCs w:val="20"/>
              </w:rPr>
              <w:t xml:space="preserve">resulted in significant achievements </w:t>
            </w:r>
            <w:r w:rsidRPr="00C53B7C">
              <w:rPr>
                <w:rFonts w:ascii="Calibri" w:hAnsi="Calibri"/>
                <w:bCs/>
                <w:szCs w:val="20"/>
              </w:rPr>
              <w:t>on im</w:t>
            </w:r>
            <w:r w:rsidR="00671BCB" w:rsidRPr="00C53B7C">
              <w:rPr>
                <w:rFonts w:ascii="Calibri" w:hAnsi="Calibri"/>
                <w:bCs/>
                <w:szCs w:val="20"/>
              </w:rPr>
              <w:t>proved access to sustainable economic opportunities</w:t>
            </w:r>
            <w:r w:rsidRPr="00C53B7C">
              <w:rPr>
                <w:rFonts w:ascii="Calibri" w:hAnsi="Calibri"/>
                <w:bCs/>
                <w:szCs w:val="20"/>
              </w:rPr>
              <w:t>.</w:t>
            </w:r>
          </w:p>
          <w:p w14:paraId="5D35A6D0" w14:textId="0743018D" w:rsidR="00E63D35" w:rsidRPr="00C53B7C" w:rsidRDefault="00E63D35" w:rsidP="006D25EA">
            <w:pPr>
              <w:pStyle w:val="BodyText2"/>
              <w:jc w:val="both"/>
              <w:rPr>
                <w:rFonts w:ascii="Calibri" w:hAnsi="Calibri"/>
                <w:bCs/>
                <w:szCs w:val="20"/>
              </w:rPr>
            </w:pPr>
          </w:p>
          <w:p w14:paraId="00773B15" w14:textId="32EE6D2E" w:rsidR="00E63D35" w:rsidRPr="00C53B7C" w:rsidRDefault="00D06076" w:rsidP="006D25EA">
            <w:pPr>
              <w:pStyle w:val="BodyText2"/>
              <w:jc w:val="both"/>
              <w:rPr>
                <w:rFonts w:ascii="Calibri" w:hAnsi="Calibri"/>
                <w:bCs/>
                <w:szCs w:val="20"/>
              </w:rPr>
            </w:pPr>
            <w:r w:rsidRPr="00C53B7C">
              <w:rPr>
                <w:rFonts w:ascii="Calibri" w:hAnsi="Calibri"/>
                <w:szCs w:val="20"/>
              </w:rPr>
              <w:t>Work under this pillar of the Country Programme has contributed to Outcome 1 of the 2014-2017 Strategic Plan, ‘</w:t>
            </w:r>
            <w:r w:rsidR="00E63D35" w:rsidRPr="00C53B7C">
              <w:rPr>
                <w:rFonts w:ascii="Calibri" w:hAnsi="Calibri"/>
                <w:bCs/>
                <w:szCs w:val="20"/>
              </w:rPr>
              <w:t>Growth and development are inclusive and sustainable, incorporating productive capacities that create employment and livelihoods for the poor and excluded</w:t>
            </w:r>
            <w:r w:rsidRPr="00C53B7C">
              <w:rPr>
                <w:rFonts w:ascii="Calibri" w:hAnsi="Calibri"/>
                <w:bCs/>
                <w:szCs w:val="20"/>
              </w:rPr>
              <w:t>’</w:t>
            </w:r>
            <w:r w:rsidR="0024591C" w:rsidRPr="00C53B7C">
              <w:rPr>
                <w:rFonts w:ascii="Calibri" w:hAnsi="Calibri"/>
                <w:bCs/>
                <w:szCs w:val="20"/>
              </w:rPr>
              <w:t xml:space="preserve">, as well as to </w:t>
            </w:r>
            <w:r w:rsidR="0024591C" w:rsidRPr="00C53B7C">
              <w:rPr>
                <w:rFonts w:ascii="Calibri" w:hAnsi="Calibri"/>
                <w:szCs w:val="20"/>
              </w:rPr>
              <w:t>Outcome 1 of the 2018-2021 Strategic Plan, ‘</w:t>
            </w:r>
            <w:r w:rsidR="0024591C" w:rsidRPr="00C53B7C">
              <w:rPr>
                <w:rFonts w:ascii="Calibri" w:hAnsi="Calibri"/>
                <w:i/>
                <w:iCs/>
                <w:szCs w:val="20"/>
              </w:rPr>
              <w:t>Eradicate poverty in all its forms and dimension</w:t>
            </w:r>
            <w:r w:rsidR="0024591C" w:rsidRPr="00C53B7C">
              <w:rPr>
                <w:rFonts w:ascii="Calibri" w:hAnsi="Calibri"/>
                <w:szCs w:val="20"/>
              </w:rPr>
              <w:t>.’</w:t>
            </w:r>
            <w:r w:rsidRPr="00C53B7C">
              <w:rPr>
                <w:rFonts w:ascii="Calibri" w:hAnsi="Calibri"/>
                <w:bCs/>
                <w:szCs w:val="20"/>
              </w:rPr>
              <w:t xml:space="preserve"> With regards to </w:t>
            </w:r>
            <w:r w:rsidRPr="00C53B7C">
              <w:rPr>
                <w:rFonts w:ascii="Calibri" w:hAnsi="Calibri"/>
                <w:szCs w:val="20"/>
              </w:rPr>
              <w:t>SDGs, it was linked directly to SDG</w:t>
            </w:r>
            <w:r w:rsidR="00B16EDC" w:rsidRPr="00C53B7C">
              <w:rPr>
                <w:rFonts w:ascii="Calibri" w:hAnsi="Calibri"/>
                <w:szCs w:val="20"/>
              </w:rPr>
              <w:t>s 1 (No Poverty), 2 (Zero Hunger), 5 (Gender Equality), 7 (Clean Energy)</w:t>
            </w:r>
            <w:r w:rsidR="00F457CD" w:rsidRPr="00C53B7C">
              <w:rPr>
                <w:rFonts w:ascii="Calibri" w:hAnsi="Calibri"/>
                <w:szCs w:val="20"/>
              </w:rPr>
              <w:t>, 8 (Decent Work and Economic Growth)</w:t>
            </w:r>
            <w:r w:rsidR="00B16EDC" w:rsidRPr="00C53B7C">
              <w:rPr>
                <w:rFonts w:ascii="Calibri" w:hAnsi="Calibri"/>
                <w:szCs w:val="20"/>
              </w:rPr>
              <w:t xml:space="preserve"> and</w:t>
            </w:r>
            <w:r w:rsidRPr="00C53B7C">
              <w:rPr>
                <w:rFonts w:ascii="Calibri" w:hAnsi="Calibri"/>
                <w:szCs w:val="20"/>
              </w:rPr>
              <w:t xml:space="preserve"> 10 (</w:t>
            </w:r>
            <w:r w:rsidR="00B16EDC" w:rsidRPr="00C53B7C">
              <w:rPr>
                <w:rFonts w:ascii="Calibri" w:hAnsi="Calibri"/>
                <w:szCs w:val="20"/>
              </w:rPr>
              <w:t xml:space="preserve">Reduced </w:t>
            </w:r>
            <w:r w:rsidRPr="00C53B7C">
              <w:rPr>
                <w:rFonts w:ascii="Calibri" w:hAnsi="Calibri"/>
                <w:szCs w:val="20"/>
              </w:rPr>
              <w:t>Inequalit</w:t>
            </w:r>
            <w:r w:rsidR="00B16EDC" w:rsidRPr="00C53B7C">
              <w:rPr>
                <w:rFonts w:ascii="Calibri" w:hAnsi="Calibri"/>
                <w:szCs w:val="20"/>
              </w:rPr>
              <w:t>ies</w:t>
            </w:r>
            <w:r w:rsidRPr="00C53B7C">
              <w:rPr>
                <w:rFonts w:ascii="Calibri" w:hAnsi="Calibri"/>
                <w:szCs w:val="20"/>
              </w:rPr>
              <w:t>).</w:t>
            </w:r>
          </w:p>
          <w:p w14:paraId="65C6D997" w14:textId="77777777" w:rsidR="003B11CB" w:rsidRPr="00C53B7C" w:rsidRDefault="003B11CB" w:rsidP="006D25EA">
            <w:pPr>
              <w:pStyle w:val="BodyText2"/>
              <w:jc w:val="both"/>
              <w:rPr>
                <w:rFonts w:ascii="Calibri" w:hAnsi="Calibri"/>
                <w:szCs w:val="20"/>
                <w:u w:val="single"/>
              </w:rPr>
            </w:pPr>
          </w:p>
          <w:p w14:paraId="18965C5C" w14:textId="4F9FB44A" w:rsidR="003B11CB" w:rsidRPr="00C53B7C" w:rsidRDefault="003B11CB" w:rsidP="006D25EA">
            <w:pPr>
              <w:pStyle w:val="BodyText2"/>
              <w:jc w:val="both"/>
              <w:rPr>
                <w:rFonts w:ascii="Calibri" w:hAnsi="Calibri"/>
                <w:szCs w:val="20"/>
              </w:rPr>
            </w:pPr>
            <w:r w:rsidRPr="00C53B7C">
              <w:rPr>
                <w:rFonts w:ascii="Calibri" w:hAnsi="Calibri"/>
                <w:szCs w:val="20"/>
                <w:u w:val="single"/>
              </w:rPr>
              <w:t>CP Outputs</w:t>
            </w:r>
            <w:r w:rsidRPr="00C53B7C">
              <w:rPr>
                <w:rFonts w:ascii="Calibri" w:hAnsi="Calibri"/>
                <w:szCs w:val="20"/>
              </w:rPr>
              <w:t>:</w:t>
            </w:r>
          </w:p>
          <w:p w14:paraId="0B67DFA7" w14:textId="0B69A1E5" w:rsidR="007C1879" w:rsidRPr="00C53B7C" w:rsidRDefault="00E63D35" w:rsidP="006D25EA">
            <w:pPr>
              <w:jc w:val="both"/>
              <w:rPr>
                <w:rFonts w:ascii="Calibri" w:hAnsi="Calibri"/>
                <w:sz w:val="20"/>
                <w:szCs w:val="20"/>
              </w:rPr>
            </w:pPr>
            <w:r w:rsidRPr="00C53B7C">
              <w:rPr>
                <w:rFonts w:ascii="Calibri" w:hAnsi="Calibri"/>
                <w:sz w:val="20"/>
                <w:szCs w:val="20"/>
              </w:rPr>
              <w:t xml:space="preserve">The indicative outputs identified in the CP </w:t>
            </w:r>
            <w:r w:rsidR="00C04652" w:rsidRPr="00C53B7C">
              <w:rPr>
                <w:rFonts w:ascii="Calibri" w:hAnsi="Calibri"/>
                <w:sz w:val="20"/>
                <w:szCs w:val="20"/>
              </w:rPr>
              <w:t xml:space="preserve">for this outcome </w:t>
            </w:r>
            <w:r w:rsidRPr="00C53B7C">
              <w:rPr>
                <w:rFonts w:ascii="Calibri" w:hAnsi="Calibri"/>
                <w:sz w:val="20"/>
                <w:szCs w:val="20"/>
              </w:rPr>
              <w:t>were: (1) National and subnational institutions, private-sector and civil society capacities strengthened to deliver effective entrepreneur programmes to women, youth and Amerindians and develop related policies; (2) Business enterprises, especially in remote and hinterland regions, with increased access to clean, renewable and affordable energy</w:t>
            </w:r>
            <w:r w:rsidR="007C1879" w:rsidRPr="00C53B7C">
              <w:rPr>
                <w:rFonts w:ascii="Calibri" w:hAnsi="Calibri"/>
                <w:sz w:val="20"/>
                <w:szCs w:val="20"/>
              </w:rPr>
              <w:t>; and (3) National Data Collection Agency is able to generate timely comprehensive data on employment and market.</w:t>
            </w:r>
          </w:p>
          <w:p w14:paraId="32AB631F" w14:textId="77777777" w:rsidR="00E63D35" w:rsidRPr="00C53B7C" w:rsidRDefault="00E63D35" w:rsidP="006D25EA">
            <w:pPr>
              <w:pStyle w:val="BodyText2"/>
              <w:jc w:val="both"/>
              <w:rPr>
                <w:rFonts w:ascii="Calibri" w:hAnsi="Calibri"/>
                <w:szCs w:val="20"/>
              </w:rPr>
            </w:pPr>
          </w:p>
          <w:p w14:paraId="3480B10D" w14:textId="393D5E13" w:rsidR="003B11CB" w:rsidRPr="00C53B7C" w:rsidRDefault="003B11CB" w:rsidP="006D25EA">
            <w:pPr>
              <w:pStyle w:val="BodyText2"/>
              <w:jc w:val="both"/>
              <w:rPr>
                <w:rFonts w:ascii="Calibri" w:hAnsi="Calibri"/>
                <w:szCs w:val="20"/>
              </w:rPr>
            </w:pPr>
            <w:r w:rsidRPr="00C53B7C">
              <w:rPr>
                <w:rFonts w:ascii="Calibri" w:hAnsi="Calibri"/>
                <w:szCs w:val="20"/>
                <w:u w:val="single"/>
              </w:rPr>
              <w:t>Progress and Achievements</w:t>
            </w:r>
            <w:r w:rsidRPr="00C53B7C">
              <w:rPr>
                <w:rFonts w:ascii="Calibri" w:hAnsi="Calibri"/>
                <w:szCs w:val="20"/>
              </w:rPr>
              <w:t>:</w:t>
            </w:r>
          </w:p>
          <w:p w14:paraId="024EC03F" w14:textId="77777777" w:rsidR="00D06076" w:rsidRPr="00C53B7C" w:rsidRDefault="00D06076" w:rsidP="006D25EA">
            <w:pPr>
              <w:pStyle w:val="BodyText2"/>
              <w:jc w:val="both"/>
              <w:rPr>
                <w:rFonts w:ascii="Calibri" w:hAnsi="Calibri"/>
                <w:szCs w:val="20"/>
              </w:rPr>
            </w:pPr>
          </w:p>
          <w:p w14:paraId="019B2DEC" w14:textId="179F2D5C" w:rsidR="00D06076" w:rsidRPr="00C53B7C" w:rsidRDefault="00D06076" w:rsidP="006D25EA">
            <w:pPr>
              <w:pStyle w:val="BodyText2"/>
              <w:autoSpaceDE/>
              <w:autoSpaceDN/>
              <w:adjustRightInd/>
              <w:jc w:val="both"/>
              <w:rPr>
                <w:rFonts w:ascii="Calibri" w:hAnsi="Calibri"/>
                <w:bCs/>
                <w:szCs w:val="20"/>
              </w:rPr>
            </w:pPr>
            <w:r w:rsidRPr="00C53B7C">
              <w:rPr>
                <w:rFonts w:ascii="Calibri" w:hAnsi="Calibri"/>
                <w:bCs/>
                <w:szCs w:val="20"/>
              </w:rPr>
              <w:t xml:space="preserve">The CO </w:t>
            </w:r>
            <w:r w:rsidR="00B16EDC" w:rsidRPr="00C53B7C">
              <w:rPr>
                <w:rFonts w:ascii="Calibri" w:hAnsi="Calibri"/>
                <w:bCs/>
                <w:szCs w:val="20"/>
              </w:rPr>
              <w:t xml:space="preserve">collaborated with the </w:t>
            </w:r>
            <w:r w:rsidR="00EB4513" w:rsidRPr="00C53B7C">
              <w:rPr>
                <w:rFonts w:ascii="Calibri" w:hAnsi="Calibri"/>
                <w:bCs/>
                <w:szCs w:val="20"/>
              </w:rPr>
              <w:t>MOIPA</w:t>
            </w:r>
            <w:r w:rsidR="00B16EDC" w:rsidRPr="00C53B7C">
              <w:rPr>
                <w:rFonts w:ascii="Calibri" w:hAnsi="Calibri"/>
                <w:bCs/>
                <w:szCs w:val="20"/>
              </w:rPr>
              <w:t xml:space="preserve"> now the </w:t>
            </w:r>
            <w:r w:rsidR="00EB4513" w:rsidRPr="00C53B7C">
              <w:rPr>
                <w:rFonts w:ascii="Calibri" w:hAnsi="Calibri"/>
                <w:bCs/>
                <w:szCs w:val="20"/>
              </w:rPr>
              <w:t>MOAA</w:t>
            </w:r>
            <w:r w:rsidR="00B16EDC" w:rsidRPr="00C53B7C">
              <w:rPr>
                <w:rFonts w:ascii="Calibri" w:hAnsi="Calibri"/>
                <w:bCs/>
                <w:szCs w:val="20"/>
              </w:rPr>
              <w:t xml:space="preserve"> for the execution</w:t>
            </w:r>
            <w:r w:rsidRPr="00C53B7C">
              <w:rPr>
                <w:rFonts w:ascii="Calibri" w:hAnsi="Calibri"/>
                <w:bCs/>
                <w:szCs w:val="20"/>
              </w:rPr>
              <w:t xml:space="preserve"> of</w:t>
            </w:r>
            <w:r w:rsidR="0018421D" w:rsidRPr="00C53B7C">
              <w:rPr>
                <w:rFonts w:ascii="Calibri" w:hAnsi="Calibri"/>
                <w:bCs/>
                <w:szCs w:val="20"/>
              </w:rPr>
              <w:t xml:space="preserve"> the </w:t>
            </w:r>
            <w:r w:rsidR="00D93731" w:rsidRPr="00C53B7C">
              <w:rPr>
                <w:rFonts w:ascii="Calibri" w:hAnsi="Calibri"/>
                <w:bCs/>
                <w:szCs w:val="20"/>
              </w:rPr>
              <w:t>ADF</w:t>
            </w:r>
            <w:r w:rsidR="0018421D" w:rsidRPr="00C53B7C">
              <w:rPr>
                <w:rFonts w:ascii="Calibri" w:hAnsi="Calibri"/>
                <w:bCs/>
                <w:szCs w:val="20"/>
              </w:rPr>
              <w:t>,</w:t>
            </w:r>
            <w:r w:rsidRPr="00C53B7C">
              <w:rPr>
                <w:rFonts w:ascii="Calibri" w:hAnsi="Calibri"/>
                <w:bCs/>
                <w:szCs w:val="20"/>
              </w:rPr>
              <w:t xml:space="preserve"> an actionable mechanism aimed at decent work creation and protection, the promotion of entrepreneurship, and the formalization and growth of enterprises</w:t>
            </w:r>
            <w:r w:rsidR="00EA5AA1" w:rsidRPr="00C53B7C">
              <w:rPr>
                <w:rFonts w:ascii="Calibri" w:hAnsi="Calibri"/>
                <w:bCs/>
                <w:szCs w:val="20"/>
              </w:rPr>
              <w:t xml:space="preserve"> with funding provided by the Norwegian Government under the GRIF</w:t>
            </w:r>
            <w:r w:rsidR="0018421D" w:rsidRPr="00C53B7C">
              <w:rPr>
                <w:rFonts w:ascii="Calibri" w:hAnsi="Calibri"/>
                <w:bCs/>
                <w:szCs w:val="20"/>
              </w:rPr>
              <w:t xml:space="preserve">. </w:t>
            </w:r>
            <w:r w:rsidR="00104F10" w:rsidRPr="00C53B7C">
              <w:rPr>
                <w:rFonts w:ascii="Calibri" w:hAnsi="Calibri"/>
                <w:bCs/>
                <w:szCs w:val="20"/>
              </w:rPr>
              <w:t>The fund provided nine schemes to expand and diversify the productive base based on the use of sustainable production technologies in Amerindian communities surpassing the target of eight.</w:t>
            </w:r>
            <w:r w:rsidR="00A72256" w:rsidRPr="00C53B7C">
              <w:rPr>
                <w:rFonts w:ascii="Calibri" w:hAnsi="Calibri"/>
                <w:bCs/>
                <w:szCs w:val="20"/>
              </w:rPr>
              <w:t xml:space="preserve"> In</w:t>
            </w:r>
            <w:r w:rsidRPr="00C53B7C">
              <w:rPr>
                <w:rFonts w:ascii="Calibri" w:hAnsi="Calibri"/>
                <w:bCs/>
                <w:szCs w:val="20"/>
              </w:rPr>
              <w:t xml:space="preserve"> order to facilitate sustainability, further technical support and monitoring are required</w:t>
            </w:r>
            <w:r w:rsidR="00A72256" w:rsidRPr="00C53B7C">
              <w:rPr>
                <w:rFonts w:ascii="Calibri" w:hAnsi="Calibri"/>
                <w:bCs/>
                <w:szCs w:val="20"/>
              </w:rPr>
              <w:t xml:space="preserve">, and for that purpose the </w:t>
            </w:r>
            <w:r w:rsidRPr="00C53B7C">
              <w:rPr>
                <w:rFonts w:ascii="Calibri" w:hAnsi="Calibri"/>
                <w:bCs/>
                <w:szCs w:val="20"/>
              </w:rPr>
              <w:t xml:space="preserve">CO </w:t>
            </w:r>
            <w:r w:rsidR="00A72256" w:rsidRPr="00C53B7C">
              <w:rPr>
                <w:rFonts w:ascii="Calibri" w:hAnsi="Calibri"/>
                <w:bCs/>
                <w:szCs w:val="20"/>
              </w:rPr>
              <w:t xml:space="preserve">has been seeking additional resources to maintain </w:t>
            </w:r>
            <w:r w:rsidRPr="00C53B7C">
              <w:rPr>
                <w:rFonts w:ascii="Calibri" w:hAnsi="Calibri"/>
                <w:bCs/>
                <w:szCs w:val="20"/>
              </w:rPr>
              <w:t xml:space="preserve">support to this target group for entrepreneurship and </w:t>
            </w:r>
            <w:r w:rsidR="00A72256" w:rsidRPr="00C53B7C">
              <w:rPr>
                <w:rFonts w:ascii="Calibri" w:hAnsi="Calibri"/>
                <w:bCs/>
                <w:szCs w:val="20"/>
              </w:rPr>
              <w:t>business management</w:t>
            </w:r>
            <w:r w:rsidR="00F457CD" w:rsidRPr="00C53B7C">
              <w:rPr>
                <w:rFonts w:ascii="Calibri" w:hAnsi="Calibri"/>
                <w:bCs/>
                <w:szCs w:val="20"/>
              </w:rPr>
              <w:t>.</w:t>
            </w:r>
            <w:r w:rsidR="00A72256" w:rsidRPr="00C53B7C">
              <w:rPr>
                <w:rFonts w:ascii="Calibri" w:hAnsi="Calibri"/>
                <w:bCs/>
                <w:szCs w:val="20"/>
              </w:rPr>
              <w:t xml:space="preserve"> </w:t>
            </w:r>
            <w:r w:rsidR="003F42A7" w:rsidRPr="00C53B7C">
              <w:rPr>
                <w:rFonts w:ascii="Calibri" w:hAnsi="Calibri"/>
                <w:bCs/>
                <w:szCs w:val="20"/>
              </w:rPr>
              <w:t xml:space="preserve">Other interventions were aimed at processes that bring the provision of decentralized, sustainable energy to hinterland areas. </w:t>
            </w:r>
          </w:p>
          <w:p w14:paraId="545A4E57" w14:textId="5F6B8437" w:rsidR="00A72256" w:rsidRPr="00C53B7C" w:rsidRDefault="00A72256" w:rsidP="006D25EA">
            <w:pPr>
              <w:pStyle w:val="BodyText2"/>
              <w:jc w:val="both"/>
              <w:rPr>
                <w:rFonts w:ascii="Calibri" w:hAnsi="Calibri"/>
                <w:bCs/>
                <w:szCs w:val="20"/>
              </w:rPr>
            </w:pPr>
          </w:p>
          <w:p w14:paraId="610D09FE" w14:textId="499A16D0" w:rsidR="003019F7" w:rsidRPr="00C53B7C" w:rsidRDefault="00FA2B52" w:rsidP="006D25EA">
            <w:pPr>
              <w:pStyle w:val="BodyText2"/>
              <w:jc w:val="both"/>
              <w:rPr>
                <w:rFonts w:ascii="Calibri" w:hAnsi="Calibri"/>
                <w:bCs/>
                <w:szCs w:val="20"/>
              </w:rPr>
            </w:pPr>
            <w:r w:rsidRPr="00C53B7C">
              <w:rPr>
                <w:rFonts w:ascii="Calibri" w:hAnsi="Calibri"/>
                <w:bCs/>
                <w:szCs w:val="20"/>
              </w:rPr>
              <w:t>(</w:t>
            </w:r>
            <w:r w:rsidR="00FB7271" w:rsidRPr="00C53B7C">
              <w:rPr>
                <w:rFonts w:ascii="Calibri" w:hAnsi="Calibri"/>
                <w:bCs/>
                <w:szCs w:val="20"/>
              </w:rPr>
              <w:t xml:space="preserve">Output </w:t>
            </w:r>
            <w:r w:rsidRPr="00C53B7C">
              <w:rPr>
                <w:rFonts w:ascii="Calibri" w:hAnsi="Calibri"/>
                <w:bCs/>
                <w:szCs w:val="20"/>
              </w:rPr>
              <w:t xml:space="preserve">1). </w:t>
            </w:r>
            <w:r w:rsidR="001A0E36" w:rsidRPr="00C53B7C">
              <w:rPr>
                <w:rFonts w:ascii="Calibri" w:hAnsi="Calibri"/>
                <w:bCs/>
                <w:szCs w:val="20"/>
              </w:rPr>
              <w:t xml:space="preserve">The </w:t>
            </w:r>
            <w:r w:rsidR="00EB4513" w:rsidRPr="00C53B7C">
              <w:rPr>
                <w:rFonts w:ascii="Calibri" w:hAnsi="Calibri"/>
                <w:bCs/>
                <w:szCs w:val="20"/>
              </w:rPr>
              <w:t>ADF</w:t>
            </w:r>
            <w:r w:rsidR="00D93731" w:rsidRPr="00C53B7C">
              <w:rPr>
                <w:rFonts w:ascii="Calibri" w:hAnsi="Calibri"/>
                <w:bCs/>
                <w:szCs w:val="20"/>
              </w:rPr>
              <w:t xml:space="preserve"> implement</w:t>
            </w:r>
            <w:r w:rsidR="00E3457B" w:rsidRPr="00C53B7C">
              <w:rPr>
                <w:rFonts w:ascii="Calibri" w:hAnsi="Calibri"/>
                <w:bCs/>
                <w:szCs w:val="20"/>
              </w:rPr>
              <w:t>ed</w:t>
            </w:r>
            <w:r w:rsidR="00D93731" w:rsidRPr="00C53B7C">
              <w:rPr>
                <w:rFonts w:ascii="Calibri" w:hAnsi="Calibri"/>
                <w:bCs/>
                <w:szCs w:val="20"/>
              </w:rPr>
              <w:t xml:space="preserve"> a low-carbon development </w:t>
            </w:r>
            <w:r w:rsidR="008A4D36" w:rsidRPr="00C53B7C">
              <w:rPr>
                <w:rFonts w:ascii="Calibri" w:hAnsi="Calibri"/>
                <w:bCs/>
                <w:szCs w:val="20"/>
              </w:rPr>
              <w:t>approach</w:t>
            </w:r>
            <w:r w:rsidR="00F457CD" w:rsidRPr="00C53B7C">
              <w:rPr>
                <w:rFonts w:ascii="Calibri" w:hAnsi="Calibri"/>
                <w:bCs/>
                <w:szCs w:val="20"/>
              </w:rPr>
              <w:t xml:space="preserve"> and</w:t>
            </w:r>
            <w:r w:rsidR="001A0E36" w:rsidRPr="00C53B7C">
              <w:rPr>
                <w:rFonts w:ascii="Calibri" w:hAnsi="Calibri"/>
                <w:bCs/>
                <w:szCs w:val="20"/>
              </w:rPr>
              <w:t xml:space="preserve"> </w:t>
            </w:r>
            <w:r w:rsidR="006171D1" w:rsidRPr="00C53B7C">
              <w:rPr>
                <w:rFonts w:ascii="Calibri" w:hAnsi="Calibri"/>
                <w:bCs/>
                <w:szCs w:val="20"/>
              </w:rPr>
              <w:t xml:space="preserve">allowed </w:t>
            </w:r>
            <w:r w:rsidR="00B16EDC" w:rsidRPr="00C53B7C">
              <w:rPr>
                <w:rFonts w:ascii="Calibri" w:hAnsi="Calibri"/>
                <w:bCs/>
                <w:szCs w:val="20"/>
              </w:rPr>
              <w:t xml:space="preserve">154 </w:t>
            </w:r>
            <w:r w:rsidR="006171D1" w:rsidRPr="00C53B7C">
              <w:rPr>
                <w:rFonts w:ascii="Calibri" w:hAnsi="Calibri"/>
                <w:bCs/>
                <w:szCs w:val="20"/>
              </w:rPr>
              <w:t xml:space="preserve">communities to receive USD25,000 </w:t>
            </w:r>
            <w:r w:rsidR="00BB7617" w:rsidRPr="00C53B7C">
              <w:rPr>
                <w:rFonts w:ascii="Calibri" w:hAnsi="Calibri"/>
                <w:bCs/>
                <w:szCs w:val="20"/>
              </w:rPr>
              <w:t xml:space="preserve">each </w:t>
            </w:r>
            <w:r w:rsidR="00D93731" w:rsidRPr="00C53B7C">
              <w:rPr>
                <w:rFonts w:ascii="Calibri" w:hAnsi="Calibri"/>
                <w:bCs/>
                <w:szCs w:val="20"/>
              </w:rPr>
              <w:t xml:space="preserve">for </w:t>
            </w:r>
            <w:r w:rsidR="006171D1" w:rsidRPr="00C53B7C">
              <w:rPr>
                <w:rFonts w:ascii="Calibri" w:hAnsi="Calibri"/>
                <w:bCs/>
                <w:szCs w:val="20"/>
              </w:rPr>
              <w:t>community development plans (CDPs) for ventures such as village shops, transportation, forest</w:t>
            </w:r>
            <w:r w:rsidR="00862D2C" w:rsidRPr="00C53B7C">
              <w:rPr>
                <w:rFonts w:ascii="Calibri" w:hAnsi="Calibri"/>
                <w:bCs/>
                <w:szCs w:val="20"/>
              </w:rPr>
              <w:t>-</w:t>
            </w:r>
            <w:r w:rsidR="006171D1" w:rsidRPr="00C53B7C">
              <w:rPr>
                <w:rFonts w:ascii="Calibri" w:hAnsi="Calibri"/>
                <w:bCs/>
                <w:szCs w:val="20"/>
              </w:rPr>
              <w:t>based artisanal</w:t>
            </w:r>
            <w:r w:rsidR="00862D2C" w:rsidRPr="00C53B7C">
              <w:rPr>
                <w:rFonts w:ascii="Calibri" w:hAnsi="Calibri"/>
                <w:bCs/>
                <w:szCs w:val="20"/>
              </w:rPr>
              <w:t xml:space="preserve"> crafts</w:t>
            </w:r>
            <w:r w:rsidR="006171D1" w:rsidRPr="00C53B7C">
              <w:rPr>
                <w:rFonts w:ascii="Calibri" w:hAnsi="Calibri"/>
                <w:bCs/>
                <w:szCs w:val="20"/>
              </w:rPr>
              <w:t xml:space="preserve">, furniture manufacturing, poultry, fisheries, cattle, crops and hospitality. </w:t>
            </w:r>
            <w:r w:rsidR="00862D2C" w:rsidRPr="00C53B7C">
              <w:rPr>
                <w:rFonts w:ascii="Calibri" w:hAnsi="Calibri"/>
                <w:bCs/>
                <w:szCs w:val="20"/>
              </w:rPr>
              <w:t xml:space="preserve">As a consequence, by 2020 some 56,100 Amerindian persons (half of them women) had newly accessed financial services. </w:t>
            </w:r>
            <w:r w:rsidR="006171D1" w:rsidRPr="00C53B7C">
              <w:rPr>
                <w:rFonts w:ascii="Calibri" w:hAnsi="Calibri"/>
                <w:bCs/>
                <w:szCs w:val="20"/>
              </w:rPr>
              <w:t>Also w</w:t>
            </w:r>
            <w:r w:rsidR="00AF781D" w:rsidRPr="00C53B7C">
              <w:rPr>
                <w:rFonts w:ascii="Calibri" w:hAnsi="Calibri"/>
                <w:bCs/>
                <w:szCs w:val="20"/>
              </w:rPr>
              <w:t xml:space="preserve">orking with </w:t>
            </w:r>
            <w:r w:rsidRPr="00C53B7C">
              <w:rPr>
                <w:rFonts w:ascii="Calibri" w:hAnsi="Calibri"/>
                <w:bCs/>
                <w:szCs w:val="20"/>
              </w:rPr>
              <w:t xml:space="preserve">Amerindian communities, </w:t>
            </w:r>
            <w:r w:rsidR="00AF781D" w:rsidRPr="00C53B7C">
              <w:rPr>
                <w:rFonts w:ascii="Calibri" w:hAnsi="Calibri"/>
                <w:bCs/>
                <w:szCs w:val="20"/>
              </w:rPr>
              <w:t xml:space="preserve">progress was made on </w:t>
            </w:r>
            <w:r w:rsidRPr="00C53B7C">
              <w:rPr>
                <w:rFonts w:ascii="Calibri" w:hAnsi="Calibri"/>
                <w:bCs/>
                <w:szCs w:val="20"/>
              </w:rPr>
              <w:t>land-titling mechanisms</w:t>
            </w:r>
            <w:r w:rsidR="005D3F57" w:rsidRPr="00C53B7C">
              <w:rPr>
                <w:rFonts w:ascii="Calibri" w:hAnsi="Calibri"/>
                <w:bCs/>
                <w:szCs w:val="20"/>
              </w:rPr>
              <w:t>, resulting in 20 new recognized land-titles.</w:t>
            </w:r>
            <w:r w:rsidRPr="00C53B7C">
              <w:rPr>
                <w:rFonts w:ascii="Calibri" w:hAnsi="Calibri"/>
                <w:bCs/>
                <w:szCs w:val="20"/>
              </w:rPr>
              <w:t xml:space="preserve"> The security of tenure from titles to their lands </w:t>
            </w:r>
            <w:r w:rsidR="00862D2C" w:rsidRPr="00C53B7C">
              <w:rPr>
                <w:rFonts w:ascii="Calibri" w:hAnsi="Calibri"/>
                <w:bCs/>
                <w:szCs w:val="20"/>
              </w:rPr>
              <w:t xml:space="preserve">can </w:t>
            </w:r>
            <w:r w:rsidRPr="00C53B7C">
              <w:rPr>
                <w:rFonts w:ascii="Calibri" w:hAnsi="Calibri"/>
                <w:bCs/>
                <w:szCs w:val="20"/>
              </w:rPr>
              <w:t xml:space="preserve">enable the communities to invest in resources and activities for their livelihoods without fear of encroachment </w:t>
            </w:r>
            <w:r w:rsidR="00862D2C" w:rsidRPr="00C53B7C">
              <w:rPr>
                <w:rFonts w:ascii="Calibri" w:hAnsi="Calibri"/>
                <w:bCs/>
                <w:szCs w:val="20"/>
              </w:rPr>
              <w:t xml:space="preserve">or to </w:t>
            </w:r>
            <w:r w:rsidRPr="00C53B7C">
              <w:rPr>
                <w:rFonts w:ascii="Calibri" w:hAnsi="Calibri"/>
                <w:bCs/>
                <w:szCs w:val="20"/>
              </w:rPr>
              <w:t xml:space="preserve">opt-in to the future REDD+ carbon financing mechanism. </w:t>
            </w:r>
            <w:r w:rsidR="003019F7" w:rsidRPr="00C53B7C">
              <w:rPr>
                <w:rFonts w:ascii="Calibri" w:hAnsi="Calibri"/>
                <w:bCs/>
                <w:szCs w:val="20"/>
              </w:rPr>
              <w:t>In addition, young innovators were challenged to design solutions for improvements in education, employment and civic engagements in partnership with UNICEF</w:t>
            </w:r>
            <w:r w:rsidR="006D25EA" w:rsidRPr="00C53B7C">
              <w:rPr>
                <w:rFonts w:ascii="Calibri" w:hAnsi="Calibri"/>
                <w:bCs/>
                <w:szCs w:val="20"/>
              </w:rPr>
              <w:t>. T</w:t>
            </w:r>
            <w:r w:rsidR="003019F7" w:rsidRPr="00C53B7C">
              <w:rPr>
                <w:rFonts w:ascii="Calibri" w:hAnsi="Calibri"/>
                <w:bCs/>
                <w:szCs w:val="20"/>
              </w:rPr>
              <w:t>wo winning teams represent</w:t>
            </w:r>
            <w:r w:rsidR="006D25EA" w:rsidRPr="00C53B7C">
              <w:rPr>
                <w:rFonts w:ascii="Calibri" w:hAnsi="Calibri"/>
                <w:bCs/>
                <w:szCs w:val="20"/>
              </w:rPr>
              <w:t>ed</w:t>
            </w:r>
            <w:r w:rsidR="003019F7" w:rsidRPr="00C53B7C">
              <w:rPr>
                <w:rFonts w:ascii="Calibri" w:hAnsi="Calibri"/>
                <w:bCs/>
                <w:szCs w:val="20"/>
              </w:rPr>
              <w:t xml:space="preserve"> Guyana in the Global competition in December 2020, one with an app/web page to assist young entrepreneurs to access training resources and funding opportunities; the other with a web page for youths to create a career path, generate a plan and connect with a mentor. </w:t>
            </w:r>
          </w:p>
          <w:p w14:paraId="650784E0" w14:textId="4178C8BF" w:rsidR="00FA2B52" w:rsidRPr="00C53B7C" w:rsidRDefault="00FA2B52" w:rsidP="006D25EA">
            <w:pPr>
              <w:pStyle w:val="BodyText2"/>
              <w:autoSpaceDE/>
              <w:autoSpaceDN/>
              <w:adjustRightInd/>
              <w:jc w:val="both"/>
              <w:rPr>
                <w:rFonts w:ascii="Calibri" w:hAnsi="Calibri"/>
                <w:bCs/>
                <w:szCs w:val="20"/>
              </w:rPr>
            </w:pPr>
          </w:p>
          <w:p w14:paraId="46AF5243" w14:textId="0070EAA0" w:rsidR="00A72256" w:rsidRPr="00C53B7C" w:rsidRDefault="00A72256" w:rsidP="006D25EA">
            <w:pPr>
              <w:pStyle w:val="BodyText2"/>
              <w:jc w:val="both"/>
              <w:rPr>
                <w:rFonts w:ascii="Calibri" w:hAnsi="Calibri"/>
                <w:bCs/>
                <w:szCs w:val="20"/>
              </w:rPr>
            </w:pPr>
            <w:r w:rsidRPr="00C53B7C">
              <w:rPr>
                <w:rFonts w:ascii="Calibri" w:hAnsi="Calibri"/>
                <w:bCs/>
                <w:szCs w:val="20"/>
              </w:rPr>
              <w:t>(</w:t>
            </w:r>
            <w:r w:rsidR="00FB7271" w:rsidRPr="00C53B7C">
              <w:rPr>
                <w:rFonts w:ascii="Calibri" w:hAnsi="Calibri"/>
                <w:bCs/>
                <w:szCs w:val="20"/>
              </w:rPr>
              <w:t xml:space="preserve">Output </w:t>
            </w:r>
            <w:r w:rsidRPr="00C53B7C">
              <w:rPr>
                <w:rFonts w:ascii="Calibri" w:hAnsi="Calibri"/>
                <w:bCs/>
                <w:szCs w:val="20"/>
              </w:rPr>
              <w:t xml:space="preserve">2) </w:t>
            </w:r>
            <w:r w:rsidR="00AF781D" w:rsidRPr="00C53B7C">
              <w:rPr>
                <w:rFonts w:ascii="Calibri" w:hAnsi="Calibri"/>
                <w:bCs/>
                <w:szCs w:val="20"/>
              </w:rPr>
              <w:t xml:space="preserve">UNDP’s work resulted in </w:t>
            </w:r>
            <w:r w:rsidR="00D748ED" w:rsidRPr="00C53B7C">
              <w:rPr>
                <w:rFonts w:ascii="Calibri" w:hAnsi="Calibri"/>
                <w:bCs/>
                <w:szCs w:val="20"/>
              </w:rPr>
              <w:t xml:space="preserve">two service providers </w:t>
            </w:r>
            <w:r w:rsidR="00104F10" w:rsidRPr="00C53B7C">
              <w:rPr>
                <w:rFonts w:ascii="Calibri" w:hAnsi="Calibri"/>
                <w:bCs/>
                <w:szCs w:val="20"/>
              </w:rPr>
              <w:t>making available</w:t>
            </w:r>
            <w:r w:rsidR="00AF781D" w:rsidRPr="00C53B7C">
              <w:rPr>
                <w:rFonts w:ascii="Calibri" w:hAnsi="Calibri"/>
                <w:bCs/>
                <w:szCs w:val="20"/>
              </w:rPr>
              <w:t xml:space="preserve"> renewable and affordable </w:t>
            </w:r>
            <w:r w:rsidRPr="00C53B7C">
              <w:rPr>
                <w:rFonts w:ascii="Calibri" w:hAnsi="Calibri"/>
                <w:bCs/>
                <w:szCs w:val="20"/>
              </w:rPr>
              <w:t>energy services in hinterland communities</w:t>
            </w:r>
            <w:r w:rsidR="00AF781D" w:rsidRPr="00C53B7C">
              <w:rPr>
                <w:rFonts w:ascii="Calibri" w:hAnsi="Calibri"/>
                <w:bCs/>
                <w:szCs w:val="20"/>
              </w:rPr>
              <w:t xml:space="preserve"> in 2020</w:t>
            </w:r>
            <w:r w:rsidR="00104F10" w:rsidRPr="00C53B7C">
              <w:rPr>
                <w:rFonts w:ascii="Calibri" w:hAnsi="Calibri"/>
                <w:bCs/>
                <w:szCs w:val="20"/>
              </w:rPr>
              <w:t>:</w:t>
            </w:r>
            <w:r w:rsidR="00A01E71" w:rsidRPr="00C53B7C">
              <w:rPr>
                <w:rFonts w:ascii="Calibri" w:hAnsi="Calibri"/>
                <w:bCs/>
                <w:szCs w:val="20"/>
              </w:rPr>
              <w:t xml:space="preserve"> </w:t>
            </w:r>
            <w:r w:rsidR="00104F10" w:rsidRPr="00C53B7C">
              <w:rPr>
                <w:rFonts w:ascii="Calibri" w:hAnsi="Calibri"/>
                <w:bCs/>
                <w:szCs w:val="20"/>
              </w:rPr>
              <w:t xml:space="preserve">the Bartica municipality </w:t>
            </w:r>
            <w:r w:rsidR="00A01E71" w:rsidRPr="00C53B7C">
              <w:rPr>
                <w:rFonts w:ascii="Calibri" w:hAnsi="Calibri"/>
                <w:bCs/>
                <w:szCs w:val="20"/>
              </w:rPr>
              <w:t xml:space="preserve">installing nearly 300 low-energy LED lamps for </w:t>
            </w:r>
            <w:proofErr w:type="spellStart"/>
            <w:r w:rsidR="00A01E71" w:rsidRPr="00C53B7C">
              <w:rPr>
                <w:rFonts w:ascii="Calibri" w:hAnsi="Calibri"/>
                <w:bCs/>
                <w:szCs w:val="20"/>
              </w:rPr>
              <w:t>steet</w:t>
            </w:r>
            <w:proofErr w:type="spellEnd"/>
            <w:r w:rsidR="00A01E71" w:rsidRPr="00C53B7C">
              <w:rPr>
                <w:rFonts w:ascii="Calibri" w:hAnsi="Calibri"/>
                <w:bCs/>
                <w:szCs w:val="20"/>
              </w:rPr>
              <w:t xml:space="preserve"> lighting in Bartica, and </w:t>
            </w:r>
            <w:r w:rsidR="00104F10" w:rsidRPr="00C53B7C">
              <w:rPr>
                <w:rFonts w:ascii="Calibri" w:hAnsi="Calibri"/>
                <w:bCs/>
                <w:szCs w:val="20"/>
              </w:rPr>
              <w:t xml:space="preserve">the 3 Miles Secondary School installing a </w:t>
            </w:r>
            <w:r w:rsidR="00A01E71" w:rsidRPr="00C53B7C">
              <w:rPr>
                <w:rFonts w:ascii="Calibri" w:hAnsi="Calibri"/>
                <w:bCs/>
                <w:szCs w:val="20"/>
              </w:rPr>
              <w:t xml:space="preserve">solar photovoltaic energy system </w:t>
            </w:r>
            <w:r w:rsidR="00EA5AA1" w:rsidRPr="00C53B7C">
              <w:rPr>
                <w:rFonts w:ascii="Calibri" w:hAnsi="Calibri"/>
                <w:bCs/>
                <w:szCs w:val="20"/>
              </w:rPr>
              <w:t>to serve teachers and students.</w:t>
            </w:r>
            <w:r w:rsidR="001B6CCA" w:rsidRPr="00C53B7C">
              <w:rPr>
                <w:rFonts w:ascii="Calibri" w:hAnsi="Calibri"/>
                <w:bCs/>
                <w:szCs w:val="20"/>
              </w:rPr>
              <w:t xml:space="preserve"> In addition, to enable more ser</w:t>
            </w:r>
            <w:r w:rsidRPr="00C53B7C">
              <w:rPr>
                <w:rFonts w:ascii="Calibri" w:hAnsi="Calibri"/>
                <w:bCs/>
                <w:szCs w:val="20"/>
              </w:rPr>
              <w:t>vice providers</w:t>
            </w:r>
            <w:r w:rsidR="001B6CCA" w:rsidRPr="00C53B7C">
              <w:rPr>
                <w:rFonts w:ascii="Calibri" w:hAnsi="Calibri"/>
                <w:bCs/>
                <w:szCs w:val="20"/>
              </w:rPr>
              <w:t xml:space="preserve"> to come onboard, </w:t>
            </w:r>
            <w:r w:rsidRPr="00C53B7C">
              <w:rPr>
                <w:rFonts w:ascii="Calibri" w:hAnsi="Calibri"/>
                <w:bCs/>
                <w:szCs w:val="20"/>
              </w:rPr>
              <w:t>25 technical staff of 6 agencies</w:t>
            </w:r>
            <w:r w:rsidR="001B6CCA" w:rsidRPr="00C53B7C">
              <w:rPr>
                <w:rFonts w:ascii="Calibri" w:hAnsi="Calibri"/>
                <w:bCs/>
                <w:szCs w:val="20"/>
              </w:rPr>
              <w:t xml:space="preserve"> received training in two North American Board of </w:t>
            </w:r>
            <w:r w:rsidR="001B6CCA" w:rsidRPr="00C53B7C">
              <w:rPr>
                <w:rFonts w:ascii="Calibri" w:hAnsi="Calibri"/>
                <w:bCs/>
                <w:szCs w:val="20"/>
              </w:rPr>
              <w:lastRenderedPageBreak/>
              <w:t xml:space="preserve">Certified Energy Practitioners courses (Solar PV Associate and Solar PV System Inspector), </w:t>
            </w:r>
            <w:r w:rsidR="00EA5AA1" w:rsidRPr="00C53B7C">
              <w:rPr>
                <w:rFonts w:ascii="Calibri" w:hAnsi="Calibri"/>
                <w:bCs/>
                <w:szCs w:val="20"/>
              </w:rPr>
              <w:t>to</w:t>
            </w:r>
            <w:r w:rsidR="001B6CCA" w:rsidRPr="00C53B7C">
              <w:rPr>
                <w:rFonts w:ascii="Calibri" w:hAnsi="Calibri"/>
                <w:bCs/>
                <w:szCs w:val="20"/>
              </w:rPr>
              <w:t xml:space="preserve"> be better equipped for the installation and management of solar PV systems and services in hinterland and other regions. These agencies were (i) Guyana Energy Agency, (ii) Guyana Power and Light Inc., (iii) Hinterland Electrification Company Inc., (iv) the Government Technical Institute, (v) the Board of Industrial Training, and (vi) Council for Technical Vocational Education and Training</w:t>
            </w:r>
            <w:r w:rsidRPr="00C53B7C">
              <w:rPr>
                <w:rFonts w:ascii="Calibri" w:hAnsi="Calibri"/>
                <w:bCs/>
                <w:szCs w:val="20"/>
              </w:rPr>
              <w:t>.</w:t>
            </w:r>
          </w:p>
          <w:p w14:paraId="65DF6320" w14:textId="0F05470D" w:rsidR="00A72256" w:rsidRPr="00C53B7C" w:rsidRDefault="00A72256" w:rsidP="006D25EA">
            <w:pPr>
              <w:pStyle w:val="BodyText2"/>
              <w:jc w:val="both"/>
              <w:rPr>
                <w:rFonts w:ascii="Calibri" w:hAnsi="Calibri"/>
                <w:bCs/>
                <w:szCs w:val="20"/>
              </w:rPr>
            </w:pPr>
          </w:p>
          <w:p w14:paraId="0EBB2D81" w14:textId="044ACF24" w:rsidR="001B6CCA" w:rsidRPr="00C53B7C" w:rsidRDefault="001B6CCA" w:rsidP="006D25EA">
            <w:pPr>
              <w:pStyle w:val="BodyText2"/>
              <w:jc w:val="both"/>
              <w:rPr>
                <w:rFonts w:ascii="Calibri" w:hAnsi="Calibri"/>
                <w:bCs/>
                <w:szCs w:val="20"/>
              </w:rPr>
            </w:pPr>
            <w:r w:rsidRPr="00C53B7C">
              <w:rPr>
                <w:rFonts w:ascii="Calibri" w:hAnsi="Calibri"/>
                <w:bCs/>
                <w:szCs w:val="20"/>
              </w:rPr>
              <w:t>(</w:t>
            </w:r>
            <w:r w:rsidR="00FB7271" w:rsidRPr="00C53B7C">
              <w:rPr>
                <w:rFonts w:ascii="Calibri" w:hAnsi="Calibri"/>
                <w:bCs/>
                <w:szCs w:val="20"/>
              </w:rPr>
              <w:t xml:space="preserve">Output </w:t>
            </w:r>
            <w:r w:rsidRPr="00C53B7C">
              <w:rPr>
                <w:rFonts w:ascii="Calibri" w:hAnsi="Calibri"/>
                <w:bCs/>
                <w:szCs w:val="20"/>
              </w:rPr>
              <w:t xml:space="preserve">3) </w:t>
            </w:r>
            <w:bookmarkStart w:id="0" w:name="_Hlk80375858"/>
            <w:r w:rsidR="00AF781D" w:rsidRPr="00C53B7C">
              <w:rPr>
                <w:rFonts w:ascii="Calibri" w:hAnsi="Calibri"/>
                <w:bCs/>
                <w:szCs w:val="20"/>
              </w:rPr>
              <w:t xml:space="preserve">The </w:t>
            </w:r>
            <w:r w:rsidR="00811CCA" w:rsidRPr="00C53B7C">
              <w:rPr>
                <w:rFonts w:ascii="Calibri" w:hAnsi="Calibri"/>
                <w:bCs/>
                <w:szCs w:val="20"/>
              </w:rPr>
              <w:t>Bureau of Statistics (</w:t>
            </w:r>
            <w:proofErr w:type="spellStart"/>
            <w:r w:rsidR="00811CCA" w:rsidRPr="00C53B7C">
              <w:rPr>
                <w:rFonts w:ascii="Calibri" w:hAnsi="Calibri"/>
                <w:bCs/>
                <w:szCs w:val="20"/>
              </w:rPr>
              <w:t>BoS</w:t>
            </w:r>
            <w:proofErr w:type="spellEnd"/>
            <w:r w:rsidR="00811CCA" w:rsidRPr="00C53B7C">
              <w:rPr>
                <w:rFonts w:ascii="Calibri" w:hAnsi="Calibri"/>
                <w:bCs/>
                <w:szCs w:val="20"/>
              </w:rPr>
              <w:t>)</w:t>
            </w:r>
            <w:r w:rsidR="00BB7617" w:rsidRPr="00C53B7C">
              <w:rPr>
                <w:rFonts w:ascii="Calibri" w:hAnsi="Calibri"/>
                <w:bCs/>
                <w:szCs w:val="20"/>
              </w:rPr>
              <w:t xml:space="preserve">, </w:t>
            </w:r>
            <w:r w:rsidR="00811CCA" w:rsidRPr="00C53B7C">
              <w:rPr>
                <w:rFonts w:ascii="Calibri" w:hAnsi="Calibri"/>
                <w:bCs/>
                <w:szCs w:val="20"/>
              </w:rPr>
              <w:t xml:space="preserve">the National Data Collection Agency received assistance from the Inter-American Development Bank and the International Labour Organization to strengthen their capacity to generate and publish these statistics. While this was not attributable to UNDP, the output will be instrumental to the work with sectoral market analyses to facilitate export of Small and Micro Enterprises (SMEs) products, which remains to be achieved. </w:t>
            </w:r>
          </w:p>
          <w:bookmarkEnd w:id="0"/>
          <w:p w14:paraId="097E2AE7" w14:textId="77777777" w:rsidR="001B6CCA" w:rsidRPr="00C53B7C" w:rsidRDefault="001B6CCA" w:rsidP="006D25EA">
            <w:pPr>
              <w:pStyle w:val="BodyText2"/>
              <w:jc w:val="both"/>
              <w:rPr>
                <w:rFonts w:ascii="Calibri" w:hAnsi="Calibri"/>
                <w:bCs/>
                <w:szCs w:val="20"/>
              </w:rPr>
            </w:pPr>
          </w:p>
          <w:p w14:paraId="1BADEF0E" w14:textId="1B8308AC" w:rsidR="001B6CCA" w:rsidRPr="00C53B7C" w:rsidRDefault="001B6CCA" w:rsidP="006D25EA">
            <w:pPr>
              <w:pStyle w:val="BodyText2"/>
              <w:jc w:val="both"/>
              <w:rPr>
                <w:rFonts w:ascii="Calibri" w:hAnsi="Calibri"/>
                <w:bCs/>
                <w:szCs w:val="20"/>
                <w:u w:val="single"/>
              </w:rPr>
            </w:pPr>
            <w:r w:rsidRPr="00C53B7C">
              <w:rPr>
                <w:rFonts w:ascii="Calibri" w:hAnsi="Calibri"/>
                <w:bCs/>
                <w:szCs w:val="20"/>
                <w:u w:val="single"/>
              </w:rPr>
              <w:t>Limitations</w:t>
            </w:r>
          </w:p>
          <w:p w14:paraId="0CF069C2" w14:textId="77777777" w:rsidR="001B6CCA" w:rsidRPr="00C53B7C" w:rsidRDefault="001B6CCA" w:rsidP="006D25EA">
            <w:pPr>
              <w:pStyle w:val="BodyText2"/>
              <w:jc w:val="both"/>
              <w:rPr>
                <w:rFonts w:ascii="Calibri" w:hAnsi="Calibri"/>
                <w:bCs/>
                <w:szCs w:val="20"/>
                <w:lang w:val="en-US"/>
              </w:rPr>
            </w:pPr>
          </w:p>
          <w:p w14:paraId="23116C99" w14:textId="23CC9C8E" w:rsidR="00267164" w:rsidRPr="00C53B7C" w:rsidRDefault="00A72256" w:rsidP="006D25EA">
            <w:pPr>
              <w:pStyle w:val="BodyText2"/>
              <w:jc w:val="both"/>
              <w:rPr>
                <w:rFonts w:ascii="Calibri" w:hAnsi="Calibri"/>
                <w:bCs/>
                <w:szCs w:val="20"/>
              </w:rPr>
            </w:pPr>
            <w:r w:rsidRPr="00C53B7C">
              <w:rPr>
                <w:rFonts w:ascii="Calibri" w:hAnsi="Calibri"/>
                <w:bCs/>
                <w:szCs w:val="20"/>
              </w:rPr>
              <w:t xml:space="preserve">Among the limitations on the effectiveness of actions for this Outcome was one related to renewable and affordable energy services, namely </w:t>
            </w:r>
            <w:r w:rsidR="00FB7271" w:rsidRPr="00C53B7C">
              <w:rPr>
                <w:rFonts w:ascii="Calibri" w:hAnsi="Calibri"/>
                <w:bCs/>
                <w:szCs w:val="20"/>
              </w:rPr>
              <w:t xml:space="preserve">the </w:t>
            </w:r>
            <w:r w:rsidRPr="00C53B7C">
              <w:rPr>
                <w:rFonts w:ascii="Calibri" w:hAnsi="Calibri"/>
                <w:bCs/>
                <w:szCs w:val="20"/>
              </w:rPr>
              <w:t>mainstreaming of energy efficiency measures within three targeted municipalities</w:t>
            </w:r>
            <w:r w:rsidR="00D748ED" w:rsidRPr="00C53B7C">
              <w:rPr>
                <w:rFonts w:ascii="Calibri" w:hAnsi="Calibri"/>
                <w:bCs/>
                <w:szCs w:val="20"/>
              </w:rPr>
              <w:t xml:space="preserve">, </w:t>
            </w:r>
            <w:r w:rsidRPr="00C53B7C">
              <w:rPr>
                <w:rFonts w:ascii="Calibri" w:hAnsi="Calibri"/>
                <w:bCs/>
                <w:szCs w:val="20"/>
              </w:rPr>
              <w:t>Georgetown, New Amsterdam and Bartica</w:t>
            </w:r>
            <w:r w:rsidR="001B6CCA" w:rsidRPr="00C53B7C">
              <w:rPr>
                <w:rFonts w:ascii="Calibri" w:hAnsi="Calibri"/>
                <w:bCs/>
                <w:szCs w:val="20"/>
              </w:rPr>
              <w:t>. En</w:t>
            </w:r>
            <w:r w:rsidR="00D748ED" w:rsidRPr="00C53B7C">
              <w:rPr>
                <w:rFonts w:ascii="Calibri" w:hAnsi="Calibri"/>
                <w:bCs/>
                <w:szCs w:val="20"/>
              </w:rPr>
              <w:t>ergy audits</w:t>
            </w:r>
            <w:r w:rsidR="001B6CCA" w:rsidRPr="00C53B7C">
              <w:rPr>
                <w:rFonts w:ascii="Calibri" w:hAnsi="Calibri"/>
                <w:bCs/>
                <w:szCs w:val="20"/>
              </w:rPr>
              <w:t xml:space="preserve"> </w:t>
            </w:r>
            <w:r w:rsidR="00D55EDF" w:rsidRPr="00C53B7C">
              <w:rPr>
                <w:rFonts w:ascii="Calibri" w:hAnsi="Calibri"/>
                <w:bCs/>
                <w:szCs w:val="20"/>
              </w:rPr>
              <w:t xml:space="preserve">should </w:t>
            </w:r>
            <w:r w:rsidR="001B6CCA" w:rsidRPr="00C53B7C">
              <w:rPr>
                <w:rFonts w:ascii="Calibri" w:hAnsi="Calibri"/>
                <w:bCs/>
                <w:szCs w:val="20"/>
              </w:rPr>
              <w:t xml:space="preserve">have </w:t>
            </w:r>
            <w:r w:rsidR="00D55EDF" w:rsidRPr="00C53B7C">
              <w:rPr>
                <w:rFonts w:ascii="Calibri" w:hAnsi="Calibri"/>
                <w:bCs/>
                <w:szCs w:val="20"/>
              </w:rPr>
              <w:t>been</w:t>
            </w:r>
            <w:r w:rsidR="00F41E0A" w:rsidRPr="00C53B7C">
              <w:rPr>
                <w:rFonts w:ascii="Calibri" w:hAnsi="Calibri"/>
                <w:bCs/>
                <w:szCs w:val="20"/>
              </w:rPr>
              <w:t xml:space="preserve"> </w:t>
            </w:r>
            <w:r w:rsidR="001B6CCA" w:rsidRPr="00C53B7C">
              <w:rPr>
                <w:rFonts w:ascii="Calibri" w:hAnsi="Calibri"/>
                <w:bCs/>
                <w:szCs w:val="20"/>
              </w:rPr>
              <w:t>conducted</w:t>
            </w:r>
            <w:r w:rsidR="00D748ED" w:rsidRPr="00C53B7C">
              <w:rPr>
                <w:rFonts w:ascii="Calibri" w:hAnsi="Calibri"/>
                <w:bCs/>
                <w:szCs w:val="20"/>
              </w:rPr>
              <w:t xml:space="preserve"> to help guide energy options to lower energy consumption for these townships. P</w:t>
            </w:r>
            <w:r w:rsidRPr="00C53B7C">
              <w:rPr>
                <w:rFonts w:ascii="Calibri" w:hAnsi="Calibri"/>
                <w:bCs/>
                <w:szCs w:val="20"/>
              </w:rPr>
              <w:t>andemic related restrictions and transitioning of a new government</w:t>
            </w:r>
            <w:r w:rsidR="00D748ED" w:rsidRPr="00C53B7C">
              <w:rPr>
                <w:rFonts w:ascii="Calibri" w:hAnsi="Calibri"/>
                <w:bCs/>
                <w:szCs w:val="20"/>
              </w:rPr>
              <w:t xml:space="preserve"> hindered its implementation, but it is planned in the near future. </w:t>
            </w:r>
          </w:p>
          <w:p w14:paraId="3E5B2B90" w14:textId="77777777" w:rsidR="00267164" w:rsidRPr="00C53B7C" w:rsidRDefault="00267164" w:rsidP="006D25EA">
            <w:pPr>
              <w:pStyle w:val="BodyText2"/>
              <w:jc w:val="both"/>
              <w:rPr>
                <w:rFonts w:ascii="Calibri" w:hAnsi="Calibri"/>
                <w:bCs/>
                <w:szCs w:val="20"/>
              </w:rPr>
            </w:pPr>
          </w:p>
          <w:p w14:paraId="4C04E059" w14:textId="721FA3CD" w:rsidR="00F457CD" w:rsidRPr="00C53B7C" w:rsidRDefault="00F457CD" w:rsidP="00F457CD">
            <w:pPr>
              <w:pStyle w:val="BodyText2"/>
              <w:autoSpaceDE/>
              <w:autoSpaceDN/>
              <w:adjustRightInd/>
              <w:jc w:val="both"/>
              <w:rPr>
                <w:rFonts w:ascii="Calibri" w:hAnsi="Calibri"/>
                <w:bCs/>
                <w:szCs w:val="20"/>
              </w:rPr>
            </w:pPr>
            <w:r w:rsidRPr="00C53B7C">
              <w:rPr>
                <w:rFonts w:ascii="Calibri" w:hAnsi="Calibri"/>
                <w:bCs/>
                <w:szCs w:val="20"/>
              </w:rPr>
              <w:t xml:space="preserve">Under the Partnership for Action on a Green Economy (PAGE), UNDP made initial steps towards supporting the Ministry of Finance in the development of an online platform to measure progress in the implementation of the SDGs and National Development Plans, which in turn will further enhance the capacity of the National Data Collection Agency to generate timely comprehensive data on employment and market. Further work is currently on hold pending discussions with the Government. </w:t>
            </w:r>
          </w:p>
          <w:p w14:paraId="42DBD7C6" w14:textId="77777777" w:rsidR="00F457CD" w:rsidRPr="00C53B7C" w:rsidRDefault="00F457CD" w:rsidP="00F457CD">
            <w:pPr>
              <w:pStyle w:val="BodyText2"/>
              <w:autoSpaceDE/>
              <w:autoSpaceDN/>
              <w:adjustRightInd/>
              <w:jc w:val="both"/>
              <w:rPr>
                <w:rFonts w:ascii="Calibri" w:hAnsi="Calibri"/>
                <w:bCs/>
                <w:szCs w:val="20"/>
              </w:rPr>
            </w:pPr>
          </w:p>
          <w:p w14:paraId="597B9EC7" w14:textId="3523F378" w:rsidR="003019F7" w:rsidRPr="00C53B7C" w:rsidRDefault="00245582" w:rsidP="006D25EA">
            <w:pPr>
              <w:pStyle w:val="BodyText2"/>
              <w:autoSpaceDE/>
              <w:autoSpaceDN/>
              <w:adjustRightInd/>
              <w:jc w:val="both"/>
              <w:rPr>
                <w:rFonts w:ascii="Calibri" w:hAnsi="Calibri"/>
                <w:bCs/>
                <w:szCs w:val="20"/>
              </w:rPr>
            </w:pPr>
            <w:r w:rsidRPr="00C53B7C">
              <w:rPr>
                <w:rFonts w:ascii="Calibri" w:hAnsi="Calibri"/>
                <w:bCs/>
                <w:szCs w:val="20"/>
              </w:rPr>
              <w:t>P</w:t>
            </w:r>
            <w:r w:rsidR="003019F7" w:rsidRPr="00C53B7C">
              <w:rPr>
                <w:rFonts w:ascii="Calibri" w:hAnsi="Calibri"/>
                <w:bCs/>
                <w:szCs w:val="20"/>
              </w:rPr>
              <w:t xml:space="preserve">rogress on land-titling did not advance as expected, due to internal project implementation challenges, COVID-19 constraints (specially affecting Amerindian communities), and difficulties with the Guyana Lands and Surveys Commission's (GLSC) on </w:t>
            </w:r>
            <w:r w:rsidR="0075632A" w:rsidRPr="00C53B7C">
              <w:rPr>
                <w:rFonts w:ascii="Calibri" w:hAnsi="Calibri"/>
                <w:bCs/>
                <w:szCs w:val="20"/>
              </w:rPr>
              <w:t xml:space="preserve">realistic </w:t>
            </w:r>
            <w:r w:rsidR="003019F7" w:rsidRPr="00C53B7C">
              <w:rPr>
                <w:rFonts w:ascii="Calibri" w:hAnsi="Calibri"/>
                <w:bCs/>
                <w:szCs w:val="20"/>
              </w:rPr>
              <w:t xml:space="preserve">demarcation costs (until September 2020). </w:t>
            </w:r>
            <w:r w:rsidR="00267164" w:rsidRPr="00C53B7C">
              <w:rPr>
                <w:rFonts w:ascii="Calibri" w:hAnsi="Calibri"/>
                <w:bCs/>
                <w:szCs w:val="20"/>
              </w:rPr>
              <w:t>Expectations on Government-led schemes focusing on women, youth and Amerindian groups that promote and support development of export-quality products</w:t>
            </w:r>
            <w:r w:rsidR="005304FE" w:rsidRPr="00C53B7C">
              <w:rPr>
                <w:rFonts w:ascii="Calibri" w:hAnsi="Calibri"/>
                <w:bCs/>
                <w:szCs w:val="20"/>
              </w:rPr>
              <w:t xml:space="preserve"> to address</w:t>
            </w:r>
            <w:r w:rsidR="00267164" w:rsidRPr="00C53B7C">
              <w:rPr>
                <w:rFonts w:ascii="Calibri" w:hAnsi="Calibri"/>
                <w:bCs/>
                <w:szCs w:val="20"/>
              </w:rPr>
              <w:t xml:space="preserve"> </w:t>
            </w:r>
            <w:r w:rsidR="005304FE" w:rsidRPr="00C53B7C">
              <w:rPr>
                <w:rFonts w:ascii="Calibri" w:hAnsi="Calibri"/>
                <w:bCs/>
                <w:szCs w:val="20"/>
              </w:rPr>
              <w:t xml:space="preserve">the significant gaps between current capacity and the requirements for export-quality products </w:t>
            </w:r>
            <w:r w:rsidR="00267164" w:rsidRPr="00C53B7C">
              <w:rPr>
                <w:rFonts w:ascii="Calibri" w:hAnsi="Calibri"/>
                <w:bCs/>
                <w:szCs w:val="20"/>
              </w:rPr>
              <w:t>did not materialize, as a consequence of</w:t>
            </w:r>
            <w:r w:rsidR="005304FE" w:rsidRPr="00C53B7C">
              <w:rPr>
                <w:rFonts w:ascii="Calibri" w:hAnsi="Calibri"/>
                <w:bCs/>
                <w:szCs w:val="20"/>
              </w:rPr>
              <w:t xml:space="preserve"> lack of funding</w:t>
            </w:r>
            <w:r w:rsidR="00267164" w:rsidRPr="00C53B7C">
              <w:rPr>
                <w:rFonts w:ascii="Calibri" w:hAnsi="Calibri"/>
                <w:bCs/>
                <w:szCs w:val="20"/>
              </w:rPr>
              <w:t>. This is an important issue and will be revisited in the short term</w:t>
            </w:r>
            <w:r w:rsidR="003019F7" w:rsidRPr="00C53B7C">
              <w:rPr>
                <w:rFonts w:ascii="Calibri" w:hAnsi="Calibri"/>
                <w:bCs/>
                <w:szCs w:val="20"/>
              </w:rPr>
              <w:t xml:space="preserve">. </w:t>
            </w:r>
            <w:r w:rsidR="00267164" w:rsidRPr="00C53B7C">
              <w:rPr>
                <w:rFonts w:ascii="Calibri" w:hAnsi="Calibri"/>
                <w:bCs/>
                <w:szCs w:val="20"/>
              </w:rPr>
              <w:t>In addition, more work is needed on sectoral market analyses on the exports of products of SMEs, to support economic diversification and livelihood opportunities.</w:t>
            </w:r>
          </w:p>
          <w:p w14:paraId="3F4021AE" w14:textId="1A58D6F2" w:rsidR="00F457CD" w:rsidRPr="00C53B7C" w:rsidRDefault="00F457CD" w:rsidP="006D25EA">
            <w:pPr>
              <w:pStyle w:val="BodyText2"/>
              <w:autoSpaceDE/>
              <w:autoSpaceDN/>
              <w:adjustRightInd/>
              <w:jc w:val="both"/>
              <w:rPr>
                <w:rFonts w:ascii="Calibri" w:hAnsi="Calibri"/>
                <w:bCs/>
                <w:szCs w:val="20"/>
              </w:rPr>
            </w:pPr>
          </w:p>
          <w:p w14:paraId="5B61FB7A" w14:textId="78364C00" w:rsidR="00E63D35" w:rsidRPr="00C53B7C" w:rsidRDefault="00E63D35" w:rsidP="00F457CD">
            <w:pPr>
              <w:pStyle w:val="BodyText2"/>
              <w:autoSpaceDE/>
              <w:autoSpaceDN/>
              <w:adjustRightInd/>
              <w:jc w:val="both"/>
              <w:rPr>
                <w:rFonts w:ascii="Calibri" w:hAnsi="Calibri"/>
                <w:szCs w:val="20"/>
              </w:rPr>
            </w:pPr>
          </w:p>
        </w:tc>
      </w:tr>
    </w:tbl>
    <w:p w14:paraId="7476CC57" w14:textId="77777777" w:rsidR="003B11CB" w:rsidRPr="00037115" w:rsidRDefault="003B11CB" w:rsidP="003B11CB">
      <w:pPr>
        <w:rPr>
          <w:sz w:val="28"/>
          <w:szCs w:val="28"/>
        </w:rPr>
      </w:pPr>
      <w:r w:rsidRPr="00037115">
        <w:rPr>
          <w:sz w:val="28"/>
          <w:szCs w:val="28"/>
        </w:rPr>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11CB" w:rsidRPr="00C53B7C" w14:paraId="1006C735" w14:textId="77777777" w:rsidTr="00B80E8A">
        <w:tc>
          <w:tcPr>
            <w:tcW w:w="3060" w:type="dxa"/>
            <w:shd w:val="clear" w:color="auto" w:fill="8EAADB"/>
          </w:tcPr>
          <w:p w14:paraId="0C8A2A62" w14:textId="769BE5B1" w:rsidR="003B11CB" w:rsidRPr="00C53B7C" w:rsidRDefault="003B11CB" w:rsidP="003F4D86">
            <w:pPr>
              <w:pStyle w:val="BodyText2"/>
              <w:rPr>
                <w:rFonts w:ascii="Times New Roman" w:hAnsi="Times New Roman"/>
                <w:b/>
                <w:szCs w:val="20"/>
              </w:rPr>
            </w:pPr>
            <w:bookmarkStart w:id="1" w:name="_Hlk80207863"/>
            <w:r w:rsidRPr="00C53B7C">
              <w:rPr>
                <w:rFonts w:ascii="Calibri" w:hAnsi="Calibri"/>
                <w:b/>
                <w:bCs/>
                <w:szCs w:val="20"/>
                <w:lang w:val="en-GB"/>
              </w:rPr>
              <w:lastRenderedPageBreak/>
              <w:t>3.</w:t>
            </w:r>
            <w:r w:rsidR="007C1879" w:rsidRPr="00C53B7C">
              <w:rPr>
                <w:rFonts w:ascii="Calibri" w:hAnsi="Calibri"/>
                <w:b/>
                <w:bCs/>
                <w:szCs w:val="20"/>
                <w:lang w:val="en-GB"/>
              </w:rPr>
              <w:t xml:space="preserve"> Inclusive and sustainable solutions adopted for the conservation, restoration and use of ecosystems and natural resources (MSDCF Outcome 3)</w:t>
            </w:r>
          </w:p>
        </w:tc>
        <w:tc>
          <w:tcPr>
            <w:tcW w:w="1530" w:type="dxa"/>
            <w:shd w:val="clear" w:color="auto" w:fill="auto"/>
          </w:tcPr>
          <w:p w14:paraId="2B889FFC" w14:textId="094E4FCD" w:rsidR="003B11CB" w:rsidRPr="00C53B7C" w:rsidRDefault="00121F6A" w:rsidP="007C1879">
            <w:pPr>
              <w:pStyle w:val="BodyText2"/>
              <w:rPr>
                <w:rFonts w:asciiTheme="minorHAnsi" w:hAnsiTheme="minorHAnsi" w:cstheme="minorHAnsi"/>
                <w:szCs w:val="20"/>
              </w:rPr>
            </w:pPr>
            <w:r w:rsidRPr="00C53B7C">
              <w:rPr>
                <w:rFonts w:asciiTheme="minorHAnsi" w:hAnsiTheme="minorHAnsi" w:cstheme="minorHAnsi"/>
                <w:szCs w:val="20"/>
              </w:rPr>
              <w:t>$4.7M</w:t>
            </w:r>
          </w:p>
        </w:tc>
        <w:tc>
          <w:tcPr>
            <w:tcW w:w="3960" w:type="dxa"/>
            <w:tcBorders>
              <w:left w:val="single" w:sz="4" w:space="0" w:color="auto"/>
            </w:tcBorders>
          </w:tcPr>
          <w:p w14:paraId="7E2B82D0" w14:textId="7AC2C54C" w:rsidR="007C1879" w:rsidRPr="00C53B7C" w:rsidRDefault="003B11CB" w:rsidP="007C1879">
            <w:pPr>
              <w:pStyle w:val="BodyText2"/>
              <w:rPr>
                <w:rFonts w:asciiTheme="minorHAnsi" w:hAnsiTheme="minorHAnsi" w:cstheme="minorHAnsi"/>
                <w:i/>
                <w:iCs/>
                <w:szCs w:val="20"/>
              </w:rPr>
            </w:pPr>
            <w:r w:rsidRPr="00C53B7C">
              <w:rPr>
                <w:rFonts w:asciiTheme="minorHAnsi" w:hAnsiTheme="minorHAnsi" w:cstheme="minorHAnsi"/>
                <w:i/>
                <w:iCs/>
                <w:szCs w:val="20"/>
              </w:rPr>
              <w:t>a.</w:t>
            </w:r>
            <w:r w:rsidR="007C1879" w:rsidRPr="00C53B7C">
              <w:rPr>
                <w:rFonts w:asciiTheme="minorHAnsi" w:hAnsiTheme="minorHAnsi" w:cstheme="minorHAnsi"/>
                <w:i/>
                <w:iCs/>
                <w:szCs w:val="20"/>
              </w:rPr>
              <w:t xml:space="preserve"> Extent to which competent national and subnational authorities are implementing integrated natural resource management guidelines </w:t>
            </w:r>
          </w:p>
          <w:p w14:paraId="66465D85" w14:textId="77777777" w:rsidR="007C1879"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 xml:space="preserve">Scale: </w:t>
            </w:r>
          </w:p>
          <w:p w14:paraId="347EB02D" w14:textId="77777777" w:rsidR="007C1879"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 xml:space="preserve">1 = rarely </w:t>
            </w:r>
          </w:p>
          <w:p w14:paraId="7B3987A9" w14:textId="77777777" w:rsidR="007C1879"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2 = partially</w:t>
            </w:r>
          </w:p>
          <w:p w14:paraId="69164C03" w14:textId="77777777" w:rsidR="007C1879"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3 = largely</w:t>
            </w:r>
          </w:p>
          <w:p w14:paraId="176F0568" w14:textId="77777777" w:rsidR="007C1879"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 xml:space="preserve"> </w:t>
            </w:r>
          </w:p>
          <w:p w14:paraId="192F12FE" w14:textId="77777777" w:rsidR="007C1879"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Baseline: 1</w:t>
            </w:r>
          </w:p>
          <w:p w14:paraId="336E4ABC" w14:textId="3DF85432" w:rsidR="003B11CB" w:rsidRPr="00C53B7C" w:rsidRDefault="007C1879" w:rsidP="007C1879">
            <w:pPr>
              <w:pStyle w:val="BodyText2"/>
              <w:rPr>
                <w:rFonts w:asciiTheme="minorHAnsi" w:hAnsiTheme="minorHAnsi" w:cstheme="minorHAnsi"/>
                <w:i/>
                <w:iCs/>
                <w:szCs w:val="20"/>
              </w:rPr>
            </w:pPr>
            <w:r w:rsidRPr="00C53B7C">
              <w:rPr>
                <w:rFonts w:asciiTheme="minorHAnsi" w:hAnsiTheme="minorHAnsi" w:cstheme="minorHAnsi"/>
                <w:i/>
                <w:iCs/>
                <w:szCs w:val="20"/>
              </w:rPr>
              <w:t>Target: 3</w:t>
            </w:r>
          </w:p>
        </w:tc>
        <w:tc>
          <w:tcPr>
            <w:tcW w:w="5490" w:type="dxa"/>
            <w:shd w:val="clear" w:color="auto" w:fill="auto"/>
          </w:tcPr>
          <w:p w14:paraId="2935CD03" w14:textId="6D0A1E26" w:rsidR="003B11CB" w:rsidRPr="00C53B7C" w:rsidRDefault="003B11CB" w:rsidP="003F4D86">
            <w:pPr>
              <w:pStyle w:val="BodyText2"/>
              <w:rPr>
                <w:rFonts w:asciiTheme="minorHAnsi" w:hAnsiTheme="minorHAnsi" w:cstheme="minorHAnsi"/>
                <w:i/>
                <w:iCs/>
                <w:szCs w:val="20"/>
              </w:rPr>
            </w:pPr>
            <w:r w:rsidRPr="00C53B7C">
              <w:rPr>
                <w:rFonts w:asciiTheme="minorHAnsi" w:hAnsiTheme="minorHAnsi" w:cstheme="minorHAnsi"/>
                <w:i/>
                <w:iCs/>
                <w:szCs w:val="20"/>
              </w:rPr>
              <w:t>a.</w:t>
            </w:r>
            <w:r w:rsidR="007245C3" w:rsidRPr="00C53B7C">
              <w:rPr>
                <w:rFonts w:asciiTheme="minorHAnsi" w:hAnsiTheme="minorHAnsi" w:cstheme="minorHAnsi"/>
                <w:i/>
                <w:iCs/>
                <w:szCs w:val="20"/>
              </w:rPr>
              <w:t>2 as of 2020/21</w:t>
            </w:r>
          </w:p>
        </w:tc>
      </w:tr>
      <w:tr w:rsidR="003B11CB" w:rsidRPr="00C53B7C" w14:paraId="4E173FAE" w14:textId="77777777" w:rsidTr="00B80E8A">
        <w:tc>
          <w:tcPr>
            <w:tcW w:w="14040" w:type="dxa"/>
            <w:gridSpan w:val="4"/>
          </w:tcPr>
          <w:p w14:paraId="6F14EAEF" w14:textId="77777777" w:rsidR="003B11CB" w:rsidRPr="00C53B7C" w:rsidRDefault="003B11CB" w:rsidP="003F4D86">
            <w:pPr>
              <w:pStyle w:val="BodyText2"/>
              <w:rPr>
                <w:rFonts w:ascii="Calibri" w:hAnsi="Calibri"/>
                <w:b/>
                <w:szCs w:val="20"/>
              </w:rPr>
            </w:pPr>
            <w:r w:rsidRPr="00C53B7C">
              <w:rPr>
                <w:rFonts w:ascii="Calibri" w:hAnsi="Calibri"/>
                <w:b/>
                <w:szCs w:val="20"/>
              </w:rPr>
              <w:t>UNDP Contribution:</w:t>
            </w:r>
          </w:p>
          <w:p w14:paraId="12F3AC9A" w14:textId="688372C3" w:rsidR="00671BCB" w:rsidRPr="00C53B7C" w:rsidRDefault="00671BCB" w:rsidP="00DE62C4">
            <w:pPr>
              <w:pStyle w:val="BodyText2"/>
              <w:jc w:val="both"/>
              <w:rPr>
                <w:rFonts w:ascii="Calibri" w:hAnsi="Calibri"/>
                <w:bCs/>
                <w:szCs w:val="20"/>
                <w:lang w:val="en-US"/>
              </w:rPr>
            </w:pPr>
            <w:r w:rsidRPr="00C53B7C">
              <w:rPr>
                <w:rFonts w:ascii="Calibri" w:hAnsi="Calibri"/>
                <w:bCs/>
                <w:szCs w:val="20"/>
                <w:lang w:val="en-US"/>
              </w:rPr>
              <w:t>The UNDP contribution identified in the CP was to improve functional capacity of key natural resources and disaster risk management institutions</w:t>
            </w:r>
            <w:r w:rsidR="003D0F59" w:rsidRPr="00C53B7C">
              <w:rPr>
                <w:rFonts w:ascii="Calibri" w:hAnsi="Calibri"/>
                <w:bCs/>
                <w:szCs w:val="20"/>
              </w:rPr>
              <w:t xml:space="preserve"> through the development of systems and tools. </w:t>
            </w:r>
          </w:p>
          <w:p w14:paraId="2931478B" w14:textId="77777777" w:rsidR="00671BCB" w:rsidRPr="00C53B7C" w:rsidRDefault="00671BCB" w:rsidP="00DE62C4">
            <w:pPr>
              <w:pStyle w:val="BodyText2"/>
              <w:jc w:val="both"/>
              <w:rPr>
                <w:rFonts w:ascii="Calibri" w:hAnsi="Calibri"/>
                <w:bCs/>
                <w:szCs w:val="20"/>
                <w:lang w:val="en-US"/>
              </w:rPr>
            </w:pPr>
          </w:p>
          <w:p w14:paraId="6ACC4BC7" w14:textId="64A0DB78" w:rsidR="0089587B" w:rsidRPr="00C53B7C" w:rsidRDefault="0089587B" w:rsidP="00DE62C4">
            <w:pPr>
              <w:pStyle w:val="BodyText2"/>
              <w:jc w:val="both"/>
              <w:rPr>
                <w:rFonts w:ascii="Calibri" w:hAnsi="Calibri"/>
                <w:bCs/>
                <w:szCs w:val="20"/>
              </w:rPr>
            </w:pPr>
            <w:r w:rsidRPr="00C53B7C">
              <w:rPr>
                <w:rFonts w:ascii="Calibri" w:hAnsi="Calibri"/>
                <w:bCs/>
                <w:szCs w:val="20"/>
              </w:rPr>
              <w:t xml:space="preserve">The results under this Outcome of the </w:t>
            </w:r>
            <w:r w:rsidR="00BB7617" w:rsidRPr="00C53B7C">
              <w:rPr>
                <w:rFonts w:ascii="Calibri" w:hAnsi="Calibri"/>
                <w:bCs/>
                <w:szCs w:val="20"/>
              </w:rPr>
              <w:t>CP</w:t>
            </w:r>
            <w:r w:rsidRPr="00C53B7C">
              <w:rPr>
                <w:rFonts w:ascii="Calibri" w:hAnsi="Calibri"/>
                <w:bCs/>
                <w:szCs w:val="20"/>
              </w:rPr>
              <w:t xml:space="preserve"> ha</w:t>
            </w:r>
            <w:r w:rsidR="00BB7617" w:rsidRPr="00C53B7C">
              <w:rPr>
                <w:rFonts w:ascii="Calibri" w:hAnsi="Calibri"/>
                <w:bCs/>
                <w:szCs w:val="20"/>
              </w:rPr>
              <w:t>ve</w:t>
            </w:r>
            <w:r w:rsidRPr="00C53B7C">
              <w:rPr>
                <w:rFonts w:ascii="Calibri" w:hAnsi="Calibri"/>
                <w:bCs/>
                <w:szCs w:val="20"/>
              </w:rPr>
              <w:t xml:space="preserve"> contributed to Outcome 5 of the 2014-2017 Strategic Plan, ‘</w:t>
            </w:r>
            <w:r w:rsidRPr="00C53B7C">
              <w:rPr>
                <w:rFonts w:ascii="Calibri" w:hAnsi="Calibri"/>
                <w:bCs/>
                <w:i/>
                <w:iCs/>
                <w:szCs w:val="20"/>
              </w:rPr>
              <w:t>Countries are able to reduce the likelihood of conflict and lower the risk of natural disasters, including from climate change</w:t>
            </w:r>
            <w:r w:rsidRPr="00C53B7C">
              <w:rPr>
                <w:rFonts w:ascii="Calibri" w:hAnsi="Calibri"/>
                <w:bCs/>
                <w:szCs w:val="20"/>
              </w:rPr>
              <w:t>.</w:t>
            </w:r>
            <w:r w:rsidR="00A34474" w:rsidRPr="00C53B7C">
              <w:rPr>
                <w:rFonts w:ascii="Calibri" w:hAnsi="Calibri"/>
                <w:bCs/>
                <w:szCs w:val="20"/>
              </w:rPr>
              <w:t>’</w:t>
            </w:r>
            <w:r w:rsidR="00A34474" w:rsidRPr="00C53B7C">
              <w:rPr>
                <w:rFonts w:ascii="Calibri" w:hAnsi="Calibri"/>
                <w:szCs w:val="20"/>
              </w:rPr>
              <w:t xml:space="preserve"> It also contributed to Outcome 2 of the 2018-2021 Strategic Plan, ‘</w:t>
            </w:r>
            <w:r w:rsidR="00A34474" w:rsidRPr="00C53B7C">
              <w:rPr>
                <w:rFonts w:ascii="Calibri" w:hAnsi="Calibri"/>
                <w:i/>
                <w:iCs/>
                <w:szCs w:val="20"/>
              </w:rPr>
              <w:t>Accelerate structural transformations for sustainable development</w:t>
            </w:r>
            <w:r w:rsidR="00A34474" w:rsidRPr="00C53B7C">
              <w:rPr>
                <w:rFonts w:ascii="Calibri" w:hAnsi="Calibri"/>
                <w:szCs w:val="20"/>
              </w:rPr>
              <w:t>.’</w:t>
            </w:r>
            <w:r w:rsidRPr="00C53B7C">
              <w:rPr>
                <w:rFonts w:ascii="Calibri" w:hAnsi="Calibri"/>
                <w:bCs/>
                <w:szCs w:val="20"/>
              </w:rPr>
              <w:t xml:space="preserve"> In terms of the SDGs, it was linked to SDGs 12 (</w:t>
            </w:r>
            <w:proofErr w:type="spellStart"/>
            <w:r w:rsidR="00DE62C4" w:rsidRPr="00C53B7C">
              <w:rPr>
                <w:rFonts w:ascii="Calibri" w:hAnsi="Calibri"/>
                <w:bCs/>
                <w:szCs w:val="20"/>
              </w:rPr>
              <w:t>Responsbible</w:t>
            </w:r>
            <w:proofErr w:type="spellEnd"/>
            <w:r w:rsidR="00DE62C4" w:rsidRPr="00C53B7C">
              <w:rPr>
                <w:rFonts w:ascii="Calibri" w:hAnsi="Calibri"/>
                <w:bCs/>
                <w:szCs w:val="20"/>
              </w:rPr>
              <w:t xml:space="preserve"> Consumption and </w:t>
            </w:r>
            <w:r w:rsidRPr="00C53B7C">
              <w:rPr>
                <w:rFonts w:ascii="Calibri" w:hAnsi="Calibri"/>
                <w:bCs/>
                <w:szCs w:val="20"/>
              </w:rPr>
              <w:t xml:space="preserve">Production), 13 (Climate </w:t>
            </w:r>
            <w:r w:rsidR="00DE62C4" w:rsidRPr="00C53B7C">
              <w:rPr>
                <w:rFonts w:ascii="Calibri" w:hAnsi="Calibri"/>
                <w:bCs/>
                <w:szCs w:val="20"/>
              </w:rPr>
              <w:t>Action</w:t>
            </w:r>
            <w:r w:rsidRPr="00C53B7C">
              <w:rPr>
                <w:rFonts w:ascii="Calibri" w:hAnsi="Calibri"/>
                <w:bCs/>
                <w:szCs w:val="20"/>
              </w:rPr>
              <w:t>) and 15 (</w:t>
            </w:r>
            <w:r w:rsidR="00DE62C4" w:rsidRPr="00C53B7C">
              <w:rPr>
                <w:rFonts w:ascii="Calibri" w:hAnsi="Calibri"/>
                <w:bCs/>
                <w:szCs w:val="20"/>
              </w:rPr>
              <w:t>Life on Land</w:t>
            </w:r>
            <w:r w:rsidRPr="00C53B7C">
              <w:rPr>
                <w:rFonts w:ascii="Calibri" w:hAnsi="Calibri"/>
                <w:bCs/>
                <w:szCs w:val="20"/>
              </w:rPr>
              <w:t>).</w:t>
            </w:r>
          </w:p>
          <w:p w14:paraId="1F0C387F" w14:textId="77777777" w:rsidR="0089587B" w:rsidRPr="00C53B7C" w:rsidRDefault="0089587B" w:rsidP="00DE62C4">
            <w:pPr>
              <w:pStyle w:val="BodyText2"/>
              <w:jc w:val="both"/>
              <w:rPr>
                <w:rFonts w:ascii="Calibri" w:hAnsi="Calibri"/>
                <w:bCs/>
                <w:szCs w:val="20"/>
              </w:rPr>
            </w:pPr>
          </w:p>
          <w:p w14:paraId="742C5CD8" w14:textId="06CABB4E" w:rsidR="003B11CB" w:rsidRPr="00C53B7C" w:rsidRDefault="003B11CB" w:rsidP="00DE62C4">
            <w:pPr>
              <w:pStyle w:val="BodyText2"/>
              <w:jc w:val="both"/>
              <w:rPr>
                <w:rFonts w:ascii="Calibri" w:hAnsi="Calibri"/>
                <w:szCs w:val="20"/>
                <w:u w:val="single"/>
              </w:rPr>
            </w:pPr>
            <w:r w:rsidRPr="00C53B7C">
              <w:rPr>
                <w:rFonts w:ascii="Calibri" w:hAnsi="Calibri"/>
                <w:szCs w:val="20"/>
                <w:u w:val="single"/>
              </w:rPr>
              <w:t>CP Outputs</w:t>
            </w:r>
          </w:p>
          <w:p w14:paraId="3E0E47DB" w14:textId="0A1073A6" w:rsidR="00C04652" w:rsidRPr="00C53B7C" w:rsidRDefault="00C04652" w:rsidP="00DE62C4">
            <w:pPr>
              <w:jc w:val="both"/>
              <w:rPr>
                <w:rFonts w:ascii="Calibri" w:hAnsi="Calibri"/>
                <w:sz w:val="20"/>
                <w:szCs w:val="20"/>
              </w:rPr>
            </w:pPr>
            <w:r w:rsidRPr="00C53B7C">
              <w:rPr>
                <w:rFonts w:ascii="Calibri" w:hAnsi="Calibri"/>
                <w:sz w:val="20"/>
                <w:szCs w:val="20"/>
              </w:rPr>
              <w:t>The indicative outputs identified in the CP for this outcome were: (1) Effective legal, policy and institutional frameworks in place for conservation and sustainable use of, and access to, natural resources; (2) Capacity of Ministry of Natural Resources strengthened to monitor and enforce regulations in the oil and gas sector; and (3) Management capacities of EPA and relevant natural resource agencies over chemicals, wastes and contaminants improved.</w:t>
            </w:r>
          </w:p>
          <w:p w14:paraId="2A805FA0" w14:textId="63F2DDA5" w:rsidR="00E2222D" w:rsidRPr="00C53B7C" w:rsidRDefault="00E2222D" w:rsidP="00DE62C4">
            <w:pPr>
              <w:pStyle w:val="BodyText2"/>
              <w:jc w:val="both"/>
              <w:rPr>
                <w:rFonts w:ascii="Calibri" w:hAnsi="Calibri"/>
                <w:szCs w:val="20"/>
                <w:u w:val="single"/>
              </w:rPr>
            </w:pPr>
          </w:p>
          <w:p w14:paraId="73B4C1C7" w14:textId="77777777" w:rsidR="00E2222D" w:rsidRPr="00C53B7C" w:rsidRDefault="003B11CB" w:rsidP="00DE62C4">
            <w:pPr>
              <w:pStyle w:val="BodyText2"/>
              <w:jc w:val="both"/>
              <w:rPr>
                <w:rFonts w:ascii="Calibri" w:hAnsi="Calibri"/>
                <w:szCs w:val="20"/>
                <w:u w:val="single"/>
              </w:rPr>
            </w:pPr>
            <w:r w:rsidRPr="00C53B7C">
              <w:rPr>
                <w:rFonts w:ascii="Calibri" w:hAnsi="Calibri"/>
                <w:szCs w:val="20"/>
                <w:u w:val="single"/>
              </w:rPr>
              <w:t>Progress and Achievements</w:t>
            </w:r>
          </w:p>
          <w:p w14:paraId="48E3D2C8" w14:textId="77777777" w:rsidR="00070E32" w:rsidRPr="00C53B7C" w:rsidRDefault="00070E32" w:rsidP="00DE62C4">
            <w:pPr>
              <w:pStyle w:val="BodyText2"/>
              <w:autoSpaceDE/>
              <w:autoSpaceDN/>
              <w:adjustRightInd/>
              <w:jc w:val="both"/>
              <w:rPr>
                <w:rFonts w:ascii="Calibri" w:hAnsi="Calibri"/>
                <w:iCs/>
                <w:szCs w:val="20"/>
              </w:rPr>
            </w:pPr>
          </w:p>
          <w:p w14:paraId="18418B8C" w14:textId="5F09BE39" w:rsidR="003D0F59" w:rsidRPr="00C53B7C" w:rsidRDefault="003D0F59" w:rsidP="00DE62C4">
            <w:pPr>
              <w:pStyle w:val="BodyText2"/>
              <w:autoSpaceDE/>
              <w:autoSpaceDN/>
              <w:adjustRightInd/>
              <w:jc w:val="both"/>
              <w:rPr>
                <w:rFonts w:ascii="Calibri" w:hAnsi="Calibri"/>
                <w:iCs/>
                <w:szCs w:val="20"/>
              </w:rPr>
            </w:pPr>
            <w:r w:rsidRPr="00C53B7C">
              <w:rPr>
                <w:rFonts w:ascii="Calibri" w:hAnsi="Calibri"/>
                <w:iCs/>
                <w:szCs w:val="20"/>
              </w:rPr>
              <w:t xml:space="preserve">Progress is mainly </w:t>
            </w:r>
            <w:r w:rsidR="00070E32" w:rsidRPr="00C53B7C">
              <w:rPr>
                <w:rFonts w:ascii="Calibri" w:hAnsi="Calibri"/>
                <w:iCs/>
                <w:szCs w:val="20"/>
              </w:rPr>
              <w:t>attributed to the development</w:t>
            </w:r>
            <w:r w:rsidR="00E17AE3" w:rsidRPr="00C53B7C">
              <w:rPr>
                <w:rFonts w:ascii="Calibri" w:hAnsi="Calibri"/>
                <w:iCs/>
                <w:szCs w:val="20"/>
              </w:rPr>
              <w:t xml:space="preserve"> or strengthening</w:t>
            </w:r>
            <w:r w:rsidR="00070E32" w:rsidRPr="00C53B7C">
              <w:rPr>
                <w:rFonts w:ascii="Calibri" w:hAnsi="Calibri"/>
                <w:iCs/>
                <w:szCs w:val="20"/>
              </w:rPr>
              <w:t xml:space="preserve"> of </w:t>
            </w:r>
            <w:r w:rsidR="00EF5B4F" w:rsidRPr="00C53B7C">
              <w:rPr>
                <w:rFonts w:ascii="Calibri" w:hAnsi="Calibri"/>
                <w:iCs/>
                <w:szCs w:val="20"/>
              </w:rPr>
              <w:t xml:space="preserve">legislative/institutional frameworks for natural resource management, </w:t>
            </w:r>
            <w:r w:rsidR="00070E32" w:rsidRPr="00C53B7C">
              <w:rPr>
                <w:rFonts w:ascii="Calibri" w:hAnsi="Calibri"/>
                <w:iCs/>
                <w:szCs w:val="20"/>
              </w:rPr>
              <w:t xml:space="preserve">systems and tools for enhanced </w:t>
            </w:r>
            <w:r w:rsidRPr="00C53B7C">
              <w:rPr>
                <w:rFonts w:ascii="Calibri" w:hAnsi="Calibri"/>
                <w:iCs/>
                <w:szCs w:val="20"/>
              </w:rPr>
              <w:t xml:space="preserve">adaptation to </w:t>
            </w:r>
            <w:r w:rsidR="00070E32" w:rsidRPr="00C53B7C">
              <w:rPr>
                <w:rFonts w:ascii="Calibri" w:hAnsi="Calibri"/>
                <w:iCs/>
                <w:szCs w:val="20"/>
              </w:rPr>
              <w:t xml:space="preserve">climate change and </w:t>
            </w:r>
            <w:r w:rsidRPr="00C53B7C">
              <w:rPr>
                <w:rFonts w:ascii="Calibri" w:hAnsi="Calibri"/>
                <w:iCs/>
                <w:szCs w:val="20"/>
              </w:rPr>
              <w:t xml:space="preserve">for </w:t>
            </w:r>
            <w:r w:rsidR="00070E32" w:rsidRPr="00C53B7C">
              <w:rPr>
                <w:rFonts w:ascii="Calibri" w:hAnsi="Calibri"/>
                <w:iCs/>
                <w:szCs w:val="20"/>
              </w:rPr>
              <w:t>disaster management</w:t>
            </w:r>
            <w:r w:rsidR="00EF5B4F" w:rsidRPr="00C53B7C">
              <w:rPr>
                <w:rFonts w:ascii="Calibri" w:hAnsi="Calibri"/>
                <w:iCs/>
                <w:szCs w:val="20"/>
              </w:rPr>
              <w:t xml:space="preserve"> and </w:t>
            </w:r>
            <w:r w:rsidRPr="00C53B7C">
              <w:rPr>
                <w:rFonts w:ascii="Calibri" w:hAnsi="Calibri"/>
                <w:iCs/>
                <w:szCs w:val="20"/>
              </w:rPr>
              <w:t>capacitation of national counterparts on the</w:t>
            </w:r>
            <w:r w:rsidR="000449D8" w:rsidRPr="00C53B7C">
              <w:rPr>
                <w:rFonts w:ascii="Calibri" w:hAnsi="Calibri"/>
                <w:iCs/>
                <w:szCs w:val="20"/>
              </w:rPr>
              <w:t>m</w:t>
            </w:r>
            <w:r w:rsidR="00070E32" w:rsidRPr="00C53B7C">
              <w:rPr>
                <w:rFonts w:ascii="Calibri" w:hAnsi="Calibri"/>
                <w:iCs/>
                <w:szCs w:val="20"/>
              </w:rPr>
              <w:t>.</w:t>
            </w:r>
            <w:r w:rsidRPr="00C53B7C">
              <w:rPr>
                <w:rFonts w:ascii="Calibri" w:hAnsi="Calibri"/>
                <w:iCs/>
                <w:szCs w:val="20"/>
              </w:rPr>
              <w:t xml:space="preserve"> Locally, </w:t>
            </w:r>
            <w:r w:rsidR="00070E32" w:rsidRPr="00C53B7C">
              <w:rPr>
                <w:rFonts w:ascii="Calibri" w:hAnsi="Calibri"/>
                <w:iCs/>
                <w:szCs w:val="20"/>
              </w:rPr>
              <w:t xml:space="preserve">communities and farmers' groups </w:t>
            </w:r>
            <w:r w:rsidRPr="00C53B7C">
              <w:rPr>
                <w:rFonts w:ascii="Calibri" w:hAnsi="Calibri"/>
                <w:iCs/>
                <w:szCs w:val="20"/>
              </w:rPr>
              <w:t xml:space="preserve">received the support of </w:t>
            </w:r>
            <w:r w:rsidR="00BB7617" w:rsidRPr="00C53B7C">
              <w:rPr>
                <w:rFonts w:ascii="Calibri" w:hAnsi="Calibri"/>
                <w:iCs/>
                <w:szCs w:val="20"/>
              </w:rPr>
              <w:t>MOA</w:t>
            </w:r>
            <w:r w:rsidRPr="00C53B7C">
              <w:rPr>
                <w:rFonts w:ascii="Calibri" w:hAnsi="Calibri"/>
                <w:iCs/>
                <w:szCs w:val="20"/>
              </w:rPr>
              <w:t xml:space="preserve"> </w:t>
            </w:r>
            <w:r w:rsidR="00070E32" w:rsidRPr="00C53B7C">
              <w:rPr>
                <w:rFonts w:ascii="Calibri" w:hAnsi="Calibri"/>
                <w:iCs/>
                <w:szCs w:val="20"/>
              </w:rPr>
              <w:t xml:space="preserve">technical </w:t>
            </w:r>
            <w:r w:rsidRPr="00C53B7C">
              <w:rPr>
                <w:rFonts w:ascii="Calibri" w:hAnsi="Calibri"/>
                <w:iCs/>
                <w:szCs w:val="20"/>
              </w:rPr>
              <w:t xml:space="preserve">staff </w:t>
            </w:r>
            <w:r w:rsidR="00070E32" w:rsidRPr="00C53B7C">
              <w:rPr>
                <w:rFonts w:ascii="Calibri" w:hAnsi="Calibri"/>
                <w:iCs/>
                <w:szCs w:val="20"/>
              </w:rPr>
              <w:t>to enhance their resilience to the threats of climate change and disasters</w:t>
            </w:r>
            <w:r w:rsidRPr="00C53B7C">
              <w:rPr>
                <w:rFonts w:ascii="Calibri" w:hAnsi="Calibri"/>
                <w:iCs/>
                <w:szCs w:val="20"/>
              </w:rPr>
              <w:t xml:space="preserve">, </w:t>
            </w:r>
            <w:r w:rsidR="00070E32" w:rsidRPr="00C53B7C">
              <w:rPr>
                <w:rFonts w:ascii="Calibri" w:hAnsi="Calibri"/>
                <w:iCs/>
                <w:szCs w:val="20"/>
              </w:rPr>
              <w:t>increas</w:t>
            </w:r>
            <w:r w:rsidRPr="00C53B7C">
              <w:rPr>
                <w:rFonts w:ascii="Calibri" w:hAnsi="Calibri"/>
                <w:iCs/>
                <w:szCs w:val="20"/>
              </w:rPr>
              <w:t>ing</w:t>
            </w:r>
            <w:r w:rsidR="00070E32" w:rsidRPr="00C53B7C">
              <w:rPr>
                <w:rFonts w:ascii="Calibri" w:hAnsi="Calibri"/>
                <w:iCs/>
                <w:szCs w:val="20"/>
              </w:rPr>
              <w:t xml:space="preserve"> food security at the community level.</w:t>
            </w:r>
            <w:r w:rsidRPr="00C53B7C">
              <w:rPr>
                <w:rFonts w:ascii="Calibri" w:hAnsi="Calibri"/>
                <w:iCs/>
                <w:szCs w:val="20"/>
              </w:rPr>
              <w:t xml:space="preserve"> </w:t>
            </w:r>
            <w:r w:rsidR="0091432F" w:rsidRPr="00C53B7C">
              <w:rPr>
                <w:rFonts w:ascii="Calibri" w:hAnsi="Calibri"/>
                <w:iCs/>
                <w:szCs w:val="20"/>
              </w:rPr>
              <w:t xml:space="preserve">Work was also undertaken on pollutant management with </w:t>
            </w:r>
            <w:r w:rsidRPr="00C53B7C">
              <w:rPr>
                <w:rFonts w:ascii="Calibri" w:hAnsi="Calibri"/>
                <w:iCs/>
                <w:szCs w:val="20"/>
              </w:rPr>
              <w:t xml:space="preserve">technical </w:t>
            </w:r>
            <w:r w:rsidR="0091432F" w:rsidRPr="00C53B7C">
              <w:rPr>
                <w:rFonts w:ascii="Calibri" w:hAnsi="Calibri"/>
                <w:iCs/>
                <w:szCs w:val="20"/>
              </w:rPr>
              <w:t xml:space="preserve">staff </w:t>
            </w:r>
            <w:r w:rsidRPr="00C53B7C">
              <w:rPr>
                <w:rFonts w:ascii="Calibri" w:hAnsi="Calibri"/>
                <w:iCs/>
                <w:szCs w:val="20"/>
              </w:rPr>
              <w:t>within the refrigerant</w:t>
            </w:r>
            <w:r w:rsidR="0091432F" w:rsidRPr="00C53B7C">
              <w:rPr>
                <w:rFonts w:ascii="Calibri" w:hAnsi="Calibri"/>
                <w:iCs/>
                <w:szCs w:val="20"/>
              </w:rPr>
              <w:t xml:space="preserve"> and energy </w:t>
            </w:r>
            <w:r w:rsidRPr="00C53B7C">
              <w:rPr>
                <w:rFonts w:ascii="Calibri" w:hAnsi="Calibri"/>
                <w:iCs/>
                <w:szCs w:val="20"/>
              </w:rPr>
              <w:t>sector</w:t>
            </w:r>
            <w:r w:rsidR="0091432F" w:rsidRPr="00C53B7C">
              <w:rPr>
                <w:rFonts w:ascii="Calibri" w:hAnsi="Calibri"/>
                <w:iCs/>
                <w:szCs w:val="20"/>
              </w:rPr>
              <w:t xml:space="preserve">s, contributing to </w:t>
            </w:r>
            <w:r w:rsidRPr="00C53B7C">
              <w:rPr>
                <w:rFonts w:ascii="Calibri" w:hAnsi="Calibri"/>
                <w:iCs/>
                <w:szCs w:val="20"/>
              </w:rPr>
              <w:t>reduction of greenhouse gas emissions and advancing climate change mitigation efforts.</w:t>
            </w:r>
          </w:p>
          <w:p w14:paraId="6F977A7D" w14:textId="77777777" w:rsidR="00070E32" w:rsidRPr="00C53B7C" w:rsidRDefault="00070E32" w:rsidP="00DE62C4">
            <w:pPr>
              <w:pStyle w:val="BodyText2"/>
              <w:autoSpaceDE/>
              <w:autoSpaceDN/>
              <w:adjustRightInd/>
              <w:jc w:val="both"/>
              <w:rPr>
                <w:rFonts w:ascii="Calibri" w:hAnsi="Calibri"/>
                <w:i/>
                <w:szCs w:val="20"/>
              </w:rPr>
            </w:pPr>
          </w:p>
          <w:p w14:paraId="4323F205" w14:textId="5861EFD8" w:rsidR="00E17AE3" w:rsidRPr="00C53B7C" w:rsidRDefault="0091432F" w:rsidP="00DE62C4">
            <w:pPr>
              <w:pStyle w:val="BodyText2"/>
              <w:autoSpaceDE/>
              <w:autoSpaceDN/>
              <w:adjustRightInd/>
              <w:jc w:val="both"/>
              <w:rPr>
                <w:rFonts w:ascii="Calibri" w:hAnsi="Calibri"/>
                <w:iCs/>
                <w:szCs w:val="20"/>
              </w:rPr>
            </w:pPr>
            <w:r w:rsidRPr="00C53B7C">
              <w:rPr>
                <w:rFonts w:ascii="Calibri" w:hAnsi="Calibri"/>
                <w:iCs/>
                <w:szCs w:val="20"/>
                <w:lang w:val="en-GB"/>
              </w:rPr>
              <w:t>(</w:t>
            </w:r>
            <w:r w:rsidR="006428DE" w:rsidRPr="00C53B7C">
              <w:rPr>
                <w:rFonts w:ascii="Calibri" w:hAnsi="Calibri"/>
                <w:iCs/>
                <w:szCs w:val="20"/>
                <w:lang w:val="en-GB"/>
              </w:rPr>
              <w:t xml:space="preserve">Output </w:t>
            </w:r>
            <w:r w:rsidRPr="00C53B7C">
              <w:rPr>
                <w:rFonts w:ascii="Calibri" w:hAnsi="Calibri"/>
                <w:iCs/>
                <w:szCs w:val="20"/>
                <w:lang w:val="en-GB"/>
              </w:rPr>
              <w:t xml:space="preserve">1) </w:t>
            </w:r>
            <w:r w:rsidR="00B87BAF" w:rsidRPr="00C53B7C">
              <w:rPr>
                <w:rFonts w:ascii="Calibri" w:hAnsi="Calibri"/>
                <w:iCs/>
                <w:szCs w:val="20"/>
              </w:rPr>
              <w:t xml:space="preserve">In 2020, the </w:t>
            </w:r>
            <w:r w:rsidR="00BB7617" w:rsidRPr="00C53B7C">
              <w:rPr>
                <w:rFonts w:ascii="Calibri" w:hAnsi="Calibri"/>
                <w:iCs/>
                <w:szCs w:val="20"/>
              </w:rPr>
              <w:t>MOA</w:t>
            </w:r>
            <w:r w:rsidR="00B87BAF" w:rsidRPr="00C53B7C">
              <w:rPr>
                <w:rFonts w:ascii="Calibri" w:hAnsi="Calibri"/>
                <w:iCs/>
                <w:szCs w:val="20"/>
              </w:rPr>
              <w:t xml:space="preserve"> incorporated a National Flood Forecasting system developed by UNDP in partnership with UNOSAT. This platform facilitates the prediction of weather systems which may cause flooding allowing for effective and timely decisions on mitigation measures by national authorities. This increased the output indicator </w:t>
            </w:r>
            <w:r w:rsidR="00EF5B4F" w:rsidRPr="00C53B7C">
              <w:rPr>
                <w:rFonts w:ascii="Calibri" w:hAnsi="Calibri"/>
                <w:iCs/>
                <w:szCs w:val="20"/>
              </w:rPr>
              <w:t xml:space="preserve">related to the development of legislative/institutional frameworks for natural resource management </w:t>
            </w:r>
            <w:r w:rsidR="006428DE" w:rsidRPr="00C53B7C">
              <w:rPr>
                <w:rFonts w:ascii="Calibri" w:hAnsi="Calibri"/>
                <w:iCs/>
                <w:szCs w:val="20"/>
              </w:rPr>
              <w:t xml:space="preserve">to </w:t>
            </w:r>
            <w:r w:rsidR="00B87BAF" w:rsidRPr="00C53B7C">
              <w:rPr>
                <w:rFonts w:ascii="Calibri" w:hAnsi="Calibri"/>
                <w:iCs/>
                <w:szCs w:val="20"/>
              </w:rPr>
              <w:t>10 (2020)</w:t>
            </w:r>
            <w:r w:rsidR="0030614F" w:rsidRPr="00C53B7C">
              <w:rPr>
                <w:rFonts w:ascii="Calibri" w:hAnsi="Calibri"/>
                <w:iCs/>
                <w:szCs w:val="20"/>
              </w:rPr>
              <w:t xml:space="preserve">, </w:t>
            </w:r>
            <w:r w:rsidR="00E17AE3" w:rsidRPr="00C53B7C">
              <w:rPr>
                <w:rFonts w:ascii="Calibri" w:hAnsi="Calibri"/>
                <w:iCs/>
                <w:szCs w:val="20"/>
              </w:rPr>
              <w:t xml:space="preserve">amply </w:t>
            </w:r>
            <w:r w:rsidR="0030614F" w:rsidRPr="00C53B7C">
              <w:rPr>
                <w:rFonts w:ascii="Calibri" w:hAnsi="Calibri"/>
                <w:iCs/>
                <w:szCs w:val="20"/>
              </w:rPr>
              <w:t>surpassing the initial target of 5 for</w:t>
            </w:r>
            <w:r w:rsidR="004F6600" w:rsidRPr="00C53B7C">
              <w:rPr>
                <w:rFonts w:ascii="Calibri" w:hAnsi="Calibri"/>
                <w:iCs/>
                <w:szCs w:val="20"/>
              </w:rPr>
              <w:t xml:space="preserve"> the CP</w:t>
            </w:r>
            <w:r w:rsidR="0030614F" w:rsidRPr="00C53B7C">
              <w:rPr>
                <w:rFonts w:ascii="Calibri" w:hAnsi="Calibri"/>
                <w:iCs/>
                <w:szCs w:val="20"/>
              </w:rPr>
              <w:t xml:space="preserve"> </w:t>
            </w:r>
            <w:r w:rsidR="00225C9F" w:rsidRPr="00C53B7C">
              <w:rPr>
                <w:rFonts w:ascii="Calibri" w:hAnsi="Calibri"/>
                <w:iCs/>
                <w:szCs w:val="20"/>
              </w:rPr>
              <w:t>period</w:t>
            </w:r>
            <w:r w:rsidR="00EF5B4F" w:rsidRPr="00C53B7C">
              <w:rPr>
                <w:rFonts w:ascii="Calibri" w:hAnsi="Calibri"/>
                <w:iCs/>
                <w:szCs w:val="20"/>
              </w:rPr>
              <w:t xml:space="preserve">, and providing a significantly </w:t>
            </w:r>
            <w:r w:rsidR="000449D8" w:rsidRPr="00C53B7C">
              <w:rPr>
                <w:rFonts w:ascii="Calibri" w:hAnsi="Calibri"/>
                <w:iCs/>
                <w:szCs w:val="20"/>
              </w:rPr>
              <w:t>stronger base for natural resource management in the country.</w:t>
            </w:r>
            <w:r w:rsidR="00E17AE3" w:rsidRPr="00C53B7C">
              <w:rPr>
                <w:rFonts w:ascii="Calibri" w:hAnsi="Calibri"/>
                <w:iCs/>
                <w:szCs w:val="20"/>
              </w:rPr>
              <w:t xml:space="preserve"> Other key frameworks included (I) support to the Community Based Early </w:t>
            </w:r>
            <w:r w:rsidR="00E17AE3" w:rsidRPr="00C53B7C">
              <w:rPr>
                <w:rFonts w:ascii="Calibri" w:hAnsi="Calibri"/>
                <w:iCs/>
                <w:szCs w:val="20"/>
              </w:rPr>
              <w:lastRenderedPageBreak/>
              <w:t xml:space="preserve">Warning Systems, with the </w:t>
            </w:r>
            <w:r w:rsidR="00BB7617" w:rsidRPr="00C53B7C">
              <w:rPr>
                <w:rFonts w:ascii="Calibri" w:hAnsi="Calibri"/>
                <w:iCs/>
                <w:szCs w:val="20"/>
              </w:rPr>
              <w:t>CDC</w:t>
            </w:r>
            <w:r w:rsidR="00E17AE3" w:rsidRPr="00C53B7C">
              <w:rPr>
                <w:rFonts w:ascii="Calibri" w:hAnsi="Calibri"/>
                <w:iCs/>
                <w:szCs w:val="20"/>
              </w:rPr>
              <w:t>; (ii) the revision of Guyana’s National Adaptation Plan (NAP) with the OCC; (iii) support</w:t>
            </w:r>
            <w:r w:rsidR="00810A37" w:rsidRPr="00C53B7C">
              <w:rPr>
                <w:rFonts w:ascii="Calibri" w:hAnsi="Calibri"/>
                <w:iCs/>
                <w:szCs w:val="20"/>
              </w:rPr>
              <w:t xml:space="preserve">ing </w:t>
            </w:r>
            <w:r w:rsidR="00E17AE3" w:rsidRPr="00C53B7C">
              <w:rPr>
                <w:rFonts w:ascii="Calibri" w:hAnsi="Calibri"/>
                <w:iCs/>
                <w:szCs w:val="20"/>
              </w:rPr>
              <w:t xml:space="preserve">the </w:t>
            </w:r>
            <w:r w:rsidR="00BB7617" w:rsidRPr="00C53B7C">
              <w:rPr>
                <w:rFonts w:ascii="Calibri" w:hAnsi="Calibri"/>
                <w:iCs/>
                <w:szCs w:val="20"/>
              </w:rPr>
              <w:t>DOE</w:t>
            </w:r>
            <w:r w:rsidR="00E17AE3" w:rsidRPr="00C53B7C">
              <w:rPr>
                <w:rFonts w:ascii="Calibri" w:hAnsi="Calibri"/>
                <w:iCs/>
                <w:szCs w:val="20"/>
              </w:rPr>
              <w:t xml:space="preserve"> to continue mainstream</w:t>
            </w:r>
            <w:r w:rsidR="00810A37" w:rsidRPr="00C53B7C">
              <w:rPr>
                <w:rFonts w:ascii="Calibri" w:hAnsi="Calibri"/>
                <w:iCs/>
                <w:szCs w:val="20"/>
              </w:rPr>
              <w:t>ing</w:t>
            </w:r>
            <w:r w:rsidR="00E17AE3" w:rsidRPr="00C53B7C">
              <w:rPr>
                <w:rFonts w:ascii="Calibri" w:hAnsi="Calibri"/>
                <w:iCs/>
                <w:szCs w:val="20"/>
              </w:rPr>
              <w:t xml:space="preserve"> the 3 Rio Conventions</w:t>
            </w:r>
            <w:r w:rsidR="00810A37" w:rsidRPr="00C53B7C">
              <w:rPr>
                <w:rFonts w:ascii="Calibri" w:hAnsi="Calibri"/>
                <w:iCs/>
                <w:szCs w:val="20"/>
              </w:rPr>
              <w:t xml:space="preserve">, including by training </w:t>
            </w:r>
            <w:r w:rsidR="00E17AE3" w:rsidRPr="00C53B7C">
              <w:rPr>
                <w:rFonts w:ascii="Calibri" w:hAnsi="Calibri"/>
                <w:iCs/>
                <w:szCs w:val="20"/>
              </w:rPr>
              <w:t>teachers and civil service institutions</w:t>
            </w:r>
            <w:r w:rsidR="00810A37" w:rsidRPr="00C53B7C">
              <w:rPr>
                <w:rFonts w:ascii="Calibri" w:hAnsi="Calibri"/>
                <w:iCs/>
                <w:szCs w:val="20"/>
              </w:rPr>
              <w:t xml:space="preserve"> and pi</w:t>
            </w:r>
            <w:r w:rsidR="00E17AE3" w:rsidRPr="00C53B7C">
              <w:rPr>
                <w:rFonts w:ascii="Calibri" w:hAnsi="Calibri"/>
                <w:iCs/>
                <w:szCs w:val="20"/>
              </w:rPr>
              <w:t xml:space="preserve">loting </w:t>
            </w:r>
            <w:r w:rsidR="00810A37" w:rsidRPr="00C53B7C">
              <w:rPr>
                <w:rFonts w:ascii="Calibri" w:hAnsi="Calibri"/>
                <w:iCs/>
                <w:szCs w:val="20"/>
              </w:rPr>
              <w:t xml:space="preserve">sessions on </w:t>
            </w:r>
            <w:r w:rsidR="00E17AE3" w:rsidRPr="00C53B7C">
              <w:rPr>
                <w:rFonts w:ascii="Calibri" w:hAnsi="Calibri"/>
                <w:iCs/>
                <w:szCs w:val="20"/>
              </w:rPr>
              <w:t xml:space="preserve">analytical skills and methodologies </w:t>
            </w:r>
            <w:r w:rsidR="00810A37" w:rsidRPr="00C53B7C">
              <w:rPr>
                <w:rFonts w:ascii="Calibri" w:hAnsi="Calibri"/>
                <w:iCs/>
                <w:szCs w:val="20"/>
              </w:rPr>
              <w:t xml:space="preserve">at </w:t>
            </w:r>
            <w:r w:rsidR="00E17AE3" w:rsidRPr="00C53B7C">
              <w:rPr>
                <w:rFonts w:ascii="Calibri" w:hAnsi="Calibri"/>
                <w:iCs/>
                <w:szCs w:val="20"/>
              </w:rPr>
              <w:t>line ministries</w:t>
            </w:r>
            <w:r w:rsidR="00810A37" w:rsidRPr="00C53B7C">
              <w:rPr>
                <w:rFonts w:ascii="Calibri" w:hAnsi="Calibri"/>
                <w:iCs/>
                <w:szCs w:val="20"/>
              </w:rPr>
              <w:t xml:space="preserve">; </w:t>
            </w:r>
            <w:r w:rsidR="00225C9F" w:rsidRPr="00C53B7C">
              <w:rPr>
                <w:rFonts w:ascii="Calibri" w:hAnsi="Calibri"/>
                <w:iCs/>
                <w:szCs w:val="20"/>
              </w:rPr>
              <w:t xml:space="preserve">and </w:t>
            </w:r>
            <w:r w:rsidR="00810A37" w:rsidRPr="00C53B7C">
              <w:rPr>
                <w:rFonts w:ascii="Calibri" w:hAnsi="Calibri"/>
                <w:iCs/>
                <w:szCs w:val="20"/>
              </w:rPr>
              <w:t>(iv) a new Gender Strategy for Disaster Risk Reduction in the Agriculture Sector, collaboratively developed with FAO.</w:t>
            </w:r>
          </w:p>
          <w:p w14:paraId="692467E2" w14:textId="5560B9BA" w:rsidR="00B87BAF" w:rsidRPr="00C53B7C" w:rsidRDefault="00B87BAF" w:rsidP="00DE62C4">
            <w:pPr>
              <w:pStyle w:val="BodyText2"/>
              <w:autoSpaceDE/>
              <w:autoSpaceDN/>
              <w:adjustRightInd/>
              <w:jc w:val="both"/>
              <w:rPr>
                <w:rFonts w:ascii="Calibri" w:hAnsi="Calibri"/>
                <w:iCs/>
                <w:szCs w:val="20"/>
              </w:rPr>
            </w:pPr>
          </w:p>
          <w:p w14:paraId="6933DCFC" w14:textId="6F5372D6" w:rsidR="000926A9" w:rsidRPr="00C53B7C" w:rsidRDefault="00B87BAF" w:rsidP="00DE62C4">
            <w:pPr>
              <w:pStyle w:val="BodyText2"/>
              <w:jc w:val="both"/>
              <w:rPr>
                <w:rFonts w:ascii="Calibri" w:hAnsi="Calibri"/>
                <w:iCs/>
                <w:szCs w:val="20"/>
              </w:rPr>
            </w:pPr>
            <w:r w:rsidRPr="00C53B7C">
              <w:rPr>
                <w:rFonts w:ascii="Calibri" w:hAnsi="Calibri"/>
                <w:iCs/>
                <w:szCs w:val="20"/>
              </w:rPr>
              <w:t>To advance the framework for early warning systems, agricultural extension officers in Regions 7</w:t>
            </w:r>
            <w:r w:rsidR="004F6600" w:rsidRPr="00C53B7C">
              <w:rPr>
                <w:rFonts w:ascii="Calibri" w:hAnsi="Calibri"/>
                <w:iCs/>
                <w:szCs w:val="20"/>
              </w:rPr>
              <w:t xml:space="preserve"> </w:t>
            </w:r>
            <w:r w:rsidRPr="00C53B7C">
              <w:rPr>
                <w:rFonts w:ascii="Calibri" w:hAnsi="Calibri"/>
                <w:iCs/>
                <w:szCs w:val="20"/>
              </w:rPr>
              <w:t>&amp;</w:t>
            </w:r>
            <w:r w:rsidR="004F6600" w:rsidRPr="00C53B7C">
              <w:rPr>
                <w:rFonts w:ascii="Calibri" w:hAnsi="Calibri"/>
                <w:iCs/>
                <w:szCs w:val="20"/>
              </w:rPr>
              <w:t xml:space="preserve"> </w:t>
            </w:r>
            <w:r w:rsidRPr="00C53B7C">
              <w:rPr>
                <w:rFonts w:ascii="Calibri" w:hAnsi="Calibri"/>
                <w:iCs/>
                <w:szCs w:val="20"/>
              </w:rPr>
              <w:t xml:space="preserve">8 </w:t>
            </w:r>
            <w:r w:rsidR="00110CF4" w:rsidRPr="00C53B7C">
              <w:rPr>
                <w:rFonts w:ascii="Calibri" w:hAnsi="Calibri"/>
                <w:iCs/>
                <w:szCs w:val="20"/>
              </w:rPr>
              <w:t xml:space="preserve">received training on </w:t>
            </w:r>
            <w:r w:rsidR="00225C9F" w:rsidRPr="00C53B7C">
              <w:rPr>
                <w:rFonts w:ascii="Calibri" w:hAnsi="Calibri"/>
                <w:iCs/>
                <w:szCs w:val="20"/>
              </w:rPr>
              <w:t>the</w:t>
            </w:r>
            <w:r w:rsidR="00110CF4" w:rsidRPr="00C53B7C">
              <w:rPr>
                <w:rFonts w:ascii="Calibri" w:hAnsi="Calibri"/>
                <w:iCs/>
                <w:szCs w:val="20"/>
              </w:rPr>
              <w:t xml:space="preserve"> </w:t>
            </w:r>
            <w:r w:rsidR="000926A9" w:rsidRPr="00C53B7C">
              <w:rPr>
                <w:rFonts w:ascii="Calibri" w:hAnsi="Calibri"/>
                <w:iCs/>
                <w:szCs w:val="20"/>
              </w:rPr>
              <w:t>PICSA</w:t>
            </w:r>
            <w:r w:rsidR="00225C9F" w:rsidRPr="00C53B7C">
              <w:rPr>
                <w:rFonts w:ascii="Calibri" w:hAnsi="Calibri"/>
                <w:iCs/>
                <w:szCs w:val="20"/>
              </w:rPr>
              <w:t xml:space="preserve"> methodology</w:t>
            </w:r>
            <w:r w:rsidR="00110CF4" w:rsidRPr="00C53B7C">
              <w:rPr>
                <w:rFonts w:ascii="Calibri" w:hAnsi="Calibri"/>
                <w:iCs/>
                <w:szCs w:val="20"/>
              </w:rPr>
              <w:t xml:space="preserve"> </w:t>
            </w:r>
            <w:r w:rsidRPr="00C53B7C">
              <w:rPr>
                <w:rFonts w:ascii="Calibri" w:hAnsi="Calibri"/>
                <w:iCs/>
                <w:szCs w:val="20"/>
              </w:rPr>
              <w:t xml:space="preserve">for increased uptake of climate information at the farmers' level. </w:t>
            </w:r>
            <w:r w:rsidR="000926A9" w:rsidRPr="00C53B7C">
              <w:rPr>
                <w:rFonts w:ascii="Calibri" w:hAnsi="Calibri"/>
                <w:iCs/>
                <w:szCs w:val="20"/>
              </w:rPr>
              <w:t>Also through PICSA,</w:t>
            </w:r>
            <w:r w:rsidR="00EC41AE" w:rsidRPr="00C53B7C">
              <w:rPr>
                <w:rFonts w:ascii="Calibri" w:hAnsi="Calibri"/>
                <w:iCs/>
                <w:szCs w:val="20"/>
              </w:rPr>
              <w:t xml:space="preserve"> 661</w:t>
            </w:r>
            <w:r w:rsidR="000926A9" w:rsidRPr="00C53B7C">
              <w:rPr>
                <w:rFonts w:ascii="Calibri" w:hAnsi="Calibri"/>
                <w:iCs/>
                <w:szCs w:val="20"/>
              </w:rPr>
              <w:t xml:space="preserve"> farmers (M:F,</w:t>
            </w:r>
            <w:r w:rsidR="00EC41AE" w:rsidRPr="00C53B7C">
              <w:rPr>
                <w:rFonts w:ascii="Calibri" w:hAnsi="Calibri"/>
                <w:iCs/>
                <w:szCs w:val="20"/>
              </w:rPr>
              <w:t xml:space="preserve"> 348</w:t>
            </w:r>
            <w:r w:rsidR="000926A9" w:rsidRPr="00C53B7C">
              <w:rPr>
                <w:rFonts w:ascii="Calibri" w:hAnsi="Calibri"/>
                <w:iCs/>
                <w:szCs w:val="20"/>
              </w:rPr>
              <w:t>:</w:t>
            </w:r>
            <w:r w:rsidR="00EC41AE" w:rsidRPr="00C53B7C">
              <w:rPr>
                <w:rFonts w:ascii="Calibri" w:hAnsi="Calibri"/>
                <w:iCs/>
                <w:szCs w:val="20"/>
              </w:rPr>
              <w:t>313</w:t>
            </w:r>
            <w:r w:rsidR="000926A9" w:rsidRPr="00C53B7C">
              <w:rPr>
                <w:rFonts w:ascii="Calibri" w:hAnsi="Calibri"/>
                <w:iCs/>
                <w:szCs w:val="20"/>
              </w:rPr>
              <w:t xml:space="preserve">) </w:t>
            </w:r>
            <w:r w:rsidR="00345A31" w:rsidRPr="00C53B7C">
              <w:rPr>
                <w:rFonts w:ascii="Calibri" w:hAnsi="Calibri"/>
                <w:iCs/>
                <w:szCs w:val="20"/>
              </w:rPr>
              <w:t xml:space="preserve">were </w:t>
            </w:r>
            <w:r w:rsidR="00225C9F" w:rsidRPr="00C53B7C">
              <w:rPr>
                <w:rFonts w:ascii="Calibri" w:hAnsi="Calibri"/>
                <w:iCs/>
                <w:szCs w:val="20"/>
              </w:rPr>
              <w:t xml:space="preserve">capacitated </w:t>
            </w:r>
            <w:r w:rsidR="00345A31" w:rsidRPr="00C53B7C">
              <w:rPr>
                <w:rFonts w:ascii="Calibri" w:hAnsi="Calibri"/>
                <w:iCs/>
                <w:szCs w:val="20"/>
              </w:rPr>
              <w:t xml:space="preserve">on access and uptake of </w:t>
            </w:r>
            <w:r w:rsidR="000926A9" w:rsidRPr="00C53B7C">
              <w:rPr>
                <w:rFonts w:ascii="Calibri" w:hAnsi="Calibri"/>
                <w:iCs/>
                <w:szCs w:val="20"/>
              </w:rPr>
              <w:t>climate information</w:t>
            </w:r>
            <w:r w:rsidR="00EC41AE" w:rsidRPr="00C53B7C">
              <w:rPr>
                <w:rFonts w:ascii="Calibri" w:hAnsi="Calibri"/>
                <w:iCs/>
                <w:szCs w:val="20"/>
              </w:rPr>
              <w:t xml:space="preserve"> to reduce their vulnerability </w:t>
            </w:r>
            <w:r w:rsidRPr="00C53B7C">
              <w:rPr>
                <w:rFonts w:ascii="Calibri" w:hAnsi="Calibri"/>
                <w:iCs/>
                <w:szCs w:val="20"/>
              </w:rPr>
              <w:t>to the impact of disasters on their natural resources and food security.</w:t>
            </w:r>
            <w:r w:rsidR="00EF5B4F" w:rsidRPr="00C53B7C">
              <w:rPr>
                <w:rFonts w:ascii="Calibri" w:hAnsi="Calibri"/>
                <w:iCs/>
                <w:szCs w:val="20"/>
              </w:rPr>
              <w:t xml:space="preserve"> This helps them to make more informed decisions to address floods and droughts and their associated impacts within the agriculture sector.</w:t>
            </w:r>
          </w:p>
          <w:p w14:paraId="7E08ADB5" w14:textId="77777777" w:rsidR="00B87BAF" w:rsidRPr="00C53B7C" w:rsidRDefault="00B87BAF" w:rsidP="00DE62C4">
            <w:pPr>
              <w:pStyle w:val="BodyText2"/>
              <w:autoSpaceDE/>
              <w:autoSpaceDN/>
              <w:adjustRightInd/>
              <w:jc w:val="both"/>
              <w:rPr>
                <w:rFonts w:ascii="Calibri" w:hAnsi="Calibri"/>
                <w:iCs/>
                <w:szCs w:val="20"/>
              </w:rPr>
            </w:pPr>
          </w:p>
          <w:p w14:paraId="5E579032" w14:textId="4249BA4F" w:rsidR="00B87BAF" w:rsidRPr="00C53B7C" w:rsidRDefault="000926A9" w:rsidP="00DE62C4">
            <w:pPr>
              <w:pStyle w:val="BodyText2"/>
              <w:autoSpaceDE/>
              <w:autoSpaceDN/>
              <w:adjustRightInd/>
              <w:jc w:val="both"/>
              <w:rPr>
                <w:rFonts w:ascii="Calibri" w:hAnsi="Calibri"/>
                <w:iCs/>
                <w:szCs w:val="20"/>
              </w:rPr>
            </w:pPr>
            <w:r w:rsidRPr="00C53B7C">
              <w:rPr>
                <w:rFonts w:ascii="Calibri" w:hAnsi="Calibri"/>
                <w:iCs/>
                <w:szCs w:val="20"/>
              </w:rPr>
              <w:t>With regards to village level resilience and food security,</w:t>
            </w:r>
            <w:r w:rsidR="00B87BAF" w:rsidRPr="00C53B7C">
              <w:rPr>
                <w:rFonts w:ascii="Calibri" w:hAnsi="Calibri"/>
                <w:iCs/>
                <w:szCs w:val="20"/>
              </w:rPr>
              <w:t xml:space="preserve"> </w:t>
            </w:r>
            <w:r w:rsidR="00DE62C4" w:rsidRPr="00C53B7C">
              <w:rPr>
                <w:rFonts w:ascii="Calibri" w:hAnsi="Calibri"/>
                <w:iCs/>
                <w:szCs w:val="20"/>
              </w:rPr>
              <w:t>1</w:t>
            </w:r>
            <w:r w:rsidR="00B87BAF" w:rsidRPr="00C53B7C">
              <w:rPr>
                <w:rFonts w:ascii="Calibri" w:hAnsi="Calibri"/>
                <w:iCs/>
                <w:szCs w:val="20"/>
              </w:rPr>
              <w:t xml:space="preserve">9 microgrants were issued </w:t>
            </w:r>
            <w:r w:rsidRPr="00C53B7C">
              <w:rPr>
                <w:rFonts w:ascii="Calibri" w:hAnsi="Calibri"/>
                <w:iCs/>
                <w:szCs w:val="20"/>
              </w:rPr>
              <w:t>in 2020 f</w:t>
            </w:r>
            <w:r w:rsidR="00B87BAF" w:rsidRPr="00C53B7C">
              <w:rPr>
                <w:rFonts w:ascii="Calibri" w:hAnsi="Calibri"/>
                <w:iCs/>
                <w:szCs w:val="20"/>
              </w:rPr>
              <w:t xml:space="preserve">or Regions 5, 6 &amp; 9. A Kobo </w:t>
            </w:r>
            <w:r w:rsidR="00110CF4" w:rsidRPr="00C53B7C">
              <w:rPr>
                <w:rFonts w:ascii="Calibri" w:hAnsi="Calibri"/>
                <w:iCs/>
                <w:szCs w:val="20"/>
              </w:rPr>
              <w:t xml:space="preserve">tool for </w:t>
            </w:r>
            <w:r w:rsidR="00B87BAF" w:rsidRPr="00C53B7C">
              <w:rPr>
                <w:rFonts w:ascii="Calibri" w:hAnsi="Calibri"/>
                <w:iCs/>
                <w:szCs w:val="20"/>
              </w:rPr>
              <w:t>remote grantee monitoring was developed and</w:t>
            </w:r>
            <w:r w:rsidR="00110CF4" w:rsidRPr="00C53B7C">
              <w:rPr>
                <w:rFonts w:ascii="Calibri" w:hAnsi="Calibri"/>
                <w:iCs/>
                <w:szCs w:val="20"/>
              </w:rPr>
              <w:t xml:space="preserve"> was used by most grantees for reporting. </w:t>
            </w:r>
          </w:p>
          <w:p w14:paraId="6043B81C" w14:textId="77777777" w:rsidR="00B87BAF" w:rsidRPr="00C53B7C" w:rsidRDefault="00B87BAF" w:rsidP="00DE62C4">
            <w:pPr>
              <w:pStyle w:val="BodyText2"/>
              <w:autoSpaceDE/>
              <w:autoSpaceDN/>
              <w:adjustRightInd/>
              <w:jc w:val="both"/>
              <w:rPr>
                <w:rFonts w:ascii="Calibri" w:hAnsi="Calibri"/>
                <w:iCs/>
                <w:szCs w:val="20"/>
              </w:rPr>
            </w:pPr>
          </w:p>
          <w:p w14:paraId="260F5829" w14:textId="3E4C3B0B" w:rsidR="00EB1F82" w:rsidRPr="00C53B7C" w:rsidRDefault="0091432F" w:rsidP="00DE62C4">
            <w:pPr>
              <w:pStyle w:val="BodyText2"/>
              <w:jc w:val="both"/>
              <w:rPr>
                <w:rFonts w:ascii="Calibri" w:hAnsi="Calibri"/>
                <w:iCs/>
                <w:szCs w:val="20"/>
              </w:rPr>
            </w:pPr>
            <w:r w:rsidRPr="00C53B7C">
              <w:rPr>
                <w:rFonts w:ascii="Calibri" w:hAnsi="Calibri"/>
                <w:iCs/>
                <w:szCs w:val="20"/>
                <w:lang w:val="en-GB"/>
              </w:rPr>
              <w:t>(</w:t>
            </w:r>
            <w:r w:rsidR="006428DE" w:rsidRPr="00C53B7C">
              <w:rPr>
                <w:rFonts w:ascii="Calibri" w:hAnsi="Calibri"/>
                <w:iCs/>
                <w:szCs w:val="20"/>
                <w:lang w:val="en-GB"/>
              </w:rPr>
              <w:t xml:space="preserve">Output </w:t>
            </w:r>
            <w:r w:rsidRPr="00C53B7C">
              <w:rPr>
                <w:rFonts w:ascii="Calibri" w:hAnsi="Calibri"/>
                <w:iCs/>
                <w:szCs w:val="20"/>
                <w:lang w:val="en-GB"/>
              </w:rPr>
              <w:t xml:space="preserve">2) </w:t>
            </w:r>
            <w:r w:rsidR="00EB1F82" w:rsidRPr="00C53B7C">
              <w:rPr>
                <w:rFonts w:ascii="Calibri" w:hAnsi="Calibri"/>
                <w:iCs/>
                <w:szCs w:val="20"/>
              </w:rPr>
              <w:t xml:space="preserve">In </w:t>
            </w:r>
            <w:r w:rsidR="00225C9F" w:rsidRPr="00C53B7C">
              <w:rPr>
                <w:rFonts w:ascii="Calibri" w:hAnsi="Calibri"/>
                <w:iCs/>
                <w:szCs w:val="20"/>
              </w:rPr>
              <w:t>2020-</w:t>
            </w:r>
            <w:r w:rsidR="00EB1F82" w:rsidRPr="00C53B7C">
              <w:rPr>
                <w:rFonts w:ascii="Calibri" w:hAnsi="Calibri"/>
                <w:iCs/>
                <w:szCs w:val="20"/>
              </w:rPr>
              <w:t xml:space="preserve">2021 the CO </w:t>
            </w:r>
            <w:r w:rsidR="00225C9F" w:rsidRPr="00C53B7C">
              <w:rPr>
                <w:rFonts w:ascii="Calibri" w:hAnsi="Calibri"/>
                <w:iCs/>
                <w:szCs w:val="20"/>
              </w:rPr>
              <w:t>provided technical support to the MNR to develop a revised Local Content Policy and drafting of Local Content Regulations for</w:t>
            </w:r>
            <w:r w:rsidR="004F6600" w:rsidRPr="00C53B7C">
              <w:rPr>
                <w:rFonts w:ascii="Calibri" w:hAnsi="Calibri"/>
                <w:iCs/>
                <w:szCs w:val="20"/>
              </w:rPr>
              <w:t xml:space="preserve"> the</w:t>
            </w:r>
            <w:r w:rsidR="00225C9F" w:rsidRPr="00C53B7C">
              <w:rPr>
                <w:rFonts w:ascii="Calibri" w:hAnsi="Calibri"/>
                <w:iCs/>
                <w:szCs w:val="20"/>
              </w:rPr>
              <w:t xml:space="preserve"> oil and gas sector. Additionally the CO </w:t>
            </w:r>
            <w:r w:rsidR="00F27DA6" w:rsidRPr="00C53B7C">
              <w:rPr>
                <w:rFonts w:ascii="Calibri" w:hAnsi="Calibri"/>
                <w:iCs/>
                <w:szCs w:val="20"/>
              </w:rPr>
              <w:t xml:space="preserve">is </w:t>
            </w:r>
            <w:r w:rsidR="00EB1F82" w:rsidRPr="00C53B7C">
              <w:rPr>
                <w:rFonts w:ascii="Calibri" w:hAnsi="Calibri"/>
                <w:iCs/>
                <w:szCs w:val="20"/>
              </w:rPr>
              <w:t>provid</w:t>
            </w:r>
            <w:r w:rsidR="00F27DA6" w:rsidRPr="00C53B7C">
              <w:rPr>
                <w:rFonts w:ascii="Calibri" w:hAnsi="Calibri"/>
                <w:iCs/>
                <w:szCs w:val="20"/>
              </w:rPr>
              <w:t>ing</w:t>
            </w:r>
            <w:r w:rsidR="00225C9F" w:rsidRPr="00C53B7C">
              <w:rPr>
                <w:rFonts w:ascii="Calibri" w:hAnsi="Calibri"/>
                <w:iCs/>
                <w:szCs w:val="20"/>
              </w:rPr>
              <w:t xml:space="preserve"> further </w:t>
            </w:r>
            <w:r w:rsidR="00EB1F82" w:rsidRPr="00C53B7C">
              <w:rPr>
                <w:rFonts w:ascii="Calibri" w:hAnsi="Calibri"/>
                <w:iCs/>
                <w:szCs w:val="20"/>
              </w:rPr>
              <w:t xml:space="preserve">support to the MNR on </w:t>
            </w:r>
            <w:r w:rsidR="005519E6" w:rsidRPr="00C53B7C">
              <w:rPr>
                <w:rFonts w:ascii="Calibri" w:hAnsi="Calibri"/>
                <w:iCs/>
                <w:szCs w:val="20"/>
              </w:rPr>
              <w:t xml:space="preserve">development of </w:t>
            </w:r>
            <w:r w:rsidR="00EB1F82" w:rsidRPr="00C53B7C">
              <w:rPr>
                <w:rFonts w:ascii="Calibri" w:hAnsi="Calibri"/>
                <w:iCs/>
                <w:szCs w:val="20"/>
              </w:rPr>
              <w:t xml:space="preserve">its </w:t>
            </w:r>
            <w:r w:rsidR="005519E6" w:rsidRPr="00C53B7C">
              <w:rPr>
                <w:rFonts w:ascii="Calibri" w:hAnsi="Calibri"/>
                <w:iCs/>
                <w:szCs w:val="20"/>
              </w:rPr>
              <w:t xml:space="preserve">2022-2026 </w:t>
            </w:r>
            <w:r w:rsidR="00EB1F82" w:rsidRPr="00C53B7C">
              <w:rPr>
                <w:rFonts w:ascii="Calibri" w:hAnsi="Calibri"/>
                <w:iCs/>
                <w:szCs w:val="20"/>
              </w:rPr>
              <w:t xml:space="preserve">costed strategic plan to enable the effective management of natural resources including oil and gas, minerals and forests. </w:t>
            </w:r>
          </w:p>
          <w:p w14:paraId="4CC61EDC" w14:textId="77777777" w:rsidR="006E10AF" w:rsidRPr="00C53B7C" w:rsidRDefault="006E10AF" w:rsidP="00DE62C4">
            <w:pPr>
              <w:pStyle w:val="BodyText2"/>
              <w:jc w:val="both"/>
              <w:rPr>
                <w:rFonts w:ascii="Calibri" w:hAnsi="Calibri"/>
                <w:iCs/>
                <w:szCs w:val="20"/>
                <w:lang w:val="en-GB"/>
              </w:rPr>
            </w:pPr>
          </w:p>
          <w:p w14:paraId="0802176A" w14:textId="7663F6BE" w:rsidR="00B25C0C" w:rsidRPr="00C53B7C" w:rsidRDefault="0091432F" w:rsidP="00DE62C4">
            <w:pPr>
              <w:pStyle w:val="BodyText2"/>
              <w:jc w:val="both"/>
              <w:rPr>
                <w:rFonts w:ascii="Calibri" w:hAnsi="Calibri"/>
                <w:iCs/>
                <w:szCs w:val="20"/>
              </w:rPr>
            </w:pPr>
            <w:r w:rsidRPr="00C53B7C">
              <w:rPr>
                <w:rFonts w:ascii="Calibri" w:hAnsi="Calibri"/>
                <w:iCs/>
                <w:szCs w:val="20"/>
                <w:lang w:val="en-GB"/>
              </w:rPr>
              <w:t>(</w:t>
            </w:r>
            <w:r w:rsidR="006428DE" w:rsidRPr="00C53B7C">
              <w:rPr>
                <w:rFonts w:ascii="Calibri" w:hAnsi="Calibri"/>
                <w:iCs/>
                <w:szCs w:val="20"/>
                <w:lang w:val="en-GB"/>
              </w:rPr>
              <w:t xml:space="preserve">Output </w:t>
            </w:r>
            <w:r w:rsidRPr="00C53B7C">
              <w:rPr>
                <w:rFonts w:ascii="Calibri" w:hAnsi="Calibri"/>
                <w:iCs/>
                <w:szCs w:val="20"/>
                <w:lang w:val="en-GB"/>
              </w:rPr>
              <w:t xml:space="preserve">3) </w:t>
            </w:r>
            <w:r w:rsidR="00984C07" w:rsidRPr="00C53B7C">
              <w:rPr>
                <w:rFonts w:ascii="Calibri" w:hAnsi="Calibri"/>
                <w:iCs/>
                <w:szCs w:val="20"/>
              </w:rPr>
              <w:t>I</w:t>
            </w:r>
            <w:r w:rsidR="00C93AEC" w:rsidRPr="00C53B7C">
              <w:rPr>
                <w:rFonts w:ascii="Calibri" w:hAnsi="Calibri"/>
                <w:iCs/>
                <w:szCs w:val="20"/>
              </w:rPr>
              <w:t>nstitutional mechanisms address</w:t>
            </w:r>
            <w:r w:rsidR="00984C07" w:rsidRPr="00C53B7C">
              <w:rPr>
                <w:rFonts w:ascii="Calibri" w:hAnsi="Calibri"/>
                <w:iCs/>
                <w:szCs w:val="20"/>
              </w:rPr>
              <w:t>ing</w:t>
            </w:r>
            <w:r w:rsidR="00C93AEC" w:rsidRPr="00C53B7C">
              <w:rPr>
                <w:rFonts w:ascii="Calibri" w:hAnsi="Calibri"/>
                <w:iCs/>
                <w:szCs w:val="20"/>
              </w:rPr>
              <w:t xml:space="preserve"> management of chemicals, waste and contaminants</w:t>
            </w:r>
            <w:r w:rsidR="00984C07" w:rsidRPr="00C53B7C">
              <w:rPr>
                <w:rFonts w:ascii="Calibri" w:hAnsi="Calibri"/>
                <w:iCs/>
                <w:szCs w:val="20"/>
              </w:rPr>
              <w:t xml:space="preserve"> were supported via </w:t>
            </w:r>
            <w:r w:rsidR="00C93AEC" w:rsidRPr="00C53B7C">
              <w:rPr>
                <w:rFonts w:ascii="Calibri" w:hAnsi="Calibri"/>
                <w:iCs/>
                <w:szCs w:val="20"/>
              </w:rPr>
              <w:t>capacity building initiatives</w:t>
            </w:r>
            <w:r w:rsidR="00B25C0C" w:rsidRPr="00C53B7C">
              <w:rPr>
                <w:rFonts w:ascii="Calibri" w:hAnsi="Calibri"/>
                <w:iCs/>
                <w:szCs w:val="20"/>
              </w:rPr>
              <w:t xml:space="preserve"> for staff at the relevant national institutions </w:t>
            </w:r>
            <w:r w:rsidR="005519E6" w:rsidRPr="00C53B7C">
              <w:rPr>
                <w:rFonts w:ascii="Calibri" w:hAnsi="Calibri"/>
                <w:iCs/>
                <w:szCs w:val="20"/>
              </w:rPr>
              <w:t xml:space="preserve">through </w:t>
            </w:r>
            <w:r w:rsidR="00984C07" w:rsidRPr="00C53B7C">
              <w:rPr>
                <w:rFonts w:ascii="Calibri" w:hAnsi="Calibri"/>
                <w:iCs/>
                <w:szCs w:val="20"/>
              </w:rPr>
              <w:t xml:space="preserve">the </w:t>
            </w:r>
            <w:r w:rsidR="00C93AEC" w:rsidRPr="00C53B7C">
              <w:rPr>
                <w:rFonts w:ascii="Calibri" w:hAnsi="Calibri"/>
                <w:iCs/>
                <w:szCs w:val="20"/>
              </w:rPr>
              <w:t>Kigali Amendment to the Montreal protocol</w:t>
            </w:r>
            <w:r w:rsidR="00B25C0C" w:rsidRPr="00C53B7C">
              <w:rPr>
                <w:rFonts w:ascii="Calibri" w:hAnsi="Calibri"/>
                <w:iCs/>
                <w:szCs w:val="20"/>
              </w:rPr>
              <w:t>, on topics related to ozone depleting substances (ODS) in the refrigerant, air conditioning and cooling sector, like the use of alternative substances for refrigeration and reporting/licensing requirements</w:t>
            </w:r>
            <w:r w:rsidR="00C93AEC" w:rsidRPr="00C53B7C">
              <w:rPr>
                <w:rFonts w:ascii="Calibri" w:hAnsi="Calibri"/>
                <w:iCs/>
                <w:szCs w:val="20"/>
              </w:rPr>
              <w:t xml:space="preserve">. </w:t>
            </w:r>
          </w:p>
          <w:p w14:paraId="2E241E4F" w14:textId="77777777" w:rsidR="00B25C0C" w:rsidRPr="00C53B7C" w:rsidRDefault="00B25C0C" w:rsidP="00DE62C4">
            <w:pPr>
              <w:pStyle w:val="BodyText2"/>
              <w:jc w:val="both"/>
              <w:rPr>
                <w:rFonts w:ascii="Calibri" w:hAnsi="Calibri"/>
                <w:iCs/>
                <w:szCs w:val="20"/>
              </w:rPr>
            </w:pPr>
          </w:p>
          <w:p w14:paraId="17FBF263" w14:textId="6F696DDB" w:rsidR="00C93AEC" w:rsidRPr="00C53B7C" w:rsidRDefault="00B25C0C" w:rsidP="00DE62C4">
            <w:pPr>
              <w:pStyle w:val="BodyText2"/>
              <w:jc w:val="both"/>
              <w:rPr>
                <w:rFonts w:ascii="Calibri" w:hAnsi="Calibri"/>
                <w:iCs/>
                <w:szCs w:val="20"/>
              </w:rPr>
            </w:pPr>
            <w:r w:rsidRPr="00C53B7C">
              <w:rPr>
                <w:rFonts w:ascii="Calibri" w:hAnsi="Calibri"/>
                <w:iCs/>
                <w:szCs w:val="20"/>
              </w:rPr>
              <w:t xml:space="preserve">Related to gender inclusive job creation schemes, a new course on Refrigerant Management was </w:t>
            </w:r>
            <w:r w:rsidR="00B80E8A" w:rsidRPr="00C53B7C">
              <w:rPr>
                <w:rFonts w:ascii="Calibri" w:hAnsi="Calibri"/>
                <w:iCs/>
                <w:szCs w:val="20"/>
              </w:rPr>
              <w:t xml:space="preserve">tailored for the </w:t>
            </w:r>
            <w:r w:rsidRPr="00C53B7C">
              <w:rPr>
                <w:rFonts w:ascii="Calibri" w:hAnsi="Calibri"/>
                <w:iCs/>
                <w:szCs w:val="20"/>
              </w:rPr>
              <w:t>Fa</w:t>
            </w:r>
            <w:r w:rsidR="00B80E8A" w:rsidRPr="00C53B7C">
              <w:rPr>
                <w:rFonts w:ascii="Calibri" w:hAnsi="Calibri"/>
                <w:iCs/>
                <w:szCs w:val="20"/>
              </w:rPr>
              <w:t>c</w:t>
            </w:r>
            <w:r w:rsidRPr="00C53B7C">
              <w:rPr>
                <w:rFonts w:ascii="Calibri" w:hAnsi="Calibri"/>
                <w:iCs/>
                <w:szCs w:val="20"/>
              </w:rPr>
              <w:t xml:space="preserve">ulty of Technology, University of Guyana (UG) </w:t>
            </w:r>
            <w:r w:rsidR="00B80E8A" w:rsidRPr="00C53B7C">
              <w:rPr>
                <w:rFonts w:ascii="Calibri" w:hAnsi="Calibri"/>
                <w:iCs/>
                <w:szCs w:val="20"/>
              </w:rPr>
              <w:t xml:space="preserve">for electrical and mechanical engineering </w:t>
            </w:r>
            <w:r w:rsidRPr="00C53B7C">
              <w:rPr>
                <w:rFonts w:ascii="Calibri" w:hAnsi="Calibri"/>
                <w:iCs/>
                <w:szCs w:val="20"/>
              </w:rPr>
              <w:t xml:space="preserve">graduates </w:t>
            </w:r>
            <w:r w:rsidR="00B80E8A" w:rsidRPr="00C53B7C">
              <w:rPr>
                <w:rFonts w:ascii="Calibri" w:hAnsi="Calibri"/>
                <w:iCs/>
                <w:szCs w:val="20"/>
              </w:rPr>
              <w:t xml:space="preserve">and </w:t>
            </w:r>
            <w:r w:rsidRPr="00C53B7C">
              <w:rPr>
                <w:rFonts w:ascii="Calibri" w:hAnsi="Calibri"/>
                <w:iCs/>
                <w:szCs w:val="20"/>
              </w:rPr>
              <w:t xml:space="preserve">industry professionals who wish to </w:t>
            </w:r>
            <w:r w:rsidR="00B80E8A" w:rsidRPr="00C53B7C">
              <w:rPr>
                <w:rFonts w:ascii="Calibri" w:hAnsi="Calibri"/>
                <w:iCs/>
                <w:szCs w:val="20"/>
              </w:rPr>
              <w:t xml:space="preserve">gain qualifications on </w:t>
            </w:r>
            <w:r w:rsidRPr="00C53B7C">
              <w:rPr>
                <w:rFonts w:ascii="Calibri" w:hAnsi="Calibri"/>
                <w:iCs/>
                <w:szCs w:val="20"/>
              </w:rPr>
              <w:t xml:space="preserve">current refrigerants </w:t>
            </w:r>
            <w:r w:rsidR="00B80E8A" w:rsidRPr="00C53B7C">
              <w:rPr>
                <w:rFonts w:ascii="Calibri" w:hAnsi="Calibri"/>
                <w:iCs/>
                <w:szCs w:val="20"/>
              </w:rPr>
              <w:t xml:space="preserve">and </w:t>
            </w:r>
            <w:r w:rsidRPr="00C53B7C">
              <w:rPr>
                <w:rFonts w:ascii="Calibri" w:hAnsi="Calibri"/>
                <w:iCs/>
                <w:szCs w:val="20"/>
              </w:rPr>
              <w:t xml:space="preserve">environmental impacts. </w:t>
            </w:r>
            <w:r w:rsidR="00B80E8A" w:rsidRPr="00C53B7C">
              <w:rPr>
                <w:rFonts w:ascii="Calibri" w:hAnsi="Calibri"/>
                <w:iCs/>
                <w:szCs w:val="20"/>
              </w:rPr>
              <w:t>Three professional technical i</w:t>
            </w:r>
            <w:r w:rsidRPr="00C53B7C">
              <w:rPr>
                <w:rFonts w:ascii="Calibri" w:hAnsi="Calibri"/>
                <w:iCs/>
                <w:szCs w:val="20"/>
              </w:rPr>
              <w:t>nstitutions</w:t>
            </w:r>
            <w:r w:rsidR="00B80E8A" w:rsidRPr="00C53B7C">
              <w:rPr>
                <w:rFonts w:ascii="Calibri" w:hAnsi="Calibri"/>
                <w:iCs/>
                <w:szCs w:val="20"/>
              </w:rPr>
              <w:t xml:space="preserve"> (</w:t>
            </w:r>
            <w:r w:rsidRPr="00C53B7C">
              <w:rPr>
                <w:rFonts w:ascii="Calibri" w:hAnsi="Calibri"/>
                <w:iCs/>
                <w:szCs w:val="20"/>
              </w:rPr>
              <w:t>Government Technical Institute, Sophia Training Centre and Essequibo Training Institute</w:t>
            </w:r>
            <w:r w:rsidR="00B80E8A" w:rsidRPr="00C53B7C">
              <w:rPr>
                <w:rFonts w:ascii="Calibri" w:hAnsi="Calibri"/>
                <w:iCs/>
                <w:szCs w:val="20"/>
              </w:rPr>
              <w:t xml:space="preserve">) receive support to enhance their  </w:t>
            </w:r>
            <w:r w:rsidRPr="00C53B7C">
              <w:rPr>
                <w:rFonts w:ascii="Calibri" w:hAnsi="Calibri"/>
                <w:iCs/>
                <w:szCs w:val="20"/>
              </w:rPr>
              <w:t xml:space="preserve">refrigeration and air conditioning training. </w:t>
            </w:r>
            <w:r w:rsidR="00B80E8A" w:rsidRPr="00C53B7C">
              <w:rPr>
                <w:rFonts w:ascii="Calibri" w:hAnsi="Calibri"/>
                <w:iCs/>
                <w:szCs w:val="20"/>
              </w:rPr>
              <w:t xml:space="preserve">In addition, Guyana participated in a regional exchange of experiences on institutional arrangements, initiatives, data collection and reporting, etc. on Hydrofluorocarbons (HFC) phase-down strategies. These new options </w:t>
            </w:r>
            <w:r w:rsidR="00B01DE4" w:rsidRPr="00C53B7C">
              <w:rPr>
                <w:rFonts w:ascii="Calibri" w:hAnsi="Calibri"/>
                <w:iCs/>
                <w:szCs w:val="20"/>
              </w:rPr>
              <w:t>are expected to make</w:t>
            </w:r>
            <w:r w:rsidR="00B80E8A" w:rsidRPr="00C53B7C">
              <w:rPr>
                <w:rFonts w:ascii="Calibri" w:hAnsi="Calibri"/>
                <w:iCs/>
                <w:szCs w:val="20"/>
              </w:rPr>
              <w:t xml:space="preserve"> male and female participants more marketable </w:t>
            </w:r>
            <w:r w:rsidR="00B01DE4" w:rsidRPr="00C53B7C">
              <w:rPr>
                <w:rFonts w:ascii="Calibri" w:hAnsi="Calibri"/>
                <w:iCs/>
                <w:szCs w:val="20"/>
              </w:rPr>
              <w:t xml:space="preserve">for </w:t>
            </w:r>
            <w:r w:rsidR="00B80E8A" w:rsidRPr="00C53B7C">
              <w:rPr>
                <w:rFonts w:ascii="Calibri" w:hAnsi="Calibri"/>
                <w:iCs/>
                <w:szCs w:val="20"/>
              </w:rPr>
              <w:t>employment in th</w:t>
            </w:r>
            <w:r w:rsidR="00B01DE4" w:rsidRPr="00C53B7C">
              <w:rPr>
                <w:rFonts w:ascii="Calibri" w:hAnsi="Calibri"/>
                <w:iCs/>
                <w:szCs w:val="20"/>
              </w:rPr>
              <w:t>e refrigeration sector</w:t>
            </w:r>
            <w:r w:rsidR="00B80E8A" w:rsidRPr="00C53B7C">
              <w:rPr>
                <w:rFonts w:ascii="Calibri" w:hAnsi="Calibri"/>
                <w:iCs/>
                <w:szCs w:val="20"/>
              </w:rPr>
              <w:t>.</w:t>
            </w:r>
          </w:p>
          <w:p w14:paraId="3B90AF88" w14:textId="0BBE00C7" w:rsidR="00070E32" w:rsidRPr="00C53B7C" w:rsidRDefault="00070E32" w:rsidP="00DE62C4">
            <w:pPr>
              <w:pStyle w:val="BodyText2"/>
              <w:jc w:val="both"/>
              <w:rPr>
                <w:rFonts w:ascii="Calibri" w:hAnsi="Calibri"/>
                <w:iCs/>
                <w:szCs w:val="20"/>
              </w:rPr>
            </w:pPr>
          </w:p>
          <w:p w14:paraId="52A01A76" w14:textId="1718FA23" w:rsidR="0091432F" w:rsidRPr="00C53B7C" w:rsidRDefault="0091432F" w:rsidP="00DE62C4">
            <w:pPr>
              <w:pStyle w:val="BodyText2"/>
              <w:jc w:val="both"/>
              <w:rPr>
                <w:rFonts w:ascii="Calibri" w:hAnsi="Calibri"/>
                <w:iCs/>
                <w:szCs w:val="20"/>
                <w:u w:val="single"/>
                <w:lang w:val="en-GB"/>
              </w:rPr>
            </w:pPr>
            <w:r w:rsidRPr="00C53B7C">
              <w:rPr>
                <w:rFonts w:ascii="Calibri" w:hAnsi="Calibri"/>
                <w:iCs/>
                <w:szCs w:val="20"/>
                <w:u w:val="single"/>
                <w:lang w:val="en-GB"/>
              </w:rPr>
              <w:t>Limitations</w:t>
            </w:r>
          </w:p>
          <w:p w14:paraId="5E587E51" w14:textId="77777777" w:rsidR="0091432F" w:rsidRPr="00C53B7C" w:rsidRDefault="0091432F" w:rsidP="00DE62C4">
            <w:pPr>
              <w:pStyle w:val="BodyText2"/>
              <w:autoSpaceDE/>
              <w:autoSpaceDN/>
              <w:adjustRightInd/>
              <w:jc w:val="both"/>
              <w:rPr>
                <w:rFonts w:ascii="Calibri" w:hAnsi="Calibri"/>
                <w:iCs/>
                <w:szCs w:val="20"/>
              </w:rPr>
            </w:pPr>
          </w:p>
          <w:p w14:paraId="0391A753" w14:textId="08F2CE11" w:rsidR="0091432F" w:rsidRPr="00C53B7C" w:rsidRDefault="0091432F" w:rsidP="00DE62C4">
            <w:pPr>
              <w:pStyle w:val="BodyText2"/>
              <w:autoSpaceDE/>
              <w:autoSpaceDN/>
              <w:adjustRightInd/>
              <w:jc w:val="both"/>
              <w:rPr>
                <w:rFonts w:ascii="Calibri" w:hAnsi="Calibri"/>
                <w:iCs/>
                <w:szCs w:val="20"/>
              </w:rPr>
            </w:pPr>
            <w:r w:rsidRPr="00C53B7C">
              <w:rPr>
                <w:rFonts w:ascii="Calibri" w:hAnsi="Calibri"/>
                <w:iCs/>
                <w:szCs w:val="20"/>
              </w:rPr>
              <w:t xml:space="preserve">There were delays on </w:t>
            </w:r>
            <w:r w:rsidR="00EB1F82" w:rsidRPr="00C53B7C">
              <w:rPr>
                <w:rFonts w:ascii="Calibri" w:hAnsi="Calibri"/>
                <w:iCs/>
                <w:szCs w:val="20"/>
              </w:rPr>
              <w:t>identification of actions related to oil/gas regulations</w:t>
            </w:r>
            <w:r w:rsidR="00C93AEC" w:rsidRPr="00C53B7C">
              <w:rPr>
                <w:rFonts w:ascii="Calibri" w:hAnsi="Calibri"/>
                <w:iCs/>
                <w:szCs w:val="20"/>
              </w:rPr>
              <w:t xml:space="preserve">, as well as </w:t>
            </w:r>
            <w:r w:rsidRPr="00C53B7C">
              <w:rPr>
                <w:rFonts w:ascii="Calibri" w:hAnsi="Calibri"/>
                <w:iCs/>
                <w:szCs w:val="20"/>
              </w:rPr>
              <w:t>lack of funding</w:t>
            </w:r>
            <w:r w:rsidR="000D442A" w:rsidRPr="00C53B7C">
              <w:rPr>
                <w:rFonts w:ascii="Calibri" w:hAnsi="Calibri"/>
                <w:iCs/>
                <w:szCs w:val="20"/>
              </w:rPr>
              <w:t>,</w:t>
            </w:r>
            <w:r w:rsidR="00C93AEC" w:rsidRPr="00C53B7C">
              <w:rPr>
                <w:rFonts w:ascii="Calibri" w:hAnsi="Calibri"/>
                <w:iCs/>
                <w:szCs w:val="20"/>
              </w:rPr>
              <w:t xml:space="preserve"> which hindered progress</w:t>
            </w:r>
            <w:r w:rsidR="00EB1F82" w:rsidRPr="00C53B7C">
              <w:rPr>
                <w:rFonts w:ascii="Calibri" w:hAnsi="Calibri"/>
                <w:iCs/>
                <w:szCs w:val="20"/>
              </w:rPr>
              <w:t>. Only in December 2020</w:t>
            </w:r>
            <w:r w:rsidR="006E10AF" w:rsidRPr="00C53B7C">
              <w:rPr>
                <w:rFonts w:ascii="Calibri" w:hAnsi="Calibri"/>
                <w:iCs/>
                <w:szCs w:val="20"/>
              </w:rPr>
              <w:t>,</w:t>
            </w:r>
            <w:r w:rsidR="00EB1F82" w:rsidRPr="00C53B7C">
              <w:rPr>
                <w:rFonts w:ascii="Calibri" w:hAnsi="Calibri"/>
                <w:iCs/>
                <w:szCs w:val="20"/>
              </w:rPr>
              <w:t xml:space="preserve"> </w:t>
            </w:r>
            <w:r w:rsidR="006E10AF" w:rsidRPr="00C53B7C">
              <w:rPr>
                <w:rFonts w:ascii="Calibri" w:hAnsi="Calibri"/>
                <w:iCs/>
                <w:szCs w:val="20"/>
              </w:rPr>
              <w:t xml:space="preserve">after the MNR </w:t>
            </w:r>
            <w:proofErr w:type="spellStart"/>
            <w:r w:rsidR="006E10AF" w:rsidRPr="00C53B7C">
              <w:rPr>
                <w:rFonts w:ascii="Calibri" w:hAnsi="Calibri"/>
                <w:iCs/>
                <w:szCs w:val="20"/>
              </w:rPr>
              <w:t>assessed</w:t>
            </w:r>
            <w:proofErr w:type="spellEnd"/>
            <w:r w:rsidR="006E10AF" w:rsidRPr="00C53B7C">
              <w:rPr>
                <w:rFonts w:ascii="Calibri" w:hAnsi="Calibri"/>
                <w:iCs/>
                <w:szCs w:val="20"/>
              </w:rPr>
              <w:t xml:space="preserve"> and communicated its needs on this area</w:t>
            </w:r>
            <w:r w:rsidR="005519E6" w:rsidRPr="00C53B7C">
              <w:rPr>
                <w:rFonts w:ascii="Calibri" w:hAnsi="Calibri"/>
                <w:iCs/>
                <w:szCs w:val="20"/>
              </w:rPr>
              <w:t xml:space="preserve"> and funding was mobilised</w:t>
            </w:r>
            <w:r w:rsidR="006E10AF" w:rsidRPr="00C53B7C">
              <w:rPr>
                <w:rFonts w:ascii="Calibri" w:hAnsi="Calibri"/>
                <w:iCs/>
                <w:szCs w:val="20"/>
              </w:rPr>
              <w:t>,</w:t>
            </w:r>
            <w:r w:rsidR="00EB1F82" w:rsidRPr="00C53B7C">
              <w:rPr>
                <w:rFonts w:ascii="Calibri" w:hAnsi="Calibri"/>
                <w:iCs/>
                <w:szCs w:val="20"/>
              </w:rPr>
              <w:t xml:space="preserve"> was </w:t>
            </w:r>
            <w:r w:rsidR="005519E6" w:rsidRPr="00C53B7C">
              <w:rPr>
                <w:rFonts w:ascii="Calibri" w:hAnsi="Calibri"/>
                <w:iCs/>
                <w:szCs w:val="20"/>
              </w:rPr>
              <w:t xml:space="preserve">it </w:t>
            </w:r>
            <w:r w:rsidR="00EB1F82" w:rsidRPr="00C53B7C">
              <w:rPr>
                <w:rFonts w:ascii="Calibri" w:hAnsi="Calibri"/>
                <w:iCs/>
                <w:szCs w:val="20"/>
              </w:rPr>
              <w:t xml:space="preserve">possible to </w:t>
            </w:r>
            <w:r w:rsidR="006E10AF" w:rsidRPr="00C53B7C">
              <w:rPr>
                <w:rFonts w:ascii="Calibri" w:hAnsi="Calibri"/>
                <w:iCs/>
                <w:szCs w:val="20"/>
              </w:rPr>
              <w:t xml:space="preserve">start </w:t>
            </w:r>
            <w:r w:rsidR="00EB1F82" w:rsidRPr="00C53B7C">
              <w:rPr>
                <w:rFonts w:ascii="Calibri" w:hAnsi="Calibri"/>
                <w:iCs/>
                <w:szCs w:val="20"/>
              </w:rPr>
              <w:t>provid</w:t>
            </w:r>
            <w:r w:rsidR="006E10AF" w:rsidRPr="00C53B7C">
              <w:rPr>
                <w:rFonts w:ascii="Calibri" w:hAnsi="Calibri"/>
                <w:iCs/>
                <w:szCs w:val="20"/>
              </w:rPr>
              <w:t>ing</w:t>
            </w:r>
            <w:r w:rsidR="00EB1F82" w:rsidRPr="00C53B7C">
              <w:rPr>
                <w:rFonts w:ascii="Calibri" w:hAnsi="Calibri"/>
                <w:iCs/>
                <w:szCs w:val="20"/>
              </w:rPr>
              <w:t xml:space="preserve"> support on local content policy and associated legislative framework. </w:t>
            </w:r>
          </w:p>
          <w:p w14:paraId="1C8A07D2" w14:textId="77777777" w:rsidR="0091432F" w:rsidRPr="00C53B7C" w:rsidRDefault="0091432F" w:rsidP="00E2222D">
            <w:pPr>
              <w:pStyle w:val="BodyText2"/>
              <w:rPr>
                <w:rFonts w:ascii="Calibri" w:hAnsi="Calibri"/>
                <w:iCs/>
                <w:szCs w:val="20"/>
              </w:rPr>
            </w:pPr>
          </w:p>
          <w:p w14:paraId="0EDA3925" w14:textId="6803A461" w:rsidR="00C93AEC" w:rsidRPr="00C53B7C" w:rsidRDefault="00C93AEC" w:rsidP="00DE62C4">
            <w:pPr>
              <w:pStyle w:val="BodyText2"/>
              <w:autoSpaceDE/>
              <w:autoSpaceDN/>
              <w:adjustRightInd/>
              <w:jc w:val="both"/>
              <w:rPr>
                <w:rFonts w:ascii="Calibri" w:hAnsi="Calibri"/>
                <w:iCs/>
                <w:szCs w:val="20"/>
              </w:rPr>
            </w:pPr>
            <w:r w:rsidRPr="00C53B7C">
              <w:rPr>
                <w:rFonts w:ascii="Calibri" w:hAnsi="Calibri"/>
                <w:iCs/>
                <w:szCs w:val="20"/>
              </w:rPr>
              <w:t>Some advances on institutional mechanisms addressing management of chemicals</w:t>
            </w:r>
            <w:r w:rsidR="00BB7617" w:rsidRPr="00C53B7C">
              <w:rPr>
                <w:rFonts w:ascii="Calibri" w:hAnsi="Calibri"/>
                <w:iCs/>
                <w:szCs w:val="20"/>
              </w:rPr>
              <w:t>,</w:t>
            </w:r>
            <w:r w:rsidRPr="00C53B7C">
              <w:rPr>
                <w:rFonts w:ascii="Calibri" w:hAnsi="Calibri"/>
                <w:iCs/>
                <w:szCs w:val="20"/>
              </w:rPr>
              <w:t xml:space="preserve"> waste</w:t>
            </w:r>
            <w:r w:rsidR="00BB7617" w:rsidRPr="00C53B7C">
              <w:rPr>
                <w:rFonts w:ascii="Calibri" w:hAnsi="Calibri"/>
                <w:iCs/>
                <w:szCs w:val="20"/>
              </w:rPr>
              <w:t>s</w:t>
            </w:r>
            <w:r w:rsidRPr="00C53B7C">
              <w:rPr>
                <w:rFonts w:ascii="Calibri" w:hAnsi="Calibri"/>
                <w:iCs/>
                <w:szCs w:val="20"/>
              </w:rPr>
              <w:t xml:space="preserve"> and contaminants were pushed back due to setbacks in the signing of Project Documents and Letters of Agreement as a consequence of the</w:t>
            </w:r>
            <w:r w:rsidR="00B01DE4" w:rsidRPr="00C53B7C">
              <w:rPr>
                <w:rFonts w:ascii="Calibri" w:hAnsi="Calibri"/>
                <w:iCs/>
                <w:szCs w:val="20"/>
              </w:rPr>
              <w:t xml:space="preserve"> uncertain political climate prevailing since the end of 2018</w:t>
            </w:r>
            <w:r w:rsidR="0084288D" w:rsidRPr="00C53B7C">
              <w:rPr>
                <w:rFonts w:ascii="Calibri" w:hAnsi="Calibri"/>
                <w:iCs/>
                <w:szCs w:val="20"/>
              </w:rPr>
              <w:t xml:space="preserve"> earlier described</w:t>
            </w:r>
            <w:r w:rsidRPr="00C53B7C">
              <w:rPr>
                <w:rFonts w:ascii="Calibri" w:hAnsi="Calibri"/>
                <w:iCs/>
                <w:szCs w:val="20"/>
              </w:rPr>
              <w:t xml:space="preserve">. </w:t>
            </w:r>
            <w:r w:rsidR="00782F08" w:rsidRPr="00C53B7C">
              <w:rPr>
                <w:rFonts w:ascii="Calibri" w:hAnsi="Calibri"/>
                <w:iCs/>
                <w:szCs w:val="20"/>
              </w:rPr>
              <w:t>For example, i</w:t>
            </w:r>
            <w:r w:rsidRPr="00C53B7C">
              <w:rPr>
                <w:rFonts w:ascii="Calibri" w:hAnsi="Calibri"/>
                <w:iCs/>
                <w:szCs w:val="20"/>
              </w:rPr>
              <w:t xml:space="preserve">t affected </w:t>
            </w:r>
            <w:r w:rsidRPr="00C53B7C">
              <w:rPr>
                <w:rFonts w:ascii="Calibri" w:hAnsi="Calibri"/>
                <w:iCs/>
                <w:szCs w:val="20"/>
              </w:rPr>
              <w:lastRenderedPageBreak/>
              <w:t xml:space="preserve">interventions on strengthening the regulatory framework and institutional capacity for the management of small-scale gold mining and promotion of greater adoption of environmentally responsible mining techniques, as well as for recovery equipment to address </w:t>
            </w:r>
            <w:r w:rsidR="000140FC" w:rsidRPr="00C53B7C">
              <w:rPr>
                <w:rFonts w:ascii="Calibri" w:hAnsi="Calibri"/>
                <w:iCs/>
                <w:szCs w:val="20"/>
              </w:rPr>
              <w:t>Ozone Depleting Substances</w:t>
            </w:r>
            <w:r w:rsidRPr="00C53B7C">
              <w:rPr>
                <w:rFonts w:ascii="Calibri" w:hAnsi="Calibri"/>
                <w:iCs/>
                <w:szCs w:val="20"/>
              </w:rPr>
              <w:t xml:space="preserve">. </w:t>
            </w:r>
          </w:p>
          <w:p w14:paraId="64F2B504" w14:textId="1A59699F" w:rsidR="003B11CB" w:rsidRPr="00C53B7C" w:rsidRDefault="003B11CB" w:rsidP="003F4D86">
            <w:pPr>
              <w:pStyle w:val="BodyText2"/>
              <w:rPr>
                <w:rFonts w:ascii="Calibri" w:hAnsi="Calibri"/>
                <w:szCs w:val="20"/>
                <w:u w:val="single"/>
              </w:rPr>
            </w:pPr>
          </w:p>
        </w:tc>
      </w:tr>
      <w:bookmarkEnd w:id="1"/>
      <w:tr w:rsidR="003B11CB" w:rsidRPr="00C53B7C" w14:paraId="3C6BDA24" w14:textId="77777777" w:rsidTr="00B80E8A">
        <w:tc>
          <w:tcPr>
            <w:tcW w:w="14040" w:type="dxa"/>
            <w:gridSpan w:val="4"/>
          </w:tcPr>
          <w:p w14:paraId="6CF2DF42" w14:textId="75016E69" w:rsidR="003B11CB" w:rsidRPr="00C53B7C" w:rsidRDefault="003B11CB" w:rsidP="003F4D86">
            <w:pPr>
              <w:pStyle w:val="BodyText2"/>
              <w:jc w:val="center"/>
              <w:rPr>
                <w:rFonts w:ascii="Calibri" w:hAnsi="Calibri"/>
                <w:b/>
                <w:szCs w:val="20"/>
              </w:rPr>
            </w:pPr>
          </w:p>
        </w:tc>
      </w:tr>
      <w:tr w:rsidR="00CD4017" w:rsidRPr="00C53B7C" w14:paraId="0E013EEB" w14:textId="77777777" w:rsidTr="00B80E8A">
        <w:tc>
          <w:tcPr>
            <w:tcW w:w="3060" w:type="dxa"/>
            <w:shd w:val="clear" w:color="auto" w:fill="8EAADB"/>
          </w:tcPr>
          <w:p w14:paraId="007B880C" w14:textId="04C2F20F" w:rsidR="00CD4017" w:rsidRPr="00C53B7C" w:rsidRDefault="00CD4017" w:rsidP="008526F3">
            <w:pPr>
              <w:pStyle w:val="BodyText2"/>
              <w:rPr>
                <w:rFonts w:ascii="Times New Roman" w:hAnsi="Times New Roman"/>
                <w:b/>
                <w:szCs w:val="20"/>
              </w:rPr>
            </w:pPr>
            <w:r w:rsidRPr="00C53B7C">
              <w:rPr>
                <w:rFonts w:ascii="Calibri" w:hAnsi="Calibri"/>
                <w:b/>
                <w:bCs/>
                <w:szCs w:val="20"/>
                <w:lang w:val="en-GB"/>
              </w:rPr>
              <w:t>4. Equitable access to justice, protection, citizen security and safety reinforced (MSDCF Outcome 4)</w:t>
            </w:r>
          </w:p>
        </w:tc>
        <w:tc>
          <w:tcPr>
            <w:tcW w:w="1530" w:type="dxa"/>
            <w:shd w:val="clear" w:color="auto" w:fill="auto"/>
          </w:tcPr>
          <w:p w14:paraId="230E3A37" w14:textId="10BDCED0" w:rsidR="009652CD" w:rsidRPr="00C53B7C" w:rsidRDefault="009652CD" w:rsidP="00CD4017">
            <w:pPr>
              <w:pStyle w:val="BodyText2"/>
              <w:rPr>
                <w:rFonts w:asciiTheme="minorHAnsi" w:hAnsiTheme="minorHAnsi" w:cstheme="minorHAnsi"/>
                <w:szCs w:val="20"/>
              </w:rPr>
            </w:pPr>
            <w:r w:rsidRPr="00C53B7C">
              <w:rPr>
                <w:rFonts w:asciiTheme="minorHAnsi" w:hAnsiTheme="minorHAnsi" w:cstheme="minorHAnsi"/>
                <w:szCs w:val="20"/>
              </w:rPr>
              <w:t>$7.3</w:t>
            </w:r>
            <w:r w:rsidR="00121F6A" w:rsidRPr="00C53B7C">
              <w:rPr>
                <w:rFonts w:asciiTheme="minorHAnsi" w:hAnsiTheme="minorHAnsi" w:cstheme="minorHAnsi"/>
                <w:szCs w:val="20"/>
              </w:rPr>
              <w:t>7</w:t>
            </w:r>
            <w:r w:rsidRPr="00C53B7C">
              <w:rPr>
                <w:rFonts w:asciiTheme="minorHAnsi" w:hAnsiTheme="minorHAnsi" w:cstheme="minorHAnsi"/>
                <w:szCs w:val="20"/>
              </w:rPr>
              <w:t>M</w:t>
            </w:r>
          </w:p>
        </w:tc>
        <w:tc>
          <w:tcPr>
            <w:tcW w:w="3960" w:type="dxa"/>
            <w:tcBorders>
              <w:left w:val="single" w:sz="4" w:space="0" w:color="auto"/>
            </w:tcBorders>
          </w:tcPr>
          <w:p w14:paraId="57461A6F" w14:textId="17963B2B"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a. Percentage reduction in number of victims of intentional homicide per 100,000</w:t>
            </w:r>
          </w:p>
          <w:p w14:paraId="3770E685" w14:textId="77777777"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Baseline: 0</w:t>
            </w:r>
          </w:p>
          <w:p w14:paraId="01486020" w14:textId="77777777"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Target: (under analysis)</w:t>
            </w:r>
          </w:p>
          <w:p w14:paraId="509C5D01" w14:textId="77777777" w:rsidR="00CD4017" w:rsidRPr="00C53B7C" w:rsidRDefault="00CD4017" w:rsidP="00CD4017">
            <w:pPr>
              <w:pStyle w:val="BodyText2"/>
              <w:rPr>
                <w:rFonts w:asciiTheme="minorHAnsi" w:hAnsiTheme="minorHAnsi" w:cstheme="minorHAnsi"/>
                <w:i/>
                <w:iCs/>
                <w:szCs w:val="20"/>
              </w:rPr>
            </w:pPr>
          </w:p>
          <w:p w14:paraId="7983E0CF" w14:textId="59037880"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b. Percentage reduction in the number of women and men reporting experiences of physical and sexual violence</w:t>
            </w:r>
          </w:p>
          <w:p w14:paraId="53546DA5" w14:textId="77777777"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 xml:space="preserve">Baseline: 0 </w:t>
            </w:r>
          </w:p>
          <w:p w14:paraId="68FF23F0" w14:textId="77777777"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Target: (under analysis)</w:t>
            </w:r>
          </w:p>
          <w:p w14:paraId="1F129597" w14:textId="77777777" w:rsidR="00CD4017" w:rsidRPr="00C53B7C" w:rsidRDefault="00CD4017" w:rsidP="00CD4017">
            <w:pPr>
              <w:pStyle w:val="BodyText2"/>
              <w:rPr>
                <w:rFonts w:asciiTheme="minorHAnsi" w:hAnsiTheme="minorHAnsi" w:cstheme="minorHAnsi"/>
                <w:i/>
                <w:iCs/>
                <w:szCs w:val="20"/>
              </w:rPr>
            </w:pPr>
          </w:p>
          <w:p w14:paraId="27018ECF" w14:textId="1825406C"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 xml:space="preserve">c. Level of public confidence in delivery of basic services </w:t>
            </w:r>
          </w:p>
          <w:p w14:paraId="01D06396" w14:textId="5D886FA4"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 xml:space="preserve">Baseline: </w:t>
            </w:r>
            <w:r w:rsidR="00DE62C4" w:rsidRPr="00C53B7C">
              <w:rPr>
                <w:rFonts w:asciiTheme="minorHAnsi" w:hAnsiTheme="minorHAnsi" w:cstheme="minorHAnsi"/>
                <w:i/>
                <w:iCs/>
                <w:szCs w:val="20"/>
              </w:rPr>
              <w:t>0</w:t>
            </w:r>
          </w:p>
          <w:p w14:paraId="5C325D84" w14:textId="0579268F" w:rsidR="00CD4017" w:rsidRPr="00C53B7C" w:rsidRDefault="00CD4017" w:rsidP="00CD4017">
            <w:pPr>
              <w:pStyle w:val="BodyText2"/>
              <w:rPr>
                <w:rFonts w:asciiTheme="minorHAnsi" w:hAnsiTheme="minorHAnsi" w:cstheme="minorHAnsi"/>
                <w:i/>
                <w:iCs/>
                <w:szCs w:val="20"/>
              </w:rPr>
            </w:pPr>
            <w:r w:rsidRPr="00C53B7C">
              <w:rPr>
                <w:rFonts w:asciiTheme="minorHAnsi" w:hAnsiTheme="minorHAnsi" w:cstheme="minorHAnsi"/>
                <w:i/>
                <w:iCs/>
                <w:szCs w:val="20"/>
              </w:rPr>
              <w:t xml:space="preserve">Target: </w:t>
            </w:r>
            <w:r w:rsidR="00DE62C4" w:rsidRPr="00C53B7C">
              <w:rPr>
                <w:rFonts w:asciiTheme="minorHAnsi" w:hAnsiTheme="minorHAnsi" w:cstheme="minorHAnsi"/>
                <w:i/>
                <w:iCs/>
                <w:szCs w:val="20"/>
              </w:rPr>
              <w:t>2</w:t>
            </w:r>
            <w:r w:rsidRPr="00C53B7C">
              <w:rPr>
                <w:rFonts w:asciiTheme="minorHAnsi" w:hAnsiTheme="minorHAnsi" w:cstheme="minorHAnsi"/>
                <w:i/>
                <w:iCs/>
                <w:szCs w:val="20"/>
              </w:rPr>
              <w:t xml:space="preserve"> </w:t>
            </w:r>
          </w:p>
          <w:p w14:paraId="446B6E81" w14:textId="682526E7" w:rsidR="00CD4017" w:rsidRPr="00C53B7C" w:rsidRDefault="00CD4017" w:rsidP="008526F3">
            <w:pPr>
              <w:pStyle w:val="BodyText2"/>
              <w:rPr>
                <w:rFonts w:asciiTheme="minorHAnsi" w:hAnsiTheme="minorHAnsi" w:cstheme="minorHAnsi"/>
                <w:i/>
                <w:iCs/>
                <w:szCs w:val="20"/>
              </w:rPr>
            </w:pPr>
          </w:p>
          <w:p w14:paraId="59A8C320" w14:textId="74526A8B" w:rsidR="00CD4017" w:rsidRPr="00C53B7C" w:rsidRDefault="00CD4017" w:rsidP="008526F3">
            <w:pPr>
              <w:pStyle w:val="BodyText2"/>
              <w:rPr>
                <w:rFonts w:asciiTheme="minorHAnsi" w:hAnsiTheme="minorHAnsi" w:cstheme="minorHAnsi"/>
                <w:i/>
                <w:iCs/>
                <w:szCs w:val="20"/>
              </w:rPr>
            </w:pPr>
          </w:p>
        </w:tc>
        <w:tc>
          <w:tcPr>
            <w:tcW w:w="5490" w:type="dxa"/>
            <w:shd w:val="clear" w:color="auto" w:fill="auto"/>
          </w:tcPr>
          <w:p w14:paraId="5467B7DE" w14:textId="77777777" w:rsidR="00CD4017" w:rsidRPr="00C53B7C" w:rsidRDefault="00CD4017" w:rsidP="008526F3">
            <w:pPr>
              <w:pStyle w:val="BodyText2"/>
              <w:rPr>
                <w:rFonts w:asciiTheme="minorHAnsi" w:hAnsiTheme="minorHAnsi" w:cstheme="minorHAnsi"/>
                <w:i/>
                <w:iCs/>
                <w:szCs w:val="20"/>
              </w:rPr>
            </w:pPr>
            <w:proofErr w:type="spellStart"/>
            <w:r w:rsidRPr="00C53B7C">
              <w:rPr>
                <w:rFonts w:asciiTheme="minorHAnsi" w:hAnsiTheme="minorHAnsi" w:cstheme="minorHAnsi"/>
                <w:i/>
                <w:iCs/>
                <w:szCs w:val="20"/>
              </w:rPr>
              <w:t>a.</w:t>
            </w:r>
            <w:r w:rsidR="007245C3" w:rsidRPr="00C53B7C">
              <w:rPr>
                <w:rFonts w:asciiTheme="minorHAnsi" w:hAnsiTheme="minorHAnsi" w:cstheme="minorHAnsi"/>
                <w:i/>
                <w:iCs/>
                <w:szCs w:val="20"/>
              </w:rPr>
              <w:t>data</w:t>
            </w:r>
            <w:proofErr w:type="spellEnd"/>
            <w:r w:rsidR="007245C3" w:rsidRPr="00C53B7C">
              <w:rPr>
                <w:rFonts w:asciiTheme="minorHAnsi" w:hAnsiTheme="minorHAnsi" w:cstheme="minorHAnsi"/>
                <w:i/>
                <w:iCs/>
                <w:szCs w:val="20"/>
              </w:rPr>
              <w:t xml:space="preserve"> not yet available</w:t>
            </w:r>
          </w:p>
          <w:p w14:paraId="35E38ACE" w14:textId="77777777" w:rsidR="007245C3" w:rsidRPr="00C53B7C" w:rsidRDefault="007245C3" w:rsidP="008526F3">
            <w:pPr>
              <w:pStyle w:val="BodyText2"/>
              <w:rPr>
                <w:rFonts w:asciiTheme="minorHAnsi" w:hAnsiTheme="minorHAnsi" w:cstheme="minorHAnsi"/>
                <w:i/>
                <w:iCs/>
                <w:szCs w:val="20"/>
              </w:rPr>
            </w:pPr>
          </w:p>
          <w:p w14:paraId="37E2478A" w14:textId="77777777" w:rsidR="007245C3" w:rsidRPr="00C53B7C" w:rsidRDefault="007245C3" w:rsidP="008526F3">
            <w:pPr>
              <w:pStyle w:val="BodyText2"/>
              <w:rPr>
                <w:rFonts w:asciiTheme="minorHAnsi" w:hAnsiTheme="minorHAnsi" w:cstheme="minorHAnsi"/>
                <w:i/>
                <w:iCs/>
                <w:szCs w:val="20"/>
              </w:rPr>
            </w:pPr>
          </w:p>
          <w:p w14:paraId="591FE4E3" w14:textId="77777777" w:rsidR="007245C3" w:rsidRPr="00C53B7C" w:rsidRDefault="007245C3" w:rsidP="008526F3">
            <w:pPr>
              <w:pStyle w:val="BodyText2"/>
              <w:rPr>
                <w:rFonts w:asciiTheme="minorHAnsi" w:hAnsiTheme="minorHAnsi" w:cstheme="minorHAnsi"/>
                <w:i/>
                <w:iCs/>
                <w:szCs w:val="20"/>
              </w:rPr>
            </w:pPr>
          </w:p>
          <w:p w14:paraId="114EAD90" w14:textId="77777777" w:rsidR="007245C3" w:rsidRPr="00C53B7C" w:rsidRDefault="007245C3" w:rsidP="008526F3">
            <w:pPr>
              <w:pStyle w:val="BodyText2"/>
              <w:rPr>
                <w:rFonts w:asciiTheme="minorHAnsi" w:hAnsiTheme="minorHAnsi" w:cstheme="minorHAnsi"/>
                <w:i/>
                <w:iCs/>
                <w:szCs w:val="20"/>
              </w:rPr>
            </w:pPr>
          </w:p>
          <w:p w14:paraId="7081E879" w14:textId="4929C774" w:rsidR="007245C3" w:rsidRPr="00C53B7C" w:rsidRDefault="00B729A0" w:rsidP="008526F3">
            <w:pPr>
              <w:pStyle w:val="BodyText2"/>
              <w:rPr>
                <w:rFonts w:asciiTheme="minorHAnsi" w:hAnsiTheme="minorHAnsi" w:cstheme="minorHAnsi"/>
                <w:i/>
                <w:iCs/>
                <w:szCs w:val="20"/>
              </w:rPr>
            </w:pPr>
            <w:r w:rsidRPr="00C53B7C">
              <w:rPr>
                <w:rFonts w:asciiTheme="minorHAnsi" w:hAnsiTheme="minorHAnsi" w:cstheme="minorHAnsi"/>
                <w:i/>
                <w:iCs/>
                <w:szCs w:val="20"/>
              </w:rPr>
              <w:t xml:space="preserve">b. </w:t>
            </w:r>
            <w:r w:rsidR="007245C3" w:rsidRPr="00C53B7C">
              <w:rPr>
                <w:rFonts w:asciiTheme="minorHAnsi" w:hAnsiTheme="minorHAnsi" w:cstheme="minorHAnsi"/>
                <w:i/>
                <w:iCs/>
                <w:szCs w:val="20"/>
              </w:rPr>
              <w:t>data not yet available</w:t>
            </w:r>
          </w:p>
          <w:p w14:paraId="670C62CD" w14:textId="77777777" w:rsidR="007245C3" w:rsidRPr="00C53B7C" w:rsidRDefault="007245C3" w:rsidP="008526F3">
            <w:pPr>
              <w:pStyle w:val="BodyText2"/>
              <w:rPr>
                <w:rFonts w:asciiTheme="minorHAnsi" w:hAnsiTheme="minorHAnsi" w:cstheme="minorHAnsi"/>
                <w:i/>
                <w:iCs/>
                <w:szCs w:val="20"/>
              </w:rPr>
            </w:pPr>
          </w:p>
          <w:p w14:paraId="1DC29E31" w14:textId="77777777" w:rsidR="007245C3" w:rsidRPr="00C53B7C" w:rsidRDefault="007245C3" w:rsidP="008526F3">
            <w:pPr>
              <w:pStyle w:val="BodyText2"/>
              <w:rPr>
                <w:rFonts w:asciiTheme="minorHAnsi" w:hAnsiTheme="minorHAnsi" w:cstheme="minorHAnsi"/>
                <w:i/>
                <w:iCs/>
                <w:szCs w:val="20"/>
              </w:rPr>
            </w:pPr>
          </w:p>
          <w:p w14:paraId="5CB9FCD4" w14:textId="77777777" w:rsidR="007245C3" w:rsidRPr="00C53B7C" w:rsidRDefault="007245C3" w:rsidP="008526F3">
            <w:pPr>
              <w:pStyle w:val="BodyText2"/>
              <w:rPr>
                <w:rFonts w:asciiTheme="minorHAnsi" w:hAnsiTheme="minorHAnsi" w:cstheme="minorHAnsi"/>
                <w:i/>
                <w:iCs/>
                <w:szCs w:val="20"/>
              </w:rPr>
            </w:pPr>
          </w:p>
          <w:p w14:paraId="3F1A14FE" w14:textId="77777777" w:rsidR="007245C3" w:rsidRPr="00C53B7C" w:rsidRDefault="007245C3" w:rsidP="008526F3">
            <w:pPr>
              <w:pStyle w:val="BodyText2"/>
              <w:rPr>
                <w:rFonts w:asciiTheme="minorHAnsi" w:hAnsiTheme="minorHAnsi" w:cstheme="minorHAnsi"/>
                <w:i/>
                <w:iCs/>
                <w:szCs w:val="20"/>
              </w:rPr>
            </w:pPr>
          </w:p>
          <w:p w14:paraId="43140582" w14:textId="77777777" w:rsidR="007245C3" w:rsidRPr="00C53B7C" w:rsidRDefault="007245C3" w:rsidP="008526F3">
            <w:pPr>
              <w:pStyle w:val="BodyText2"/>
              <w:rPr>
                <w:rFonts w:asciiTheme="minorHAnsi" w:hAnsiTheme="minorHAnsi" w:cstheme="minorHAnsi"/>
                <w:i/>
                <w:iCs/>
                <w:szCs w:val="20"/>
              </w:rPr>
            </w:pPr>
          </w:p>
          <w:p w14:paraId="3A529A96" w14:textId="49FB3787" w:rsidR="007245C3" w:rsidRPr="00C53B7C" w:rsidRDefault="00B729A0" w:rsidP="008526F3">
            <w:pPr>
              <w:pStyle w:val="BodyText2"/>
              <w:rPr>
                <w:rFonts w:asciiTheme="minorHAnsi" w:hAnsiTheme="minorHAnsi" w:cstheme="minorHAnsi"/>
                <w:i/>
                <w:iCs/>
                <w:szCs w:val="20"/>
              </w:rPr>
            </w:pPr>
            <w:r w:rsidRPr="00C53B7C">
              <w:rPr>
                <w:rFonts w:asciiTheme="minorHAnsi" w:hAnsiTheme="minorHAnsi" w:cstheme="minorHAnsi"/>
                <w:i/>
                <w:iCs/>
                <w:szCs w:val="20"/>
              </w:rPr>
              <w:t xml:space="preserve">c. </w:t>
            </w:r>
            <w:r w:rsidR="007245C3" w:rsidRPr="00C53B7C">
              <w:rPr>
                <w:rFonts w:asciiTheme="minorHAnsi" w:hAnsiTheme="minorHAnsi" w:cstheme="minorHAnsi"/>
                <w:i/>
                <w:iCs/>
                <w:szCs w:val="20"/>
              </w:rPr>
              <w:t xml:space="preserve">2 as of 2020 </w:t>
            </w:r>
            <w:r w:rsidR="00782F08" w:rsidRPr="00C53B7C">
              <w:rPr>
                <w:rFonts w:asciiTheme="minorHAnsi" w:hAnsiTheme="minorHAnsi" w:cstheme="minorHAnsi"/>
                <w:i/>
                <w:iCs/>
                <w:szCs w:val="20"/>
              </w:rPr>
              <w:t xml:space="preserve"> </w:t>
            </w:r>
            <w:r w:rsidR="00782F08" w:rsidRPr="00C53B7C">
              <w:rPr>
                <w:rStyle w:val="FootnoteReference"/>
                <w:rFonts w:asciiTheme="minorHAnsi" w:hAnsiTheme="minorHAnsi" w:cstheme="minorHAnsi"/>
                <w:i/>
                <w:iCs/>
                <w:szCs w:val="20"/>
              </w:rPr>
              <w:footnoteReference w:id="1"/>
            </w:r>
          </w:p>
        </w:tc>
      </w:tr>
      <w:tr w:rsidR="00CD4017" w:rsidRPr="00C53B7C" w14:paraId="2991490C" w14:textId="77777777" w:rsidTr="00B80E8A">
        <w:tc>
          <w:tcPr>
            <w:tcW w:w="14040" w:type="dxa"/>
            <w:gridSpan w:val="4"/>
          </w:tcPr>
          <w:p w14:paraId="60D7695A" w14:textId="77777777" w:rsidR="00CD4017" w:rsidRPr="00C53B7C" w:rsidRDefault="00CD4017" w:rsidP="008526F3">
            <w:pPr>
              <w:pStyle w:val="BodyText2"/>
              <w:rPr>
                <w:rFonts w:ascii="Calibri" w:hAnsi="Calibri"/>
                <w:b/>
                <w:szCs w:val="20"/>
              </w:rPr>
            </w:pPr>
            <w:r w:rsidRPr="00C53B7C">
              <w:rPr>
                <w:rFonts w:ascii="Calibri" w:hAnsi="Calibri"/>
                <w:b/>
                <w:szCs w:val="20"/>
              </w:rPr>
              <w:t>UNDP Contribution:</w:t>
            </w:r>
          </w:p>
          <w:p w14:paraId="2F6BD7D5" w14:textId="77777777" w:rsidR="000D442A" w:rsidRPr="00C53B7C" w:rsidRDefault="000D442A" w:rsidP="000D442A">
            <w:pPr>
              <w:pStyle w:val="BodyText2"/>
              <w:rPr>
                <w:rFonts w:ascii="Calibri" w:hAnsi="Calibri"/>
                <w:bCs/>
                <w:iCs/>
                <w:szCs w:val="20"/>
              </w:rPr>
            </w:pPr>
          </w:p>
          <w:p w14:paraId="40EF76AD" w14:textId="4EA10E57" w:rsidR="000D442A" w:rsidRPr="00C53B7C" w:rsidRDefault="000D442A" w:rsidP="00B4559B">
            <w:pPr>
              <w:pStyle w:val="BodyText2"/>
              <w:jc w:val="both"/>
              <w:rPr>
                <w:rFonts w:ascii="Calibri" w:hAnsi="Calibri"/>
                <w:bCs/>
                <w:iCs/>
                <w:szCs w:val="20"/>
              </w:rPr>
            </w:pPr>
            <w:r w:rsidRPr="00C53B7C">
              <w:rPr>
                <w:rFonts w:ascii="Calibri" w:hAnsi="Calibri"/>
                <w:bCs/>
                <w:iCs/>
                <w:szCs w:val="20"/>
              </w:rPr>
              <w:t xml:space="preserve">The contribution of UNDP to this outcome has </w:t>
            </w:r>
            <w:proofErr w:type="spellStart"/>
            <w:r w:rsidRPr="00C53B7C">
              <w:rPr>
                <w:rFonts w:ascii="Calibri" w:hAnsi="Calibri"/>
                <w:bCs/>
                <w:iCs/>
                <w:szCs w:val="20"/>
              </w:rPr>
              <w:t>centered</w:t>
            </w:r>
            <w:proofErr w:type="spellEnd"/>
            <w:r w:rsidRPr="00C53B7C">
              <w:rPr>
                <w:rFonts w:ascii="Calibri" w:hAnsi="Calibri"/>
                <w:bCs/>
                <w:iCs/>
                <w:szCs w:val="20"/>
              </w:rPr>
              <w:t xml:space="preserve"> on strengthening the capacity of the Guyana Police Force </w:t>
            </w:r>
            <w:r w:rsidR="00D217C3" w:rsidRPr="00C53B7C">
              <w:rPr>
                <w:rFonts w:ascii="Calibri" w:hAnsi="Calibri"/>
                <w:bCs/>
                <w:iCs/>
                <w:szCs w:val="20"/>
              </w:rPr>
              <w:t xml:space="preserve">(GPF) </w:t>
            </w:r>
            <w:r w:rsidRPr="00C53B7C">
              <w:rPr>
                <w:rFonts w:ascii="Calibri" w:hAnsi="Calibri"/>
                <w:bCs/>
                <w:iCs/>
                <w:szCs w:val="20"/>
              </w:rPr>
              <w:t>with relevant systems and tools to aid their decision making for crime and violence reduction and prevention</w:t>
            </w:r>
            <w:r w:rsidR="00D24D0C" w:rsidRPr="00C53B7C">
              <w:rPr>
                <w:rFonts w:ascii="Calibri" w:hAnsi="Calibri"/>
                <w:bCs/>
                <w:iCs/>
                <w:szCs w:val="20"/>
              </w:rPr>
              <w:t xml:space="preserve">, as well as provision of </w:t>
            </w:r>
            <w:r w:rsidR="00D217C3" w:rsidRPr="00C53B7C">
              <w:rPr>
                <w:rFonts w:ascii="Calibri" w:hAnsi="Calibri"/>
                <w:bCs/>
                <w:iCs/>
                <w:szCs w:val="20"/>
              </w:rPr>
              <w:t>i</w:t>
            </w:r>
            <w:r w:rsidR="00D24D0C" w:rsidRPr="00C53B7C">
              <w:rPr>
                <w:rFonts w:ascii="Calibri" w:hAnsi="Calibri"/>
                <w:bCs/>
                <w:iCs/>
                <w:szCs w:val="20"/>
              </w:rPr>
              <w:t>nternet access and e-Government services in the hinterland.</w:t>
            </w:r>
          </w:p>
          <w:p w14:paraId="42F19370" w14:textId="77777777" w:rsidR="00CD4017" w:rsidRPr="00C53B7C" w:rsidRDefault="00CD4017" w:rsidP="00B4559B">
            <w:pPr>
              <w:pStyle w:val="BodyText2"/>
              <w:jc w:val="both"/>
              <w:rPr>
                <w:rFonts w:ascii="Calibri" w:hAnsi="Calibri"/>
                <w:bCs/>
                <w:szCs w:val="20"/>
              </w:rPr>
            </w:pPr>
          </w:p>
          <w:p w14:paraId="037EBC65" w14:textId="608B8163" w:rsidR="0089587B" w:rsidRPr="00C53B7C" w:rsidRDefault="0089587B" w:rsidP="00B4559B">
            <w:pPr>
              <w:pStyle w:val="BodyText2"/>
              <w:jc w:val="both"/>
              <w:rPr>
                <w:rFonts w:ascii="Calibri" w:hAnsi="Calibri"/>
                <w:bCs/>
                <w:szCs w:val="20"/>
              </w:rPr>
            </w:pPr>
            <w:r w:rsidRPr="00C53B7C">
              <w:rPr>
                <w:rFonts w:ascii="Calibri" w:hAnsi="Calibri"/>
                <w:bCs/>
                <w:szCs w:val="20"/>
              </w:rPr>
              <w:t>Work in this area has contributed to Outcome 2 of the 2014-2017 Strategic Plan, ‘Citizen expectations for voice, development, the rule of law and accountability are met by stronger systems of democratic governance’</w:t>
            </w:r>
            <w:r w:rsidR="00A34474" w:rsidRPr="00C53B7C">
              <w:rPr>
                <w:rFonts w:ascii="Calibri" w:hAnsi="Calibri"/>
                <w:bCs/>
                <w:szCs w:val="20"/>
              </w:rPr>
              <w:t>, as well as to</w:t>
            </w:r>
            <w:r w:rsidR="00A34474" w:rsidRPr="00C53B7C">
              <w:rPr>
                <w:rFonts w:ascii="Calibri" w:hAnsi="Calibri"/>
                <w:szCs w:val="20"/>
              </w:rPr>
              <w:t xml:space="preserve"> Outcome 2 of the 2018-2021 Strategic Plan, ‘</w:t>
            </w:r>
            <w:r w:rsidR="00A34474" w:rsidRPr="00C53B7C">
              <w:rPr>
                <w:rFonts w:ascii="Calibri" w:hAnsi="Calibri"/>
                <w:i/>
                <w:iCs/>
                <w:szCs w:val="20"/>
              </w:rPr>
              <w:t>Accelerate structural transformations for sustainable development</w:t>
            </w:r>
            <w:r w:rsidR="00A34474" w:rsidRPr="00C53B7C">
              <w:rPr>
                <w:rFonts w:ascii="Calibri" w:hAnsi="Calibri"/>
                <w:szCs w:val="20"/>
              </w:rPr>
              <w:t>.’</w:t>
            </w:r>
            <w:r w:rsidRPr="00C53B7C">
              <w:rPr>
                <w:rFonts w:ascii="Calibri" w:hAnsi="Calibri"/>
                <w:bCs/>
                <w:szCs w:val="20"/>
              </w:rPr>
              <w:t xml:space="preserve"> With regards to the SDGs, it was linked to SDGs </w:t>
            </w:r>
            <w:r w:rsidR="0006477F" w:rsidRPr="00C53B7C">
              <w:rPr>
                <w:rFonts w:ascii="Calibri" w:hAnsi="Calibri"/>
                <w:bCs/>
                <w:szCs w:val="20"/>
              </w:rPr>
              <w:t>5 (Gender)</w:t>
            </w:r>
            <w:r w:rsidR="00D217C3" w:rsidRPr="00C53B7C">
              <w:rPr>
                <w:rFonts w:ascii="Calibri" w:hAnsi="Calibri"/>
                <w:bCs/>
                <w:szCs w:val="20"/>
              </w:rPr>
              <w:t>,</w:t>
            </w:r>
            <w:r w:rsidR="0006477F" w:rsidRPr="00C53B7C">
              <w:rPr>
                <w:rFonts w:ascii="Calibri" w:hAnsi="Calibri"/>
                <w:bCs/>
                <w:szCs w:val="20"/>
              </w:rPr>
              <w:t xml:space="preserve"> </w:t>
            </w:r>
            <w:r w:rsidRPr="00C53B7C">
              <w:rPr>
                <w:rFonts w:ascii="Calibri" w:hAnsi="Calibri"/>
                <w:bCs/>
                <w:szCs w:val="20"/>
              </w:rPr>
              <w:t>16 (Inclusiveness, Justice) and 17 (Partnerships for Sustainable Development); indirectly, also to SDG 10 (Inequality)</w:t>
            </w:r>
            <w:r w:rsidR="00D217C3" w:rsidRPr="00C53B7C">
              <w:rPr>
                <w:rFonts w:ascii="Calibri" w:hAnsi="Calibri"/>
                <w:bCs/>
                <w:szCs w:val="20"/>
              </w:rPr>
              <w:t>.</w:t>
            </w:r>
          </w:p>
          <w:p w14:paraId="2BEADEA5" w14:textId="77777777" w:rsidR="0089587B" w:rsidRPr="00C53B7C" w:rsidRDefault="0089587B" w:rsidP="0089587B">
            <w:pPr>
              <w:pStyle w:val="BodyText2"/>
              <w:rPr>
                <w:rFonts w:ascii="Calibri" w:hAnsi="Calibri"/>
                <w:bCs/>
                <w:szCs w:val="20"/>
              </w:rPr>
            </w:pPr>
          </w:p>
          <w:p w14:paraId="403AA755" w14:textId="2AC7C08F" w:rsidR="00CD4017" w:rsidRPr="00C53B7C" w:rsidRDefault="00CD4017" w:rsidP="008526F3">
            <w:pPr>
              <w:pStyle w:val="BodyText2"/>
              <w:rPr>
                <w:rFonts w:ascii="Calibri" w:hAnsi="Calibri"/>
                <w:szCs w:val="20"/>
                <w:u w:val="single"/>
              </w:rPr>
            </w:pPr>
            <w:r w:rsidRPr="00C53B7C">
              <w:rPr>
                <w:rFonts w:ascii="Calibri" w:hAnsi="Calibri"/>
                <w:szCs w:val="20"/>
                <w:u w:val="single"/>
              </w:rPr>
              <w:t>CP Outputs</w:t>
            </w:r>
          </w:p>
          <w:p w14:paraId="25322DDD" w14:textId="7A68F16D" w:rsidR="00CD4017" w:rsidRPr="00C53B7C" w:rsidRDefault="00CD4017" w:rsidP="008526F3">
            <w:pPr>
              <w:rPr>
                <w:rFonts w:ascii="Calibri" w:hAnsi="Calibri"/>
                <w:sz w:val="20"/>
                <w:szCs w:val="20"/>
              </w:rPr>
            </w:pPr>
            <w:r w:rsidRPr="00C53B7C">
              <w:rPr>
                <w:rFonts w:ascii="Calibri" w:hAnsi="Calibri"/>
                <w:sz w:val="20"/>
                <w:szCs w:val="20"/>
              </w:rPr>
              <w:lastRenderedPageBreak/>
              <w:t>The indicative outputs identified in the CP for this outcome were: (1) Government and non-government institutions working on constitutional reform, fulfilment of human rights and local administration enabled for improved transparency, participation and effectiveness; (2) Policy for promoting social cohesion formulated and implemented; and (3) Citizens have increased access to Government services through ICT at the national and subnational levels.</w:t>
            </w:r>
          </w:p>
          <w:p w14:paraId="1E336152" w14:textId="77777777" w:rsidR="00CD4017" w:rsidRPr="00C53B7C" w:rsidRDefault="00CD4017" w:rsidP="008526F3">
            <w:pPr>
              <w:pStyle w:val="BodyText2"/>
              <w:rPr>
                <w:rFonts w:ascii="Calibri" w:hAnsi="Calibri"/>
                <w:szCs w:val="20"/>
                <w:u w:val="single"/>
              </w:rPr>
            </w:pPr>
          </w:p>
          <w:p w14:paraId="34293E76" w14:textId="77777777" w:rsidR="00CD4017" w:rsidRPr="00C53B7C" w:rsidRDefault="00CD4017" w:rsidP="008526F3">
            <w:pPr>
              <w:pStyle w:val="BodyText2"/>
              <w:rPr>
                <w:rFonts w:ascii="Calibri" w:hAnsi="Calibri"/>
                <w:szCs w:val="20"/>
                <w:u w:val="single"/>
              </w:rPr>
            </w:pPr>
            <w:r w:rsidRPr="00C53B7C">
              <w:rPr>
                <w:rFonts w:ascii="Calibri" w:hAnsi="Calibri"/>
                <w:szCs w:val="20"/>
                <w:u w:val="single"/>
              </w:rPr>
              <w:t>Progress and Achievements</w:t>
            </w:r>
          </w:p>
          <w:p w14:paraId="2D4E0D22" w14:textId="7E605D3C" w:rsidR="00CD4017" w:rsidRPr="00C53B7C" w:rsidRDefault="00CD4017" w:rsidP="008526F3">
            <w:pPr>
              <w:pStyle w:val="BodyText2"/>
              <w:rPr>
                <w:rFonts w:ascii="Calibri" w:hAnsi="Calibri"/>
                <w:iCs/>
                <w:szCs w:val="20"/>
                <w:lang w:val="en-GB"/>
              </w:rPr>
            </w:pPr>
          </w:p>
          <w:p w14:paraId="5B83B310" w14:textId="4C0E8F58" w:rsidR="000D442A" w:rsidRPr="00C53B7C" w:rsidRDefault="000D442A" w:rsidP="00B4559B">
            <w:pPr>
              <w:pStyle w:val="BodyText2"/>
              <w:autoSpaceDE/>
              <w:autoSpaceDN/>
              <w:adjustRightInd/>
              <w:jc w:val="both"/>
              <w:rPr>
                <w:rFonts w:ascii="Calibri" w:hAnsi="Calibri"/>
                <w:iCs/>
                <w:szCs w:val="20"/>
              </w:rPr>
            </w:pPr>
            <w:r w:rsidRPr="00C53B7C">
              <w:rPr>
                <w:rFonts w:ascii="Calibri" w:hAnsi="Calibri"/>
                <w:iCs/>
                <w:szCs w:val="20"/>
              </w:rPr>
              <w:t xml:space="preserve">Among the systems/tools for the </w:t>
            </w:r>
            <w:r w:rsidR="00D217C3" w:rsidRPr="00C53B7C">
              <w:rPr>
                <w:rFonts w:ascii="Calibri" w:hAnsi="Calibri"/>
                <w:iCs/>
                <w:szCs w:val="20"/>
              </w:rPr>
              <w:t>GPF</w:t>
            </w:r>
            <w:r w:rsidRPr="00C53B7C">
              <w:rPr>
                <w:rFonts w:ascii="Calibri" w:hAnsi="Calibri"/>
                <w:iCs/>
                <w:szCs w:val="20"/>
              </w:rPr>
              <w:t xml:space="preserve">, UNDP supported the development and </w:t>
            </w:r>
            <w:r w:rsidR="00015047" w:rsidRPr="00C53B7C">
              <w:rPr>
                <w:rFonts w:ascii="Calibri" w:hAnsi="Calibri"/>
                <w:iCs/>
                <w:szCs w:val="20"/>
              </w:rPr>
              <w:t>piloting</w:t>
            </w:r>
            <w:r w:rsidRPr="00C53B7C">
              <w:rPr>
                <w:rFonts w:ascii="Calibri" w:hAnsi="Calibri"/>
                <w:iCs/>
                <w:szCs w:val="20"/>
              </w:rPr>
              <w:t xml:space="preserve"> of </w:t>
            </w:r>
            <w:r w:rsidR="00570D6B" w:rsidRPr="00C53B7C">
              <w:rPr>
                <w:rFonts w:ascii="Calibri" w:hAnsi="Calibri"/>
                <w:iCs/>
                <w:szCs w:val="20"/>
              </w:rPr>
              <w:t>a</w:t>
            </w:r>
            <w:r w:rsidRPr="00C53B7C">
              <w:rPr>
                <w:rFonts w:ascii="Calibri" w:hAnsi="Calibri"/>
                <w:iCs/>
                <w:szCs w:val="20"/>
              </w:rPr>
              <w:t xml:space="preserve"> Police Record Management Information system. UNDP </w:t>
            </w:r>
            <w:r w:rsidR="004C2EC4" w:rsidRPr="00C53B7C">
              <w:rPr>
                <w:rFonts w:ascii="Calibri" w:hAnsi="Calibri"/>
                <w:iCs/>
                <w:szCs w:val="20"/>
              </w:rPr>
              <w:t>is also</w:t>
            </w:r>
            <w:r w:rsidRPr="00C53B7C">
              <w:rPr>
                <w:rFonts w:ascii="Calibri" w:hAnsi="Calibri"/>
                <w:iCs/>
                <w:szCs w:val="20"/>
              </w:rPr>
              <w:t xml:space="preserve"> develop</w:t>
            </w:r>
            <w:r w:rsidR="004C2EC4" w:rsidRPr="00C53B7C">
              <w:rPr>
                <w:rFonts w:ascii="Calibri" w:hAnsi="Calibri"/>
                <w:iCs/>
                <w:szCs w:val="20"/>
              </w:rPr>
              <w:t>ing</w:t>
            </w:r>
            <w:r w:rsidRPr="00C53B7C">
              <w:rPr>
                <w:rFonts w:ascii="Calibri" w:hAnsi="Calibri"/>
                <w:iCs/>
                <w:szCs w:val="20"/>
              </w:rPr>
              <w:t xml:space="preserve"> tools and protocols to support the Police</w:t>
            </w:r>
            <w:r w:rsidR="004C2EC4" w:rsidRPr="00C53B7C">
              <w:rPr>
                <w:rFonts w:ascii="Calibri" w:hAnsi="Calibri"/>
                <w:iCs/>
                <w:szCs w:val="20"/>
              </w:rPr>
              <w:t>,</w:t>
            </w:r>
            <w:r w:rsidRPr="00C53B7C">
              <w:rPr>
                <w:rFonts w:ascii="Calibri" w:hAnsi="Calibri"/>
                <w:iCs/>
                <w:szCs w:val="20"/>
              </w:rPr>
              <w:t xml:space="preserve"> Ministry of Human Services and Social Security </w:t>
            </w:r>
            <w:r w:rsidR="004C2EC4" w:rsidRPr="00C53B7C">
              <w:rPr>
                <w:rFonts w:ascii="Calibri" w:hAnsi="Calibri"/>
                <w:iCs/>
                <w:szCs w:val="20"/>
              </w:rPr>
              <w:t xml:space="preserve">and </w:t>
            </w:r>
            <w:r w:rsidR="00D217C3" w:rsidRPr="00C53B7C">
              <w:rPr>
                <w:rFonts w:ascii="Calibri" w:hAnsi="Calibri"/>
                <w:iCs/>
                <w:szCs w:val="20"/>
              </w:rPr>
              <w:t>CSOs</w:t>
            </w:r>
            <w:r w:rsidR="004C2EC4" w:rsidRPr="00C53B7C">
              <w:rPr>
                <w:rFonts w:ascii="Calibri" w:hAnsi="Calibri"/>
                <w:iCs/>
                <w:szCs w:val="20"/>
              </w:rPr>
              <w:t xml:space="preserve"> </w:t>
            </w:r>
            <w:r w:rsidRPr="00C53B7C">
              <w:rPr>
                <w:rFonts w:ascii="Calibri" w:hAnsi="Calibri"/>
                <w:iCs/>
                <w:szCs w:val="20"/>
              </w:rPr>
              <w:t xml:space="preserve">in the collection and analysis of </w:t>
            </w:r>
            <w:r w:rsidR="004C2EC4" w:rsidRPr="00C53B7C">
              <w:rPr>
                <w:rFonts w:ascii="Calibri" w:hAnsi="Calibri"/>
                <w:iCs/>
                <w:szCs w:val="20"/>
              </w:rPr>
              <w:t xml:space="preserve">administrative </w:t>
            </w:r>
            <w:r w:rsidRPr="00C53B7C">
              <w:rPr>
                <w:rFonts w:ascii="Calibri" w:hAnsi="Calibri"/>
                <w:iCs/>
                <w:szCs w:val="20"/>
              </w:rPr>
              <w:t xml:space="preserve">data on violence against women and girls. </w:t>
            </w:r>
            <w:r w:rsidR="00D24D0C" w:rsidRPr="00C53B7C">
              <w:rPr>
                <w:rFonts w:ascii="Calibri" w:hAnsi="Calibri"/>
                <w:iCs/>
                <w:szCs w:val="20"/>
              </w:rPr>
              <w:t xml:space="preserve">When </w:t>
            </w:r>
            <w:r w:rsidRPr="00C53B7C">
              <w:rPr>
                <w:rFonts w:ascii="Calibri" w:hAnsi="Calibri"/>
                <w:iCs/>
                <w:szCs w:val="20"/>
              </w:rPr>
              <w:t>fully operational, these mechanisms should yield critical data for development of actions towards</w:t>
            </w:r>
            <w:r w:rsidR="00D24D0C" w:rsidRPr="00C53B7C">
              <w:rPr>
                <w:rFonts w:ascii="Calibri" w:hAnsi="Calibri"/>
                <w:iCs/>
                <w:szCs w:val="20"/>
              </w:rPr>
              <w:t xml:space="preserve"> improved citizen security and protection.</w:t>
            </w:r>
            <w:r w:rsidR="00DE0043" w:rsidRPr="00C53B7C">
              <w:rPr>
                <w:rFonts w:ascii="Calibri" w:hAnsi="Calibri"/>
                <w:iCs/>
                <w:szCs w:val="20"/>
              </w:rPr>
              <w:t xml:space="preserve"> </w:t>
            </w:r>
            <w:r w:rsidR="00D24D0C" w:rsidRPr="00C53B7C">
              <w:rPr>
                <w:rFonts w:ascii="Calibri" w:hAnsi="Calibri"/>
                <w:iCs/>
                <w:szCs w:val="20"/>
              </w:rPr>
              <w:t xml:space="preserve">Another significant undertaking is the expansion of internet access and e-Government services to hinterland communities, which can mitigate the rural digital divide substantially across the country. </w:t>
            </w:r>
          </w:p>
          <w:p w14:paraId="667954D0" w14:textId="0724D12B" w:rsidR="000D442A" w:rsidRPr="00C53B7C" w:rsidRDefault="000D442A" w:rsidP="00B4559B">
            <w:pPr>
              <w:pStyle w:val="BodyText2"/>
              <w:autoSpaceDE/>
              <w:autoSpaceDN/>
              <w:adjustRightInd/>
              <w:jc w:val="both"/>
              <w:rPr>
                <w:rFonts w:ascii="Calibri" w:hAnsi="Calibri"/>
                <w:iCs/>
                <w:szCs w:val="20"/>
              </w:rPr>
            </w:pPr>
          </w:p>
          <w:p w14:paraId="57B78DE5" w14:textId="7DCB8195" w:rsidR="000D442A" w:rsidRPr="00C53B7C" w:rsidRDefault="00DE0043" w:rsidP="00B4559B">
            <w:pPr>
              <w:pStyle w:val="BodyText2"/>
              <w:autoSpaceDE/>
              <w:autoSpaceDN/>
              <w:adjustRightInd/>
              <w:jc w:val="both"/>
              <w:rPr>
                <w:rFonts w:ascii="Calibri" w:hAnsi="Calibri"/>
                <w:iCs/>
                <w:szCs w:val="20"/>
              </w:rPr>
            </w:pPr>
            <w:r w:rsidRPr="00C53B7C">
              <w:rPr>
                <w:rFonts w:ascii="Calibri" w:hAnsi="Calibri"/>
                <w:iCs/>
                <w:szCs w:val="20"/>
              </w:rPr>
              <w:t xml:space="preserve">With regards to the </w:t>
            </w:r>
            <w:r w:rsidR="000D442A" w:rsidRPr="00C53B7C">
              <w:rPr>
                <w:rFonts w:ascii="Calibri" w:hAnsi="Calibri"/>
                <w:iCs/>
                <w:szCs w:val="20"/>
              </w:rPr>
              <w:t>indicator</w:t>
            </w:r>
            <w:r w:rsidRPr="00C53B7C">
              <w:rPr>
                <w:rFonts w:ascii="Calibri" w:hAnsi="Calibri"/>
                <w:iCs/>
                <w:szCs w:val="20"/>
              </w:rPr>
              <w:t xml:space="preserve"> on</w:t>
            </w:r>
            <w:r w:rsidR="000D442A" w:rsidRPr="00C53B7C">
              <w:rPr>
                <w:rFonts w:ascii="Calibri" w:hAnsi="Calibri"/>
                <w:iCs/>
                <w:szCs w:val="20"/>
              </w:rPr>
              <w:t xml:space="preserve"> level of public confidence in the delivery of basic services, preliminary testimonials from the residents of new communities accessing ICT and government services </w:t>
            </w:r>
            <w:proofErr w:type="gramStart"/>
            <w:r w:rsidR="000D442A" w:rsidRPr="00C53B7C">
              <w:rPr>
                <w:rFonts w:ascii="Calibri" w:hAnsi="Calibri"/>
                <w:iCs/>
                <w:szCs w:val="20"/>
              </w:rPr>
              <w:t>on line</w:t>
            </w:r>
            <w:proofErr w:type="gramEnd"/>
            <w:r w:rsidR="000D442A" w:rsidRPr="00C53B7C">
              <w:rPr>
                <w:rFonts w:ascii="Calibri" w:hAnsi="Calibri"/>
                <w:iCs/>
                <w:szCs w:val="20"/>
              </w:rPr>
              <w:t xml:space="preserve"> for the first time indicated satisfaction. </w:t>
            </w:r>
            <w:r w:rsidR="0077162B" w:rsidRPr="00C53B7C">
              <w:rPr>
                <w:rFonts w:ascii="Calibri" w:hAnsi="Calibri"/>
                <w:iCs/>
                <w:szCs w:val="20"/>
              </w:rPr>
              <w:t xml:space="preserve">More </w:t>
            </w:r>
            <w:r w:rsidR="000D442A" w:rsidRPr="00C53B7C">
              <w:rPr>
                <w:rFonts w:ascii="Calibri" w:hAnsi="Calibri"/>
                <w:iCs/>
                <w:szCs w:val="20"/>
              </w:rPr>
              <w:t>structured feedback mechanism</w:t>
            </w:r>
            <w:r w:rsidR="0077162B" w:rsidRPr="00C53B7C">
              <w:rPr>
                <w:rFonts w:ascii="Calibri" w:hAnsi="Calibri"/>
                <w:iCs/>
                <w:szCs w:val="20"/>
              </w:rPr>
              <w:t>s</w:t>
            </w:r>
            <w:r w:rsidR="000D442A" w:rsidRPr="00C53B7C">
              <w:rPr>
                <w:rFonts w:ascii="Calibri" w:hAnsi="Calibri"/>
                <w:iCs/>
                <w:szCs w:val="20"/>
              </w:rPr>
              <w:t xml:space="preserve"> </w:t>
            </w:r>
            <w:r w:rsidR="0077162B" w:rsidRPr="00C53B7C">
              <w:rPr>
                <w:rFonts w:ascii="Calibri" w:hAnsi="Calibri"/>
                <w:iCs/>
                <w:szCs w:val="20"/>
              </w:rPr>
              <w:t xml:space="preserve">are planned to </w:t>
            </w:r>
            <w:r w:rsidR="000D442A" w:rsidRPr="00C53B7C">
              <w:rPr>
                <w:rFonts w:ascii="Calibri" w:hAnsi="Calibri"/>
                <w:iCs/>
                <w:szCs w:val="20"/>
              </w:rPr>
              <w:t xml:space="preserve">be implemented as additional communities receive access and more services are made available </w:t>
            </w:r>
            <w:proofErr w:type="gramStart"/>
            <w:r w:rsidR="000D442A" w:rsidRPr="00C53B7C">
              <w:rPr>
                <w:rFonts w:ascii="Calibri" w:hAnsi="Calibri"/>
                <w:iCs/>
                <w:szCs w:val="20"/>
              </w:rPr>
              <w:t>on line</w:t>
            </w:r>
            <w:proofErr w:type="gramEnd"/>
            <w:r w:rsidR="00B729A0" w:rsidRPr="00C53B7C">
              <w:rPr>
                <w:rFonts w:ascii="Calibri" w:hAnsi="Calibri"/>
                <w:iCs/>
                <w:szCs w:val="20"/>
              </w:rPr>
              <w:t xml:space="preserve">. </w:t>
            </w:r>
          </w:p>
          <w:p w14:paraId="51E5CD38" w14:textId="2D59F1DA" w:rsidR="000D442A" w:rsidRPr="00C53B7C" w:rsidRDefault="000D442A" w:rsidP="00B4559B">
            <w:pPr>
              <w:pStyle w:val="BodyText2"/>
              <w:jc w:val="both"/>
              <w:rPr>
                <w:rFonts w:ascii="Calibri" w:hAnsi="Calibri"/>
                <w:iCs/>
                <w:szCs w:val="20"/>
              </w:rPr>
            </w:pPr>
          </w:p>
          <w:p w14:paraId="4E4F9A17" w14:textId="38267651" w:rsidR="00C00E5D" w:rsidRPr="00C53B7C" w:rsidRDefault="000D442A" w:rsidP="00B4559B">
            <w:pPr>
              <w:jc w:val="both"/>
              <w:rPr>
                <w:rFonts w:ascii="Calibri" w:hAnsi="Calibri"/>
                <w:sz w:val="20"/>
                <w:szCs w:val="20"/>
              </w:rPr>
            </w:pPr>
            <w:r w:rsidRPr="00C53B7C">
              <w:rPr>
                <w:rFonts w:ascii="Calibri" w:hAnsi="Calibri"/>
                <w:i/>
                <w:iCs/>
                <w:sz w:val="20"/>
                <w:szCs w:val="20"/>
              </w:rPr>
              <w:t>(</w:t>
            </w:r>
            <w:r w:rsidR="00A313D2" w:rsidRPr="00C53B7C">
              <w:rPr>
                <w:rFonts w:ascii="Calibri" w:hAnsi="Calibri"/>
                <w:i/>
                <w:iCs/>
                <w:sz w:val="20"/>
                <w:szCs w:val="20"/>
              </w:rPr>
              <w:t xml:space="preserve">Output </w:t>
            </w:r>
            <w:r w:rsidRPr="00C53B7C">
              <w:rPr>
                <w:rFonts w:ascii="Calibri" w:hAnsi="Calibri"/>
                <w:i/>
                <w:iCs/>
                <w:sz w:val="20"/>
                <w:szCs w:val="20"/>
              </w:rPr>
              <w:t>1)</w:t>
            </w:r>
            <w:r w:rsidR="00A313D2" w:rsidRPr="00C53B7C">
              <w:rPr>
                <w:rFonts w:ascii="Calibri" w:hAnsi="Calibri"/>
                <w:i/>
                <w:iCs/>
                <w:sz w:val="20"/>
                <w:szCs w:val="20"/>
              </w:rPr>
              <w:t xml:space="preserve"> </w:t>
            </w:r>
            <w:r w:rsidR="00C00E5D" w:rsidRPr="00C53B7C">
              <w:rPr>
                <w:rFonts w:ascii="Calibri" w:hAnsi="Calibri"/>
                <w:sz w:val="20"/>
                <w:szCs w:val="20"/>
              </w:rPr>
              <w:t>As noted above, UNDP contributed to improving capacity for data collection for enhancing citizen security th</w:t>
            </w:r>
            <w:r w:rsidR="00F457CD" w:rsidRPr="00C53B7C">
              <w:rPr>
                <w:rFonts w:ascii="Calibri" w:hAnsi="Calibri"/>
                <w:sz w:val="20"/>
                <w:szCs w:val="20"/>
              </w:rPr>
              <w:t>r</w:t>
            </w:r>
            <w:r w:rsidR="00C00E5D" w:rsidRPr="00C53B7C">
              <w:rPr>
                <w:rFonts w:ascii="Calibri" w:hAnsi="Calibri"/>
                <w:sz w:val="20"/>
                <w:szCs w:val="20"/>
              </w:rPr>
              <w:t xml:space="preserve">ough </w:t>
            </w:r>
            <w:r w:rsidR="00F457CD" w:rsidRPr="00C53B7C">
              <w:rPr>
                <w:rFonts w:ascii="Calibri" w:hAnsi="Calibri"/>
                <w:sz w:val="20"/>
                <w:szCs w:val="20"/>
              </w:rPr>
              <w:t xml:space="preserve">piloting </w:t>
            </w:r>
            <w:r w:rsidR="00C00E5D" w:rsidRPr="00C53B7C">
              <w:rPr>
                <w:rFonts w:ascii="Calibri" w:hAnsi="Calibri"/>
                <w:sz w:val="20"/>
                <w:szCs w:val="20"/>
              </w:rPr>
              <w:t>a</w:t>
            </w:r>
            <w:r w:rsidR="00F457CD" w:rsidRPr="00C53B7C">
              <w:rPr>
                <w:rFonts w:ascii="Calibri" w:hAnsi="Calibri"/>
                <w:sz w:val="20"/>
                <w:szCs w:val="20"/>
              </w:rPr>
              <w:t xml:space="preserve"> new</w:t>
            </w:r>
            <w:r w:rsidR="00C00E5D" w:rsidRPr="00C53B7C">
              <w:rPr>
                <w:rFonts w:ascii="Calibri" w:hAnsi="Calibri"/>
                <w:sz w:val="20"/>
                <w:szCs w:val="20"/>
              </w:rPr>
              <w:t xml:space="preserve"> Police Records Management Information System</w:t>
            </w:r>
            <w:r w:rsidR="00F457CD" w:rsidRPr="00C53B7C">
              <w:rPr>
                <w:rFonts w:ascii="Calibri" w:hAnsi="Calibri"/>
                <w:sz w:val="20"/>
                <w:szCs w:val="20"/>
              </w:rPr>
              <w:t xml:space="preserve"> </w:t>
            </w:r>
            <w:r w:rsidR="00C00E5D" w:rsidRPr="00C53B7C">
              <w:rPr>
                <w:rFonts w:ascii="Calibri" w:hAnsi="Calibri"/>
                <w:sz w:val="20"/>
                <w:szCs w:val="20"/>
              </w:rPr>
              <w:t xml:space="preserve">in </w:t>
            </w:r>
            <w:r w:rsidR="00F457CD" w:rsidRPr="00C53B7C">
              <w:rPr>
                <w:rFonts w:ascii="Calibri" w:hAnsi="Calibri"/>
                <w:sz w:val="20"/>
                <w:szCs w:val="20"/>
              </w:rPr>
              <w:t>8</w:t>
            </w:r>
            <w:r w:rsidR="00C00E5D" w:rsidRPr="00C53B7C">
              <w:rPr>
                <w:rFonts w:ascii="Calibri" w:hAnsi="Calibri"/>
                <w:sz w:val="20"/>
                <w:szCs w:val="20"/>
              </w:rPr>
              <w:t xml:space="preserve"> police stations across Guyana. </w:t>
            </w:r>
            <w:r w:rsidR="000B3CA4" w:rsidRPr="00C53B7C">
              <w:rPr>
                <w:rFonts w:ascii="Calibri" w:hAnsi="Calibri"/>
                <w:sz w:val="20"/>
                <w:szCs w:val="20"/>
              </w:rPr>
              <w:t xml:space="preserve">The CariSecure initiative and the Women's Health and </w:t>
            </w:r>
            <w:r w:rsidR="004C2EC4" w:rsidRPr="00C53B7C">
              <w:rPr>
                <w:rFonts w:ascii="Calibri" w:hAnsi="Calibri"/>
                <w:sz w:val="20"/>
                <w:szCs w:val="20"/>
              </w:rPr>
              <w:t xml:space="preserve">Life Experiences </w:t>
            </w:r>
            <w:r w:rsidR="000B3CA4" w:rsidRPr="00C53B7C">
              <w:rPr>
                <w:rFonts w:ascii="Calibri" w:hAnsi="Calibri"/>
                <w:sz w:val="20"/>
                <w:szCs w:val="20"/>
              </w:rPr>
              <w:t xml:space="preserve">survey (undertaken with USAID, </w:t>
            </w:r>
            <w:proofErr w:type="spellStart"/>
            <w:r w:rsidR="000B3CA4" w:rsidRPr="00C53B7C">
              <w:rPr>
                <w:rFonts w:ascii="Calibri" w:hAnsi="Calibri"/>
                <w:sz w:val="20"/>
                <w:szCs w:val="20"/>
              </w:rPr>
              <w:t>UNWomen</w:t>
            </w:r>
            <w:proofErr w:type="spellEnd"/>
            <w:r w:rsidR="000B3CA4" w:rsidRPr="00C53B7C">
              <w:rPr>
                <w:rFonts w:ascii="Calibri" w:hAnsi="Calibri"/>
                <w:sz w:val="20"/>
                <w:szCs w:val="20"/>
              </w:rPr>
              <w:t>, the Bureau of Statistics and the Inter-American Development Bank</w:t>
            </w:r>
            <w:r w:rsidR="004C2EC4" w:rsidRPr="00C53B7C">
              <w:rPr>
                <w:rFonts w:ascii="Calibri" w:hAnsi="Calibri"/>
                <w:sz w:val="20"/>
                <w:szCs w:val="20"/>
              </w:rPr>
              <w:t>, George Washington University and the University of Guyana</w:t>
            </w:r>
            <w:r w:rsidR="000B3CA4" w:rsidRPr="00C53B7C">
              <w:rPr>
                <w:rFonts w:ascii="Calibri" w:hAnsi="Calibri"/>
                <w:sz w:val="20"/>
                <w:szCs w:val="20"/>
              </w:rPr>
              <w:t xml:space="preserve">) collected and analysed data on the prevalence of gender-based violence in Guyana and has filled a significant and long-standing data gap. </w:t>
            </w:r>
            <w:r w:rsidR="00C00E5D" w:rsidRPr="00C53B7C">
              <w:rPr>
                <w:rFonts w:ascii="Calibri" w:hAnsi="Calibri"/>
                <w:sz w:val="20"/>
                <w:szCs w:val="20"/>
              </w:rPr>
              <w:t xml:space="preserve">The Spotlight intervention </w:t>
            </w:r>
            <w:r w:rsidR="00B729A0" w:rsidRPr="00C53B7C">
              <w:rPr>
                <w:rFonts w:ascii="Calibri" w:hAnsi="Calibri"/>
                <w:sz w:val="20"/>
                <w:szCs w:val="20"/>
              </w:rPr>
              <w:t xml:space="preserve">is presently </w:t>
            </w:r>
            <w:r w:rsidR="00C00E5D" w:rsidRPr="00C53B7C">
              <w:rPr>
                <w:rFonts w:ascii="Calibri" w:hAnsi="Calibri"/>
                <w:sz w:val="20"/>
                <w:szCs w:val="20"/>
              </w:rPr>
              <w:t>support</w:t>
            </w:r>
            <w:r w:rsidR="00B729A0" w:rsidRPr="00C53B7C">
              <w:rPr>
                <w:rFonts w:ascii="Calibri" w:hAnsi="Calibri"/>
                <w:sz w:val="20"/>
                <w:szCs w:val="20"/>
              </w:rPr>
              <w:t xml:space="preserve">ing </w:t>
            </w:r>
            <w:r w:rsidR="00C00E5D" w:rsidRPr="00C53B7C">
              <w:rPr>
                <w:rFonts w:ascii="Calibri" w:hAnsi="Calibri"/>
                <w:sz w:val="20"/>
                <w:szCs w:val="20"/>
              </w:rPr>
              <w:t xml:space="preserve">agencies involved in ending violence against women and girls with stronger data collection tools and protocols </w:t>
            </w:r>
            <w:r w:rsidR="00015047" w:rsidRPr="00C53B7C">
              <w:rPr>
                <w:rFonts w:ascii="Calibri" w:hAnsi="Calibri"/>
                <w:sz w:val="20"/>
                <w:szCs w:val="20"/>
              </w:rPr>
              <w:t xml:space="preserve">being </w:t>
            </w:r>
            <w:r w:rsidR="00C00E5D" w:rsidRPr="00C53B7C">
              <w:rPr>
                <w:rFonts w:ascii="Calibri" w:hAnsi="Calibri"/>
                <w:sz w:val="20"/>
                <w:szCs w:val="20"/>
              </w:rPr>
              <w:t>developed by UNDP.</w:t>
            </w:r>
            <w:r w:rsidR="000B3CA4" w:rsidRPr="00C53B7C">
              <w:rPr>
                <w:rFonts w:ascii="Calibri" w:hAnsi="Calibri"/>
                <w:sz w:val="20"/>
                <w:szCs w:val="20"/>
              </w:rPr>
              <w:t xml:space="preserve"> </w:t>
            </w:r>
          </w:p>
          <w:p w14:paraId="042342B3" w14:textId="77777777" w:rsidR="00C00E5D" w:rsidRPr="00C53B7C" w:rsidRDefault="00C00E5D" w:rsidP="00B4559B">
            <w:pPr>
              <w:jc w:val="both"/>
              <w:rPr>
                <w:rFonts w:ascii="Calibri" w:hAnsi="Calibri"/>
                <w:sz w:val="20"/>
                <w:szCs w:val="20"/>
              </w:rPr>
            </w:pPr>
          </w:p>
          <w:p w14:paraId="14DC35F0" w14:textId="42AFC347" w:rsidR="00C00E5D" w:rsidRPr="00C53B7C" w:rsidRDefault="00C00E5D" w:rsidP="00B4559B">
            <w:pPr>
              <w:jc w:val="both"/>
              <w:rPr>
                <w:rFonts w:ascii="Calibri" w:hAnsi="Calibri"/>
                <w:sz w:val="20"/>
                <w:szCs w:val="20"/>
              </w:rPr>
            </w:pPr>
            <w:r w:rsidRPr="00C53B7C">
              <w:rPr>
                <w:rFonts w:ascii="Calibri" w:hAnsi="Calibri"/>
                <w:sz w:val="20"/>
                <w:szCs w:val="20"/>
              </w:rPr>
              <w:t>Institutions strengthened to fulfil human rights obligations included (i) LGBTI</w:t>
            </w:r>
            <w:r w:rsidR="00B4559B" w:rsidRPr="00C53B7C">
              <w:rPr>
                <w:rFonts w:ascii="Calibri" w:hAnsi="Calibri"/>
                <w:sz w:val="20"/>
                <w:szCs w:val="20"/>
              </w:rPr>
              <w:t>+</w:t>
            </w:r>
            <w:r w:rsidRPr="00C53B7C">
              <w:rPr>
                <w:rFonts w:ascii="Calibri" w:hAnsi="Calibri"/>
                <w:sz w:val="20"/>
                <w:szCs w:val="20"/>
              </w:rPr>
              <w:t xml:space="preserve"> CSOs on lesbian visibility awareness support and impact of COVID-19 on physical &amp; emotional abuse of LGBTI persons; (ii) </w:t>
            </w:r>
            <w:r w:rsidR="00754C53" w:rsidRPr="00C53B7C">
              <w:rPr>
                <w:rFonts w:ascii="Calibri" w:hAnsi="Calibri"/>
                <w:sz w:val="20"/>
                <w:szCs w:val="20"/>
              </w:rPr>
              <w:t>the Roman Catholic Diocese of Guyana, in hosting a National Dialogue on Domestic Violence</w:t>
            </w:r>
            <w:r w:rsidRPr="00C53B7C">
              <w:rPr>
                <w:rFonts w:ascii="Calibri" w:hAnsi="Calibri"/>
                <w:sz w:val="20"/>
                <w:szCs w:val="20"/>
              </w:rPr>
              <w:t xml:space="preserve">; and (iii) the </w:t>
            </w:r>
            <w:r w:rsidR="00D217C3" w:rsidRPr="00C53B7C">
              <w:rPr>
                <w:rFonts w:ascii="Calibri" w:hAnsi="Calibri"/>
                <w:sz w:val="20"/>
                <w:szCs w:val="20"/>
              </w:rPr>
              <w:t>CDC</w:t>
            </w:r>
            <w:r w:rsidRPr="00C53B7C">
              <w:rPr>
                <w:rFonts w:ascii="Calibri" w:hAnsi="Calibri"/>
                <w:sz w:val="20"/>
                <w:szCs w:val="20"/>
              </w:rPr>
              <w:t>, equipped with a Socio-Economic Impact Assessment of COVID-19 on Households led by UNDP to strengthen the national policy response to COVID-19. In addition, the Executive and Judicia</w:t>
            </w:r>
            <w:r w:rsidR="000B3CA4" w:rsidRPr="00C53B7C">
              <w:rPr>
                <w:rFonts w:ascii="Calibri" w:hAnsi="Calibri"/>
                <w:sz w:val="20"/>
                <w:szCs w:val="20"/>
              </w:rPr>
              <w:t>ry branches now</w:t>
            </w:r>
            <w:r w:rsidRPr="00C53B7C">
              <w:rPr>
                <w:rFonts w:ascii="Calibri" w:hAnsi="Calibri"/>
                <w:sz w:val="20"/>
                <w:szCs w:val="20"/>
              </w:rPr>
              <w:t xml:space="preserve"> have a Justice Sector Needs Assessment containing relevant recommendations</w:t>
            </w:r>
            <w:r w:rsidR="000B3CA4" w:rsidRPr="00C53B7C">
              <w:rPr>
                <w:rFonts w:ascii="Calibri" w:hAnsi="Calibri"/>
                <w:sz w:val="20"/>
                <w:szCs w:val="20"/>
              </w:rPr>
              <w:t xml:space="preserve"> on </w:t>
            </w:r>
            <w:r w:rsidRPr="00C53B7C">
              <w:rPr>
                <w:rFonts w:ascii="Calibri" w:hAnsi="Calibri"/>
                <w:sz w:val="20"/>
                <w:szCs w:val="20"/>
              </w:rPr>
              <w:t xml:space="preserve">justice and security services </w:t>
            </w:r>
            <w:r w:rsidR="000B3CA4" w:rsidRPr="00C53B7C">
              <w:rPr>
                <w:rFonts w:ascii="Calibri" w:hAnsi="Calibri"/>
                <w:sz w:val="20"/>
                <w:szCs w:val="20"/>
              </w:rPr>
              <w:t>to prev</w:t>
            </w:r>
            <w:r w:rsidRPr="00C53B7C">
              <w:rPr>
                <w:rFonts w:ascii="Calibri" w:hAnsi="Calibri"/>
                <w:sz w:val="20"/>
                <w:szCs w:val="20"/>
              </w:rPr>
              <w:t>ent and address sexual and</w:t>
            </w:r>
            <w:r w:rsidR="000B3CA4" w:rsidRPr="00C53B7C">
              <w:rPr>
                <w:rFonts w:ascii="Calibri" w:hAnsi="Calibri"/>
                <w:sz w:val="20"/>
                <w:szCs w:val="20"/>
              </w:rPr>
              <w:t xml:space="preserve"> gender-based violence. </w:t>
            </w:r>
          </w:p>
          <w:p w14:paraId="0B4EED34" w14:textId="2F809C35" w:rsidR="00C00E5D" w:rsidRPr="00C53B7C" w:rsidRDefault="00C00E5D" w:rsidP="00B4559B">
            <w:pPr>
              <w:jc w:val="both"/>
              <w:rPr>
                <w:rFonts w:ascii="Calibri" w:hAnsi="Calibri"/>
                <w:sz w:val="20"/>
                <w:szCs w:val="20"/>
              </w:rPr>
            </w:pPr>
          </w:p>
          <w:p w14:paraId="5DE3FDE4" w14:textId="0F7477BA" w:rsidR="00262352" w:rsidRPr="00C53B7C" w:rsidRDefault="000B3CA4" w:rsidP="00B4559B">
            <w:pPr>
              <w:jc w:val="both"/>
              <w:rPr>
                <w:rFonts w:ascii="Calibri" w:hAnsi="Calibri"/>
                <w:sz w:val="20"/>
                <w:szCs w:val="20"/>
              </w:rPr>
            </w:pPr>
            <w:r w:rsidRPr="00C53B7C">
              <w:rPr>
                <w:rFonts w:ascii="Calibri" w:hAnsi="Calibri"/>
                <w:sz w:val="20"/>
                <w:szCs w:val="20"/>
              </w:rPr>
              <w:t xml:space="preserve">In addition, </w:t>
            </w:r>
            <w:r w:rsidR="00207447" w:rsidRPr="00C53B7C">
              <w:rPr>
                <w:rFonts w:ascii="Calibri" w:hAnsi="Calibri"/>
                <w:sz w:val="20"/>
                <w:szCs w:val="20"/>
              </w:rPr>
              <w:t xml:space="preserve">UNDP supported </w:t>
            </w:r>
            <w:r w:rsidR="00A87A3B" w:rsidRPr="00C53B7C">
              <w:rPr>
                <w:rFonts w:ascii="Calibri" w:hAnsi="Calibri"/>
                <w:sz w:val="20"/>
                <w:szCs w:val="20"/>
              </w:rPr>
              <w:t xml:space="preserve">some work related to </w:t>
            </w:r>
            <w:r w:rsidR="00262352" w:rsidRPr="00C53B7C">
              <w:rPr>
                <w:rFonts w:ascii="Calibri" w:hAnsi="Calibri"/>
                <w:sz w:val="20"/>
                <w:szCs w:val="20"/>
              </w:rPr>
              <w:t>constitutional</w:t>
            </w:r>
            <w:r w:rsidR="00207447" w:rsidRPr="00C53B7C">
              <w:rPr>
                <w:rFonts w:ascii="Calibri" w:hAnsi="Calibri"/>
                <w:sz w:val="20"/>
                <w:szCs w:val="20"/>
              </w:rPr>
              <w:t xml:space="preserve"> and electoral </w:t>
            </w:r>
            <w:r w:rsidR="00262352" w:rsidRPr="00C53B7C">
              <w:rPr>
                <w:rFonts w:ascii="Calibri" w:hAnsi="Calibri"/>
                <w:sz w:val="20"/>
                <w:szCs w:val="20"/>
              </w:rPr>
              <w:t>reform</w:t>
            </w:r>
            <w:r w:rsidR="00A87A3B" w:rsidRPr="00C53B7C">
              <w:rPr>
                <w:rFonts w:ascii="Calibri" w:hAnsi="Calibri"/>
                <w:sz w:val="20"/>
                <w:szCs w:val="20"/>
              </w:rPr>
              <w:t xml:space="preserve"> before the change in Administration. It in</w:t>
            </w:r>
            <w:r w:rsidR="008268E0" w:rsidRPr="00C53B7C">
              <w:rPr>
                <w:rFonts w:ascii="Calibri" w:hAnsi="Calibri"/>
                <w:sz w:val="20"/>
                <w:szCs w:val="20"/>
              </w:rPr>
              <w:t xml:space="preserve">volved </w:t>
            </w:r>
            <w:r w:rsidR="00A87A3B" w:rsidRPr="00C53B7C">
              <w:rPr>
                <w:rFonts w:ascii="Calibri" w:hAnsi="Calibri"/>
                <w:sz w:val="20"/>
                <w:szCs w:val="20"/>
              </w:rPr>
              <w:t xml:space="preserve">supporting the Office of the Prime Minister </w:t>
            </w:r>
            <w:r w:rsidR="00D217C3" w:rsidRPr="00C53B7C">
              <w:rPr>
                <w:rFonts w:ascii="Calibri" w:hAnsi="Calibri"/>
                <w:sz w:val="20"/>
                <w:szCs w:val="20"/>
              </w:rPr>
              <w:t xml:space="preserve">(OPM) </w:t>
            </w:r>
            <w:r w:rsidR="00A87A3B" w:rsidRPr="00C53B7C">
              <w:rPr>
                <w:rFonts w:ascii="Calibri" w:hAnsi="Calibri"/>
                <w:sz w:val="20"/>
                <w:szCs w:val="20"/>
              </w:rPr>
              <w:t>to develop a ne</w:t>
            </w:r>
            <w:r w:rsidR="008268E0" w:rsidRPr="00C53B7C">
              <w:rPr>
                <w:rFonts w:ascii="Calibri" w:hAnsi="Calibri"/>
                <w:sz w:val="20"/>
                <w:szCs w:val="20"/>
              </w:rPr>
              <w:t>e</w:t>
            </w:r>
            <w:r w:rsidR="00A87A3B" w:rsidRPr="00C53B7C">
              <w:rPr>
                <w:rFonts w:ascii="Calibri" w:hAnsi="Calibri"/>
                <w:sz w:val="20"/>
                <w:szCs w:val="20"/>
              </w:rPr>
              <w:t xml:space="preserve">ds assessment in 2017 </w:t>
            </w:r>
            <w:r w:rsidR="008268E0" w:rsidRPr="00C53B7C">
              <w:rPr>
                <w:rFonts w:ascii="Calibri" w:hAnsi="Calibri"/>
                <w:sz w:val="20"/>
                <w:szCs w:val="20"/>
              </w:rPr>
              <w:t>and a survey by th</w:t>
            </w:r>
            <w:r w:rsidR="00CA5B9C" w:rsidRPr="00C53B7C">
              <w:rPr>
                <w:rFonts w:ascii="Calibri" w:hAnsi="Calibri"/>
                <w:sz w:val="20"/>
                <w:szCs w:val="20"/>
              </w:rPr>
              <w:t>e</w:t>
            </w:r>
            <w:r w:rsidR="008268E0" w:rsidRPr="00C53B7C">
              <w:rPr>
                <w:rFonts w:ascii="Calibri" w:hAnsi="Calibri"/>
                <w:sz w:val="20"/>
                <w:szCs w:val="20"/>
              </w:rPr>
              <w:t xml:space="preserve"> </w:t>
            </w:r>
            <w:r w:rsidR="00D217C3" w:rsidRPr="00C53B7C">
              <w:rPr>
                <w:rFonts w:ascii="Calibri" w:hAnsi="Calibri"/>
                <w:sz w:val="20"/>
                <w:szCs w:val="20"/>
              </w:rPr>
              <w:t>UG</w:t>
            </w:r>
            <w:r w:rsidR="008268E0" w:rsidRPr="00C53B7C">
              <w:rPr>
                <w:rFonts w:ascii="Calibri" w:hAnsi="Calibri"/>
                <w:sz w:val="20"/>
                <w:szCs w:val="20"/>
              </w:rPr>
              <w:t xml:space="preserve"> on the views of urban citizens in relation to constitutional reform to develop Constitutional Reform (CR) educational materials.</w:t>
            </w:r>
            <w:r w:rsidR="00A87A3B" w:rsidRPr="00C53B7C">
              <w:rPr>
                <w:rFonts w:ascii="Calibri" w:hAnsi="Calibri"/>
                <w:sz w:val="20"/>
                <w:szCs w:val="20"/>
              </w:rPr>
              <w:t xml:space="preserve"> </w:t>
            </w:r>
            <w:r w:rsidR="00207447" w:rsidRPr="00C53B7C">
              <w:rPr>
                <w:rFonts w:ascii="Calibri" w:hAnsi="Calibri"/>
                <w:sz w:val="20"/>
                <w:szCs w:val="20"/>
              </w:rPr>
              <w:t xml:space="preserve"> As noted below, the process stalled but there have been </w:t>
            </w:r>
            <w:r w:rsidR="00262352" w:rsidRPr="00C53B7C">
              <w:rPr>
                <w:rFonts w:ascii="Calibri" w:hAnsi="Calibri"/>
                <w:sz w:val="20"/>
                <w:szCs w:val="20"/>
              </w:rPr>
              <w:t>renewed expressions of interest</w:t>
            </w:r>
            <w:r w:rsidR="00207447" w:rsidRPr="00C53B7C">
              <w:rPr>
                <w:rFonts w:ascii="Calibri" w:hAnsi="Calibri"/>
                <w:sz w:val="20"/>
                <w:szCs w:val="20"/>
              </w:rPr>
              <w:t xml:space="preserve"> from </w:t>
            </w:r>
            <w:r w:rsidR="00262352" w:rsidRPr="00C53B7C">
              <w:rPr>
                <w:rFonts w:ascii="Calibri" w:hAnsi="Calibri"/>
                <w:sz w:val="20"/>
                <w:szCs w:val="20"/>
              </w:rPr>
              <w:t>the Government, Parliamentary Opposition, Donors, Civil Society and Private Sector</w:t>
            </w:r>
            <w:r w:rsidR="00301625" w:rsidRPr="00C53B7C">
              <w:rPr>
                <w:rFonts w:ascii="Calibri" w:hAnsi="Calibri"/>
                <w:sz w:val="20"/>
                <w:szCs w:val="20"/>
              </w:rPr>
              <w:t xml:space="preserve"> in advancing Constitutional Reform</w:t>
            </w:r>
            <w:r w:rsidR="00262352" w:rsidRPr="00C53B7C">
              <w:rPr>
                <w:rFonts w:ascii="Calibri" w:hAnsi="Calibri"/>
                <w:sz w:val="20"/>
                <w:szCs w:val="20"/>
              </w:rPr>
              <w:t>.</w:t>
            </w:r>
          </w:p>
          <w:p w14:paraId="4E389EC4" w14:textId="6D2F9167" w:rsidR="00262352" w:rsidRPr="00C53B7C" w:rsidRDefault="00262352" w:rsidP="000D442A">
            <w:pPr>
              <w:rPr>
                <w:rFonts w:ascii="Calibri" w:hAnsi="Calibri"/>
                <w:sz w:val="20"/>
                <w:szCs w:val="20"/>
              </w:rPr>
            </w:pPr>
          </w:p>
          <w:p w14:paraId="7F0B6D4F" w14:textId="30E89EFD" w:rsidR="0006477F" w:rsidRPr="00C53B7C" w:rsidRDefault="000D442A" w:rsidP="00B4559B">
            <w:pPr>
              <w:jc w:val="both"/>
              <w:rPr>
                <w:rFonts w:ascii="Calibri" w:hAnsi="Calibri"/>
                <w:sz w:val="20"/>
                <w:szCs w:val="20"/>
              </w:rPr>
            </w:pPr>
            <w:r w:rsidRPr="00C53B7C">
              <w:rPr>
                <w:rFonts w:ascii="Calibri" w:hAnsi="Calibri"/>
                <w:i/>
                <w:iCs/>
                <w:sz w:val="20"/>
                <w:szCs w:val="20"/>
              </w:rPr>
              <w:t>(</w:t>
            </w:r>
            <w:r w:rsidR="00A313D2" w:rsidRPr="00C53B7C">
              <w:rPr>
                <w:rFonts w:ascii="Calibri" w:hAnsi="Calibri"/>
                <w:i/>
                <w:iCs/>
                <w:sz w:val="20"/>
                <w:szCs w:val="20"/>
              </w:rPr>
              <w:t xml:space="preserve">Output </w:t>
            </w:r>
            <w:r w:rsidRPr="00C53B7C">
              <w:rPr>
                <w:rFonts w:ascii="Calibri" w:hAnsi="Calibri"/>
                <w:i/>
                <w:iCs/>
                <w:sz w:val="20"/>
                <w:szCs w:val="20"/>
              </w:rPr>
              <w:t xml:space="preserve">2) </w:t>
            </w:r>
            <w:r w:rsidR="003F5765" w:rsidRPr="00C53B7C">
              <w:rPr>
                <w:rFonts w:ascii="Calibri" w:hAnsi="Calibri"/>
                <w:sz w:val="20"/>
                <w:szCs w:val="20"/>
              </w:rPr>
              <w:t xml:space="preserve">UNDP supported the creation of a </w:t>
            </w:r>
            <w:r w:rsidR="0006477F" w:rsidRPr="00C53B7C">
              <w:rPr>
                <w:rFonts w:ascii="Calibri" w:hAnsi="Calibri"/>
                <w:sz w:val="20"/>
                <w:szCs w:val="20"/>
              </w:rPr>
              <w:t>national social cohesion strategy in 2017</w:t>
            </w:r>
            <w:r w:rsidR="003F5765" w:rsidRPr="00C53B7C">
              <w:rPr>
                <w:rFonts w:ascii="Calibri" w:hAnsi="Calibri"/>
                <w:sz w:val="20"/>
                <w:szCs w:val="20"/>
              </w:rPr>
              <w:t xml:space="preserve"> (under a previous Government)</w:t>
            </w:r>
            <w:r w:rsidR="0006477F" w:rsidRPr="00C53B7C">
              <w:rPr>
                <w:rFonts w:ascii="Calibri" w:hAnsi="Calibri"/>
                <w:sz w:val="20"/>
                <w:szCs w:val="20"/>
              </w:rPr>
              <w:t xml:space="preserve">, </w:t>
            </w:r>
            <w:r w:rsidR="003F5765" w:rsidRPr="00C53B7C">
              <w:rPr>
                <w:rFonts w:ascii="Calibri" w:hAnsi="Calibri"/>
                <w:sz w:val="20"/>
                <w:szCs w:val="20"/>
              </w:rPr>
              <w:t>but it has not been implemented</w:t>
            </w:r>
            <w:r w:rsidR="00AD4183" w:rsidRPr="00C53B7C">
              <w:rPr>
                <w:rFonts w:ascii="Calibri" w:hAnsi="Calibri"/>
                <w:sz w:val="20"/>
                <w:szCs w:val="20"/>
              </w:rPr>
              <w:t xml:space="preserve"> since</w:t>
            </w:r>
            <w:r w:rsidR="003F5765" w:rsidRPr="00C53B7C">
              <w:rPr>
                <w:rFonts w:ascii="Calibri" w:hAnsi="Calibri"/>
                <w:sz w:val="20"/>
                <w:szCs w:val="20"/>
              </w:rPr>
              <w:t xml:space="preserve"> (see below). The CO remains involved in dialogue with the Government </w:t>
            </w:r>
            <w:r w:rsidR="00AD4183" w:rsidRPr="00C53B7C">
              <w:rPr>
                <w:rFonts w:ascii="Calibri" w:hAnsi="Calibri"/>
                <w:sz w:val="20"/>
                <w:szCs w:val="20"/>
              </w:rPr>
              <w:t xml:space="preserve">and other relevant national stakeholders </w:t>
            </w:r>
            <w:r w:rsidR="00FE40EA" w:rsidRPr="00C53B7C">
              <w:rPr>
                <w:rFonts w:ascii="Calibri" w:hAnsi="Calibri"/>
                <w:sz w:val="20"/>
                <w:szCs w:val="20"/>
              </w:rPr>
              <w:t xml:space="preserve">on Governance </w:t>
            </w:r>
            <w:r w:rsidR="003F5765" w:rsidRPr="00C53B7C">
              <w:rPr>
                <w:rFonts w:ascii="Calibri" w:hAnsi="Calibri"/>
                <w:sz w:val="20"/>
                <w:szCs w:val="20"/>
              </w:rPr>
              <w:t>regarding social cohesion initiatives (</w:t>
            </w:r>
            <w:proofErr w:type="spellStart"/>
            <w:r w:rsidR="00FE40EA" w:rsidRPr="00C53B7C">
              <w:rPr>
                <w:rFonts w:ascii="Calibri" w:hAnsi="Calibri"/>
                <w:sz w:val="20"/>
                <w:szCs w:val="20"/>
              </w:rPr>
              <w:t>eg.</w:t>
            </w:r>
            <w:proofErr w:type="spellEnd"/>
            <w:r w:rsidR="00FE40EA" w:rsidRPr="00C53B7C">
              <w:rPr>
                <w:rFonts w:ascii="Calibri" w:hAnsi="Calibri"/>
                <w:sz w:val="20"/>
                <w:szCs w:val="20"/>
              </w:rPr>
              <w:t xml:space="preserve"> t</w:t>
            </w:r>
            <w:r w:rsidR="0006477F" w:rsidRPr="00C53B7C">
              <w:rPr>
                <w:rFonts w:ascii="Calibri" w:hAnsi="Calibri"/>
                <w:sz w:val="20"/>
                <w:szCs w:val="20"/>
              </w:rPr>
              <w:t xml:space="preserve">he </w:t>
            </w:r>
            <w:r w:rsidR="00FE40EA" w:rsidRPr="00C53B7C">
              <w:rPr>
                <w:rFonts w:ascii="Calibri" w:hAnsi="Calibri"/>
                <w:sz w:val="20"/>
                <w:szCs w:val="20"/>
              </w:rPr>
              <w:t>S</w:t>
            </w:r>
            <w:r w:rsidR="0006477F" w:rsidRPr="00C53B7C">
              <w:rPr>
                <w:rFonts w:ascii="Calibri" w:hAnsi="Calibri"/>
                <w:sz w:val="20"/>
                <w:szCs w:val="20"/>
              </w:rPr>
              <w:t>peaker of the National Assembly engaged UNDP</w:t>
            </w:r>
            <w:r w:rsidR="00FE40EA" w:rsidRPr="00C53B7C">
              <w:rPr>
                <w:rFonts w:ascii="Calibri" w:hAnsi="Calibri"/>
                <w:sz w:val="20"/>
                <w:szCs w:val="20"/>
              </w:rPr>
              <w:t xml:space="preserve"> in 2020 </w:t>
            </w:r>
            <w:r w:rsidR="0006477F" w:rsidRPr="00C53B7C">
              <w:rPr>
                <w:rFonts w:ascii="Calibri" w:hAnsi="Calibri"/>
                <w:sz w:val="20"/>
                <w:szCs w:val="20"/>
              </w:rPr>
              <w:t xml:space="preserve">on pursuing </w:t>
            </w:r>
            <w:r w:rsidR="00FE40EA" w:rsidRPr="00C53B7C">
              <w:rPr>
                <w:rFonts w:ascii="Calibri" w:hAnsi="Calibri"/>
                <w:sz w:val="20"/>
                <w:szCs w:val="20"/>
              </w:rPr>
              <w:t>s</w:t>
            </w:r>
            <w:r w:rsidR="0006477F" w:rsidRPr="00C53B7C">
              <w:rPr>
                <w:rFonts w:ascii="Calibri" w:hAnsi="Calibri"/>
                <w:sz w:val="20"/>
                <w:szCs w:val="20"/>
              </w:rPr>
              <w:t>ocial</w:t>
            </w:r>
            <w:r w:rsidR="00FE40EA" w:rsidRPr="00C53B7C">
              <w:rPr>
                <w:rFonts w:ascii="Calibri" w:hAnsi="Calibri"/>
                <w:sz w:val="20"/>
                <w:szCs w:val="20"/>
              </w:rPr>
              <w:t xml:space="preserve"> c</w:t>
            </w:r>
            <w:r w:rsidR="0006477F" w:rsidRPr="00C53B7C">
              <w:rPr>
                <w:rFonts w:ascii="Calibri" w:hAnsi="Calibri"/>
                <w:sz w:val="20"/>
                <w:szCs w:val="20"/>
              </w:rPr>
              <w:t xml:space="preserve">ohesion </w:t>
            </w:r>
            <w:r w:rsidR="00FE40EA" w:rsidRPr="00C53B7C">
              <w:rPr>
                <w:rFonts w:ascii="Calibri" w:hAnsi="Calibri"/>
                <w:sz w:val="20"/>
                <w:szCs w:val="20"/>
              </w:rPr>
              <w:t>i</w:t>
            </w:r>
            <w:r w:rsidR="0006477F" w:rsidRPr="00C53B7C">
              <w:rPr>
                <w:rFonts w:ascii="Calibri" w:hAnsi="Calibri"/>
                <w:sz w:val="20"/>
                <w:szCs w:val="20"/>
              </w:rPr>
              <w:t>nitiatives</w:t>
            </w:r>
            <w:r w:rsidR="00FE40EA" w:rsidRPr="00C53B7C">
              <w:rPr>
                <w:rFonts w:ascii="Calibri" w:hAnsi="Calibri"/>
                <w:sz w:val="20"/>
                <w:szCs w:val="20"/>
              </w:rPr>
              <w:t xml:space="preserve">). </w:t>
            </w:r>
          </w:p>
          <w:p w14:paraId="0D46FA07" w14:textId="77777777" w:rsidR="00FE40EA" w:rsidRPr="00C53B7C" w:rsidRDefault="00FE40EA" w:rsidP="00B4559B">
            <w:pPr>
              <w:jc w:val="both"/>
              <w:rPr>
                <w:rFonts w:ascii="Calibri" w:hAnsi="Calibri"/>
                <w:sz w:val="20"/>
                <w:szCs w:val="20"/>
              </w:rPr>
            </w:pPr>
          </w:p>
          <w:p w14:paraId="7958CFBC" w14:textId="56B323C0" w:rsidR="00123295" w:rsidRPr="00C53B7C" w:rsidRDefault="000D442A" w:rsidP="00B4559B">
            <w:pPr>
              <w:jc w:val="both"/>
              <w:rPr>
                <w:rFonts w:ascii="Calibri" w:hAnsi="Calibri"/>
                <w:iCs/>
                <w:sz w:val="20"/>
                <w:szCs w:val="20"/>
              </w:rPr>
            </w:pPr>
            <w:r w:rsidRPr="00C53B7C">
              <w:rPr>
                <w:rFonts w:ascii="Calibri" w:hAnsi="Calibri"/>
                <w:i/>
                <w:iCs/>
                <w:sz w:val="20"/>
                <w:szCs w:val="20"/>
              </w:rPr>
              <w:lastRenderedPageBreak/>
              <w:t>(</w:t>
            </w:r>
            <w:r w:rsidR="00A313D2" w:rsidRPr="00C53B7C">
              <w:rPr>
                <w:rFonts w:ascii="Calibri" w:hAnsi="Calibri"/>
                <w:i/>
                <w:iCs/>
                <w:sz w:val="20"/>
                <w:szCs w:val="20"/>
              </w:rPr>
              <w:t xml:space="preserve">Output </w:t>
            </w:r>
            <w:r w:rsidRPr="00C53B7C">
              <w:rPr>
                <w:rFonts w:ascii="Calibri" w:hAnsi="Calibri"/>
                <w:i/>
                <w:iCs/>
                <w:sz w:val="20"/>
                <w:szCs w:val="20"/>
              </w:rPr>
              <w:t>3)</w:t>
            </w:r>
            <w:r w:rsidR="00A313D2" w:rsidRPr="00C53B7C">
              <w:rPr>
                <w:rFonts w:ascii="Calibri" w:hAnsi="Calibri"/>
                <w:i/>
                <w:iCs/>
                <w:sz w:val="20"/>
                <w:szCs w:val="20"/>
              </w:rPr>
              <w:t xml:space="preserve"> </w:t>
            </w:r>
            <w:r w:rsidR="00123295" w:rsidRPr="00C53B7C">
              <w:rPr>
                <w:rFonts w:ascii="Calibri" w:hAnsi="Calibri"/>
                <w:iCs/>
                <w:sz w:val="20"/>
                <w:szCs w:val="20"/>
              </w:rPr>
              <w:t xml:space="preserve">The implementation of the ICT for Hinterland, Poor and Remote Communities (HPRCs) initiative, intending to make available at least 200 </w:t>
            </w:r>
            <w:r w:rsidR="006E5C22" w:rsidRPr="00C53B7C">
              <w:rPr>
                <w:rFonts w:ascii="Calibri" w:hAnsi="Calibri"/>
                <w:iCs/>
                <w:sz w:val="20"/>
                <w:szCs w:val="20"/>
              </w:rPr>
              <w:t xml:space="preserve">community telecentres/hubs with </w:t>
            </w:r>
            <w:r w:rsidR="00123295" w:rsidRPr="00C53B7C">
              <w:rPr>
                <w:rFonts w:ascii="Calibri" w:hAnsi="Calibri"/>
                <w:iCs/>
                <w:sz w:val="20"/>
                <w:szCs w:val="20"/>
              </w:rPr>
              <w:t xml:space="preserve">e-Services to more than 580,000 persons living in Hinterland, Poor and Remote Communities of Guyana has a </w:t>
            </w:r>
            <w:r w:rsidR="001B43B4" w:rsidRPr="00C53B7C">
              <w:rPr>
                <w:rFonts w:ascii="Calibri" w:hAnsi="Calibri"/>
                <w:iCs/>
                <w:sz w:val="20"/>
                <w:szCs w:val="20"/>
              </w:rPr>
              <w:t xml:space="preserve">potentially </w:t>
            </w:r>
            <w:r w:rsidR="00123295" w:rsidRPr="00C53B7C">
              <w:rPr>
                <w:rFonts w:ascii="Calibri" w:hAnsi="Calibri"/>
                <w:iCs/>
                <w:sz w:val="20"/>
                <w:szCs w:val="20"/>
              </w:rPr>
              <w:t xml:space="preserve">transformative character and </w:t>
            </w:r>
            <w:r w:rsidR="001B43B4" w:rsidRPr="00C53B7C">
              <w:rPr>
                <w:rFonts w:ascii="Calibri" w:hAnsi="Calibri"/>
                <w:iCs/>
                <w:sz w:val="20"/>
                <w:szCs w:val="20"/>
              </w:rPr>
              <w:t>should</w:t>
            </w:r>
            <w:r w:rsidR="00123295" w:rsidRPr="00C53B7C">
              <w:rPr>
                <w:rFonts w:ascii="Calibri" w:hAnsi="Calibri"/>
                <w:iCs/>
                <w:sz w:val="20"/>
                <w:szCs w:val="20"/>
              </w:rPr>
              <w:t xml:space="preserve"> contribute to the bridging of the existing development gap between coastal and hinterland Guyana.</w:t>
            </w:r>
            <w:r w:rsidR="006B44C2" w:rsidRPr="00C53B7C">
              <w:rPr>
                <w:rFonts w:ascii="Calibri" w:hAnsi="Calibri"/>
                <w:iCs/>
                <w:sz w:val="20"/>
                <w:szCs w:val="20"/>
              </w:rPr>
              <w:t xml:space="preserve"> </w:t>
            </w:r>
            <w:r w:rsidR="00123295" w:rsidRPr="00C53B7C">
              <w:rPr>
                <w:rFonts w:ascii="Calibri" w:hAnsi="Calibri"/>
                <w:iCs/>
                <w:sz w:val="20"/>
                <w:szCs w:val="20"/>
              </w:rPr>
              <w:t xml:space="preserve">UNDP has worked closely with the Ministry of Public Telecommunications </w:t>
            </w:r>
            <w:r w:rsidR="00CA5B9C" w:rsidRPr="00C53B7C">
              <w:rPr>
                <w:rFonts w:ascii="Calibri" w:hAnsi="Calibri"/>
                <w:iCs/>
                <w:sz w:val="20"/>
                <w:szCs w:val="20"/>
              </w:rPr>
              <w:t xml:space="preserve">and now the </w:t>
            </w:r>
            <w:r w:rsidR="00D217C3" w:rsidRPr="00C53B7C">
              <w:rPr>
                <w:rFonts w:ascii="Calibri" w:hAnsi="Calibri"/>
                <w:iCs/>
                <w:sz w:val="20"/>
                <w:szCs w:val="20"/>
              </w:rPr>
              <w:t>OPM</w:t>
            </w:r>
            <w:r w:rsidR="00CA5B9C" w:rsidRPr="00C53B7C">
              <w:rPr>
                <w:rFonts w:ascii="Calibri" w:hAnsi="Calibri"/>
                <w:iCs/>
                <w:sz w:val="20"/>
                <w:szCs w:val="20"/>
              </w:rPr>
              <w:t xml:space="preserve"> </w:t>
            </w:r>
            <w:r w:rsidR="00123295" w:rsidRPr="00C53B7C">
              <w:rPr>
                <w:rFonts w:ascii="Calibri" w:hAnsi="Calibri"/>
                <w:iCs/>
                <w:sz w:val="20"/>
                <w:szCs w:val="20"/>
              </w:rPr>
              <w:t>to expand infrastructure and connectivity to new areas. It has progresse</w:t>
            </w:r>
            <w:r w:rsidR="001B43B4" w:rsidRPr="00C53B7C">
              <w:rPr>
                <w:rFonts w:ascii="Calibri" w:hAnsi="Calibri"/>
                <w:iCs/>
                <w:sz w:val="20"/>
                <w:szCs w:val="20"/>
              </w:rPr>
              <w:t>d</w:t>
            </w:r>
            <w:r w:rsidR="00123295" w:rsidRPr="00C53B7C">
              <w:rPr>
                <w:rFonts w:ascii="Calibri" w:hAnsi="Calibri"/>
                <w:iCs/>
                <w:sz w:val="20"/>
                <w:szCs w:val="20"/>
              </w:rPr>
              <w:t xml:space="preserve"> well, surpassing the target indicators both for newly served communities and the number of persons using e-Services. </w:t>
            </w:r>
            <w:r w:rsidR="006B44C2" w:rsidRPr="00C53B7C">
              <w:rPr>
                <w:rFonts w:ascii="Calibri" w:hAnsi="Calibri"/>
                <w:iCs/>
                <w:sz w:val="20"/>
                <w:szCs w:val="20"/>
              </w:rPr>
              <w:t>The rollout of the initiative will provide useful data to inform on gender inequalities, and in parallel the initiative needs to incorporate</w:t>
            </w:r>
            <w:r w:rsidR="006D20BC" w:rsidRPr="00C53B7C">
              <w:rPr>
                <w:rFonts w:ascii="Calibri" w:hAnsi="Calibri"/>
                <w:iCs/>
                <w:sz w:val="20"/>
                <w:szCs w:val="20"/>
              </w:rPr>
              <w:t xml:space="preserve"> gender factors to empower women as users of ICT as well as </w:t>
            </w:r>
            <w:r w:rsidR="00262352" w:rsidRPr="00C53B7C">
              <w:rPr>
                <w:rFonts w:ascii="Calibri" w:hAnsi="Calibri"/>
                <w:iCs/>
                <w:sz w:val="20"/>
                <w:szCs w:val="20"/>
              </w:rPr>
              <w:t xml:space="preserve">for their consideration as </w:t>
            </w:r>
            <w:r w:rsidR="006D20BC" w:rsidRPr="00C53B7C">
              <w:rPr>
                <w:rFonts w:ascii="Calibri" w:hAnsi="Calibri"/>
                <w:iCs/>
                <w:sz w:val="20"/>
                <w:szCs w:val="20"/>
              </w:rPr>
              <w:t>a distinct stakeholder group.</w:t>
            </w:r>
          </w:p>
          <w:p w14:paraId="5F2669FD" w14:textId="77777777" w:rsidR="00123295" w:rsidRPr="00C53B7C" w:rsidRDefault="00123295" w:rsidP="00B4559B">
            <w:pPr>
              <w:pStyle w:val="BodyText2"/>
              <w:autoSpaceDE/>
              <w:autoSpaceDN/>
              <w:adjustRightInd/>
              <w:jc w:val="both"/>
              <w:rPr>
                <w:rFonts w:ascii="Calibri" w:hAnsi="Calibri"/>
                <w:iCs/>
                <w:szCs w:val="20"/>
              </w:rPr>
            </w:pPr>
          </w:p>
          <w:p w14:paraId="26145617" w14:textId="12096348" w:rsidR="0077162B" w:rsidRPr="00C53B7C" w:rsidRDefault="0077162B" w:rsidP="00B4559B">
            <w:pPr>
              <w:pStyle w:val="BodyText2"/>
              <w:jc w:val="both"/>
              <w:rPr>
                <w:rFonts w:ascii="Calibri" w:hAnsi="Calibri"/>
                <w:iCs/>
                <w:szCs w:val="20"/>
                <w:u w:val="single"/>
                <w:lang w:val="en-GB"/>
              </w:rPr>
            </w:pPr>
            <w:r w:rsidRPr="00C53B7C">
              <w:rPr>
                <w:rFonts w:ascii="Calibri" w:hAnsi="Calibri"/>
                <w:iCs/>
                <w:szCs w:val="20"/>
                <w:u w:val="single"/>
                <w:lang w:val="en-GB"/>
              </w:rPr>
              <w:t>Limitations</w:t>
            </w:r>
          </w:p>
          <w:p w14:paraId="137547A0" w14:textId="77777777" w:rsidR="001B43B4" w:rsidRPr="00C53B7C" w:rsidRDefault="001B43B4" w:rsidP="00B4559B">
            <w:pPr>
              <w:pStyle w:val="BodyText2"/>
              <w:jc w:val="both"/>
              <w:rPr>
                <w:rFonts w:ascii="Calibri" w:hAnsi="Calibri"/>
                <w:iCs/>
                <w:szCs w:val="20"/>
              </w:rPr>
            </w:pPr>
          </w:p>
          <w:p w14:paraId="2DE5E9D4" w14:textId="6ACAD398" w:rsidR="00C05BC6" w:rsidRPr="00C53B7C" w:rsidRDefault="00262352" w:rsidP="00B4559B">
            <w:pPr>
              <w:pStyle w:val="BodyText2"/>
              <w:autoSpaceDE/>
              <w:autoSpaceDN/>
              <w:adjustRightInd/>
              <w:jc w:val="both"/>
              <w:rPr>
                <w:rFonts w:ascii="Calibri" w:hAnsi="Calibri"/>
                <w:iCs/>
                <w:szCs w:val="20"/>
              </w:rPr>
            </w:pPr>
            <w:r w:rsidRPr="00C53B7C">
              <w:rPr>
                <w:rFonts w:ascii="Calibri" w:hAnsi="Calibri"/>
                <w:iCs/>
                <w:szCs w:val="20"/>
              </w:rPr>
              <w:t xml:space="preserve">UNDP’s support </w:t>
            </w:r>
            <w:r w:rsidR="00F7404D" w:rsidRPr="00C53B7C">
              <w:rPr>
                <w:rFonts w:ascii="Calibri" w:hAnsi="Calibri"/>
                <w:iCs/>
                <w:szCs w:val="20"/>
              </w:rPr>
              <w:t xml:space="preserve">to </w:t>
            </w:r>
            <w:r w:rsidRPr="00C53B7C">
              <w:rPr>
                <w:rFonts w:ascii="Calibri" w:hAnsi="Calibri"/>
                <w:iCs/>
                <w:szCs w:val="20"/>
              </w:rPr>
              <w:t xml:space="preserve">the Guyana Elections Commission (GECOM) did not materialize, </w:t>
            </w:r>
            <w:r w:rsidR="0006477F" w:rsidRPr="00C53B7C">
              <w:rPr>
                <w:rFonts w:ascii="Calibri" w:hAnsi="Calibri"/>
                <w:iCs/>
                <w:szCs w:val="20"/>
              </w:rPr>
              <w:t xml:space="preserve">in part from </w:t>
            </w:r>
            <w:r w:rsidRPr="00C53B7C">
              <w:rPr>
                <w:rFonts w:ascii="Calibri" w:hAnsi="Calibri"/>
                <w:iCs/>
                <w:szCs w:val="20"/>
              </w:rPr>
              <w:t xml:space="preserve">differences of some GECOM members about the approach of the Resident </w:t>
            </w:r>
            <w:r w:rsidR="00C05BC6" w:rsidRPr="00C53B7C">
              <w:rPr>
                <w:rFonts w:ascii="Calibri" w:hAnsi="Calibri"/>
                <w:iCs/>
                <w:szCs w:val="20"/>
              </w:rPr>
              <w:t xml:space="preserve">Coordinator. Progress on constitutional reform was also impeded, despite earlier work by UNDP, due to </w:t>
            </w:r>
            <w:r w:rsidRPr="00C53B7C">
              <w:rPr>
                <w:rFonts w:ascii="Calibri" w:hAnsi="Calibri"/>
                <w:iCs/>
                <w:szCs w:val="20"/>
              </w:rPr>
              <w:t xml:space="preserve">funding constraints and uncertainties in </w:t>
            </w:r>
            <w:r w:rsidR="00C05BC6" w:rsidRPr="00C53B7C">
              <w:rPr>
                <w:rFonts w:ascii="Calibri" w:hAnsi="Calibri"/>
                <w:iCs/>
                <w:szCs w:val="20"/>
              </w:rPr>
              <w:t xml:space="preserve">key stakeholders’ </w:t>
            </w:r>
            <w:r w:rsidRPr="00C53B7C">
              <w:rPr>
                <w:rFonts w:ascii="Calibri" w:hAnsi="Calibri"/>
                <w:iCs/>
                <w:szCs w:val="20"/>
              </w:rPr>
              <w:t>commitment</w:t>
            </w:r>
            <w:r w:rsidR="00C05BC6" w:rsidRPr="00C53B7C">
              <w:rPr>
                <w:rFonts w:ascii="Calibri" w:hAnsi="Calibri"/>
                <w:iCs/>
                <w:szCs w:val="20"/>
              </w:rPr>
              <w:t xml:space="preserve">. </w:t>
            </w:r>
            <w:r w:rsidRPr="00C53B7C">
              <w:rPr>
                <w:rFonts w:ascii="Calibri" w:hAnsi="Calibri"/>
                <w:iCs/>
                <w:szCs w:val="20"/>
              </w:rPr>
              <w:t xml:space="preserve">Support to sub-national Governments in planning, budgeting and monitoring systems and SDGs localization </w:t>
            </w:r>
            <w:r w:rsidR="00C05BC6" w:rsidRPr="00C53B7C">
              <w:rPr>
                <w:rFonts w:ascii="Calibri" w:hAnsi="Calibri"/>
                <w:iCs/>
                <w:szCs w:val="20"/>
              </w:rPr>
              <w:t>was also adversely affected by the uncertain political climate</w:t>
            </w:r>
            <w:r w:rsidR="00673766" w:rsidRPr="00C53B7C">
              <w:rPr>
                <w:rFonts w:ascii="Calibri" w:hAnsi="Calibri"/>
                <w:iCs/>
                <w:szCs w:val="20"/>
              </w:rPr>
              <w:t>, as many of the sub-national officers involved would be appointed based on election results.</w:t>
            </w:r>
            <w:r w:rsidR="00C05BC6" w:rsidRPr="00C53B7C">
              <w:rPr>
                <w:rFonts w:ascii="Calibri" w:hAnsi="Calibri"/>
                <w:iCs/>
                <w:szCs w:val="20"/>
              </w:rPr>
              <w:t xml:space="preserve"> </w:t>
            </w:r>
          </w:p>
          <w:p w14:paraId="5417AF1F" w14:textId="77777777" w:rsidR="00262352" w:rsidRPr="00C53B7C" w:rsidRDefault="00262352" w:rsidP="00B4559B">
            <w:pPr>
              <w:pStyle w:val="BodyText2"/>
              <w:autoSpaceDE/>
              <w:autoSpaceDN/>
              <w:adjustRightInd/>
              <w:jc w:val="both"/>
              <w:rPr>
                <w:rFonts w:ascii="Calibri" w:hAnsi="Calibri"/>
                <w:iCs/>
                <w:szCs w:val="20"/>
              </w:rPr>
            </w:pPr>
          </w:p>
          <w:p w14:paraId="49D09E08" w14:textId="63126E82" w:rsidR="001B43B4" w:rsidRPr="00C53B7C" w:rsidRDefault="001B43B4" w:rsidP="00B4559B">
            <w:pPr>
              <w:pStyle w:val="BodyText2"/>
              <w:autoSpaceDE/>
              <w:autoSpaceDN/>
              <w:adjustRightInd/>
              <w:jc w:val="both"/>
              <w:rPr>
                <w:rFonts w:ascii="Calibri" w:hAnsi="Calibri"/>
                <w:iCs/>
                <w:szCs w:val="20"/>
              </w:rPr>
            </w:pPr>
            <w:r w:rsidRPr="00C53B7C">
              <w:rPr>
                <w:rFonts w:ascii="Calibri" w:hAnsi="Calibri"/>
                <w:iCs/>
                <w:szCs w:val="20"/>
              </w:rPr>
              <w:t xml:space="preserve">Despite the overall positive progress on the ICT for HPRCs initiative, there were delays in 2020 that limited the desired flow of results. </w:t>
            </w:r>
            <w:r w:rsidR="00B4559B" w:rsidRPr="00C53B7C">
              <w:rPr>
                <w:rFonts w:ascii="Calibri" w:hAnsi="Calibri"/>
                <w:iCs/>
                <w:szCs w:val="20"/>
              </w:rPr>
              <w:t xml:space="preserve">These included </w:t>
            </w:r>
            <w:r w:rsidRPr="00C53B7C">
              <w:rPr>
                <w:rFonts w:ascii="Calibri" w:hAnsi="Calibri"/>
                <w:iCs/>
                <w:szCs w:val="20"/>
              </w:rPr>
              <w:t xml:space="preserve">the uncertain political climate until the elections results of August 2020 and COVID 19 containment measures (shared with other projects in the portfolio), as well as low implementation capacity in the Project Management Unit (PMU) and slow response time from National Partners required to provide technical inputs. New impetus from the </w:t>
            </w:r>
            <w:r w:rsidR="00D217C3" w:rsidRPr="00C53B7C">
              <w:rPr>
                <w:rFonts w:ascii="Calibri" w:hAnsi="Calibri"/>
                <w:iCs/>
                <w:szCs w:val="20"/>
              </w:rPr>
              <w:t>OPM</w:t>
            </w:r>
            <w:r w:rsidR="00673766" w:rsidRPr="00C53B7C">
              <w:rPr>
                <w:rFonts w:ascii="Calibri" w:hAnsi="Calibri"/>
                <w:iCs/>
                <w:szCs w:val="20"/>
              </w:rPr>
              <w:t xml:space="preserve"> is expect</w:t>
            </w:r>
            <w:r w:rsidR="00D217C3" w:rsidRPr="00C53B7C">
              <w:rPr>
                <w:rFonts w:ascii="Calibri" w:hAnsi="Calibri"/>
                <w:iCs/>
                <w:szCs w:val="20"/>
              </w:rPr>
              <w:t>ed</w:t>
            </w:r>
            <w:r w:rsidR="00673766" w:rsidRPr="00C53B7C">
              <w:rPr>
                <w:rFonts w:ascii="Calibri" w:hAnsi="Calibri"/>
                <w:iCs/>
                <w:szCs w:val="20"/>
              </w:rPr>
              <w:t xml:space="preserve"> to propel </w:t>
            </w:r>
            <w:r w:rsidRPr="00C53B7C">
              <w:rPr>
                <w:rFonts w:ascii="Calibri" w:hAnsi="Calibri"/>
                <w:iCs/>
                <w:szCs w:val="20"/>
              </w:rPr>
              <w:t>the process forward in 2021</w:t>
            </w:r>
            <w:r w:rsidR="00673766" w:rsidRPr="00C53B7C">
              <w:rPr>
                <w:rFonts w:ascii="Calibri" w:hAnsi="Calibri"/>
                <w:iCs/>
                <w:szCs w:val="20"/>
              </w:rPr>
              <w:t>.</w:t>
            </w:r>
          </w:p>
          <w:p w14:paraId="0D328113" w14:textId="658E670E" w:rsidR="0077162B" w:rsidRPr="00C53B7C" w:rsidRDefault="0077162B" w:rsidP="00B4559B">
            <w:pPr>
              <w:pStyle w:val="BodyText2"/>
              <w:jc w:val="both"/>
              <w:rPr>
                <w:rFonts w:ascii="Calibri" w:hAnsi="Calibri"/>
                <w:iCs/>
                <w:szCs w:val="20"/>
              </w:rPr>
            </w:pPr>
          </w:p>
          <w:p w14:paraId="0C86207D" w14:textId="25BC1A9F" w:rsidR="00123295" w:rsidRPr="00C53B7C" w:rsidRDefault="0077162B" w:rsidP="00B4559B">
            <w:pPr>
              <w:pStyle w:val="BodyText2"/>
              <w:jc w:val="both"/>
              <w:rPr>
                <w:rFonts w:ascii="Calibri" w:hAnsi="Calibri"/>
                <w:iCs/>
                <w:szCs w:val="20"/>
              </w:rPr>
            </w:pPr>
            <w:r w:rsidRPr="00C53B7C">
              <w:rPr>
                <w:rFonts w:ascii="Calibri" w:hAnsi="Calibri"/>
                <w:iCs/>
                <w:szCs w:val="20"/>
              </w:rPr>
              <w:t xml:space="preserve">Work did not advance sufficiently to properly </w:t>
            </w:r>
            <w:r w:rsidR="00123295" w:rsidRPr="00C53B7C">
              <w:rPr>
                <w:rFonts w:ascii="Calibri" w:hAnsi="Calibri"/>
                <w:iCs/>
                <w:szCs w:val="20"/>
              </w:rPr>
              <w:t xml:space="preserve">assess changes </w:t>
            </w:r>
            <w:r w:rsidRPr="00C53B7C">
              <w:rPr>
                <w:rFonts w:ascii="Calibri" w:hAnsi="Calibri"/>
                <w:iCs/>
                <w:szCs w:val="20"/>
              </w:rPr>
              <w:t>on levels of public confidence in the delivery of public services</w:t>
            </w:r>
            <w:r w:rsidR="00123295" w:rsidRPr="00C53B7C">
              <w:rPr>
                <w:rFonts w:ascii="Calibri" w:hAnsi="Calibri"/>
                <w:iCs/>
                <w:szCs w:val="20"/>
              </w:rPr>
              <w:t xml:space="preserve">. </w:t>
            </w:r>
            <w:r w:rsidRPr="00C53B7C">
              <w:rPr>
                <w:rFonts w:ascii="Calibri" w:hAnsi="Calibri"/>
                <w:iCs/>
                <w:szCs w:val="20"/>
              </w:rPr>
              <w:t>This measurement hinges on the decentralisation of services through ICT as well as assistance being provided to the subnational government and administrations to have functioning planning</w:t>
            </w:r>
            <w:r w:rsidR="00B4559B" w:rsidRPr="00C53B7C">
              <w:rPr>
                <w:rFonts w:ascii="Calibri" w:hAnsi="Calibri"/>
                <w:iCs/>
                <w:szCs w:val="20"/>
              </w:rPr>
              <w:t>,</w:t>
            </w:r>
            <w:r w:rsidRPr="00C53B7C">
              <w:rPr>
                <w:rFonts w:ascii="Calibri" w:hAnsi="Calibri"/>
                <w:iCs/>
                <w:szCs w:val="20"/>
              </w:rPr>
              <w:t xml:space="preserve"> budgeting and monitoring systems in place. </w:t>
            </w:r>
            <w:r w:rsidR="00673766" w:rsidRPr="00C53B7C">
              <w:rPr>
                <w:rFonts w:ascii="Calibri" w:hAnsi="Calibri"/>
                <w:iCs/>
                <w:szCs w:val="20"/>
              </w:rPr>
              <w:t>It may be considered that p</w:t>
            </w:r>
            <w:r w:rsidR="00123295" w:rsidRPr="00C53B7C">
              <w:rPr>
                <w:rFonts w:ascii="Calibri" w:hAnsi="Calibri"/>
                <w:iCs/>
                <w:szCs w:val="20"/>
              </w:rPr>
              <w:t xml:space="preserve">romising expressions from the </w:t>
            </w:r>
            <w:r w:rsidR="00D217C3" w:rsidRPr="00C53B7C">
              <w:rPr>
                <w:rFonts w:ascii="Calibri" w:hAnsi="Calibri"/>
                <w:iCs/>
                <w:szCs w:val="20"/>
              </w:rPr>
              <w:t>OPM</w:t>
            </w:r>
            <w:r w:rsidRPr="00C53B7C">
              <w:rPr>
                <w:rFonts w:ascii="Calibri" w:hAnsi="Calibri"/>
                <w:iCs/>
                <w:szCs w:val="20"/>
              </w:rPr>
              <w:t xml:space="preserve"> </w:t>
            </w:r>
            <w:r w:rsidR="00123295" w:rsidRPr="00C53B7C">
              <w:rPr>
                <w:rFonts w:ascii="Calibri" w:hAnsi="Calibri"/>
                <w:iCs/>
                <w:szCs w:val="20"/>
              </w:rPr>
              <w:t xml:space="preserve">towards the implementation of these actions </w:t>
            </w:r>
            <w:r w:rsidR="00673766" w:rsidRPr="00C53B7C">
              <w:rPr>
                <w:rFonts w:ascii="Calibri" w:hAnsi="Calibri"/>
                <w:iCs/>
                <w:szCs w:val="20"/>
              </w:rPr>
              <w:t xml:space="preserve">could </w:t>
            </w:r>
            <w:r w:rsidR="00123295" w:rsidRPr="00C53B7C">
              <w:rPr>
                <w:rFonts w:ascii="Calibri" w:hAnsi="Calibri"/>
                <w:iCs/>
                <w:szCs w:val="20"/>
              </w:rPr>
              <w:t xml:space="preserve">lead to engagement of regional and local Administrations to extend implementation of such tools and services. </w:t>
            </w:r>
          </w:p>
          <w:p w14:paraId="219EAFB7" w14:textId="5FC7CF34" w:rsidR="0006477F" w:rsidRPr="00C53B7C" w:rsidRDefault="0006477F" w:rsidP="00B4559B">
            <w:pPr>
              <w:pStyle w:val="BodyText2"/>
              <w:jc w:val="both"/>
              <w:rPr>
                <w:rFonts w:ascii="Calibri" w:hAnsi="Calibri"/>
                <w:iCs/>
                <w:szCs w:val="20"/>
              </w:rPr>
            </w:pPr>
          </w:p>
          <w:p w14:paraId="6D128C4C" w14:textId="6507ECB3" w:rsidR="003F5765" w:rsidRPr="00C53B7C" w:rsidRDefault="0006477F" w:rsidP="00B4559B">
            <w:pPr>
              <w:pStyle w:val="BodyText2"/>
              <w:jc w:val="both"/>
              <w:rPr>
                <w:rFonts w:ascii="Calibri" w:hAnsi="Calibri"/>
                <w:iCs/>
                <w:szCs w:val="20"/>
              </w:rPr>
            </w:pPr>
            <w:r w:rsidRPr="00C53B7C">
              <w:rPr>
                <w:rFonts w:ascii="Calibri" w:hAnsi="Calibri"/>
                <w:iCs/>
                <w:szCs w:val="20"/>
              </w:rPr>
              <w:t>Funding could not be secured for the implementation of a national social cohesion strategy, affecting UNDP's pursuit of institutional strengthening and capacity building for effective governance in the area of social cohesion.</w:t>
            </w:r>
            <w:r w:rsidR="003F5765" w:rsidRPr="00C53B7C">
              <w:rPr>
                <w:rFonts w:ascii="Calibri" w:hAnsi="Calibri"/>
                <w:iCs/>
                <w:szCs w:val="20"/>
              </w:rPr>
              <w:t xml:space="preserve"> This is a particularly timely issue, given the extended period of heightened political tension (since the vote of no-confidence in 2018) in which the country has lived – including racially-incited violent episodes in September 2020. The Government has indicated its willingness to launch a process of national</w:t>
            </w:r>
            <w:r w:rsidR="00B4559B" w:rsidRPr="00C53B7C">
              <w:rPr>
                <w:rFonts w:ascii="Calibri" w:hAnsi="Calibri"/>
                <w:iCs/>
                <w:szCs w:val="20"/>
              </w:rPr>
              <w:t xml:space="preserve"> conversation</w:t>
            </w:r>
            <w:r w:rsidR="003F5765" w:rsidRPr="00C53B7C">
              <w:rPr>
                <w:rFonts w:ascii="Calibri" w:hAnsi="Calibri"/>
                <w:iCs/>
                <w:szCs w:val="20"/>
              </w:rPr>
              <w:t xml:space="preserve"> and dialogue on peaceful coexistence, and UNDP will </w:t>
            </w:r>
            <w:r w:rsidR="00E4370A" w:rsidRPr="00C53B7C">
              <w:rPr>
                <w:rFonts w:ascii="Calibri" w:hAnsi="Calibri"/>
                <w:iCs/>
                <w:szCs w:val="20"/>
              </w:rPr>
              <w:t xml:space="preserve">seek to offer support. </w:t>
            </w:r>
          </w:p>
          <w:p w14:paraId="66536D34" w14:textId="77777777" w:rsidR="00CD4017" w:rsidRPr="00C53B7C" w:rsidRDefault="00CD4017" w:rsidP="00123295">
            <w:pPr>
              <w:pStyle w:val="BodyText2"/>
              <w:rPr>
                <w:rFonts w:ascii="Calibri" w:hAnsi="Calibri"/>
                <w:szCs w:val="20"/>
                <w:u w:val="single"/>
              </w:rPr>
            </w:pPr>
          </w:p>
        </w:tc>
      </w:tr>
      <w:tr w:rsidR="00CD4017" w:rsidRPr="00C53B7C" w14:paraId="23D20A73" w14:textId="77777777" w:rsidTr="00B80E8A">
        <w:tc>
          <w:tcPr>
            <w:tcW w:w="14040" w:type="dxa"/>
            <w:gridSpan w:val="4"/>
            <w:shd w:val="clear" w:color="auto" w:fill="BFBFBF" w:themeFill="background1" w:themeFillShade="BF"/>
          </w:tcPr>
          <w:p w14:paraId="2503F4C6" w14:textId="77777777" w:rsidR="00CD4017" w:rsidRPr="00C53B7C" w:rsidRDefault="00CD4017" w:rsidP="003F4D86">
            <w:pPr>
              <w:pStyle w:val="BodyText2"/>
              <w:jc w:val="center"/>
              <w:rPr>
                <w:rFonts w:ascii="Calibri" w:hAnsi="Calibri"/>
                <w:b/>
                <w:szCs w:val="20"/>
                <w:highlight w:val="magenta"/>
              </w:rPr>
            </w:pPr>
          </w:p>
        </w:tc>
      </w:tr>
      <w:tr w:rsidR="003B11CB" w:rsidRPr="00C53B7C" w14:paraId="2163A3C5" w14:textId="77777777" w:rsidTr="00B80E8A">
        <w:tc>
          <w:tcPr>
            <w:tcW w:w="14040" w:type="dxa"/>
            <w:gridSpan w:val="4"/>
          </w:tcPr>
          <w:p w14:paraId="109C77F7" w14:textId="77777777" w:rsidR="003B11CB" w:rsidRPr="00C53B7C" w:rsidRDefault="003B11CB" w:rsidP="003F4D86">
            <w:pPr>
              <w:rPr>
                <w:rFonts w:ascii="Calibri" w:hAnsi="Calibri"/>
                <w:sz w:val="20"/>
                <w:szCs w:val="20"/>
                <w:u w:val="single"/>
              </w:rPr>
            </w:pPr>
            <w:r w:rsidRPr="00C53B7C">
              <w:rPr>
                <w:rFonts w:ascii="Calibri" w:hAnsi="Calibri"/>
                <w:sz w:val="20"/>
                <w:szCs w:val="20"/>
                <w:u w:val="single"/>
              </w:rPr>
              <w:t>Summary of evaluation findings (e.g. from outcome and project evaluations, UNDAF reviews, and other assessments)</w:t>
            </w:r>
          </w:p>
          <w:p w14:paraId="5DB2ECE3" w14:textId="12B79AD7" w:rsidR="003B11CB" w:rsidRPr="00C53B7C" w:rsidRDefault="003B11CB" w:rsidP="00B4559B">
            <w:pPr>
              <w:jc w:val="both"/>
              <w:rPr>
                <w:rFonts w:ascii="Calibri" w:hAnsi="Calibri"/>
                <w:i/>
                <w:sz w:val="20"/>
                <w:szCs w:val="20"/>
              </w:rPr>
            </w:pPr>
            <w:r w:rsidRPr="00C53B7C">
              <w:rPr>
                <w:rFonts w:ascii="Calibri" w:hAnsi="Calibri"/>
                <w:i/>
                <w:sz w:val="20"/>
                <w:szCs w:val="20"/>
              </w:rPr>
              <w:t>Based on the  evaluations and/or assessments undertaken please provide a brief summary of the overall findings on the CP for the 5-year period in terms of performance effectiveness and efficiency and key achievements and lessons learned. Maximum 500 words.</w:t>
            </w:r>
          </w:p>
          <w:p w14:paraId="3436961C" w14:textId="77777777" w:rsidR="003B11CB" w:rsidRPr="00C53B7C" w:rsidRDefault="003B11CB" w:rsidP="00B4559B">
            <w:pPr>
              <w:jc w:val="both"/>
              <w:rPr>
                <w:rFonts w:ascii="Calibri" w:hAnsi="Calibri"/>
                <w:sz w:val="20"/>
                <w:szCs w:val="20"/>
              </w:rPr>
            </w:pPr>
          </w:p>
          <w:p w14:paraId="2D297B40" w14:textId="06812686" w:rsidR="003B11CB" w:rsidRPr="00C53B7C" w:rsidRDefault="003B11CB" w:rsidP="00B4559B">
            <w:pPr>
              <w:jc w:val="both"/>
              <w:rPr>
                <w:rFonts w:ascii="Calibri" w:hAnsi="Calibri"/>
                <w:sz w:val="20"/>
                <w:szCs w:val="20"/>
              </w:rPr>
            </w:pPr>
            <w:r w:rsidRPr="00C53B7C">
              <w:rPr>
                <w:rFonts w:ascii="Calibri" w:hAnsi="Calibri"/>
                <w:sz w:val="20"/>
                <w:szCs w:val="20"/>
                <w:u w:val="single"/>
              </w:rPr>
              <w:t>Key Achievements</w:t>
            </w:r>
            <w:r w:rsidRPr="00C53B7C">
              <w:rPr>
                <w:rFonts w:ascii="Calibri" w:hAnsi="Calibri"/>
                <w:sz w:val="20"/>
                <w:szCs w:val="20"/>
              </w:rPr>
              <w:t>:</w:t>
            </w:r>
          </w:p>
          <w:p w14:paraId="40564226" w14:textId="77777777" w:rsidR="00FD6F1F" w:rsidRPr="00C53B7C" w:rsidRDefault="00FD6F1F" w:rsidP="00B4559B">
            <w:pPr>
              <w:jc w:val="both"/>
              <w:rPr>
                <w:rFonts w:ascii="Calibri" w:hAnsi="Calibri"/>
                <w:bCs/>
                <w:sz w:val="20"/>
                <w:szCs w:val="20"/>
              </w:rPr>
            </w:pPr>
          </w:p>
          <w:p w14:paraId="110C0037" w14:textId="58FC18A9" w:rsidR="00FD6F1F" w:rsidRPr="00C53B7C" w:rsidRDefault="00FD6F1F" w:rsidP="00B4559B">
            <w:pPr>
              <w:jc w:val="both"/>
              <w:rPr>
                <w:rFonts w:ascii="Calibri" w:hAnsi="Calibri"/>
                <w:iCs/>
                <w:sz w:val="20"/>
                <w:szCs w:val="20"/>
              </w:rPr>
            </w:pPr>
            <w:r w:rsidRPr="00C53B7C">
              <w:rPr>
                <w:rFonts w:ascii="Calibri" w:hAnsi="Calibri"/>
                <w:bCs/>
                <w:sz w:val="20"/>
                <w:szCs w:val="20"/>
              </w:rPr>
              <w:lastRenderedPageBreak/>
              <w:t xml:space="preserve">Capacity development and engagement of </w:t>
            </w:r>
            <w:r w:rsidR="00D217C3" w:rsidRPr="00C53B7C">
              <w:rPr>
                <w:rFonts w:ascii="Calibri" w:hAnsi="Calibri"/>
                <w:iCs/>
                <w:sz w:val="20"/>
                <w:szCs w:val="20"/>
              </w:rPr>
              <w:t>CSOs</w:t>
            </w:r>
            <w:r w:rsidRPr="00C53B7C">
              <w:rPr>
                <w:rFonts w:ascii="Calibri" w:hAnsi="Calibri"/>
                <w:bCs/>
                <w:sz w:val="20"/>
                <w:szCs w:val="20"/>
              </w:rPr>
              <w:t xml:space="preserve"> working with </w:t>
            </w:r>
            <w:r w:rsidR="00C546A4" w:rsidRPr="00C53B7C">
              <w:rPr>
                <w:rFonts w:ascii="Calibri" w:hAnsi="Calibri"/>
                <w:bCs/>
                <w:sz w:val="20"/>
                <w:szCs w:val="20"/>
              </w:rPr>
              <w:t xml:space="preserve">Persons Living with </w:t>
            </w:r>
            <w:r w:rsidRPr="00C53B7C">
              <w:rPr>
                <w:rFonts w:ascii="Calibri" w:hAnsi="Calibri"/>
                <w:iCs/>
                <w:sz w:val="20"/>
                <w:szCs w:val="20"/>
              </w:rPr>
              <w:t>HIVS (</w:t>
            </w:r>
            <w:r w:rsidR="00D54EEE" w:rsidRPr="00C53B7C">
              <w:rPr>
                <w:rFonts w:ascii="Calibri" w:hAnsi="Calibri"/>
                <w:iCs/>
                <w:sz w:val="20"/>
                <w:szCs w:val="20"/>
              </w:rPr>
              <w:t>PLHIV</w:t>
            </w:r>
            <w:r w:rsidRPr="00C53B7C">
              <w:rPr>
                <w:rFonts w:ascii="Calibri" w:hAnsi="Calibri"/>
                <w:iCs/>
                <w:sz w:val="20"/>
                <w:szCs w:val="20"/>
              </w:rPr>
              <w:t>) in services and treatment delivery</w:t>
            </w:r>
            <w:r w:rsidR="007427F1" w:rsidRPr="00C53B7C">
              <w:rPr>
                <w:rFonts w:ascii="Calibri" w:hAnsi="Calibri"/>
                <w:iCs/>
                <w:sz w:val="20"/>
                <w:szCs w:val="20"/>
              </w:rPr>
              <w:t>;</w:t>
            </w:r>
            <w:r w:rsidRPr="00C53B7C">
              <w:rPr>
                <w:rFonts w:ascii="Calibri" w:hAnsi="Calibri"/>
                <w:iCs/>
                <w:sz w:val="20"/>
                <w:szCs w:val="20"/>
              </w:rPr>
              <w:t xml:space="preserve"> </w:t>
            </w:r>
            <w:r w:rsidR="00B4559B" w:rsidRPr="00C53B7C">
              <w:rPr>
                <w:rFonts w:ascii="Calibri" w:hAnsi="Calibri"/>
                <w:iCs/>
                <w:sz w:val="20"/>
                <w:szCs w:val="20"/>
              </w:rPr>
              <w:t xml:space="preserve">and </w:t>
            </w:r>
            <w:r w:rsidR="00950BBF" w:rsidRPr="00C53B7C">
              <w:rPr>
                <w:rFonts w:ascii="Calibri" w:hAnsi="Calibri"/>
                <w:iCs/>
                <w:sz w:val="20"/>
                <w:szCs w:val="20"/>
              </w:rPr>
              <w:t>technical review of</w:t>
            </w:r>
            <w:r w:rsidRPr="00C53B7C">
              <w:rPr>
                <w:rFonts w:ascii="Calibri" w:hAnsi="Calibri"/>
                <w:iCs/>
                <w:sz w:val="20"/>
                <w:szCs w:val="20"/>
              </w:rPr>
              <w:t xml:space="preserve"> the 2021-2025 National HIV Strategic Plan (data, experience, partner participation)</w:t>
            </w:r>
            <w:r w:rsidR="007427F1" w:rsidRPr="00C53B7C">
              <w:rPr>
                <w:rFonts w:ascii="Calibri" w:hAnsi="Calibri"/>
                <w:iCs/>
                <w:sz w:val="20"/>
                <w:szCs w:val="20"/>
              </w:rPr>
              <w:t>:</w:t>
            </w:r>
            <w:r w:rsidRPr="00C53B7C">
              <w:rPr>
                <w:rFonts w:ascii="Calibri" w:hAnsi="Calibri"/>
                <w:iCs/>
                <w:sz w:val="20"/>
                <w:szCs w:val="20"/>
              </w:rPr>
              <w:t xml:space="preserve"> </w:t>
            </w:r>
            <w:r w:rsidR="006052E9" w:rsidRPr="00C53B7C">
              <w:rPr>
                <w:rFonts w:ascii="Calibri" w:hAnsi="Calibri"/>
                <w:iCs/>
                <w:sz w:val="20"/>
                <w:szCs w:val="20"/>
              </w:rPr>
              <w:t xml:space="preserve">These (and other results) set the stage for a much more comprehensive and supportive involvement of </w:t>
            </w:r>
            <w:r w:rsidR="00D54EEE" w:rsidRPr="00C53B7C">
              <w:rPr>
                <w:rFonts w:ascii="Calibri" w:hAnsi="Calibri"/>
                <w:iCs/>
                <w:sz w:val="20"/>
                <w:szCs w:val="20"/>
              </w:rPr>
              <w:t>PLHIV</w:t>
            </w:r>
            <w:r w:rsidR="006052E9" w:rsidRPr="00C53B7C">
              <w:rPr>
                <w:rFonts w:ascii="Calibri" w:hAnsi="Calibri"/>
                <w:iCs/>
                <w:sz w:val="20"/>
                <w:szCs w:val="20"/>
              </w:rPr>
              <w:t xml:space="preserve"> in Guyanese society. </w:t>
            </w:r>
          </w:p>
          <w:p w14:paraId="4C6D415B" w14:textId="77777777" w:rsidR="00FD6F1F" w:rsidRPr="00C53B7C" w:rsidRDefault="00FD6F1F" w:rsidP="00B4559B">
            <w:pPr>
              <w:jc w:val="both"/>
              <w:rPr>
                <w:rFonts w:ascii="Calibri" w:hAnsi="Calibri"/>
                <w:iCs/>
                <w:sz w:val="20"/>
                <w:szCs w:val="20"/>
              </w:rPr>
            </w:pPr>
          </w:p>
          <w:p w14:paraId="7749A054" w14:textId="56EEBE64" w:rsidR="00322371" w:rsidRPr="00C53B7C" w:rsidRDefault="00322371" w:rsidP="00B4559B">
            <w:pPr>
              <w:jc w:val="both"/>
              <w:rPr>
                <w:rFonts w:ascii="Calibri" w:hAnsi="Calibri"/>
                <w:sz w:val="20"/>
                <w:szCs w:val="20"/>
                <w:lang w:val="en-GB"/>
              </w:rPr>
            </w:pPr>
            <w:r w:rsidRPr="00C53B7C">
              <w:rPr>
                <w:rFonts w:ascii="Calibri" w:hAnsi="Calibri"/>
                <w:sz w:val="20"/>
                <w:szCs w:val="20"/>
                <w:lang w:val="en-GB"/>
              </w:rPr>
              <w:t xml:space="preserve">Various results with Amerindian communities in the hinterlands underline an integrated development approach that can </w:t>
            </w:r>
            <w:proofErr w:type="spellStart"/>
            <w:r w:rsidRPr="00C53B7C">
              <w:rPr>
                <w:rFonts w:ascii="Calibri" w:hAnsi="Calibri"/>
                <w:sz w:val="20"/>
                <w:szCs w:val="20"/>
                <w:lang w:val="en-GB"/>
              </w:rPr>
              <w:t>facililate</w:t>
            </w:r>
            <w:proofErr w:type="spellEnd"/>
            <w:r w:rsidRPr="00C53B7C">
              <w:rPr>
                <w:rFonts w:ascii="Calibri" w:hAnsi="Calibri"/>
                <w:sz w:val="20"/>
                <w:szCs w:val="20"/>
                <w:lang w:val="en-GB"/>
              </w:rPr>
              <w:t xml:space="preserve"> the move towards eradication of extreme poverty within those communities in the foreseeable future: </w:t>
            </w:r>
          </w:p>
          <w:p w14:paraId="5E98A7A8" w14:textId="77777777" w:rsidR="00322371" w:rsidRPr="00C53B7C" w:rsidRDefault="00322371" w:rsidP="00B4559B">
            <w:pPr>
              <w:pStyle w:val="ListParagraph"/>
              <w:numPr>
                <w:ilvl w:val="0"/>
                <w:numId w:val="26"/>
              </w:numPr>
              <w:jc w:val="both"/>
              <w:rPr>
                <w:rFonts w:ascii="Calibri" w:hAnsi="Calibri"/>
                <w:sz w:val="20"/>
                <w:szCs w:val="20"/>
                <w:lang w:val="en-GB"/>
              </w:rPr>
            </w:pPr>
            <w:r w:rsidRPr="00C53B7C">
              <w:rPr>
                <w:rFonts w:ascii="Calibri" w:hAnsi="Calibri"/>
                <w:sz w:val="20"/>
                <w:szCs w:val="20"/>
                <w:lang w:val="en-GB"/>
              </w:rPr>
              <w:t>Microgrant scheme aimed at enhancing food security for rural farmers and enhanced local community economic development (over 150 indigenous communities)</w:t>
            </w:r>
          </w:p>
          <w:p w14:paraId="2164BCAA" w14:textId="77777777" w:rsidR="00322371" w:rsidRPr="00C53B7C" w:rsidRDefault="00322371" w:rsidP="00B4559B">
            <w:pPr>
              <w:pStyle w:val="ListParagraph"/>
              <w:numPr>
                <w:ilvl w:val="0"/>
                <w:numId w:val="26"/>
              </w:numPr>
              <w:jc w:val="both"/>
              <w:rPr>
                <w:rFonts w:ascii="Calibri" w:hAnsi="Calibri"/>
                <w:sz w:val="20"/>
                <w:szCs w:val="20"/>
                <w:lang w:val="en-GB"/>
              </w:rPr>
            </w:pPr>
            <w:r w:rsidRPr="00C53B7C">
              <w:rPr>
                <w:rFonts w:ascii="Calibri" w:hAnsi="Calibri"/>
                <w:sz w:val="20"/>
                <w:szCs w:val="20"/>
                <w:lang w:val="en-GB"/>
              </w:rPr>
              <w:t>Advances on land-titling (still preliminary, but sets a path for increased investment and leveraging the value of the titled lands)</w:t>
            </w:r>
          </w:p>
          <w:p w14:paraId="30A67710" w14:textId="7C1071B4" w:rsidR="00322371" w:rsidRPr="00C53B7C" w:rsidRDefault="00322371" w:rsidP="00B4559B">
            <w:pPr>
              <w:pStyle w:val="ListParagraph"/>
              <w:numPr>
                <w:ilvl w:val="0"/>
                <w:numId w:val="26"/>
              </w:numPr>
              <w:jc w:val="both"/>
              <w:rPr>
                <w:rFonts w:ascii="Calibri" w:hAnsi="Calibri"/>
                <w:sz w:val="20"/>
                <w:szCs w:val="20"/>
                <w:lang w:val="en-GB"/>
              </w:rPr>
            </w:pPr>
            <w:r w:rsidRPr="00C53B7C">
              <w:rPr>
                <w:rFonts w:ascii="Calibri" w:hAnsi="Calibri"/>
                <w:sz w:val="20"/>
                <w:szCs w:val="20"/>
                <w:lang w:val="en-GB"/>
              </w:rPr>
              <w:t>Initial phase of ICT community hubs (for more effective connection of hinterlands with the rest of the country and the world)</w:t>
            </w:r>
          </w:p>
          <w:p w14:paraId="7D326837" w14:textId="77777777" w:rsidR="00322371" w:rsidRPr="00C53B7C" w:rsidRDefault="00322371" w:rsidP="00B4559B">
            <w:pPr>
              <w:pStyle w:val="ListParagraph"/>
              <w:numPr>
                <w:ilvl w:val="0"/>
                <w:numId w:val="26"/>
              </w:numPr>
              <w:jc w:val="both"/>
              <w:rPr>
                <w:rFonts w:ascii="Calibri" w:hAnsi="Calibri"/>
                <w:sz w:val="20"/>
                <w:szCs w:val="20"/>
                <w:lang w:val="en-GB"/>
              </w:rPr>
            </w:pPr>
            <w:r w:rsidRPr="00C53B7C">
              <w:rPr>
                <w:rFonts w:ascii="Calibri" w:hAnsi="Calibri"/>
                <w:sz w:val="20"/>
                <w:szCs w:val="20"/>
                <w:lang w:val="en-GB"/>
              </w:rPr>
              <w:t>Initial deployment of decentralized, renewable, accessible energy photovoltaic services.</w:t>
            </w:r>
          </w:p>
          <w:p w14:paraId="4AF0779A" w14:textId="77777777" w:rsidR="00322371" w:rsidRPr="00C53B7C" w:rsidRDefault="00322371" w:rsidP="00B4559B">
            <w:pPr>
              <w:jc w:val="both"/>
              <w:rPr>
                <w:rFonts w:ascii="Calibri" w:hAnsi="Calibri"/>
                <w:sz w:val="20"/>
                <w:szCs w:val="20"/>
                <w:lang w:val="en-GB"/>
              </w:rPr>
            </w:pPr>
          </w:p>
          <w:p w14:paraId="4D04D4EE" w14:textId="2ABBD3C0" w:rsidR="00380E0D" w:rsidRPr="00C53B7C" w:rsidRDefault="00FD6F1F" w:rsidP="00B4559B">
            <w:pPr>
              <w:jc w:val="both"/>
              <w:rPr>
                <w:rFonts w:ascii="Calibri" w:hAnsi="Calibri"/>
                <w:sz w:val="20"/>
                <w:szCs w:val="20"/>
                <w:lang w:val="en-GB"/>
              </w:rPr>
            </w:pPr>
            <w:r w:rsidRPr="00C53B7C">
              <w:rPr>
                <w:rFonts w:ascii="Calibri" w:hAnsi="Calibri"/>
                <w:sz w:val="20"/>
                <w:szCs w:val="20"/>
                <w:lang w:val="en-GB"/>
              </w:rPr>
              <w:t xml:space="preserve">Multidimensional approach to environmental sustainability and resilience with the </w:t>
            </w:r>
            <w:r w:rsidR="00D217C3" w:rsidRPr="00C53B7C">
              <w:rPr>
                <w:rFonts w:ascii="Calibri" w:hAnsi="Calibri"/>
                <w:sz w:val="20"/>
                <w:szCs w:val="20"/>
                <w:lang w:val="en-GB"/>
              </w:rPr>
              <w:t>MNR</w:t>
            </w:r>
            <w:r w:rsidRPr="00C53B7C">
              <w:rPr>
                <w:rFonts w:ascii="Calibri" w:hAnsi="Calibri"/>
                <w:sz w:val="20"/>
                <w:szCs w:val="20"/>
                <w:lang w:val="en-GB"/>
              </w:rPr>
              <w:t xml:space="preserve">, </w:t>
            </w:r>
            <w:r w:rsidR="00BF78D0" w:rsidRPr="00C53B7C">
              <w:rPr>
                <w:rFonts w:ascii="Calibri" w:hAnsi="Calibri"/>
                <w:sz w:val="20"/>
                <w:szCs w:val="20"/>
                <w:lang w:val="en-GB"/>
              </w:rPr>
              <w:t>OCC</w:t>
            </w:r>
            <w:r w:rsidRPr="00C53B7C">
              <w:rPr>
                <w:rFonts w:ascii="Calibri" w:hAnsi="Calibri"/>
                <w:sz w:val="20"/>
                <w:szCs w:val="20"/>
                <w:lang w:val="en-GB"/>
              </w:rPr>
              <w:t xml:space="preserve">, </w:t>
            </w:r>
            <w:r w:rsidR="00BF78D0" w:rsidRPr="00C53B7C">
              <w:rPr>
                <w:rFonts w:ascii="Calibri" w:hAnsi="Calibri"/>
                <w:sz w:val="20"/>
                <w:szCs w:val="20"/>
                <w:lang w:val="en-GB"/>
              </w:rPr>
              <w:t>MOA</w:t>
            </w:r>
            <w:r w:rsidRPr="00C53B7C">
              <w:rPr>
                <w:rFonts w:ascii="Calibri" w:hAnsi="Calibri"/>
                <w:sz w:val="20"/>
                <w:szCs w:val="20"/>
                <w:lang w:val="en-GB"/>
              </w:rPr>
              <w:t xml:space="preserve">, CDC and </w:t>
            </w:r>
            <w:r w:rsidR="00BF78D0" w:rsidRPr="00C53B7C">
              <w:rPr>
                <w:rFonts w:ascii="Calibri" w:hAnsi="Calibri"/>
                <w:sz w:val="20"/>
                <w:szCs w:val="20"/>
                <w:lang w:val="en-GB"/>
              </w:rPr>
              <w:t>DOE</w:t>
            </w:r>
            <w:r w:rsidR="006052E9" w:rsidRPr="00C53B7C">
              <w:rPr>
                <w:rFonts w:ascii="Calibri" w:hAnsi="Calibri"/>
                <w:sz w:val="20"/>
                <w:szCs w:val="20"/>
                <w:lang w:val="en-GB"/>
              </w:rPr>
              <w:t>.</w:t>
            </w:r>
            <w:r w:rsidRPr="00C53B7C">
              <w:rPr>
                <w:rFonts w:ascii="Calibri" w:hAnsi="Calibri"/>
                <w:sz w:val="20"/>
                <w:szCs w:val="20"/>
                <w:lang w:val="en-GB"/>
              </w:rPr>
              <w:t xml:space="preserve"> </w:t>
            </w:r>
            <w:r w:rsidR="00380E0D" w:rsidRPr="00C53B7C">
              <w:rPr>
                <w:rFonts w:ascii="Calibri" w:hAnsi="Calibri"/>
                <w:sz w:val="20"/>
                <w:szCs w:val="20"/>
                <w:lang w:val="en-GB"/>
              </w:rPr>
              <w:t>The process initiated will allow for further involvement in policy, planning and implementation on natural resource management</w:t>
            </w:r>
            <w:r w:rsidR="006052E9" w:rsidRPr="00C53B7C">
              <w:rPr>
                <w:rFonts w:ascii="Calibri" w:hAnsi="Calibri"/>
                <w:sz w:val="20"/>
                <w:szCs w:val="20"/>
                <w:lang w:val="en-GB"/>
              </w:rPr>
              <w:t>, including for the strategic aspect of oil/gas regulations (with MNR)</w:t>
            </w:r>
            <w:r w:rsidR="00380E0D" w:rsidRPr="00C53B7C">
              <w:rPr>
                <w:rFonts w:ascii="Calibri" w:hAnsi="Calibri"/>
                <w:sz w:val="20"/>
                <w:szCs w:val="20"/>
                <w:lang w:val="en-GB"/>
              </w:rPr>
              <w:t>. The</w:t>
            </w:r>
            <w:r w:rsidR="00322371" w:rsidRPr="00C53B7C">
              <w:rPr>
                <w:rFonts w:ascii="Calibri" w:hAnsi="Calibri"/>
                <w:sz w:val="20"/>
                <w:szCs w:val="20"/>
                <w:lang w:val="en-GB"/>
              </w:rPr>
              <w:t xml:space="preserve"> new</w:t>
            </w:r>
            <w:r w:rsidR="00380E0D" w:rsidRPr="00C53B7C">
              <w:rPr>
                <w:rFonts w:ascii="Calibri" w:hAnsi="Calibri"/>
                <w:sz w:val="20"/>
                <w:szCs w:val="20"/>
                <w:lang w:val="en-GB"/>
              </w:rPr>
              <w:t xml:space="preserve"> </w:t>
            </w:r>
            <w:r w:rsidR="00380E0D" w:rsidRPr="00C53B7C">
              <w:rPr>
                <w:rFonts w:ascii="Calibri" w:hAnsi="Calibri"/>
                <w:iCs/>
                <w:sz w:val="20"/>
                <w:szCs w:val="20"/>
              </w:rPr>
              <w:t>National Flood Forecasting System platform</w:t>
            </w:r>
            <w:r w:rsidR="006052E9" w:rsidRPr="00C53B7C">
              <w:rPr>
                <w:rFonts w:ascii="Calibri" w:hAnsi="Calibri"/>
                <w:iCs/>
                <w:sz w:val="20"/>
                <w:szCs w:val="20"/>
              </w:rPr>
              <w:t xml:space="preserve"> provides a n</w:t>
            </w:r>
            <w:proofErr w:type="spellStart"/>
            <w:r w:rsidRPr="00C53B7C">
              <w:rPr>
                <w:rFonts w:ascii="Calibri" w:hAnsi="Calibri"/>
                <w:sz w:val="20"/>
                <w:szCs w:val="20"/>
                <w:lang w:val="en-GB"/>
              </w:rPr>
              <w:t>ew</w:t>
            </w:r>
            <w:proofErr w:type="spellEnd"/>
            <w:r w:rsidRPr="00C53B7C">
              <w:rPr>
                <w:rFonts w:ascii="Calibri" w:hAnsi="Calibri"/>
                <w:sz w:val="20"/>
                <w:szCs w:val="20"/>
                <w:lang w:val="en-GB"/>
              </w:rPr>
              <w:t xml:space="preserve"> </w:t>
            </w:r>
            <w:r w:rsidR="006052E9" w:rsidRPr="00C53B7C">
              <w:rPr>
                <w:rFonts w:ascii="Calibri" w:hAnsi="Calibri"/>
                <w:sz w:val="20"/>
                <w:szCs w:val="20"/>
                <w:lang w:val="en-GB"/>
              </w:rPr>
              <w:t>and important</w:t>
            </w:r>
            <w:r w:rsidRPr="00C53B7C">
              <w:rPr>
                <w:rFonts w:ascii="Calibri" w:hAnsi="Calibri"/>
                <w:sz w:val="20"/>
                <w:szCs w:val="20"/>
                <w:lang w:val="en-GB"/>
              </w:rPr>
              <w:t xml:space="preserve"> Climate Change adaptation resource</w:t>
            </w:r>
            <w:r w:rsidR="00380E0D" w:rsidRPr="00C53B7C">
              <w:rPr>
                <w:rFonts w:ascii="Calibri" w:hAnsi="Calibri"/>
                <w:sz w:val="20"/>
                <w:szCs w:val="20"/>
                <w:lang w:val="en-GB"/>
              </w:rPr>
              <w:t>.</w:t>
            </w:r>
          </w:p>
          <w:p w14:paraId="6490644A" w14:textId="77777777" w:rsidR="00380E0D" w:rsidRPr="00C53B7C" w:rsidRDefault="00380E0D" w:rsidP="00B4559B">
            <w:pPr>
              <w:jc w:val="both"/>
              <w:rPr>
                <w:rFonts w:ascii="Calibri" w:hAnsi="Calibri"/>
                <w:sz w:val="20"/>
                <w:szCs w:val="20"/>
                <w:lang w:val="en-GB"/>
              </w:rPr>
            </w:pPr>
          </w:p>
          <w:p w14:paraId="33B8CC75" w14:textId="1DE70F10" w:rsidR="00FD6F1F" w:rsidRPr="00C53B7C" w:rsidRDefault="00380E0D" w:rsidP="00B4559B">
            <w:pPr>
              <w:jc w:val="both"/>
              <w:rPr>
                <w:rFonts w:ascii="Calibri" w:hAnsi="Calibri"/>
                <w:sz w:val="20"/>
                <w:szCs w:val="20"/>
                <w:lang w:val="en-GB"/>
              </w:rPr>
            </w:pPr>
            <w:r w:rsidRPr="00C53B7C">
              <w:rPr>
                <w:rFonts w:ascii="Calibri" w:hAnsi="Calibri"/>
                <w:sz w:val="20"/>
                <w:szCs w:val="20"/>
                <w:lang w:val="en-GB"/>
              </w:rPr>
              <w:t xml:space="preserve">The </w:t>
            </w:r>
            <w:r w:rsidR="00FD6F1F" w:rsidRPr="00C53B7C">
              <w:rPr>
                <w:rFonts w:ascii="Calibri" w:hAnsi="Calibri"/>
                <w:sz w:val="20"/>
                <w:szCs w:val="20"/>
                <w:lang w:val="en-GB"/>
              </w:rPr>
              <w:t>national Socio-Economic Impact Assessment of COVID-19 on households</w:t>
            </w:r>
            <w:r w:rsidR="006052E9" w:rsidRPr="00C53B7C">
              <w:rPr>
                <w:rFonts w:ascii="Calibri" w:hAnsi="Calibri"/>
                <w:sz w:val="20"/>
                <w:szCs w:val="20"/>
                <w:lang w:val="en-GB"/>
              </w:rPr>
              <w:t xml:space="preserve">, setting the basis for </w:t>
            </w:r>
            <w:r w:rsidR="00FD6F1F" w:rsidRPr="00C53B7C">
              <w:rPr>
                <w:rFonts w:ascii="Calibri" w:hAnsi="Calibri"/>
                <w:sz w:val="20"/>
                <w:szCs w:val="20"/>
                <w:lang w:val="en-GB"/>
              </w:rPr>
              <w:t xml:space="preserve">the preparation of </w:t>
            </w:r>
            <w:r w:rsidR="006052E9" w:rsidRPr="00C53B7C">
              <w:rPr>
                <w:rFonts w:ascii="Calibri" w:hAnsi="Calibri"/>
                <w:sz w:val="20"/>
                <w:szCs w:val="20"/>
                <w:lang w:val="en-GB"/>
              </w:rPr>
              <w:t xml:space="preserve">an integrated </w:t>
            </w:r>
            <w:r w:rsidR="00FD6F1F" w:rsidRPr="00C53B7C">
              <w:rPr>
                <w:rFonts w:ascii="Calibri" w:hAnsi="Calibri"/>
                <w:sz w:val="20"/>
                <w:szCs w:val="20"/>
                <w:lang w:val="en-GB"/>
              </w:rPr>
              <w:t>U</w:t>
            </w:r>
            <w:r w:rsidRPr="00C53B7C">
              <w:rPr>
                <w:rFonts w:ascii="Calibri" w:hAnsi="Calibri"/>
                <w:sz w:val="20"/>
                <w:szCs w:val="20"/>
                <w:lang w:val="en-GB"/>
              </w:rPr>
              <w:t>NCT COVID-19 response</w:t>
            </w:r>
            <w:r w:rsidR="00F846CD" w:rsidRPr="00C53B7C">
              <w:rPr>
                <w:rFonts w:ascii="Calibri" w:hAnsi="Calibri"/>
                <w:sz w:val="20"/>
                <w:szCs w:val="20"/>
                <w:lang w:val="en-GB"/>
              </w:rPr>
              <w:t>.</w:t>
            </w:r>
          </w:p>
          <w:p w14:paraId="67C021D0" w14:textId="77777777" w:rsidR="00E2222D" w:rsidRPr="00C53B7C" w:rsidRDefault="00E2222D" w:rsidP="00B4559B">
            <w:pPr>
              <w:jc w:val="both"/>
              <w:rPr>
                <w:rFonts w:ascii="Calibri" w:hAnsi="Calibri"/>
                <w:sz w:val="20"/>
                <w:szCs w:val="20"/>
              </w:rPr>
            </w:pPr>
          </w:p>
          <w:p w14:paraId="74B7E56B" w14:textId="77777777" w:rsidR="003B11CB" w:rsidRPr="00C53B7C" w:rsidRDefault="003B11CB" w:rsidP="00B4559B">
            <w:pPr>
              <w:pStyle w:val="BodyText2"/>
              <w:jc w:val="both"/>
              <w:rPr>
                <w:rFonts w:ascii="Calibri" w:hAnsi="Calibri"/>
                <w:szCs w:val="20"/>
              </w:rPr>
            </w:pPr>
            <w:r w:rsidRPr="00C53B7C">
              <w:rPr>
                <w:rFonts w:ascii="Calibri" w:hAnsi="Calibri"/>
                <w:szCs w:val="20"/>
                <w:u w:val="single"/>
              </w:rPr>
              <w:t>Major Lessons Learnt</w:t>
            </w:r>
            <w:r w:rsidRPr="00C53B7C">
              <w:rPr>
                <w:rFonts w:ascii="Calibri" w:hAnsi="Calibri"/>
                <w:szCs w:val="20"/>
              </w:rPr>
              <w:t>:</w:t>
            </w:r>
          </w:p>
          <w:p w14:paraId="4F214AB2" w14:textId="77777777" w:rsidR="00FA33C1" w:rsidRPr="00C53B7C" w:rsidRDefault="00FA33C1" w:rsidP="00B4559B">
            <w:pPr>
              <w:pStyle w:val="BodyText2"/>
              <w:autoSpaceDE/>
              <w:autoSpaceDN/>
              <w:adjustRightInd/>
              <w:jc w:val="both"/>
              <w:rPr>
                <w:rFonts w:ascii="Calibri" w:hAnsi="Calibri"/>
                <w:szCs w:val="20"/>
              </w:rPr>
            </w:pPr>
          </w:p>
          <w:p w14:paraId="6027E3ED" w14:textId="5B04E6DC" w:rsidR="00FA33C1" w:rsidRPr="00C53B7C" w:rsidRDefault="00FA33C1" w:rsidP="00B4559B">
            <w:pPr>
              <w:pStyle w:val="BodyText2"/>
              <w:autoSpaceDE/>
              <w:autoSpaceDN/>
              <w:adjustRightInd/>
              <w:jc w:val="both"/>
              <w:rPr>
                <w:rFonts w:ascii="Calibri" w:hAnsi="Calibri"/>
                <w:szCs w:val="20"/>
              </w:rPr>
            </w:pPr>
            <w:r w:rsidRPr="00C53B7C">
              <w:rPr>
                <w:rFonts w:ascii="Calibri" w:hAnsi="Calibri"/>
                <w:szCs w:val="20"/>
              </w:rPr>
              <w:t>Following the uncertain political climate from December 2018 culminating in a change of Administration in August 2020</w:t>
            </w:r>
            <w:r w:rsidR="00380E0D" w:rsidRPr="00C53B7C">
              <w:rPr>
                <w:rFonts w:ascii="Calibri" w:hAnsi="Calibri"/>
                <w:szCs w:val="20"/>
              </w:rPr>
              <w:t xml:space="preserve">, </w:t>
            </w:r>
            <w:r w:rsidR="00B4559B" w:rsidRPr="00C53B7C">
              <w:rPr>
                <w:rFonts w:ascii="Calibri" w:hAnsi="Calibri"/>
                <w:szCs w:val="20"/>
              </w:rPr>
              <w:t>UNDP has</w:t>
            </w:r>
            <w:r w:rsidR="00380E0D" w:rsidRPr="00C53B7C">
              <w:rPr>
                <w:rFonts w:ascii="Calibri" w:hAnsi="Calibri"/>
                <w:szCs w:val="20"/>
              </w:rPr>
              <w:t xml:space="preserve"> gained awareness </w:t>
            </w:r>
            <w:r w:rsidRPr="00C53B7C">
              <w:rPr>
                <w:rFonts w:ascii="Calibri" w:hAnsi="Calibri"/>
                <w:szCs w:val="20"/>
              </w:rPr>
              <w:t xml:space="preserve">that during the transition period programme implementation will be slowed - implementation was already slower than expected due to the political uncertainty and the previous government's caretaker status in 2019. </w:t>
            </w:r>
            <w:r w:rsidR="009E4034" w:rsidRPr="00C53B7C">
              <w:rPr>
                <w:rFonts w:ascii="Calibri" w:hAnsi="Calibri"/>
                <w:szCs w:val="20"/>
              </w:rPr>
              <w:t xml:space="preserve">The situation continued during the protracted March - August electoral period in 2020. </w:t>
            </w:r>
            <w:proofErr w:type="spellStart"/>
            <w:r w:rsidRPr="00C53B7C">
              <w:rPr>
                <w:rFonts w:ascii="Calibri" w:hAnsi="Calibri"/>
                <w:szCs w:val="20"/>
              </w:rPr>
              <w:t>Startup</w:t>
            </w:r>
            <w:proofErr w:type="spellEnd"/>
            <w:r w:rsidRPr="00C53B7C">
              <w:rPr>
                <w:rFonts w:ascii="Calibri" w:hAnsi="Calibri"/>
                <w:szCs w:val="20"/>
              </w:rPr>
              <w:t xml:space="preserve"> of new projects </w:t>
            </w:r>
            <w:r w:rsidR="009E4034" w:rsidRPr="00C53B7C">
              <w:rPr>
                <w:rFonts w:ascii="Calibri" w:hAnsi="Calibri"/>
                <w:szCs w:val="20"/>
              </w:rPr>
              <w:t xml:space="preserve">was bound to be particularly </w:t>
            </w:r>
            <w:r w:rsidRPr="00C53B7C">
              <w:rPr>
                <w:rFonts w:ascii="Calibri" w:hAnsi="Calibri"/>
                <w:szCs w:val="20"/>
              </w:rPr>
              <w:t xml:space="preserve">impacted. </w:t>
            </w:r>
            <w:r w:rsidR="009E4034" w:rsidRPr="00C53B7C">
              <w:rPr>
                <w:rFonts w:ascii="Calibri" w:hAnsi="Calibri"/>
                <w:szCs w:val="20"/>
              </w:rPr>
              <w:t xml:space="preserve">The CO has </w:t>
            </w:r>
            <w:r w:rsidRPr="00C53B7C">
              <w:rPr>
                <w:rFonts w:ascii="Calibri" w:hAnsi="Calibri"/>
                <w:szCs w:val="20"/>
              </w:rPr>
              <w:t>exercise</w:t>
            </w:r>
            <w:r w:rsidR="009E4034" w:rsidRPr="00C53B7C">
              <w:rPr>
                <w:rFonts w:ascii="Calibri" w:hAnsi="Calibri"/>
                <w:szCs w:val="20"/>
              </w:rPr>
              <w:t>d</w:t>
            </w:r>
            <w:r w:rsidRPr="00C53B7C">
              <w:rPr>
                <w:rFonts w:ascii="Calibri" w:hAnsi="Calibri"/>
                <w:szCs w:val="20"/>
              </w:rPr>
              <w:t xml:space="preserve"> patience</w:t>
            </w:r>
            <w:r w:rsidR="00B4559B" w:rsidRPr="00C53B7C">
              <w:rPr>
                <w:rFonts w:ascii="Calibri" w:hAnsi="Calibri"/>
                <w:szCs w:val="20"/>
              </w:rPr>
              <w:t xml:space="preserve"> and</w:t>
            </w:r>
            <w:r w:rsidR="009E4034" w:rsidRPr="00C53B7C">
              <w:rPr>
                <w:rFonts w:ascii="Calibri" w:hAnsi="Calibri"/>
                <w:szCs w:val="20"/>
              </w:rPr>
              <w:t xml:space="preserve"> </w:t>
            </w:r>
            <w:r w:rsidRPr="00C53B7C">
              <w:rPr>
                <w:rFonts w:ascii="Calibri" w:hAnsi="Calibri"/>
                <w:szCs w:val="20"/>
              </w:rPr>
              <w:t>understanding that delivery w</w:t>
            </w:r>
            <w:r w:rsidR="009E4034" w:rsidRPr="00C53B7C">
              <w:rPr>
                <w:rFonts w:ascii="Calibri" w:hAnsi="Calibri"/>
                <w:szCs w:val="20"/>
              </w:rPr>
              <w:t xml:space="preserve">ould be </w:t>
            </w:r>
            <w:r w:rsidRPr="00C53B7C">
              <w:rPr>
                <w:rFonts w:ascii="Calibri" w:hAnsi="Calibri"/>
                <w:szCs w:val="20"/>
              </w:rPr>
              <w:t>further slowed</w:t>
            </w:r>
            <w:r w:rsidR="009E4034" w:rsidRPr="00C53B7C">
              <w:rPr>
                <w:rFonts w:ascii="Calibri" w:hAnsi="Calibri"/>
                <w:szCs w:val="20"/>
              </w:rPr>
              <w:t xml:space="preserve"> during the transition and </w:t>
            </w:r>
            <w:r w:rsidRPr="00C53B7C">
              <w:rPr>
                <w:rFonts w:ascii="Calibri" w:hAnsi="Calibri"/>
                <w:szCs w:val="20"/>
              </w:rPr>
              <w:t>settling in</w:t>
            </w:r>
            <w:r w:rsidR="009E4034" w:rsidRPr="00C53B7C">
              <w:rPr>
                <w:rFonts w:ascii="Calibri" w:hAnsi="Calibri"/>
                <w:szCs w:val="20"/>
              </w:rPr>
              <w:t xml:space="preserve"> time. It has also allowed to cultivate relationships towards the upcoming programming </w:t>
            </w:r>
            <w:proofErr w:type="spellStart"/>
            <w:r w:rsidR="009E4034" w:rsidRPr="00C53B7C">
              <w:rPr>
                <w:rFonts w:ascii="Calibri" w:hAnsi="Calibri"/>
                <w:szCs w:val="20"/>
              </w:rPr>
              <w:t>cyle</w:t>
            </w:r>
            <w:proofErr w:type="spellEnd"/>
            <w:r w:rsidR="009E4034" w:rsidRPr="00C53B7C">
              <w:rPr>
                <w:rFonts w:ascii="Calibri" w:hAnsi="Calibri"/>
                <w:szCs w:val="20"/>
              </w:rPr>
              <w:t xml:space="preserve"> and Country Programme Document </w:t>
            </w:r>
            <w:r w:rsidR="00BF78D0" w:rsidRPr="00C53B7C">
              <w:rPr>
                <w:rFonts w:ascii="Calibri" w:hAnsi="Calibri"/>
                <w:szCs w:val="20"/>
              </w:rPr>
              <w:t xml:space="preserve">(CPD) </w:t>
            </w:r>
            <w:r w:rsidR="009E4034" w:rsidRPr="00C53B7C">
              <w:rPr>
                <w:rFonts w:ascii="Calibri" w:hAnsi="Calibri"/>
                <w:szCs w:val="20"/>
              </w:rPr>
              <w:t xml:space="preserve">formulation. </w:t>
            </w:r>
          </w:p>
          <w:p w14:paraId="755FF6A7" w14:textId="77777777" w:rsidR="00FA33C1" w:rsidRPr="00C53B7C" w:rsidRDefault="00FA33C1" w:rsidP="00B4559B">
            <w:pPr>
              <w:pStyle w:val="BodyText2"/>
              <w:autoSpaceDE/>
              <w:autoSpaceDN/>
              <w:adjustRightInd/>
              <w:jc w:val="both"/>
              <w:rPr>
                <w:rFonts w:ascii="Calibri" w:hAnsi="Calibri"/>
                <w:szCs w:val="20"/>
              </w:rPr>
            </w:pPr>
          </w:p>
          <w:p w14:paraId="7D8652A9" w14:textId="3E408956" w:rsidR="00FA33C1" w:rsidRPr="00C53B7C" w:rsidRDefault="009E4034" w:rsidP="00B4559B">
            <w:pPr>
              <w:pStyle w:val="BodyText2"/>
              <w:autoSpaceDE/>
              <w:autoSpaceDN/>
              <w:adjustRightInd/>
              <w:jc w:val="both"/>
              <w:rPr>
                <w:rFonts w:ascii="Calibri" w:hAnsi="Calibri"/>
                <w:szCs w:val="20"/>
              </w:rPr>
            </w:pPr>
            <w:r w:rsidRPr="00C53B7C">
              <w:rPr>
                <w:rFonts w:ascii="Calibri" w:hAnsi="Calibri"/>
                <w:szCs w:val="20"/>
              </w:rPr>
              <w:t xml:space="preserve">There is also the need to gain the trust and </w:t>
            </w:r>
            <w:r w:rsidR="00FA33C1" w:rsidRPr="00C53B7C">
              <w:rPr>
                <w:rFonts w:ascii="Calibri" w:hAnsi="Calibri"/>
                <w:szCs w:val="20"/>
              </w:rPr>
              <w:t xml:space="preserve">await the support of the new </w:t>
            </w:r>
            <w:r w:rsidRPr="00C53B7C">
              <w:rPr>
                <w:rFonts w:ascii="Calibri" w:hAnsi="Calibri"/>
                <w:szCs w:val="20"/>
              </w:rPr>
              <w:t>G</w:t>
            </w:r>
            <w:r w:rsidR="00FA33C1" w:rsidRPr="00C53B7C">
              <w:rPr>
                <w:rFonts w:ascii="Calibri" w:hAnsi="Calibri"/>
                <w:szCs w:val="20"/>
              </w:rPr>
              <w:t xml:space="preserve">overnment </w:t>
            </w:r>
            <w:r w:rsidRPr="00C53B7C">
              <w:rPr>
                <w:rFonts w:ascii="Calibri" w:hAnsi="Calibri"/>
                <w:szCs w:val="20"/>
              </w:rPr>
              <w:t xml:space="preserve">for new </w:t>
            </w:r>
            <w:r w:rsidR="00FA33C1" w:rsidRPr="00C53B7C">
              <w:rPr>
                <w:rFonts w:ascii="Calibri" w:hAnsi="Calibri"/>
                <w:szCs w:val="20"/>
              </w:rPr>
              <w:t xml:space="preserve">programme </w:t>
            </w:r>
            <w:r w:rsidRPr="00C53B7C">
              <w:rPr>
                <w:rFonts w:ascii="Calibri" w:hAnsi="Calibri"/>
                <w:szCs w:val="20"/>
              </w:rPr>
              <w:t xml:space="preserve">lines and </w:t>
            </w:r>
            <w:r w:rsidR="00FA33C1" w:rsidRPr="00C53B7C">
              <w:rPr>
                <w:rFonts w:ascii="Calibri" w:hAnsi="Calibri"/>
                <w:szCs w:val="20"/>
              </w:rPr>
              <w:t xml:space="preserve">objectives. The new </w:t>
            </w:r>
            <w:r w:rsidRPr="00C53B7C">
              <w:rPr>
                <w:rFonts w:ascii="Calibri" w:hAnsi="Calibri"/>
                <w:szCs w:val="20"/>
              </w:rPr>
              <w:t>A</w:t>
            </w:r>
            <w:r w:rsidR="00FA33C1" w:rsidRPr="00C53B7C">
              <w:rPr>
                <w:rFonts w:ascii="Calibri" w:hAnsi="Calibri"/>
                <w:szCs w:val="20"/>
              </w:rPr>
              <w:t>dministration ha</w:t>
            </w:r>
            <w:r w:rsidRPr="00C53B7C">
              <w:rPr>
                <w:rFonts w:ascii="Calibri" w:hAnsi="Calibri"/>
                <w:szCs w:val="20"/>
              </w:rPr>
              <w:t xml:space="preserve">d already </w:t>
            </w:r>
            <w:r w:rsidR="00950BBF" w:rsidRPr="00C53B7C">
              <w:rPr>
                <w:rFonts w:ascii="Calibri" w:hAnsi="Calibri"/>
                <w:szCs w:val="20"/>
              </w:rPr>
              <w:t xml:space="preserve">requested the restructuring of </w:t>
            </w:r>
            <w:r w:rsidR="00FA33C1" w:rsidRPr="00C53B7C">
              <w:rPr>
                <w:rFonts w:ascii="Calibri" w:hAnsi="Calibri"/>
                <w:szCs w:val="20"/>
              </w:rPr>
              <w:t xml:space="preserve">key initiatives such as the ICT Access for Hinterland, Poor and Remote communities. </w:t>
            </w:r>
            <w:r w:rsidRPr="00C53B7C">
              <w:rPr>
                <w:rFonts w:ascii="Calibri" w:hAnsi="Calibri"/>
                <w:szCs w:val="20"/>
              </w:rPr>
              <w:t>Others were also being reviewed during 2021, including in the Energy,</w:t>
            </w:r>
            <w:r w:rsidR="00FA33C1" w:rsidRPr="00C53B7C">
              <w:rPr>
                <w:rFonts w:ascii="Calibri" w:hAnsi="Calibri"/>
                <w:szCs w:val="20"/>
              </w:rPr>
              <w:t xml:space="preserve"> Environment &amp; Extractive Industry </w:t>
            </w:r>
            <w:r w:rsidRPr="00C53B7C">
              <w:rPr>
                <w:rFonts w:ascii="Calibri" w:hAnsi="Calibri"/>
                <w:szCs w:val="20"/>
              </w:rPr>
              <w:t xml:space="preserve">areas. Gaining the full support of the Government and engaging its participation in the new CP will be key to its success, particularly as funding and implementation modalities may well change during the new period as a consequence of increased GDP and its higher-middle </w:t>
            </w:r>
            <w:r w:rsidR="007427F1" w:rsidRPr="00C53B7C">
              <w:rPr>
                <w:rFonts w:ascii="Calibri" w:hAnsi="Calibri"/>
                <w:szCs w:val="20"/>
              </w:rPr>
              <w:t xml:space="preserve">income </w:t>
            </w:r>
            <w:r w:rsidRPr="00C53B7C">
              <w:rPr>
                <w:rFonts w:ascii="Calibri" w:hAnsi="Calibri"/>
                <w:szCs w:val="20"/>
              </w:rPr>
              <w:t xml:space="preserve">development status. </w:t>
            </w:r>
          </w:p>
          <w:p w14:paraId="251E101D" w14:textId="77777777" w:rsidR="00FA33C1" w:rsidRPr="00C53B7C" w:rsidRDefault="00FA33C1" w:rsidP="00FA33C1">
            <w:pPr>
              <w:pStyle w:val="BodyText2"/>
              <w:autoSpaceDE/>
              <w:autoSpaceDN/>
              <w:adjustRightInd/>
              <w:rPr>
                <w:rFonts w:ascii="Calibri" w:hAnsi="Calibri"/>
                <w:szCs w:val="20"/>
              </w:rPr>
            </w:pPr>
          </w:p>
          <w:p w14:paraId="7B0BB3F0" w14:textId="4CE17C16" w:rsidR="00256358" w:rsidRPr="00C53B7C" w:rsidRDefault="00256358" w:rsidP="00B4559B">
            <w:pPr>
              <w:pStyle w:val="BodyText2"/>
              <w:jc w:val="both"/>
              <w:rPr>
                <w:rFonts w:ascii="Calibri" w:hAnsi="Calibri"/>
                <w:szCs w:val="20"/>
                <w:lang w:val="en-GB"/>
              </w:rPr>
            </w:pPr>
            <w:r w:rsidRPr="00C53B7C">
              <w:rPr>
                <w:rFonts w:ascii="Calibri" w:hAnsi="Calibri"/>
                <w:szCs w:val="20"/>
                <w:lang w:val="en-GB"/>
              </w:rPr>
              <w:t xml:space="preserve">The implementation of the present CP also has made clear to the CO the importance of policy support for addressing systemic issues that can compromise the sustainability of initiatives, particularly in hinterland and other remote target areas. Also, for most interventions, building institutional capacities in Government entities should be part of the exit strategy for realizing and maintaining expected outcomes. </w:t>
            </w:r>
          </w:p>
          <w:p w14:paraId="0C1CDD22" w14:textId="77777777" w:rsidR="00256358" w:rsidRPr="00C53B7C" w:rsidRDefault="00256358" w:rsidP="00B4559B">
            <w:pPr>
              <w:pStyle w:val="BodyText2"/>
              <w:jc w:val="both"/>
              <w:rPr>
                <w:rFonts w:ascii="Calibri" w:hAnsi="Calibri"/>
                <w:szCs w:val="20"/>
              </w:rPr>
            </w:pPr>
          </w:p>
          <w:p w14:paraId="0D5CDF9C" w14:textId="309F6CA9" w:rsidR="00FA33C1" w:rsidRPr="00C53B7C" w:rsidRDefault="009E4034" w:rsidP="00B4559B">
            <w:pPr>
              <w:pStyle w:val="BodyText2"/>
              <w:jc w:val="both"/>
              <w:rPr>
                <w:rFonts w:ascii="Calibri" w:hAnsi="Calibri"/>
                <w:szCs w:val="20"/>
              </w:rPr>
            </w:pPr>
            <w:r w:rsidRPr="00C53B7C">
              <w:rPr>
                <w:rFonts w:ascii="Calibri" w:hAnsi="Calibri"/>
                <w:szCs w:val="20"/>
              </w:rPr>
              <w:lastRenderedPageBreak/>
              <w:t>At the same time, the effects of the pandemic</w:t>
            </w:r>
            <w:r w:rsidR="00256358" w:rsidRPr="00C53B7C">
              <w:rPr>
                <w:rFonts w:ascii="Calibri" w:hAnsi="Calibri"/>
                <w:szCs w:val="20"/>
              </w:rPr>
              <w:t xml:space="preserve"> nationally and internationally are still present</w:t>
            </w:r>
            <w:r w:rsidR="00950BBF" w:rsidRPr="00C53B7C">
              <w:rPr>
                <w:rFonts w:ascii="Calibri" w:hAnsi="Calibri"/>
                <w:szCs w:val="20"/>
              </w:rPr>
              <w:t xml:space="preserve">. </w:t>
            </w:r>
            <w:r w:rsidR="00256358" w:rsidRPr="00C53B7C">
              <w:rPr>
                <w:rFonts w:ascii="Calibri" w:hAnsi="Calibri"/>
                <w:szCs w:val="20"/>
              </w:rPr>
              <w:t xml:space="preserve">The CO </w:t>
            </w:r>
            <w:r w:rsidR="00950BBF" w:rsidRPr="00C53B7C">
              <w:rPr>
                <w:rFonts w:ascii="Calibri" w:hAnsi="Calibri"/>
                <w:szCs w:val="20"/>
              </w:rPr>
              <w:t>will be</w:t>
            </w:r>
            <w:r w:rsidR="00256358" w:rsidRPr="00C53B7C">
              <w:rPr>
                <w:rFonts w:ascii="Calibri" w:hAnsi="Calibri"/>
                <w:szCs w:val="20"/>
              </w:rPr>
              <w:t xml:space="preserve"> aligned with the new UNDP Strategic Plan (2022-2025). This means that while being responsive to new p</w:t>
            </w:r>
            <w:r w:rsidR="00FA33C1" w:rsidRPr="00C53B7C">
              <w:rPr>
                <w:rFonts w:ascii="Calibri" w:hAnsi="Calibri"/>
                <w:szCs w:val="20"/>
              </w:rPr>
              <w:t xml:space="preserve">riorities from the </w:t>
            </w:r>
            <w:r w:rsidR="00256358" w:rsidRPr="00C53B7C">
              <w:rPr>
                <w:rFonts w:ascii="Calibri" w:hAnsi="Calibri"/>
                <w:szCs w:val="20"/>
              </w:rPr>
              <w:t>A</w:t>
            </w:r>
            <w:r w:rsidR="00FA33C1" w:rsidRPr="00C53B7C">
              <w:rPr>
                <w:rFonts w:ascii="Calibri" w:hAnsi="Calibri"/>
                <w:szCs w:val="20"/>
              </w:rPr>
              <w:t>dministration</w:t>
            </w:r>
            <w:r w:rsidR="00256358" w:rsidRPr="00C53B7C">
              <w:rPr>
                <w:rFonts w:ascii="Calibri" w:hAnsi="Calibri"/>
                <w:szCs w:val="20"/>
              </w:rPr>
              <w:t xml:space="preserve">, it should </w:t>
            </w:r>
            <w:r w:rsidR="00FA33C1" w:rsidRPr="00C53B7C">
              <w:rPr>
                <w:rFonts w:ascii="Calibri" w:hAnsi="Calibri"/>
                <w:szCs w:val="20"/>
              </w:rPr>
              <w:t>keep</w:t>
            </w:r>
            <w:r w:rsidR="00256358" w:rsidRPr="00C53B7C">
              <w:rPr>
                <w:rFonts w:ascii="Calibri" w:hAnsi="Calibri"/>
                <w:szCs w:val="20"/>
              </w:rPr>
              <w:t xml:space="preserve"> with </w:t>
            </w:r>
            <w:r w:rsidR="00FA33C1" w:rsidRPr="00C53B7C">
              <w:rPr>
                <w:rFonts w:ascii="Calibri" w:hAnsi="Calibri"/>
                <w:szCs w:val="20"/>
              </w:rPr>
              <w:t>offer</w:t>
            </w:r>
            <w:r w:rsidR="00256358" w:rsidRPr="00C53B7C">
              <w:rPr>
                <w:rFonts w:ascii="Calibri" w:hAnsi="Calibri"/>
                <w:szCs w:val="20"/>
              </w:rPr>
              <w:t xml:space="preserve">ing </w:t>
            </w:r>
            <w:r w:rsidR="00FA33C1" w:rsidRPr="00C53B7C">
              <w:rPr>
                <w:rFonts w:ascii="Calibri" w:hAnsi="Calibri"/>
                <w:szCs w:val="20"/>
              </w:rPr>
              <w:t>the four integrated areas of governance, social protection, green economy and digital disruption as well as expertise available through its Global Policy Network. Such responsiveness builds collaboration, enhances our position as a partner of choice and informs key priorities for the development of the new 2022-2026 CPD.</w:t>
            </w:r>
          </w:p>
          <w:p w14:paraId="483C0395" w14:textId="41623515" w:rsidR="008303B6" w:rsidRPr="00C53B7C" w:rsidRDefault="008303B6" w:rsidP="00B4559B">
            <w:pPr>
              <w:pStyle w:val="BodyText2"/>
              <w:jc w:val="both"/>
              <w:rPr>
                <w:rFonts w:ascii="Calibri" w:hAnsi="Calibri"/>
                <w:szCs w:val="20"/>
              </w:rPr>
            </w:pPr>
          </w:p>
          <w:p w14:paraId="369632DC" w14:textId="77777777" w:rsidR="007C587A" w:rsidRPr="00C53B7C" w:rsidRDefault="00751225" w:rsidP="00B4559B">
            <w:pPr>
              <w:pStyle w:val="BodyText2"/>
              <w:autoSpaceDE/>
              <w:autoSpaceDN/>
              <w:adjustRightInd/>
              <w:jc w:val="both"/>
              <w:rPr>
                <w:rFonts w:ascii="Calibri" w:hAnsi="Calibri"/>
                <w:szCs w:val="20"/>
              </w:rPr>
            </w:pPr>
            <w:r w:rsidRPr="00C53B7C">
              <w:rPr>
                <w:rFonts w:ascii="Calibri" w:hAnsi="Calibri"/>
                <w:szCs w:val="20"/>
              </w:rPr>
              <w:t xml:space="preserve">These developments </w:t>
            </w:r>
            <w:r w:rsidR="007C587A" w:rsidRPr="00C53B7C">
              <w:rPr>
                <w:rFonts w:ascii="Calibri" w:hAnsi="Calibri"/>
                <w:szCs w:val="20"/>
              </w:rPr>
              <w:t xml:space="preserve">will </w:t>
            </w:r>
            <w:r w:rsidRPr="00C53B7C">
              <w:rPr>
                <w:rFonts w:ascii="Calibri" w:hAnsi="Calibri"/>
                <w:szCs w:val="20"/>
              </w:rPr>
              <w:t xml:space="preserve">underscore UNDP's theory of change of institutional strengthening and capacity building for </w:t>
            </w:r>
            <w:r w:rsidR="007C587A" w:rsidRPr="00C53B7C">
              <w:rPr>
                <w:rFonts w:ascii="Calibri" w:hAnsi="Calibri"/>
                <w:szCs w:val="20"/>
              </w:rPr>
              <w:t xml:space="preserve">contributing to outcomes set in the </w:t>
            </w:r>
            <w:proofErr w:type="spellStart"/>
            <w:r w:rsidR="007C587A" w:rsidRPr="00C53B7C">
              <w:rPr>
                <w:rFonts w:ascii="Calibri" w:hAnsi="Calibri"/>
                <w:szCs w:val="20"/>
              </w:rPr>
              <w:t>Multicountry</w:t>
            </w:r>
            <w:proofErr w:type="spellEnd"/>
            <w:r w:rsidR="007C587A" w:rsidRPr="00C53B7C">
              <w:rPr>
                <w:rFonts w:ascii="Calibri" w:hAnsi="Calibri"/>
                <w:szCs w:val="20"/>
              </w:rPr>
              <w:t xml:space="preserve"> Caribbean Sustainable Development Cooperation Framework (MSDCF) on</w:t>
            </w:r>
          </w:p>
          <w:p w14:paraId="5BBA07D5" w14:textId="77777777" w:rsidR="007C587A" w:rsidRPr="00C53B7C" w:rsidRDefault="007C587A" w:rsidP="00B4559B">
            <w:pPr>
              <w:pStyle w:val="BodyText2"/>
              <w:numPr>
                <w:ilvl w:val="0"/>
                <w:numId w:val="27"/>
              </w:numPr>
              <w:autoSpaceDE/>
              <w:autoSpaceDN/>
              <w:adjustRightInd/>
              <w:jc w:val="both"/>
              <w:rPr>
                <w:rFonts w:ascii="Calibri" w:hAnsi="Calibri"/>
                <w:szCs w:val="20"/>
              </w:rPr>
            </w:pPr>
            <w:r w:rsidRPr="00C53B7C">
              <w:rPr>
                <w:rFonts w:ascii="Calibri" w:hAnsi="Calibri"/>
                <w:szCs w:val="20"/>
              </w:rPr>
              <w:t xml:space="preserve">‘Economic Resilience and Shared Prosperity’, towards a more productive business ecosystem that improves people’s standard of living; </w:t>
            </w:r>
          </w:p>
          <w:p w14:paraId="6E89F224" w14:textId="77777777" w:rsidR="007C587A" w:rsidRPr="00C53B7C" w:rsidRDefault="007C587A" w:rsidP="00B4559B">
            <w:pPr>
              <w:pStyle w:val="BodyText2"/>
              <w:numPr>
                <w:ilvl w:val="0"/>
                <w:numId w:val="27"/>
              </w:numPr>
              <w:autoSpaceDE/>
              <w:autoSpaceDN/>
              <w:adjustRightInd/>
              <w:jc w:val="both"/>
              <w:rPr>
                <w:rFonts w:ascii="Calibri" w:hAnsi="Calibri"/>
                <w:szCs w:val="20"/>
              </w:rPr>
            </w:pPr>
            <w:r w:rsidRPr="00C53B7C">
              <w:rPr>
                <w:rFonts w:ascii="Calibri" w:hAnsi="Calibri"/>
                <w:szCs w:val="20"/>
              </w:rPr>
              <w:t>‘Safety, Justice and Rule of Law’, towards a reduction in crime (including specifically gender-based violence) through better and more timely access to justice services, translating into an improved environment for security and social inclusion;</w:t>
            </w:r>
          </w:p>
          <w:p w14:paraId="31207F8E" w14:textId="53C941C5" w:rsidR="007C587A" w:rsidRPr="00C53B7C" w:rsidRDefault="007C587A" w:rsidP="00B4559B">
            <w:pPr>
              <w:pStyle w:val="BodyText2"/>
              <w:numPr>
                <w:ilvl w:val="0"/>
                <w:numId w:val="27"/>
              </w:numPr>
              <w:autoSpaceDE/>
              <w:autoSpaceDN/>
              <w:adjustRightInd/>
              <w:jc w:val="both"/>
              <w:rPr>
                <w:rFonts w:ascii="Calibri" w:hAnsi="Calibri"/>
                <w:szCs w:val="20"/>
              </w:rPr>
            </w:pPr>
            <w:r w:rsidRPr="00C53B7C">
              <w:rPr>
                <w:rFonts w:ascii="Calibri" w:hAnsi="Calibri"/>
                <w:szCs w:val="20"/>
              </w:rPr>
              <w:t>‘Natural Resources Management and Resilience to Climate Change’, towards improving the resilience of the country’s natural resources and ecosystems, as well as the resilience and prosperity of the people that depend on them; and</w:t>
            </w:r>
          </w:p>
          <w:p w14:paraId="32E8ABC1" w14:textId="40F90828" w:rsidR="00751225" w:rsidRPr="00C53B7C" w:rsidRDefault="007C587A" w:rsidP="00B4559B">
            <w:pPr>
              <w:pStyle w:val="BodyText2"/>
              <w:numPr>
                <w:ilvl w:val="0"/>
                <w:numId w:val="27"/>
              </w:numPr>
              <w:autoSpaceDE/>
              <w:autoSpaceDN/>
              <w:adjustRightInd/>
              <w:jc w:val="both"/>
              <w:rPr>
                <w:rFonts w:ascii="Calibri" w:hAnsi="Calibri"/>
                <w:szCs w:val="20"/>
              </w:rPr>
            </w:pPr>
            <w:r w:rsidRPr="00C53B7C">
              <w:rPr>
                <w:rFonts w:ascii="Calibri" w:hAnsi="Calibri"/>
                <w:szCs w:val="20"/>
              </w:rPr>
              <w:t>‘Equality and Well-Being’, towards better access to universal, shock-responsive and quality health care  for the people of Guyana.</w:t>
            </w:r>
          </w:p>
          <w:p w14:paraId="2311E64E" w14:textId="77777777" w:rsidR="00751225" w:rsidRPr="00C53B7C" w:rsidRDefault="00751225" w:rsidP="00B4559B">
            <w:pPr>
              <w:pStyle w:val="BodyText2"/>
              <w:jc w:val="both"/>
              <w:rPr>
                <w:rFonts w:ascii="Calibri" w:hAnsi="Calibri"/>
                <w:szCs w:val="20"/>
              </w:rPr>
            </w:pPr>
          </w:p>
          <w:p w14:paraId="03FEC3C4" w14:textId="77777777" w:rsidR="00E2222D" w:rsidRPr="00C53B7C" w:rsidRDefault="00E2222D" w:rsidP="003F4D86">
            <w:pPr>
              <w:pStyle w:val="BodyText2"/>
              <w:rPr>
                <w:rFonts w:ascii="Calibri" w:hAnsi="Calibri"/>
                <w:szCs w:val="20"/>
              </w:rPr>
            </w:pPr>
          </w:p>
          <w:p w14:paraId="2B6A203E" w14:textId="4DE9235F" w:rsidR="00E2222D" w:rsidRPr="00C53B7C" w:rsidRDefault="00E2222D" w:rsidP="003F4D86">
            <w:pPr>
              <w:pStyle w:val="BodyText2"/>
              <w:rPr>
                <w:rFonts w:ascii="Times New Roman" w:hAnsi="Times New Roman"/>
                <w:szCs w:val="20"/>
              </w:rPr>
            </w:pPr>
          </w:p>
        </w:tc>
      </w:tr>
    </w:tbl>
    <w:p w14:paraId="068E8DB8" w14:textId="77777777" w:rsidR="003B11CB" w:rsidRPr="00C53B7C" w:rsidRDefault="003B11CB" w:rsidP="003B11CB">
      <w:pPr>
        <w:pStyle w:val="BodyText2"/>
        <w:rPr>
          <w:rFonts w:ascii="Times New Roman" w:hAnsi="Times New Roman"/>
          <w:szCs w:val="20"/>
        </w:rPr>
      </w:pPr>
    </w:p>
    <w:p w14:paraId="25DF7475" w14:textId="77777777" w:rsidR="003B11CB" w:rsidRPr="00C53B7C" w:rsidRDefault="003B11CB" w:rsidP="003B11CB">
      <w:pPr>
        <w:pStyle w:val="BodyText2"/>
        <w:jc w:val="center"/>
        <w:rPr>
          <w:rFonts w:ascii="Calibri" w:hAnsi="Calibri"/>
          <w:szCs w:val="20"/>
        </w:rPr>
      </w:pPr>
      <w:r w:rsidRPr="00C53B7C">
        <w:rPr>
          <w:rFonts w:ascii="Calibri" w:hAnsi="Calibri"/>
          <w:szCs w:val="20"/>
        </w:rPr>
        <w:t>III. Country Programme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866"/>
        <w:gridCol w:w="2040"/>
        <w:gridCol w:w="1950"/>
        <w:gridCol w:w="1977"/>
      </w:tblGrid>
      <w:tr w:rsidR="003B11CB" w:rsidRPr="00C53B7C" w14:paraId="7A2B4223" w14:textId="77777777" w:rsidTr="003F4D86">
        <w:tc>
          <w:tcPr>
            <w:tcW w:w="6228" w:type="dxa"/>
            <w:shd w:val="clear" w:color="auto" w:fill="000000"/>
          </w:tcPr>
          <w:p w14:paraId="08837138" w14:textId="28099FC3" w:rsidR="003B11CB" w:rsidRPr="00C53B7C" w:rsidRDefault="003B11CB" w:rsidP="003F4D86">
            <w:pPr>
              <w:pStyle w:val="BodyText2"/>
              <w:jc w:val="center"/>
              <w:rPr>
                <w:rFonts w:ascii="Calibri" w:hAnsi="Calibri"/>
                <w:b/>
                <w:color w:val="FFFFFF"/>
                <w:szCs w:val="20"/>
              </w:rPr>
            </w:pPr>
            <w:bookmarkStart w:id="2" w:name="_Hlk81467095"/>
            <w:r w:rsidRPr="00C53B7C">
              <w:rPr>
                <w:rFonts w:ascii="Calibri" w:hAnsi="Calibri"/>
                <w:b/>
                <w:color w:val="FFFFFF"/>
                <w:szCs w:val="20"/>
              </w:rPr>
              <w:t>Focus Area</w:t>
            </w:r>
          </w:p>
        </w:tc>
        <w:tc>
          <w:tcPr>
            <w:tcW w:w="5940" w:type="dxa"/>
            <w:gridSpan w:val="3"/>
            <w:shd w:val="clear" w:color="auto" w:fill="000000"/>
          </w:tcPr>
          <w:p w14:paraId="359B141D" w14:textId="77777777" w:rsidR="003B11CB" w:rsidRPr="00C53B7C" w:rsidRDefault="003B11CB" w:rsidP="003F4D86">
            <w:pPr>
              <w:pStyle w:val="BodyText2"/>
              <w:jc w:val="center"/>
              <w:rPr>
                <w:rFonts w:ascii="Calibri" w:hAnsi="Calibri"/>
                <w:b/>
                <w:color w:val="FFFFFF"/>
                <w:szCs w:val="20"/>
              </w:rPr>
            </w:pPr>
            <w:r w:rsidRPr="00C53B7C">
              <w:rPr>
                <w:rFonts w:ascii="Calibri" w:hAnsi="Calibri"/>
                <w:b/>
                <w:color w:val="FFFFFF"/>
                <w:szCs w:val="20"/>
              </w:rPr>
              <w:t>Programme Expenditure ($)</w:t>
            </w:r>
          </w:p>
        </w:tc>
        <w:tc>
          <w:tcPr>
            <w:tcW w:w="2008" w:type="dxa"/>
            <w:shd w:val="clear" w:color="auto" w:fill="000000"/>
          </w:tcPr>
          <w:p w14:paraId="195F5ACE" w14:textId="77777777" w:rsidR="003B11CB" w:rsidRPr="00C53B7C" w:rsidRDefault="003B11CB" w:rsidP="003F4D86">
            <w:pPr>
              <w:pStyle w:val="BodyText2"/>
              <w:jc w:val="center"/>
              <w:rPr>
                <w:rFonts w:ascii="Calibri" w:hAnsi="Calibri"/>
                <w:b/>
                <w:color w:val="FFFFFF"/>
                <w:szCs w:val="20"/>
              </w:rPr>
            </w:pPr>
            <w:r w:rsidRPr="00C53B7C">
              <w:rPr>
                <w:rFonts w:ascii="Calibri" w:hAnsi="Calibri"/>
                <w:b/>
                <w:color w:val="FFFFFF"/>
                <w:szCs w:val="20"/>
              </w:rPr>
              <w:t>% of Total</w:t>
            </w:r>
          </w:p>
        </w:tc>
      </w:tr>
      <w:tr w:rsidR="003B11CB" w:rsidRPr="00C53B7C" w14:paraId="1464C6F3" w14:textId="77777777" w:rsidTr="003F4D86">
        <w:tc>
          <w:tcPr>
            <w:tcW w:w="6228" w:type="dxa"/>
            <w:shd w:val="clear" w:color="auto" w:fill="auto"/>
          </w:tcPr>
          <w:p w14:paraId="6895267C" w14:textId="77777777" w:rsidR="003B11CB" w:rsidRPr="00C53B7C" w:rsidRDefault="003B11CB" w:rsidP="003F4D86">
            <w:pPr>
              <w:pStyle w:val="BodyText2"/>
              <w:rPr>
                <w:rFonts w:ascii="Calibri" w:hAnsi="Calibri"/>
                <w:szCs w:val="20"/>
              </w:rPr>
            </w:pPr>
          </w:p>
        </w:tc>
        <w:tc>
          <w:tcPr>
            <w:tcW w:w="1890" w:type="dxa"/>
            <w:shd w:val="clear" w:color="auto" w:fill="auto"/>
          </w:tcPr>
          <w:p w14:paraId="3CF240EF" w14:textId="77777777" w:rsidR="003B11CB" w:rsidRPr="00C53B7C" w:rsidRDefault="003B11CB" w:rsidP="003F4D86">
            <w:pPr>
              <w:pStyle w:val="BodyText2"/>
              <w:jc w:val="center"/>
              <w:rPr>
                <w:rFonts w:ascii="Calibri" w:hAnsi="Calibri"/>
                <w:szCs w:val="20"/>
              </w:rPr>
            </w:pPr>
            <w:r w:rsidRPr="00C53B7C">
              <w:rPr>
                <w:rFonts w:ascii="Calibri" w:hAnsi="Calibri"/>
                <w:szCs w:val="20"/>
              </w:rPr>
              <w:t>Regular (TRAC)</w:t>
            </w:r>
          </w:p>
        </w:tc>
        <w:tc>
          <w:tcPr>
            <w:tcW w:w="2070" w:type="dxa"/>
            <w:shd w:val="clear" w:color="auto" w:fill="auto"/>
          </w:tcPr>
          <w:p w14:paraId="34B1DB27" w14:textId="77777777" w:rsidR="003B11CB" w:rsidRPr="00C53B7C" w:rsidRDefault="003B11CB" w:rsidP="003F4D86">
            <w:pPr>
              <w:pStyle w:val="BodyText2"/>
              <w:jc w:val="center"/>
              <w:rPr>
                <w:rFonts w:ascii="Calibri" w:hAnsi="Calibri"/>
                <w:szCs w:val="20"/>
              </w:rPr>
            </w:pPr>
            <w:r w:rsidRPr="00C53B7C">
              <w:rPr>
                <w:rFonts w:ascii="Calibri" w:hAnsi="Calibri"/>
                <w:szCs w:val="20"/>
              </w:rPr>
              <w:t>Other</w:t>
            </w:r>
          </w:p>
        </w:tc>
        <w:tc>
          <w:tcPr>
            <w:tcW w:w="1980" w:type="dxa"/>
            <w:shd w:val="clear" w:color="auto" w:fill="auto"/>
          </w:tcPr>
          <w:p w14:paraId="26314834" w14:textId="77777777" w:rsidR="003B11CB" w:rsidRPr="00C53B7C" w:rsidRDefault="003B11CB" w:rsidP="003F4D86">
            <w:pPr>
              <w:pStyle w:val="BodyText2"/>
              <w:jc w:val="center"/>
              <w:rPr>
                <w:rFonts w:ascii="Calibri" w:hAnsi="Calibri"/>
                <w:szCs w:val="20"/>
              </w:rPr>
            </w:pPr>
            <w:r w:rsidRPr="00C53B7C">
              <w:rPr>
                <w:rFonts w:ascii="Calibri" w:hAnsi="Calibri"/>
                <w:szCs w:val="20"/>
              </w:rPr>
              <w:t>Total</w:t>
            </w:r>
          </w:p>
        </w:tc>
        <w:tc>
          <w:tcPr>
            <w:tcW w:w="2008" w:type="dxa"/>
            <w:shd w:val="clear" w:color="auto" w:fill="auto"/>
          </w:tcPr>
          <w:p w14:paraId="4BABAEFC" w14:textId="07B52F0D" w:rsidR="003B11CB" w:rsidRPr="00C53B7C" w:rsidRDefault="003B11CB" w:rsidP="003F4D86">
            <w:pPr>
              <w:pStyle w:val="BodyText2"/>
              <w:jc w:val="center"/>
              <w:rPr>
                <w:rFonts w:ascii="Calibri" w:hAnsi="Calibri"/>
                <w:szCs w:val="20"/>
              </w:rPr>
            </w:pPr>
          </w:p>
        </w:tc>
      </w:tr>
      <w:tr w:rsidR="003B11CB" w:rsidRPr="00C53B7C" w14:paraId="6DF93D84" w14:textId="77777777" w:rsidTr="003F4D86">
        <w:tc>
          <w:tcPr>
            <w:tcW w:w="6228" w:type="dxa"/>
            <w:shd w:val="clear" w:color="auto" w:fill="auto"/>
          </w:tcPr>
          <w:p w14:paraId="7931241A" w14:textId="78FD2B00" w:rsidR="003B11CB" w:rsidRPr="00C53B7C" w:rsidRDefault="00322371" w:rsidP="003F4D86">
            <w:pPr>
              <w:pStyle w:val="BodyText2"/>
              <w:rPr>
                <w:rFonts w:ascii="Calibri" w:hAnsi="Calibri"/>
                <w:szCs w:val="20"/>
              </w:rPr>
            </w:pPr>
            <w:r w:rsidRPr="00C53B7C">
              <w:rPr>
                <w:rFonts w:ascii="Calibri" w:hAnsi="Calibri"/>
                <w:szCs w:val="20"/>
              </w:rPr>
              <w:t>Governance and Povert</w:t>
            </w:r>
            <w:r w:rsidR="003B11CB" w:rsidRPr="00C53B7C">
              <w:rPr>
                <w:rFonts w:ascii="Calibri" w:hAnsi="Calibri"/>
                <w:szCs w:val="20"/>
              </w:rPr>
              <w:t xml:space="preserve">y </w:t>
            </w:r>
            <w:r w:rsidRPr="00C53B7C">
              <w:rPr>
                <w:rFonts w:ascii="Calibri" w:hAnsi="Calibri"/>
                <w:szCs w:val="20"/>
              </w:rPr>
              <w:t>Reduction</w:t>
            </w:r>
          </w:p>
        </w:tc>
        <w:tc>
          <w:tcPr>
            <w:tcW w:w="1890" w:type="dxa"/>
            <w:shd w:val="clear" w:color="auto" w:fill="auto"/>
          </w:tcPr>
          <w:p w14:paraId="6D42F2C0" w14:textId="091D5357" w:rsidR="003B11CB" w:rsidRPr="00C53B7C" w:rsidRDefault="009652CD" w:rsidP="003F4D86">
            <w:pPr>
              <w:pStyle w:val="BodyText2"/>
              <w:jc w:val="center"/>
              <w:rPr>
                <w:rFonts w:ascii="Calibri" w:hAnsi="Calibri"/>
                <w:szCs w:val="20"/>
              </w:rPr>
            </w:pPr>
            <w:r w:rsidRPr="00C53B7C">
              <w:rPr>
                <w:rFonts w:ascii="Calibri" w:hAnsi="Calibri"/>
                <w:szCs w:val="20"/>
              </w:rPr>
              <w:t>1M</w:t>
            </w:r>
          </w:p>
        </w:tc>
        <w:tc>
          <w:tcPr>
            <w:tcW w:w="2070" w:type="dxa"/>
            <w:shd w:val="clear" w:color="auto" w:fill="auto"/>
          </w:tcPr>
          <w:p w14:paraId="3C67B2F3" w14:textId="69E87DE0" w:rsidR="003B11CB" w:rsidRPr="00C53B7C" w:rsidRDefault="009652CD" w:rsidP="003F4D86">
            <w:pPr>
              <w:pStyle w:val="BodyText2"/>
              <w:jc w:val="center"/>
              <w:rPr>
                <w:rFonts w:ascii="Calibri" w:hAnsi="Calibri"/>
                <w:szCs w:val="20"/>
              </w:rPr>
            </w:pPr>
            <w:r w:rsidRPr="00C53B7C">
              <w:rPr>
                <w:rFonts w:ascii="Calibri" w:hAnsi="Calibri"/>
                <w:szCs w:val="20"/>
              </w:rPr>
              <w:t>11M</w:t>
            </w:r>
          </w:p>
        </w:tc>
        <w:tc>
          <w:tcPr>
            <w:tcW w:w="1980" w:type="dxa"/>
            <w:shd w:val="clear" w:color="auto" w:fill="auto"/>
          </w:tcPr>
          <w:p w14:paraId="7148F036" w14:textId="4147C7B4" w:rsidR="003B11CB" w:rsidRPr="00C53B7C" w:rsidRDefault="009652CD" w:rsidP="003F4D86">
            <w:pPr>
              <w:pStyle w:val="BodyText2"/>
              <w:jc w:val="center"/>
              <w:rPr>
                <w:rFonts w:ascii="Calibri" w:hAnsi="Calibri"/>
                <w:szCs w:val="20"/>
              </w:rPr>
            </w:pPr>
            <w:r w:rsidRPr="00C53B7C">
              <w:rPr>
                <w:rFonts w:ascii="Calibri" w:hAnsi="Calibri"/>
                <w:szCs w:val="20"/>
              </w:rPr>
              <w:t>12M</w:t>
            </w:r>
          </w:p>
        </w:tc>
        <w:tc>
          <w:tcPr>
            <w:tcW w:w="2008" w:type="dxa"/>
            <w:shd w:val="clear" w:color="auto" w:fill="auto"/>
          </w:tcPr>
          <w:p w14:paraId="163442F4" w14:textId="4B7654A2" w:rsidR="003B11CB" w:rsidRPr="00C53B7C" w:rsidRDefault="009652CD" w:rsidP="003F4D86">
            <w:pPr>
              <w:pStyle w:val="BodyText2"/>
              <w:jc w:val="center"/>
              <w:rPr>
                <w:rFonts w:ascii="Calibri" w:hAnsi="Calibri"/>
                <w:szCs w:val="20"/>
              </w:rPr>
            </w:pPr>
            <w:r w:rsidRPr="00C53B7C">
              <w:rPr>
                <w:rFonts w:ascii="Calibri" w:hAnsi="Calibri"/>
                <w:szCs w:val="20"/>
              </w:rPr>
              <w:t>70</w:t>
            </w:r>
          </w:p>
        </w:tc>
      </w:tr>
      <w:tr w:rsidR="003B11CB" w:rsidRPr="00C53B7C" w14:paraId="4DD426AD" w14:textId="77777777" w:rsidTr="003F4D86">
        <w:tc>
          <w:tcPr>
            <w:tcW w:w="6228" w:type="dxa"/>
            <w:shd w:val="clear" w:color="auto" w:fill="auto"/>
          </w:tcPr>
          <w:p w14:paraId="0DB9D79C" w14:textId="0615E324" w:rsidR="003B11CB" w:rsidRPr="00C53B7C" w:rsidRDefault="000265D6" w:rsidP="003F4D86">
            <w:pPr>
              <w:pStyle w:val="BodyText2"/>
              <w:rPr>
                <w:rFonts w:ascii="Calibri" w:hAnsi="Calibri"/>
                <w:szCs w:val="20"/>
              </w:rPr>
            </w:pPr>
            <w:r w:rsidRPr="00C53B7C">
              <w:rPr>
                <w:rFonts w:ascii="Calibri" w:hAnsi="Calibri"/>
                <w:szCs w:val="20"/>
              </w:rPr>
              <w:t xml:space="preserve">Energy, </w:t>
            </w:r>
            <w:r w:rsidR="00322371" w:rsidRPr="00C53B7C">
              <w:rPr>
                <w:rFonts w:ascii="Calibri" w:hAnsi="Calibri"/>
                <w:szCs w:val="20"/>
              </w:rPr>
              <w:t>Environment and Extractive Industry</w:t>
            </w:r>
          </w:p>
        </w:tc>
        <w:tc>
          <w:tcPr>
            <w:tcW w:w="1890" w:type="dxa"/>
            <w:shd w:val="clear" w:color="auto" w:fill="auto"/>
          </w:tcPr>
          <w:p w14:paraId="2D912974" w14:textId="652FD5BD" w:rsidR="003B11CB" w:rsidRPr="00C53B7C" w:rsidRDefault="009652CD" w:rsidP="003F4D86">
            <w:pPr>
              <w:pStyle w:val="BodyText2"/>
              <w:jc w:val="center"/>
              <w:rPr>
                <w:rFonts w:ascii="Calibri" w:hAnsi="Calibri"/>
                <w:szCs w:val="20"/>
              </w:rPr>
            </w:pPr>
            <w:r w:rsidRPr="00C53B7C">
              <w:rPr>
                <w:rFonts w:ascii="Calibri" w:hAnsi="Calibri"/>
                <w:szCs w:val="20"/>
              </w:rPr>
              <w:t>0.5M</w:t>
            </w:r>
          </w:p>
        </w:tc>
        <w:tc>
          <w:tcPr>
            <w:tcW w:w="2070" w:type="dxa"/>
            <w:shd w:val="clear" w:color="auto" w:fill="auto"/>
          </w:tcPr>
          <w:p w14:paraId="34F0204E" w14:textId="0CE725AC" w:rsidR="003B11CB" w:rsidRPr="00C53B7C" w:rsidRDefault="009652CD" w:rsidP="003F4D86">
            <w:pPr>
              <w:pStyle w:val="BodyText2"/>
              <w:jc w:val="center"/>
              <w:rPr>
                <w:rFonts w:ascii="Calibri" w:hAnsi="Calibri"/>
                <w:szCs w:val="20"/>
              </w:rPr>
            </w:pPr>
            <w:r w:rsidRPr="00C53B7C">
              <w:rPr>
                <w:rFonts w:ascii="Calibri" w:hAnsi="Calibri"/>
                <w:szCs w:val="20"/>
              </w:rPr>
              <w:t>4.5M</w:t>
            </w:r>
          </w:p>
        </w:tc>
        <w:tc>
          <w:tcPr>
            <w:tcW w:w="1980" w:type="dxa"/>
            <w:shd w:val="clear" w:color="auto" w:fill="auto"/>
          </w:tcPr>
          <w:p w14:paraId="7B143004" w14:textId="1B73001B" w:rsidR="003B11CB" w:rsidRPr="00C53B7C" w:rsidRDefault="009652CD" w:rsidP="003F4D86">
            <w:pPr>
              <w:pStyle w:val="BodyText2"/>
              <w:jc w:val="center"/>
              <w:rPr>
                <w:rFonts w:ascii="Calibri" w:hAnsi="Calibri"/>
                <w:szCs w:val="20"/>
              </w:rPr>
            </w:pPr>
            <w:r w:rsidRPr="00C53B7C">
              <w:rPr>
                <w:rFonts w:ascii="Calibri" w:hAnsi="Calibri"/>
                <w:szCs w:val="20"/>
              </w:rPr>
              <w:t>5M</w:t>
            </w:r>
          </w:p>
        </w:tc>
        <w:tc>
          <w:tcPr>
            <w:tcW w:w="2008" w:type="dxa"/>
            <w:shd w:val="clear" w:color="auto" w:fill="auto"/>
          </w:tcPr>
          <w:p w14:paraId="508307EE" w14:textId="411979F1" w:rsidR="003B11CB" w:rsidRPr="00C53B7C" w:rsidRDefault="009652CD" w:rsidP="003F4D86">
            <w:pPr>
              <w:pStyle w:val="BodyText2"/>
              <w:jc w:val="center"/>
              <w:rPr>
                <w:rFonts w:ascii="Calibri" w:hAnsi="Calibri"/>
                <w:szCs w:val="20"/>
              </w:rPr>
            </w:pPr>
            <w:r w:rsidRPr="00C53B7C">
              <w:rPr>
                <w:rFonts w:ascii="Calibri" w:hAnsi="Calibri"/>
                <w:szCs w:val="20"/>
              </w:rPr>
              <w:t>30</w:t>
            </w:r>
          </w:p>
        </w:tc>
      </w:tr>
      <w:tr w:rsidR="003B11CB" w:rsidRPr="00C53B7C" w14:paraId="624246F4" w14:textId="77777777" w:rsidTr="003F4D86">
        <w:tc>
          <w:tcPr>
            <w:tcW w:w="6228" w:type="dxa"/>
            <w:shd w:val="clear" w:color="auto" w:fill="auto"/>
          </w:tcPr>
          <w:p w14:paraId="5EDCA64B" w14:textId="10B77D0D" w:rsidR="003B11CB" w:rsidRPr="00C53B7C" w:rsidRDefault="003B11CB" w:rsidP="003F4D86">
            <w:pPr>
              <w:pStyle w:val="BodyText2"/>
              <w:rPr>
                <w:rFonts w:ascii="Calibri" w:hAnsi="Calibri"/>
                <w:szCs w:val="20"/>
              </w:rPr>
            </w:pPr>
          </w:p>
        </w:tc>
        <w:tc>
          <w:tcPr>
            <w:tcW w:w="1890" w:type="dxa"/>
            <w:shd w:val="clear" w:color="auto" w:fill="auto"/>
          </w:tcPr>
          <w:p w14:paraId="51E47738" w14:textId="77777777" w:rsidR="003B11CB" w:rsidRPr="00C53B7C" w:rsidRDefault="003B11CB" w:rsidP="003F4D86">
            <w:pPr>
              <w:pStyle w:val="BodyText2"/>
              <w:jc w:val="center"/>
              <w:rPr>
                <w:rFonts w:ascii="Calibri" w:hAnsi="Calibri"/>
                <w:szCs w:val="20"/>
              </w:rPr>
            </w:pPr>
          </w:p>
        </w:tc>
        <w:tc>
          <w:tcPr>
            <w:tcW w:w="2070" w:type="dxa"/>
            <w:shd w:val="clear" w:color="auto" w:fill="auto"/>
          </w:tcPr>
          <w:p w14:paraId="44BE6F5E" w14:textId="77777777" w:rsidR="003B11CB" w:rsidRPr="00C53B7C" w:rsidRDefault="003B11CB" w:rsidP="003F4D86">
            <w:pPr>
              <w:pStyle w:val="BodyText2"/>
              <w:jc w:val="center"/>
              <w:rPr>
                <w:rFonts w:ascii="Calibri" w:hAnsi="Calibri"/>
                <w:szCs w:val="20"/>
              </w:rPr>
            </w:pPr>
          </w:p>
        </w:tc>
        <w:tc>
          <w:tcPr>
            <w:tcW w:w="1980" w:type="dxa"/>
            <w:shd w:val="clear" w:color="auto" w:fill="auto"/>
          </w:tcPr>
          <w:p w14:paraId="58C342B0" w14:textId="77777777" w:rsidR="003B11CB" w:rsidRPr="00C53B7C" w:rsidRDefault="003B11CB" w:rsidP="003F4D86">
            <w:pPr>
              <w:pStyle w:val="BodyText2"/>
              <w:jc w:val="center"/>
              <w:rPr>
                <w:rFonts w:ascii="Calibri" w:hAnsi="Calibri"/>
                <w:szCs w:val="20"/>
              </w:rPr>
            </w:pPr>
          </w:p>
        </w:tc>
        <w:tc>
          <w:tcPr>
            <w:tcW w:w="2008" w:type="dxa"/>
            <w:shd w:val="clear" w:color="auto" w:fill="auto"/>
          </w:tcPr>
          <w:p w14:paraId="55E23619" w14:textId="77777777" w:rsidR="003B11CB" w:rsidRPr="00C53B7C" w:rsidRDefault="003B11CB" w:rsidP="003F4D86">
            <w:pPr>
              <w:pStyle w:val="BodyText2"/>
              <w:jc w:val="center"/>
              <w:rPr>
                <w:rFonts w:ascii="Calibri" w:hAnsi="Calibri"/>
                <w:szCs w:val="20"/>
              </w:rPr>
            </w:pPr>
          </w:p>
        </w:tc>
      </w:tr>
      <w:tr w:rsidR="003B11CB" w:rsidRPr="00C53B7C" w14:paraId="0CDEC65A" w14:textId="77777777" w:rsidTr="003F4D86">
        <w:tc>
          <w:tcPr>
            <w:tcW w:w="6228" w:type="dxa"/>
            <w:shd w:val="clear" w:color="auto" w:fill="auto"/>
          </w:tcPr>
          <w:p w14:paraId="23A8F1BC" w14:textId="13821505" w:rsidR="003B11CB" w:rsidRPr="00C53B7C" w:rsidRDefault="003B11CB" w:rsidP="003F4D86">
            <w:pPr>
              <w:pStyle w:val="BodyText2"/>
              <w:rPr>
                <w:rFonts w:ascii="Calibri" w:hAnsi="Calibri"/>
                <w:szCs w:val="20"/>
              </w:rPr>
            </w:pPr>
          </w:p>
        </w:tc>
        <w:tc>
          <w:tcPr>
            <w:tcW w:w="1890" w:type="dxa"/>
            <w:shd w:val="clear" w:color="auto" w:fill="auto"/>
          </w:tcPr>
          <w:p w14:paraId="234E6CC6" w14:textId="77777777" w:rsidR="003B11CB" w:rsidRPr="00C53B7C" w:rsidRDefault="003B11CB" w:rsidP="003F4D86">
            <w:pPr>
              <w:pStyle w:val="BodyText2"/>
              <w:jc w:val="center"/>
              <w:rPr>
                <w:rFonts w:ascii="Calibri" w:hAnsi="Calibri"/>
                <w:szCs w:val="20"/>
              </w:rPr>
            </w:pPr>
          </w:p>
        </w:tc>
        <w:tc>
          <w:tcPr>
            <w:tcW w:w="2070" w:type="dxa"/>
            <w:shd w:val="clear" w:color="auto" w:fill="auto"/>
          </w:tcPr>
          <w:p w14:paraId="12AFB99B" w14:textId="77777777" w:rsidR="003B11CB" w:rsidRPr="00C53B7C" w:rsidRDefault="003B11CB" w:rsidP="003F4D86">
            <w:pPr>
              <w:pStyle w:val="BodyText2"/>
              <w:jc w:val="center"/>
              <w:rPr>
                <w:rFonts w:ascii="Calibri" w:hAnsi="Calibri"/>
                <w:szCs w:val="20"/>
              </w:rPr>
            </w:pPr>
          </w:p>
        </w:tc>
        <w:tc>
          <w:tcPr>
            <w:tcW w:w="1980" w:type="dxa"/>
            <w:shd w:val="clear" w:color="auto" w:fill="auto"/>
          </w:tcPr>
          <w:p w14:paraId="7A702255" w14:textId="77777777" w:rsidR="003B11CB" w:rsidRPr="00C53B7C" w:rsidRDefault="003B11CB" w:rsidP="003F4D86">
            <w:pPr>
              <w:pStyle w:val="BodyText2"/>
              <w:jc w:val="center"/>
              <w:rPr>
                <w:rFonts w:ascii="Calibri" w:hAnsi="Calibri"/>
                <w:szCs w:val="20"/>
              </w:rPr>
            </w:pPr>
          </w:p>
        </w:tc>
        <w:tc>
          <w:tcPr>
            <w:tcW w:w="2008" w:type="dxa"/>
            <w:shd w:val="clear" w:color="auto" w:fill="auto"/>
          </w:tcPr>
          <w:p w14:paraId="3AE20B78" w14:textId="77777777" w:rsidR="003B11CB" w:rsidRPr="00C53B7C" w:rsidRDefault="003B11CB" w:rsidP="003F4D86">
            <w:pPr>
              <w:pStyle w:val="BodyText2"/>
              <w:jc w:val="center"/>
              <w:rPr>
                <w:rFonts w:ascii="Calibri" w:hAnsi="Calibri"/>
                <w:szCs w:val="20"/>
              </w:rPr>
            </w:pPr>
          </w:p>
        </w:tc>
      </w:tr>
      <w:tr w:rsidR="002C168E" w:rsidRPr="00C53B7C" w14:paraId="689DDA0C" w14:textId="77777777" w:rsidTr="003F4D86">
        <w:tc>
          <w:tcPr>
            <w:tcW w:w="6228" w:type="dxa"/>
            <w:shd w:val="clear" w:color="auto" w:fill="00B0F0"/>
          </w:tcPr>
          <w:p w14:paraId="596C104F" w14:textId="77777777" w:rsidR="003B11CB" w:rsidRPr="00C53B7C" w:rsidRDefault="003B11CB" w:rsidP="003F4D86">
            <w:pPr>
              <w:pStyle w:val="BodyText2"/>
              <w:jc w:val="center"/>
              <w:rPr>
                <w:rFonts w:ascii="Calibri" w:hAnsi="Calibri"/>
                <w:szCs w:val="20"/>
              </w:rPr>
            </w:pPr>
            <w:r w:rsidRPr="00C53B7C">
              <w:rPr>
                <w:rFonts w:ascii="Calibri" w:hAnsi="Calibri"/>
                <w:szCs w:val="20"/>
              </w:rPr>
              <w:t>Total</w:t>
            </w:r>
          </w:p>
        </w:tc>
        <w:tc>
          <w:tcPr>
            <w:tcW w:w="1890" w:type="dxa"/>
            <w:shd w:val="clear" w:color="auto" w:fill="00B0F0"/>
          </w:tcPr>
          <w:p w14:paraId="21BA8795" w14:textId="0AFCE445" w:rsidR="003B11CB" w:rsidRPr="00C53B7C" w:rsidRDefault="009652CD" w:rsidP="003F4D86">
            <w:pPr>
              <w:pStyle w:val="BodyText2"/>
              <w:jc w:val="center"/>
              <w:rPr>
                <w:rFonts w:ascii="Calibri" w:hAnsi="Calibri"/>
                <w:szCs w:val="20"/>
              </w:rPr>
            </w:pPr>
            <w:r w:rsidRPr="00C53B7C">
              <w:rPr>
                <w:rFonts w:ascii="Calibri" w:hAnsi="Calibri"/>
                <w:szCs w:val="20"/>
              </w:rPr>
              <w:t>1.5M</w:t>
            </w:r>
          </w:p>
        </w:tc>
        <w:tc>
          <w:tcPr>
            <w:tcW w:w="2070" w:type="dxa"/>
            <w:shd w:val="clear" w:color="auto" w:fill="00B0F0"/>
          </w:tcPr>
          <w:p w14:paraId="0BF033A7" w14:textId="22CDD4E1" w:rsidR="003B11CB" w:rsidRPr="00C53B7C" w:rsidRDefault="009652CD" w:rsidP="003F4D86">
            <w:pPr>
              <w:pStyle w:val="BodyText2"/>
              <w:jc w:val="center"/>
              <w:rPr>
                <w:rFonts w:ascii="Calibri" w:hAnsi="Calibri"/>
                <w:szCs w:val="20"/>
              </w:rPr>
            </w:pPr>
            <w:r w:rsidRPr="00C53B7C">
              <w:rPr>
                <w:rFonts w:ascii="Calibri" w:hAnsi="Calibri"/>
                <w:szCs w:val="20"/>
              </w:rPr>
              <w:t>15.5M</w:t>
            </w:r>
          </w:p>
        </w:tc>
        <w:tc>
          <w:tcPr>
            <w:tcW w:w="1980" w:type="dxa"/>
            <w:shd w:val="clear" w:color="auto" w:fill="00B0F0"/>
          </w:tcPr>
          <w:p w14:paraId="18FA3CF3" w14:textId="424B25D3" w:rsidR="003B11CB" w:rsidRPr="00C53B7C" w:rsidRDefault="009652CD" w:rsidP="003F4D86">
            <w:pPr>
              <w:pStyle w:val="BodyText2"/>
              <w:jc w:val="center"/>
              <w:rPr>
                <w:rFonts w:ascii="Calibri" w:hAnsi="Calibri"/>
                <w:szCs w:val="20"/>
              </w:rPr>
            </w:pPr>
            <w:r w:rsidRPr="00C53B7C">
              <w:rPr>
                <w:rFonts w:ascii="Calibri" w:hAnsi="Calibri"/>
                <w:szCs w:val="20"/>
              </w:rPr>
              <w:t>17M</w:t>
            </w:r>
          </w:p>
        </w:tc>
        <w:tc>
          <w:tcPr>
            <w:tcW w:w="2008" w:type="dxa"/>
            <w:shd w:val="clear" w:color="auto" w:fill="00B0F0"/>
          </w:tcPr>
          <w:p w14:paraId="5301015B" w14:textId="13450DC8" w:rsidR="003B11CB" w:rsidRPr="00C53B7C" w:rsidRDefault="009652CD" w:rsidP="003F4D86">
            <w:pPr>
              <w:pStyle w:val="BodyText2"/>
              <w:jc w:val="center"/>
              <w:rPr>
                <w:rFonts w:ascii="Calibri" w:hAnsi="Calibri"/>
                <w:szCs w:val="20"/>
              </w:rPr>
            </w:pPr>
            <w:r w:rsidRPr="00C53B7C">
              <w:rPr>
                <w:rFonts w:ascii="Calibri" w:hAnsi="Calibri"/>
                <w:szCs w:val="20"/>
              </w:rPr>
              <w:t>100</w:t>
            </w:r>
          </w:p>
        </w:tc>
      </w:tr>
      <w:bookmarkEnd w:id="2"/>
    </w:tbl>
    <w:p w14:paraId="0AC2DDF9" w14:textId="675C5406" w:rsidR="003B11CB" w:rsidRPr="00C53B7C" w:rsidRDefault="003B11CB" w:rsidP="003B11CB">
      <w:pPr>
        <w:pStyle w:val="BodyText2"/>
        <w:rPr>
          <w:rFonts w:ascii="Calibri" w:hAnsi="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3B11CB" w:rsidRPr="00C53B7C" w14:paraId="1AA8CD80" w14:textId="77777777" w:rsidTr="00866134">
        <w:tc>
          <w:tcPr>
            <w:tcW w:w="13950" w:type="dxa"/>
            <w:shd w:val="clear" w:color="auto" w:fill="auto"/>
          </w:tcPr>
          <w:p w14:paraId="70CA443D" w14:textId="77777777" w:rsidR="003B11CB" w:rsidRPr="00C53B7C" w:rsidRDefault="003B11CB" w:rsidP="003F4D86">
            <w:pPr>
              <w:pStyle w:val="BodyText2"/>
              <w:rPr>
                <w:rFonts w:ascii="Calibri" w:hAnsi="Calibri"/>
                <w:b/>
                <w:szCs w:val="20"/>
              </w:rPr>
            </w:pPr>
            <w:r w:rsidRPr="00C53B7C">
              <w:rPr>
                <w:rFonts w:ascii="Calibri" w:hAnsi="Calibri"/>
                <w:b/>
                <w:szCs w:val="20"/>
              </w:rPr>
              <w:t xml:space="preserve">Data sources:  (please indicate the main sources from which data were obtained for this report.) </w:t>
            </w:r>
          </w:p>
        </w:tc>
      </w:tr>
      <w:tr w:rsidR="003B11CB" w:rsidRPr="00C53B7C" w14:paraId="547868BE" w14:textId="77777777" w:rsidTr="00866134">
        <w:tc>
          <w:tcPr>
            <w:tcW w:w="13950" w:type="dxa"/>
            <w:shd w:val="clear" w:color="auto" w:fill="auto"/>
          </w:tcPr>
          <w:p w14:paraId="114B829D" w14:textId="77777777" w:rsidR="00866134" w:rsidRPr="00C53B7C" w:rsidRDefault="00866134" w:rsidP="00866134">
            <w:pPr>
              <w:pStyle w:val="BodyText2"/>
              <w:rPr>
                <w:rFonts w:ascii="Calibri" w:hAnsi="Calibri"/>
                <w:bCs/>
                <w:szCs w:val="20"/>
                <w:lang w:val="en-GB"/>
              </w:rPr>
            </w:pPr>
          </w:p>
          <w:p w14:paraId="63902811" w14:textId="679D1C17" w:rsidR="00866134" w:rsidRPr="00C53B7C" w:rsidRDefault="00866134" w:rsidP="00866134">
            <w:pPr>
              <w:pStyle w:val="BodyText2"/>
              <w:numPr>
                <w:ilvl w:val="0"/>
                <w:numId w:val="24"/>
              </w:numPr>
              <w:ind w:left="360"/>
              <w:rPr>
                <w:rFonts w:ascii="Calibri" w:hAnsi="Calibri"/>
                <w:bCs/>
                <w:szCs w:val="20"/>
                <w:lang w:val="en-GB"/>
              </w:rPr>
            </w:pPr>
            <w:r w:rsidRPr="00C53B7C">
              <w:rPr>
                <w:rFonts w:ascii="Calibri" w:hAnsi="Calibri"/>
                <w:bCs/>
                <w:szCs w:val="20"/>
                <w:lang w:val="en-GB"/>
              </w:rPr>
              <w:t>United Nations Development Programme, Country Programme Document, 2017-2021</w:t>
            </w:r>
          </w:p>
          <w:p w14:paraId="680BB36D" w14:textId="6D871919" w:rsidR="00866134" w:rsidRPr="00C53B7C" w:rsidRDefault="00866134" w:rsidP="00866134">
            <w:pPr>
              <w:pStyle w:val="BodyText2"/>
              <w:numPr>
                <w:ilvl w:val="0"/>
                <w:numId w:val="24"/>
              </w:numPr>
              <w:ind w:left="360"/>
              <w:rPr>
                <w:rFonts w:ascii="Calibri" w:hAnsi="Calibri"/>
                <w:bCs/>
                <w:szCs w:val="20"/>
                <w:lang w:val="en-GB"/>
              </w:rPr>
            </w:pPr>
            <w:r w:rsidRPr="00C53B7C">
              <w:rPr>
                <w:rFonts w:ascii="Calibri" w:hAnsi="Calibri"/>
                <w:bCs/>
                <w:szCs w:val="20"/>
                <w:lang w:val="en-GB"/>
              </w:rPr>
              <w:t>United Nations Development Programme, Results Oriented Annual Report, 2017</w:t>
            </w:r>
          </w:p>
          <w:p w14:paraId="23EF4427" w14:textId="4FE0C856" w:rsidR="00866134" w:rsidRPr="00C53B7C" w:rsidRDefault="00866134" w:rsidP="00866134">
            <w:pPr>
              <w:pStyle w:val="BodyText2"/>
              <w:numPr>
                <w:ilvl w:val="0"/>
                <w:numId w:val="24"/>
              </w:numPr>
              <w:ind w:left="360"/>
              <w:rPr>
                <w:rFonts w:ascii="Calibri" w:hAnsi="Calibri"/>
                <w:bCs/>
                <w:szCs w:val="20"/>
                <w:lang w:val="en-GB"/>
              </w:rPr>
            </w:pPr>
            <w:r w:rsidRPr="00C53B7C">
              <w:rPr>
                <w:rFonts w:ascii="Calibri" w:hAnsi="Calibri"/>
                <w:bCs/>
                <w:szCs w:val="20"/>
                <w:lang w:val="en-GB"/>
              </w:rPr>
              <w:t>United Nations Development Programme, Results Oriented Annual Report, 2018</w:t>
            </w:r>
          </w:p>
          <w:p w14:paraId="2D1640B2" w14:textId="27FBAF8B" w:rsidR="00866134" w:rsidRPr="00C53B7C" w:rsidRDefault="00866134" w:rsidP="00866134">
            <w:pPr>
              <w:pStyle w:val="BodyText2"/>
              <w:numPr>
                <w:ilvl w:val="0"/>
                <w:numId w:val="24"/>
              </w:numPr>
              <w:ind w:left="360"/>
              <w:rPr>
                <w:rFonts w:ascii="Calibri" w:hAnsi="Calibri"/>
                <w:bCs/>
                <w:szCs w:val="20"/>
                <w:lang w:val="en-GB"/>
              </w:rPr>
            </w:pPr>
            <w:r w:rsidRPr="00C53B7C">
              <w:rPr>
                <w:rFonts w:ascii="Calibri" w:hAnsi="Calibri"/>
                <w:bCs/>
                <w:szCs w:val="20"/>
                <w:lang w:val="en-GB"/>
              </w:rPr>
              <w:t>United Nations Development Programme, Results Oriented Annual Report, 2019</w:t>
            </w:r>
          </w:p>
          <w:p w14:paraId="46EE795B" w14:textId="77777777" w:rsidR="00866134" w:rsidRPr="00C53B7C" w:rsidRDefault="00866134" w:rsidP="00866134">
            <w:pPr>
              <w:pStyle w:val="BodyText2"/>
              <w:numPr>
                <w:ilvl w:val="0"/>
                <w:numId w:val="24"/>
              </w:numPr>
              <w:ind w:left="360"/>
              <w:rPr>
                <w:rFonts w:ascii="Calibri" w:hAnsi="Calibri"/>
                <w:bCs/>
                <w:szCs w:val="20"/>
                <w:lang w:val="en-GB"/>
              </w:rPr>
            </w:pPr>
            <w:r w:rsidRPr="00C53B7C">
              <w:rPr>
                <w:rFonts w:ascii="Calibri" w:hAnsi="Calibri"/>
                <w:bCs/>
                <w:szCs w:val="20"/>
                <w:lang w:val="en-GB"/>
              </w:rPr>
              <w:t>United Nations Development Programme, Results Oriented Annual Report, 2020</w:t>
            </w:r>
          </w:p>
          <w:p w14:paraId="608D8CB2" w14:textId="4D5AD224" w:rsidR="00866134" w:rsidRPr="00C53B7C" w:rsidRDefault="00C7515C" w:rsidP="00866134">
            <w:pPr>
              <w:pStyle w:val="BodyText2"/>
              <w:numPr>
                <w:ilvl w:val="0"/>
                <w:numId w:val="24"/>
              </w:numPr>
              <w:ind w:left="360"/>
              <w:rPr>
                <w:rFonts w:ascii="Calibri" w:hAnsi="Calibri"/>
                <w:bCs/>
                <w:szCs w:val="20"/>
              </w:rPr>
            </w:pPr>
            <w:r w:rsidRPr="00C53B7C">
              <w:rPr>
                <w:rFonts w:ascii="Calibri" w:hAnsi="Calibri"/>
                <w:bCs/>
                <w:szCs w:val="20"/>
                <w:lang w:val="en-GB"/>
              </w:rPr>
              <w:t>International Monetary Fund, April 2021</w:t>
            </w:r>
          </w:p>
          <w:p w14:paraId="02E0B936" w14:textId="77777777" w:rsidR="00866134" w:rsidRPr="00C53B7C" w:rsidRDefault="00C7515C" w:rsidP="00866134">
            <w:pPr>
              <w:pStyle w:val="BodyText2"/>
              <w:numPr>
                <w:ilvl w:val="0"/>
                <w:numId w:val="24"/>
              </w:numPr>
              <w:ind w:left="360"/>
              <w:rPr>
                <w:rFonts w:ascii="Calibri" w:hAnsi="Calibri"/>
                <w:bCs/>
                <w:szCs w:val="20"/>
              </w:rPr>
            </w:pPr>
            <w:r w:rsidRPr="00C53B7C">
              <w:rPr>
                <w:rFonts w:ascii="Calibri" w:hAnsi="Calibri"/>
                <w:bCs/>
                <w:szCs w:val="20"/>
                <w:lang w:val="en-GB"/>
              </w:rPr>
              <w:t xml:space="preserve">World Bank, </w:t>
            </w:r>
            <w:r w:rsidR="00866134" w:rsidRPr="00C53B7C">
              <w:rPr>
                <w:rFonts w:ascii="Calibri" w:hAnsi="Calibri"/>
                <w:bCs/>
                <w:szCs w:val="20"/>
                <w:lang w:val="en-GB"/>
              </w:rPr>
              <w:t xml:space="preserve">Guyana Systematic Country Diagnostic, </w:t>
            </w:r>
            <w:r w:rsidRPr="00C53B7C">
              <w:rPr>
                <w:rFonts w:ascii="Calibri" w:hAnsi="Calibri"/>
                <w:bCs/>
                <w:szCs w:val="20"/>
                <w:lang w:val="en-GB"/>
              </w:rPr>
              <w:t>202</w:t>
            </w:r>
            <w:r w:rsidR="00866134" w:rsidRPr="00C53B7C">
              <w:rPr>
                <w:rFonts w:ascii="Calibri" w:hAnsi="Calibri"/>
                <w:bCs/>
                <w:szCs w:val="20"/>
                <w:lang w:val="en-GB"/>
              </w:rPr>
              <w:t>0</w:t>
            </w:r>
          </w:p>
          <w:p w14:paraId="25CDB456" w14:textId="77777777" w:rsidR="00866134" w:rsidRPr="00C53B7C" w:rsidRDefault="00866134" w:rsidP="00866134">
            <w:pPr>
              <w:pStyle w:val="BodyText2"/>
              <w:numPr>
                <w:ilvl w:val="0"/>
                <w:numId w:val="24"/>
              </w:numPr>
              <w:ind w:left="360"/>
              <w:rPr>
                <w:rFonts w:ascii="Calibri" w:hAnsi="Calibri"/>
                <w:bCs/>
                <w:szCs w:val="20"/>
              </w:rPr>
            </w:pPr>
            <w:r w:rsidRPr="00C53B7C">
              <w:rPr>
                <w:rFonts w:ascii="Calibri" w:hAnsi="Calibri"/>
                <w:bCs/>
                <w:szCs w:val="20"/>
              </w:rPr>
              <w:t>World Bank, World Development Indicators 2021</w:t>
            </w:r>
          </w:p>
          <w:p w14:paraId="34A9DC7D" w14:textId="64236642" w:rsidR="003B11CB" w:rsidRPr="00C53B7C" w:rsidRDefault="00866134" w:rsidP="00866134">
            <w:pPr>
              <w:pStyle w:val="BodyText2"/>
              <w:numPr>
                <w:ilvl w:val="0"/>
                <w:numId w:val="24"/>
              </w:numPr>
              <w:ind w:left="360"/>
              <w:rPr>
                <w:rFonts w:ascii="Calibri" w:hAnsi="Calibri"/>
                <w:bCs/>
                <w:szCs w:val="20"/>
              </w:rPr>
            </w:pPr>
            <w:r w:rsidRPr="00C53B7C">
              <w:rPr>
                <w:rFonts w:ascii="Calibri" w:hAnsi="Calibri"/>
                <w:bCs/>
                <w:szCs w:val="20"/>
              </w:rPr>
              <w:lastRenderedPageBreak/>
              <w:t>Guyana First Voluntary National Review of the Sustainable Development Goals, 2019</w:t>
            </w:r>
            <w:r w:rsidR="00C7515C" w:rsidRPr="00C53B7C">
              <w:rPr>
                <w:rFonts w:ascii="Calibri" w:hAnsi="Calibri"/>
                <w:bCs/>
                <w:szCs w:val="20"/>
                <w:lang w:val="en-GB"/>
              </w:rPr>
              <w:t>.</w:t>
            </w:r>
          </w:p>
          <w:p w14:paraId="3F9AF54C" w14:textId="77777777" w:rsidR="00322371" w:rsidRPr="00C53B7C" w:rsidRDefault="00866134" w:rsidP="00322371">
            <w:pPr>
              <w:pStyle w:val="BodyText2"/>
              <w:numPr>
                <w:ilvl w:val="0"/>
                <w:numId w:val="24"/>
              </w:numPr>
              <w:ind w:left="360"/>
              <w:rPr>
                <w:rFonts w:ascii="Calibri" w:hAnsi="Calibri"/>
                <w:bCs/>
                <w:szCs w:val="20"/>
              </w:rPr>
            </w:pPr>
            <w:r w:rsidRPr="00C53B7C">
              <w:rPr>
                <w:rFonts w:ascii="Calibri" w:hAnsi="Calibri"/>
                <w:bCs/>
                <w:szCs w:val="20"/>
              </w:rPr>
              <w:t>Guyana Country Profile, SDG Report 2021</w:t>
            </w:r>
          </w:p>
          <w:p w14:paraId="101DDF1E" w14:textId="1C05F4A8" w:rsidR="00322371" w:rsidRPr="00C53B7C" w:rsidRDefault="00322371" w:rsidP="00322371">
            <w:pPr>
              <w:pStyle w:val="BodyText2"/>
              <w:numPr>
                <w:ilvl w:val="0"/>
                <w:numId w:val="24"/>
              </w:numPr>
              <w:ind w:left="360"/>
              <w:rPr>
                <w:rFonts w:ascii="Calibri" w:hAnsi="Calibri"/>
                <w:bCs/>
                <w:szCs w:val="20"/>
              </w:rPr>
            </w:pPr>
            <w:r w:rsidRPr="00C53B7C">
              <w:rPr>
                <w:rFonts w:ascii="Calibri" w:hAnsi="Calibri"/>
                <w:bCs/>
                <w:szCs w:val="20"/>
              </w:rPr>
              <w:t xml:space="preserve">Evaluation reports (mid-term, final): LCDS </w:t>
            </w:r>
            <w:r w:rsidR="00D54EEE" w:rsidRPr="00C53B7C">
              <w:rPr>
                <w:rFonts w:ascii="Calibri" w:hAnsi="Calibri"/>
                <w:bCs/>
                <w:szCs w:val="20"/>
              </w:rPr>
              <w:t xml:space="preserve">Amerindian Development Fund </w:t>
            </w:r>
            <w:r w:rsidRPr="00C53B7C">
              <w:rPr>
                <w:rFonts w:ascii="Calibri" w:hAnsi="Calibri"/>
                <w:bCs/>
                <w:szCs w:val="20"/>
              </w:rPr>
              <w:t xml:space="preserve">- Village Economy Development under GRIF (ADF Phase II) </w:t>
            </w:r>
          </w:p>
          <w:p w14:paraId="04E27DD0" w14:textId="3C534883" w:rsidR="00866134" w:rsidRPr="00C53B7C" w:rsidRDefault="00322371" w:rsidP="00866134">
            <w:pPr>
              <w:pStyle w:val="BodyText2"/>
              <w:numPr>
                <w:ilvl w:val="0"/>
                <w:numId w:val="24"/>
              </w:numPr>
              <w:ind w:left="360"/>
              <w:rPr>
                <w:rFonts w:ascii="Calibri" w:hAnsi="Calibri"/>
                <w:bCs/>
                <w:szCs w:val="20"/>
              </w:rPr>
            </w:pPr>
            <w:r w:rsidRPr="00C53B7C">
              <w:rPr>
                <w:rFonts w:ascii="Calibri" w:hAnsi="Calibri"/>
                <w:bCs/>
                <w:szCs w:val="20"/>
              </w:rPr>
              <w:t>Evaluation report: Mainstreaming Biodiversity into Mining</w:t>
            </w:r>
          </w:p>
          <w:p w14:paraId="6211B0C4" w14:textId="356E3205" w:rsidR="00ED1B23" w:rsidRPr="00C53B7C" w:rsidRDefault="00F13258" w:rsidP="00866134">
            <w:pPr>
              <w:pStyle w:val="BodyText2"/>
              <w:numPr>
                <w:ilvl w:val="0"/>
                <w:numId w:val="24"/>
              </w:numPr>
              <w:ind w:left="360"/>
              <w:rPr>
                <w:rFonts w:ascii="Calibri" w:hAnsi="Calibri"/>
                <w:bCs/>
                <w:szCs w:val="20"/>
              </w:rPr>
            </w:pPr>
            <w:r w:rsidRPr="00C53B7C">
              <w:rPr>
                <w:rFonts w:ascii="Calibri" w:hAnsi="Calibri"/>
                <w:bCs/>
                <w:szCs w:val="20"/>
              </w:rPr>
              <w:t xml:space="preserve">2020 COVID-19 </w:t>
            </w:r>
            <w:r w:rsidR="00ED1B23" w:rsidRPr="00C53B7C">
              <w:rPr>
                <w:rFonts w:ascii="Calibri" w:hAnsi="Calibri"/>
                <w:bCs/>
                <w:szCs w:val="20"/>
              </w:rPr>
              <w:t>S</w:t>
            </w:r>
            <w:r w:rsidRPr="00C53B7C">
              <w:rPr>
                <w:rFonts w:ascii="Calibri" w:hAnsi="Calibri"/>
                <w:bCs/>
                <w:szCs w:val="20"/>
              </w:rPr>
              <w:t xml:space="preserve">ocio Economic Impact Assessment </w:t>
            </w:r>
            <w:r w:rsidR="00ED1B23" w:rsidRPr="00C53B7C">
              <w:rPr>
                <w:rFonts w:ascii="Calibri" w:hAnsi="Calibri"/>
                <w:bCs/>
                <w:szCs w:val="20"/>
              </w:rPr>
              <w:t>Report</w:t>
            </w:r>
          </w:p>
          <w:p w14:paraId="421C5868" w14:textId="3CA8900F" w:rsidR="003B11CB" w:rsidRPr="00C53B7C" w:rsidRDefault="00ED1B23" w:rsidP="00365BA0">
            <w:pPr>
              <w:pStyle w:val="BodyText2"/>
              <w:numPr>
                <w:ilvl w:val="0"/>
                <w:numId w:val="24"/>
              </w:numPr>
              <w:ind w:left="360"/>
              <w:rPr>
                <w:rFonts w:ascii="Calibri" w:hAnsi="Calibri"/>
                <w:b/>
                <w:szCs w:val="20"/>
              </w:rPr>
            </w:pPr>
            <w:r w:rsidRPr="00C53B7C">
              <w:rPr>
                <w:rFonts w:ascii="Calibri" w:hAnsi="Calibri"/>
                <w:bCs/>
                <w:szCs w:val="20"/>
              </w:rPr>
              <w:t>National dialogue on HIV and the Law R</w:t>
            </w:r>
            <w:r w:rsidR="00F13258" w:rsidRPr="00C53B7C">
              <w:rPr>
                <w:rFonts w:ascii="Calibri" w:hAnsi="Calibri"/>
                <w:bCs/>
                <w:szCs w:val="20"/>
              </w:rPr>
              <w:t>ep</w:t>
            </w:r>
            <w:r w:rsidRPr="00C53B7C">
              <w:rPr>
                <w:rFonts w:ascii="Calibri" w:hAnsi="Calibri"/>
                <w:bCs/>
                <w:szCs w:val="20"/>
              </w:rPr>
              <w:t>ort</w:t>
            </w:r>
          </w:p>
        </w:tc>
      </w:tr>
    </w:tbl>
    <w:p w14:paraId="6D9F8012" w14:textId="77777777" w:rsidR="00635929" w:rsidRPr="00037115" w:rsidRDefault="00635929" w:rsidP="003B11CB">
      <w:pPr>
        <w:rPr>
          <w:sz w:val="28"/>
          <w:szCs w:val="28"/>
        </w:rPr>
      </w:pPr>
    </w:p>
    <w:sectPr w:rsidR="00635929" w:rsidRPr="00037115" w:rsidSect="0037523B">
      <w:headerReference w:type="default" r:id="rId14"/>
      <w:footerReference w:type="default" r:id="rId15"/>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4BDDE" w14:textId="77777777" w:rsidR="004B37AC" w:rsidRDefault="004B37AC">
      <w:r>
        <w:separator/>
      </w:r>
    </w:p>
  </w:endnote>
  <w:endnote w:type="continuationSeparator" w:id="0">
    <w:p w14:paraId="7C856007" w14:textId="77777777" w:rsidR="004B37AC" w:rsidRDefault="004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DB03" w14:textId="77777777" w:rsidR="003B11CB" w:rsidRDefault="003B11CB">
    <w:pPr>
      <w:pStyle w:val="Footer"/>
      <w:jc w:val="center"/>
    </w:pPr>
    <w:r>
      <w:fldChar w:fldCharType="begin"/>
    </w:r>
    <w:r>
      <w:instrText xml:space="preserve"> PAGE   \* MERGEFORMAT </w:instrText>
    </w:r>
    <w:r>
      <w:fldChar w:fldCharType="separate"/>
    </w:r>
    <w:r>
      <w:rPr>
        <w:noProof/>
      </w:rPr>
      <w:t>3</w:t>
    </w:r>
    <w:r>
      <w:rPr>
        <w:noProof/>
      </w:rPr>
      <w:fldChar w:fldCharType="end"/>
    </w:r>
  </w:p>
  <w:p w14:paraId="022BEB38" w14:textId="77777777" w:rsidR="003B11CB" w:rsidRDefault="003B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B594" w14:textId="77777777" w:rsidR="00A210CD" w:rsidRDefault="00C576D1">
    <w:pPr>
      <w:pStyle w:val="Footer"/>
      <w:jc w:val="center"/>
    </w:pPr>
    <w:r>
      <w:fldChar w:fldCharType="begin"/>
    </w:r>
    <w:r>
      <w:instrText xml:space="preserve"> PAGE   \* MERGEFORMAT </w:instrText>
    </w:r>
    <w:r>
      <w:fldChar w:fldCharType="separate"/>
    </w:r>
    <w:r w:rsidR="00901550">
      <w:rPr>
        <w:noProof/>
      </w:rPr>
      <w:t>1</w:t>
    </w:r>
    <w:r>
      <w:fldChar w:fldCharType="end"/>
    </w:r>
  </w:p>
  <w:p w14:paraId="6F2BA5AF"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64E4" w14:textId="77777777" w:rsidR="004B37AC" w:rsidRDefault="004B37AC">
      <w:r>
        <w:separator/>
      </w:r>
    </w:p>
  </w:footnote>
  <w:footnote w:type="continuationSeparator" w:id="0">
    <w:p w14:paraId="37D9C917" w14:textId="77777777" w:rsidR="004B37AC" w:rsidRDefault="004B37AC">
      <w:r>
        <w:continuationSeparator/>
      </w:r>
    </w:p>
  </w:footnote>
  <w:footnote w:id="1">
    <w:p w14:paraId="52818B8D" w14:textId="755E4C9B" w:rsidR="00782F08" w:rsidRPr="002C168E" w:rsidRDefault="00782F08" w:rsidP="00782F08">
      <w:pPr>
        <w:pStyle w:val="FootnoteText"/>
        <w:rPr>
          <w:rFonts w:ascii="Calibri" w:hAnsi="Calibri" w:cs="Calibri"/>
          <w:sz w:val="18"/>
          <w:szCs w:val="18"/>
        </w:rPr>
      </w:pPr>
      <w:r w:rsidRPr="002C168E">
        <w:rPr>
          <w:rStyle w:val="FootnoteReference"/>
          <w:rFonts w:ascii="Calibri" w:hAnsi="Calibri" w:cs="Calibri"/>
          <w:sz w:val="18"/>
          <w:szCs w:val="18"/>
        </w:rPr>
        <w:footnoteRef/>
      </w:r>
      <w:r w:rsidRPr="002C168E">
        <w:rPr>
          <w:rFonts w:ascii="Calibri" w:hAnsi="Calibri" w:cs="Calibri"/>
          <w:sz w:val="18"/>
          <w:szCs w:val="18"/>
        </w:rPr>
        <w:t xml:space="preserve"> The scale used was Baseline = 0 = nonexistent; 1= very little; 2 = little; 3 = moderate; 4 = largely; 5 = very largely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5271" w14:textId="77777777" w:rsidR="00157815" w:rsidRPr="00517955" w:rsidRDefault="00157815">
    <w:pPr>
      <w:pStyle w:val="Header"/>
      <w:rPr>
        <w:rFonts w:ascii="Calibri" w:hAnsi="Calibri"/>
      </w:rPr>
    </w:pPr>
    <w:r w:rsidRPr="00517955">
      <w:rPr>
        <w:rFonts w:ascii="Calibri" w:hAnsi="Calibri"/>
      </w:rPr>
      <w:t>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101" w:hanging="178"/>
      </w:pPr>
      <w:rPr>
        <w:rFonts w:ascii="Arial" w:hAnsi="Arial" w:cs="Arial"/>
        <w:b w:val="0"/>
        <w:bCs w:val="0"/>
        <w:i w:val="0"/>
        <w:iCs w:val="0"/>
        <w:color w:val="444444"/>
        <w:spacing w:val="-1"/>
        <w:w w:val="95"/>
        <w:sz w:val="11"/>
        <w:szCs w:val="11"/>
      </w:rPr>
    </w:lvl>
    <w:lvl w:ilvl="1">
      <w:numFmt w:val="bullet"/>
      <w:lvlText w:val="•"/>
      <w:lvlJc w:val="left"/>
      <w:pPr>
        <w:ind w:left="974" w:hanging="178"/>
      </w:pPr>
    </w:lvl>
    <w:lvl w:ilvl="2">
      <w:numFmt w:val="bullet"/>
      <w:lvlText w:val="•"/>
      <w:lvlJc w:val="left"/>
      <w:pPr>
        <w:ind w:left="1848" w:hanging="178"/>
      </w:pPr>
    </w:lvl>
    <w:lvl w:ilvl="3">
      <w:numFmt w:val="bullet"/>
      <w:lvlText w:val="•"/>
      <w:lvlJc w:val="left"/>
      <w:pPr>
        <w:ind w:left="2722" w:hanging="178"/>
      </w:pPr>
    </w:lvl>
    <w:lvl w:ilvl="4">
      <w:numFmt w:val="bullet"/>
      <w:lvlText w:val="•"/>
      <w:lvlJc w:val="left"/>
      <w:pPr>
        <w:ind w:left="3596" w:hanging="178"/>
      </w:pPr>
    </w:lvl>
    <w:lvl w:ilvl="5">
      <w:numFmt w:val="bullet"/>
      <w:lvlText w:val="•"/>
      <w:lvlJc w:val="left"/>
      <w:pPr>
        <w:ind w:left="4470" w:hanging="178"/>
      </w:pPr>
    </w:lvl>
    <w:lvl w:ilvl="6">
      <w:numFmt w:val="bullet"/>
      <w:lvlText w:val="•"/>
      <w:lvlJc w:val="left"/>
      <w:pPr>
        <w:ind w:left="5344" w:hanging="178"/>
      </w:pPr>
    </w:lvl>
    <w:lvl w:ilvl="7">
      <w:numFmt w:val="bullet"/>
      <w:lvlText w:val="•"/>
      <w:lvlJc w:val="left"/>
      <w:pPr>
        <w:ind w:left="6218" w:hanging="178"/>
      </w:pPr>
    </w:lvl>
    <w:lvl w:ilvl="8">
      <w:numFmt w:val="bullet"/>
      <w:lvlText w:val="•"/>
      <w:lvlJc w:val="left"/>
      <w:pPr>
        <w:ind w:left="7092" w:hanging="178"/>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65657"/>
    <w:multiLevelType w:val="hybridMultilevel"/>
    <w:tmpl w:val="375C290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1D253A72"/>
    <w:multiLevelType w:val="hybridMultilevel"/>
    <w:tmpl w:val="C60E991E"/>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21BFB"/>
    <w:multiLevelType w:val="hybridMultilevel"/>
    <w:tmpl w:val="3BDE30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2B2B5805"/>
    <w:multiLevelType w:val="hybridMultilevel"/>
    <w:tmpl w:val="00F2C3BE"/>
    <w:lvl w:ilvl="0" w:tplc="C4EC346A">
      <w:numFmt w:val="bullet"/>
      <w:lvlText w:val="-"/>
      <w:lvlJc w:val="left"/>
      <w:pPr>
        <w:ind w:left="720" w:hanging="360"/>
      </w:pPr>
      <w:rPr>
        <w:rFonts w:ascii="Calibri" w:eastAsia="Calibri" w:hAnsi="Calibri"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15:restartNumberingAfterBreak="0">
    <w:nsid w:val="30EC04F8"/>
    <w:multiLevelType w:val="hybridMultilevel"/>
    <w:tmpl w:val="C738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B29531E"/>
    <w:multiLevelType w:val="hybridMultilevel"/>
    <w:tmpl w:val="14E60F42"/>
    <w:lvl w:ilvl="0" w:tplc="04090003">
      <w:start w:val="1"/>
      <w:numFmt w:val="bullet"/>
      <w:lvlText w:val="o"/>
      <w:lvlJc w:val="left"/>
      <w:pPr>
        <w:ind w:left="770" w:hanging="360"/>
      </w:pPr>
      <w:rPr>
        <w:rFonts w:ascii="Courier New" w:hAnsi="Courier New" w:cs="Courier New" w:hint="default"/>
      </w:rPr>
    </w:lvl>
    <w:lvl w:ilvl="1" w:tplc="24090003">
      <w:start w:val="1"/>
      <w:numFmt w:val="bullet"/>
      <w:lvlText w:val="o"/>
      <w:lvlJc w:val="left"/>
      <w:pPr>
        <w:ind w:left="1490" w:hanging="360"/>
      </w:pPr>
      <w:rPr>
        <w:rFonts w:ascii="Courier New" w:hAnsi="Courier New" w:cs="Courier New" w:hint="default"/>
      </w:rPr>
    </w:lvl>
    <w:lvl w:ilvl="2" w:tplc="24090005" w:tentative="1">
      <w:start w:val="1"/>
      <w:numFmt w:val="bullet"/>
      <w:lvlText w:val=""/>
      <w:lvlJc w:val="left"/>
      <w:pPr>
        <w:ind w:left="2210" w:hanging="360"/>
      </w:pPr>
      <w:rPr>
        <w:rFonts w:ascii="Wingdings" w:hAnsi="Wingdings" w:hint="default"/>
      </w:rPr>
    </w:lvl>
    <w:lvl w:ilvl="3" w:tplc="24090001" w:tentative="1">
      <w:start w:val="1"/>
      <w:numFmt w:val="bullet"/>
      <w:lvlText w:val=""/>
      <w:lvlJc w:val="left"/>
      <w:pPr>
        <w:ind w:left="2930" w:hanging="360"/>
      </w:pPr>
      <w:rPr>
        <w:rFonts w:ascii="Symbol" w:hAnsi="Symbol" w:hint="default"/>
      </w:rPr>
    </w:lvl>
    <w:lvl w:ilvl="4" w:tplc="24090003" w:tentative="1">
      <w:start w:val="1"/>
      <w:numFmt w:val="bullet"/>
      <w:lvlText w:val="o"/>
      <w:lvlJc w:val="left"/>
      <w:pPr>
        <w:ind w:left="3650" w:hanging="360"/>
      </w:pPr>
      <w:rPr>
        <w:rFonts w:ascii="Courier New" w:hAnsi="Courier New" w:cs="Courier New" w:hint="default"/>
      </w:rPr>
    </w:lvl>
    <w:lvl w:ilvl="5" w:tplc="24090005" w:tentative="1">
      <w:start w:val="1"/>
      <w:numFmt w:val="bullet"/>
      <w:lvlText w:val=""/>
      <w:lvlJc w:val="left"/>
      <w:pPr>
        <w:ind w:left="4370" w:hanging="360"/>
      </w:pPr>
      <w:rPr>
        <w:rFonts w:ascii="Wingdings" w:hAnsi="Wingdings" w:hint="default"/>
      </w:rPr>
    </w:lvl>
    <w:lvl w:ilvl="6" w:tplc="24090001" w:tentative="1">
      <w:start w:val="1"/>
      <w:numFmt w:val="bullet"/>
      <w:lvlText w:val=""/>
      <w:lvlJc w:val="left"/>
      <w:pPr>
        <w:ind w:left="5090" w:hanging="360"/>
      </w:pPr>
      <w:rPr>
        <w:rFonts w:ascii="Symbol" w:hAnsi="Symbol" w:hint="default"/>
      </w:rPr>
    </w:lvl>
    <w:lvl w:ilvl="7" w:tplc="24090003" w:tentative="1">
      <w:start w:val="1"/>
      <w:numFmt w:val="bullet"/>
      <w:lvlText w:val="o"/>
      <w:lvlJc w:val="left"/>
      <w:pPr>
        <w:ind w:left="5810" w:hanging="360"/>
      </w:pPr>
      <w:rPr>
        <w:rFonts w:ascii="Courier New" w:hAnsi="Courier New" w:cs="Courier New" w:hint="default"/>
      </w:rPr>
    </w:lvl>
    <w:lvl w:ilvl="8" w:tplc="24090005" w:tentative="1">
      <w:start w:val="1"/>
      <w:numFmt w:val="bullet"/>
      <w:lvlText w:val=""/>
      <w:lvlJc w:val="left"/>
      <w:pPr>
        <w:ind w:left="6530" w:hanging="360"/>
      </w:pPr>
      <w:rPr>
        <w:rFonts w:ascii="Wingdings" w:hAnsi="Wingdings" w:hint="default"/>
      </w:rPr>
    </w:lvl>
  </w:abstractNum>
  <w:abstractNum w:abstractNumId="15"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6"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57F3D"/>
    <w:multiLevelType w:val="hybridMultilevel"/>
    <w:tmpl w:val="864CAB6E"/>
    <w:lvl w:ilvl="0" w:tplc="1924D38C">
      <w:start w:val="1"/>
      <w:numFmt w:val="lowerLetter"/>
      <w:lvlText w:val="%1."/>
      <w:lvlJc w:val="left"/>
      <w:pPr>
        <w:ind w:left="360" w:hanging="360"/>
      </w:pPr>
      <w:rPr>
        <w:rFonts w:hint="default"/>
        <w:i w:val="0"/>
      </w:rPr>
    </w:lvl>
    <w:lvl w:ilvl="1" w:tplc="3DAE941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EE1B95"/>
    <w:multiLevelType w:val="hybridMultilevel"/>
    <w:tmpl w:val="C60E991E"/>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D00E2D"/>
    <w:multiLevelType w:val="hybridMultilevel"/>
    <w:tmpl w:val="01707D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15:restartNumberingAfterBreak="0">
    <w:nsid w:val="6C747D24"/>
    <w:multiLevelType w:val="hybridMultilevel"/>
    <w:tmpl w:val="36E66B2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6" w15:restartNumberingAfterBreak="0">
    <w:nsid w:val="72FD12D8"/>
    <w:multiLevelType w:val="hybridMultilevel"/>
    <w:tmpl w:val="2D96601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75E2C1A"/>
    <w:multiLevelType w:val="hybridMultilevel"/>
    <w:tmpl w:val="1596979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4"/>
  </w:num>
  <w:num w:numId="5">
    <w:abstractNumId w:val="18"/>
  </w:num>
  <w:num w:numId="6">
    <w:abstractNumId w:val="20"/>
  </w:num>
  <w:num w:numId="7">
    <w:abstractNumId w:val="3"/>
  </w:num>
  <w:num w:numId="8">
    <w:abstractNumId w:val="19"/>
  </w:num>
  <w:num w:numId="9">
    <w:abstractNumId w:val="5"/>
  </w:num>
  <w:num w:numId="10">
    <w:abstractNumId w:val="13"/>
  </w:num>
  <w:num w:numId="11">
    <w:abstractNumId w:val="27"/>
  </w:num>
  <w:num w:numId="12">
    <w:abstractNumId w:val="16"/>
  </w:num>
  <w:num w:numId="13">
    <w:abstractNumId w:val="17"/>
  </w:num>
  <w:num w:numId="14">
    <w:abstractNumId w:val="9"/>
  </w:num>
  <w:num w:numId="15">
    <w:abstractNumId w:val="1"/>
  </w:num>
  <w:num w:numId="16">
    <w:abstractNumId w:val="23"/>
  </w:num>
  <w:num w:numId="17">
    <w:abstractNumId w:val="21"/>
  </w:num>
  <w:num w:numId="18">
    <w:abstractNumId w:val="25"/>
  </w:num>
  <w:num w:numId="19">
    <w:abstractNumId w:val="0"/>
  </w:num>
  <w:num w:numId="20">
    <w:abstractNumId w:val="28"/>
  </w:num>
  <w:num w:numId="21">
    <w:abstractNumId w:val="24"/>
  </w:num>
  <w:num w:numId="22">
    <w:abstractNumId w:val="6"/>
  </w:num>
  <w:num w:numId="23">
    <w:abstractNumId w:val="10"/>
  </w:num>
  <w:num w:numId="24">
    <w:abstractNumId w:val="7"/>
  </w:num>
  <w:num w:numId="25">
    <w:abstractNumId w:val="26"/>
  </w:num>
  <w:num w:numId="26">
    <w:abstractNumId w:val="11"/>
  </w:num>
  <w:num w:numId="27">
    <w:abstractNumId w:val="1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Tc3tjQ0NDYB0ko6SsGpxcWZ+XkgBYa1AJXmbMIsAAAA"/>
  </w:docVars>
  <w:rsids>
    <w:rsidRoot w:val="005C6168"/>
    <w:rsid w:val="00007461"/>
    <w:rsid w:val="000079CC"/>
    <w:rsid w:val="00011A63"/>
    <w:rsid w:val="000140FC"/>
    <w:rsid w:val="00015047"/>
    <w:rsid w:val="000237C5"/>
    <w:rsid w:val="00025A6F"/>
    <w:rsid w:val="000263BF"/>
    <w:rsid w:val="000265D6"/>
    <w:rsid w:val="00037115"/>
    <w:rsid w:val="00040A1A"/>
    <w:rsid w:val="000449D8"/>
    <w:rsid w:val="000502AD"/>
    <w:rsid w:val="00050B2B"/>
    <w:rsid w:val="000621A9"/>
    <w:rsid w:val="000645BB"/>
    <w:rsid w:val="0006477F"/>
    <w:rsid w:val="00070E32"/>
    <w:rsid w:val="00071762"/>
    <w:rsid w:val="000823AC"/>
    <w:rsid w:val="0008666C"/>
    <w:rsid w:val="000926A9"/>
    <w:rsid w:val="000A049E"/>
    <w:rsid w:val="000A65ED"/>
    <w:rsid w:val="000B3CA4"/>
    <w:rsid w:val="000C09B4"/>
    <w:rsid w:val="000C1BFA"/>
    <w:rsid w:val="000C4457"/>
    <w:rsid w:val="000C50F0"/>
    <w:rsid w:val="000D3E5B"/>
    <w:rsid w:val="000D442A"/>
    <w:rsid w:val="000D6DE5"/>
    <w:rsid w:val="000E7225"/>
    <w:rsid w:val="000E7A21"/>
    <w:rsid w:val="000F279D"/>
    <w:rsid w:val="000F77FD"/>
    <w:rsid w:val="000F7AAE"/>
    <w:rsid w:val="0010435D"/>
    <w:rsid w:val="00104F10"/>
    <w:rsid w:val="0011056D"/>
    <w:rsid w:val="00110CF4"/>
    <w:rsid w:val="00120AA9"/>
    <w:rsid w:val="00121F6A"/>
    <w:rsid w:val="001227EF"/>
    <w:rsid w:val="00123295"/>
    <w:rsid w:val="0015409F"/>
    <w:rsid w:val="00157815"/>
    <w:rsid w:val="0016069A"/>
    <w:rsid w:val="001663A4"/>
    <w:rsid w:val="00167DA9"/>
    <w:rsid w:val="00172B56"/>
    <w:rsid w:val="00176076"/>
    <w:rsid w:val="0018421D"/>
    <w:rsid w:val="001859CC"/>
    <w:rsid w:val="001956C7"/>
    <w:rsid w:val="001A0E36"/>
    <w:rsid w:val="001A45CB"/>
    <w:rsid w:val="001A4D75"/>
    <w:rsid w:val="001B29DE"/>
    <w:rsid w:val="001B43B4"/>
    <w:rsid w:val="001B4FA0"/>
    <w:rsid w:val="001B6CCA"/>
    <w:rsid w:val="001B721D"/>
    <w:rsid w:val="001C57EE"/>
    <w:rsid w:val="001D6000"/>
    <w:rsid w:val="001D6086"/>
    <w:rsid w:val="001E0085"/>
    <w:rsid w:val="001E3250"/>
    <w:rsid w:val="001E3BEE"/>
    <w:rsid w:val="001F3524"/>
    <w:rsid w:val="00207447"/>
    <w:rsid w:val="002127D9"/>
    <w:rsid w:val="002133BA"/>
    <w:rsid w:val="00216733"/>
    <w:rsid w:val="00225C9F"/>
    <w:rsid w:val="00230636"/>
    <w:rsid w:val="00230A0E"/>
    <w:rsid w:val="002315A5"/>
    <w:rsid w:val="00232597"/>
    <w:rsid w:val="00236F9E"/>
    <w:rsid w:val="00245582"/>
    <w:rsid w:val="0024591C"/>
    <w:rsid w:val="002547CF"/>
    <w:rsid w:val="00256358"/>
    <w:rsid w:val="00257ECF"/>
    <w:rsid w:val="00262352"/>
    <w:rsid w:val="0026321D"/>
    <w:rsid w:val="00267164"/>
    <w:rsid w:val="002708BA"/>
    <w:rsid w:val="00277303"/>
    <w:rsid w:val="002808B8"/>
    <w:rsid w:val="002837BF"/>
    <w:rsid w:val="002B387C"/>
    <w:rsid w:val="002C168E"/>
    <w:rsid w:val="002C4B80"/>
    <w:rsid w:val="002D0947"/>
    <w:rsid w:val="002D6F10"/>
    <w:rsid w:val="002E0CD5"/>
    <w:rsid w:val="002E6D77"/>
    <w:rsid w:val="002E77E2"/>
    <w:rsid w:val="002F3F49"/>
    <w:rsid w:val="002F60EC"/>
    <w:rsid w:val="002F7E65"/>
    <w:rsid w:val="00301625"/>
    <w:rsid w:val="003019F7"/>
    <w:rsid w:val="0030614F"/>
    <w:rsid w:val="0032175A"/>
    <w:rsid w:val="00322371"/>
    <w:rsid w:val="00322DEA"/>
    <w:rsid w:val="003261C1"/>
    <w:rsid w:val="00345A31"/>
    <w:rsid w:val="00346615"/>
    <w:rsid w:val="00351E2E"/>
    <w:rsid w:val="00354CB5"/>
    <w:rsid w:val="0035786A"/>
    <w:rsid w:val="00357B0E"/>
    <w:rsid w:val="00363193"/>
    <w:rsid w:val="00363EC5"/>
    <w:rsid w:val="00364941"/>
    <w:rsid w:val="00364C9C"/>
    <w:rsid w:val="00365BA0"/>
    <w:rsid w:val="00366AD1"/>
    <w:rsid w:val="0037523B"/>
    <w:rsid w:val="00380E0D"/>
    <w:rsid w:val="003A409B"/>
    <w:rsid w:val="003B037A"/>
    <w:rsid w:val="003B11CB"/>
    <w:rsid w:val="003B25A8"/>
    <w:rsid w:val="003B422F"/>
    <w:rsid w:val="003D0BE7"/>
    <w:rsid w:val="003D0F59"/>
    <w:rsid w:val="003D2D7F"/>
    <w:rsid w:val="003D653B"/>
    <w:rsid w:val="003F0A96"/>
    <w:rsid w:val="003F3381"/>
    <w:rsid w:val="003F42A7"/>
    <w:rsid w:val="003F4D86"/>
    <w:rsid w:val="003F5765"/>
    <w:rsid w:val="004004FC"/>
    <w:rsid w:val="00417008"/>
    <w:rsid w:val="004230D2"/>
    <w:rsid w:val="00424E4F"/>
    <w:rsid w:val="00427830"/>
    <w:rsid w:val="00431568"/>
    <w:rsid w:val="00435597"/>
    <w:rsid w:val="00440EBD"/>
    <w:rsid w:val="00441EEF"/>
    <w:rsid w:val="00461D62"/>
    <w:rsid w:val="004651D4"/>
    <w:rsid w:val="00465221"/>
    <w:rsid w:val="00467FB3"/>
    <w:rsid w:val="00484E0C"/>
    <w:rsid w:val="00486426"/>
    <w:rsid w:val="00494D36"/>
    <w:rsid w:val="004A4CC2"/>
    <w:rsid w:val="004B31AA"/>
    <w:rsid w:val="004B37AC"/>
    <w:rsid w:val="004B3911"/>
    <w:rsid w:val="004C2EC4"/>
    <w:rsid w:val="004C595C"/>
    <w:rsid w:val="004C7988"/>
    <w:rsid w:val="004D3DBE"/>
    <w:rsid w:val="004E0CBD"/>
    <w:rsid w:val="004E2FD0"/>
    <w:rsid w:val="004E660B"/>
    <w:rsid w:val="004F5C1F"/>
    <w:rsid w:val="004F6600"/>
    <w:rsid w:val="00501951"/>
    <w:rsid w:val="005022F6"/>
    <w:rsid w:val="00512418"/>
    <w:rsid w:val="00516AC8"/>
    <w:rsid w:val="00517955"/>
    <w:rsid w:val="00520DF3"/>
    <w:rsid w:val="0052760D"/>
    <w:rsid w:val="005304FE"/>
    <w:rsid w:val="00530FDE"/>
    <w:rsid w:val="005474ED"/>
    <w:rsid w:val="005519E6"/>
    <w:rsid w:val="005630C2"/>
    <w:rsid w:val="00565BD9"/>
    <w:rsid w:val="00570D6B"/>
    <w:rsid w:val="00573361"/>
    <w:rsid w:val="0059487F"/>
    <w:rsid w:val="0059694D"/>
    <w:rsid w:val="00597D28"/>
    <w:rsid w:val="005A7B65"/>
    <w:rsid w:val="005B3BFE"/>
    <w:rsid w:val="005C6168"/>
    <w:rsid w:val="005D3F57"/>
    <w:rsid w:val="005D740B"/>
    <w:rsid w:val="005E0C05"/>
    <w:rsid w:val="005E68BF"/>
    <w:rsid w:val="005F2E08"/>
    <w:rsid w:val="005F6261"/>
    <w:rsid w:val="006052E9"/>
    <w:rsid w:val="00612159"/>
    <w:rsid w:val="006171D1"/>
    <w:rsid w:val="006330E1"/>
    <w:rsid w:val="00635929"/>
    <w:rsid w:val="0063611D"/>
    <w:rsid w:val="00636F98"/>
    <w:rsid w:val="006428DE"/>
    <w:rsid w:val="0064746F"/>
    <w:rsid w:val="00671BCB"/>
    <w:rsid w:val="00673710"/>
    <w:rsid w:val="00673766"/>
    <w:rsid w:val="00674B1A"/>
    <w:rsid w:val="00676DD0"/>
    <w:rsid w:val="006837CF"/>
    <w:rsid w:val="006900FE"/>
    <w:rsid w:val="006B44C2"/>
    <w:rsid w:val="006C3E5B"/>
    <w:rsid w:val="006D02FC"/>
    <w:rsid w:val="006D20BC"/>
    <w:rsid w:val="006D25EA"/>
    <w:rsid w:val="006D2963"/>
    <w:rsid w:val="006E10AF"/>
    <w:rsid w:val="006E5C22"/>
    <w:rsid w:val="006F1928"/>
    <w:rsid w:val="006F41EA"/>
    <w:rsid w:val="00700521"/>
    <w:rsid w:val="00704406"/>
    <w:rsid w:val="007245C3"/>
    <w:rsid w:val="007427F1"/>
    <w:rsid w:val="00751225"/>
    <w:rsid w:val="0075189B"/>
    <w:rsid w:val="00754C53"/>
    <w:rsid w:val="0075632A"/>
    <w:rsid w:val="007566D2"/>
    <w:rsid w:val="00760E32"/>
    <w:rsid w:val="007629A1"/>
    <w:rsid w:val="00764E41"/>
    <w:rsid w:val="00771515"/>
    <w:rsid w:val="0077162B"/>
    <w:rsid w:val="00772FF8"/>
    <w:rsid w:val="00776056"/>
    <w:rsid w:val="00782F08"/>
    <w:rsid w:val="00790C12"/>
    <w:rsid w:val="007A04AA"/>
    <w:rsid w:val="007A246A"/>
    <w:rsid w:val="007B1747"/>
    <w:rsid w:val="007B2AE7"/>
    <w:rsid w:val="007B3B46"/>
    <w:rsid w:val="007B5510"/>
    <w:rsid w:val="007B5F9F"/>
    <w:rsid w:val="007C1879"/>
    <w:rsid w:val="007C1B15"/>
    <w:rsid w:val="007C587A"/>
    <w:rsid w:val="007C6BFF"/>
    <w:rsid w:val="007D18FC"/>
    <w:rsid w:val="007E1663"/>
    <w:rsid w:val="007E4B99"/>
    <w:rsid w:val="007E5ADF"/>
    <w:rsid w:val="007F34D0"/>
    <w:rsid w:val="00800AD2"/>
    <w:rsid w:val="008018C5"/>
    <w:rsid w:val="00810A37"/>
    <w:rsid w:val="00811CCA"/>
    <w:rsid w:val="00813F1E"/>
    <w:rsid w:val="0081403B"/>
    <w:rsid w:val="008268E0"/>
    <w:rsid w:val="008303B6"/>
    <w:rsid w:val="00837C4B"/>
    <w:rsid w:val="00842737"/>
    <w:rsid w:val="0084288D"/>
    <w:rsid w:val="00843006"/>
    <w:rsid w:val="008440D9"/>
    <w:rsid w:val="00845340"/>
    <w:rsid w:val="00853A4E"/>
    <w:rsid w:val="00855230"/>
    <w:rsid w:val="008560A1"/>
    <w:rsid w:val="00862AD3"/>
    <w:rsid w:val="00862D2C"/>
    <w:rsid w:val="008651FB"/>
    <w:rsid w:val="00866134"/>
    <w:rsid w:val="00867AAC"/>
    <w:rsid w:val="008734C7"/>
    <w:rsid w:val="00882ECA"/>
    <w:rsid w:val="0088355C"/>
    <w:rsid w:val="0089587B"/>
    <w:rsid w:val="008A4D36"/>
    <w:rsid w:val="008B06DD"/>
    <w:rsid w:val="008C67F3"/>
    <w:rsid w:val="008D4556"/>
    <w:rsid w:val="008D791F"/>
    <w:rsid w:val="008E03CB"/>
    <w:rsid w:val="008F0A97"/>
    <w:rsid w:val="00901550"/>
    <w:rsid w:val="0091432F"/>
    <w:rsid w:val="00920DBC"/>
    <w:rsid w:val="00930F86"/>
    <w:rsid w:val="009319F8"/>
    <w:rsid w:val="009329D6"/>
    <w:rsid w:val="009353D7"/>
    <w:rsid w:val="009422DB"/>
    <w:rsid w:val="00942B3B"/>
    <w:rsid w:val="009435E4"/>
    <w:rsid w:val="00950BBF"/>
    <w:rsid w:val="009652CD"/>
    <w:rsid w:val="0097197E"/>
    <w:rsid w:val="00973A66"/>
    <w:rsid w:val="00975566"/>
    <w:rsid w:val="00984C07"/>
    <w:rsid w:val="0098592B"/>
    <w:rsid w:val="00990CED"/>
    <w:rsid w:val="00991B2B"/>
    <w:rsid w:val="009978FD"/>
    <w:rsid w:val="009B175F"/>
    <w:rsid w:val="009B3C95"/>
    <w:rsid w:val="009B76A1"/>
    <w:rsid w:val="009D30DB"/>
    <w:rsid w:val="009D4401"/>
    <w:rsid w:val="009E4034"/>
    <w:rsid w:val="009E7526"/>
    <w:rsid w:val="009F21FD"/>
    <w:rsid w:val="00A0001A"/>
    <w:rsid w:val="00A01E71"/>
    <w:rsid w:val="00A05796"/>
    <w:rsid w:val="00A12211"/>
    <w:rsid w:val="00A134BF"/>
    <w:rsid w:val="00A16F22"/>
    <w:rsid w:val="00A1786A"/>
    <w:rsid w:val="00A210CD"/>
    <w:rsid w:val="00A24B7D"/>
    <w:rsid w:val="00A30EBB"/>
    <w:rsid w:val="00A313D2"/>
    <w:rsid w:val="00A34474"/>
    <w:rsid w:val="00A40130"/>
    <w:rsid w:val="00A44F24"/>
    <w:rsid w:val="00A45528"/>
    <w:rsid w:val="00A57912"/>
    <w:rsid w:val="00A658DD"/>
    <w:rsid w:val="00A65B89"/>
    <w:rsid w:val="00A6727D"/>
    <w:rsid w:val="00A72256"/>
    <w:rsid w:val="00A74149"/>
    <w:rsid w:val="00A83408"/>
    <w:rsid w:val="00A85E34"/>
    <w:rsid w:val="00A87A3B"/>
    <w:rsid w:val="00A96747"/>
    <w:rsid w:val="00AA5B57"/>
    <w:rsid w:val="00AC1E2A"/>
    <w:rsid w:val="00AC45F6"/>
    <w:rsid w:val="00AC628B"/>
    <w:rsid w:val="00AC6FFD"/>
    <w:rsid w:val="00AD010C"/>
    <w:rsid w:val="00AD4183"/>
    <w:rsid w:val="00AE2614"/>
    <w:rsid w:val="00AE2FF7"/>
    <w:rsid w:val="00AE32E5"/>
    <w:rsid w:val="00AE6053"/>
    <w:rsid w:val="00AF0011"/>
    <w:rsid w:val="00AF012F"/>
    <w:rsid w:val="00AF5E48"/>
    <w:rsid w:val="00AF781D"/>
    <w:rsid w:val="00B00E5C"/>
    <w:rsid w:val="00B01DE4"/>
    <w:rsid w:val="00B053BE"/>
    <w:rsid w:val="00B05818"/>
    <w:rsid w:val="00B141AA"/>
    <w:rsid w:val="00B16EDC"/>
    <w:rsid w:val="00B2050D"/>
    <w:rsid w:val="00B25B8C"/>
    <w:rsid w:val="00B25C0C"/>
    <w:rsid w:val="00B2656E"/>
    <w:rsid w:val="00B32ADA"/>
    <w:rsid w:val="00B43B58"/>
    <w:rsid w:val="00B4559B"/>
    <w:rsid w:val="00B567AA"/>
    <w:rsid w:val="00B64ACA"/>
    <w:rsid w:val="00B729A0"/>
    <w:rsid w:val="00B73621"/>
    <w:rsid w:val="00B80E8A"/>
    <w:rsid w:val="00B87BAF"/>
    <w:rsid w:val="00B90EE6"/>
    <w:rsid w:val="00B9302C"/>
    <w:rsid w:val="00B9703B"/>
    <w:rsid w:val="00B9716D"/>
    <w:rsid w:val="00BB6A6B"/>
    <w:rsid w:val="00BB7617"/>
    <w:rsid w:val="00BC0B52"/>
    <w:rsid w:val="00BC2F94"/>
    <w:rsid w:val="00BC38E0"/>
    <w:rsid w:val="00BD017F"/>
    <w:rsid w:val="00BD44D7"/>
    <w:rsid w:val="00BE01F6"/>
    <w:rsid w:val="00BE277D"/>
    <w:rsid w:val="00BE2925"/>
    <w:rsid w:val="00BE5A46"/>
    <w:rsid w:val="00BF6DEC"/>
    <w:rsid w:val="00BF78D0"/>
    <w:rsid w:val="00C00E5D"/>
    <w:rsid w:val="00C04652"/>
    <w:rsid w:val="00C0532A"/>
    <w:rsid w:val="00C05BC6"/>
    <w:rsid w:val="00C12635"/>
    <w:rsid w:val="00C23175"/>
    <w:rsid w:val="00C2335F"/>
    <w:rsid w:val="00C517B7"/>
    <w:rsid w:val="00C53B7C"/>
    <w:rsid w:val="00C546A4"/>
    <w:rsid w:val="00C576D1"/>
    <w:rsid w:val="00C66DB8"/>
    <w:rsid w:val="00C66DE1"/>
    <w:rsid w:val="00C71437"/>
    <w:rsid w:val="00C722E1"/>
    <w:rsid w:val="00C7515C"/>
    <w:rsid w:val="00C925FF"/>
    <w:rsid w:val="00C93AEC"/>
    <w:rsid w:val="00C9778C"/>
    <w:rsid w:val="00C97E31"/>
    <w:rsid w:val="00CA1344"/>
    <w:rsid w:val="00CA2F70"/>
    <w:rsid w:val="00CA5B9C"/>
    <w:rsid w:val="00CB5B3C"/>
    <w:rsid w:val="00CB647D"/>
    <w:rsid w:val="00CC5B48"/>
    <w:rsid w:val="00CD4017"/>
    <w:rsid w:val="00D0008B"/>
    <w:rsid w:val="00D054B8"/>
    <w:rsid w:val="00D06076"/>
    <w:rsid w:val="00D108B9"/>
    <w:rsid w:val="00D202D0"/>
    <w:rsid w:val="00D217C3"/>
    <w:rsid w:val="00D23C9A"/>
    <w:rsid w:val="00D24D0C"/>
    <w:rsid w:val="00D30BE3"/>
    <w:rsid w:val="00D368F2"/>
    <w:rsid w:val="00D43864"/>
    <w:rsid w:val="00D478D6"/>
    <w:rsid w:val="00D54EEE"/>
    <w:rsid w:val="00D55EDF"/>
    <w:rsid w:val="00D5752D"/>
    <w:rsid w:val="00D659B3"/>
    <w:rsid w:val="00D748ED"/>
    <w:rsid w:val="00D750C8"/>
    <w:rsid w:val="00D8022B"/>
    <w:rsid w:val="00D80A4F"/>
    <w:rsid w:val="00D81315"/>
    <w:rsid w:val="00D848B4"/>
    <w:rsid w:val="00D8708D"/>
    <w:rsid w:val="00D9192E"/>
    <w:rsid w:val="00D93731"/>
    <w:rsid w:val="00DB0D39"/>
    <w:rsid w:val="00DB75F8"/>
    <w:rsid w:val="00DB79B2"/>
    <w:rsid w:val="00DC4D86"/>
    <w:rsid w:val="00DC7354"/>
    <w:rsid w:val="00DD4368"/>
    <w:rsid w:val="00DD7658"/>
    <w:rsid w:val="00DE0043"/>
    <w:rsid w:val="00DE62C4"/>
    <w:rsid w:val="00DF0357"/>
    <w:rsid w:val="00DF4C20"/>
    <w:rsid w:val="00DF705A"/>
    <w:rsid w:val="00E00473"/>
    <w:rsid w:val="00E03211"/>
    <w:rsid w:val="00E06A4E"/>
    <w:rsid w:val="00E11160"/>
    <w:rsid w:val="00E13C70"/>
    <w:rsid w:val="00E1547F"/>
    <w:rsid w:val="00E17AE3"/>
    <w:rsid w:val="00E21DCE"/>
    <w:rsid w:val="00E2222D"/>
    <w:rsid w:val="00E30B95"/>
    <w:rsid w:val="00E32ACA"/>
    <w:rsid w:val="00E3457B"/>
    <w:rsid w:val="00E37E7A"/>
    <w:rsid w:val="00E4036D"/>
    <w:rsid w:val="00E4370A"/>
    <w:rsid w:val="00E5712E"/>
    <w:rsid w:val="00E63D35"/>
    <w:rsid w:val="00E7237F"/>
    <w:rsid w:val="00E73E6B"/>
    <w:rsid w:val="00E770DC"/>
    <w:rsid w:val="00E8493D"/>
    <w:rsid w:val="00E8720B"/>
    <w:rsid w:val="00E9146D"/>
    <w:rsid w:val="00E92A9D"/>
    <w:rsid w:val="00EA0988"/>
    <w:rsid w:val="00EA5AA1"/>
    <w:rsid w:val="00EA7740"/>
    <w:rsid w:val="00EB1F82"/>
    <w:rsid w:val="00EB27D4"/>
    <w:rsid w:val="00EB410D"/>
    <w:rsid w:val="00EB4513"/>
    <w:rsid w:val="00EC1643"/>
    <w:rsid w:val="00EC41AE"/>
    <w:rsid w:val="00EC7BBC"/>
    <w:rsid w:val="00ED1B23"/>
    <w:rsid w:val="00ED7DD4"/>
    <w:rsid w:val="00EE1D60"/>
    <w:rsid w:val="00EF2A31"/>
    <w:rsid w:val="00EF5B4F"/>
    <w:rsid w:val="00F01FDE"/>
    <w:rsid w:val="00F13258"/>
    <w:rsid w:val="00F16195"/>
    <w:rsid w:val="00F27DA6"/>
    <w:rsid w:val="00F31949"/>
    <w:rsid w:val="00F37FA7"/>
    <w:rsid w:val="00F41E0A"/>
    <w:rsid w:val="00F457CD"/>
    <w:rsid w:val="00F50717"/>
    <w:rsid w:val="00F7404D"/>
    <w:rsid w:val="00F7574A"/>
    <w:rsid w:val="00F75939"/>
    <w:rsid w:val="00F826EC"/>
    <w:rsid w:val="00F846CD"/>
    <w:rsid w:val="00F84FD4"/>
    <w:rsid w:val="00FA2B52"/>
    <w:rsid w:val="00FA33C1"/>
    <w:rsid w:val="00FB0A90"/>
    <w:rsid w:val="00FB2C4C"/>
    <w:rsid w:val="00FB3DB2"/>
    <w:rsid w:val="00FB7271"/>
    <w:rsid w:val="00FD6F1F"/>
    <w:rsid w:val="00FE17D5"/>
    <w:rsid w:val="00FE3440"/>
    <w:rsid w:val="00FE3711"/>
    <w:rsid w:val="00FE40EA"/>
    <w:rsid w:val="00FF5820"/>
    <w:rsid w:val="00FF5BC4"/>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78854"/>
  <w15:chartTrackingRefBased/>
  <w15:docId w15:val="{0DB2EB63-18D1-46C5-AE89-0145BEC6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7162B"/>
    <w:pPr>
      <w:autoSpaceDE w:val="0"/>
      <w:autoSpaceDN w:val="0"/>
      <w:adjustRightInd w:val="0"/>
    </w:pPr>
    <w:rPr>
      <w:sz w:val="22"/>
      <w:szCs w:val="22"/>
      <w:lang w:val="en-029"/>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5BC4"/>
    <w:rPr>
      <w:rFonts w:ascii="Univers" w:hAnsi="Univers"/>
    </w:rPr>
  </w:style>
  <w:style w:type="paragraph" w:styleId="BodyText2">
    <w:name w:val="Body Text 2"/>
    <w:basedOn w:val="Normal"/>
    <w:rsid w:val="00FF5BC4"/>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paragraph" w:styleId="BalloonText">
    <w:name w:val="Balloon Text"/>
    <w:basedOn w:val="Normal"/>
    <w:link w:val="BalloonTextChar"/>
    <w:rsid w:val="00772FF8"/>
    <w:rPr>
      <w:rFonts w:ascii="Segoe UI" w:hAnsi="Segoe UI" w:cs="Segoe UI"/>
      <w:sz w:val="18"/>
      <w:szCs w:val="18"/>
    </w:rPr>
  </w:style>
  <w:style w:type="character" w:customStyle="1" w:styleId="BalloonTextChar">
    <w:name w:val="Balloon Text Char"/>
    <w:link w:val="BalloonText"/>
    <w:rsid w:val="00772FF8"/>
    <w:rPr>
      <w:rFonts w:ascii="Segoe UI" w:hAnsi="Segoe UI" w:cs="Segoe UI"/>
      <w:sz w:val="18"/>
      <w:szCs w:val="18"/>
    </w:rPr>
  </w:style>
  <w:style w:type="paragraph" w:styleId="ListParagraph">
    <w:name w:val="List Paragraph"/>
    <w:basedOn w:val="Normal"/>
    <w:uiPriority w:val="34"/>
    <w:qFormat/>
    <w:rsid w:val="008303B6"/>
    <w:pPr>
      <w:ind w:left="720"/>
      <w:contextualSpacing/>
    </w:pPr>
  </w:style>
  <w:style w:type="paragraph" w:styleId="Title">
    <w:name w:val="Title"/>
    <w:basedOn w:val="Normal"/>
    <w:next w:val="Normal"/>
    <w:link w:val="TitleChar"/>
    <w:qFormat/>
    <w:rsid w:val="00676D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6DD0"/>
    <w:rPr>
      <w:rFonts w:asciiTheme="majorHAnsi" w:eastAsiaTheme="majorEastAsia" w:hAnsiTheme="majorHAnsi" w:cstheme="majorBidi"/>
      <w:spacing w:val="-10"/>
      <w:kern w:val="28"/>
      <w:sz w:val="56"/>
      <w:szCs w:val="56"/>
      <w:lang w:val="en-029"/>
    </w:rPr>
  </w:style>
  <w:style w:type="character" w:customStyle="1" w:styleId="BodyTextChar">
    <w:name w:val="Body Text Char"/>
    <w:basedOn w:val="DefaultParagraphFont"/>
    <w:link w:val="BodyText"/>
    <w:uiPriority w:val="1"/>
    <w:rsid w:val="00B87BAF"/>
    <w:rPr>
      <w:rFonts w:ascii="Univers" w:hAnsi="Univers"/>
      <w:sz w:val="22"/>
    </w:rPr>
  </w:style>
  <w:style w:type="character" w:styleId="CommentReference">
    <w:name w:val="annotation reference"/>
    <w:basedOn w:val="DefaultParagraphFont"/>
    <w:rsid w:val="004E2FD0"/>
    <w:rPr>
      <w:sz w:val="16"/>
      <w:szCs w:val="16"/>
    </w:rPr>
  </w:style>
  <w:style w:type="paragraph" w:styleId="CommentText">
    <w:name w:val="annotation text"/>
    <w:basedOn w:val="Normal"/>
    <w:link w:val="CommentTextChar"/>
    <w:rsid w:val="004E2FD0"/>
    <w:rPr>
      <w:sz w:val="20"/>
      <w:szCs w:val="20"/>
    </w:rPr>
  </w:style>
  <w:style w:type="character" w:customStyle="1" w:styleId="CommentTextChar">
    <w:name w:val="Comment Text Char"/>
    <w:basedOn w:val="DefaultParagraphFont"/>
    <w:link w:val="CommentText"/>
    <w:rsid w:val="004E2FD0"/>
    <w:rPr>
      <w:lang w:val="en-029"/>
    </w:rPr>
  </w:style>
  <w:style w:type="paragraph" w:styleId="CommentSubject">
    <w:name w:val="annotation subject"/>
    <w:basedOn w:val="CommentText"/>
    <w:next w:val="CommentText"/>
    <w:link w:val="CommentSubjectChar"/>
    <w:rsid w:val="004E2FD0"/>
    <w:rPr>
      <w:b/>
      <w:bCs/>
    </w:rPr>
  </w:style>
  <w:style w:type="character" w:customStyle="1" w:styleId="CommentSubjectChar">
    <w:name w:val="Comment Subject Char"/>
    <w:basedOn w:val="CommentTextChar"/>
    <w:link w:val="CommentSubject"/>
    <w:rsid w:val="004E2FD0"/>
    <w:rPr>
      <w:b/>
      <w:bCs/>
      <w:lang w:val="en-029"/>
    </w:rPr>
  </w:style>
  <w:style w:type="paragraph" w:styleId="Revision">
    <w:name w:val="Revision"/>
    <w:hidden/>
    <w:uiPriority w:val="99"/>
    <w:semiHidden/>
    <w:rsid w:val="00B729A0"/>
    <w:rPr>
      <w:sz w:val="22"/>
      <w:szCs w:val="22"/>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UNITOFFICE-440-2157</_dlc_DocId>
    <_dlc_DocIdUrl xmlns="5ebeba3d-fd60-4dcb-8548-a9fd3c51d9ff">
      <Url>https://intranet.undp.org/unit/office/exo/sp2014/SP201417/_layouts/15/DocIdRedir.aspx?ID=UNITOFFICE-440-2157</Url>
      <Description>UNITOFFICE-440-2157</Description>
    </_dlc_DocIdUr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C52FC-464C-49EC-B68A-D877F7348E83}">
  <ds:schemaRefs>
    <ds:schemaRef ds:uri="http://schemas.microsoft.com/sharepoint/events"/>
  </ds:schemaRefs>
</ds:datastoreItem>
</file>

<file path=customXml/itemProps2.xml><?xml version="1.0" encoding="utf-8"?>
<ds:datastoreItem xmlns:ds="http://schemas.openxmlformats.org/officeDocument/2006/customXml" ds:itemID="{450E9DD3-5188-4370-91C1-7EE0A228473C}">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B4AE1B-C34F-4BD4-A152-85E3D2645D5B}">
  <ds:schemaRefs>
    <ds:schemaRef ds:uri="http://schemas.microsoft.com/office/2006/metadata/longProperties"/>
  </ds:schemaRefs>
</ds:datastoreItem>
</file>

<file path=customXml/itemProps4.xml><?xml version="1.0" encoding="utf-8"?>
<ds:datastoreItem xmlns:ds="http://schemas.openxmlformats.org/officeDocument/2006/customXml" ds:itemID="{4C0EAF65-D678-4F6C-AF34-3704C31020F9}">
  <ds:schemaRefs>
    <ds:schemaRef ds:uri="http://schemas.openxmlformats.org/officeDocument/2006/bibliography"/>
  </ds:schemaRefs>
</ds:datastoreItem>
</file>

<file path=customXml/itemProps5.xml><?xml version="1.0" encoding="utf-8"?>
<ds:datastoreItem xmlns:ds="http://schemas.openxmlformats.org/officeDocument/2006/customXml" ds:itemID="{BD7BE8A6-C181-489A-9481-D4083FDB2462}">
  <ds:schemaRefs>
    <ds:schemaRef ds:uri="http://schemas.microsoft.com/sharepoint/v3/contenttype/forms"/>
  </ds:schemaRefs>
</ds:datastoreItem>
</file>

<file path=customXml/itemProps6.xml><?xml version="1.0" encoding="utf-8"?>
<ds:datastoreItem xmlns:ds="http://schemas.openxmlformats.org/officeDocument/2006/customXml" ds:itemID="{04705EA5-A69C-4102-89D8-C6E931D9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5951</Words>
  <Characters>37435</Characters>
  <Application>Microsoft Office Word</Application>
  <DocSecurity>4</DocSecurity>
  <Lines>913</Lines>
  <Paragraphs>370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Svetlana Iazykova</cp:lastModifiedBy>
  <cp:revision>2</cp:revision>
  <cp:lastPrinted>2021-09-24T15:58:00Z</cp:lastPrinted>
  <dcterms:created xsi:type="dcterms:W3CDTF">2021-11-08T18:34:00Z</dcterms:created>
  <dcterms:modified xsi:type="dcterms:W3CDTF">2021-11-08T18:34:00Z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POPP-11-2674</vt:lpwstr>
  </property>
  <property fmtid="{D5CDD505-2E9C-101B-9397-08002B2CF9AE}" pid="3" name="_dlc_DocIdItemGuid">
    <vt:lpwstr>5b84e1e0-6965-45bc-a5c7-fd9886f28d59</vt:lpwstr>
  </property>
  <property fmtid="{D5CDD505-2E9C-101B-9397-08002B2CF9AE}" pid="4" name="_dlc_DocIdUrl">
    <vt:lpwstr>https://popp.undp.org/_layouts/15/DocIdRedir.aspx?ID=POPP-11-2674, POPP-11-2674</vt:lpwstr>
  </property>
  <property fmtid="{D5CDD505-2E9C-101B-9397-08002B2CF9AE}" pid="5" name="UNDP_POPP_BUSINESSUNIT">
    <vt:lpwstr>669;#Programme and Project Management|1c019435-9793-447e-8959-0b32d23bf3d5</vt:lpwstr>
  </property>
  <property fmtid="{D5CDD505-2E9C-101B-9397-08002B2CF9AE}" pid="6" name="POPPBusinessProcess">
    <vt:lpwstr/>
  </property>
  <property fmtid="{D5CDD505-2E9C-101B-9397-08002B2CF9AE}" pid="7" name="ContentTypeId">
    <vt:lpwstr>0x010100EDE7738F05FF7548ABAF8944C74FA045</vt:lpwstr>
  </property>
</Properties>
</file>