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B3499" w14:textId="77777777" w:rsidR="00B64FCB" w:rsidRPr="00251A53" w:rsidRDefault="00B64FCB" w:rsidP="00967176">
      <w:pPr>
        <w:rPr>
          <w:b/>
          <w:sz w:val="20"/>
          <w:szCs w:val="20"/>
        </w:rPr>
      </w:pPr>
      <w:r w:rsidRPr="00251A53">
        <w:rPr>
          <w:b/>
          <w:sz w:val="20"/>
          <w:szCs w:val="20"/>
        </w:rPr>
        <w:t>First regular session 201</w:t>
      </w:r>
      <w:r w:rsidR="00091E31" w:rsidRPr="00251A53">
        <w:rPr>
          <w:b/>
          <w:sz w:val="20"/>
          <w:szCs w:val="20"/>
        </w:rPr>
        <w:t>8</w:t>
      </w:r>
    </w:p>
    <w:p w14:paraId="6D0DA43A" w14:textId="77777777" w:rsidR="00922AEC" w:rsidRPr="00251A53" w:rsidRDefault="00922AEC" w:rsidP="00967176">
      <w:pPr>
        <w:rPr>
          <w:sz w:val="20"/>
          <w:szCs w:val="20"/>
        </w:rPr>
      </w:pPr>
    </w:p>
    <w:p w14:paraId="3F622C52" w14:textId="77777777" w:rsidR="00922AEC" w:rsidRPr="00251A53" w:rsidRDefault="00922AEC" w:rsidP="00967176">
      <w:pPr>
        <w:rPr>
          <w:sz w:val="20"/>
          <w:szCs w:val="20"/>
        </w:rPr>
      </w:pPr>
    </w:p>
    <w:p w14:paraId="344B2B51" w14:textId="77777777" w:rsidR="00C44F2B" w:rsidRPr="00251A53" w:rsidRDefault="00C44F2B" w:rsidP="00B64FCB">
      <w:pPr>
        <w:spacing w:after="240"/>
        <w:ind w:left="90"/>
        <w:jc w:val="center"/>
        <w:rPr>
          <w:b/>
          <w:color w:val="FF0000"/>
          <w:sz w:val="28"/>
          <w:szCs w:val="20"/>
        </w:rPr>
      </w:pPr>
      <w:bookmarkStart w:id="0" w:name="_GoBack"/>
      <w:bookmarkEnd w:id="0"/>
      <w:r w:rsidRPr="00251A53">
        <w:rPr>
          <w:b/>
          <w:color w:val="FF0000"/>
          <w:sz w:val="28"/>
          <w:szCs w:val="20"/>
        </w:rPr>
        <w:t>DRAFT</w:t>
      </w:r>
    </w:p>
    <w:p w14:paraId="42C9A0FC" w14:textId="77777777" w:rsidR="00F436A4" w:rsidRPr="00251A53" w:rsidRDefault="00F436A4" w:rsidP="00F436A4">
      <w:pPr>
        <w:spacing w:after="240"/>
        <w:ind w:left="90"/>
        <w:jc w:val="center"/>
        <w:rPr>
          <w:sz w:val="28"/>
          <w:szCs w:val="20"/>
        </w:rPr>
      </w:pPr>
      <w:r w:rsidRPr="00251A53">
        <w:rPr>
          <w:b/>
          <w:sz w:val="28"/>
          <w:szCs w:val="20"/>
        </w:rPr>
        <w:t>Common country programme document for Cabo Verde, 2018-2022</w:t>
      </w:r>
    </w:p>
    <w:p w14:paraId="4C31C63A" w14:textId="77777777" w:rsidR="00B64FCB" w:rsidRPr="00251A53" w:rsidRDefault="00B64FCB" w:rsidP="00B64FCB">
      <w:pPr>
        <w:spacing w:after="240"/>
        <w:ind w:left="90"/>
        <w:jc w:val="center"/>
        <w:rPr>
          <w:sz w:val="20"/>
          <w:szCs w:val="20"/>
        </w:rPr>
      </w:pPr>
    </w:p>
    <w:sdt>
      <w:sdtPr>
        <w:rPr>
          <w:rFonts w:eastAsia="Times New Roman"/>
          <w:sz w:val="24"/>
          <w:szCs w:val="24"/>
          <w:lang w:val="en-GB"/>
        </w:rPr>
        <w:id w:val="-148362958"/>
        <w:docPartObj>
          <w:docPartGallery w:val="Table of Contents"/>
          <w:docPartUnique/>
        </w:docPartObj>
      </w:sdtPr>
      <w:sdtEndPr>
        <w:rPr>
          <w:b/>
          <w:bCs/>
        </w:rPr>
      </w:sdtEndPr>
      <w:sdtContent>
        <w:p w14:paraId="2C8E8161" w14:textId="77777777" w:rsidR="002908E3" w:rsidRPr="00251A53" w:rsidRDefault="002908E3" w:rsidP="00E30729">
          <w:pPr>
            <w:pStyle w:val="TOCHeading"/>
            <w:rPr>
              <w:lang w:val="en-GB"/>
            </w:rPr>
          </w:pPr>
          <w:r w:rsidRPr="00251A53">
            <w:rPr>
              <w:lang w:val="en-GB"/>
            </w:rPr>
            <w:t>Contents</w:t>
          </w:r>
        </w:p>
        <w:p w14:paraId="720625B3" w14:textId="77777777" w:rsidR="008D30C5" w:rsidRPr="00251A53" w:rsidRDefault="002908E3" w:rsidP="00195DCC">
          <w:pPr>
            <w:pStyle w:val="TOC1"/>
            <w:tabs>
              <w:tab w:val="left" w:pos="900"/>
              <w:tab w:val="right" w:leader="dot" w:pos="9350"/>
            </w:tabs>
            <w:rPr>
              <w:rFonts w:eastAsiaTheme="minorEastAsia"/>
              <w:sz w:val="22"/>
              <w:szCs w:val="22"/>
              <w:lang w:eastAsia="en-GB"/>
            </w:rPr>
          </w:pPr>
          <w:r w:rsidRPr="00251A53">
            <w:fldChar w:fldCharType="begin"/>
          </w:r>
          <w:r w:rsidRPr="00251A53">
            <w:instrText xml:space="preserve"> TOC \o "1-3" \h \z \u </w:instrText>
          </w:r>
          <w:r w:rsidRPr="00251A53">
            <w:fldChar w:fldCharType="separate"/>
          </w:r>
          <w:hyperlink w:anchor="_Toc494799117" w:history="1">
            <w:r w:rsidR="008D30C5" w:rsidRPr="00251A53">
              <w:rPr>
                <w:rStyle w:val="Hyperlink"/>
              </w:rPr>
              <w:t>I.</w:t>
            </w:r>
            <w:r w:rsidR="008D30C5" w:rsidRPr="00251A53">
              <w:rPr>
                <w:rFonts w:eastAsiaTheme="minorEastAsia"/>
                <w:sz w:val="22"/>
                <w:szCs w:val="22"/>
                <w:lang w:eastAsia="en-GB"/>
              </w:rPr>
              <w:tab/>
            </w:r>
            <w:r w:rsidR="008D30C5" w:rsidRPr="00251A53">
              <w:rPr>
                <w:rStyle w:val="Hyperlink"/>
              </w:rPr>
              <w:t>Programme rationale</w:t>
            </w:r>
            <w:r w:rsidR="008D30C5" w:rsidRPr="00251A53">
              <w:rPr>
                <w:webHidden/>
              </w:rPr>
              <w:tab/>
            </w:r>
            <w:r w:rsidR="008D30C5" w:rsidRPr="00251A53">
              <w:rPr>
                <w:webHidden/>
              </w:rPr>
              <w:fldChar w:fldCharType="begin"/>
            </w:r>
            <w:r w:rsidR="008D30C5" w:rsidRPr="00251A53">
              <w:rPr>
                <w:webHidden/>
              </w:rPr>
              <w:instrText xml:space="preserve"> PAGEREF _Toc494799117 \h </w:instrText>
            </w:r>
            <w:r w:rsidR="008D30C5" w:rsidRPr="00251A53">
              <w:rPr>
                <w:webHidden/>
              </w:rPr>
            </w:r>
            <w:r w:rsidR="008D30C5" w:rsidRPr="00251A53">
              <w:rPr>
                <w:webHidden/>
              </w:rPr>
              <w:fldChar w:fldCharType="separate"/>
            </w:r>
            <w:r w:rsidR="000329B5" w:rsidRPr="00251A53">
              <w:rPr>
                <w:webHidden/>
              </w:rPr>
              <w:t>2</w:t>
            </w:r>
            <w:r w:rsidR="008D30C5" w:rsidRPr="00251A53">
              <w:rPr>
                <w:webHidden/>
              </w:rPr>
              <w:fldChar w:fldCharType="end"/>
            </w:r>
          </w:hyperlink>
        </w:p>
        <w:p w14:paraId="70E13E75" w14:textId="77777777" w:rsidR="008D30C5" w:rsidRPr="00251A53" w:rsidRDefault="007A2930" w:rsidP="00195DCC">
          <w:pPr>
            <w:pStyle w:val="TOC1"/>
            <w:tabs>
              <w:tab w:val="left" w:pos="900"/>
              <w:tab w:val="right" w:leader="dot" w:pos="9350"/>
            </w:tabs>
            <w:rPr>
              <w:rFonts w:eastAsiaTheme="minorEastAsia"/>
              <w:sz w:val="22"/>
              <w:szCs w:val="22"/>
              <w:lang w:eastAsia="en-GB"/>
            </w:rPr>
          </w:pPr>
          <w:hyperlink w:anchor="_Toc494799118" w:history="1">
            <w:r w:rsidR="008D30C5" w:rsidRPr="00251A53">
              <w:rPr>
                <w:rStyle w:val="Hyperlink"/>
              </w:rPr>
              <w:t>II.</w:t>
            </w:r>
            <w:r w:rsidR="008D30C5" w:rsidRPr="00251A53">
              <w:rPr>
                <w:rFonts w:eastAsiaTheme="minorEastAsia"/>
                <w:sz w:val="22"/>
                <w:szCs w:val="22"/>
                <w:lang w:eastAsia="en-GB"/>
              </w:rPr>
              <w:tab/>
            </w:r>
            <w:r w:rsidR="008D30C5" w:rsidRPr="00251A53">
              <w:rPr>
                <w:rStyle w:val="Hyperlink"/>
              </w:rPr>
              <w:t>Programme priorities and partnerships</w:t>
            </w:r>
            <w:r w:rsidR="008D30C5" w:rsidRPr="00251A53">
              <w:rPr>
                <w:webHidden/>
              </w:rPr>
              <w:tab/>
            </w:r>
            <w:r w:rsidR="008D30C5" w:rsidRPr="00251A53">
              <w:rPr>
                <w:webHidden/>
              </w:rPr>
              <w:fldChar w:fldCharType="begin"/>
            </w:r>
            <w:r w:rsidR="008D30C5" w:rsidRPr="00251A53">
              <w:rPr>
                <w:webHidden/>
              </w:rPr>
              <w:instrText xml:space="preserve"> PAGEREF _Toc494799118 \h </w:instrText>
            </w:r>
            <w:r w:rsidR="008D30C5" w:rsidRPr="00251A53">
              <w:rPr>
                <w:webHidden/>
              </w:rPr>
            </w:r>
            <w:r w:rsidR="008D30C5" w:rsidRPr="00251A53">
              <w:rPr>
                <w:webHidden/>
              </w:rPr>
              <w:fldChar w:fldCharType="separate"/>
            </w:r>
            <w:r w:rsidR="000329B5" w:rsidRPr="00251A53">
              <w:rPr>
                <w:webHidden/>
              </w:rPr>
              <w:t>5</w:t>
            </w:r>
            <w:r w:rsidR="008D30C5" w:rsidRPr="00251A53">
              <w:rPr>
                <w:webHidden/>
              </w:rPr>
              <w:fldChar w:fldCharType="end"/>
            </w:r>
          </w:hyperlink>
        </w:p>
        <w:p w14:paraId="0C260738" w14:textId="77777777" w:rsidR="008D30C5" w:rsidRPr="00251A53" w:rsidRDefault="007A2930" w:rsidP="00195DCC">
          <w:pPr>
            <w:pStyle w:val="TOC1"/>
            <w:tabs>
              <w:tab w:val="left" w:pos="900"/>
              <w:tab w:val="right" w:leader="dot" w:pos="9350"/>
            </w:tabs>
            <w:rPr>
              <w:rFonts w:eastAsiaTheme="minorEastAsia"/>
              <w:sz w:val="22"/>
              <w:szCs w:val="22"/>
              <w:lang w:eastAsia="en-GB"/>
            </w:rPr>
          </w:pPr>
          <w:hyperlink w:anchor="_Toc494799119" w:history="1">
            <w:r w:rsidR="008D30C5" w:rsidRPr="00251A53">
              <w:rPr>
                <w:rStyle w:val="Hyperlink"/>
              </w:rPr>
              <w:t>III.</w:t>
            </w:r>
            <w:r w:rsidR="008D30C5" w:rsidRPr="00251A53">
              <w:rPr>
                <w:rFonts w:eastAsiaTheme="minorEastAsia"/>
                <w:sz w:val="22"/>
                <w:szCs w:val="22"/>
                <w:lang w:eastAsia="en-GB"/>
              </w:rPr>
              <w:tab/>
            </w:r>
            <w:r w:rsidR="008D30C5" w:rsidRPr="00251A53">
              <w:rPr>
                <w:rStyle w:val="Hyperlink"/>
              </w:rPr>
              <w:t>Programme and risk management</w:t>
            </w:r>
            <w:r w:rsidR="008D30C5" w:rsidRPr="00251A53">
              <w:rPr>
                <w:webHidden/>
              </w:rPr>
              <w:tab/>
            </w:r>
            <w:r w:rsidR="008D30C5" w:rsidRPr="00251A53">
              <w:rPr>
                <w:webHidden/>
              </w:rPr>
              <w:fldChar w:fldCharType="begin"/>
            </w:r>
            <w:r w:rsidR="008D30C5" w:rsidRPr="00251A53">
              <w:rPr>
                <w:webHidden/>
              </w:rPr>
              <w:instrText xml:space="preserve"> PAGEREF _Toc494799119 \h </w:instrText>
            </w:r>
            <w:r w:rsidR="008D30C5" w:rsidRPr="00251A53">
              <w:rPr>
                <w:webHidden/>
              </w:rPr>
            </w:r>
            <w:r w:rsidR="008D30C5" w:rsidRPr="00251A53">
              <w:rPr>
                <w:webHidden/>
              </w:rPr>
              <w:fldChar w:fldCharType="separate"/>
            </w:r>
            <w:r w:rsidR="000329B5" w:rsidRPr="00251A53">
              <w:rPr>
                <w:webHidden/>
              </w:rPr>
              <w:t>8</w:t>
            </w:r>
            <w:r w:rsidR="008D30C5" w:rsidRPr="00251A53">
              <w:rPr>
                <w:webHidden/>
              </w:rPr>
              <w:fldChar w:fldCharType="end"/>
            </w:r>
          </w:hyperlink>
        </w:p>
        <w:p w14:paraId="29EF946F" w14:textId="77777777" w:rsidR="008D30C5" w:rsidRPr="00251A53" w:rsidRDefault="007A2930" w:rsidP="00195DCC">
          <w:pPr>
            <w:pStyle w:val="TOC1"/>
            <w:tabs>
              <w:tab w:val="left" w:pos="900"/>
              <w:tab w:val="right" w:leader="dot" w:pos="9350"/>
            </w:tabs>
            <w:rPr>
              <w:rFonts w:eastAsiaTheme="minorEastAsia"/>
              <w:sz w:val="22"/>
              <w:szCs w:val="22"/>
              <w:lang w:eastAsia="en-GB"/>
            </w:rPr>
          </w:pPr>
          <w:hyperlink w:anchor="_Toc494799120" w:history="1">
            <w:r w:rsidR="008D30C5" w:rsidRPr="00251A53">
              <w:rPr>
                <w:rStyle w:val="Hyperlink"/>
              </w:rPr>
              <w:t>IV.</w:t>
            </w:r>
            <w:r w:rsidR="008D30C5" w:rsidRPr="00251A53">
              <w:rPr>
                <w:rFonts w:eastAsiaTheme="minorEastAsia"/>
                <w:sz w:val="22"/>
                <w:szCs w:val="22"/>
                <w:lang w:eastAsia="en-GB"/>
              </w:rPr>
              <w:tab/>
            </w:r>
            <w:r w:rsidR="008D30C5" w:rsidRPr="00251A53">
              <w:rPr>
                <w:rStyle w:val="Hyperlink"/>
              </w:rPr>
              <w:t>Monitoring and evaluation</w:t>
            </w:r>
            <w:r w:rsidR="008D30C5" w:rsidRPr="00251A53">
              <w:rPr>
                <w:webHidden/>
              </w:rPr>
              <w:tab/>
            </w:r>
            <w:r w:rsidR="008D30C5" w:rsidRPr="00251A53">
              <w:rPr>
                <w:webHidden/>
              </w:rPr>
              <w:fldChar w:fldCharType="begin"/>
            </w:r>
            <w:r w:rsidR="008D30C5" w:rsidRPr="00251A53">
              <w:rPr>
                <w:webHidden/>
              </w:rPr>
              <w:instrText xml:space="preserve"> PAGEREF _Toc494799120 \h </w:instrText>
            </w:r>
            <w:r w:rsidR="008D30C5" w:rsidRPr="00251A53">
              <w:rPr>
                <w:webHidden/>
              </w:rPr>
            </w:r>
            <w:r w:rsidR="008D30C5" w:rsidRPr="00251A53">
              <w:rPr>
                <w:webHidden/>
              </w:rPr>
              <w:fldChar w:fldCharType="separate"/>
            </w:r>
            <w:r w:rsidR="000329B5" w:rsidRPr="00251A53">
              <w:rPr>
                <w:webHidden/>
              </w:rPr>
              <w:t>9</w:t>
            </w:r>
            <w:r w:rsidR="008D30C5" w:rsidRPr="00251A53">
              <w:rPr>
                <w:webHidden/>
              </w:rPr>
              <w:fldChar w:fldCharType="end"/>
            </w:r>
          </w:hyperlink>
        </w:p>
        <w:p w14:paraId="671E3CCA" w14:textId="77777777" w:rsidR="008D30C5" w:rsidRPr="00251A53" w:rsidRDefault="007A2930" w:rsidP="00195DCC">
          <w:pPr>
            <w:pStyle w:val="TOC2"/>
            <w:rPr>
              <w:rFonts w:eastAsiaTheme="minorEastAsia"/>
              <w:sz w:val="22"/>
              <w:szCs w:val="22"/>
              <w:lang w:eastAsia="en-GB"/>
            </w:rPr>
          </w:pPr>
          <w:hyperlink w:anchor="_Toc494799121" w:history="1">
            <w:r w:rsidR="008D30C5" w:rsidRPr="00251A53">
              <w:rPr>
                <w:rStyle w:val="Hyperlink"/>
              </w:rPr>
              <w:t>Annex.</w:t>
            </w:r>
            <w:r w:rsidR="008D30C5" w:rsidRPr="00251A53">
              <w:rPr>
                <w:rFonts w:eastAsiaTheme="minorEastAsia"/>
                <w:sz w:val="22"/>
                <w:szCs w:val="22"/>
                <w:lang w:eastAsia="en-GB"/>
              </w:rPr>
              <w:tab/>
            </w:r>
            <w:r w:rsidR="008D30C5" w:rsidRPr="00251A53">
              <w:rPr>
                <w:rStyle w:val="Hyperlink"/>
              </w:rPr>
              <w:t>Results and resources framework for Cabo Verde (2018-2022)</w:t>
            </w:r>
            <w:r w:rsidR="008D30C5" w:rsidRPr="00251A53">
              <w:rPr>
                <w:webHidden/>
              </w:rPr>
              <w:tab/>
            </w:r>
            <w:r w:rsidR="008D30C5" w:rsidRPr="00251A53">
              <w:rPr>
                <w:webHidden/>
              </w:rPr>
              <w:fldChar w:fldCharType="begin"/>
            </w:r>
            <w:r w:rsidR="008D30C5" w:rsidRPr="00251A53">
              <w:rPr>
                <w:webHidden/>
              </w:rPr>
              <w:instrText xml:space="preserve"> PAGEREF _Toc494799121 \h </w:instrText>
            </w:r>
            <w:r w:rsidR="008D30C5" w:rsidRPr="00251A53">
              <w:rPr>
                <w:webHidden/>
              </w:rPr>
            </w:r>
            <w:r w:rsidR="008D30C5" w:rsidRPr="00251A53">
              <w:rPr>
                <w:webHidden/>
              </w:rPr>
              <w:fldChar w:fldCharType="separate"/>
            </w:r>
            <w:r w:rsidR="000329B5" w:rsidRPr="00251A53">
              <w:rPr>
                <w:webHidden/>
              </w:rPr>
              <w:t>10</w:t>
            </w:r>
            <w:r w:rsidR="008D30C5" w:rsidRPr="00251A53">
              <w:rPr>
                <w:webHidden/>
              </w:rPr>
              <w:fldChar w:fldCharType="end"/>
            </w:r>
          </w:hyperlink>
        </w:p>
        <w:p w14:paraId="0E0F02C1" w14:textId="77777777" w:rsidR="002908E3" w:rsidRPr="00251A53" w:rsidRDefault="002908E3">
          <w:r w:rsidRPr="00251A53">
            <w:rPr>
              <w:b/>
              <w:bCs/>
            </w:rPr>
            <w:fldChar w:fldCharType="end"/>
          </w:r>
        </w:p>
      </w:sdtContent>
    </w:sdt>
    <w:p w14:paraId="70E952C5" w14:textId="77777777" w:rsidR="00A65AA8" w:rsidRPr="00251A53" w:rsidRDefault="00A65AA8">
      <w:pPr>
        <w:rPr>
          <w:sz w:val="22"/>
        </w:rPr>
      </w:pPr>
    </w:p>
    <w:p w14:paraId="4219334C" w14:textId="77777777" w:rsidR="00A65AA8" w:rsidRPr="00251A53" w:rsidRDefault="00A65AA8">
      <w:pPr>
        <w:rPr>
          <w:sz w:val="22"/>
        </w:rPr>
      </w:pPr>
      <w:r w:rsidRPr="00251A53">
        <w:rPr>
          <w:b/>
          <w:sz w:val="22"/>
        </w:rPr>
        <w:br w:type="page"/>
      </w:r>
    </w:p>
    <w:p w14:paraId="5BD1BB75" w14:textId="77777777" w:rsidR="00B64FCB" w:rsidRPr="00251A53" w:rsidRDefault="00AC3CF7" w:rsidP="00126259">
      <w:pPr>
        <w:pStyle w:val="Heading1"/>
        <w:rPr>
          <w:noProof w:val="0"/>
          <w:lang w:val="en-GB"/>
        </w:rPr>
      </w:pPr>
      <w:bookmarkStart w:id="1" w:name="_Toc494799117"/>
      <w:r w:rsidRPr="00251A53">
        <w:rPr>
          <w:noProof w:val="0"/>
          <w:lang w:val="en-GB"/>
        </w:rPr>
        <w:lastRenderedPageBreak/>
        <w:t xml:space="preserve">Programme </w:t>
      </w:r>
      <w:r w:rsidR="007D0CF1" w:rsidRPr="00251A53">
        <w:rPr>
          <w:noProof w:val="0"/>
          <w:lang w:val="en-GB"/>
        </w:rPr>
        <w:t>r</w:t>
      </w:r>
      <w:r w:rsidRPr="00251A53">
        <w:rPr>
          <w:noProof w:val="0"/>
          <w:lang w:val="en-GB"/>
        </w:rPr>
        <w:t>ationale</w:t>
      </w:r>
      <w:bookmarkEnd w:id="1"/>
    </w:p>
    <w:p w14:paraId="181150F9" w14:textId="7EFEFB99" w:rsidR="003E3551" w:rsidRPr="00251A53" w:rsidRDefault="003E3551" w:rsidP="003E3551">
      <w:pPr>
        <w:pStyle w:val="Num1para"/>
      </w:pPr>
      <w:r w:rsidRPr="00251A53">
        <w:t xml:space="preserve">Cabo Verde is a politically stable democracy and </w:t>
      </w:r>
      <w:r w:rsidR="00195DCC" w:rsidRPr="00251A53">
        <w:t>a s</w:t>
      </w:r>
      <w:r w:rsidRPr="00251A53">
        <w:t xml:space="preserve">mall </w:t>
      </w:r>
      <w:r w:rsidR="00195DCC" w:rsidRPr="00251A53">
        <w:t>i</w:t>
      </w:r>
      <w:r w:rsidRPr="00251A53">
        <w:t xml:space="preserve">sland </w:t>
      </w:r>
      <w:r w:rsidR="00195DCC" w:rsidRPr="00251A53">
        <w:t>d</w:t>
      </w:r>
      <w:r w:rsidRPr="00251A53">
        <w:t xml:space="preserve">eveloping State, with a per capita </w:t>
      </w:r>
      <w:r w:rsidR="004C6524" w:rsidRPr="00251A53">
        <w:t xml:space="preserve">gross domestic product </w:t>
      </w:r>
      <w:r w:rsidR="00B36CD3" w:rsidRPr="00251A53">
        <w:t>(</w:t>
      </w:r>
      <w:r w:rsidRPr="00251A53">
        <w:t>GDP</w:t>
      </w:r>
      <w:r w:rsidR="00B36CD3" w:rsidRPr="00251A53">
        <w:t>)</w:t>
      </w:r>
      <w:r w:rsidRPr="00251A53">
        <w:t xml:space="preserve"> of $2,970</w:t>
      </w:r>
      <w:r w:rsidR="005F4E34" w:rsidRPr="00251A53">
        <w:t xml:space="preserve"> (World Bank, 2016)</w:t>
      </w:r>
      <w:r w:rsidR="00B36CD3" w:rsidRPr="00251A53">
        <w:t>. Its</w:t>
      </w:r>
      <w:r w:rsidRPr="00251A53">
        <w:t xml:space="preserve"> population </w:t>
      </w:r>
      <w:r w:rsidR="00B36CD3" w:rsidRPr="00251A53">
        <w:t xml:space="preserve">is </w:t>
      </w:r>
      <w:r w:rsidRPr="00251A53">
        <w:t>projected at 537,661 for 2017,</w:t>
      </w:r>
      <w:r w:rsidR="00D314DA" w:rsidRPr="00251A53">
        <w:rPr>
          <w:rStyle w:val="FootnoteReference"/>
        </w:rPr>
        <w:footnoteReference w:id="1"/>
      </w:r>
      <w:r w:rsidRPr="00251A53">
        <w:t xml:space="preserve"> </w:t>
      </w:r>
      <w:r w:rsidR="00072C30" w:rsidRPr="00251A53">
        <w:t>with</w:t>
      </w:r>
      <w:r w:rsidRPr="00251A53">
        <w:t xml:space="preserve"> 49.8 </w:t>
      </w:r>
      <w:r w:rsidR="00072C30" w:rsidRPr="00251A53">
        <w:t>per cent</w:t>
      </w:r>
      <w:r w:rsidRPr="00251A53">
        <w:t xml:space="preserve"> female and 28.6 </w:t>
      </w:r>
      <w:r w:rsidR="00072C30" w:rsidRPr="00251A53">
        <w:t>per cent</w:t>
      </w:r>
      <w:r w:rsidRPr="00251A53">
        <w:t xml:space="preserve"> under 14 years</w:t>
      </w:r>
      <w:r w:rsidR="00E13FAD" w:rsidRPr="00251A53">
        <w:t xml:space="preserve"> of age</w:t>
      </w:r>
      <w:r w:rsidRPr="00251A53">
        <w:t xml:space="preserve">. Investments in health and education </w:t>
      </w:r>
      <w:r w:rsidR="00E13FAD" w:rsidRPr="00251A53">
        <w:t xml:space="preserve">have </w:t>
      </w:r>
      <w:r w:rsidRPr="00251A53">
        <w:t>led to declining fertility rates and a demographic transition</w:t>
      </w:r>
      <w:r w:rsidR="00E13FAD" w:rsidRPr="00251A53">
        <w:t>,</w:t>
      </w:r>
      <w:r w:rsidRPr="00251A53">
        <w:t xml:space="preserve"> </w:t>
      </w:r>
      <w:r w:rsidR="00317F8D" w:rsidRPr="00251A53">
        <w:t>with</w:t>
      </w:r>
      <w:r w:rsidRPr="00251A53">
        <w:t xml:space="preserve"> 15</w:t>
      </w:r>
      <w:r w:rsidR="00E13FAD" w:rsidRPr="00251A53">
        <w:t>-</w:t>
      </w:r>
      <w:r w:rsidRPr="00251A53">
        <w:t>34</w:t>
      </w:r>
      <w:r w:rsidR="00E13FAD" w:rsidRPr="00251A53">
        <w:t>-</w:t>
      </w:r>
      <w:r w:rsidRPr="00251A53">
        <w:t>year</w:t>
      </w:r>
      <w:r w:rsidR="00E13FAD" w:rsidRPr="00251A53">
        <w:t>-</w:t>
      </w:r>
      <w:r w:rsidRPr="00251A53">
        <w:t>olds represent</w:t>
      </w:r>
      <w:r w:rsidR="00317F8D" w:rsidRPr="00251A53">
        <w:t>ing</w:t>
      </w:r>
      <w:r w:rsidRPr="00251A53">
        <w:t xml:space="preserve"> 38.7 </w:t>
      </w:r>
      <w:r w:rsidR="00072C30" w:rsidRPr="00251A53">
        <w:t>per cent</w:t>
      </w:r>
      <w:r w:rsidRPr="00251A53">
        <w:t xml:space="preserve"> of the population, creating </w:t>
      </w:r>
      <w:r w:rsidR="00317F8D" w:rsidRPr="00251A53">
        <w:t xml:space="preserve">the </w:t>
      </w:r>
      <w:r w:rsidRPr="00251A53">
        <w:t xml:space="preserve">potential for significant demographic dividends. Economic growth averaged 6 </w:t>
      </w:r>
      <w:r w:rsidR="00072C30" w:rsidRPr="00251A53">
        <w:t>per cent</w:t>
      </w:r>
      <w:r w:rsidRPr="00251A53">
        <w:t xml:space="preserve"> </w:t>
      </w:r>
      <w:r w:rsidR="006B3D73" w:rsidRPr="00251A53">
        <w:t xml:space="preserve">from 1994 </w:t>
      </w:r>
      <w:r w:rsidRPr="00251A53">
        <w:t>until 2008</w:t>
      </w:r>
      <w:r w:rsidR="00317F8D" w:rsidRPr="00251A53">
        <w:t>,</w:t>
      </w:r>
      <w:r w:rsidR="006B3D73" w:rsidRPr="00251A53">
        <w:rPr>
          <w:rStyle w:val="FootnoteReference"/>
        </w:rPr>
        <w:footnoteReference w:id="2"/>
      </w:r>
      <w:r w:rsidRPr="00251A53">
        <w:t xml:space="preserve"> contributing to the country</w:t>
      </w:r>
      <w:r w:rsidR="004471CF" w:rsidRPr="00251A53">
        <w:t>’</w:t>
      </w:r>
      <w:r w:rsidRPr="00251A53">
        <w:t xml:space="preserve">s graduation from </w:t>
      </w:r>
      <w:r w:rsidR="00317F8D" w:rsidRPr="00251A53">
        <w:t>l</w:t>
      </w:r>
      <w:r w:rsidRPr="00251A53">
        <w:t xml:space="preserve">east </w:t>
      </w:r>
      <w:r w:rsidR="00317F8D" w:rsidRPr="00251A53">
        <w:t>d</w:t>
      </w:r>
      <w:r w:rsidRPr="00251A53">
        <w:t xml:space="preserve">eveloped </w:t>
      </w:r>
      <w:r w:rsidR="00317F8D" w:rsidRPr="00251A53">
        <w:t>c</w:t>
      </w:r>
      <w:r w:rsidRPr="00251A53">
        <w:t>ountry status in 2007.</w:t>
      </w:r>
      <w:r w:rsidR="00DE6E1E" w:rsidRPr="00251A53">
        <w:rPr>
          <w:rStyle w:val="FootnoteReference"/>
        </w:rPr>
        <w:footnoteReference w:id="3"/>
      </w:r>
      <w:r w:rsidRPr="00251A53">
        <w:t xml:space="preserve"> By 2015, most of the Millennium Development Goals had been achieved and </w:t>
      </w:r>
      <w:r w:rsidR="00917287" w:rsidRPr="00251A53">
        <w:t xml:space="preserve">the </w:t>
      </w:r>
      <w:r w:rsidRPr="00251A53">
        <w:t>Government is commi</w:t>
      </w:r>
      <w:r w:rsidR="006E6E04" w:rsidRPr="00251A53">
        <w:t>t</w:t>
      </w:r>
      <w:r w:rsidRPr="00251A53">
        <w:t>t</w:t>
      </w:r>
      <w:r w:rsidR="0098325A" w:rsidRPr="00251A53">
        <w:t>ed</w:t>
      </w:r>
      <w:r w:rsidRPr="00251A53">
        <w:t xml:space="preserve"> to achieving the Sustainable Development Goals (SDGs)</w:t>
      </w:r>
      <w:r w:rsidR="006E1822" w:rsidRPr="00251A53">
        <w:t>,</w:t>
      </w:r>
      <w:r w:rsidRPr="00251A53">
        <w:t xml:space="preserve"> </w:t>
      </w:r>
      <w:r w:rsidR="00D62094" w:rsidRPr="00251A53">
        <w:t>with</w:t>
      </w:r>
      <w:r w:rsidRPr="00251A53">
        <w:t xml:space="preserve"> the National Sustainable Development Plan, 2017</w:t>
      </w:r>
      <w:r w:rsidR="00D62094" w:rsidRPr="00251A53">
        <w:noBreakHyphen/>
      </w:r>
      <w:r w:rsidRPr="00251A53">
        <w:t>2021</w:t>
      </w:r>
      <w:r w:rsidR="001D0F00" w:rsidRPr="00251A53">
        <w:t xml:space="preserve"> [</w:t>
      </w:r>
      <w:r w:rsidR="0098325A" w:rsidRPr="00251A53">
        <w:rPr>
          <w:i/>
        </w:rPr>
        <w:t>Plano Estratégico de Desenvolvimento Sustentável</w:t>
      </w:r>
      <w:r w:rsidR="001D0F00" w:rsidRPr="00251A53">
        <w:rPr>
          <w:i/>
        </w:rPr>
        <w:t>,</w:t>
      </w:r>
      <w:r w:rsidR="0098325A" w:rsidRPr="00251A53">
        <w:rPr>
          <w:i/>
        </w:rPr>
        <w:t xml:space="preserve"> 2017-2021</w:t>
      </w:r>
      <w:r w:rsidR="001D0F00" w:rsidRPr="00251A53">
        <w:t>]</w:t>
      </w:r>
      <w:r w:rsidR="0098325A" w:rsidRPr="00251A53">
        <w:t xml:space="preserve"> </w:t>
      </w:r>
      <w:r w:rsidR="001D0F00" w:rsidRPr="00251A53">
        <w:t>(</w:t>
      </w:r>
      <w:r w:rsidRPr="00251A53">
        <w:t>PEDS</w:t>
      </w:r>
      <w:r w:rsidR="001D0F00" w:rsidRPr="00251A53">
        <w:t>)</w:t>
      </w:r>
      <w:r w:rsidRPr="00251A53">
        <w:t xml:space="preserve"> </w:t>
      </w:r>
      <w:r w:rsidR="00D62094" w:rsidRPr="00251A53">
        <w:t xml:space="preserve">fully aligned </w:t>
      </w:r>
      <w:r w:rsidRPr="00251A53">
        <w:t xml:space="preserve">with the SDGs. </w:t>
      </w:r>
    </w:p>
    <w:p w14:paraId="6B5C0F49" w14:textId="273FD4F2" w:rsidR="003E3551" w:rsidRPr="00251A53" w:rsidRDefault="003E3551" w:rsidP="003E3551">
      <w:pPr>
        <w:pStyle w:val="Num1para"/>
      </w:pPr>
      <w:r w:rsidRPr="00251A53">
        <w:t xml:space="preserve">Despite its impressive development performance, Cabo Verde faces important </w:t>
      </w:r>
      <w:r w:rsidR="00466A5B">
        <w:t>challenges</w:t>
      </w:r>
      <w:r w:rsidR="00466A5B" w:rsidRPr="00251A53">
        <w:t xml:space="preserve"> </w:t>
      </w:r>
      <w:r w:rsidRPr="00251A53">
        <w:t>to achieving the SDGs</w:t>
      </w:r>
      <w:r w:rsidR="00FA5D0A" w:rsidRPr="00251A53">
        <w:t>,</w:t>
      </w:r>
      <w:r w:rsidR="00FA5D0A" w:rsidRPr="00251A53">
        <w:rPr>
          <w:bCs w:val="0"/>
          <w:spacing w:val="0"/>
          <w:w w:val="100"/>
          <w:kern w:val="0"/>
          <w:sz w:val="24"/>
          <w:szCs w:val="24"/>
        </w:rPr>
        <w:t xml:space="preserve"> </w:t>
      </w:r>
      <w:r w:rsidR="00FA5D0A" w:rsidRPr="00251A53">
        <w:t>with inequality one of the country</w:t>
      </w:r>
      <w:r w:rsidR="004471CF" w:rsidRPr="00251A53">
        <w:t>’</w:t>
      </w:r>
      <w:r w:rsidR="00FA5D0A" w:rsidRPr="00251A53">
        <w:t>s greatest challenges</w:t>
      </w:r>
      <w:r w:rsidRPr="00251A53">
        <w:t xml:space="preserve">: 35.6 </w:t>
      </w:r>
      <w:r w:rsidR="00072C30" w:rsidRPr="00251A53">
        <w:t>per cent</w:t>
      </w:r>
      <w:r w:rsidRPr="00251A53">
        <w:t xml:space="preserve"> of Cabo Verdeans </w:t>
      </w:r>
      <w:r w:rsidR="00FA5D0A" w:rsidRPr="00251A53">
        <w:t xml:space="preserve">are </w:t>
      </w:r>
      <w:r w:rsidRPr="00251A53">
        <w:t xml:space="preserve">poor and 10.6 </w:t>
      </w:r>
      <w:r w:rsidR="00072C30" w:rsidRPr="00251A53">
        <w:t>per cent</w:t>
      </w:r>
      <w:r w:rsidRPr="00251A53">
        <w:t xml:space="preserve"> extremely poor.</w:t>
      </w:r>
      <w:r w:rsidR="00381B61" w:rsidRPr="00251A53">
        <w:rPr>
          <w:rStyle w:val="FootnoteReference"/>
        </w:rPr>
        <w:footnoteReference w:id="4"/>
      </w:r>
      <w:r w:rsidRPr="00251A53">
        <w:t xml:space="preserve"> Cabo Verde ranks </w:t>
      </w:r>
      <w:r w:rsidR="00FA5D0A" w:rsidRPr="00251A53">
        <w:t>sixth</w:t>
      </w:r>
      <w:r w:rsidRPr="00251A53">
        <w:t xml:space="preserve"> in </w:t>
      </w:r>
      <w:r w:rsidR="00FA5D0A" w:rsidRPr="00251A53">
        <w:t>s</w:t>
      </w:r>
      <w:r w:rsidRPr="00251A53">
        <w:t>ub-Saharan Africa</w:t>
      </w:r>
      <w:r w:rsidR="00957F8D" w:rsidRPr="00251A53">
        <w:t xml:space="preserve"> on the Human Development Index</w:t>
      </w:r>
      <w:r w:rsidR="008E35A9">
        <w:t>,</w:t>
      </w:r>
      <w:r w:rsidRPr="00251A53">
        <w:t xml:space="preserve"> but when adjusted for inequality</w:t>
      </w:r>
      <w:r w:rsidR="00957F8D" w:rsidRPr="00251A53">
        <w:t>,</w:t>
      </w:r>
      <w:r w:rsidR="0009618C" w:rsidRPr="00251A53">
        <w:t xml:space="preserve"> it is lower</w:t>
      </w:r>
      <w:r w:rsidRPr="00251A53">
        <w:t>.</w:t>
      </w:r>
      <w:r w:rsidR="0027136F" w:rsidRPr="00251A53">
        <w:rPr>
          <w:rStyle w:val="FootnoteReference"/>
        </w:rPr>
        <w:footnoteReference w:id="5"/>
      </w:r>
      <w:r w:rsidRPr="00251A53">
        <w:t xml:space="preserve"> The Gini coefficient</w:t>
      </w:r>
      <w:r w:rsidR="00957F8D" w:rsidRPr="00251A53">
        <w:t xml:space="preserve"> (</w:t>
      </w:r>
      <w:r w:rsidRPr="00251A53">
        <w:t>estimated at 0.46 for 2015</w:t>
      </w:r>
      <w:r w:rsidR="00957F8D" w:rsidRPr="00251A53">
        <w:t>)</w:t>
      </w:r>
      <w:r w:rsidRPr="00251A53">
        <w:t xml:space="preserve"> has remained essentially unchanged for eight years. Reductions in development assistance and concessional lending since graduation</w:t>
      </w:r>
      <w:r w:rsidR="00B96EFA" w:rsidRPr="00251A53">
        <w:t xml:space="preserve"> from least developed country status</w:t>
      </w:r>
      <w:r w:rsidRPr="00251A53">
        <w:t xml:space="preserve">, </w:t>
      </w:r>
      <w:r w:rsidR="006C1DC1" w:rsidRPr="00251A53">
        <w:t>ex</w:t>
      </w:r>
      <w:r w:rsidR="0006762C" w:rsidRPr="00251A53">
        <w:t>acerbated by</w:t>
      </w:r>
      <w:r w:rsidRPr="00251A53">
        <w:t xml:space="preserve"> the 2008 global financial crisis, </w:t>
      </w:r>
      <w:r w:rsidR="0006762C" w:rsidRPr="00251A53">
        <w:t>have affected</w:t>
      </w:r>
      <w:r w:rsidRPr="00251A53">
        <w:t xml:space="preserve"> GDP growth</w:t>
      </w:r>
      <w:r w:rsidR="0006762C" w:rsidRPr="00251A53">
        <w:t xml:space="preserve"> (</w:t>
      </w:r>
      <w:r w:rsidRPr="00251A53">
        <w:t>averag</w:t>
      </w:r>
      <w:r w:rsidR="0006762C" w:rsidRPr="00251A53">
        <w:t>ing</w:t>
      </w:r>
      <w:r w:rsidRPr="00251A53">
        <w:t xml:space="preserve"> 1.3 </w:t>
      </w:r>
      <w:r w:rsidR="00072C30" w:rsidRPr="00251A53">
        <w:t>per cent</w:t>
      </w:r>
      <w:r w:rsidRPr="00251A53">
        <w:t xml:space="preserve"> between 2010 and 2015</w:t>
      </w:r>
      <w:r w:rsidR="0006762C" w:rsidRPr="00251A53">
        <w:t>)</w:t>
      </w:r>
      <w:r w:rsidRPr="00251A53">
        <w:t>. While signs of recovery are evident</w:t>
      </w:r>
      <w:r w:rsidR="005C4F74" w:rsidRPr="00251A53">
        <w:t xml:space="preserve"> (</w:t>
      </w:r>
      <w:r w:rsidRPr="00251A53">
        <w:t xml:space="preserve">3.2 </w:t>
      </w:r>
      <w:r w:rsidR="00072C30" w:rsidRPr="00251A53">
        <w:t>per cent</w:t>
      </w:r>
      <w:r w:rsidRPr="00251A53">
        <w:t xml:space="preserve"> growth in 2016</w:t>
      </w:r>
      <w:r w:rsidR="005C4F74" w:rsidRPr="00251A53">
        <w:t>)</w:t>
      </w:r>
      <w:r w:rsidRPr="00251A53">
        <w:t>, high debt-to-GDP ratios</w:t>
      </w:r>
      <w:r w:rsidR="0072554B" w:rsidRPr="00251A53">
        <w:t xml:space="preserve"> </w:t>
      </w:r>
      <w:r w:rsidR="005C4F74" w:rsidRPr="00251A53">
        <w:t>restrict</w:t>
      </w:r>
      <w:r w:rsidRPr="00251A53">
        <w:t xml:space="preserve"> </w:t>
      </w:r>
      <w:r w:rsidR="005C4F74" w:rsidRPr="00251A53">
        <w:t xml:space="preserve">the </w:t>
      </w:r>
      <w:r w:rsidRPr="00251A53">
        <w:t>fiscal space</w:t>
      </w:r>
      <w:r w:rsidR="0057696D" w:rsidRPr="00251A53">
        <w:t xml:space="preserve"> (IMF, 2016)</w:t>
      </w:r>
      <w:r w:rsidRPr="00251A53">
        <w:t>,</w:t>
      </w:r>
      <w:r w:rsidR="001B300C" w:rsidRPr="00251A53">
        <w:rPr>
          <w:rStyle w:val="FootnoteReference"/>
        </w:rPr>
        <w:footnoteReference w:id="6"/>
      </w:r>
      <w:r w:rsidRPr="00251A53">
        <w:t xml:space="preserve"> </w:t>
      </w:r>
      <w:r w:rsidR="00993CB8" w:rsidRPr="00251A53">
        <w:t>highlighting</w:t>
      </w:r>
      <w:r w:rsidRPr="00251A53">
        <w:t xml:space="preserve"> the need for innovative resource mobilization and management, and </w:t>
      </w:r>
      <w:r w:rsidR="00E02399" w:rsidRPr="00251A53">
        <w:t xml:space="preserve">a </w:t>
      </w:r>
      <w:r w:rsidRPr="00251A53">
        <w:t xml:space="preserve">strengthening of </w:t>
      </w:r>
      <w:r w:rsidR="00993CB8" w:rsidRPr="00251A53">
        <w:t>p</w:t>
      </w:r>
      <w:r w:rsidRPr="00251A53">
        <w:t xml:space="preserve">ublic </w:t>
      </w:r>
      <w:r w:rsidR="00993CB8" w:rsidRPr="00251A53">
        <w:t>f</w:t>
      </w:r>
      <w:r w:rsidRPr="00251A53">
        <w:t xml:space="preserve">inance </w:t>
      </w:r>
      <w:r w:rsidR="00993CB8" w:rsidRPr="00251A53">
        <w:t>m</w:t>
      </w:r>
      <w:r w:rsidRPr="00251A53">
        <w:t xml:space="preserve">anagement and accountability systems. </w:t>
      </w:r>
    </w:p>
    <w:p w14:paraId="45C35184" w14:textId="77777777" w:rsidR="003E3551" w:rsidRPr="00251A53" w:rsidRDefault="003E3551" w:rsidP="003E3551">
      <w:pPr>
        <w:pStyle w:val="Num1para"/>
      </w:pPr>
      <w:r w:rsidRPr="00251A53">
        <w:t xml:space="preserve">Uneven economic development, particularly in tourism, </w:t>
      </w:r>
      <w:r w:rsidR="00E02399" w:rsidRPr="00251A53">
        <w:t>ha</w:t>
      </w:r>
      <w:r w:rsidR="00116458" w:rsidRPr="00251A53">
        <w:t>s</w:t>
      </w:r>
      <w:r w:rsidR="00E02399" w:rsidRPr="00251A53">
        <w:t xml:space="preserve"> </w:t>
      </w:r>
      <w:r w:rsidR="00116458" w:rsidRPr="00251A53">
        <w:t>led to</w:t>
      </w:r>
      <w:r w:rsidRPr="00251A53">
        <w:t xml:space="preserve"> regional variations in poverty rates, human development and employment</w:t>
      </w:r>
      <w:r w:rsidR="00116458" w:rsidRPr="00251A53">
        <w:t xml:space="preserve"> access</w:t>
      </w:r>
      <w:r w:rsidRPr="00251A53">
        <w:t xml:space="preserve">. Some municipalities </w:t>
      </w:r>
      <w:r w:rsidR="00116458" w:rsidRPr="00251A53">
        <w:t>face</w:t>
      </w:r>
      <w:r w:rsidRPr="00251A53">
        <w:t xml:space="preserve"> poverty rates in excess of 60 </w:t>
      </w:r>
      <w:r w:rsidR="00072C30" w:rsidRPr="00251A53">
        <w:t>per cent</w:t>
      </w:r>
      <w:r w:rsidRPr="00251A53">
        <w:t xml:space="preserve"> while others </w:t>
      </w:r>
      <w:r w:rsidR="007C1369" w:rsidRPr="00251A53">
        <w:t>only</w:t>
      </w:r>
      <w:r w:rsidRPr="00251A53">
        <w:t xml:space="preserve"> 8 </w:t>
      </w:r>
      <w:r w:rsidR="00072C30" w:rsidRPr="00251A53">
        <w:t>per cent</w:t>
      </w:r>
      <w:r w:rsidR="00913536" w:rsidRPr="00251A53">
        <w:t>.</w:t>
      </w:r>
      <w:r w:rsidR="00544E40" w:rsidRPr="00251A53">
        <w:rPr>
          <w:rStyle w:val="FootnoteReference"/>
        </w:rPr>
        <w:footnoteReference w:id="7"/>
      </w:r>
      <w:r w:rsidR="00913536" w:rsidRPr="00251A53">
        <w:t xml:space="preserve"> </w:t>
      </w:r>
      <w:r w:rsidR="007C1369" w:rsidRPr="00251A53">
        <w:t>U</w:t>
      </w:r>
      <w:r w:rsidRPr="00251A53">
        <w:t>rban areas have a higher number of poor residents</w:t>
      </w:r>
      <w:r w:rsidR="007C1369" w:rsidRPr="00251A53">
        <w:t xml:space="preserve"> but</w:t>
      </w:r>
      <w:r w:rsidRPr="00251A53">
        <w:t xml:space="preserve"> poverty is more widespread and deeper in rural areas and higher among women </w:t>
      </w:r>
      <w:r w:rsidR="007C1369" w:rsidRPr="00251A53">
        <w:t>(53 per cent)</w:t>
      </w:r>
      <w:r w:rsidRPr="00251A53">
        <w:t>, in single parent households (44</w:t>
      </w:r>
      <w:r w:rsidR="002063A7" w:rsidRPr="00251A53">
        <w:t xml:space="preserve"> </w:t>
      </w:r>
      <w:r w:rsidR="00072C30" w:rsidRPr="00251A53">
        <w:t>per cent</w:t>
      </w:r>
      <w:r w:rsidRPr="00251A53">
        <w:t xml:space="preserve">) and in households with six or more people (61 </w:t>
      </w:r>
      <w:r w:rsidR="00072C30" w:rsidRPr="00251A53">
        <w:t>per cent</w:t>
      </w:r>
      <w:r w:rsidRPr="00251A53">
        <w:t>).</w:t>
      </w:r>
      <w:r w:rsidR="00544E40" w:rsidRPr="00251A53">
        <w:rPr>
          <w:rStyle w:val="FootnoteReference"/>
        </w:rPr>
        <w:footnoteReference w:id="8"/>
      </w:r>
    </w:p>
    <w:p w14:paraId="711B014D" w14:textId="75BE0984" w:rsidR="003E3551" w:rsidRPr="00251A53" w:rsidRDefault="002063A7" w:rsidP="003E3551">
      <w:pPr>
        <w:pStyle w:val="Num1para"/>
      </w:pPr>
      <w:r w:rsidRPr="00251A53">
        <w:t>The country</w:t>
      </w:r>
      <w:r w:rsidR="004471CF" w:rsidRPr="00251A53">
        <w:t>’</w:t>
      </w:r>
      <w:r w:rsidRPr="00251A53">
        <w:t>s</w:t>
      </w:r>
      <w:r w:rsidR="003E3551" w:rsidRPr="00251A53">
        <w:t xml:space="preserve"> persistent poverty and </w:t>
      </w:r>
      <w:r w:rsidR="006C1DC1" w:rsidRPr="00251A53">
        <w:t xml:space="preserve">inequality </w:t>
      </w:r>
      <w:r w:rsidR="003E3551" w:rsidRPr="00251A53">
        <w:t xml:space="preserve">are linked to locational, structural and geophysical factors that heighten economic, social and environmental vulnerability. Its nine populated islands have few natural resources and little arable land (10 </w:t>
      </w:r>
      <w:r w:rsidR="00072C30" w:rsidRPr="00251A53">
        <w:t>per cent</w:t>
      </w:r>
      <w:r w:rsidR="003E3551" w:rsidRPr="00251A53">
        <w:t>)</w:t>
      </w:r>
      <w:r w:rsidR="006C1CAB" w:rsidRPr="00251A53">
        <w:t>,</w:t>
      </w:r>
      <w:r w:rsidR="003E3551" w:rsidRPr="00251A53">
        <w:t xml:space="preserve"> </w:t>
      </w:r>
      <w:r w:rsidR="006C1CAB" w:rsidRPr="00251A53">
        <w:t xml:space="preserve">thereby </w:t>
      </w:r>
      <w:r w:rsidR="003E3551" w:rsidRPr="00251A53">
        <w:t>creating considerable development challenges. Its small, fragmented market lacks diversity</w:t>
      </w:r>
      <w:r w:rsidR="006C1CAB" w:rsidRPr="00251A53">
        <w:t>,</w:t>
      </w:r>
      <w:r w:rsidR="003E3551" w:rsidRPr="00251A53">
        <w:t xml:space="preserve"> limit</w:t>
      </w:r>
      <w:r w:rsidR="006C1CAB" w:rsidRPr="00251A53">
        <w:t>ing the</w:t>
      </w:r>
      <w:r w:rsidR="003E3551" w:rsidRPr="00251A53">
        <w:t xml:space="preserve"> fiscal base. Dependent on tourism and remittances</w:t>
      </w:r>
      <w:r w:rsidR="006C1CAB" w:rsidRPr="00251A53">
        <w:t>,</w:t>
      </w:r>
      <w:r w:rsidR="003E3551" w:rsidRPr="00251A53">
        <w:t xml:space="preserve"> with development assistance and concessional finance declining since 2008, economic growth is highly sensitive to natural hazards and economic shocks</w:t>
      </w:r>
      <w:r w:rsidR="00F21E8A" w:rsidRPr="00251A53">
        <w:t xml:space="preserve">. These challenges to </w:t>
      </w:r>
      <w:r w:rsidR="003E3551" w:rsidRPr="00251A53">
        <w:t xml:space="preserve">inclusive and sustainable development </w:t>
      </w:r>
      <w:r w:rsidR="00D643CD" w:rsidRPr="00251A53">
        <w:t>are reflected in the</w:t>
      </w:r>
      <w:r w:rsidR="003E3551" w:rsidRPr="00251A53">
        <w:t xml:space="preserve"> high unemployment and subemployment rates, particularly for youth </w:t>
      </w:r>
      <w:r w:rsidR="009F33D0" w:rsidRPr="00251A53">
        <w:t>and women, eviden</w:t>
      </w:r>
      <w:r w:rsidR="00260690" w:rsidRPr="00251A53">
        <w:t>ced by</w:t>
      </w:r>
      <w:r w:rsidR="009F33D0" w:rsidRPr="00251A53">
        <w:t xml:space="preserve"> their sub</w:t>
      </w:r>
      <w:r w:rsidR="003E3551" w:rsidRPr="00251A53">
        <w:t xml:space="preserve">optimal </w:t>
      </w:r>
      <w:r w:rsidR="009F33D0" w:rsidRPr="00251A53">
        <w:t xml:space="preserve">economic </w:t>
      </w:r>
      <w:r w:rsidR="003E3551" w:rsidRPr="00251A53">
        <w:t xml:space="preserve">participation in both rural and urban areas. Nearly </w:t>
      </w:r>
      <w:r w:rsidR="009F33D0" w:rsidRPr="00251A53">
        <w:t>half</w:t>
      </w:r>
      <w:r w:rsidR="003E3551" w:rsidRPr="00251A53">
        <w:t xml:space="preserve"> of all jobs are in the informal sector, providing poorly paid and insecure employment</w:t>
      </w:r>
      <w:r w:rsidR="000D2A0B" w:rsidRPr="00251A53">
        <w:t>; w</w:t>
      </w:r>
      <w:r w:rsidR="00B6592F" w:rsidRPr="00251A53">
        <w:t>omen are disproportionally represented in this sector</w:t>
      </w:r>
      <w:r w:rsidR="003E3551" w:rsidRPr="00251A53">
        <w:t xml:space="preserve">. Gender disparities put women at </w:t>
      </w:r>
      <w:r w:rsidR="009F33D0" w:rsidRPr="00251A53">
        <w:t>a disadvantage regarding labour-</w:t>
      </w:r>
      <w:r w:rsidR="003E3551" w:rsidRPr="00251A53">
        <w:t xml:space="preserve">force participation and employment conditions. </w:t>
      </w:r>
    </w:p>
    <w:p w14:paraId="4D0017F3" w14:textId="77777777" w:rsidR="000D2A0B" w:rsidRPr="00251A53" w:rsidRDefault="003E3551" w:rsidP="000D2A0B">
      <w:pPr>
        <w:pStyle w:val="Num1para"/>
        <w:keepNext/>
        <w:keepLines/>
      </w:pPr>
      <w:r w:rsidRPr="00251A53">
        <w:lastRenderedPageBreak/>
        <w:t>The economy</w:t>
      </w:r>
      <w:r w:rsidR="004471CF" w:rsidRPr="00251A53">
        <w:t>’</w:t>
      </w:r>
      <w:r w:rsidRPr="00251A53">
        <w:t>s ability to generate sufficient employment opportunities across the territory is constrained by</w:t>
      </w:r>
      <w:r w:rsidR="0056152E" w:rsidRPr="00251A53">
        <w:t xml:space="preserve"> a number of factors:</w:t>
      </w:r>
      <w:r w:rsidRPr="00251A53">
        <w:t xml:space="preserve"> inadequate linkages between investment, local value-cha</w:t>
      </w:r>
      <w:r w:rsidR="0056152E" w:rsidRPr="00251A53">
        <w:t>ins and territorial development;</w:t>
      </w:r>
      <w:r w:rsidRPr="00251A53">
        <w:t xml:space="preserve"> poorly integrated education and training policies</w:t>
      </w:r>
      <w:r w:rsidR="0056152E" w:rsidRPr="00251A53">
        <w:t>;</w:t>
      </w:r>
      <w:r w:rsidRPr="00251A53">
        <w:t xml:space="preserve"> </w:t>
      </w:r>
      <w:r w:rsidR="0085112A" w:rsidRPr="00251A53">
        <w:t xml:space="preserve">a </w:t>
      </w:r>
      <w:r w:rsidRPr="00251A53">
        <w:t>limited capacity in services for employment</w:t>
      </w:r>
      <w:r w:rsidR="0056152E" w:rsidRPr="00251A53">
        <w:t>;</w:t>
      </w:r>
      <w:r w:rsidRPr="00251A53">
        <w:t xml:space="preserve"> </w:t>
      </w:r>
      <w:r w:rsidR="0056152E" w:rsidRPr="00251A53">
        <w:t>and</w:t>
      </w:r>
      <w:r w:rsidRPr="00251A53">
        <w:t xml:space="preserve"> a poorly developed environment for promoting local entrepreneurship and business innovation. Unemployment averages 15 </w:t>
      </w:r>
      <w:r w:rsidR="00072C30" w:rsidRPr="00251A53">
        <w:t>per cent</w:t>
      </w:r>
      <w:r w:rsidR="00CB25D7" w:rsidRPr="00251A53">
        <w:t>; it is</w:t>
      </w:r>
      <w:r w:rsidRPr="00251A53">
        <w:t xml:space="preserve"> higher for women (17.4 </w:t>
      </w:r>
      <w:r w:rsidR="00072C30" w:rsidRPr="00251A53">
        <w:t>per cent</w:t>
      </w:r>
      <w:r w:rsidRPr="00251A53">
        <w:t xml:space="preserve">) than for men (12.9 </w:t>
      </w:r>
      <w:r w:rsidR="00072C30" w:rsidRPr="00251A53">
        <w:t>per cent</w:t>
      </w:r>
      <w:r w:rsidRPr="00251A53">
        <w:t>)</w:t>
      </w:r>
      <w:r w:rsidR="00DA2EFB" w:rsidRPr="00251A53">
        <w:t>; and for young people in urban areas, it can reach 60 per cent</w:t>
      </w:r>
      <w:r w:rsidRPr="00251A53">
        <w:t xml:space="preserve">. </w:t>
      </w:r>
      <w:r w:rsidR="00DA2EFB" w:rsidRPr="00251A53">
        <w:t>Of great concern is t</w:t>
      </w:r>
      <w:r w:rsidRPr="00251A53">
        <w:t>he quality of education and training</w:t>
      </w:r>
      <w:r w:rsidR="00DA2EFB" w:rsidRPr="00251A53">
        <w:t xml:space="preserve"> –</w:t>
      </w:r>
      <w:r w:rsidRPr="00251A53">
        <w:t xml:space="preserve"> and the extent to which it prepares young p</w:t>
      </w:r>
      <w:r w:rsidR="00DA2EFB" w:rsidRPr="00251A53">
        <w:t>eople for the employment market</w:t>
      </w:r>
      <w:r w:rsidRPr="00251A53">
        <w:t xml:space="preserve">. </w:t>
      </w:r>
    </w:p>
    <w:p w14:paraId="340DEAB3" w14:textId="17A3A1AB" w:rsidR="003E3551" w:rsidRPr="00251A53" w:rsidRDefault="003E3551" w:rsidP="000D2A0B">
      <w:pPr>
        <w:pStyle w:val="Num1para"/>
      </w:pPr>
      <w:r w:rsidRPr="00251A53">
        <w:t>Regional disparities in education persist in both quality and access</w:t>
      </w:r>
      <w:r w:rsidR="00141D6D" w:rsidRPr="00251A53">
        <w:t>;</w:t>
      </w:r>
      <w:r w:rsidR="00AF04D1" w:rsidRPr="00251A53">
        <w:rPr>
          <w:rStyle w:val="FootnoteReference"/>
        </w:rPr>
        <w:footnoteReference w:id="9"/>
      </w:r>
      <w:r w:rsidRPr="00251A53">
        <w:t xml:space="preserve"> children with special needs </w:t>
      </w:r>
      <w:r w:rsidR="00141D6D" w:rsidRPr="00251A53">
        <w:t>are</w:t>
      </w:r>
      <w:r w:rsidRPr="00251A53">
        <w:t xml:space="preserve"> at high risk of exclusion. Inadequate investment in early childhood development and univers</w:t>
      </w:r>
      <w:r w:rsidR="008C1006" w:rsidRPr="00251A53">
        <w:t>al access to quality pre</w:t>
      </w:r>
      <w:r w:rsidRPr="00251A53">
        <w:t>school exacerbate inequalities resulting from deprivation</w:t>
      </w:r>
      <w:r w:rsidR="00141D6D" w:rsidRPr="00251A53">
        <w:t>; this</w:t>
      </w:r>
      <w:r w:rsidRPr="00251A53">
        <w:t xml:space="preserve"> </w:t>
      </w:r>
      <w:r w:rsidR="008D30C5" w:rsidRPr="00251A53">
        <w:t>affect</w:t>
      </w:r>
      <w:r w:rsidR="00141D6D" w:rsidRPr="00251A53">
        <w:t>s</w:t>
      </w:r>
      <w:r w:rsidRPr="00251A53">
        <w:t xml:space="preserve"> </w:t>
      </w:r>
      <w:r w:rsidR="00141D6D" w:rsidRPr="00251A53">
        <w:t xml:space="preserve">particularly </w:t>
      </w:r>
      <w:r w:rsidRPr="00251A53">
        <w:t>the educational outcomes of children from poor families. Low secondary</w:t>
      </w:r>
      <w:r w:rsidR="0027305B" w:rsidRPr="00251A53">
        <w:t>-</w:t>
      </w:r>
      <w:r w:rsidRPr="00251A53">
        <w:t xml:space="preserve">level graduation (45 </w:t>
      </w:r>
      <w:r w:rsidR="00072C30" w:rsidRPr="00251A53">
        <w:t>per cent</w:t>
      </w:r>
      <w:r w:rsidRPr="00251A53">
        <w:t xml:space="preserve">) reflects inadequacies at </w:t>
      </w:r>
      <w:r w:rsidR="00C32715" w:rsidRPr="00251A53">
        <w:t xml:space="preserve">the </w:t>
      </w:r>
      <w:r w:rsidRPr="00251A53">
        <w:t>primary level</w:t>
      </w:r>
      <w:r w:rsidR="0027305B" w:rsidRPr="00251A53">
        <w:t>, which</w:t>
      </w:r>
      <w:r w:rsidRPr="00251A53">
        <w:t xml:space="preserve"> require structural improvements in the quality and reach of education to fulfil rights and reali</w:t>
      </w:r>
      <w:r w:rsidR="0027305B" w:rsidRPr="00251A53">
        <w:t>z</w:t>
      </w:r>
      <w:r w:rsidRPr="00251A53">
        <w:t xml:space="preserve">e the country´s development potential. </w:t>
      </w:r>
      <w:r w:rsidR="0027305B" w:rsidRPr="00251A53">
        <w:t>U</w:t>
      </w:r>
      <w:r w:rsidRPr="00251A53">
        <w:t>npaid work in the care economy</w:t>
      </w:r>
      <w:r w:rsidR="0072554B" w:rsidRPr="00251A53">
        <w:t xml:space="preserve"> </w:t>
      </w:r>
      <w:r w:rsidRPr="00251A53">
        <w:t>constrains women</w:t>
      </w:r>
      <w:r w:rsidR="004471CF" w:rsidRPr="00251A53">
        <w:t>’</w:t>
      </w:r>
      <w:r w:rsidRPr="00251A53">
        <w:t>s ability to participate in remunerated activities,</w:t>
      </w:r>
      <w:r w:rsidR="007551F8" w:rsidRPr="00251A53">
        <w:rPr>
          <w:rStyle w:val="FootnoteReference"/>
        </w:rPr>
        <w:footnoteReference w:id="10"/>
      </w:r>
      <w:r w:rsidRPr="00251A53">
        <w:t xml:space="preserve"> highlighting the need for progressive care and social protection policies, particularly in early</w:t>
      </w:r>
      <w:r w:rsidR="007B6A87" w:rsidRPr="00251A53">
        <w:t>-childhood care and education.</w:t>
      </w:r>
    </w:p>
    <w:p w14:paraId="14F19518" w14:textId="77777777" w:rsidR="003E3551" w:rsidRPr="00251A53" w:rsidRDefault="009F1F0E" w:rsidP="003E3551">
      <w:pPr>
        <w:pStyle w:val="Num1para"/>
      </w:pPr>
      <w:r w:rsidRPr="00251A53">
        <w:t>Y</w:t>
      </w:r>
      <w:r w:rsidR="003E3551" w:rsidRPr="00251A53">
        <w:t xml:space="preserve">outh </w:t>
      </w:r>
      <w:r w:rsidRPr="00251A53">
        <w:t xml:space="preserve">are </w:t>
      </w:r>
      <w:r w:rsidR="003E3551" w:rsidRPr="00251A53">
        <w:t>particularly vulnerable</w:t>
      </w:r>
      <w:r w:rsidRPr="00251A53">
        <w:t xml:space="preserve"> due to high une</w:t>
      </w:r>
      <w:r w:rsidR="006A78DB" w:rsidRPr="00251A53">
        <w:t>mployment and high school drop</w:t>
      </w:r>
      <w:r w:rsidRPr="00251A53">
        <w:t>out rates</w:t>
      </w:r>
      <w:r w:rsidR="003E3551" w:rsidRPr="00251A53">
        <w:t xml:space="preserve">. </w:t>
      </w:r>
      <w:r w:rsidR="0013193F" w:rsidRPr="00251A53">
        <w:t>S</w:t>
      </w:r>
      <w:r w:rsidR="003E3551" w:rsidRPr="00251A53">
        <w:t>urgin</w:t>
      </w:r>
      <w:r w:rsidR="0013193F" w:rsidRPr="00251A53">
        <w:t>g</w:t>
      </w:r>
      <w:r w:rsidR="003E3551" w:rsidRPr="00251A53">
        <w:t xml:space="preserve"> crime and violence disproportionately </w:t>
      </w:r>
      <w:r w:rsidR="001A4499" w:rsidRPr="00251A53">
        <w:t>affect</w:t>
      </w:r>
      <w:r w:rsidR="003E3551" w:rsidRPr="00251A53">
        <w:t xml:space="preserve"> young people, women and girls, threatening social cohesion and investment, </w:t>
      </w:r>
      <w:r w:rsidR="0013193F" w:rsidRPr="00251A53">
        <w:t xml:space="preserve">and </w:t>
      </w:r>
      <w:r w:rsidR="003E3551" w:rsidRPr="00251A53">
        <w:t>perpetuating the cycle of poverty and inequality. Rising crime rates</w:t>
      </w:r>
      <w:r w:rsidR="007551F8" w:rsidRPr="00251A53">
        <w:rPr>
          <w:rStyle w:val="FootnoteReference"/>
        </w:rPr>
        <w:footnoteReference w:id="11"/>
      </w:r>
      <w:r w:rsidR="0072554B" w:rsidRPr="00251A53">
        <w:t xml:space="preserve"> </w:t>
      </w:r>
      <w:r w:rsidR="003E3551" w:rsidRPr="00251A53">
        <w:t xml:space="preserve">and drug use are associated with insufficient </w:t>
      </w:r>
      <w:r w:rsidR="004A71F7" w:rsidRPr="00251A53">
        <w:t xml:space="preserve">youth </w:t>
      </w:r>
      <w:r w:rsidR="003E3551" w:rsidRPr="00251A53">
        <w:t>employment and educational opportunities, as well as a deficit in civic participation by adolescents and youth, inadequate social and child protection systems, and justice system</w:t>
      </w:r>
      <w:r w:rsidR="00345AC3" w:rsidRPr="00251A53">
        <w:t xml:space="preserve"> limitations</w:t>
      </w:r>
      <w:r w:rsidR="003E3551" w:rsidRPr="00251A53">
        <w:t>, particularly regarding justice for children.</w:t>
      </w:r>
    </w:p>
    <w:p w14:paraId="12F178D0" w14:textId="4293480C" w:rsidR="003E3551" w:rsidRPr="00251A53" w:rsidRDefault="000C5825" w:rsidP="003E3551">
      <w:pPr>
        <w:pStyle w:val="Num1para"/>
      </w:pPr>
      <w:r>
        <w:t xml:space="preserve">While the </w:t>
      </w:r>
      <w:r w:rsidRPr="000C5825">
        <w:t xml:space="preserve">justice system </w:t>
      </w:r>
      <w:r>
        <w:t xml:space="preserve">continues to </w:t>
      </w:r>
      <w:r w:rsidR="00234C2B">
        <w:t xml:space="preserve">develop and </w:t>
      </w:r>
      <w:r>
        <w:t>evolve, i</w:t>
      </w:r>
      <w:r w:rsidR="003E3551" w:rsidRPr="00251A53">
        <w:t>nstitutional</w:t>
      </w:r>
      <w:r w:rsidR="00EC4384">
        <w:t xml:space="preserve"> capacity constraints</w:t>
      </w:r>
      <w:r w:rsidR="003E3551" w:rsidRPr="00251A53">
        <w:t xml:space="preserve"> </w:t>
      </w:r>
      <w:r w:rsidR="00234C2B">
        <w:t>continue to hinder</w:t>
      </w:r>
      <w:r w:rsidR="003E3551" w:rsidRPr="00251A53">
        <w:t xml:space="preserve"> access to and protection of citizens</w:t>
      </w:r>
      <w:r w:rsidR="004471CF" w:rsidRPr="00251A53">
        <w:t>’</w:t>
      </w:r>
      <w:r w:rsidR="003E3551" w:rsidRPr="00251A53">
        <w:t xml:space="preserve"> legal rights, particularly with respect to vulnerable individuals, notably women and youth, and children in contact with the law. The protection of children from neglect, abuse and sexual exploitation is a concern, particularly in the tourist sector and in </w:t>
      </w:r>
      <w:r w:rsidR="00D814EA" w:rsidRPr="00251A53">
        <w:t xml:space="preserve">a </w:t>
      </w:r>
      <w:r w:rsidR="003E3551" w:rsidRPr="00251A53">
        <w:t>context of population movements. The Cabo Verdean Institute for Children recorded a 59</w:t>
      </w:r>
      <w:r w:rsidR="004748EF" w:rsidRPr="00251A53">
        <w:t xml:space="preserve"> </w:t>
      </w:r>
      <w:r w:rsidR="00072C30" w:rsidRPr="00251A53">
        <w:t>per</w:t>
      </w:r>
      <w:r w:rsidR="004748EF" w:rsidRPr="00251A53">
        <w:t xml:space="preserve"> </w:t>
      </w:r>
      <w:r w:rsidR="00072C30" w:rsidRPr="00251A53">
        <w:t>cent</w:t>
      </w:r>
      <w:r w:rsidR="003E3551" w:rsidRPr="00251A53">
        <w:t xml:space="preserve"> rise in reported cases between 2012 and 2016, with limited investigation by the </w:t>
      </w:r>
      <w:r w:rsidR="002865E4" w:rsidRPr="00251A53">
        <w:t>j</w:t>
      </w:r>
      <w:r w:rsidR="003E3551" w:rsidRPr="00251A53">
        <w:t xml:space="preserve">udicial </w:t>
      </w:r>
      <w:r w:rsidR="002865E4" w:rsidRPr="00251A53">
        <w:t>p</w:t>
      </w:r>
      <w:r w:rsidR="003E3551" w:rsidRPr="00251A53">
        <w:t xml:space="preserve">olice. Victims are almost exclusively girls; nearly one third of cases occur within the family. A strong focus on restorative justice for children </w:t>
      </w:r>
      <w:r w:rsidR="00725F5A" w:rsidRPr="00251A53">
        <w:t xml:space="preserve">– </w:t>
      </w:r>
      <w:r w:rsidR="003E3551" w:rsidRPr="00251A53">
        <w:t>and enhanced linkages between the justice system, communities and child protection services</w:t>
      </w:r>
      <w:r w:rsidR="00725F5A" w:rsidRPr="00251A53">
        <w:t xml:space="preserve"> –</w:t>
      </w:r>
      <w:r w:rsidR="003E3551" w:rsidRPr="00251A53">
        <w:t xml:space="preserve"> are required to protect children and </w:t>
      </w:r>
      <w:r w:rsidR="00441EF0" w:rsidRPr="00251A53">
        <w:t xml:space="preserve">to </w:t>
      </w:r>
      <w:r w:rsidR="003E3551" w:rsidRPr="00251A53">
        <w:t xml:space="preserve">prevent vicious circles of youth criminality. The </w:t>
      </w:r>
      <w:r w:rsidR="00C003E5" w:rsidRPr="00251A53">
        <w:t xml:space="preserve">universal periodic review </w:t>
      </w:r>
      <w:r w:rsidR="00324B12" w:rsidRPr="00251A53">
        <w:t xml:space="preserve">of the Human Rights Council </w:t>
      </w:r>
      <w:r w:rsidR="003E3551" w:rsidRPr="00251A53">
        <w:t xml:space="preserve">recommended that appropriate instruments for juvenile justice be established, highlighting the slow administration of justice and the need to improve the response to violence against women. Gender-based violence affects one in five women; reported cases have risen since 2011. Capacity constraints in reach, targeting and monitoring of social protection and care services, particularly for vulnerable populations, </w:t>
      </w:r>
      <w:r w:rsidR="00C316D3" w:rsidRPr="00251A53">
        <w:t>could lead to</w:t>
      </w:r>
      <w:r w:rsidR="003E3551" w:rsidRPr="00251A53">
        <w:t xml:space="preserve"> specific population groups </w:t>
      </w:r>
      <w:r w:rsidR="00C316D3" w:rsidRPr="00251A53">
        <w:t>being</w:t>
      </w:r>
      <w:r w:rsidR="003E3551" w:rsidRPr="00251A53">
        <w:t xml:space="preserve"> left behind in the country</w:t>
      </w:r>
      <w:r w:rsidR="004471CF" w:rsidRPr="00251A53">
        <w:t>’</w:t>
      </w:r>
      <w:r w:rsidR="003E3551" w:rsidRPr="00251A53">
        <w:t>s development.</w:t>
      </w:r>
    </w:p>
    <w:p w14:paraId="54B474CA" w14:textId="6098E89E" w:rsidR="003E3551" w:rsidRPr="00251A53" w:rsidRDefault="00C546C8" w:rsidP="003E3551">
      <w:pPr>
        <w:pStyle w:val="Num1para"/>
      </w:pPr>
      <w:r w:rsidRPr="00251A53">
        <w:t xml:space="preserve">The engagement </w:t>
      </w:r>
      <w:r w:rsidR="003E3551" w:rsidRPr="00251A53">
        <w:t>and participation of citizens in democratic processes is low, particularly among women and young people. Turnout in recent elections averaged 63.8</w:t>
      </w:r>
      <w:r w:rsidR="00A03083" w:rsidRPr="00251A53">
        <w:t xml:space="preserve"> </w:t>
      </w:r>
      <w:r w:rsidR="00072C30" w:rsidRPr="00251A53">
        <w:t>per cent</w:t>
      </w:r>
      <w:r w:rsidR="003E3551" w:rsidRPr="00251A53">
        <w:t xml:space="preserve"> for parliament and 44.6 </w:t>
      </w:r>
      <w:r w:rsidR="00072C30" w:rsidRPr="00251A53">
        <w:t>per cent</w:t>
      </w:r>
      <w:r w:rsidR="003E3551" w:rsidRPr="00251A53">
        <w:t xml:space="preserve"> for </w:t>
      </w:r>
      <w:r w:rsidR="00B919A2" w:rsidRPr="00251A53">
        <w:t xml:space="preserve">the </w:t>
      </w:r>
      <w:r w:rsidR="003E3551" w:rsidRPr="00251A53">
        <w:t>presidential</w:t>
      </w:r>
      <w:r w:rsidR="00B919A2" w:rsidRPr="00251A53">
        <w:t xml:space="preserve"> election</w:t>
      </w:r>
      <w:r w:rsidR="003E3551" w:rsidRPr="00251A53">
        <w:t xml:space="preserve">. Youth </w:t>
      </w:r>
      <w:r w:rsidR="00B919A2" w:rsidRPr="00251A53">
        <w:t>constitute</w:t>
      </w:r>
      <w:r w:rsidR="003E3551" w:rsidRPr="00251A53">
        <w:t xml:space="preserve"> an estimated 57 </w:t>
      </w:r>
      <w:r w:rsidR="00072C30" w:rsidRPr="00251A53">
        <w:t>per cent</w:t>
      </w:r>
      <w:r w:rsidR="003E3551" w:rsidRPr="00251A53">
        <w:t xml:space="preserve"> of non-registered voters, and the majority of abstentions among registered voters are women. Women currently represent 23.6 </w:t>
      </w:r>
      <w:r w:rsidR="00072C30" w:rsidRPr="00251A53">
        <w:t>per cent</w:t>
      </w:r>
      <w:r w:rsidR="003E3551" w:rsidRPr="00251A53">
        <w:t xml:space="preserve"> of elected parliamentarians (up slightly from 20 </w:t>
      </w:r>
      <w:r w:rsidR="00072C30" w:rsidRPr="00251A53">
        <w:t>per cent</w:t>
      </w:r>
      <w:r w:rsidR="003E3551" w:rsidRPr="00251A53">
        <w:t xml:space="preserve"> in 2011) and 26 </w:t>
      </w:r>
      <w:r w:rsidR="00072C30" w:rsidRPr="00251A53">
        <w:t>per cent</w:t>
      </w:r>
      <w:r w:rsidR="00C6420E" w:rsidRPr="00251A53">
        <w:t xml:space="preserve"> of local councillors.</w:t>
      </w:r>
    </w:p>
    <w:p w14:paraId="134C5275" w14:textId="77777777" w:rsidR="00CF3D19" w:rsidRPr="00251A53" w:rsidRDefault="003E3551" w:rsidP="003E3551">
      <w:pPr>
        <w:pStyle w:val="Num1para"/>
      </w:pPr>
      <w:r w:rsidRPr="00251A53">
        <w:lastRenderedPageBreak/>
        <w:t>Despite impressive reductions in under-five child mortality (17.5</w:t>
      </w:r>
      <w:r w:rsidR="00C6420E" w:rsidRPr="00251A53">
        <w:t xml:space="preserve"> per </w:t>
      </w:r>
      <w:r w:rsidRPr="00251A53">
        <w:t>1,000</w:t>
      </w:r>
      <w:r w:rsidR="00C6420E" w:rsidRPr="00251A53">
        <w:t xml:space="preserve"> </w:t>
      </w:r>
      <w:r w:rsidR="000C0A6C" w:rsidRPr="00251A53">
        <w:t xml:space="preserve">live </w:t>
      </w:r>
      <w:r w:rsidR="00C6420E" w:rsidRPr="00251A53">
        <w:t>births</w:t>
      </w:r>
      <w:r w:rsidRPr="00251A53">
        <w:t>), social and regional inequalities persist in access to quality health services, including antenatal and perinatal care. Although maternal mortality declined to 9.4</w:t>
      </w:r>
      <w:r w:rsidR="00977061" w:rsidRPr="00251A53">
        <w:t xml:space="preserve"> per</w:t>
      </w:r>
      <w:r w:rsidR="000C0A6C" w:rsidRPr="00251A53">
        <w:t xml:space="preserve"> </w:t>
      </w:r>
      <w:r w:rsidRPr="00251A53">
        <w:t xml:space="preserve">100,000 </w:t>
      </w:r>
      <w:r w:rsidR="00C71260" w:rsidRPr="00251A53">
        <w:t xml:space="preserve">live births </w:t>
      </w:r>
      <w:r w:rsidRPr="00251A53">
        <w:t>in 2014, notable annual variations persist (37.9</w:t>
      </w:r>
      <w:r w:rsidR="000C0A6C" w:rsidRPr="00251A53">
        <w:t xml:space="preserve"> per </w:t>
      </w:r>
      <w:r w:rsidRPr="00251A53">
        <w:t>1</w:t>
      </w:r>
      <w:r w:rsidR="000C0A6C" w:rsidRPr="00251A53">
        <w:t>,</w:t>
      </w:r>
      <w:r w:rsidRPr="00251A53">
        <w:t>000 in 2013</w:t>
      </w:r>
      <w:r w:rsidR="000C0A6C" w:rsidRPr="00251A53">
        <w:t>;</w:t>
      </w:r>
      <w:r w:rsidRPr="00251A53">
        <w:t xml:space="preserve"> 47</w:t>
      </w:r>
      <w:r w:rsidR="000C0A6C" w:rsidRPr="00251A53">
        <w:t xml:space="preserve"> per </w:t>
      </w:r>
      <w:r w:rsidRPr="00251A53">
        <w:t>1,000 in 2015)</w:t>
      </w:r>
      <w:r w:rsidR="004A5D6B" w:rsidRPr="00251A53">
        <w:t>,</w:t>
      </w:r>
      <w:r w:rsidRPr="00251A53">
        <w:t xml:space="preserve"> indicating the need for continuous action to maintain gains. Anaemia is prevalent in 52 </w:t>
      </w:r>
      <w:r w:rsidR="00072C30" w:rsidRPr="00251A53">
        <w:t>per cent</w:t>
      </w:r>
      <w:r w:rsidRPr="00251A53">
        <w:t xml:space="preserve"> of under-fives, and perinatal mortality accounts for 60 </w:t>
      </w:r>
      <w:r w:rsidR="00072C30" w:rsidRPr="00251A53">
        <w:t>per cent</w:t>
      </w:r>
      <w:r w:rsidRPr="00251A53">
        <w:t xml:space="preserve"> of infant mortality. Nutrition that promotes early child</w:t>
      </w:r>
      <w:r w:rsidR="00FE7B9B" w:rsidRPr="00251A53">
        <w:t>hood</w:t>
      </w:r>
      <w:r w:rsidRPr="00251A53">
        <w:t xml:space="preserve"> development, </w:t>
      </w:r>
      <w:r w:rsidR="00C546C8" w:rsidRPr="00251A53">
        <w:t xml:space="preserve">the </w:t>
      </w:r>
      <w:r w:rsidRPr="00251A53">
        <w:t>introduction</w:t>
      </w:r>
      <w:r w:rsidR="00A03083" w:rsidRPr="00251A53">
        <w:t xml:space="preserve"> of new vaccines, access to pre</w:t>
      </w:r>
      <w:r w:rsidRPr="00251A53">
        <w:t xml:space="preserve">natal consultations and </w:t>
      </w:r>
      <w:r w:rsidR="00C71260" w:rsidRPr="00251A53">
        <w:t xml:space="preserve">an </w:t>
      </w:r>
      <w:r w:rsidRPr="00251A53">
        <w:t>emphasis on interventions in the first 1,000 days of life need to be enhanced if children are to reali</w:t>
      </w:r>
      <w:r w:rsidR="00C71260" w:rsidRPr="00251A53">
        <w:t>z</w:t>
      </w:r>
      <w:r w:rsidRPr="00251A53">
        <w:t xml:space="preserve">e their right to survive and develop. </w:t>
      </w:r>
    </w:p>
    <w:p w14:paraId="29F15030" w14:textId="720414BD" w:rsidR="003E3551" w:rsidRPr="00251A53" w:rsidRDefault="003E3551" w:rsidP="003E3551">
      <w:pPr>
        <w:pStyle w:val="Num1para"/>
      </w:pPr>
      <w:r w:rsidRPr="00251A53">
        <w:t xml:space="preserve">The large proportion of young people </w:t>
      </w:r>
      <w:r w:rsidR="000852BA" w:rsidRPr="00251A53">
        <w:t>highlights</w:t>
      </w:r>
      <w:r w:rsidRPr="00251A53">
        <w:t xml:space="preserve"> the need to focus on adolescent and youth health, particularly sexual and reproductive health</w:t>
      </w:r>
      <w:r w:rsidR="000852BA" w:rsidRPr="00251A53">
        <w:t>,</w:t>
      </w:r>
      <w:r w:rsidRPr="00251A53">
        <w:t xml:space="preserve"> where unmet needs for family planning stand at 23.3 </w:t>
      </w:r>
      <w:r w:rsidR="00072C30" w:rsidRPr="00251A53">
        <w:t>per cent</w:t>
      </w:r>
      <w:r w:rsidRPr="00251A53">
        <w:t xml:space="preserve"> for rural adolescents, and on empowering young people, particularly young women, to exercise their rights. Persistent adolescent pregnancy is linked to early sexual initiation without protection, the absence of comprehensive sex education, variable quality and accessibility of health services for youth, as well as gender inequality, poverty and social marginalization. Moreover, there is a need to increase the low demand for </w:t>
      </w:r>
      <w:r w:rsidR="000852BA" w:rsidRPr="00251A53">
        <w:t xml:space="preserve">sexual and reproductive health </w:t>
      </w:r>
      <w:r w:rsidRPr="00251A53">
        <w:t xml:space="preserve">services by the male adult population. </w:t>
      </w:r>
    </w:p>
    <w:p w14:paraId="299DFD02" w14:textId="77777777" w:rsidR="003E3551" w:rsidRPr="00251A53" w:rsidRDefault="003E3551" w:rsidP="003E3551">
      <w:pPr>
        <w:pStyle w:val="Num1para"/>
      </w:pPr>
      <w:r w:rsidRPr="00251A53">
        <w:t xml:space="preserve">The impact of </w:t>
      </w:r>
      <w:r w:rsidR="003A75FA" w:rsidRPr="00251A53">
        <w:t>climate change</w:t>
      </w:r>
      <w:r w:rsidR="00842CF5" w:rsidRPr="00251A53">
        <w:t>,</w:t>
      </w:r>
      <w:r w:rsidR="003A75FA" w:rsidRPr="00251A53">
        <w:t xml:space="preserve"> environmental degradation </w:t>
      </w:r>
      <w:r w:rsidR="00842CF5" w:rsidRPr="00251A53">
        <w:t xml:space="preserve">and </w:t>
      </w:r>
      <w:r w:rsidRPr="00251A53">
        <w:t>natural disasters (volcanic erupti</w:t>
      </w:r>
      <w:r w:rsidR="003A75FA" w:rsidRPr="00251A53">
        <w:t>ons, flash floods and droughts)</w:t>
      </w:r>
      <w:r w:rsidRPr="00251A53">
        <w:t xml:space="preserve"> on the country</w:t>
      </w:r>
      <w:r w:rsidR="004471CF" w:rsidRPr="00251A53">
        <w:t>’</w:t>
      </w:r>
      <w:r w:rsidR="003A75FA" w:rsidRPr="00251A53">
        <w:t>s small,</w:t>
      </w:r>
      <w:r w:rsidRPr="00251A53">
        <w:t xml:space="preserve"> tourism-dependent economy </w:t>
      </w:r>
      <w:r w:rsidR="004B09C4" w:rsidRPr="00251A53">
        <w:t xml:space="preserve">– </w:t>
      </w:r>
      <w:r w:rsidRPr="00251A53">
        <w:t xml:space="preserve">and </w:t>
      </w:r>
      <w:r w:rsidR="00842CF5" w:rsidRPr="00251A53">
        <w:t xml:space="preserve">on poor people’s </w:t>
      </w:r>
      <w:r w:rsidRPr="00251A53">
        <w:t>livelihoods and assets</w:t>
      </w:r>
      <w:r w:rsidR="004B09C4" w:rsidRPr="00251A53">
        <w:t xml:space="preserve"> –</w:t>
      </w:r>
      <w:r w:rsidRPr="00251A53">
        <w:t xml:space="preserve"> is potentially very high. National capacity limitations for developing a comprehensive approach to resilience and risk</w:t>
      </w:r>
      <w:r w:rsidR="00500782" w:rsidRPr="00251A53">
        <w:t>-</w:t>
      </w:r>
      <w:r w:rsidRPr="00251A53">
        <w:t>reduction, including strengthening the resilience of communities, particularly women and children, are putting development gains at risk and perpetuating poverty and inequality. Similarly, policy frameworks and institutional capacities need strengthening to effectively mitigate and manage the trade-offs required to accelerate foreign direct investment and economic growth in key sectors, such as tourism and fisheries, whil</w:t>
      </w:r>
      <w:r w:rsidR="00CE1D6D" w:rsidRPr="00251A53">
        <w:t>e</w:t>
      </w:r>
      <w:r w:rsidRPr="00251A53">
        <w:t xml:space="preserve"> promoting environmental sustainability and green and blue growth. The availability, affordability and sustainability of water and energy supplies</w:t>
      </w:r>
      <w:r w:rsidR="007C2DCC" w:rsidRPr="00251A53">
        <w:t>,</w:t>
      </w:r>
      <w:r w:rsidR="007C2DCC" w:rsidRPr="00251A53">
        <w:rPr>
          <w:bCs w:val="0"/>
          <w:spacing w:val="0"/>
          <w:w w:val="100"/>
          <w:kern w:val="0"/>
          <w:sz w:val="24"/>
          <w:szCs w:val="24"/>
        </w:rPr>
        <w:t xml:space="preserve"> </w:t>
      </w:r>
      <w:r w:rsidR="007C2DCC" w:rsidRPr="00251A53">
        <w:t xml:space="preserve">particularly in the context of climate-related risks, </w:t>
      </w:r>
      <w:r w:rsidRPr="00251A53">
        <w:t xml:space="preserve">are </w:t>
      </w:r>
      <w:r w:rsidR="007C2DCC" w:rsidRPr="00251A53">
        <w:t>significant</w:t>
      </w:r>
      <w:r w:rsidRPr="00251A53">
        <w:t xml:space="preserve"> constraint</w:t>
      </w:r>
      <w:r w:rsidR="007C2DCC" w:rsidRPr="00251A53">
        <w:t xml:space="preserve">s for development </w:t>
      </w:r>
      <w:r w:rsidRPr="00251A53">
        <w:t xml:space="preserve">and domestic and foreign investment, especially in the tourism sector. </w:t>
      </w:r>
    </w:p>
    <w:p w14:paraId="2CFFF8B7" w14:textId="5C6971F6" w:rsidR="003E3551" w:rsidRPr="00251A53" w:rsidRDefault="003E3551" w:rsidP="003E3551">
      <w:pPr>
        <w:pStyle w:val="Num1para"/>
      </w:pPr>
      <w:r w:rsidRPr="00251A53">
        <w:t>The need to reform public administration</w:t>
      </w:r>
      <w:r w:rsidR="00880B64" w:rsidRPr="00251A53">
        <w:t>,</w:t>
      </w:r>
      <w:r w:rsidRPr="00251A53">
        <w:t xml:space="preserve"> enabling it to act as an engine for inclusive, long-lasting and sustainable growth, underpins many of </w:t>
      </w:r>
      <w:r w:rsidR="00880B64" w:rsidRPr="00251A53">
        <w:t>the country’s</w:t>
      </w:r>
      <w:r w:rsidRPr="00251A53">
        <w:t xml:space="preserve"> development challenges. </w:t>
      </w:r>
      <w:r w:rsidR="008A1490" w:rsidRPr="00251A53">
        <w:t>This requires i</w:t>
      </w:r>
      <w:r w:rsidRPr="00251A53">
        <w:t>mprovements in data and information s</w:t>
      </w:r>
      <w:r w:rsidR="00824F2B" w:rsidRPr="00251A53">
        <w:t>ystems, linkages between policy</w:t>
      </w:r>
      <w:r w:rsidRPr="00251A53">
        <w:t xml:space="preserve">making, planning and implementation, and </w:t>
      </w:r>
      <w:r w:rsidR="008A1490" w:rsidRPr="00251A53">
        <w:t xml:space="preserve">results </w:t>
      </w:r>
      <w:r w:rsidRPr="00251A53">
        <w:t>monitoring</w:t>
      </w:r>
      <w:r w:rsidR="008A1490" w:rsidRPr="00251A53">
        <w:t xml:space="preserve"> in order</w:t>
      </w:r>
      <w:r w:rsidRPr="00251A53">
        <w:t xml:space="preserve"> to strengthen evidence-based and risk-informed decision-making and to effectively monitor poverty</w:t>
      </w:r>
      <w:r w:rsidR="007F6321" w:rsidRPr="00251A53">
        <w:t xml:space="preserve"> and</w:t>
      </w:r>
      <w:r w:rsidRPr="00251A53">
        <w:t xml:space="preserve"> inequality a</w:t>
      </w:r>
      <w:r w:rsidR="007F6321" w:rsidRPr="00251A53">
        <w:t>s well as</w:t>
      </w:r>
      <w:r w:rsidRPr="00251A53">
        <w:t xml:space="preserve"> progress towards the SDGs. </w:t>
      </w:r>
      <w:r w:rsidR="0032452A" w:rsidRPr="00251A53">
        <w:t>T</w:t>
      </w:r>
      <w:r w:rsidR="00790B1E" w:rsidRPr="00251A53">
        <w:t xml:space="preserve">he </w:t>
      </w:r>
      <w:r w:rsidRPr="00251A53">
        <w:t xml:space="preserve">geographic fragmentation </w:t>
      </w:r>
      <w:r w:rsidR="00790B1E" w:rsidRPr="00251A53">
        <w:t xml:space="preserve">of Cabo Verde </w:t>
      </w:r>
      <w:r w:rsidRPr="00251A53">
        <w:t xml:space="preserve">presents complex challenges for </w:t>
      </w:r>
      <w:r w:rsidR="00790B1E" w:rsidRPr="00251A53">
        <w:t xml:space="preserve">providing </w:t>
      </w:r>
      <w:r w:rsidRPr="00251A53">
        <w:t xml:space="preserve">universal access to basic services, managing natural resources and protecting the environment and biodiversity. </w:t>
      </w:r>
      <w:r w:rsidR="00C546C8" w:rsidRPr="00251A53">
        <w:t xml:space="preserve">The operationalization </w:t>
      </w:r>
      <w:r w:rsidRPr="00251A53">
        <w:t>of the country</w:t>
      </w:r>
      <w:r w:rsidR="00191C58" w:rsidRPr="00251A53">
        <w:t>’</w:t>
      </w:r>
      <w:r w:rsidRPr="00251A53">
        <w:t>s commitment to decentralization and territorial development, which could reduce regional disparities in growth, employment and service delivery and accelerate progress towards the SDGs, requires technical support for policy development, implementation and local government capacity-building.</w:t>
      </w:r>
    </w:p>
    <w:p w14:paraId="72F546CA" w14:textId="5445D2AB" w:rsidR="003E3551" w:rsidRPr="00251A53" w:rsidRDefault="003E3551" w:rsidP="003E3551">
      <w:pPr>
        <w:pStyle w:val="Num1para"/>
      </w:pPr>
      <w:r w:rsidRPr="00251A53">
        <w:t xml:space="preserve">In a graduated middle-income country, with relatively few resident development actors, UNDP, UNFPA and UNICEF represent highly relevant and strategic development partners, particularly in response to </w:t>
      </w:r>
      <w:r w:rsidR="004A72BD" w:rsidRPr="00251A53">
        <w:t xml:space="preserve">the 2030 </w:t>
      </w:r>
      <w:r w:rsidRPr="00251A53">
        <w:t xml:space="preserve">Agenda </w:t>
      </w:r>
      <w:r w:rsidR="004A72BD" w:rsidRPr="00251A53">
        <w:t>for Sustainable Development</w:t>
      </w:r>
      <w:r w:rsidRPr="00251A53">
        <w:t xml:space="preserve">, with comparative advantages in providing high-level, cross-sectoral, integrated and impartial policy advice, underpinned by human rights and international standards, and the capacity to mobilize and coordinate strategic partnerships. </w:t>
      </w:r>
    </w:p>
    <w:p w14:paraId="6CBEC29C" w14:textId="77777777" w:rsidR="004518B7" w:rsidRPr="00251A53" w:rsidRDefault="003E3551" w:rsidP="003E3551">
      <w:pPr>
        <w:pStyle w:val="Num1para"/>
      </w:pPr>
      <w:r w:rsidRPr="00251A53">
        <w:t xml:space="preserve">The evaluation of the previous country programme found that it played an important role in strengthening national capacities for achieving national development results and the </w:t>
      </w:r>
      <w:r w:rsidR="0070005F" w:rsidRPr="00251A53">
        <w:t>Millennium Development Goals</w:t>
      </w:r>
      <w:r w:rsidR="00913536" w:rsidRPr="00251A53">
        <w:t>.</w:t>
      </w:r>
      <w:r w:rsidR="004D4E5A" w:rsidRPr="00251A53">
        <w:rPr>
          <w:rStyle w:val="FootnoteReference"/>
        </w:rPr>
        <w:footnoteReference w:id="12"/>
      </w:r>
      <w:r w:rsidR="00913536" w:rsidRPr="00251A53">
        <w:t xml:space="preserve"> </w:t>
      </w:r>
      <w:r w:rsidR="007B40A4" w:rsidRPr="00251A53">
        <w:t>This</w:t>
      </w:r>
      <w:r w:rsidRPr="00251A53">
        <w:t xml:space="preserve"> contributed to increased </w:t>
      </w:r>
      <w:r w:rsidRPr="00251A53">
        <w:lastRenderedPageBreak/>
        <w:t xml:space="preserve">capacities in public finance and accountability, exemplified by improvements in public expenditure and financial accountability ratings </w:t>
      </w:r>
      <w:r w:rsidR="00616056" w:rsidRPr="00251A53">
        <w:t>(</w:t>
      </w:r>
      <w:r w:rsidRPr="00251A53">
        <w:t>from C+ to B</w:t>
      </w:r>
      <w:r w:rsidR="00616056" w:rsidRPr="00251A53">
        <w:t>)</w:t>
      </w:r>
      <w:r w:rsidR="007B40A4" w:rsidRPr="00251A53">
        <w:t xml:space="preserve">, and </w:t>
      </w:r>
      <w:r w:rsidRPr="00251A53">
        <w:t xml:space="preserve">enhanced investment in family planning </w:t>
      </w:r>
      <w:r w:rsidR="007B40A4" w:rsidRPr="00251A53">
        <w:t>(</w:t>
      </w:r>
      <w:r w:rsidRPr="00251A53">
        <w:t>through its inclusion in the national budget</w:t>
      </w:r>
      <w:r w:rsidR="00155FFB" w:rsidRPr="00251A53">
        <w:t>)</w:t>
      </w:r>
      <w:r w:rsidRPr="00251A53">
        <w:t xml:space="preserve">. It </w:t>
      </w:r>
      <w:r w:rsidR="0007223D" w:rsidRPr="00251A53">
        <w:t xml:space="preserve">also </w:t>
      </w:r>
      <w:r w:rsidRPr="00251A53">
        <w:t xml:space="preserve">contributed to better access to health and education, </w:t>
      </w:r>
      <w:r w:rsidR="0007223D" w:rsidRPr="00251A53">
        <w:t xml:space="preserve">as </w:t>
      </w:r>
      <w:r w:rsidRPr="00251A53">
        <w:t xml:space="preserve">illustrated by increases in institutional deliveries </w:t>
      </w:r>
      <w:r w:rsidR="0007223D" w:rsidRPr="00251A53">
        <w:t>(</w:t>
      </w:r>
      <w:r w:rsidRPr="00251A53">
        <w:t>from 78</w:t>
      </w:r>
      <w:r w:rsidR="00824F2B" w:rsidRPr="00251A53">
        <w:t xml:space="preserve"> </w:t>
      </w:r>
      <w:r w:rsidR="0007223D" w:rsidRPr="00251A53">
        <w:t xml:space="preserve">per cent </w:t>
      </w:r>
      <w:r w:rsidRPr="00251A53">
        <w:t>to 97</w:t>
      </w:r>
      <w:r w:rsidR="00824F2B" w:rsidRPr="00251A53">
        <w:t xml:space="preserve"> </w:t>
      </w:r>
      <w:r w:rsidR="00072C30" w:rsidRPr="00251A53">
        <w:t>per cent</w:t>
      </w:r>
      <w:r w:rsidR="0007223D" w:rsidRPr="00251A53">
        <w:t>)</w:t>
      </w:r>
      <w:r w:rsidRPr="00251A53">
        <w:t xml:space="preserve">, access to mother-to-child HIV prevention </w:t>
      </w:r>
      <w:r w:rsidR="00CB7798" w:rsidRPr="00251A53">
        <w:t>(now</w:t>
      </w:r>
      <w:r w:rsidRPr="00251A53">
        <w:t xml:space="preserve"> 98 </w:t>
      </w:r>
      <w:r w:rsidR="00072C30" w:rsidRPr="00251A53">
        <w:t>per cent</w:t>
      </w:r>
      <w:r w:rsidR="00CB7798" w:rsidRPr="00251A53">
        <w:t>)</w:t>
      </w:r>
      <w:r w:rsidRPr="00251A53">
        <w:t xml:space="preserve"> and the proportion of children </w:t>
      </w:r>
      <w:r w:rsidR="00CB7798" w:rsidRPr="00251A53">
        <w:t>aged 4-6</w:t>
      </w:r>
      <w:r w:rsidR="00824F2B" w:rsidRPr="00251A53">
        <w:t xml:space="preserve"> years attending pre</w:t>
      </w:r>
      <w:r w:rsidRPr="00251A53">
        <w:t xml:space="preserve">school </w:t>
      </w:r>
      <w:r w:rsidR="00C13E9F" w:rsidRPr="00251A53">
        <w:t>(</w:t>
      </w:r>
      <w:r w:rsidRPr="00251A53">
        <w:t>from 57</w:t>
      </w:r>
      <w:r w:rsidR="00824F2B" w:rsidRPr="00251A53">
        <w:t xml:space="preserve"> </w:t>
      </w:r>
      <w:r w:rsidR="00C13E9F" w:rsidRPr="00251A53">
        <w:t xml:space="preserve">per cent </w:t>
      </w:r>
      <w:r w:rsidRPr="00251A53">
        <w:t>to 85</w:t>
      </w:r>
      <w:r w:rsidR="00824F2B" w:rsidRPr="00251A53">
        <w:t xml:space="preserve"> </w:t>
      </w:r>
      <w:r w:rsidR="00072C30" w:rsidRPr="00251A53">
        <w:t>per cent</w:t>
      </w:r>
      <w:r w:rsidR="00AC5AEB" w:rsidRPr="00251A53">
        <w:t>)</w:t>
      </w:r>
      <w:r w:rsidRPr="00251A53">
        <w:t xml:space="preserve">. </w:t>
      </w:r>
    </w:p>
    <w:p w14:paraId="46A9AA12" w14:textId="6D3CC18C" w:rsidR="003E3551" w:rsidRPr="00251A53" w:rsidRDefault="003E3551" w:rsidP="003E3551">
      <w:pPr>
        <w:pStyle w:val="Num1para"/>
      </w:pPr>
      <w:r w:rsidRPr="00251A53">
        <w:t xml:space="preserve">Continuing investment is required in adolescent sexual and reproductive health and rights, the political participation of youth and women, and </w:t>
      </w:r>
      <w:r w:rsidR="00F65B1F" w:rsidRPr="00251A53">
        <w:t xml:space="preserve">the </w:t>
      </w:r>
      <w:r w:rsidRPr="00251A53">
        <w:t xml:space="preserve">strengthening of the justice system, particularly justice for children. </w:t>
      </w:r>
      <w:r w:rsidR="006D7AA2" w:rsidRPr="00251A53">
        <w:t>Guide</w:t>
      </w:r>
      <w:r w:rsidR="00063F13" w:rsidRPr="00251A53">
        <w:t>d</w:t>
      </w:r>
      <w:r w:rsidR="006D7AA2" w:rsidRPr="00251A53">
        <w:t xml:space="preserve"> by</w:t>
      </w:r>
      <w:r w:rsidR="00C13E9F" w:rsidRPr="00251A53">
        <w:t xml:space="preserve"> </w:t>
      </w:r>
      <w:r w:rsidR="00F65B1F" w:rsidRPr="00251A53">
        <w:t xml:space="preserve">2030 </w:t>
      </w:r>
      <w:r w:rsidRPr="00251A53">
        <w:t xml:space="preserve">Agenda imperatives, the </w:t>
      </w:r>
      <w:r w:rsidR="00C13E9F" w:rsidRPr="00251A53">
        <w:t>c</w:t>
      </w:r>
      <w:r w:rsidRPr="00251A53">
        <w:t xml:space="preserve">ountry </w:t>
      </w:r>
      <w:r w:rsidR="00C13E9F" w:rsidRPr="00251A53">
        <w:t>p</w:t>
      </w:r>
      <w:r w:rsidRPr="00251A53">
        <w:t>rogramme is designed as an integrated, cross-sectoral response by UNDP, UNFPA and UNICEF to the country</w:t>
      </w:r>
      <w:r w:rsidR="004471CF" w:rsidRPr="00251A53">
        <w:t>’</w:t>
      </w:r>
      <w:r w:rsidRPr="00251A53">
        <w:t>s complex development reality, tackling transformative areas that can have a multiplier effect for SDG achievement.</w:t>
      </w:r>
    </w:p>
    <w:p w14:paraId="75EE4396" w14:textId="77777777" w:rsidR="00B64FCB" w:rsidRPr="00251A53" w:rsidRDefault="00AC3CF7" w:rsidP="00126259">
      <w:pPr>
        <w:pStyle w:val="Heading1"/>
        <w:rPr>
          <w:noProof w:val="0"/>
          <w:lang w:val="en-GB"/>
        </w:rPr>
      </w:pPr>
      <w:bookmarkStart w:id="2" w:name="_Toc494799118"/>
      <w:r w:rsidRPr="00251A53">
        <w:rPr>
          <w:noProof w:val="0"/>
          <w:lang w:val="en-GB"/>
        </w:rPr>
        <w:t xml:space="preserve">Programme </w:t>
      </w:r>
      <w:r w:rsidR="007D0CF1" w:rsidRPr="00251A53">
        <w:rPr>
          <w:noProof w:val="0"/>
          <w:lang w:val="en-GB"/>
        </w:rPr>
        <w:t>p</w:t>
      </w:r>
      <w:r w:rsidRPr="00251A53">
        <w:rPr>
          <w:noProof w:val="0"/>
          <w:lang w:val="en-GB"/>
        </w:rPr>
        <w:t xml:space="preserve">riorities and </w:t>
      </w:r>
      <w:r w:rsidR="007D0CF1" w:rsidRPr="00251A53">
        <w:rPr>
          <w:noProof w:val="0"/>
          <w:lang w:val="en-GB"/>
        </w:rPr>
        <w:t>p</w:t>
      </w:r>
      <w:r w:rsidRPr="00251A53">
        <w:rPr>
          <w:noProof w:val="0"/>
          <w:lang w:val="en-GB"/>
        </w:rPr>
        <w:t>artnerships</w:t>
      </w:r>
      <w:bookmarkEnd w:id="2"/>
    </w:p>
    <w:p w14:paraId="50A3C388" w14:textId="0C3C1F3C" w:rsidR="003E3551" w:rsidRPr="00251A53" w:rsidRDefault="003E3551" w:rsidP="003E3551">
      <w:pPr>
        <w:pStyle w:val="Num1para"/>
      </w:pPr>
      <w:r w:rsidRPr="00251A53">
        <w:t xml:space="preserve">Inspired by the </w:t>
      </w:r>
      <w:r w:rsidR="00F65B1F" w:rsidRPr="00251A53">
        <w:t xml:space="preserve">2030 </w:t>
      </w:r>
      <w:r w:rsidRPr="00251A53">
        <w:t xml:space="preserve">Agenda </w:t>
      </w:r>
      <w:r w:rsidR="00E51FD8" w:rsidRPr="00251A53">
        <w:t>and responding to priorities of the PEDS</w:t>
      </w:r>
      <w:r w:rsidRPr="00251A53">
        <w:t xml:space="preserve">, the </w:t>
      </w:r>
      <w:r w:rsidR="003F4F82" w:rsidRPr="00251A53">
        <w:t xml:space="preserve">proposed </w:t>
      </w:r>
      <w:r w:rsidR="00416634" w:rsidRPr="00251A53">
        <w:t xml:space="preserve">common </w:t>
      </w:r>
      <w:r w:rsidR="003F4F82" w:rsidRPr="00251A53">
        <w:t>c</w:t>
      </w:r>
      <w:r w:rsidRPr="00251A53">
        <w:t xml:space="preserve">ountry </w:t>
      </w:r>
      <w:r w:rsidR="003F4F82" w:rsidRPr="00251A53">
        <w:t>p</w:t>
      </w:r>
      <w:r w:rsidRPr="00251A53">
        <w:t xml:space="preserve">rogramme was elaborated with national counterparts and development partners. </w:t>
      </w:r>
      <w:r w:rsidR="00416634" w:rsidRPr="00251A53">
        <w:t>It</w:t>
      </w:r>
      <w:r w:rsidRPr="00251A53">
        <w:t xml:space="preserve"> </w:t>
      </w:r>
      <w:r w:rsidR="00E51FD8" w:rsidRPr="00251A53">
        <w:t xml:space="preserve">is </w:t>
      </w:r>
      <w:r w:rsidRPr="00251A53">
        <w:t>align</w:t>
      </w:r>
      <w:r w:rsidR="00E51FD8" w:rsidRPr="00251A53">
        <w:t>ed</w:t>
      </w:r>
      <w:r w:rsidRPr="00251A53">
        <w:t xml:space="preserve"> with the United Nations Development Assistance Framework (UNDAF), 2018</w:t>
      </w:r>
      <w:r w:rsidR="00E51FD8" w:rsidRPr="00251A53">
        <w:noBreakHyphen/>
        <w:t>20</w:t>
      </w:r>
      <w:r w:rsidRPr="00251A53">
        <w:t xml:space="preserve">22, and with </w:t>
      </w:r>
      <w:r w:rsidR="00A16E82" w:rsidRPr="00251A53">
        <w:t xml:space="preserve">the respective </w:t>
      </w:r>
      <w:r w:rsidRPr="00251A53">
        <w:t>strategic plans</w:t>
      </w:r>
      <w:r w:rsidR="00A16E82" w:rsidRPr="00251A53">
        <w:t xml:space="preserve"> of UNDP, UNFPA and UNICEF</w:t>
      </w:r>
      <w:r w:rsidRPr="00251A53">
        <w:t xml:space="preserve">. Focusing on </w:t>
      </w:r>
      <w:r w:rsidR="00A16E82" w:rsidRPr="00251A53">
        <w:t>achieving</w:t>
      </w:r>
      <w:r w:rsidR="00824F2B" w:rsidRPr="00251A53">
        <w:t xml:space="preserve"> </w:t>
      </w:r>
      <w:r w:rsidR="00063F13" w:rsidRPr="00251A53">
        <w:t xml:space="preserve">all the </w:t>
      </w:r>
      <w:r w:rsidRPr="00251A53">
        <w:t>SDGs</w:t>
      </w:r>
      <w:r w:rsidR="00913536" w:rsidRPr="00251A53">
        <w:t>,</w:t>
      </w:r>
      <w:r w:rsidRPr="00251A53">
        <w:t xml:space="preserve"> it is anchored in the principles of gender equality, human rights, sustainability</w:t>
      </w:r>
      <w:r w:rsidR="00416634" w:rsidRPr="00251A53">
        <w:t>,</w:t>
      </w:r>
      <w:r w:rsidRPr="00251A53">
        <w:t xml:space="preserve"> resilience</w:t>
      </w:r>
      <w:r w:rsidR="00416634" w:rsidRPr="00251A53">
        <w:t xml:space="preserve">, and </w:t>
      </w:r>
      <w:r w:rsidR="00F65B1F" w:rsidRPr="00251A53">
        <w:t>“</w:t>
      </w:r>
      <w:r w:rsidR="00416634" w:rsidRPr="00251A53">
        <w:t>leaving no one behind</w:t>
      </w:r>
      <w:r w:rsidR="00F65B1F" w:rsidRPr="00251A53">
        <w:t>”</w:t>
      </w:r>
      <w:r w:rsidRPr="00251A53">
        <w:t xml:space="preserve">. It seeks to support Cabo Verde </w:t>
      </w:r>
      <w:r w:rsidR="00CD150F" w:rsidRPr="00251A53">
        <w:t>in</w:t>
      </w:r>
      <w:r w:rsidRPr="00251A53">
        <w:t xml:space="preserve"> creat</w:t>
      </w:r>
      <w:r w:rsidR="00CD150F" w:rsidRPr="00251A53">
        <w:t>ing</w:t>
      </w:r>
      <w:r w:rsidRPr="00251A53">
        <w:t xml:space="preserve"> an enabling policy environment </w:t>
      </w:r>
      <w:r w:rsidR="004E519F" w:rsidRPr="00251A53">
        <w:t>with</w:t>
      </w:r>
      <w:r w:rsidRPr="00251A53">
        <w:t xml:space="preserve"> </w:t>
      </w:r>
      <w:r w:rsidR="00CD150F" w:rsidRPr="00251A53">
        <w:t xml:space="preserve">the </w:t>
      </w:r>
      <w:r w:rsidRPr="00251A53">
        <w:t xml:space="preserve">preconditions </w:t>
      </w:r>
      <w:r w:rsidR="00CD150F" w:rsidRPr="00251A53">
        <w:t xml:space="preserve">necessary </w:t>
      </w:r>
      <w:r w:rsidRPr="00251A53">
        <w:t xml:space="preserve">to achieve </w:t>
      </w:r>
      <w:r w:rsidR="00CD150F" w:rsidRPr="00251A53">
        <w:t xml:space="preserve">its </w:t>
      </w:r>
      <w:r w:rsidRPr="00251A53">
        <w:t>national priority goals, protect development gains and reduce risks that could undermine its development trajectory, in line with the fully mainstreamed risk-reduction approach</w:t>
      </w:r>
      <w:r w:rsidR="00CD150F" w:rsidRPr="00251A53">
        <w:t xml:space="preserve"> of Agenda 2030</w:t>
      </w:r>
      <w:r w:rsidRPr="00251A53">
        <w:t>.</w:t>
      </w:r>
      <w:r w:rsidR="00CD150F" w:rsidRPr="00251A53">
        <w:t xml:space="preserve"> </w:t>
      </w:r>
    </w:p>
    <w:p w14:paraId="359123EE" w14:textId="77777777" w:rsidR="003E3551" w:rsidRPr="00251A53" w:rsidRDefault="003E3551" w:rsidP="003E3551">
      <w:pPr>
        <w:pStyle w:val="Num1para"/>
      </w:pPr>
      <w:r w:rsidRPr="00251A53">
        <w:t xml:space="preserve">Programme priorities </w:t>
      </w:r>
      <w:r w:rsidR="00CE7CB0" w:rsidRPr="00251A53">
        <w:t>spring</w:t>
      </w:r>
      <w:r w:rsidR="004E519F" w:rsidRPr="00251A53">
        <w:t xml:space="preserve"> from the Government’</w:t>
      </w:r>
      <w:r w:rsidRPr="00251A53">
        <w:t>s vision for accelerating inclusive economic growth, social development and sovereignty</w:t>
      </w:r>
      <w:r w:rsidR="004E519F" w:rsidRPr="00251A53">
        <w:t>,</w:t>
      </w:r>
      <w:r w:rsidRPr="00251A53">
        <w:t xml:space="preserve"> which can best be facilitated by harnessing the demographic dividend. Converting the demographic transition into sustainable and inclusive economic growth require</w:t>
      </w:r>
      <w:r w:rsidR="00CE7CB0" w:rsidRPr="00251A53">
        <w:t>s</w:t>
      </w:r>
      <w:r w:rsidRPr="00251A53">
        <w:t xml:space="preserve"> efforts to realize children</w:t>
      </w:r>
      <w:r w:rsidR="004471CF" w:rsidRPr="00251A53">
        <w:t>’</w:t>
      </w:r>
      <w:r w:rsidRPr="00251A53">
        <w:t xml:space="preserve">s rights, empower women and youth to participate more successfully in the labour market, and implement climate-smart, risk-informed strategies </w:t>
      </w:r>
      <w:r w:rsidR="00C06368" w:rsidRPr="00251A53">
        <w:t>that</w:t>
      </w:r>
      <w:r w:rsidRPr="00251A53">
        <w:t xml:space="preserve"> improve management of </w:t>
      </w:r>
      <w:r w:rsidR="005E70A0" w:rsidRPr="00251A53">
        <w:t xml:space="preserve">the </w:t>
      </w:r>
      <w:r w:rsidRPr="00251A53">
        <w:t>environment, natural resources and risk. Th</w:t>
      </w:r>
      <w:r w:rsidR="00C06368" w:rsidRPr="00251A53">
        <w:t>ese efforts</w:t>
      </w:r>
      <w:r w:rsidRPr="00251A53">
        <w:t xml:space="preserve"> will be underpinned by governance reforms that cons</w:t>
      </w:r>
      <w:r w:rsidR="004761D5" w:rsidRPr="00251A53">
        <w:t>olidate a modern and inclusive S</w:t>
      </w:r>
      <w:r w:rsidRPr="00251A53">
        <w:t xml:space="preserve">tate; an efficient, effective and locally </w:t>
      </w:r>
      <w:r w:rsidR="00824F2B" w:rsidRPr="00251A53">
        <w:t>responsive public administration;</w:t>
      </w:r>
      <w:r w:rsidRPr="00251A53">
        <w:t xml:space="preserve"> an enabling po</w:t>
      </w:r>
      <w:r w:rsidR="00824F2B" w:rsidRPr="00251A53">
        <w:t>licy and regulatory environment capable of mobiliz</w:t>
      </w:r>
      <w:r w:rsidRPr="00251A53">
        <w:t xml:space="preserve">ing strategic partnerships. </w:t>
      </w:r>
    </w:p>
    <w:p w14:paraId="1C1C2E0A" w14:textId="77777777" w:rsidR="008041D8" w:rsidRPr="00251A53" w:rsidRDefault="003E3551" w:rsidP="0078414A">
      <w:pPr>
        <w:pStyle w:val="Num1para"/>
      </w:pPr>
      <w:r w:rsidRPr="00251A53">
        <w:t xml:space="preserve">Programme components respond directly to strategic priorities of the PEDS, highlighted in the social, economic and sovereignty pillars, and to UNDAF outcomes. They </w:t>
      </w:r>
      <w:r w:rsidR="00BD5EDC" w:rsidRPr="00251A53">
        <w:t>reflect</w:t>
      </w:r>
      <w:r w:rsidRPr="00251A53">
        <w:t xml:space="preserve"> a national approach</w:t>
      </w:r>
      <w:r w:rsidR="00BD5EDC" w:rsidRPr="00251A53">
        <w:t>,</w:t>
      </w:r>
      <w:r w:rsidRPr="00251A53">
        <w:t xml:space="preserve"> with a focus on specific local interventions in sele</w:t>
      </w:r>
      <w:r w:rsidR="000462FF" w:rsidRPr="00251A53">
        <w:t>cted municipalities, and a life</w:t>
      </w:r>
      <w:r w:rsidRPr="00251A53">
        <w:t>cycle approach</w:t>
      </w:r>
      <w:r w:rsidR="00BD5EDC" w:rsidRPr="00251A53">
        <w:t>,</w:t>
      </w:r>
      <w:r w:rsidRPr="00251A53">
        <w:t xml:space="preserve"> with adolescents, youth and women as the primary target groups, together with children and their caregivers. Working in partnership with the </w:t>
      </w:r>
      <w:r w:rsidR="00BD5EDC" w:rsidRPr="00251A53">
        <w:t>United Nations</w:t>
      </w:r>
      <w:r w:rsidRPr="00251A53">
        <w:t xml:space="preserve"> system</w:t>
      </w:r>
      <w:r w:rsidR="0082238D" w:rsidRPr="00251A53">
        <w:t xml:space="preserve"> – </w:t>
      </w:r>
      <w:r w:rsidRPr="00251A53">
        <w:t xml:space="preserve">particularly </w:t>
      </w:r>
      <w:r w:rsidR="00BD5EDC" w:rsidRPr="00251A53">
        <w:t>the</w:t>
      </w:r>
      <w:r w:rsidR="00322526" w:rsidRPr="00251A53">
        <w:t xml:space="preserve"> International Labour Organization</w:t>
      </w:r>
      <w:r w:rsidR="00BD5EDC" w:rsidRPr="00251A53">
        <w:t xml:space="preserve"> </w:t>
      </w:r>
      <w:r w:rsidR="00322526" w:rsidRPr="00251A53">
        <w:t>(</w:t>
      </w:r>
      <w:r w:rsidRPr="00251A53">
        <w:t>ILO</w:t>
      </w:r>
      <w:r w:rsidR="00322526" w:rsidRPr="00251A53">
        <w:t>)</w:t>
      </w:r>
      <w:r w:rsidRPr="00251A53">
        <w:t xml:space="preserve">, </w:t>
      </w:r>
      <w:r w:rsidR="001B7639" w:rsidRPr="00251A53">
        <w:t>United Nations Human Settlements Programme (</w:t>
      </w:r>
      <w:r w:rsidRPr="00251A53">
        <w:t>UN</w:t>
      </w:r>
      <w:r w:rsidR="00CD150F" w:rsidRPr="00251A53">
        <w:t>-</w:t>
      </w:r>
      <w:r w:rsidRPr="00251A53">
        <w:t>H</w:t>
      </w:r>
      <w:r w:rsidR="00CD150F" w:rsidRPr="00251A53">
        <w:t>abitat</w:t>
      </w:r>
      <w:r w:rsidR="001B7639" w:rsidRPr="00251A53">
        <w:t>)</w:t>
      </w:r>
      <w:r w:rsidRPr="00251A53">
        <w:t xml:space="preserve">, </w:t>
      </w:r>
      <w:r w:rsidR="00046033" w:rsidRPr="00251A53">
        <w:t>United Nations Industrial Development Organization (</w:t>
      </w:r>
      <w:r w:rsidRPr="00251A53">
        <w:t>UNIDO</w:t>
      </w:r>
      <w:r w:rsidR="00046033" w:rsidRPr="00251A53">
        <w:t>)</w:t>
      </w:r>
      <w:r w:rsidRPr="00251A53">
        <w:t xml:space="preserve">, </w:t>
      </w:r>
      <w:r w:rsidR="001F6B08" w:rsidRPr="00251A53">
        <w:t>United Nations Office on Drugs and Crime (</w:t>
      </w:r>
      <w:r w:rsidRPr="00251A53">
        <w:t>UNODC</w:t>
      </w:r>
      <w:r w:rsidR="001F6B08" w:rsidRPr="00251A53">
        <w:t>)</w:t>
      </w:r>
      <w:r w:rsidRPr="00251A53">
        <w:t xml:space="preserve">, </w:t>
      </w:r>
      <w:r w:rsidR="001F6B08" w:rsidRPr="00251A53">
        <w:t xml:space="preserve">United Nations Entity for Gender Equality and the Empowerment of Women </w:t>
      </w:r>
      <w:r w:rsidR="0082238D" w:rsidRPr="00251A53">
        <w:t>(</w:t>
      </w:r>
      <w:r w:rsidRPr="00251A53">
        <w:t>UN</w:t>
      </w:r>
      <w:r w:rsidR="002F0DB8" w:rsidRPr="00251A53">
        <w:t>-</w:t>
      </w:r>
      <w:r w:rsidRPr="00251A53">
        <w:t>W</w:t>
      </w:r>
      <w:r w:rsidR="002F0DB8" w:rsidRPr="00251A53">
        <w:t>omen</w:t>
      </w:r>
      <w:r w:rsidR="0082238D" w:rsidRPr="00251A53">
        <w:t>)</w:t>
      </w:r>
      <w:r w:rsidRPr="00251A53">
        <w:t xml:space="preserve"> and </w:t>
      </w:r>
      <w:r w:rsidR="0082238D" w:rsidRPr="00251A53">
        <w:t>World Health Organization (</w:t>
      </w:r>
      <w:r w:rsidRPr="00251A53">
        <w:t>WHO)</w:t>
      </w:r>
      <w:r w:rsidR="0082238D" w:rsidRPr="00251A53">
        <w:t xml:space="preserve"> –</w:t>
      </w:r>
      <w:r w:rsidRPr="00251A53">
        <w:t xml:space="preserve"> the programme will support cross-sectoral approaches to SDG achievement, strengthening planning, data, monitoring and evaluation systems to monitor SDG progress. </w:t>
      </w:r>
    </w:p>
    <w:p w14:paraId="001F018A" w14:textId="77777777" w:rsidR="003E3551" w:rsidRPr="00251A53" w:rsidRDefault="003E3551" w:rsidP="0078414A">
      <w:pPr>
        <w:pStyle w:val="Num1para"/>
      </w:pPr>
      <w:r w:rsidRPr="00251A53">
        <w:t>A gender lens will be applied throughout all programming areas</w:t>
      </w:r>
      <w:r w:rsidR="00736FAC" w:rsidRPr="00251A53">
        <w:t>,</w:t>
      </w:r>
      <w:r w:rsidRPr="00251A53">
        <w:t xml:space="preserve"> </w:t>
      </w:r>
      <w:r w:rsidR="00736FAC" w:rsidRPr="00251A53">
        <w:t>with</w:t>
      </w:r>
      <w:r w:rsidRPr="00251A53">
        <w:t xml:space="preserve"> an estimated 15 </w:t>
      </w:r>
      <w:r w:rsidR="00072C30" w:rsidRPr="00251A53">
        <w:t>per cent</w:t>
      </w:r>
      <w:r w:rsidRPr="00251A53">
        <w:t xml:space="preserve"> of the budget used to advance gender equality. Programme interventions will focus on policy advisory services, advocacy and institutional capacity</w:t>
      </w:r>
      <w:r w:rsidR="00A16264" w:rsidRPr="00251A53">
        <w:t>-</w:t>
      </w:r>
      <w:r w:rsidRPr="00251A53">
        <w:t xml:space="preserve">building. </w:t>
      </w:r>
      <w:r w:rsidR="00836940" w:rsidRPr="00251A53">
        <w:t>T</w:t>
      </w:r>
      <w:r w:rsidRPr="00251A53">
        <w:t xml:space="preserve">he </w:t>
      </w:r>
      <w:r w:rsidR="00A16264" w:rsidRPr="00251A53">
        <w:t>p</w:t>
      </w:r>
      <w:r w:rsidRPr="00251A53">
        <w:t>rogramme will mainstream resilience, emergency preparedness and response across all components while supporting the Government</w:t>
      </w:r>
      <w:r w:rsidR="004471CF" w:rsidRPr="00251A53">
        <w:t>’</w:t>
      </w:r>
      <w:r w:rsidRPr="00251A53">
        <w:t>s decentralization agenda. In each component, existing partnerships with key government s</w:t>
      </w:r>
      <w:r w:rsidR="000462FF" w:rsidRPr="00251A53">
        <w:t>ectors, United Nations agencies</w:t>
      </w:r>
      <w:r w:rsidRPr="00251A53">
        <w:t xml:space="preserve"> and development partners will be strengthened. Emphasis will be placed on reinforcing partnerships with the private sector, multilateral and bilateral organizations (including global and South-South </w:t>
      </w:r>
      <w:r w:rsidR="00836940" w:rsidRPr="00251A53">
        <w:t>cooperation</w:t>
      </w:r>
      <w:r w:rsidRPr="00251A53">
        <w:t xml:space="preserve">), and civil society organizations, promoting </w:t>
      </w:r>
      <w:r w:rsidRPr="00251A53">
        <w:lastRenderedPageBreak/>
        <w:t>innovative and integrated financing frameworks that align financing with planning</w:t>
      </w:r>
      <w:r w:rsidR="0078414A" w:rsidRPr="00251A53">
        <w:t>,</w:t>
      </w:r>
      <w:r w:rsidRPr="00251A53">
        <w:t xml:space="preserve"> in line with the </w:t>
      </w:r>
      <w:r w:rsidR="0078414A" w:rsidRPr="00251A53">
        <w:t>Addis Ababa Action Agenda of the Third International Conference on Financing for Development</w:t>
      </w:r>
      <w:r w:rsidRPr="00251A53">
        <w:t>.</w:t>
      </w:r>
    </w:p>
    <w:p w14:paraId="408ABEAF" w14:textId="77777777" w:rsidR="00A765F9" w:rsidRPr="00251A53" w:rsidRDefault="00DF6FD6" w:rsidP="00202FC2">
      <w:pPr>
        <w:pStyle w:val="Heading4"/>
      </w:pPr>
      <w:r w:rsidRPr="00251A53">
        <w:t>Priority 1</w:t>
      </w:r>
      <w:r w:rsidR="003E3551" w:rsidRPr="00251A53">
        <w:t>: Sustainab</w:t>
      </w:r>
      <w:r w:rsidR="003A3F6D" w:rsidRPr="00251A53">
        <w:t xml:space="preserve">le development of human capital </w:t>
      </w:r>
      <w:r w:rsidR="003E3551" w:rsidRPr="00251A53">
        <w:t>(SDGs 1, 3, 4, 5, 8, 10)</w:t>
      </w:r>
    </w:p>
    <w:p w14:paraId="25C21838" w14:textId="16AD2DC3" w:rsidR="00B26E87" w:rsidRPr="00251A53" w:rsidRDefault="00B26E87" w:rsidP="0055171C">
      <w:pPr>
        <w:pStyle w:val="Num1para"/>
      </w:pPr>
      <w:r w:rsidRPr="00251A53">
        <w:t xml:space="preserve">The programme will </w:t>
      </w:r>
      <w:r w:rsidR="00453757" w:rsidRPr="00251A53">
        <w:t>pursue</w:t>
      </w:r>
      <w:r w:rsidRPr="00251A53">
        <w:t xml:space="preserve"> an equity approach and </w:t>
      </w:r>
      <w:r w:rsidR="00453757" w:rsidRPr="00251A53">
        <w:t>the</w:t>
      </w:r>
      <w:r w:rsidR="000462FF" w:rsidRPr="00251A53">
        <w:t xml:space="preserve"> </w:t>
      </w:r>
      <w:r w:rsidR="00DB5DC6" w:rsidRPr="00251A53">
        <w:t>“</w:t>
      </w:r>
      <w:r w:rsidR="000462FF" w:rsidRPr="00251A53">
        <w:t xml:space="preserve">leave no </w:t>
      </w:r>
      <w:r w:rsidRPr="00251A53">
        <w:t xml:space="preserve">one </w:t>
      </w:r>
      <w:r w:rsidR="00DB5DC6" w:rsidRPr="00251A53">
        <w:t xml:space="preserve">behind” </w:t>
      </w:r>
      <w:r w:rsidRPr="00251A53">
        <w:t>principle</w:t>
      </w:r>
      <w:r w:rsidR="0035144F" w:rsidRPr="00251A53">
        <w:t>, addressing multidimensional poverty and inequality,</w:t>
      </w:r>
      <w:r w:rsidRPr="00251A53">
        <w:t xml:space="preserve"> </w:t>
      </w:r>
      <w:r w:rsidR="00453757" w:rsidRPr="00251A53">
        <w:t>by</w:t>
      </w:r>
      <w:r w:rsidRPr="00251A53">
        <w:t xml:space="preserve"> </w:t>
      </w:r>
      <w:r w:rsidR="0055734A" w:rsidRPr="00251A53">
        <w:t xml:space="preserve">promoting </w:t>
      </w:r>
      <w:r w:rsidR="00DB5DC6" w:rsidRPr="00251A53">
        <w:t xml:space="preserve">the </w:t>
      </w:r>
      <w:r w:rsidR="0055734A" w:rsidRPr="00251A53">
        <w:t xml:space="preserve">use of and </w:t>
      </w:r>
      <w:r w:rsidRPr="00251A53">
        <w:t xml:space="preserve">improving access to </w:t>
      </w:r>
      <w:r w:rsidR="00894FBA" w:rsidRPr="00251A53">
        <w:t>high-</w:t>
      </w:r>
      <w:r w:rsidRPr="00251A53">
        <w:t>quality, gender-sensitive, integrated and complementary education, health</w:t>
      </w:r>
      <w:r w:rsidR="00B139BF" w:rsidRPr="00251A53">
        <w:t>,</w:t>
      </w:r>
      <w:r w:rsidRPr="00251A53">
        <w:t xml:space="preserve"> social and child-protecti</w:t>
      </w:r>
      <w:r w:rsidR="003F41B7" w:rsidRPr="00251A53">
        <w:t>on services throughout the lifecycle</w:t>
      </w:r>
      <w:r w:rsidRPr="00251A53">
        <w:t xml:space="preserve">. </w:t>
      </w:r>
      <w:r w:rsidR="00B139BF" w:rsidRPr="00251A53">
        <w:t>It</w:t>
      </w:r>
      <w:r w:rsidRPr="00251A53">
        <w:t xml:space="preserve"> will leverage partnerships with </w:t>
      </w:r>
      <w:r w:rsidR="0055171C" w:rsidRPr="00251A53">
        <w:t>the United Nations Educational, Scientific and Cultural Organization (</w:t>
      </w:r>
      <w:r w:rsidRPr="00251A53">
        <w:t>UNESCO</w:t>
      </w:r>
      <w:r w:rsidR="0055171C" w:rsidRPr="00251A53">
        <w:t>)</w:t>
      </w:r>
      <w:r w:rsidRPr="00251A53">
        <w:t>, UN</w:t>
      </w:r>
      <w:r w:rsidR="003F41B7" w:rsidRPr="00251A53">
        <w:t>-</w:t>
      </w:r>
      <w:r w:rsidRPr="00251A53">
        <w:t>W</w:t>
      </w:r>
      <w:r w:rsidR="003F41B7" w:rsidRPr="00251A53">
        <w:t>omen</w:t>
      </w:r>
      <w:r w:rsidRPr="00251A53">
        <w:t xml:space="preserve">, WHO, the World Bank, </w:t>
      </w:r>
      <w:r w:rsidR="0055171C" w:rsidRPr="00251A53">
        <w:t>i</w:t>
      </w:r>
      <w:r w:rsidRPr="00251A53">
        <w:t xml:space="preserve">nternational </w:t>
      </w:r>
      <w:r w:rsidR="0055171C" w:rsidRPr="00251A53">
        <w:t xml:space="preserve">non-governmental organizations </w:t>
      </w:r>
      <w:r w:rsidR="00AC4DB3" w:rsidRPr="00251A53">
        <w:t>(</w:t>
      </w:r>
      <w:r w:rsidRPr="00251A53">
        <w:t>NGOs</w:t>
      </w:r>
      <w:r w:rsidR="00AC4DB3" w:rsidRPr="00251A53">
        <w:t>)</w:t>
      </w:r>
      <w:r w:rsidRPr="00251A53">
        <w:t xml:space="preserve"> and foundations, and support access to the Global Partnership for Education. Conceptual and methodological tools will be developed for revising key sector policies and stimulating transformative and measurable change in </w:t>
      </w:r>
      <w:r w:rsidR="003F41B7" w:rsidRPr="00251A53">
        <w:t>three</w:t>
      </w:r>
      <w:r w:rsidRPr="00251A53">
        <w:t xml:space="preserve"> interlinked areas: </w:t>
      </w:r>
    </w:p>
    <w:p w14:paraId="2227D9A3" w14:textId="7FF02FE2" w:rsidR="00B26E87" w:rsidRPr="00251A53" w:rsidRDefault="00B26E87" w:rsidP="00CF074D">
      <w:pPr>
        <w:pStyle w:val="Numapara"/>
      </w:pPr>
      <w:r w:rsidRPr="00251A53">
        <w:t xml:space="preserve">Strengthening the technical capacity of the Ministry of Health and NGOs to enhance </w:t>
      </w:r>
      <w:r w:rsidR="004700F9" w:rsidRPr="00251A53">
        <w:t xml:space="preserve">the </w:t>
      </w:r>
      <w:r w:rsidR="00AC4DB3" w:rsidRPr="00251A53">
        <w:t xml:space="preserve">use of and </w:t>
      </w:r>
      <w:r w:rsidRPr="00251A53">
        <w:t>equitabl</w:t>
      </w:r>
      <w:r w:rsidR="00271D10" w:rsidRPr="00251A53">
        <w:t>e access to gender-</w:t>
      </w:r>
      <w:r w:rsidRPr="00251A53">
        <w:t xml:space="preserve">sensitive child, adolescent and maternal health services, and improve participation in </w:t>
      </w:r>
      <w:r w:rsidR="000852BA" w:rsidRPr="00251A53">
        <w:t xml:space="preserve">sexual and reproductive health </w:t>
      </w:r>
      <w:r w:rsidRPr="00251A53">
        <w:t xml:space="preserve">services, focusing on integrated services for adolescents, including </w:t>
      </w:r>
      <w:r w:rsidR="004700F9" w:rsidRPr="00251A53">
        <w:t xml:space="preserve">the </w:t>
      </w:r>
      <w:r w:rsidRPr="00251A53">
        <w:t>prevention</w:t>
      </w:r>
      <w:r w:rsidR="006C77B2" w:rsidRPr="00251A53">
        <w:t xml:space="preserve"> of HIV and sexually transmitted diseases</w:t>
      </w:r>
      <w:r w:rsidRPr="00251A53">
        <w:t>;</w:t>
      </w:r>
    </w:p>
    <w:p w14:paraId="6DD50C04" w14:textId="77777777" w:rsidR="00B26E87" w:rsidRPr="00251A53" w:rsidRDefault="00B26E87" w:rsidP="00CF074D">
      <w:pPr>
        <w:pStyle w:val="Numapara"/>
      </w:pPr>
      <w:r w:rsidRPr="00251A53">
        <w:t xml:space="preserve">Enhancing the </w:t>
      </w:r>
      <w:r w:rsidR="006C77B2" w:rsidRPr="00251A53">
        <w:t xml:space="preserve">capacity of the </w:t>
      </w:r>
      <w:r w:rsidRPr="00251A53">
        <w:t>Ministry of Education to promote universa</w:t>
      </w:r>
      <w:r w:rsidR="00271D10" w:rsidRPr="00251A53">
        <w:t>l pre</w:t>
      </w:r>
      <w:r w:rsidRPr="00251A53">
        <w:t xml:space="preserve">school education, successful transition to secondary school and the delivery of </w:t>
      </w:r>
      <w:r w:rsidR="006C77B2" w:rsidRPr="00251A53">
        <w:t>high-</w:t>
      </w:r>
      <w:r w:rsidRPr="00251A53">
        <w:t>quality education and training services</w:t>
      </w:r>
      <w:r w:rsidR="006C77B2" w:rsidRPr="00251A53">
        <w:t>,</w:t>
      </w:r>
      <w:r w:rsidRPr="00251A53">
        <w:t xml:space="preserve"> to improve employment opportunities for young people; </w:t>
      </w:r>
    </w:p>
    <w:p w14:paraId="213AF270" w14:textId="0CC15C3F" w:rsidR="00B26E87" w:rsidRPr="00251A53" w:rsidRDefault="00B26E87" w:rsidP="00CF074D">
      <w:pPr>
        <w:pStyle w:val="Numapara"/>
      </w:pPr>
      <w:r w:rsidRPr="00251A53">
        <w:t>Increasing</w:t>
      </w:r>
      <w:r w:rsidR="004C2002" w:rsidRPr="00251A53">
        <w:t xml:space="preserve"> investment in child protection</w:t>
      </w:r>
      <w:r w:rsidRPr="00251A53">
        <w:t xml:space="preserve"> by strengthening national capacities to improve stakeholder coordination, aligning national policies and systems for children</w:t>
      </w:r>
      <w:r w:rsidR="004471CF" w:rsidRPr="00251A53">
        <w:t>’</w:t>
      </w:r>
      <w:r w:rsidRPr="00251A53">
        <w:t xml:space="preserve">s rights with international standards, enhancing prevention and a holistic response to </w:t>
      </w:r>
      <w:r w:rsidR="004700F9" w:rsidRPr="00251A53">
        <w:t xml:space="preserve">the </w:t>
      </w:r>
      <w:r w:rsidRPr="00251A53">
        <w:t xml:space="preserve">sexual abuse and exploitation of children and improving parental practices for early childhood development. </w:t>
      </w:r>
    </w:p>
    <w:p w14:paraId="6D736543" w14:textId="77777777" w:rsidR="00A765F9" w:rsidRPr="00251A53" w:rsidRDefault="005C59FA" w:rsidP="00202FC2">
      <w:pPr>
        <w:pStyle w:val="Heading4"/>
      </w:pPr>
      <w:r w:rsidRPr="00251A53">
        <w:t xml:space="preserve">Priority </w:t>
      </w:r>
      <w:r w:rsidR="00DF6FD6" w:rsidRPr="00251A53">
        <w:t>2</w:t>
      </w:r>
      <w:r w:rsidRPr="00251A53">
        <w:t>: Sustainable management of natural resources</w:t>
      </w:r>
      <w:r w:rsidR="00202FC2" w:rsidRPr="00251A53">
        <w:t xml:space="preserve"> </w:t>
      </w:r>
      <w:r w:rsidR="00DF6FD6" w:rsidRPr="00251A53">
        <w:br/>
      </w:r>
      <w:r w:rsidRPr="00251A53">
        <w:t xml:space="preserve">(SDGs </w:t>
      </w:r>
      <w:r w:rsidRPr="00251A53">
        <w:rPr>
          <w:bCs/>
        </w:rPr>
        <w:t>1, 2, 3, 6, 7, 9, 11, 12, 13, 14, 15)</w:t>
      </w:r>
    </w:p>
    <w:p w14:paraId="7F00AC7A" w14:textId="77777777" w:rsidR="005C59FA" w:rsidRPr="00251A53" w:rsidRDefault="00055E8E" w:rsidP="005C59FA">
      <w:pPr>
        <w:pStyle w:val="Num1para"/>
      </w:pPr>
      <w:r w:rsidRPr="00251A53">
        <w:t xml:space="preserve">The </w:t>
      </w:r>
      <w:r w:rsidR="005C59FA" w:rsidRPr="00251A53">
        <w:t xml:space="preserve">development trajectory and reduction of poverty and inequality </w:t>
      </w:r>
      <w:r w:rsidRPr="00251A53">
        <w:t xml:space="preserve">in Cabo Verde </w:t>
      </w:r>
      <w:r w:rsidR="005C59FA" w:rsidRPr="00251A53">
        <w:t>are inexorably linked to its capacity to sustainably mitigate and manage risks and natural resources.</w:t>
      </w:r>
      <w:r w:rsidR="00CB6A38" w:rsidRPr="00251A53">
        <w:t xml:space="preserve"> W</w:t>
      </w:r>
      <w:r w:rsidR="005C59FA" w:rsidRPr="00251A53">
        <w:t xml:space="preserve">hile </w:t>
      </w:r>
      <w:r w:rsidR="00F71204" w:rsidRPr="00251A53">
        <w:t>helping</w:t>
      </w:r>
      <w:r w:rsidR="005C59FA" w:rsidRPr="00251A53">
        <w:t xml:space="preserve"> Cabo Verde to strengthen partnerships and access global financing mechanisms</w:t>
      </w:r>
      <w:r w:rsidR="00CB6A38" w:rsidRPr="00251A53">
        <w:t xml:space="preserve"> (</w:t>
      </w:r>
      <w:r w:rsidR="005C59FA" w:rsidRPr="00251A53">
        <w:t>such as the Global Environmental Facility and the Green Climate Fund</w:t>
      </w:r>
      <w:r w:rsidR="00CB6A38" w:rsidRPr="00251A53">
        <w:t>)</w:t>
      </w:r>
      <w:r w:rsidR="005C59FA" w:rsidRPr="00251A53">
        <w:t xml:space="preserve">, </w:t>
      </w:r>
      <w:r w:rsidR="00F71204" w:rsidRPr="00251A53">
        <w:t>t</w:t>
      </w:r>
      <w:r w:rsidR="00CB6A38" w:rsidRPr="00251A53">
        <w:t xml:space="preserve">he programme </w:t>
      </w:r>
      <w:r w:rsidR="005C59FA" w:rsidRPr="00251A53">
        <w:t>will</w:t>
      </w:r>
      <w:r w:rsidR="003F112B" w:rsidRPr="00251A53">
        <w:t xml:space="preserve"> focus</w:t>
      </w:r>
      <w:r w:rsidR="00F71204" w:rsidRPr="00251A53">
        <w:t xml:space="preserve">, in collaboration with the Food and Agriculture Organization of the United Nations (FAO), </w:t>
      </w:r>
      <w:r w:rsidR="0099172F" w:rsidRPr="00251A53">
        <w:t>United Nations Environment Programme (</w:t>
      </w:r>
      <w:r w:rsidR="00F71204" w:rsidRPr="00251A53">
        <w:t>UNEP</w:t>
      </w:r>
      <w:r w:rsidR="0099172F" w:rsidRPr="00251A53">
        <w:t>)</w:t>
      </w:r>
      <w:r w:rsidR="00F71204" w:rsidRPr="00251A53">
        <w:t>, UNIDO and UN-Habitat,</w:t>
      </w:r>
      <w:r w:rsidR="003F112B" w:rsidRPr="00251A53">
        <w:t xml:space="preserve"> on three interlinked social, economic and governance priorities</w:t>
      </w:r>
      <w:r w:rsidR="005C59FA" w:rsidRPr="00251A53">
        <w:t>:</w:t>
      </w:r>
    </w:p>
    <w:p w14:paraId="57E5CF50" w14:textId="70FC9E85" w:rsidR="005C59FA" w:rsidRPr="00251A53" w:rsidRDefault="005C59FA" w:rsidP="00DB16F3">
      <w:pPr>
        <w:pStyle w:val="Numapara"/>
        <w:numPr>
          <w:ilvl w:val="0"/>
          <w:numId w:val="39"/>
        </w:numPr>
        <w:ind w:left="1260" w:firstLine="0"/>
      </w:pPr>
      <w:r w:rsidRPr="00251A53">
        <w:t xml:space="preserve">Implementing the national disaster-risk reduction strategy </w:t>
      </w:r>
      <w:r w:rsidR="0099172F" w:rsidRPr="00251A53">
        <w:t>by</w:t>
      </w:r>
      <w:r w:rsidRPr="00251A53">
        <w:t xml:space="preserve"> strengthening institutional capacities for risk-informed planning and financing of development and </w:t>
      </w:r>
      <w:r w:rsidR="00DE74D2" w:rsidRPr="00251A53">
        <w:t>improving</w:t>
      </w:r>
      <w:r w:rsidRPr="00251A53">
        <w:t xml:space="preserve"> emergency preparedness, resilience-building, response and recovery</w:t>
      </w:r>
      <w:r w:rsidR="00A70B3C" w:rsidRPr="00251A53">
        <w:t xml:space="preserve"> and</w:t>
      </w:r>
      <w:r w:rsidRPr="00251A53">
        <w:t xml:space="preserve"> </w:t>
      </w:r>
      <w:r w:rsidR="00DE74D2" w:rsidRPr="00251A53">
        <w:t xml:space="preserve">mainstreaming </w:t>
      </w:r>
      <w:r w:rsidRPr="00251A53">
        <w:t>child</w:t>
      </w:r>
      <w:r w:rsidR="00546A93" w:rsidRPr="00251A53">
        <w:t>-</w:t>
      </w:r>
      <w:r w:rsidRPr="00251A53">
        <w:t xml:space="preserve"> and gender</w:t>
      </w:r>
      <w:r w:rsidR="004846C7" w:rsidRPr="00251A53">
        <w:t>-sensitive climate and disaster-</w:t>
      </w:r>
      <w:r w:rsidRPr="00251A53">
        <w:t>risk information across sector programmes;</w:t>
      </w:r>
    </w:p>
    <w:p w14:paraId="264F07CE" w14:textId="265A5904" w:rsidR="005C59FA" w:rsidRPr="00251A53" w:rsidRDefault="005C59FA" w:rsidP="005C59FA">
      <w:pPr>
        <w:pStyle w:val="Numapara"/>
      </w:pPr>
      <w:r w:rsidRPr="00251A53">
        <w:t>Enhancing institutional mechanisms and community capacities to implement best practices in climate</w:t>
      </w:r>
      <w:r w:rsidR="00A70B3C" w:rsidRPr="00251A53">
        <w:t>-</w:t>
      </w:r>
      <w:r w:rsidRPr="00251A53">
        <w:t xml:space="preserve">change adaptation and mitigation, particularly </w:t>
      </w:r>
      <w:r w:rsidR="007338B8" w:rsidRPr="00251A53">
        <w:t>regarding</w:t>
      </w:r>
      <w:r w:rsidRPr="00251A53">
        <w:t xml:space="preserve"> conservation and </w:t>
      </w:r>
      <w:r w:rsidR="00A70B3C" w:rsidRPr="00251A53">
        <w:t xml:space="preserve">the </w:t>
      </w:r>
      <w:r w:rsidRPr="00251A53">
        <w:t xml:space="preserve">sustainable use of natural resources, such as water and biodiversity, reducing the impact of climate risks on poverty and inequality, including </w:t>
      </w:r>
      <w:r w:rsidR="007338B8" w:rsidRPr="00251A53">
        <w:t>by expanding</w:t>
      </w:r>
      <w:r w:rsidR="00837708" w:rsidRPr="00251A53">
        <w:t xml:space="preserve"> renewable energy</w:t>
      </w:r>
      <w:r w:rsidRPr="00251A53">
        <w:t xml:space="preserve"> </w:t>
      </w:r>
      <w:r w:rsidR="005511C9" w:rsidRPr="00251A53">
        <w:t xml:space="preserve">use </w:t>
      </w:r>
      <w:r w:rsidRPr="00251A53">
        <w:t>and efficiency to enhance equal access to scarce energy and water resources;</w:t>
      </w:r>
    </w:p>
    <w:p w14:paraId="40EB3836" w14:textId="77777777" w:rsidR="005C59FA" w:rsidRPr="00251A53" w:rsidRDefault="005C59FA" w:rsidP="005C59FA">
      <w:pPr>
        <w:pStyle w:val="Numapara"/>
      </w:pPr>
      <w:r w:rsidRPr="00251A53">
        <w:t xml:space="preserve">Strengthening the integration of biodiversity conservation through terrestrial and marine biodiversity </w:t>
      </w:r>
      <w:r w:rsidR="005511C9" w:rsidRPr="00251A53">
        <w:t xml:space="preserve">awareness and </w:t>
      </w:r>
      <w:r w:rsidRPr="00251A53">
        <w:t>protection, and promoting green and blue economic growth by integrating sustainability into key economic sectors.</w:t>
      </w:r>
    </w:p>
    <w:p w14:paraId="1AD8494F" w14:textId="77777777" w:rsidR="00A765F9" w:rsidRPr="00251A53" w:rsidRDefault="00DB16F3" w:rsidP="00202FC2">
      <w:pPr>
        <w:pStyle w:val="Heading4"/>
      </w:pPr>
      <w:r w:rsidRPr="00251A53">
        <w:lastRenderedPageBreak/>
        <w:t xml:space="preserve">Priority </w:t>
      </w:r>
      <w:r w:rsidR="00DF6FD6" w:rsidRPr="00251A53">
        <w:t>3</w:t>
      </w:r>
      <w:r w:rsidRPr="00251A53">
        <w:t xml:space="preserve">: Economic transformation and sustainable and inclusive growth </w:t>
      </w:r>
      <w:r w:rsidR="00202FC2" w:rsidRPr="00251A53">
        <w:br/>
      </w:r>
      <w:r w:rsidRPr="00251A53">
        <w:t>(</w:t>
      </w:r>
      <w:r w:rsidRPr="00251A53">
        <w:rPr>
          <w:bCs/>
        </w:rPr>
        <w:t>SDGs 1, 2, 5, 8, 9, 10)</w:t>
      </w:r>
    </w:p>
    <w:p w14:paraId="76811F6E" w14:textId="77777777" w:rsidR="00DB16F3" w:rsidRPr="00251A53" w:rsidRDefault="0008438B" w:rsidP="00DB16F3">
      <w:pPr>
        <w:pStyle w:val="Num1para"/>
      </w:pPr>
      <w:r w:rsidRPr="00251A53">
        <w:t>Working with bi</w:t>
      </w:r>
      <w:r w:rsidR="00DB16F3" w:rsidRPr="00251A53">
        <w:t xml:space="preserve">lateral and multilateral partners, ILO, </w:t>
      </w:r>
      <w:r w:rsidR="00D40CF6" w:rsidRPr="00251A53">
        <w:t xml:space="preserve">the </w:t>
      </w:r>
      <w:r w:rsidR="007D0737" w:rsidRPr="00251A53">
        <w:t>United Nations Conf</w:t>
      </w:r>
      <w:r w:rsidR="00D40CF6" w:rsidRPr="00251A53">
        <w:t>erence on Trade and Development (</w:t>
      </w:r>
      <w:r w:rsidR="00DB16F3" w:rsidRPr="00251A53">
        <w:t>UNCTAD</w:t>
      </w:r>
      <w:r w:rsidR="00D40CF6" w:rsidRPr="00251A53">
        <w:t>)</w:t>
      </w:r>
      <w:r w:rsidR="00DB16F3" w:rsidRPr="00251A53">
        <w:t>, UNIDO,</w:t>
      </w:r>
      <w:r w:rsidR="008F50A4" w:rsidRPr="00251A53">
        <w:t xml:space="preserve"> </w:t>
      </w:r>
      <w:r w:rsidR="00DB16F3" w:rsidRPr="00251A53">
        <w:t>UN</w:t>
      </w:r>
      <w:r w:rsidR="00063F13" w:rsidRPr="00251A53">
        <w:t>-</w:t>
      </w:r>
      <w:r w:rsidR="00DB16F3" w:rsidRPr="00251A53">
        <w:t>W</w:t>
      </w:r>
      <w:r w:rsidR="00063F13" w:rsidRPr="00251A53">
        <w:t>omen</w:t>
      </w:r>
      <w:r w:rsidR="00DB16F3" w:rsidRPr="00251A53">
        <w:t xml:space="preserve"> and WHO, the programme will support the formulation and implementation of gender-sensitive and child-centred policies and programmes that harness the demographic dividend for inclusive and sustainable economic growth and the creation of decent jobs, particularly for young women and men: </w:t>
      </w:r>
    </w:p>
    <w:p w14:paraId="529FC6F4" w14:textId="41C10068" w:rsidR="00DB16F3" w:rsidRPr="00251A53" w:rsidRDefault="00DB16F3" w:rsidP="00DB16F3">
      <w:pPr>
        <w:pStyle w:val="Numapara"/>
        <w:numPr>
          <w:ilvl w:val="0"/>
          <w:numId w:val="40"/>
        </w:numPr>
        <w:ind w:left="1260" w:firstLine="0"/>
      </w:pPr>
      <w:r w:rsidRPr="00251A53">
        <w:t>Strengthening efforts to upgrade the skills of women and young people within the framework of an education</w:t>
      </w:r>
      <w:r w:rsidR="00EA0121" w:rsidRPr="00251A53">
        <w:t xml:space="preserve"> and vocational training policy</w:t>
      </w:r>
      <w:r w:rsidR="00804C81" w:rsidRPr="00251A53">
        <w:t>;</w:t>
      </w:r>
      <w:r w:rsidRPr="00251A53">
        <w:t xml:space="preserve">  </w:t>
      </w:r>
      <w:r w:rsidR="00A70B3C" w:rsidRPr="00251A53">
        <w:t xml:space="preserve">improving </w:t>
      </w:r>
      <w:r w:rsidRPr="00251A53">
        <w:t>employability and entr</w:t>
      </w:r>
      <w:r w:rsidR="00EA0121" w:rsidRPr="00251A53">
        <w:t xml:space="preserve">epreneurship, business </w:t>
      </w:r>
      <w:r w:rsidR="00CC74FB" w:rsidRPr="00251A53">
        <w:t>expertise</w:t>
      </w:r>
      <w:r w:rsidRPr="00251A53">
        <w:t xml:space="preserve"> and opportunities for self-employment</w:t>
      </w:r>
      <w:r w:rsidR="00804C81" w:rsidRPr="00251A53">
        <w:t>;</w:t>
      </w:r>
      <w:r w:rsidRPr="00251A53">
        <w:t xml:space="preserve"> and </w:t>
      </w:r>
      <w:r w:rsidR="00A70B3C" w:rsidRPr="00251A53">
        <w:t xml:space="preserve">creating </w:t>
      </w:r>
      <w:r w:rsidRPr="00251A53">
        <w:t xml:space="preserve">an enabling environment for the development of micro and small enterprises; </w:t>
      </w:r>
    </w:p>
    <w:p w14:paraId="56A0728E" w14:textId="5C4645D0" w:rsidR="00DB16F3" w:rsidRPr="00251A53" w:rsidRDefault="00DB16F3" w:rsidP="00DB16F3">
      <w:pPr>
        <w:pStyle w:val="Numapara"/>
      </w:pPr>
      <w:r w:rsidRPr="00251A53">
        <w:t>Promoting inclusive local economic development in selected municipalities, specifically through the creation of multi-stakeholder dialogue mechanisms</w:t>
      </w:r>
      <w:r w:rsidR="00804C81" w:rsidRPr="00251A53">
        <w:t>;</w:t>
      </w:r>
      <w:r w:rsidRPr="00251A53">
        <w:t xml:space="preserve"> and </w:t>
      </w:r>
      <w:r w:rsidR="00EC49FD" w:rsidRPr="00251A53">
        <w:t xml:space="preserve">identifying </w:t>
      </w:r>
      <w:r w:rsidR="00D61467" w:rsidRPr="00251A53">
        <w:t>and promot</w:t>
      </w:r>
      <w:r w:rsidR="00EC49FD" w:rsidRPr="00251A53">
        <w:t xml:space="preserve">ing </w:t>
      </w:r>
      <w:r w:rsidR="00D61467" w:rsidRPr="00251A53">
        <w:t xml:space="preserve"> local value </w:t>
      </w:r>
      <w:r w:rsidRPr="00251A53">
        <w:t>chains</w:t>
      </w:r>
      <w:r w:rsidR="008F50A4" w:rsidRPr="00251A53">
        <w:t>, especially for women and youth, capitalizing on linkages with investments</w:t>
      </w:r>
      <w:r w:rsidR="001C2716" w:rsidRPr="00251A53">
        <w:t>;</w:t>
      </w:r>
    </w:p>
    <w:p w14:paraId="64578B59" w14:textId="77777777" w:rsidR="00DB16F3" w:rsidRPr="00251A53" w:rsidRDefault="00DB16F3" w:rsidP="00DB16F3">
      <w:pPr>
        <w:pStyle w:val="Numapara"/>
      </w:pPr>
      <w:r w:rsidRPr="00251A53">
        <w:t>Supporting national efforts to enhance social protection and universal access to services</w:t>
      </w:r>
      <w:r w:rsidR="003008B3" w:rsidRPr="00251A53">
        <w:t xml:space="preserve"> (</w:t>
      </w:r>
      <w:r w:rsidRPr="00251A53">
        <w:t>including health</w:t>
      </w:r>
      <w:r w:rsidR="003008B3" w:rsidRPr="00251A53">
        <w:t>)</w:t>
      </w:r>
      <w:r w:rsidRPr="00251A53">
        <w:t xml:space="preserve"> </w:t>
      </w:r>
      <w:r w:rsidR="003008B3" w:rsidRPr="00251A53">
        <w:t>for</w:t>
      </w:r>
      <w:r w:rsidRPr="00251A53">
        <w:t xml:space="preserve"> all vulnerable groups</w:t>
      </w:r>
      <w:r w:rsidR="003008B3" w:rsidRPr="00251A53">
        <w:t xml:space="preserve"> by</w:t>
      </w:r>
      <w:r w:rsidRPr="00251A53">
        <w:t xml:space="preserve"> design</w:t>
      </w:r>
      <w:r w:rsidR="003008B3" w:rsidRPr="00251A53">
        <w:t>ing</w:t>
      </w:r>
      <w:r w:rsidRPr="00251A53">
        <w:t xml:space="preserve"> and pilot</w:t>
      </w:r>
      <w:r w:rsidR="003008B3" w:rsidRPr="00251A53">
        <w:t>ing</w:t>
      </w:r>
      <w:r w:rsidRPr="00251A53">
        <w:t xml:space="preserve"> </w:t>
      </w:r>
      <w:r w:rsidR="003008B3" w:rsidRPr="00251A53">
        <w:t>a</w:t>
      </w:r>
      <w:r w:rsidRPr="00251A53">
        <w:t xml:space="preserve"> </w:t>
      </w:r>
      <w:r w:rsidR="003E3F7E" w:rsidRPr="00251A53">
        <w:t>monitoring and evaluation</w:t>
      </w:r>
      <w:r w:rsidRPr="00251A53">
        <w:t xml:space="preserve"> system</w:t>
      </w:r>
      <w:r w:rsidR="00E13259" w:rsidRPr="00251A53">
        <w:t xml:space="preserve"> –</w:t>
      </w:r>
      <w:r w:rsidRPr="00251A53">
        <w:t xml:space="preserve"> with a special focus on </w:t>
      </w:r>
      <w:r w:rsidR="00E13259" w:rsidRPr="00251A53">
        <w:t xml:space="preserve">young people, </w:t>
      </w:r>
      <w:r w:rsidRPr="00251A53">
        <w:t>women</w:t>
      </w:r>
      <w:r w:rsidR="009E0D48" w:rsidRPr="00251A53">
        <w:t>, children and their caregivers</w:t>
      </w:r>
      <w:r w:rsidR="00E13259" w:rsidRPr="00251A53">
        <w:t xml:space="preserve"> –</w:t>
      </w:r>
      <w:r w:rsidRPr="00251A53">
        <w:t xml:space="preserve"> </w:t>
      </w:r>
      <w:r w:rsidR="00E13259" w:rsidRPr="00251A53">
        <w:t>i</w:t>
      </w:r>
      <w:r w:rsidRPr="00251A53">
        <w:t>n</w:t>
      </w:r>
      <w:r w:rsidR="009E0D48" w:rsidRPr="00251A53">
        <w:t>cluding through municipaliz</w:t>
      </w:r>
      <w:r w:rsidRPr="00251A53">
        <w:t>ation of the social protection system</w:t>
      </w:r>
      <w:r w:rsidR="00795056" w:rsidRPr="00251A53">
        <w:t>,</w:t>
      </w:r>
      <w:r w:rsidRPr="00251A53">
        <w:t xml:space="preserve"> to enhance access to social services and ensure that no one is left behind. </w:t>
      </w:r>
    </w:p>
    <w:p w14:paraId="0D89C667" w14:textId="77777777" w:rsidR="00293A8A" w:rsidRPr="00251A53" w:rsidRDefault="00C21F86" w:rsidP="00202FC2">
      <w:pPr>
        <w:pStyle w:val="Heading4"/>
      </w:pPr>
      <w:r w:rsidRPr="00251A53">
        <w:t xml:space="preserve">Priority </w:t>
      </w:r>
      <w:r w:rsidR="00DF6FD6" w:rsidRPr="00251A53">
        <w:t>4</w:t>
      </w:r>
      <w:r w:rsidRPr="00251A53">
        <w:t xml:space="preserve">: Governance, public policies, partnerships and </w:t>
      </w:r>
      <w:r w:rsidR="005B7D49" w:rsidRPr="00251A53">
        <w:t xml:space="preserve">justice </w:t>
      </w:r>
      <w:r w:rsidRPr="00251A53">
        <w:br/>
        <w:t>(SDGs 1, 5, 10, 16, 17)</w:t>
      </w:r>
    </w:p>
    <w:p w14:paraId="798D1490" w14:textId="465C6D61" w:rsidR="00C21F86" w:rsidRPr="00251A53" w:rsidRDefault="00C21F86" w:rsidP="006D049E">
      <w:pPr>
        <w:pStyle w:val="Num1para"/>
      </w:pPr>
      <w:r w:rsidRPr="00251A53">
        <w:t>The programme will focus on strengthening the capacity of civil society and the public administration to support the effective</w:t>
      </w:r>
      <w:r w:rsidR="005E4C76" w:rsidRPr="00251A53">
        <w:t xml:space="preserve"> and efficient use of resources;</w:t>
      </w:r>
      <w:r w:rsidRPr="00251A53">
        <w:t xml:space="preserve"> to create spaces for citizens to participate more effe</w:t>
      </w:r>
      <w:r w:rsidR="005E4C76" w:rsidRPr="00251A53">
        <w:t>ctively in governance processes;</w:t>
      </w:r>
      <w:r w:rsidRPr="00251A53">
        <w:t xml:space="preserve"> to combat gender inequalities and</w:t>
      </w:r>
      <w:r w:rsidR="005E4C76" w:rsidRPr="00251A53">
        <w:t xml:space="preserve"> gender-based violence;</w:t>
      </w:r>
      <w:r w:rsidRPr="00251A53">
        <w:t xml:space="preserve"> and </w:t>
      </w:r>
      <w:r w:rsidR="005E4C76" w:rsidRPr="00251A53">
        <w:t xml:space="preserve">to </w:t>
      </w:r>
      <w:r w:rsidRPr="00251A53">
        <w:t>improve the response of the justice system to protect human</w:t>
      </w:r>
      <w:r w:rsidR="00945A88" w:rsidRPr="00251A53">
        <w:t xml:space="preserve"> rights. In partnership with bi</w:t>
      </w:r>
      <w:r w:rsidRPr="00251A53">
        <w:t xml:space="preserve">lateral and multilateral partners, </w:t>
      </w:r>
      <w:r w:rsidR="006D049E" w:rsidRPr="00251A53">
        <w:t xml:space="preserve">the International Organization for Migration </w:t>
      </w:r>
      <w:r w:rsidR="00BF22F5" w:rsidRPr="00251A53">
        <w:t>(</w:t>
      </w:r>
      <w:r w:rsidRPr="00251A53">
        <w:t>IOM</w:t>
      </w:r>
      <w:r w:rsidR="00BF22F5" w:rsidRPr="00251A53">
        <w:t>),</w:t>
      </w:r>
      <w:r w:rsidRPr="00251A53">
        <w:t xml:space="preserve"> UNODC</w:t>
      </w:r>
      <w:r w:rsidR="00BF22F5" w:rsidRPr="00251A53">
        <w:t xml:space="preserve"> and </w:t>
      </w:r>
      <w:r w:rsidRPr="00251A53">
        <w:t>UN</w:t>
      </w:r>
      <w:r w:rsidR="004E5B77" w:rsidRPr="00251A53">
        <w:t>-</w:t>
      </w:r>
      <w:r w:rsidRPr="00251A53">
        <w:t>W</w:t>
      </w:r>
      <w:r w:rsidR="004E5B77" w:rsidRPr="00251A53">
        <w:t>omen</w:t>
      </w:r>
      <w:r w:rsidRPr="00251A53">
        <w:t>, and supporting South-South</w:t>
      </w:r>
      <w:r w:rsidR="00EF677B" w:rsidRPr="00251A53">
        <w:t xml:space="preserve"> and</w:t>
      </w:r>
      <w:r w:rsidRPr="00251A53">
        <w:t xml:space="preserve"> triangular </w:t>
      </w:r>
      <w:r w:rsidR="00EF677B" w:rsidRPr="00251A53">
        <w:t xml:space="preserve">cooperation and </w:t>
      </w:r>
      <w:r w:rsidRPr="00251A53">
        <w:t xml:space="preserve">decentralized partnerships, particularly </w:t>
      </w:r>
      <w:r w:rsidR="00EF677B" w:rsidRPr="00251A53">
        <w:t xml:space="preserve">with the </w:t>
      </w:r>
      <w:r w:rsidR="00844389" w:rsidRPr="00251A53">
        <w:rPr>
          <w:color w:val="222222"/>
          <w:shd w:val="clear" w:color="auto" w:fill="FFFFFF"/>
        </w:rPr>
        <w:t>Portuguese-speaking African countries</w:t>
      </w:r>
      <w:r w:rsidR="00844389" w:rsidRPr="00251A53">
        <w:t xml:space="preserve"> (</w:t>
      </w:r>
      <w:r w:rsidRPr="00251A53">
        <w:t>PALOP</w:t>
      </w:r>
      <w:r w:rsidR="00844389" w:rsidRPr="00251A53">
        <w:t>)</w:t>
      </w:r>
      <w:r w:rsidRPr="00251A53">
        <w:t xml:space="preserve">, </w:t>
      </w:r>
      <w:r w:rsidR="00EF677B" w:rsidRPr="00251A53">
        <w:t xml:space="preserve">the </w:t>
      </w:r>
      <w:r w:rsidR="00844389" w:rsidRPr="00251A53">
        <w:rPr>
          <w:color w:val="222222"/>
          <w:shd w:val="clear" w:color="auto" w:fill="FFFFFF"/>
        </w:rPr>
        <w:t>Co</w:t>
      </w:r>
      <w:r w:rsidR="005C60C6" w:rsidRPr="00251A53">
        <w:rPr>
          <w:color w:val="222222"/>
          <w:shd w:val="clear" w:color="auto" w:fill="FFFFFF"/>
        </w:rPr>
        <w:t xml:space="preserve">mmunity of Portuguese Language </w:t>
      </w:r>
      <w:r w:rsidR="00844389" w:rsidRPr="00251A53">
        <w:t>(</w:t>
      </w:r>
      <w:r w:rsidRPr="00251A53">
        <w:t>C</w:t>
      </w:r>
      <w:r w:rsidR="00844389" w:rsidRPr="00251A53">
        <w:t>P</w:t>
      </w:r>
      <w:r w:rsidRPr="00251A53">
        <w:t>LP</w:t>
      </w:r>
      <w:r w:rsidR="00844389" w:rsidRPr="00251A53">
        <w:t>)</w:t>
      </w:r>
      <w:r w:rsidRPr="00251A53">
        <w:t xml:space="preserve"> countries and African </w:t>
      </w:r>
      <w:r w:rsidR="00C003E5" w:rsidRPr="00251A53">
        <w:t xml:space="preserve">small island developing </w:t>
      </w:r>
      <w:r w:rsidR="00195DCC" w:rsidRPr="00251A53">
        <w:t>States</w:t>
      </w:r>
      <w:r w:rsidR="004C6524" w:rsidRPr="00251A53">
        <w:t>,</w:t>
      </w:r>
      <w:r w:rsidR="00195DCC" w:rsidRPr="00251A53">
        <w:t xml:space="preserve"> </w:t>
      </w:r>
      <w:r w:rsidRPr="00251A53">
        <w:t>the programme will:</w:t>
      </w:r>
    </w:p>
    <w:p w14:paraId="345ACC87" w14:textId="77777777" w:rsidR="00C21F86" w:rsidRPr="00251A53" w:rsidRDefault="00C21F86" w:rsidP="001B77CD">
      <w:pPr>
        <w:pStyle w:val="Numapara"/>
        <w:numPr>
          <w:ilvl w:val="0"/>
          <w:numId w:val="41"/>
        </w:numPr>
        <w:ind w:left="1260" w:firstLine="0"/>
      </w:pPr>
      <w:r w:rsidRPr="00251A53">
        <w:t>Design and i</w:t>
      </w:r>
      <w:r w:rsidR="005C60C6" w:rsidRPr="00251A53">
        <w:t>mplement a capacity-</w:t>
      </w:r>
      <w:r w:rsidRPr="00251A53">
        <w:t xml:space="preserve">building programme to improve strategic planning, results-based management, statistical systems, </w:t>
      </w:r>
      <w:r w:rsidR="00027AA6" w:rsidRPr="00251A53">
        <w:t>monitoring and evaluation</w:t>
      </w:r>
      <w:r w:rsidRPr="00251A53">
        <w:t>, and coordination mechanisms at the central and local levels to strengthen SDG monitoring</w:t>
      </w:r>
      <w:r w:rsidR="00536E0C" w:rsidRPr="00251A53">
        <w:t>;</w:t>
      </w:r>
      <w:r w:rsidRPr="00251A53">
        <w:t xml:space="preserve"> </w:t>
      </w:r>
      <w:r w:rsidR="00536E0C" w:rsidRPr="00251A53">
        <w:t>e</w:t>
      </w:r>
      <w:r w:rsidRPr="00251A53">
        <w:t>mpower citizens, particularly women and young people, to participate more effectively in political and decision-making processes, contributing to social cohesion and civic engagement in the country´s development trajectory</w:t>
      </w:r>
      <w:r w:rsidR="00536E0C" w:rsidRPr="00251A53">
        <w:t>; support</w:t>
      </w:r>
      <w:r w:rsidRPr="00251A53">
        <w:t xml:space="preserve"> </w:t>
      </w:r>
      <w:r w:rsidR="00536E0C" w:rsidRPr="00251A53">
        <w:t>p</w:t>
      </w:r>
      <w:r w:rsidRPr="00251A53">
        <w:t>arliamentaria</w:t>
      </w:r>
      <w:r w:rsidR="005C60C6" w:rsidRPr="00251A53">
        <w:t>ns, civil society organizations</w:t>
      </w:r>
      <w:r w:rsidRPr="00251A53">
        <w:t xml:space="preserve"> and the media to engage in monitoring transparency and effectiveness in the use of public resources and progress towards key national development goals and to scrutinize gender</w:t>
      </w:r>
      <w:r w:rsidR="00585DB8" w:rsidRPr="00251A53">
        <w:t xml:space="preserve"> </w:t>
      </w:r>
      <w:r w:rsidRPr="00251A53">
        <w:t>equality in public policy and women</w:t>
      </w:r>
      <w:r w:rsidR="004471CF" w:rsidRPr="00251A53">
        <w:t>’</w:t>
      </w:r>
      <w:r w:rsidRPr="00251A53">
        <w:t>s participation in politics;</w:t>
      </w:r>
    </w:p>
    <w:p w14:paraId="1A652665" w14:textId="50ED561E" w:rsidR="00C21F86" w:rsidRPr="00251A53" w:rsidRDefault="00C21F86" w:rsidP="00C21F86">
      <w:pPr>
        <w:pStyle w:val="Numapara"/>
      </w:pPr>
      <w:r w:rsidRPr="00251A53">
        <w:t xml:space="preserve">Enhance equitable access to justice, particularly for children in contact with the law, </w:t>
      </w:r>
      <w:r w:rsidR="00B4311D" w:rsidRPr="00251A53">
        <w:t>by</w:t>
      </w:r>
      <w:r w:rsidRPr="00251A53">
        <w:t xml:space="preserve"> strengthening legal aid and integrated justice services</w:t>
      </w:r>
      <w:r w:rsidR="00B4311D" w:rsidRPr="00251A53">
        <w:t xml:space="preserve">; strengthen </w:t>
      </w:r>
      <w:r w:rsidR="00C003E5" w:rsidRPr="00251A53">
        <w:t xml:space="preserve">the </w:t>
      </w:r>
      <w:r w:rsidR="00B4311D" w:rsidRPr="00251A53">
        <w:t>c</w:t>
      </w:r>
      <w:r w:rsidRPr="00251A53">
        <w:t xml:space="preserve">apacity to implement the recommendations of the </w:t>
      </w:r>
      <w:r w:rsidR="00C003E5" w:rsidRPr="00251A53">
        <w:t xml:space="preserve">universal periodic review </w:t>
      </w:r>
      <w:r w:rsidRPr="00251A53">
        <w:t xml:space="preserve">and </w:t>
      </w:r>
      <w:r w:rsidR="00801A3E" w:rsidRPr="00251A53">
        <w:t>help to build</w:t>
      </w:r>
      <w:r w:rsidRPr="00251A53">
        <w:t xml:space="preserve"> </w:t>
      </w:r>
      <w:r w:rsidR="00C003E5" w:rsidRPr="00251A53">
        <w:t xml:space="preserve">the </w:t>
      </w:r>
      <w:r w:rsidRPr="00251A53">
        <w:t>c</w:t>
      </w:r>
      <w:r w:rsidR="00971CEB" w:rsidRPr="00251A53">
        <w:t>apacity of civil society organiz</w:t>
      </w:r>
      <w:r w:rsidRPr="00251A53">
        <w:t xml:space="preserve">ations to monitor </w:t>
      </w:r>
      <w:r w:rsidR="00C003E5" w:rsidRPr="00251A53">
        <w:t xml:space="preserve">the </w:t>
      </w:r>
      <w:r w:rsidRPr="00251A53">
        <w:t>implementation of human rights commitments;</w:t>
      </w:r>
    </w:p>
    <w:p w14:paraId="357EB1E1" w14:textId="77777777" w:rsidR="00C21F86" w:rsidRPr="00251A53" w:rsidRDefault="00C21F86" w:rsidP="00C21F86">
      <w:pPr>
        <w:pStyle w:val="Numapara"/>
      </w:pPr>
      <w:r w:rsidRPr="00251A53">
        <w:t>Support the implementation, monitoring and periodic evaluat</w:t>
      </w:r>
      <w:r w:rsidR="00971CEB" w:rsidRPr="00251A53">
        <w:t>ion of the Gender Equality Plan</w:t>
      </w:r>
      <w:r w:rsidRPr="00251A53">
        <w:t xml:space="preserve"> and the Gender-</w:t>
      </w:r>
      <w:r w:rsidR="002D1055" w:rsidRPr="00251A53">
        <w:t>b</w:t>
      </w:r>
      <w:r w:rsidRPr="00251A53">
        <w:t>ased Violence Law</w:t>
      </w:r>
      <w:r w:rsidR="002D1055" w:rsidRPr="00251A53">
        <w:t>,</w:t>
      </w:r>
      <w:r w:rsidRPr="00251A53">
        <w:t xml:space="preserve"> including </w:t>
      </w:r>
      <w:r w:rsidR="00CE23D0" w:rsidRPr="00251A53">
        <w:t>through</w:t>
      </w:r>
      <w:r w:rsidR="00DA229C" w:rsidRPr="00251A53">
        <w:t xml:space="preserve"> </w:t>
      </w:r>
      <w:r w:rsidRPr="00251A53">
        <w:t>training for health and education professionals and the police on prevention and response to gender-based violence</w:t>
      </w:r>
      <w:r w:rsidR="00CE23D0" w:rsidRPr="00251A53">
        <w:t>,</w:t>
      </w:r>
      <w:r w:rsidRPr="00251A53">
        <w:t xml:space="preserve"> and </w:t>
      </w:r>
      <w:r w:rsidR="00CE23D0" w:rsidRPr="00251A53">
        <w:t xml:space="preserve">by </w:t>
      </w:r>
      <w:r w:rsidRPr="00251A53">
        <w:t>strengthening the cap</w:t>
      </w:r>
      <w:r w:rsidR="00971CEB" w:rsidRPr="00251A53">
        <w:t>acity of community-based organiz</w:t>
      </w:r>
      <w:r w:rsidRPr="00251A53">
        <w:t>ations to use communication for development tools to effect behavioural changes.</w:t>
      </w:r>
    </w:p>
    <w:p w14:paraId="587ADFA0" w14:textId="70B5BE52" w:rsidR="00C21F86" w:rsidRPr="00251A53" w:rsidRDefault="00C21F86" w:rsidP="00C21F86">
      <w:pPr>
        <w:pStyle w:val="Num1para"/>
      </w:pPr>
      <w:r w:rsidRPr="00251A53">
        <w:lastRenderedPageBreak/>
        <w:t>Achieving the SDGs r</w:t>
      </w:r>
      <w:r w:rsidR="00971CEB" w:rsidRPr="00251A53">
        <w:t>equires a coordinated and multi</w:t>
      </w:r>
      <w:r w:rsidRPr="00251A53">
        <w:t>dimensional approach to the development of p</w:t>
      </w:r>
      <w:r w:rsidR="00971CEB" w:rsidRPr="00251A53">
        <w:t>artnerships and resource mobiliz</w:t>
      </w:r>
      <w:r w:rsidRPr="00251A53">
        <w:t>ation. Multilateral, South-South</w:t>
      </w:r>
      <w:r w:rsidR="00542F6F" w:rsidRPr="00251A53">
        <w:t xml:space="preserve"> and</w:t>
      </w:r>
      <w:r w:rsidRPr="00251A53">
        <w:t xml:space="preserve"> triangular cooperation </w:t>
      </w:r>
      <w:r w:rsidR="00542F6F" w:rsidRPr="00251A53">
        <w:t xml:space="preserve">and decentralized partnership </w:t>
      </w:r>
      <w:r w:rsidRPr="00251A53">
        <w:t xml:space="preserve">opportunities and innovative financial tools will be explored, including </w:t>
      </w:r>
      <w:r w:rsidR="00D2769D" w:rsidRPr="00251A53">
        <w:t xml:space="preserve">in </w:t>
      </w:r>
      <w:r w:rsidRPr="00251A53">
        <w:t>enhancing domestic revenue and remittances</w:t>
      </w:r>
      <w:r w:rsidR="00D2769D" w:rsidRPr="00251A53">
        <w:t>,</w:t>
      </w:r>
      <w:r w:rsidRPr="00251A53">
        <w:t xml:space="preserve"> to secure the resources required to underpin the development</w:t>
      </w:r>
      <w:r w:rsidR="00D2769D" w:rsidRPr="00251A53">
        <w:t xml:space="preserve"> of Cabo Verde</w:t>
      </w:r>
      <w:r w:rsidRPr="00251A53">
        <w:t>. The programme will support the Ministries of Foreign Affairs and Communities and Finance</w:t>
      </w:r>
      <w:r w:rsidR="00FB14FC" w:rsidRPr="00251A53">
        <w:t xml:space="preserve"> in developing a</w:t>
      </w:r>
      <w:r w:rsidRPr="00251A53">
        <w:t xml:space="preserve"> </w:t>
      </w:r>
      <w:r w:rsidR="0059599F" w:rsidRPr="00251A53">
        <w:t>“</w:t>
      </w:r>
      <w:r w:rsidR="00FB14FC" w:rsidRPr="00251A53">
        <w:t>f</w:t>
      </w:r>
      <w:r w:rsidRPr="00251A53">
        <w:t xml:space="preserve">inancing for </w:t>
      </w:r>
      <w:r w:rsidR="00FB14FC" w:rsidRPr="00251A53">
        <w:t>s</w:t>
      </w:r>
      <w:r w:rsidRPr="00251A53">
        <w:t xml:space="preserve">ustainable </w:t>
      </w:r>
      <w:r w:rsidR="00FB14FC" w:rsidRPr="00251A53">
        <w:t>d</w:t>
      </w:r>
      <w:r w:rsidRPr="00251A53">
        <w:t>evelopment</w:t>
      </w:r>
      <w:r w:rsidR="0059599F" w:rsidRPr="00251A53">
        <w:t>”</w:t>
      </w:r>
      <w:r w:rsidRPr="00251A53">
        <w:t xml:space="preserve"> </w:t>
      </w:r>
      <w:r w:rsidR="00FB14FC" w:rsidRPr="00251A53">
        <w:t>s</w:t>
      </w:r>
      <w:r w:rsidRPr="00251A53">
        <w:t xml:space="preserve">trategy, and will support access to global funds, pooled funding and innovative development financing mechanisms, including domestic resource mobilization and remittances, in partnership with the World Bank, </w:t>
      </w:r>
      <w:r w:rsidR="00FB14FC" w:rsidRPr="00251A53">
        <w:t xml:space="preserve">the </w:t>
      </w:r>
      <w:r w:rsidRPr="00251A53">
        <w:t>Africa</w:t>
      </w:r>
      <w:r w:rsidR="00971CEB" w:rsidRPr="00251A53">
        <w:t>n Development Bank and other bilateral, multi</w:t>
      </w:r>
      <w:r w:rsidRPr="00251A53">
        <w:t>lateral and decentralized cooperation actors.</w:t>
      </w:r>
    </w:p>
    <w:p w14:paraId="7CE1E3A0" w14:textId="77777777" w:rsidR="00B64FCB" w:rsidRPr="00251A53" w:rsidRDefault="00B64FCB" w:rsidP="003A3F6D">
      <w:pPr>
        <w:pStyle w:val="Heading1"/>
        <w:keepNext/>
        <w:rPr>
          <w:noProof w:val="0"/>
          <w:lang w:val="en-GB"/>
        </w:rPr>
      </w:pPr>
      <w:bookmarkStart w:id="3" w:name="_Toc494799119"/>
      <w:r w:rsidRPr="00251A53">
        <w:rPr>
          <w:noProof w:val="0"/>
          <w:lang w:val="en-GB"/>
        </w:rPr>
        <w:t>Programme</w:t>
      </w:r>
      <w:r w:rsidR="00AC3CF7" w:rsidRPr="00251A53">
        <w:rPr>
          <w:noProof w:val="0"/>
          <w:lang w:val="en-GB"/>
        </w:rPr>
        <w:t xml:space="preserve"> and </w:t>
      </w:r>
      <w:r w:rsidR="007D0CF1" w:rsidRPr="00251A53">
        <w:rPr>
          <w:noProof w:val="0"/>
          <w:lang w:val="en-GB"/>
        </w:rPr>
        <w:t>r</w:t>
      </w:r>
      <w:r w:rsidR="00AC3CF7" w:rsidRPr="00251A53">
        <w:rPr>
          <w:noProof w:val="0"/>
          <w:lang w:val="en-GB"/>
        </w:rPr>
        <w:t xml:space="preserve">isk </w:t>
      </w:r>
      <w:r w:rsidR="007D0CF1" w:rsidRPr="00251A53">
        <w:rPr>
          <w:noProof w:val="0"/>
          <w:lang w:val="en-GB"/>
        </w:rPr>
        <w:t>m</w:t>
      </w:r>
      <w:r w:rsidR="00AC3CF7" w:rsidRPr="00251A53">
        <w:rPr>
          <w:noProof w:val="0"/>
          <w:lang w:val="en-GB"/>
        </w:rPr>
        <w:t>anagement</w:t>
      </w:r>
      <w:bookmarkEnd w:id="3"/>
    </w:p>
    <w:p w14:paraId="00E65D8D" w14:textId="267B6814" w:rsidR="001B77CD" w:rsidRPr="00251A53" w:rsidRDefault="001B77CD" w:rsidP="001B77CD">
      <w:pPr>
        <w:pStyle w:val="Num1para"/>
      </w:pPr>
      <w:r w:rsidRPr="00251A53">
        <w:t xml:space="preserve">This </w:t>
      </w:r>
      <w:r w:rsidR="001705BE" w:rsidRPr="00251A53">
        <w:t xml:space="preserve">common </w:t>
      </w:r>
      <w:r w:rsidRPr="00251A53">
        <w:t xml:space="preserve">country programme document outlines UNDP, UNFPA and UNICEF contributions to national results and serves as the primary unit of accountability to the </w:t>
      </w:r>
      <w:r w:rsidR="003C4852" w:rsidRPr="00251A53">
        <w:t xml:space="preserve">Executive Boards </w:t>
      </w:r>
      <w:r w:rsidRPr="00251A53">
        <w:t xml:space="preserve">for results alignment and resources assigned to the programme at </w:t>
      </w:r>
      <w:r w:rsidR="003C4852" w:rsidRPr="00251A53">
        <w:t xml:space="preserve">the </w:t>
      </w:r>
      <w:r w:rsidRPr="00251A53">
        <w:t xml:space="preserve">country level. Accountabilities of managers at the country, regional and headquarters levels with respect to country programmes are prescribed in the </w:t>
      </w:r>
      <w:r w:rsidR="001705BE" w:rsidRPr="00251A53">
        <w:t>p</w:t>
      </w:r>
      <w:r w:rsidRPr="00251A53">
        <w:t xml:space="preserve">rogramme and </w:t>
      </w:r>
      <w:r w:rsidR="001705BE" w:rsidRPr="00251A53">
        <w:t>o</w:t>
      </w:r>
      <w:r w:rsidRPr="00251A53">
        <w:t xml:space="preserve">perations </w:t>
      </w:r>
      <w:r w:rsidR="001705BE" w:rsidRPr="00251A53">
        <w:t>p</w:t>
      </w:r>
      <w:r w:rsidRPr="00251A53">
        <w:t xml:space="preserve">olicies and </w:t>
      </w:r>
      <w:r w:rsidR="001705BE" w:rsidRPr="00251A53">
        <w:t>p</w:t>
      </w:r>
      <w:r w:rsidRPr="00251A53">
        <w:t>rocedures</w:t>
      </w:r>
      <w:r w:rsidR="001705BE" w:rsidRPr="00251A53">
        <w:t>,</w:t>
      </w:r>
      <w:r w:rsidRPr="00251A53">
        <w:t xml:space="preserve"> and the </w:t>
      </w:r>
      <w:r w:rsidR="001705BE" w:rsidRPr="00251A53">
        <w:t>i</w:t>
      </w:r>
      <w:r w:rsidRPr="00251A53">
        <w:t xml:space="preserve">nternal </w:t>
      </w:r>
      <w:r w:rsidR="001705BE" w:rsidRPr="00251A53">
        <w:t>c</w:t>
      </w:r>
      <w:r w:rsidRPr="00251A53">
        <w:t xml:space="preserve">ontrol </w:t>
      </w:r>
      <w:r w:rsidR="001705BE" w:rsidRPr="00251A53">
        <w:t>f</w:t>
      </w:r>
      <w:r w:rsidRPr="00251A53">
        <w:t xml:space="preserve">ramework. </w:t>
      </w:r>
    </w:p>
    <w:p w14:paraId="209F9768" w14:textId="6754957D" w:rsidR="008C49E8" w:rsidRPr="00251A53" w:rsidRDefault="001B77CD" w:rsidP="0038794E">
      <w:pPr>
        <w:pStyle w:val="Num1para"/>
      </w:pPr>
      <w:r w:rsidRPr="00251A53">
        <w:t>The programme will be implemented by the Joint Office of UNDP, UNFPA and UNICEF in Cabo Verde</w:t>
      </w:r>
      <w:r w:rsidR="001705BE" w:rsidRPr="00251A53">
        <w:t>,</w:t>
      </w:r>
      <w:r w:rsidRPr="00251A53">
        <w:t xml:space="preserve"> established in 2006 as a unique model for </w:t>
      </w:r>
      <w:r w:rsidR="003745CE" w:rsidRPr="00251A53">
        <w:t xml:space="preserve">the </w:t>
      </w:r>
      <w:r w:rsidRPr="00251A53">
        <w:t xml:space="preserve">integration of </w:t>
      </w:r>
      <w:r w:rsidR="00AF15C5" w:rsidRPr="00251A53">
        <w:t>United Nations</w:t>
      </w:r>
      <w:r w:rsidRPr="00251A53">
        <w:t xml:space="preserve"> programmatic and operational activities in a small country context </w:t>
      </w:r>
      <w:r w:rsidR="00AF15C5" w:rsidRPr="00251A53">
        <w:t>with</w:t>
      </w:r>
      <w:r w:rsidRPr="00251A53">
        <w:t xml:space="preserve">in the framework of </w:t>
      </w:r>
      <w:r w:rsidR="00AF15C5" w:rsidRPr="00251A53">
        <w:t>United Nations</w:t>
      </w:r>
      <w:r w:rsidRPr="00251A53">
        <w:t xml:space="preserve"> </w:t>
      </w:r>
      <w:r w:rsidR="00AF15C5" w:rsidRPr="00251A53">
        <w:t>r</w:t>
      </w:r>
      <w:r w:rsidRPr="00251A53">
        <w:t>eform</w:t>
      </w:r>
      <w:r w:rsidR="00913536" w:rsidRPr="00251A53">
        <w:t>,</w:t>
      </w:r>
      <w:r w:rsidR="008C5A36" w:rsidRPr="00251A53">
        <w:rPr>
          <w:rStyle w:val="FootnoteReference"/>
        </w:rPr>
        <w:footnoteReference w:id="13"/>
      </w:r>
      <w:r w:rsidRPr="00251A53">
        <w:t xml:space="preserve"> enabling each agency to build on </w:t>
      </w:r>
      <w:r w:rsidR="00AF15C5" w:rsidRPr="00251A53">
        <w:t xml:space="preserve">and complement </w:t>
      </w:r>
      <w:r w:rsidRPr="00251A53">
        <w:t>the others</w:t>
      </w:r>
      <w:r w:rsidR="0006712F" w:rsidRPr="00251A53">
        <w:t>’</w:t>
      </w:r>
      <w:r w:rsidRPr="00251A53">
        <w:t xml:space="preserve"> strengths</w:t>
      </w:r>
      <w:r w:rsidR="0053057B" w:rsidRPr="00251A53">
        <w:t>;</w:t>
      </w:r>
      <w:r w:rsidR="00E362DE" w:rsidRPr="00251A53">
        <w:rPr>
          <w:rStyle w:val="FootnoteReference"/>
        </w:rPr>
        <w:footnoteReference w:id="14"/>
      </w:r>
      <w:r w:rsidRPr="00251A53">
        <w:t xml:space="preserve"> </w:t>
      </w:r>
      <w:r w:rsidR="0053057B" w:rsidRPr="00251A53">
        <w:t>it is</w:t>
      </w:r>
      <w:r w:rsidRPr="00251A53">
        <w:t xml:space="preserve"> uniquely positioned to respond to the challenges of </w:t>
      </w:r>
      <w:r w:rsidR="003745CE" w:rsidRPr="00251A53">
        <w:t xml:space="preserve">2030 </w:t>
      </w:r>
      <w:r w:rsidRPr="00251A53">
        <w:t xml:space="preserve">Agenda implementation. The final evaluation of the previous </w:t>
      </w:r>
      <w:r w:rsidR="0053057B" w:rsidRPr="00251A53">
        <w:t xml:space="preserve">common </w:t>
      </w:r>
      <w:r w:rsidRPr="00251A53">
        <w:t xml:space="preserve">country programme found the model to be an effective mechanism, facilitating coherent and relevant technical assistance, and achieving operational efficiency gains and programme synergies. It recommended </w:t>
      </w:r>
      <w:r w:rsidR="003745CE" w:rsidRPr="00251A53">
        <w:t xml:space="preserve">the </w:t>
      </w:r>
      <w:r w:rsidRPr="00251A53">
        <w:t xml:space="preserve">integration of the </w:t>
      </w:r>
      <w:r w:rsidR="00027AA6" w:rsidRPr="00251A53">
        <w:t>monitoring and evaluation</w:t>
      </w:r>
      <w:r w:rsidRPr="00251A53">
        <w:t xml:space="preserve"> systems of the three agencies and better alignment </w:t>
      </w:r>
      <w:r w:rsidR="0053057B" w:rsidRPr="00251A53">
        <w:t>of</w:t>
      </w:r>
      <w:r w:rsidRPr="00251A53">
        <w:t xml:space="preserve"> programme priorities and organizational structure. The human resource structure will be realigned</w:t>
      </w:r>
      <w:r w:rsidR="00733EDC" w:rsidRPr="00251A53">
        <w:t>,</w:t>
      </w:r>
      <w:r w:rsidRPr="00251A53">
        <w:t xml:space="preserve"> </w:t>
      </w:r>
      <w:r w:rsidR="008C49E8" w:rsidRPr="00251A53">
        <w:t>enhancing</w:t>
      </w:r>
      <w:r w:rsidRPr="00251A53">
        <w:t xml:space="preserve"> planning, monitoring and evaluation capacities</w:t>
      </w:r>
      <w:r w:rsidR="00733EDC" w:rsidRPr="00251A53">
        <w:t>,</w:t>
      </w:r>
      <w:r w:rsidRPr="00251A53">
        <w:t xml:space="preserve"> to support continual improveme</w:t>
      </w:r>
      <w:r w:rsidR="009E25B0" w:rsidRPr="00251A53">
        <w:t xml:space="preserve">nt. </w:t>
      </w:r>
    </w:p>
    <w:p w14:paraId="25803891" w14:textId="6F6D392B" w:rsidR="001B77CD" w:rsidRPr="00251A53" w:rsidRDefault="009E25B0" w:rsidP="0038794E">
      <w:pPr>
        <w:pStyle w:val="Num1para"/>
      </w:pPr>
      <w:r w:rsidRPr="00251A53">
        <w:t>The Joint O</w:t>
      </w:r>
      <w:r w:rsidR="001B77CD" w:rsidRPr="00251A53">
        <w:t xml:space="preserve">ffice will continually seek innovative solutions to efficiently support the interventions of the three agencies in a holistic manner, providing a unique platform for the integrated approach required by the </w:t>
      </w:r>
      <w:r w:rsidR="003745CE" w:rsidRPr="00251A53">
        <w:t xml:space="preserve">2030 </w:t>
      </w:r>
      <w:r w:rsidR="001B77CD" w:rsidRPr="00251A53">
        <w:t xml:space="preserve">Agenda, and leveraging coordinated action within the </w:t>
      </w:r>
      <w:r w:rsidR="00733EDC" w:rsidRPr="00251A53">
        <w:t>United Nations</w:t>
      </w:r>
      <w:r w:rsidR="001B77CD" w:rsidRPr="00251A53">
        <w:t xml:space="preserve"> </w:t>
      </w:r>
      <w:r w:rsidR="00733EDC" w:rsidRPr="00251A53">
        <w:t>s</w:t>
      </w:r>
      <w:r w:rsidR="001B77CD" w:rsidRPr="00251A53">
        <w:t>ystem</w:t>
      </w:r>
      <w:r w:rsidRPr="00251A53">
        <w:t>,</w:t>
      </w:r>
      <w:r w:rsidR="001B77CD" w:rsidRPr="00251A53">
        <w:t xml:space="preserve"> in a </w:t>
      </w:r>
      <w:r w:rsidR="003745CE" w:rsidRPr="00251A53">
        <w:t>“</w:t>
      </w:r>
      <w:r w:rsidR="001B77CD" w:rsidRPr="00251A53">
        <w:t xml:space="preserve">Delivering as </w:t>
      </w:r>
      <w:r w:rsidR="003745CE" w:rsidRPr="00251A53">
        <w:t xml:space="preserve">one” </w:t>
      </w:r>
      <w:r w:rsidR="001B77CD" w:rsidRPr="00251A53">
        <w:t>context, to support SDG implementation. UNDP will continue to provide the fully integrated operational platform for the Joint Office</w:t>
      </w:r>
      <w:r w:rsidR="00521800" w:rsidRPr="00251A53">
        <w:t>,</w:t>
      </w:r>
      <w:r w:rsidR="001B77CD" w:rsidRPr="00251A53">
        <w:t xml:space="preserve"> creating economies of scale for the representation of the three agencies. The programme will be nationally executed under the coordination of the Ministry of Foreign Affairs and Communities, and managed within the framework of the UNDAF</w:t>
      </w:r>
      <w:r w:rsidR="00D31401" w:rsidRPr="00251A53">
        <w:t xml:space="preserve"> –</w:t>
      </w:r>
      <w:r w:rsidR="001B77CD" w:rsidRPr="00251A53">
        <w:t xml:space="preserve"> giving preference, whenever possible, to joint programming and joined-up work with </w:t>
      </w:r>
      <w:r w:rsidR="00D31401" w:rsidRPr="00251A53">
        <w:t>United Nations</w:t>
      </w:r>
      <w:r w:rsidR="001B77CD" w:rsidRPr="00251A53">
        <w:t xml:space="preserve"> system agencies. Projects will use the most appropriate implementation modality to ensure </w:t>
      </w:r>
      <w:r w:rsidR="00521800" w:rsidRPr="00251A53">
        <w:t xml:space="preserve">the </w:t>
      </w:r>
      <w:r w:rsidR="001B77CD" w:rsidRPr="00251A53">
        <w:t>effective and efficient delivery of nationally owned, sustainable results.</w:t>
      </w:r>
      <w:r w:rsidR="00F873EA" w:rsidRPr="00251A53">
        <w:t xml:space="preserve"> </w:t>
      </w:r>
      <w:r w:rsidR="001B77CD" w:rsidRPr="00251A53">
        <w:t>The Joint Office is compliant</w:t>
      </w:r>
      <w:r w:rsidR="0038794E" w:rsidRPr="00251A53">
        <w:t xml:space="preserve"> with the harmonized approach to cash transfers</w:t>
      </w:r>
      <w:r w:rsidR="001B77CD" w:rsidRPr="00251A53">
        <w:t>, and will evaluate the capacity of all implementing partners, including risk assessment and</w:t>
      </w:r>
      <w:r w:rsidR="00521800" w:rsidRPr="00251A53">
        <w:t xml:space="preserve"> the</w:t>
      </w:r>
      <w:r w:rsidR="001B77CD" w:rsidRPr="00251A53">
        <w:t xml:space="preserve"> identification of</w:t>
      </w:r>
      <w:r w:rsidR="008C5A36" w:rsidRPr="00251A53">
        <w:t xml:space="preserve"> corrective actions. An annual </w:t>
      </w:r>
      <w:r w:rsidR="00F83A32" w:rsidRPr="00251A53">
        <w:t>a</w:t>
      </w:r>
      <w:r w:rsidR="001B77CD" w:rsidRPr="00251A53">
        <w:t xml:space="preserve">ssurance </w:t>
      </w:r>
      <w:r w:rsidR="00F83A32" w:rsidRPr="00251A53">
        <w:t>p</w:t>
      </w:r>
      <w:r w:rsidR="001B77CD" w:rsidRPr="00251A53">
        <w:t>lan will be dev</w:t>
      </w:r>
      <w:r w:rsidR="000225B6" w:rsidRPr="00251A53">
        <w:t xml:space="preserve">eloped with a programme of spot </w:t>
      </w:r>
      <w:r w:rsidR="001B77CD" w:rsidRPr="00251A53">
        <w:t xml:space="preserve">checks, site visits and audits. </w:t>
      </w:r>
    </w:p>
    <w:p w14:paraId="4306D21A" w14:textId="77777777" w:rsidR="001B77CD" w:rsidRPr="00251A53" w:rsidRDefault="001B77CD" w:rsidP="001B77CD">
      <w:pPr>
        <w:pStyle w:val="Num1para"/>
      </w:pPr>
      <w:r w:rsidRPr="00251A53">
        <w:t>The programme is susceptible to a variety of risks, which will be continually monitored and evaluated</w:t>
      </w:r>
      <w:r w:rsidR="0038794E" w:rsidRPr="00251A53">
        <w:t>,</w:t>
      </w:r>
      <w:r w:rsidRPr="00251A53">
        <w:t xml:space="preserve"> using institutional mapping, risk analysis and tracking tools. All programme and project documents will explicitly evaluate and manage risks to minimize </w:t>
      </w:r>
      <w:r w:rsidR="0038794E" w:rsidRPr="00251A53">
        <w:t>any</w:t>
      </w:r>
      <w:r w:rsidRPr="00251A53">
        <w:t xml:space="preserve"> impact on results</w:t>
      </w:r>
      <w:r w:rsidR="007868A3" w:rsidRPr="00251A53">
        <w:t xml:space="preserve">; </w:t>
      </w:r>
      <w:r w:rsidRPr="00251A53">
        <w:t>they will be regularly assessed during implementation.</w:t>
      </w:r>
    </w:p>
    <w:p w14:paraId="77B71336" w14:textId="79387139" w:rsidR="001B77CD" w:rsidRPr="00251A53" w:rsidRDefault="001B77CD" w:rsidP="001B77CD">
      <w:pPr>
        <w:pStyle w:val="Num1para"/>
      </w:pPr>
      <w:r w:rsidRPr="00251A53">
        <w:t>Financial and economic shocks could lead to a reduction in overall programme resources and economic instability. This will be mitigated through a financing for development assessment</w:t>
      </w:r>
      <w:r w:rsidR="007868A3" w:rsidRPr="00251A53">
        <w:t>,</w:t>
      </w:r>
      <w:r w:rsidRPr="00251A53">
        <w:t xml:space="preserve"> providing the basis for the development of resource </w:t>
      </w:r>
      <w:r w:rsidRPr="00251A53">
        <w:lastRenderedPageBreak/>
        <w:t>mobilization and partnership strategies to strengthen relationships with existing bilateral and multilateral development partners</w:t>
      </w:r>
      <w:r w:rsidR="00D96FD0" w:rsidRPr="00251A53">
        <w:rPr>
          <w:rStyle w:val="FootnoteReference"/>
        </w:rPr>
        <w:footnoteReference w:id="15"/>
      </w:r>
      <w:r w:rsidR="0072554B" w:rsidRPr="00251A53">
        <w:t xml:space="preserve"> </w:t>
      </w:r>
      <w:r w:rsidRPr="00251A53">
        <w:t xml:space="preserve">and </w:t>
      </w:r>
      <w:r w:rsidR="00447B93" w:rsidRPr="00251A53">
        <w:t xml:space="preserve">to </w:t>
      </w:r>
      <w:r w:rsidRPr="00251A53">
        <w:t>diversify the resource base</w:t>
      </w:r>
      <w:r w:rsidR="00B44BA3" w:rsidRPr="00251A53">
        <w:t>,</w:t>
      </w:r>
      <w:r w:rsidRPr="00251A53">
        <w:t xml:space="preserve"> exploring opportunities for innovative partnerships, </w:t>
      </w:r>
      <w:r w:rsidR="00B44BA3" w:rsidRPr="00251A53">
        <w:t>particularly</w:t>
      </w:r>
      <w:r w:rsidRPr="00251A53">
        <w:t xml:space="preserve"> South-South, triangular and decentralized cooperation. </w:t>
      </w:r>
    </w:p>
    <w:p w14:paraId="4568E605" w14:textId="4BD23C40" w:rsidR="001B77CD" w:rsidRPr="00251A53" w:rsidRDefault="001B77CD" w:rsidP="001B77CD">
      <w:pPr>
        <w:pStyle w:val="Num1para"/>
      </w:pPr>
      <w:r w:rsidRPr="00251A53">
        <w:t xml:space="preserve">Enhancing </w:t>
      </w:r>
      <w:r w:rsidR="008D5599" w:rsidRPr="00251A53">
        <w:t xml:space="preserve">the capacity of </w:t>
      </w:r>
      <w:r w:rsidRPr="00251A53">
        <w:t xml:space="preserve">Cabo Verde to manage climate-related and natural hazards is a core programme component aimed at </w:t>
      </w:r>
      <w:r w:rsidR="00B47896" w:rsidRPr="00251A53">
        <w:t xml:space="preserve">reducing risks and </w:t>
      </w:r>
      <w:r w:rsidRPr="00251A53">
        <w:t xml:space="preserve">strengthening the resilience of communities, institutions, businesses and infrastructure. Support for </w:t>
      </w:r>
      <w:r w:rsidR="00CE2723" w:rsidRPr="00251A53">
        <w:t xml:space="preserve">the </w:t>
      </w:r>
      <w:r w:rsidRPr="00251A53">
        <w:t xml:space="preserve">implementation of the </w:t>
      </w:r>
      <w:r w:rsidR="008E2A26" w:rsidRPr="00251A53">
        <w:t>g</w:t>
      </w:r>
      <w:r w:rsidRPr="00251A53">
        <w:t>overnment</w:t>
      </w:r>
      <w:r w:rsidR="0077626C" w:rsidRPr="00251A53">
        <w:t xml:space="preserve"> disaster risk-</w:t>
      </w:r>
      <w:r w:rsidRPr="00251A53">
        <w:t xml:space="preserve">reduction strategy and </w:t>
      </w:r>
      <w:r w:rsidR="00CE2723" w:rsidRPr="00251A53">
        <w:t xml:space="preserve">the use of </w:t>
      </w:r>
      <w:r w:rsidRPr="00251A53">
        <w:t xml:space="preserve">UNDP positioning to leverage climate and environmental financing will simultaneously mitigate risks to the programme. </w:t>
      </w:r>
    </w:p>
    <w:p w14:paraId="644D1AC4" w14:textId="7CC992F7" w:rsidR="001B77CD" w:rsidRPr="00251A53" w:rsidRDefault="001B77CD" w:rsidP="001B77CD">
      <w:pPr>
        <w:pStyle w:val="Num1para"/>
      </w:pPr>
      <w:r w:rsidRPr="00251A53">
        <w:t>Territorial fragmentation increases transaction costs</w:t>
      </w:r>
      <w:r w:rsidR="008E2A26" w:rsidRPr="00251A53">
        <w:t>,</w:t>
      </w:r>
      <w:r w:rsidRPr="00251A53">
        <w:t xml:space="preserve"> and implies a risk that interventions will not always reach the poorest and most vulnerable. The programme will strengthen national planning, information and monitoring systems</w:t>
      </w:r>
      <w:r w:rsidR="008E2A26" w:rsidRPr="00251A53">
        <w:t>,</w:t>
      </w:r>
      <w:r w:rsidRPr="00251A53">
        <w:t xml:space="preserve"> at both </w:t>
      </w:r>
      <w:r w:rsidR="00CE2723" w:rsidRPr="00251A53">
        <w:t xml:space="preserve">the </w:t>
      </w:r>
      <w:r w:rsidRPr="00251A53">
        <w:t>central and local levels</w:t>
      </w:r>
      <w:r w:rsidR="008E2A26" w:rsidRPr="00251A53">
        <w:t>,</w:t>
      </w:r>
      <w:r w:rsidRPr="00251A53">
        <w:t xml:space="preserve"> t</w:t>
      </w:r>
      <w:r w:rsidR="0081590D" w:rsidRPr="00251A53">
        <w:t>o improve evidence-based policy</w:t>
      </w:r>
      <w:r w:rsidRPr="00251A53">
        <w:t xml:space="preserve">making and continually review progress towards the SDGs. </w:t>
      </w:r>
      <w:r w:rsidR="008E2A26" w:rsidRPr="00251A53">
        <w:t>S</w:t>
      </w:r>
      <w:r w:rsidRPr="00251A53">
        <w:t xml:space="preserve">upport to the decentralization process will improve efficiency by enhancing local government financial and decision-making authority. </w:t>
      </w:r>
    </w:p>
    <w:p w14:paraId="7D08BFF2" w14:textId="77777777" w:rsidR="001B77CD" w:rsidRPr="00251A53" w:rsidRDefault="001B77CD" w:rsidP="001B77CD">
      <w:pPr>
        <w:pStyle w:val="Num1para"/>
      </w:pPr>
      <w:r w:rsidRPr="00251A53">
        <w:t>In accordance with UNDP</w:t>
      </w:r>
      <w:r w:rsidR="00B44BA3" w:rsidRPr="00251A53">
        <w:t>/UNFPA/UNOPS</w:t>
      </w:r>
      <w:r w:rsidRPr="00251A53">
        <w:t xml:space="preserve"> Executive Board decision 2013/</w:t>
      </w:r>
      <w:r w:rsidR="00A63BFE" w:rsidRPr="00251A53">
        <w:t>9</w:t>
      </w:r>
      <w:r w:rsidRPr="00251A53">
        <w:t>, all UNDP direct costs associated with project implementation will be charged to the concerned projects.</w:t>
      </w:r>
    </w:p>
    <w:p w14:paraId="53B89296" w14:textId="77777777" w:rsidR="00B64FCB" w:rsidRPr="00251A53" w:rsidRDefault="00AC3CF7" w:rsidP="00126259">
      <w:pPr>
        <w:pStyle w:val="Heading1"/>
        <w:rPr>
          <w:noProof w:val="0"/>
          <w:lang w:val="en-GB"/>
        </w:rPr>
      </w:pPr>
      <w:bookmarkStart w:id="4" w:name="_Toc494799120"/>
      <w:r w:rsidRPr="00251A53">
        <w:rPr>
          <w:noProof w:val="0"/>
          <w:lang w:val="en-GB"/>
        </w:rPr>
        <w:t>M</w:t>
      </w:r>
      <w:r w:rsidR="00B64FCB" w:rsidRPr="00251A53">
        <w:rPr>
          <w:noProof w:val="0"/>
          <w:lang w:val="en-GB"/>
        </w:rPr>
        <w:t xml:space="preserve">onitoring and </w:t>
      </w:r>
      <w:r w:rsidR="007D0CF1" w:rsidRPr="00251A53">
        <w:rPr>
          <w:noProof w:val="0"/>
          <w:lang w:val="en-GB"/>
        </w:rPr>
        <w:t>e</w:t>
      </w:r>
      <w:r w:rsidR="00B64FCB" w:rsidRPr="00251A53">
        <w:rPr>
          <w:noProof w:val="0"/>
          <w:lang w:val="en-GB"/>
        </w:rPr>
        <w:t>valuation</w:t>
      </w:r>
      <w:bookmarkEnd w:id="4"/>
    </w:p>
    <w:p w14:paraId="6ADC5F14" w14:textId="77777777" w:rsidR="002908E3" w:rsidRPr="00251A53" w:rsidRDefault="002908E3" w:rsidP="002908E3">
      <w:pPr>
        <w:pStyle w:val="Num1para"/>
      </w:pPr>
      <w:r w:rsidRPr="00251A53">
        <w:t>UNDP, UNFPA and UNICEF will support national monitoring, evaluation and statistical systems, specifically on SDG integration, to increase available evidence to support policy analysis and planning. The focus will be on national data, information and evidence</w:t>
      </w:r>
      <w:r w:rsidR="002E6324" w:rsidRPr="00251A53">
        <w:t>,</w:t>
      </w:r>
      <w:r w:rsidRPr="00251A53">
        <w:t xml:space="preserve"> including civil re</w:t>
      </w:r>
      <w:r w:rsidR="0081590D" w:rsidRPr="00251A53">
        <w:t>gistration and vital statistics</w:t>
      </w:r>
      <w:r w:rsidR="002E6324" w:rsidRPr="00251A53">
        <w:t>,</w:t>
      </w:r>
      <w:r w:rsidRPr="00251A53">
        <w:t xml:space="preserve"> as a b</w:t>
      </w:r>
      <w:r w:rsidR="00B278A7" w:rsidRPr="00251A53">
        <w:t>asis for reporting, capitaliz</w:t>
      </w:r>
      <w:r w:rsidRPr="00251A53">
        <w:t>ing on strong partnerships with the Nat</w:t>
      </w:r>
      <w:r w:rsidR="00B278A7" w:rsidRPr="00251A53">
        <w:t>ional Institute of Statistics</w:t>
      </w:r>
      <w:r w:rsidR="002E6324" w:rsidRPr="00251A53">
        <w:t xml:space="preserve"> (INE) as well as </w:t>
      </w:r>
      <w:r w:rsidR="00B278A7" w:rsidRPr="00251A53">
        <w:t>research centres</w:t>
      </w:r>
      <w:r w:rsidRPr="00251A53">
        <w:t xml:space="preserve"> and universities. Efforts will be redoubled to strengthen the capacity of the agencies responsible for producing, </w:t>
      </w:r>
      <w:r w:rsidR="005B7D49" w:rsidRPr="00251A53">
        <w:t>analysing</w:t>
      </w:r>
      <w:r w:rsidRPr="00251A53">
        <w:t xml:space="preserve"> and publishing data to ensure that information is </w:t>
      </w:r>
      <w:r w:rsidR="0037472C" w:rsidRPr="00251A53">
        <w:t>current</w:t>
      </w:r>
      <w:r w:rsidRPr="00251A53">
        <w:t xml:space="preserve">, reliable and disaggregated </w:t>
      </w:r>
      <w:r w:rsidR="00B278A7" w:rsidRPr="00251A53">
        <w:t xml:space="preserve">by gender and age </w:t>
      </w:r>
      <w:r w:rsidR="0037472C" w:rsidRPr="00251A53">
        <w:t>or</w:t>
      </w:r>
      <w:r w:rsidR="00B278A7" w:rsidRPr="00251A53">
        <w:t xml:space="preserve"> other</w:t>
      </w:r>
      <w:r w:rsidR="009452A9" w:rsidRPr="00251A53">
        <w:t xml:space="preserve"> categories</w:t>
      </w:r>
      <w:r w:rsidRPr="00251A53">
        <w:t>, including regional, urban, peri-urban and rural</w:t>
      </w:r>
      <w:r w:rsidR="009452A9" w:rsidRPr="00251A53">
        <w:t xml:space="preserve"> subcategories.</w:t>
      </w:r>
    </w:p>
    <w:p w14:paraId="23387342" w14:textId="5B5E499A" w:rsidR="002908E3" w:rsidRPr="00251A53" w:rsidRDefault="002908E3" w:rsidP="002908E3">
      <w:pPr>
        <w:pStyle w:val="Num1para"/>
      </w:pPr>
      <w:r w:rsidRPr="00251A53">
        <w:t>The United Nations</w:t>
      </w:r>
      <w:r w:rsidR="00EE6B5E" w:rsidRPr="00251A53">
        <w:t xml:space="preserve"> and </w:t>
      </w:r>
      <w:r w:rsidR="00CE2723" w:rsidRPr="00251A53">
        <w:t xml:space="preserve">government </w:t>
      </w:r>
      <w:r w:rsidRPr="00251A53">
        <w:t xml:space="preserve">results groups will oversee programme monitoring. Agency-specific indicators will be tracked through an integrated </w:t>
      </w:r>
      <w:r w:rsidR="00027AA6" w:rsidRPr="00251A53">
        <w:t>monitoring and evaluation</w:t>
      </w:r>
      <w:r w:rsidR="00D44856" w:rsidRPr="00251A53">
        <w:t xml:space="preserve"> </w:t>
      </w:r>
      <w:r w:rsidRPr="00251A53">
        <w:t>system</w:t>
      </w:r>
      <w:r w:rsidR="009452A9" w:rsidRPr="00251A53">
        <w:t>,</w:t>
      </w:r>
      <w:r w:rsidRPr="00251A53">
        <w:t xml:space="preserve"> with common indicators based on the </w:t>
      </w:r>
      <w:r w:rsidR="009452A9" w:rsidRPr="00251A53">
        <w:t>r</w:t>
      </w:r>
      <w:r w:rsidRPr="00251A53">
        <w:t xml:space="preserve">esource and </w:t>
      </w:r>
      <w:r w:rsidR="009452A9" w:rsidRPr="00251A53">
        <w:t>r</w:t>
      </w:r>
      <w:r w:rsidRPr="00251A53">
        <w:t xml:space="preserve">esults </w:t>
      </w:r>
      <w:r w:rsidR="009452A9" w:rsidRPr="00251A53">
        <w:t>f</w:t>
      </w:r>
      <w:r w:rsidRPr="00251A53">
        <w:t>ramework</w:t>
      </w:r>
      <w:r w:rsidR="009452A9" w:rsidRPr="00251A53">
        <w:t>,</w:t>
      </w:r>
      <w:r w:rsidRPr="00251A53">
        <w:t xml:space="preserve"> interfacing with </w:t>
      </w:r>
      <w:r w:rsidR="00027AA6" w:rsidRPr="00251A53">
        <w:t>monitoring and evaluation</w:t>
      </w:r>
      <w:r w:rsidRPr="00251A53">
        <w:t xml:space="preserve"> systems of the three agencies. </w:t>
      </w:r>
    </w:p>
    <w:p w14:paraId="47AA8185" w14:textId="2ED515B7" w:rsidR="00293A8A" w:rsidRPr="00251A53" w:rsidRDefault="002908E3" w:rsidP="002908E3">
      <w:pPr>
        <w:pStyle w:val="Num1para"/>
      </w:pPr>
      <w:r w:rsidRPr="00251A53">
        <w:t xml:space="preserve">Approximately 5 </w:t>
      </w:r>
      <w:r w:rsidR="00072C30" w:rsidRPr="00251A53">
        <w:t>per cent</w:t>
      </w:r>
      <w:r w:rsidRPr="00251A53">
        <w:t xml:space="preserve"> of the annual budget will be earmarked for </w:t>
      </w:r>
      <w:r w:rsidR="00027AA6" w:rsidRPr="00251A53">
        <w:t>monitoring and evaluation</w:t>
      </w:r>
      <w:r w:rsidRPr="00251A53">
        <w:t xml:space="preserve"> a</w:t>
      </w:r>
      <w:r w:rsidR="005F38BC" w:rsidRPr="00251A53">
        <w:t xml:space="preserve">nd </w:t>
      </w:r>
      <w:r w:rsidR="00EE6B5E" w:rsidRPr="00251A53">
        <w:t xml:space="preserve">for </w:t>
      </w:r>
      <w:r w:rsidR="005F38BC" w:rsidRPr="00251A53">
        <w:t>a multi-year research agenda</w:t>
      </w:r>
      <w:r w:rsidRPr="00251A53">
        <w:t xml:space="preserve"> supporting</w:t>
      </w:r>
      <w:r w:rsidR="005F38BC" w:rsidRPr="00251A53">
        <w:t>,</w:t>
      </w:r>
      <w:r w:rsidRPr="00251A53">
        <w:t xml:space="preserve"> whenever possible, national efforts to overcome data deficiencies and produce </w:t>
      </w:r>
      <w:r w:rsidR="00EE6B5E" w:rsidRPr="00251A53">
        <w:t>high-</w:t>
      </w:r>
      <w:r w:rsidRPr="00251A53">
        <w:t>quality information. Data and evidence will be used to track performance, inform decisions and undertake output and outcome progr</w:t>
      </w:r>
      <w:r w:rsidR="00C45281" w:rsidRPr="00251A53">
        <w:t>ess reviews as well as joint annual r</w:t>
      </w:r>
      <w:r w:rsidRPr="00251A53">
        <w:t xml:space="preserve">eviews within the framework of UNDAF monitoring arrangements. The Joint Office will draw on data produced </w:t>
      </w:r>
      <w:r w:rsidR="007451CF" w:rsidRPr="00251A53">
        <w:t xml:space="preserve">(in-country and regionally) </w:t>
      </w:r>
      <w:r w:rsidRPr="00251A53">
        <w:t xml:space="preserve">by other </w:t>
      </w:r>
      <w:r w:rsidR="00263A39" w:rsidRPr="00251A53">
        <w:t>United Nations</w:t>
      </w:r>
      <w:r w:rsidRPr="00251A53">
        <w:t xml:space="preserve"> agencies and bilateral and multilateral development partners. The Joint Office wil</w:t>
      </w:r>
      <w:r w:rsidR="00C45281" w:rsidRPr="00251A53">
        <w:t>l consolidate the use of gender-</w:t>
      </w:r>
      <w:r w:rsidRPr="00251A53">
        <w:t>impact measurement tools</w:t>
      </w:r>
      <w:r w:rsidR="007451CF" w:rsidRPr="00251A53">
        <w:t>,</w:t>
      </w:r>
      <w:r w:rsidRPr="00251A53">
        <w:t xml:space="preserve"> such as gender markers, gender-based planning and budgeting</w:t>
      </w:r>
      <w:r w:rsidR="00EE73FB" w:rsidRPr="00251A53">
        <w:t>,</w:t>
      </w:r>
      <w:r w:rsidRPr="00251A53">
        <w:t xml:space="preserve"> both for internal reporting and </w:t>
      </w:r>
      <w:r w:rsidR="00840083" w:rsidRPr="00251A53">
        <w:t xml:space="preserve">the </w:t>
      </w:r>
      <w:r w:rsidRPr="00251A53">
        <w:t>monitoring of public policies and plans.</w:t>
      </w:r>
    </w:p>
    <w:p w14:paraId="73379D49" w14:textId="77777777" w:rsidR="00B64FCB" w:rsidRPr="00251A53" w:rsidRDefault="00B64FCB" w:rsidP="00F873EA">
      <w:pPr>
        <w:pStyle w:val="Num1para"/>
        <w:numPr>
          <w:ilvl w:val="0"/>
          <w:numId w:val="0"/>
        </w:numPr>
        <w:ind w:left="1267"/>
      </w:pPr>
    </w:p>
    <w:p w14:paraId="3799EEC8" w14:textId="77777777" w:rsidR="00B64FCB" w:rsidRPr="00251A53" w:rsidRDefault="00B64FCB" w:rsidP="00B64FCB">
      <w:pPr>
        <w:pStyle w:val="DualTxt"/>
        <w:spacing w:after="0" w:line="240" w:lineRule="auto"/>
        <w:rPr>
          <w:sz w:val="24"/>
        </w:rPr>
        <w:sectPr w:rsidR="00B64FCB" w:rsidRPr="00251A53" w:rsidSect="00B64FCB">
          <w:headerReference w:type="even" r:id="rId8"/>
          <w:headerReference w:type="default" r:id="rId9"/>
          <w:footerReference w:type="even" r:id="rId10"/>
          <w:footerReference w:type="default" r:id="rId11"/>
          <w:headerReference w:type="first" r:id="rId12"/>
          <w:pgSz w:w="12240" w:h="15840" w:code="1"/>
          <w:pgMar w:top="1152" w:right="1440" w:bottom="1152" w:left="1440" w:header="576" w:footer="1037" w:gutter="0"/>
          <w:cols w:space="634"/>
          <w:noEndnote/>
          <w:titlePg/>
          <w:docGrid w:linePitch="280"/>
        </w:sectPr>
      </w:pPr>
    </w:p>
    <w:p w14:paraId="276A52D6" w14:textId="77777777" w:rsidR="00E14726" w:rsidRPr="00251A53" w:rsidRDefault="009A2196" w:rsidP="009A2196">
      <w:pPr>
        <w:pStyle w:val="Heading2"/>
        <w:rPr>
          <w:bCs/>
        </w:rPr>
      </w:pPr>
      <w:bookmarkStart w:id="5" w:name="_Toc494799121"/>
      <w:r w:rsidRPr="00251A53">
        <w:lastRenderedPageBreak/>
        <w:t>Annex.</w:t>
      </w:r>
      <w:r w:rsidR="008D30C5" w:rsidRPr="00251A53">
        <w:tab/>
      </w:r>
      <w:r w:rsidR="00584CE6" w:rsidRPr="00251A53">
        <w:t>Results and resources framework for Cabo Verde (2018-2022)</w:t>
      </w:r>
      <w:bookmarkEnd w:id="5"/>
    </w:p>
    <w:tbl>
      <w:tblPr>
        <w:tblpPr w:leftFromText="180" w:rightFromText="180" w:vertAnchor="text" w:tblpY="1"/>
        <w:tblOverlap w:val="neve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972"/>
        <w:gridCol w:w="2250"/>
        <w:gridCol w:w="4500"/>
        <w:gridCol w:w="32"/>
        <w:gridCol w:w="158"/>
        <w:gridCol w:w="1442"/>
        <w:gridCol w:w="904"/>
        <w:gridCol w:w="901"/>
        <w:gridCol w:w="975"/>
      </w:tblGrid>
      <w:tr w:rsidR="004255D8" w:rsidRPr="00251A53" w14:paraId="43835080" w14:textId="77777777" w:rsidTr="000B26F0">
        <w:trPr>
          <w:trHeight w:val="20"/>
        </w:trPr>
        <w:tc>
          <w:tcPr>
            <w:tcW w:w="5000" w:type="pct"/>
            <w:gridSpan w:val="9"/>
            <w:shd w:val="clear" w:color="auto" w:fill="DEEAF6" w:themeFill="accent1" w:themeFillTint="33"/>
            <w:tcMar>
              <w:top w:w="72" w:type="dxa"/>
              <w:left w:w="144" w:type="dxa"/>
              <w:bottom w:w="72" w:type="dxa"/>
              <w:right w:w="144" w:type="dxa"/>
            </w:tcMar>
          </w:tcPr>
          <w:p w14:paraId="34F8AFF6" w14:textId="77777777" w:rsidR="004255D8" w:rsidRPr="00251A53" w:rsidRDefault="004255D8" w:rsidP="007612AB">
            <w:pPr>
              <w:spacing w:before="20" w:after="20"/>
              <w:rPr>
                <w:sz w:val="18"/>
                <w:szCs w:val="18"/>
              </w:rPr>
            </w:pPr>
            <w:r w:rsidRPr="00251A53">
              <w:rPr>
                <w:b/>
                <w:bCs/>
                <w:sz w:val="18"/>
                <w:szCs w:val="18"/>
              </w:rPr>
              <w:t>N</w:t>
            </w:r>
            <w:r w:rsidR="00160CAF" w:rsidRPr="00251A53">
              <w:rPr>
                <w:b/>
                <w:bCs/>
                <w:sz w:val="18"/>
                <w:szCs w:val="18"/>
              </w:rPr>
              <w:t>ational</w:t>
            </w:r>
            <w:r w:rsidRPr="00251A53">
              <w:rPr>
                <w:b/>
                <w:bCs/>
                <w:sz w:val="18"/>
                <w:szCs w:val="18"/>
              </w:rPr>
              <w:t xml:space="preserve"> </w:t>
            </w:r>
            <w:r w:rsidR="00160CAF" w:rsidRPr="00251A53">
              <w:rPr>
                <w:b/>
                <w:bCs/>
                <w:sz w:val="18"/>
                <w:szCs w:val="18"/>
              </w:rPr>
              <w:t>priority:</w:t>
            </w:r>
            <w:r w:rsidRPr="00251A53">
              <w:rPr>
                <w:b/>
                <w:sz w:val="18"/>
                <w:szCs w:val="18"/>
              </w:rPr>
              <w:t xml:space="preserve"> </w:t>
            </w:r>
            <w:r w:rsidRPr="00251A53">
              <w:rPr>
                <w:sz w:val="18"/>
                <w:szCs w:val="18"/>
              </w:rPr>
              <w:t>W</w:t>
            </w:r>
            <w:r w:rsidR="00160CAF" w:rsidRPr="00251A53">
              <w:rPr>
                <w:sz w:val="18"/>
                <w:szCs w:val="18"/>
              </w:rPr>
              <w:t>elfare</w:t>
            </w:r>
            <w:r w:rsidRPr="00251A53">
              <w:rPr>
                <w:sz w:val="18"/>
                <w:szCs w:val="18"/>
              </w:rPr>
              <w:t xml:space="preserve"> </w:t>
            </w:r>
            <w:r w:rsidR="00160CAF" w:rsidRPr="00251A53">
              <w:rPr>
                <w:sz w:val="18"/>
                <w:szCs w:val="18"/>
              </w:rPr>
              <w:t>State</w:t>
            </w:r>
            <w:r w:rsidRPr="00251A53">
              <w:rPr>
                <w:sz w:val="18"/>
                <w:szCs w:val="18"/>
              </w:rPr>
              <w:t xml:space="preserve">, </w:t>
            </w:r>
            <w:r w:rsidR="00160CAF" w:rsidRPr="00251A53">
              <w:rPr>
                <w:sz w:val="18"/>
                <w:szCs w:val="18"/>
              </w:rPr>
              <w:t>human</w:t>
            </w:r>
            <w:r w:rsidRPr="00251A53">
              <w:rPr>
                <w:sz w:val="18"/>
                <w:szCs w:val="18"/>
              </w:rPr>
              <w:t xml:space="preserve"> </w:t>
            </w:r>
            <w:r w:rsidR="00160CAF" w:rsidRPr="00251A53">
              <w:rPr>
                <w:sz w:val="18"/>
                <w:szCs w:val="18"/>
              </w:rPr>
              <w:t>capital,</w:t>
            </w:r>
            <w:r w:rsidRPr="00251A53">
              <w:rPr>
                <w:sz w:val="18"/>
                <w:szCs w:val="18"/>
              </w:rPr>
              <w:t xml:space="preserve"> </w:t>
            </w:r>
            <w:r w:rsidR="00A20DA6" w:rsidRPr="00251A53">
              <w:rPr>
                <w:sz w:val="18"/>
                <w:szCs w:val="18"/>
              </w:rPr>
              <w:t>quality of life</w:t>
            </w:r>
            <w:r w:rsidRPr="00251A53">
              <w:rPr>
                <w:sz w:val="18"/>
                <w:szCs w:val="18"/>
              </w:rPr>
              <w:t xml:space="preserve"> </w:t>
            </w:r>
            <w:r w:rsidR="00D807D3" w:rsidRPr="00251A53">
              <w:rPr>
                <w:sz w:val="18"/>
                <w:szCs w:val="18"/>
              </w:rPr>
              <w:t>and combat</w:t>
            </w:r>
            <w:r w:rsidR="00A20DA6" w:rsidRPr="00251A53">
              <w:rPr>
                <w:sz w:val="18"/>
                <w:szCs w:val="18"/>
              </w:rPr>
              <w:t>ing inequalities</w:t>
            </w:r>
            <w:r w:rsidRPr="00251A53">
              <w:rPr>
                <w:sz w:val="18"/>
                <w:szCs w:val="18"/>
              </w:rPr>
              <w:t xml:space="preserve"> (PEDS </w:t>
            </w:r>
            <w:r w:rsidR="00A20DA6" w:rsidRPr="00251A53">
              <w:rPr>
                <w:sz w:val="18"/>
                <w:szCs w:val="18"/>
              </w:rPr>
              <w:t>social pillar)</w:t>
            </w:r>
            <w:r w:rsidRPr="00251A53">
              <w:rPr>
                <w:bCs/>
                <w:sz w:val="18"/>
                <w:szCs w:val="18"/>
              </w:rPr>
              <w:t xml:space="preserve"> </w:t>
            </w:r>
            <w:r w:rsidR="009D68B6" w:rsidRPr="00251A53">
              <w:rPr>
                <w:bCs/>
                <w:sz w:val="18"/>
                <w:szCs w:val="18"/>
              </w:rPr>
              <w:t>(</w:t>
            </w:r>
            <w:r w:rsidR="00A20DA6" w:rsidRPr="00251A53">
              <w:rPr>
                <w:bCs/>
                <w:sz w:val="18"/>
                <w:szCs w:val="18"/>
              </w:rPr>
              <w:t>SDGs</w:t>
            </w:r>
            <w:r w:rsidRPr="00251A53">
              <w:rPr>
                <w:bCs/>
                <w:sz w:val="18"/>
                <w:szCs w:val="18"/>
              </w:rPr>
              <w:t xml:space="preserve"> 1, 3, 4, 5, 8, 10)</w:t>
            </w:r>
          </w:p>
        </w:tc>
      </w:tr>
      <w:tr w:rsidR="004255D8" w:rsidRPr="00251A53" w14:paraId="5B58B04D" w14:textId="77777777" w:rsidTr="000B26F0">
        <w:trPr>
          <w:trHeight w:val="20"/>
        </w:trPr>
        <w:tc>
          <w:tcPr>
            <w:tcW w:w="5000" w:type="pct"/>
            <w:gridSpan w:val="9"/>
            <w:shd w:val="clear" w:color="auto" w:fill="DEEAF6" w:themeFill="accent1" w:themeFillTint="33"/>
            <w:tcMar>
              <w:top w:w="72" w:type="dxa"/>
              <w:left w:w="144" w:type="dxa"/>
              <w:bottom w:w="72" w:type="dxa"/>
              <w:right w:w="144" w:type="dxa"/>
            </w:tcMar>
          </w:tcPr>
          <w:p w14:paraId="1FB41A11" w14:textId="77777777" w:rsidR="004255D8" w:rsidRPr="00251A53" w:rsidRDefault="004255D8" w:rsidP="00E46E0C">
            <w:pPr>
              <w:spacing w:before="20" w:after="20"/>
              <w:rPr>
                <w:b/>
                <w:bCs/>
                <w:sz w:val="18"/>
                <w:szCs w:val="18"/>
              </w:rPr>
            </w:pPr>
            <w:r w:rsidRPr="00251A53">
              <w:rPr>
                <w:b/>
                <w:bCs/>
                <w:sz w:val="18"/>
                <w:szCs w:val="18"/>
              </w:rPr>
              <w:t xml:space="preserve">UNDAF </w:t>
            </w:r>
            <w:r w:rsidR="009D68B6" w:rsidRPr="00251A53">
              <w:rPr>
                <w:b/>
                <w:bCs/>
                <w:sz w:val="18"/>
                <w:szCs w:val="18"/>
              </w:rPr>
              <w:t>outcome</w:t>
            </w:r>
            <w:r w:rsidRPr="00251A53">
              <w:rPr>
                <w:b/>
                <w:bCs/>
                <w:sz w:val="18"/>
                <w:szCs w:val="18"/>
              </w:rPr>
              <w:t>:</w:t>
            </w:r>
            <w:r w:rsidRPr="00251A53">
              <w:rPr>
                <w:bCs/>
                <w:sz w:val="18"/>
                <w:szCs w:val="18"/>
              </w:rPr>
              <w:t xml:space="preserve"> </w:t>
            </w:r>
            <w:r w:rsidR="00E46E0C" w:rsidRPr="00251A53">
              <w:rPr>
                <w:bCs/>
                <w:sz w:val="18"/>
                <w:szCs w:val="18"/>
              </w:rPr>
              <w:t>(1.1) B</w:t>
            </w:r>
            <w:r w:rsidRPr="00251A53">
              <w:rPr>
                <w:bCs/>
                <w:sz w:val="18"/>
                <w:szCs w:val="18"/>
              </w:rPr>
              <w:t>y 2022, Cabo Verdeans, particularly the most vulnerable, have i</w:t>
            </w:r>
            <w:r w:rsidR="00F47B95" w:rsidRPr="00251A53">
              <w:rPr>
                <w:bCs/>
                <w:sz w:val="18"/>
                <w:szCs w:val="18"/>
              </w:rPr>
              <w:t>mproved access to, and use more quality health</w:t>
            </w:r>
            <w:r w:rsidRPr="00251A53">
              <w:rPr>
                <w:bCs/>
                <w:sz w:val="18"/>
                <w:szCs w:val="18"/>
              </w:rPr>
              <w:t xml:space="preserve"> and education services</w:t>
            </w:r>
            <w:r w:rsidR="00F47B95" w:rsidRPr="00251A53">
              <w:rPr>
                <w:bCs/>
                <w:sz w:val="18"/>
                <w:szCs w:val="18"/>
              </w:rPr>
              <w:t>,</w:t>
            </w:r>
            <w:r w:rsidRPr="00251A53">
              <w:rPr>
                <w:bCs/>
                <w:sz w:val="18"/>
                <w:szCs w:val="18"/>
              </w:rPr>
              <w:t xml:space="preserve"> and benefit more from social and child protection and social inclusion, </w:t>
            </w:r>
            <w:r w:rsidR="009D68B6" w:rsidRPr="00251A53">
              <w:rPr>
                <w:bCs/>
                <w:sz w:val="18"/>
                <w:szCs w:val="18"/>
              </w:rPr>
              <w:t>which</w:t>
            </w:r>
            <w:r w:rsidRPr="00251A53">
              <w:rPr>
                <w:bCs/>
                <w:sz w:val="18"/>
                <w:szCs w:val="18"/>
              </w:rPr>
              <w:t xml:space="preserve"> are gender</w:t>
            </w:r>
            <w:r w:rsidR="009D68B6" w:rsidRPr="00251A53">
              <w:rPr>
                <w:bCs/>
                <w:sz w:val="18"/>
                <w:szCs w:val="18"/>
              </w:rPr>
              <w:t>-</w:t>
            </w:r>
            <w:r w:rsidRPr="00251A53">
              <w:rPr>
                <w:bCs/>
                <w:sz w:val="18"/>
                <w:szCs w:val="18"/>
              </w:rPr>
              <w:t>sensitive, throug</w:t>
            </w:r>
            <w:r w:rsidR="003D78D3" w:rsidRPr="00251A53">
              <w:rPr>
                <w:bCs/>
                <w:sz w:val="18"/>
                <w:szCs w:val="18"/>
              </w:rPr>
              <w:t>hout their life cycle</w:t>
            </w:r>
          </w:p>
        </w:tc>
      </w:tr>
      <w:tr w:rsidR="004255D8" w:rsidRPr="00251A53" w14:paraId="6EFA8849" w14:textId="77777777" w:rsidTr="000B26F0">
        <w:trPr>
          <w:trHeight w:val="20"/>
        </w:trPr>
        <w:tc>
          <w:tcPr>
            <w:tcW w:w="5000" w:type="pct"/>
            <w:gridSpan w:val="9"/>
            <w:shd w:val="clear" w:color="auto" w:fill="DEEAF6" w:themeFill="accent1" w:themeFillTint="33"/>
            <w:tcMar>
              <w:top w:w="72" w:type="dxa"/>
              <w:left w:w="144" w:type="dxa"/>
              <w:bottom w:w="72" w:type="dxa"/>
              <w:right w:w="144" w:type="dxa"/>
            </w:tcMar>
          </w:tcPr>
          <w:p w14:paraId="747067AA" w14:textId="1D0492AD" w:rsidR="004255D8" w:rsidRPr="00251A53" w:rsidRDefault="004255D8" w:rsidP="007612AB">
            <w:pPr>
              <w:spacing w:before="20" w:after="20"/>
              <w:rPr>
                <w:sz w:val="18"/>
                <w:szCs w:val="18"/>
              </w:rPr>
            </w:pPr>
            <w:r w:rsidRPr="00251A53">
              <w:rPr>
                <w:b/>
                <w:bCs/>
                <w:sz w:val="18"/>
                <w:szCs w:val="18"/>
              </w:rPr>
              <w:t xml:space="preserve">UNFPA </w:t>
            </w:r>
            <w:r w:rsidR="00840083" w:rsidRPr="00251A53">
              <w:rPr>
                <w:b/>
                <w:bCs/>
                <w:sz w:val="18"/>
                <w:szCs w:val="18"/>
              </w:rPr>
              <w:t xml:space="preserve">Strategic Plan </w:t>
            </w:r>
            <w:r w:rsidR="00004CE7" w:rsidRPr="00251A53">
              <w:rPr>
                <w:b/>
                <w:bCs/>
                <w:sz w:val="18"/>
                <w:szCs w:val="18"/>
              </w:rPr>
              <w:t>outcome</w:t>
            </w:r>
            <w:r w:rsidRPr="00251A53">
              <w:rPr>
                <w:b/>
                <w:bCs/>
                <w:sz w:val="18"/>
                <w:szCs w:val="18"/>
              </w:rPr>
              <w:t>:</w:t>
            </w:r>
            <w:r w:rsidRPr="00251A53">
              <w:rPr>
                <w:sz w:val="18"/>
                <w:szCs w:val="18"/>
              </w:rPr>
              <w:t xml:space="preserve"> </w:t>
            </w:r>
            <w:r w:rsidR="00E46E0C" w:rsidRPr="00251A53">
              <w:rPr>
                <w:sz w:val="18"/>
                <w:szCs w:val="18"/>
              </w:rPr>
              <w:t xml:space="preserve">(1) </w:t>
            </w:r>
            <w:r w:rsidRPr="00251A53">
              <w:rPr>
                <w:sz w:val="18"/>
                <w:szCs w:val="18"/>
              </w:rPr>
              <w:t>Every woman, adolescent and youth everywhere, especially those furthest behind, have fully exercised their reproductive rights and used integrated sexual and reproductive health services free of coerci</w:t>
            </w:r>
            <w:r w:rsidR="003D78D3" w:rsidRPr="00251A53">
              <w:rPr>
                <w:sz w:val="18"/>
                <w:szCs w:val="18"/>
              </w:rPr>
              <w:t>on, discrimination and violence</w:t>
            </w:r>
          </w:p>
          <w:p w14:paraId="1745E1F7" w14:textId="4C24EE19" w:rsidR="004255D8" w:rsidRPr="00251A53" w:rsidRDefault="004255D8" w:rsidP="00840083">
            <w:pPr>
              <w:spacing w:before="20" w:after="20"/>
              <w:rPr>
                <w:i/>
                <w:iCs/>
                <w:sz w:val="18"/>
                <w:szCs w:val="18"/>
              </w:rPr>
            </w:pPr>
            <w:r w:rsidRPr="00251A53">
              <w:rPr>
                <w:b/>
                <w:bCs/>
                <w:sz w:val="18"/>
                <w:szCs w:val="18"/>
              </w:rPr>
              <w:t>UNICEF</w:t>
            </w:r>
            <w:r w:rsidR="00004CE7" w:rsidRPr="00251A53">
              <w:rPr>
                <w:b/>
                <w:bCs/>
                <w:sz w:val="18"/>
                <w:szCs w:val="18"/>
              </w:rPr>
              <w:t xml:space="preserve"> </w:t>
            </w:r>
            <w:r w:rsidR="00840083" w:rsidRPr="00251A53">
              <w:rPr>
                <w:b/>
                <w:bCs/>
                <w:sz w:val="18"/>
                <w:szCs w:val="18"/>
              </w:rPr>
              <w:t xml:space="preserve">Strategic Plan </w:t>
            </w:r>
            <w:r w:rsidR="00004CE7" w:rsidRPr="00251A53">
              <w:rPr>
                <w:b/>
                <w:bCs/>
                <w:sz w:val="18"/>
                <w:szCs w:val="18"/>
              </w:rPr>
              <w:t>outcomes</w:t>
            </w:r>
            <w:r w:rsidRPr="00251A53">
              <w:rPr>
                <w:b/>
                <w:bCs/>
                <w:sz w:val="18"/>
                <w:szCs w:val="18"/>
              </w:rPr>
              <w:t xml:space="preserve">: </w:t>
            </w:r>
            <w:r w:rsidR="002664CB" w:rsidRPr="00251A53">
              <w:rPr>
                <w:bCs/>
                <w:sz w:val="18"/>
                <w:szCs w:val="18"/>
              </w:rPr>
              <w:t>(</w:t>
            </w:r>
            <w:r w:rsidR="00C15F84" w:rsidRPr="00251A53">
              <w:rPr>
                <w:bCs/>
                <w:sz w:val="18"/>
                <w:szCs w:val="18"/>
              </w:rPr>
              <w:t>1</w:t>
            </w:r>
            <w:r w:rsidRPr="00251A53">
              <w:rPr>
                <w:bCs/>
                <w:sz w:val="18"/>
                <w:szCs w:val="18"/>
              </w:rPr>
              <w:t>) Ever</w:t>
            </w:r>
            <w:r w:rsidR="002664CB" w:rsidRPr="00251A53">
              <w:rPr>
                <w:bCs/>
                <w:sz w:val="18"/>
                <w:szCs w:val="18"/>
              </w:rPr>
              <w:t>y child survives and thrives; (</w:t>
            </w:r>
            <w:r w:rsidR="00C15F84" w:rsidRPr="00251A53">
              <w:rPr>
                <w:bCs/>
                <w:sz w:val="18"/>
                <w:szCs w:val="18"/>
              </w:rPr>
              <w:t>2</w:t>
            </w:r>
            <w:r w:rsidR="002664CB" w:rsidRPr="00251A53">
              <w:rPr>
                <w:bCs/>
                <w:sz w:val="18"/>
                <w:szCs w:val="18"/>
              </w:rPr>
              <w:t>) Every child learns; (</w:t>
            </w:r>
            <w:r w:rsidR="00C15F84" w:rsidRPr="00251A53">
              <w:rPr>
                <w:bCs/>
                <w:sz w:val="18"/>
                <w:szCs w:val="18"/>
              </w:rPr>
              <w:t>3</w:t>
            </w:r>
            <w:r w:rsidRPr="00251A53">
              <w:rPr>
                <w:bCs/>
                <w:sz w:val="18"/>
                <w:szCs w:val="18"/>
              </w:rPr>
              <w:t>) Every child is protected fr</w:t>
            </w:r>
            <w:r w:rsidR="002664CB" w:rsidRPr="00251A53">
              <w:rPr>
                <w:bCs/>
                <w:sz w:val="18"/>
                <w:szCs w:val="18"/>
              </w:rPr>
              <w:t>om violence and exploitation; (</w:t>
            </w:r>
            <w:r w:rsidR="00C15F84" w:rsidRPr="00251A53">
              <w:rPr>
                <w:bCs/>
                <w:sz w:val="18"/>
                <w:szCs w:val="18"/>
              </w:rPr>
              <w:t>5</w:t>
            </w:r>
            <w:r w:rsidRPr="00251A53">
              <w:rPr>
                <w:bCs/>
                <w:sz w:val="18"/>
                <w:szCs w:val="18"/>
              </w:rPr>
              <w:t>) Every child has an equitable chance in life</w:t>
            </w:r>
          </w:p>
        </w:tc>
      </w:tr>
      <w:tr w:rsidR="00424C46" w:rsidRPr="00251A53" w14:paraId="0337498F" w14:textId="77777777" w:rsidTr="007C25CB">
        <w:trPr>
          <w:trHeight w:val="20"/>
        </w:trPr>
        <w:tc>
          <w:tcPr>
            <w:tcW w:w="751" w:type="pct"/>
            <w:vMerge w:val="restart"/>
            <w:shd w:val="clear" w:color="auto" w:fill="DEEAF6" w:themeFill="accent1" w:themeFillTint="33"/>
            <w:tcMar>
              <w:top w:w="72" w:type="dxa"/>
              <w:left w:w="144" w:type="dxa"/>
              <w:bottom w:w="72" w:type="dxa"/>
              <w:right w:w="144" w:type="dxa"/>
            </w:tcMar>
            <w:vAlign w:val="center"/>
          </w:tcPr>
          <w:p w14:paraId="1C4B4445" w14:textId="77777777" w:rsidR="004255D8" w:rsidRPr="00251A53" w:rsidRDefault="004255D8" w:rsidP="007612AB">
            <w:pPr>
              <w:spacing w:before="20" w:after="20"/>
              <w:jc w:val="center"/>
              <w:rPr>
                <w:sz w:val="18"/>
                <w:szCs w:val="18"/>
              </w:rPr>
            </w:pPr>
            <w:r w:rsidRPr="00251A53">
              <w:rPr>
                <w:b/>
                <w:bCs/>
                <w:sz w:val="18"/>
                <w:szCs w:val="18"/>
              </w:rPr>
              <w:t xml:space="preserve">UNDAF </w:t>
            </w:r>
            <w:r w:rsidR="00004CE7" w:rsidRPr="00251A53">
              <w:rPr>
                <w:b/>
                <w:bCs/>
                <w:sz w:val="18"/>
                <w:szCs w:val="18"/>
              </w:rPr>
              <w:t>outcome</w:t>
            </w:r>
          </w:p>
        </w:tc>
        <w:tc>
          <w:tcPr>
            <w:tcW w:w="857" w:type="pct"/>
            <w:vMerge w:val="restart"/>
            <w:shd w:val="clear" w:color="auto" w:fill="DEEAF6" w:themeFill="accent1" w:themeFillTint="33"/>
            <w:vAlign w:val="center"/>
          </w:tcPr>
          <w:p w14:paraId="0E86C657" w14:textId="77777777" w:rsidR="004255D8" w:rsidRPr="00251A53" w:rsidRDefault="004255D8" w:rsidP="007612AB">
            <w:pPr>
              <w:spacing w:before="20" w:after="20"/>
              <w:jc w:val="center"/>
              <w:rPr>
                <w:b/>
                <w:sz w:val="18"/>
                <w:szCs w:val="18"/>
              </w:rPr>
            </w:pPr>
            <w:r w:rsidRPr="00251A53">
              <w:rPr>
                <w:b/>
                <w:sz w:val="18"/>
                <w:szCs w:val="18"/>
              </w:rPr>
              <w:t>S</w:t>
            </w:r>
            <w:r w:rsidR="00004CE7" w:rsidRPr="00251A53">
              <w:rPr>
                <w:b/>
                <w:sz w:val="18"/>
                <w:szCs w:val="18"/>
              </w:rPr>
              <w:t>ource of data collection and responsibilities</w:t>
            </w:r>
          </w:p>
        </w:tc>
        <w:tc>
          <w:tcPr>
            <w:tcW w:w="1725" w:type="pct"/>
            <w:gridSpan w:val="2"/>
            <w:vMerge w:val="restart"/>
            <w:shd w:val="clear" w:color="auto" w:fill="DEEAF6" w:themeFill="accent1" w:themeFillTint="33"/>
            <w:tcMar>
              <w:top w:w="72" w:type="dxa"/>
              <w:left w:w="144" w:type="dxa"/>
              <w:bottom w:w="72" w:type="dxa"/>
              <w:right w:w="144" w:type="dxa"/>
            </w:tcMar>
            <w:vAlign w:val="center"/>
          </w:tcPr>
          <w:p w14:paraId="63739EB7" w14:textId="77777777" w:rsidR="004255D8" w:rsidRPr="00251A53" w:rsidRDefault="004255D8" w:rsidP="007612AB">
            <w:pPr>
              <w:spacing w:before="20" w:after="20"/>
              <w:ind w:left="-143"/>
              <w:jc w:val="center"/>
              <w:rPr>
                <w:sz w:val="18"/>
                <w:szCs w:val="18"/>
              </w:rPr>
            </w:pPr>
            <w:r w:rsidRPr="00251A53">
              <w:rPr>
                <w:b/>
                <w:bCs/>
                <w:sz w:val="18"/>
                <w:szCs w:val="18"/>
              </w:rPr>
              <w:t>I</w:t>
            </w:r>
            <w:r w:rsidR="00004CE7" w:rsidRPr="00251A53">
              <w:rPr>
                <w:b/>
                <w:bCs/>
                <w:sz w:val="18"/>
                <w:szCs w:val="18"/>
              </w:rPr>
              <w:t>ndicative country programme outputs and indicators</w:t>
            </w:r>
            <w:r w:rsidR="002A516B" w:rsidRPr="00251A53">
              <w:rPr>
                <w:b/>
                <w:bCs/>
                <w:sz w:val="18"/>
                <w:szCs w:val="18"/>
              </w:rPr>
              <w:br/>
            </w:r>
            <w:r w:rsidR="00B90604" w:rsidRPr="00251A53">
              <w:rPr>
                <w:sz w:val="18"/>
                <w:szCs w:val="18"/>
              </w:rPr>
              <w:t>(</w:t>
            </w:r>
            <w:r w:rsidR="00391544" w:rsidRPr="00251A53">
              <w:rPr>
                <w:bCs/>
                <w:sz w:val="18"/>
                <w:szCs w:val="18"/>
              </w:rPr>
              <w:t>Frequency is annual unless otherwise indicated)</w:t>
            </w:r>
          </w:p>
        </w:tc>
        <w:tc>
          <w:tcPr>
            <w:tcW w:w="609" w:type="pct"/>
            <w:gridSpan w:val="2"/>
            <w:vMerge w:val="restart"/>
            <w:shd w:val="clear" w:color="auto" w:fill="DEEAF6" w:themeFill="accent1" w:themeFillTint="33"/>
            <w:vAlign w:val="center"/>
          </w:tcPr>
          <w:p w14:paraId="659CCBA3" w14:textId="77777777" w:rsidR="004255D8" w:rsidRPr="00251A53" w:rsidRDefault="004255D8" w:rsidP="007612AB">
            <w:pPr>
              <w:spacing w:before="20" w:after="20"/>
              <w:jc w:val="center"/>
              <w:rPr>
                <w:b/>
                <w:bCs/>
                <w:sz w:val="18"/>
                <w:szCs w:val="18"/>
              </w:rPr>
            </w:pPr>
            <w:r w:rsidRPr="00251A53">
              <w:rPr>
                <w:b/>
                <w:bCs/>
                <w:sz w:val="18"/>
                <w:szCs w:val="18"/>
              </w:rPr>
              <w:t>M</w:t>
            </w:r>
            <w:r w:rsidR="00004CE7" w:rsidRPr="00251A53">
              <w:rPr>
                <w:b/>
                <w:bCs/>
                <w:sz w:val="18"/>
                <w:szCs w:val="18"/>
              </w:rPr>
              <w:t>ajor partners</w:t>
            </w:r>
          </w:p>
        </w:tc>
        <w:tc>
          <w:tcPr>
            <w:tcW w:w="1058" w:type="pct"/>
            <w:gridSpan w:val="3"/>
            <w:shd w:val="clear" w:color="auto" w:fill="DEEAF6" w:themeFill="accent1" w:themeFillTint="33"/>
            <w:tcMar>
              <w:top w:w="15" w:type="dxa"/>
              <w:left w:w="108" w:type="dxa"/>
              <w:bottom w:w="0" w:type="dxa"/>
              <w:right w:w="108" w:type="dxa"/>
            </w:tcMar>
            <w:vAlign w:val="center"/>
          </w:tcPr>
          <w:p w14:paraId="4B3D2167" w14:textId="77777777" w:rsidR="004255D8" w:rsidRPr="00251A53" w:rsidRDefault="004255D8" w:rsidP="007612AB">
            <w:pPr>
              <w:spacing w:before="20" w:after="20"/>
              <w:jc w:val="center"/>
              <w:rPr>
                <w:i/>
                <w:sz w:val="18"/>
                <w:szCs w:val="18"/>
              </w:rPr>
            </w:pPr>
            <w:r w:rsidRPr="00251A53">
              <w:rPr>
                <w:b/>
                <w:bCs/>
                <w:sz w:val="18"/>
                <w:szCs w:val="18"/>
              </w:rPr>
              <w:t>I</w:t>
            </w:r>
            <w:r w:rsidR="00391544" w:rsidRPr="00251A53">
              <w:rPr>
                <w:b/>
                <w:bCs/>
                <w:sz w:val="18"/>
                <w:szCs w:val="18"/>
              </w:rPr>
              <w:t>ndicative resources by outcome</w:t>
            </w:r>
            <w:r w:rsidR="00F47B95" w:rsidRPr="00251A53">
              <w:rPr>
                <w:b/>
                <w:bCs/>
                <w:sz w:val="18"/>
                <w:szCs w:val="18"/>
              </w:rPr>
              <w:t xml:space="preserve"> </w:t>
            </w:r>
            <w:r w:rsidR="00F47B95" w:rsidRPr="00251A53">
              <w:rPr>
                <w:bCs/>
                <w:i/>
                <w:sz w:val="18"/>
                <w:szCs w:val="18"/>
              </w:rPr>
              <w:t>(U</w:t>
            </w:r>
            <w:r w:rsidR="002F46DA" w:rsidRPr="00251A53">
              <w:rPr>
                <w:bCs/>
                <w:i/>
                <w:sz w:val="18"/>
                <w:szCs w:val="18"/>
              </w:rPr>
              <w:t xml:space="preserve">nited </w:t>
            </w:r>
            <w:r w:rsidR="00F47B95" w:rsidRPr="00251A53">
              <w:rPr>
                <w:bCs/>
                <w:i/>
                <w:sz w:val="18"/>
                <w:szCs w:val="18"/>
              </w:rPr>
              <w:t>S</w:t>
            </w:r>
            <w:r w:rsidR="002F46DA" w:rsidRPr="00251A53">
              <w:rPr>
                <w:bCs/>
                <w:i/>
                <w:sz w:val="18"/>
                <w:szCs w:val="18"/>
              </w:rPr>
              <w:t>tates</w:t>
            </w:r>
            <w:r w:rsidR="00F47B95" w:rsidRPr="00251A53">
              <w:rPr>
                <w:bCs/>
                <w:i/>
                <w:sz w:val="18"/>
                <w:szCs w:val="18"/>
              </w:rPr>
              <w:t xml:space="preserve"> </w:t>
            </w:r>
            <w:r w:rsidR="002F46DA" w:rsidRPr="00251A53">
              <w:rPr>
                <w:bCs/>
                <w:i/>
                <w:sz w:val="18"/>
                <w:szCs w:val="18"/>
              </w:rPr>
              <w:t>d</w:t>
            </w:r>
            <w:r w:rsidR="00F47B95" w:rsidRPr="00251A53">
              <w:rPr>
                <w:bCs/>
                <w:i/>
                <w:sz w:val="18"/>
                <w:szCs w:val="18"/>
              </w:rPr>
              <w:t>ollars</w:t>
            </w:r>
            <w:r w:rsidRPr="00251A53">
              <w:rPr>
                <w:bCs/>
                <w:i/>
                <w:sz w:val="18"/>
                <w:szCs w:val="18"/>
              </w:rPr>
              <w:t>)</w:t>
            </w:r>
          </w:p>
        </w:tc>
      </w:tr>
      <w:tr w:rsidR="00975819" w:rsidRPr="00251A53" w14:paraId="04A15F51" w14:textId="77777777" w:rsidTr="007C25CB">
        <w:trPr>
          <w:trHeight w:val="20"/>
        </w:trPr>
        <w:tc>
          <w:tcPr>
            <w:tcW w:w="751" w:type="pct"/>
            <w:vMerge/>
            <w:tcBorders>
              <w:bottom w:val="single" w:sz="4" w:space="0" w:color="auto"/>
            </w:tcBorders>
            <w:shd w:val="clear" w:color="auto" w:fill="DEEAF6" w:themeFill="accent1" w:themeFillTint="33"/>
            <w:tcMar>
              <w:top w:w="72" w:type="dxa"/>
              <w:left w:w="144" w:type="dxa"/>
              <w:bottom w:w="72" w:type="dxa"/>
              <w:right w:w="144" w:type="dxa"/>
            </w:tcMar>
            <w:vAlign w:val="center"/>
          </w:tcPr>
          <w:p w14:paraId="7B0D9DF4" w14:textId="77777777" w:rsidR="004255D8" w:rsidRPr="00251A53" w:rsidRDefault="004255D8" w:rsidP="007612AB">
            <w:pPr>
              <w:spacing w:before="20" w:after="20"/>
              <w:jc w:val="center"/>
              <w:rPr>
                <w:b/>
                <w:bCs/>
                <w:sz w:val="18"/>
                <w:szCs w:val="18"/>
              </w:rPr>
            </w:pPr>
          </w:p>
        </w:tc>
        <w:tc>
          <w:tcPr>
            <w:tcW w:w="857" w:type="pct"/>
            <w:vMerge/>
            <w:tcBorders>
              <w:bottom w:val="single" w:sz="4" w:space="0" w:color="auto"/>
            </w:tcBorders>
            <w:shd w:val="clear" w:color="auto" w:fill="DEEAF6" w:themeFill="accent1" w:themeFillTint="33"/>
            <w:vAlign w:val="center"/>
          </w:tcPr>
          <w:p w14:paraId="5471A3E2" w14:textId="77777777" w:rsidR="004255D8" w:rsidRPr="00251A53" w:rsidDel="008A6CA6" w:rsidRDefault="004255D8" w:rsidP="007612AB">
            <w:pPr>
              <w:spacing w:before="20" w:after="20"/>
              <w:jc w:val="center"/>
              <w:rPr>
                <w:b/>
                <w:sz w:val="18"/>
                <w:szCs w:val="18"/>
              </w:rPr>
            </w:pPr>
          </w:p>
        </w:tc>
        <w:tc>
          <w:tcPr>
            <w:tcW w:w="1725" w:type="pct"/>
            <w:gridSpan w:val="2"/>
            <w:vMerge/>
            <w:tcBorders>
              <w:bottom w:val="single" w:sz="4" w:space="0" w:color="auto"/>
            </w:tcBorders>
            <w:shd w:val="clear" w:color="auto" w:fill="DEEAF6" w:themeFill="accent1" w:themeFillTint="33"/>
            <w:tcMar>
              <w:top w:w="72" w:type="dxa"/>
              <w:left w:w="144" w:type="dxa"/>
              <w:bottom w:w="72" w:type="dxa"/>
              <w:right w:w="144" w:type="dxa"/>
            </w:tcMar>
            <w:vAlign w:val="center"/>
          </w:tcPr>
          <w:p w14:paraId="26A90AD1" w14:textId="77777777" w:rsidR="004255D8" w:rsidRPr="00251A53" w:rsidDel="008A6CA6" w:rsidRDefault="004255D8" w:rsidP="007612AB">
            <w:pPr>
              <w:spacing w:before="20" w:after="20"/>
              <w:jc w:val="center"/>
              <w:rPr>
                <w:b/>
                <w:bCs/>
                <w:sz w:val="18"/>
                <w:szCs w:val="18"/>
              </w:rPr>
            </w:pPr>
          </w:p>
        </w:tc>
        <w:tc>
          <w:tcPr>
            <w:tcW w:w="609" w:type="pct"/>
            <w:gridSpan w:val="2"/>
            <w:vMerge/>
            <w:tcBorders>
              <w:bottom w:val="single" w:sz="4" w:space="0" w:color="auto"/>
            </w:tcBorders>
            <w:shd w:val="clear" w:color="auto" w:fill="DEEAF6" w:themeFill="accent1" w:themeFillTint="33"/>
            <w:vAlign w:val="center"/>
          </w:tcPr>
          <w:p w14:paraId="3E10B51D" w14:textId="77777777" w:rsidR="004255D8" w:rsidRPr="00251A53" w:rsidRDefault="004255D8" w:rsidP="007612AB">
            <w:pPr>
              <w:spacing w:before="20" w:after="20"/>
              <w:jc w:val="center"/>
              <w:rPr>
                <w:b/>
                <w:bCs/>
                <w:sz w:val="18"/>
                <w:szCs w:val="18"/>
              </w:rPr>
            </w:pPr>
          </w:p>
        </w:tc>
        <w:tc>
          <w:tcPr>
            <w:tcW w:w="344" w:type="pct"/>
            <w:tcBorders>
              <w:bottom w:val="single" w:sz="4" w:space="0" w:color="auto"/>
            </w:tcBorders>
            <w:shd w:val="clear" w:color="auto" w:fill="DEEAF6" w:themeFill="accent1" w:themeFillTint="33"/>
            <w:tcMar>
              <w:top w:w="15" w:type="dxa"/>
              <w:left w:w="108" w:type="dxa"/>
              <w:bottom w:w="0" w:type="dxa"/>
              <w:right w:w="108" w:type="dxa"/>
            </w:tcMar>
            <w:vAlign w:val="center"/>
          </w:tcPr>
          <w:p w14:paraId="2200F46D" w14:textId="77777777" w:rsidR="004255D8" w:rsidRPr="00251A53" w:rsidRDefault="004255D8" w:rsidP="007612AB">
            <w:pPr>
              <w:spacing w:before="20" w:after="20"/>
              <w:jc w:val="center"/>
              <w:rPr>
                <w:b/>
                <w:bCs/>
                <w:sz w:val="18"/>
                <w:szCs w:val="18"/>
              </w:rPr>
            </w:pPr>
            <w:r w:rsidRPr="00251A53">
              <w:rPr>
                <w:b/>
                <w:bCs/>
                <w:sz w:val="18"/>
                <w:szCs w:val="18"/>
              </w:rPr>
              <w:t>Regular</w:t>
            </w:r>
          </w:p>
        </w:tc>
        <w:tc>
          <w:tcPr>
            <w:tcW w:w="343" w:type="pct"/>
            <w:tcBorders>
              <w:bottom w:val="single" w:sz="4" w:space="0" w:color="auto"/>
            </w:tcBorders>
            <w:shd w:val="clear" w:color="auto" w:fill="DEEAF6" w:themeFill="accent1" w:themeFillTint="33"/>
            <w:vAlign w:val="center"/>
          </w:tcPr>
          <w:p w14:paraId="19ADB9BD" w14:textId="77777777" w:rsidR="004255D8" w:rsidRPr="00251A53" w:rsidRDefault="004255D8" w:rsidP="007612AB">
            <w:pPr>
              <w:spacing w:before="20" w:after="20"/>
              <w:jc w:val="center"/>
              <w:rPr>
                <w:b/>
                <w:bCs/>
                <w:sz w:val="18"/>
                <w:szCs w:val="18"/>
              </w:rPr>
            </w:pPr>
            <w:r w:rsidRPr="00251A53">
              <w:rPr>
                <w:b/>
                <w:bCs/>
                <w:sz w:val="18"/>
                <w:szCs w:val="18"/>
              </w:rPr>
              <w:t>Other</w:t>
            </w:r>
          </w:p>
        </w:tc>
        <w:tc>
          <w:tcPr>
            <w:tcW w:w="371" w:type="pct"/>
            <w:tcBorders>
              <w:bottom w:val="single" w:sz="4" w:space="0" w:color="auto"/>
            </w:tcBorders>
            <w:shd w:val="clear" w:color="auto" w:fill="DEEAF6" w:themeFill="accent1" w:themeFillTint="33"/>
            <w:vAlign w:val="center"/>
          </w:tcPr>
          <w:p w14:paraId="38BB4DB8" w14:textId="77777777" w:rsidR="004255D8" w:rsidRPr="00251A53" w:rsidRDefault="004255D8" w:rsidP="007612AB">
            <w:pPr>
              <w:spacing w:before="20" w:after="20"/>
              <w:jc w:val="center"/>
              <w:rPr>
                <w:b/>
                <w:bCs/>
                <w:sz w:val="18"/>
                <w:szCs w:val="18"/>
              </w:rPr>
            </w:pPr>
            <w:r w:rsidRPr="00251A53">
              <w:rPr>
                <w:b/>
                <w:bCs/>
                <w:sz w:val="18"/>
                <w:szCs w:val="18"/>
              </w:rPr>
              <w:t>Total</w:t>
            </w:r>
          </w:p>
        </w:tc>
      </w:tr>
      <w:tr w:rsidR="007C25CB" w:rsidRPr="00251A53" w14:paraId="605BD7FA" w14:textId="77777777" w:rsidTr="007C25CB">
        <w:trPr>
          <w:trHeight w:val="20"/>
        </w:trPr>
        <w:tc>
          <w:tcPr>
            <w:tcW w:w="751" w:type="pct"/>
            <w:tcBorders>
              <w:top w:val="single" w:sz="4" w:space="0" w:color="auto"/>
              <w:bottom w:val="nil"/>
            </w:tcBorders>
            <w:tcMar>
              <w:top w:w="72" w:type="dxa"/>
              <w:left w:w="144" w:type="dxa"/>
              <w:bottom w:w="72" w:type="dxa"/>
              <w:right w:w="144" w:type="dxa"/>
            </w:tcMar>
          </w:tcPr>
          <w:p w14:paraId="3DD2673D" w14:textId="77777777" w:rsidR="007C25CB" w:rsidRPr="00251A53" w:rsidRDefault="007C25CB" w:rsidP="007612AB">
            <w:pPr>
              <w:spacing w:before="20" w:after="20"/>
              <w:rPr>
                <w:iCs/>
                <w:sz w:val="18"/>
                <w:szCs w:val="18"/>
              </w:rPr>
            </w:pPr>
            <w:r w:rsidRPr="00251A53">
              <w:rPr>
                <w:iCs/>
                <w:sz w:val="18"/>
                <w:szCs w:val="18"/>
                <w:u w:val="single"/>
              </w:rPr>
              <w:t>Indicator 1.1.2</w:t>
            </w:r>
            <w:r w:rsidRPr="00251A53">
              <w:rPr>
                <w:iCs/>
                <w:sz w:val="18"/>
                <w:szCs w:val="18"/>
              </w:rPr>
              <w:t xml:space="preserve">: </w:t>
            </w:r>
            <w:r w:rsidRPr="00251A53">
              <w:rPr>
                <w:iCs/>
                <w:sz w:val="18"/>
                <w:szCs w:val="18"/>
              </w:rPr>
              <w:br/>
              <w:t>Rate of adolescent pregnancy (15-19 years)</w:t>
            </w:r>
            <w:r w:rsidRPr="00251A53">
              <w:rPr>
                <w:iCs/>
                <w:sz w:val="18"/>
                <w:szCs w:val="18"/>
              </w:rPr>
              <w:br/>
            </w:r>
            <w:r w:rsidRPr="00251A53">
              <w:rPr>
                <w:i/>
                <w:iCs/>
                <w:sz w:val="18"/>
                <w:szCs w:val="18"/>
              </w:rPr>
              <w:t>Baseline</w:t>
            </w:r>
            <w:r w:rsidRPr="00251A53">
              <w:rPr>
                <w:iCs/>
                <w:sz w:val="18"/>
                <w:szCs w:val="18"/>
              </w:rPr>
              <w:t xml:space="preserve">: 14%; </w:t>
            </w:r>
            <w:r w:rsidR="00212E62" w:rsidRPr="00251A53">
              <w:rPr>
                <w:iCs/>
                <w:sz w:val="18"/>
                <w:szCs w:val="18"/>
              </w:rPr>
              <w:br/>
            </w:r>
            <w:r w:rsidRPr="00251A53">
              <w:rPr>
                <w:i/>
                <w:iCs/>
                <w:sz w:val="18"/>
                <w:szCs w:val="18"/>
              </w:rPr>
              <w:t>Target</w:t>
            </w:r>
            <w:r w:rsidRPr="00251A53">
              <w:rPr>
                <w:iCs/>
                <w:sz w:val="18"/>
                <w:szCs w:val="18"/>
              </w:rPr>
              <w:t xml:space="preserve">: 10% </w:t>
            </w:r>
          </w:p>
        </w:tc>
        <w:tc>
          <w:tcPr>
            <w:tcW w:w="857" w:type="pct"/>
            <w:tcBorders>
              <w:bottom w:val="nil"/>
            </w:tcBorders>
          </w:tcPr>
          <w:p w14:paraId="4BCF6D92" w14:textId="77777777" w:rsidR="007C25CB" w:rsidRPr="00251A53" w:rsidRDefault="007C25CB" w:rsidP="007612AB">
            <w:pPr>
              <w:spacing w:before="20" w:after="20"/>
              <w:ind w:left="58"/>
              <w:rPr>
                <w:bCs/>
                <w:sz w:val="18"/>
                <w:szCs w:val="18"/>
              </w:rPr>
            </w:pPr>
            <w:r w:rsidRPr="00251A53">
              <w:rPr>
                <w:bCs/>
                <w:i/>
                <w:sz w:val="18"/>
                <w:szCs w:val="18"/>
              </w:rPr>
              <w:t>Source</w:t>
            </w:r>
            <w:r w:rsidRPr="00251A53">
              <w:rPr>
                <w:bCs/>
                <w:sz w:val="18"/>
                <w:szCs w:val="18"/>
              </w:rPr>
              <w:t>:</w:t>
            </w:r>
            <w:r w:rsidRPr="00251A53">
              <w:rPr>
                <w:sz w:val="18"/>
                <w:szCs w:val="18"/>
              </w:rPr>
              <w:t xml:space="preserve"> Demographic and Health Survey (</w:t>
            </w:r>
            <w:r w:rsidR="00B24444" w:rsidRPr="00251A53">
              <w:rPr>
                <w:bCs/>
                <w:sz w:val="18"/>
                <w:szCs w:val="18"/>
              </w:rPr>
              <w:t>IDSR)</w:t>
            </w:r>
          </w:p>
          <w:p w14:paraId="6FAB4EC8" w14:textId="77777777" w:rsidR="007C25CB" w:rsidRPr="00251A53" w:rsidRDefault="007C25CB" w:rsidP="007612AB">
            <w:pPr>
              <w:spacing w:before="20" w:after="20"/>
              <w:ind w:left="61"/>
              <w:rPr>
                <w:i/>
                <w:iCs/>
                <w:sz w:val="18"/>
                <w:szCs w:val="18"/>
              </w:rPr>
            </w:pPr>
            <w:r w:rsidRPr="00251A53">
              <w:rPr>
                <w:bCs/>
                <w:i/>
                <w:sz w:val="18"/>
                <w:szCs w:val="18"/>
              </w:rPr>
              <w:t>Responsibility</w:t>
            </w:r>
            <w:r w:rsidRPr="00251A53">
              <w:rPr>
                <w:bCs/>
                <w:sz w:val="18"/>
                <w:szCs w:val="18"/>
              </w:rPr>
              <w:t xml:space="preserve">: </w:t>
            </w:r>
            <w:r w:rsidRPr="00251A53">
              <w:rPr>
                <w:iCs/>
                <w:sz w:val="18"/>
                <w:szCs w:val="18"/>
              </w:rPr>
              <w:t>Ministry of Health and Social Security (</w:t>
            </w:r>
            <w:r w:rsidRPr="00251A53">
              <w:rPr>
                <w:bCs/>
                <w:sz w:val="18"/>
                <w:szCs w:val="18"/>
              </w:rPr>
              <w:t>MHSS)</w:t>
            </w:r>
          </w:p>
        </w:tc>
        <w:tc>
          <w:tcPr>
            <w:tcW w:w="1725" w:type="pct"/>
            <w:gridSpan w:val="2"/>
            <w:vMerge w:val="restart"/>
            <w:tcBorders>
              <w:bottom w:val="nil"/>
            </w:tcBorders>
            <w:tcMar>
              <w:top w:w="72" w:type="dxa"/>
              <w:left w:w="144" w:type="dxa"/>
              <w:bottom w:w="72" w:type="dxa"/>
              <w:right w:w="144" w:type="dxa"/>
            </w:tcMar>
          </w:tcPr>
          <w:p w14:paraId="19FA3935" w14:textId="77777777" w:rsidR="007C25CB" w:rsidRPr="00251A53" w:rsidRDefault="007C25CB" w:rsidP="007612AB">
            <w:pPr>
              <w:spacing w:before="20" w:after="20"/>
              <w:jc w:val="both"/>
              <w:rPr>
                <w:i/>
                <w:iCs/>
                <w:sz w:val="18"/>
                <w:szCs w:val="18"/>
              </w:rPr>
            </w:pPr>
            <w:r w:rsidRPr="00251A53">
              <w:rPr>
                <w:iCs/>
                <w:sz w:val="18"/>
                <w:szCs w:val="18"/>
                <w:u w:val="single"/>
              </w:rPr>
              <w:t>Output 1.1</w:t>
            </w:r>
            <w:r w:rsidRPr="00251A53">
              <w:rPr>
                <w:iCs/>
                <w:sz w:val="18"/>
                <w:szCs w:val="18"/>
              </w:rPr>
              <w:t>:</w:t>
            </w:r>
            <w:r w:rsidRPr="00251A53">
              <w:rPr>
                <w:i/>
                <w:iCs/>
                <w:sz w:val="18"/>
                <w:szCs w:val="18"/>
              </w:rPr>
              <w:t xml:space="preserve"> </w:t>
            </w:r>
            <w:r w:rsidRPr="00251A53">
              <w:rPr>
                <w:iCs/>
                <w:sz w:val="18"/>
                <w:szCs w:val="18"/>
              </w:rPr>
              <w:t>National and local capacity enhanced to provide access and promote effective use of integrated and high-quality</w:t>
            </w:r>
            <w:r w:rsidR="00EC096F" w:rsidRPr="00251A53">
              <w:rPr>
                <w:iCs/>
                <w:sz w:val="18"/>
                <w:szCs w:val="18"/>
              </w:rPr>
              <w:t>,</w:t>
            </w:r>
            <w:r w:rsidRPr="00251A53">
              <w:rPr>
                <w:iCs/>
                <w:sz w:val="18"/>
                <w:szCs w:val="18"/>
              </w:rPr>
              <w:t xml:space="preserve"> gender-responsive health services, including sexual and reproductive health, especially for adolescents and youth</w:t>
            </w:r>
          </w:p>
          <w:p w14:paraId="2F71651F" w14:textId="77777777" w:rsidR="007C25CB" w:rsidRPr="00251A53" w:rsidRDefault="007C25CB" w:rsidP="007612AB">
            <w:pPr>
              <w:spacing w:before="20" w:after="20"/>
              <w:rPr>
                <w:iCs/>
                <w:sz w:val="18"/>
                <w:szCs w:val="18"/>
              </w:rPr>
            </w:pPr>
            <w:r w:rsidRPr="00251A53">
              <w:rPr>
                <w:iCs/>
                <w:sz w:val="18"/>
                <w:szCs w:val="18"/>
              </w:rPr>
              <w:t>1.1.1: Number of health facilities providing integrated adolescent-friendly health services</w:t>
            </w:r>
          </w:p>
          <w:p w14:paraId="2C4118F3" w14:textId="77777777" w:rsidR="007C25CB" w:rsidRPr="00251A53" w:rsidRDefault="007C25CB" w:rsidP="007612AB">
            <w:pPr>
              <w:spacing w:before="20" w:after="20"/>
              <w:rPr>
                <w:i/>
                <w:iCs/>
                <w:sz w:val="18"/>
                <w:szCs w:val="18"/>
              </w:rPr>
            </w:pPr>
            <w:r w:rsidRPr="00251A53">
              <w:rPr>
                <w:i/>
                <w:iCs/>
                <w:sz w:val="18"/>
                <w:szCs w:val="18"/>
              </w:rPr>
              <w:t>Baseline:</w:t>
            </w:r>
            <w:r w:rsidRPr="00251A53">
              <w:rPr>
                <w:iCs/>
                <w:sz w:val="18"/>
                <w:szCs w:val="18"/>
              </w:rPr>
              <w:t>3</w:t>
            </w:r>
            <w:r w:rsidRPr="00251A53">
              <w:rPr>
                <w:i/>
                <w:iCs/>
                <w:sz w:val="18"/>
                <w:szCs w:val="18"/>
              </w:rPr>
              <w:t>; Target:</w:t>
            </w:r>
            <w:r w:rsidRPr="00251A53">
              <w:rPr>
                <w:iCs/>
                <w:sz w:val="18"/>
                <w:szCs w:val="18"/>
              </w:rPr>
              <w:t xml:space="preserve"> 11</w:t>
            </w:r>
          </w:p>
          <w:p w14:paraId="5866EF14" w14:textId="77777777" w:rsidR="007C25CB" w:rsidRPr="00251A53" w:rsidRDefault="007C25CB" w:rsidP="007612AB">
            <w:pPr>
              <w:spacing w:before="20" w:after="20"/>
              <w:rPr>
                <w:i/>
                <w:iCs/>
                <w:sz w:val="18"/>
                <w:szCs w:val="18"/>
              </w:rPr>
            </w:pPr>
            <w:r w:rsidRPr="00251A53">
              <w:rPr>
                <w:i/>
                <w:iCs/>
                <w:sz w:val="18"/>
                <w:szCs w:val="18"/>
              </w:rPr>
              <w:t xml:space="preserve">Source: </w:t>
            </w:r>
            <w:r w:rsidRPr="00251A53">
              <w:rPr>
                <w:iCs/>
                <w:sz w:val="18"/>
                <w:szCs w:val="18"/>
              </w:rPr>
              <w:t>MHSS annual reports</w:t>
            </w:r>
          </w:p>
          <w:p w14:paraId="7FEEB312" w14:textId="77777777" w:rsidR="007C25CB" w:rsidRPr="00251A53" w:rsidRDefault="00EC096F" w:rsidP="007612AB">
            <w:pPr>
              <w:spacing w:before="20" w:after="20"/>
              <w:rPr>
                <w:i/>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UNFPA</w:t>
            </w:r>
            <w:r w:rsidR="007C25CB" w:rsidRPr="00251A53">
              <w:rPr>
                <w:i/>
                <w:iCs/>
                <w:sz w:val="18"/>
                <w:szCs w:val="18"/>
              </w:rPr>
              <w:t xml:space="preserve"> </w:t>
            </w:r>
          </w:p>
          <w:p w14:paraId="0358AD75" w14:textId="77777777" w:rsidR="007C25CB" w:rsidRPr="00251A53" w:rsidRDefault="007C25CB" w:rsidP="007612AB">
            <w:pPr>
              <w:spacing w:before="20" w:after="20"/>
              <w:rPr>
                <w:iCs/>
                <w:sz w:val="18"/>
                <w:szCs w:val="18"/>
              </w:rPr>
            </w:pPr>
            <w:r w:rsidRPr="00251A53">
              <w:rPr>
                <w:iCs/>
                <w:sz w:val="18"/>
                <w:szCs w:val="18"/>
              </w:rPr>
              <w:t xml:space="preserve">1.1.2: Number of district health delegations that have integrated adolescent health interventions within local health plans </w:t>
            </w:r>
          </w:p>
          <w:p w14:paraId="7C0314FA" w14:textId="77777777" w:rsidR="007C25CB" w:rsidRPr="00251A53" w:rsidRDefault="007C25CB" w:rsidP="007612AB">
            <w:pPr>
              <w:spacing w:before="20" w:after="20"/>
              <w:rPr>
                <w:i/>
                <w:iCs/>
                <w:sz w:val="18"/>
                <w:szCs w:val="18"/>
              </w:rPr>
            </w:pPr>
            <w:r w:rsidRPr="00251A53">
              <w:rPr>
                <w:i/>
                <w:iCs/>
                <w:sz w:val="18"/>
                <w:szCs w:val="18"/>
              </w:rPr>
              <w:t xml:space="preserve">Baseline: </w:t>
            </w:r>
            <w:r w:rsidRPr="00251A53">
              <w:rPr>
                <w:iCs/>
                <w:sz w:val="18"/>
                <w:szCs w:val="18"/>
              </w:rPr>
              <w:t>3;</w:t>
            </w:r>
            <w:r w:rsidRPr="00251A53">
              <w:rPr>
                <w:i/>
                <w:iCs/>
                <w:sz w:val="18"/>
                <w:szCs w:val="18"/>
              </w:rPr>
              <w:t xml:space="preserve"> Target: </w:t>
            </w:r>
            <w:r w:rsidRPr="00251A53">
              <w:rPr>
                <w:iCs/>
                <w:sz w:val="18"/>
                <w:szCs w:val="18"/>
              </w:rPr>
              <w:t xml:space="preserve">11 </w:t>
            </w:r>
          </w:p>
          <w:p w14:paraId="1D48B2DC" w14:textId="77777777" w:rsidR="007C25CB" w:rsidRPr="00251A53" w:rsidRDefault="007C25CB" w:rsidP="007612AB">
            <w:pPr>
              <w:spacing w:before="20" w:after="20"/>
              <w:rPr>
                <w:i/>
                <w:iCs/>
                <w:sz w:val="18"/>
                <w:szCs w:val="18"/>
              </w:rPr>
            </w:pPr>
            <w:r w:rsidRPr="00251A53">
              <w:rPr>
                <w:i/>
                <w:iCs/>
                <w:sz w:val="18"/>
                <w:szCs w:val="18"/>
              </w:rPr>
              <w:t xml:space="preserve">Source: </w:t>
            </w:r>
            <w:r w:rsidRPr="00251A53">
              <w:rPr>
                <w:iCs/>
                <w:sz w:val="18"/>
                <w:szCs w:val="18"/>
              </w:rPr>
              <w:t>MHSS annual reports</w:t>
            </w:r>
          </w:p>
          <w:p w14:paraId="0902551A" w14:textId="77777777" w:rsidR="007C25CB" w:rsidRPr="00251A53" w:rsidRDefault="00EC096F" w:rsidP="007612AB">
            <w:pPr>
              <w:spacing w:before="20" w:after="20"/>
              <w:rPr>
                <w:iCs/>
                <w:sz w:val="18"/>
                <w:szCs w:val="18"/>
              </w:rPr>
            </w:pPr>
            <w:r w:rsidRPr="00251A53">
              <w:rPr>
                <w:i/>
                <w:iCs/>
                <w:sz w:val="18"/>
                <w:szCs w:val="18"/>
              </w:rPr>
              <w:t>Responsible</w:t>
            </w:r>
            <w:r w:rsidR="007C25CB" w:rsidRPr="00251A53">
              <w:rPr>
                <w:iCs/>
                <w:sz w:val="18"/>
                <w:szCs w:val="18"/>
              </w:rPr>
              <w:t>: UNICEF</w:t>
            </w:r>
          </w:p>
        </w:tc>
        <w:tc>
          <w:tcPr>
            <w:tcW w:w="609" w:type="pct"/>
            <w:gridSpan w:val="2"/>
            <w:vMerge w:val="restart"/>
          </w:tcPr>
          <w:p w14:paraId="39877C3F" w14:textId="77777777" w:rsidR="007C25CB" w:rsidRPr="00251A53" w:rsidRDefault="007C25CB" w:rsidP="00E2785D">
            <w:pPr>
              <w:spacing w:before="20" w:after="20"/>
              <w:ind w:left="14"/>
              <w:rPr>
                <w:bCs/>
                <w:sz w:val="18"/>
                <w:szCs w:val="18"/>
              </w:rPr>
            </w:pPr>
            <w:r w:rsidRPr="00251A53">
              <w:rPr>
                <w:bCs/>
                <w:sz w:val="18"/>
                <w:szCs w:val="18"/>
              </w:rPr>
              <w:t>Ministries of Health and Social Security</w:t>
            </w:r>
            <w:r w:rsidR="00E2785D" w:rsidRPr="00251A53">
              <w:rPr>
                <w:bCs/>
                <w:sz w:val="18"/>
                <w:szCs w:val="18"/>
              </w:rPr>
              <w:t>;</w:t>
            </w:r>
            <w:r w:rsidRPr="00251A53">
              <w:rPr>
                <w:bCs/>
                <w:sz w:val="18"/>
                <w:szCs w:val="18"/>
              </w:rPr>
              <w:t xml:space="preserve"> Education</w:t>
            </w:r>
            <w:r w:rsidR="00E2785D" w:rsidRPr="00251A53">
              <w:rPr>
                <w:bCs/>
                <w:sz w:val="18"/>
                <w:szCs w:val="18"/>
              </w:rPr>
              <w:t>;</w:t>
            </w:r>
            <w:r w:rsidRPr="00251A53">
              <w:rPr>
                <w:bCs/>
                <w:sz w:val="18"/>
                <w:szCs w:val="18"/>
              </w:rPr>
              <w:t xml:space="preserve"> Family and Social Inclusion; Local Education Partners Group; Cabo Verde Institute for Children and Adolescents; Verde Fam; Portugal, Brazil, Spain; Global Partnership for Education; World Bank; UNESCO,</w:t>
            </w:r>
            <w:r w:rsidRPr="00251A53">
              <w:rPr>
                <w:sz w:val="18"/>
                <w:szCs w:val="18"/>
              </w:rPr>
              <w:t xml:space="preserve"> </w:t>
            </w:r>
            <w:r w:rsidRPr="00251A53">
              <w:rPr>
                <w:bCs/>
                <w:sz w:val="18"/>
                <w:szCs w:val="18"/>
              </w:rPr>
              <w:t xml:space="preserve">UN-Women; WHO </w:t>
            </w:r>
          </w:p>
        </w:tc>
        <w:tc>
          <w:tcPr>
            <w:tcW w:w="344" w:type="pct"/>
            <w:tcBorders>
              <w:bottom w:val="nil"/>
            </w:tcBorders>
            <w:tcMar>
              <w:top w:w="15" w:type="dxa"/>
              <w:left w:w="108" w:type="dxa"/>
              <w:bottom w:w="0" w:type="dxa"/>
              <w:right w:w="108" w:type="dxa"/>
            </w:tcMar>
          </w:tcPr>
          <w:p w14:paraId="1DB64066" w14:textId="77777777" w:rsidR="007C25CB" w:rsidRPr="00251A53" w:rsidRDefault="007C25CB" w:rsidP="00A823AD">
            <w:pPr>
              <w:spacing w:before="20" w:after="120"/>
              <w:ind w:left="-103" w:right="-60"/>
              <w:jc w:val="center"/>
              <w:rPr>
                <w:sz w:val="18"/>
                <w:szCs w:val="18"/>
              </w:rPr>
            </w:pPr>
            <w:r w:rsidRPr="00251A53">
              <w:rPr>
                <w:sz w:val="18"/>
                <w:szCs w:val="18"/>
              </w:rPr>
              <w:t xml:space="preserve">UNDP: </w:t>
            </w:r>
            <w:r w:rsidRPr="00251A53">
              <w:rPr>
                <w:sz w:val="18"/>
                <w:szCs w:val="18"/>
              </w:rPr>
              <w:br/>
              <w:t>0</w:t>
            </w:r>
          </w:p>
          <w:p w14:paraId="73D155C7" w14:textId="77777777" w:rsidR="007C25CB" w:rsidRPr="00251A53" w:rsidRDefault="007C25CB" w:rsidP="00A823AD">
            <w:pPr>
              <w:spacing w:before="20" w:after="120"/>
              <w:ind w:left="-103" w:right="-60"/>
              <w:jc w:val="center"/>
              <w:rPr>
                <w:sz w:val="18"/>
                <w:szCs w:val="18"/>
              </w:rPr>
            </w:pPr>
            <w:r w:rsidRPr="00251A53">
              <w:rPr>
                <w:sz w:val="18"/>
                <w:szCs w:val="18"/>
              </w:rPr>
              <w:t>UNFPA: 990,000</w:t>
            </w:r>
          </w:p>
          <w:p w14:paraId="40D4B37F" w14:textId="77777777" w:rsidR="007C25CB" w:rsidRPr="00251A53" w:rsidRDefault="007C25CB" w:rsidP="00A823AD">
            <w:pPr>
              <w:spacing w:before="20" w:after="120"/>
              <w:ind w:left="-103" w:right="-60"/>
              <w:jc w:val="center"/>
              <w:rPr>
                <w:sz w:val="18"/>
                <w:szCs w:val="18"/>
              </w:rPr>
            </w:pPr>
            <w:r w:rsidRPr="00251A53">
              <w:rPr>
                <w:sz w:val="18"/>
                <w:szCs w:val="18"/>
              </w:rPr>
              <w:t>UNICEF: 2,000,000</w:t>
            </w:r>
          </w:p>
        </w:tc>
        <w:tc>
          <w:tcPr>
            <w:tcW w:w="343" w:type="pct"/>
            <w:tcBorders>
              <w:bottom w:val="nil"/>
            </w:tcBorders>
          </w:tcPr>
          <w:p w14:paraId="3AF6E0E2" w14:textId="77777777" w:rsidR="007C25CB" w:rsidRPr="00251A53" w:rsidRDefault="007C25CB" w:rsidP="00A823AD">
            <w:pPr>
              <w:spacing w:before="20" w:after="120"/>
              <w:ind w:left="-77" w:right="-18"/>
              <w:jc w:val="center"/>
              <w:rPr>
                <w:sz w:val="18"/>
                <w:szCs w:val="18"/>
              </w:rPr>
            </w:pPr>
            <w:r w:rsidRPr="00251A53">
              <w:rPr>
                <w:sz w:val="18"/>
                <w:szCs w:val="18"/>
              </w:rPr>
              <w:t xml:space="preserve">UNDP: </w:t>
            </w:r>
            <w:r w:rsidRPr="00251A53">
              <w:rPr>
                <w:sz w:val="18"/>
                <w:szCs w:val="18"/>
              </w:rPr>
              <w:br/>
              <w:t>0</w:t>
            </w:r>
          </w:p>
          <w:p w14:paraId="2C1E1E76" w14:textId="77777777" w:rsidR="007C25CB" w:rsidRPr="00251A53" w:rsidRDefault="007C25CB" w:rsidP="00A823AD">
            <w:pPr>
              <w:spacing w:before="20" w:after="120"/>
              <w:ind w:left="-77" w:right="-18"/>
              <w:jc w:val="center"/>
              <w:rPr>
                <w:sz w:val="18"/>
                <w:szCs w:val="18"/>
              </w:rPr>
            </w:pPr>
            <w:r w:rsidRPr="00251A53">
              <w:rPr>
                <w:sz w:val="18"/>
                <w:szCs w:val="18"/>
              </w:rPr>
              <w:t>UNFPA: 900,000</w:t>
            </w:r>
          </w:p>
          <w:p w14:paraId="1A835EF9" w14:textId="77777777" w:rsidR="007C25CB" w:rsidRPr="00251A53" w:rsidRDefault="007C25CB" w:rsidP="00A823AD">
            <w:pPr>
              <w:spacing w:before="20" w:after="120"/>
              <w:ind w:left="-77" w:right="-18"/>
              <w:jc w:val="center"/>
              <w:rPr>
                <w:sz w:val="18"/>
                <w:szCs w:val="18"/>
              </w:rPr>
            </w:pPr>
            <w:r w:rsidRPr="00251A53">
              <w:rPr>
                <w:sz w:val="18"/>
                <w:szCs w:val="18"/>
              </w:rPr>
              <w:t>UNICEF: 2,696,000</w:t>
            </w:r>
          </w:p>
        </w:tc>
        <w:tc>
          <w:tcPr>
            <w:tcW w:w="371" w:type="pct"/>
            <w:tcBorders>
              <w:bottom w:val="nil"/>
            </w:tcBorders>
          </w:tcPr>
          <w:p w14:paraId="3CDF4296" w14:textId="77777777" w:rsidR="007C25CB" w:rsidRPr="00251A53" w:rsidRDefault="007C25CB" w:rsidP="00A823AD">
            <w:pPr>
              <w:spacing w:before="20" w:after="120"/>
              <w:ind w:left="-40" w:right="-29"/>
              <w:jc w:val="center"/>
              <w:rPr>
                <w:sz w:val="18"/>
                <w:szCs w:val="18"/>
              </w:rPr>
            </w:pPr>
            <w:r w:rsidRPr="00251A53">
              <w:rPr>
                <w:sz w:val="18"/>
                <w:szCs w:val="18"/>
              </w:rPr>
              <w:t xml:space="preserve">UNDP: </w:t>
            </w:r>
            <w:r w:rsidRPr="00251A53">
              <w:rPr>
                <w:sz w:val="18"/>
                <w:szCs w:val="18"/>
              </w:rPr>
              <w:br/>
              <w:t>0</w:t>
            </w:r>
          </w:p>
          <w:p w14:paraId="5C0A3CF2" w14:textId="77777777" w:rsidR="007C25CB" w:rsidRPr="00251A53" w:rsidRDefault="007C25CB" w:rsidP="00A823AD">
            <w:pPr>
              <w:spacing w:before="20" w:after="120"/>
              <w:ind w:left="-40" w:right="-29"/>
              <w:jc w:val="center"/>
              <w:rPr>
                <w:sz w:val="18"/>
                <w:szCs w:val="18"/>
              </w:rPr>
            </w:pPr>
            <w:r w:rsidRPr="00251A53">
              <w:rPr>
                <w:sz w:val="18"/>
                <w:szCs w:val="18"/>
              </w:rPr>
              <w:t>UNFPA: 1,890,000</w:t>
            </w:r>
          </w:p>
          <w:p w14:paraId="0FD1028F" w14:textId="77777777" w:rsidR="007C25CB" w:rsidRPr="00251A53" w:rsidRDefault="007C25CB" w:rsidP="00A823AD">
            <w:pPr>
              <w:spacing w:before="20" w:after="120"/>
              <w:ind w:left="-40" w:right="-29"/>
              <w:jc w:val="center"/>
              <w:rPr>
                <w:sz w:val="18"/>
                <w:szCs w:val="18"/>
              </w:rPr>
            </w:pPr>
            <w:r w:rsidRPr="00251A53">
              <w:rPr>
                <w:sz w:val="18"/>
                <w:szCs w:val="18"/>
              </w:rPr>
              <w:t>UNICEF: 4,696,000</w:t>
            </w:r>
          </w:p>
        </w:tc>
      </w:tr>
      <w:tr w:rsidR="007C25CB" w:rsidRPr="00251A53" w14:paraId="183732C6" w14:textId="77777777" w:rsidTr="007C25CB">
        <w:trPr>
          <w:trHeight w:val="20"/>
        </w:trPr>
        <w:tc>
          <w:tcPr>
            <w:tcW w:w="751" w:type="pct"/>
            <w:tcBorders>
              <w:top w:val="nil"/>
              <w:bottom w:val="nil"/>
            </w:tcBorders>
            <w:tcMar>
              <w:top w:w="72" w:type="dxa"/>
              <w:left w:w="144" w:type="dxa"/>
              <w:bottom w:w="72" w:type="dxa"/>
              <w:right w:w="144" w:type="dxa"/>
            </w:tcMar>
          </w:tcPr>
          <w:p w14:paraId="3E797C38" w14:textId="77777777" w:rsidR="007C25CB" w:rsidRPr="00251A53" w:rsidRDefault="007C25CB" w:rsidP="00D06682">
            <w:pPr>
              <w:spacing w:before="20" w:after="20"/>
              <w:ind w:right="-147"/>
              <w:rPr>
                <w:iCs/>
                <w:sz w:val="18"/>
                <w:szCs w:val="18"/>
              </w:rPr>
            </w:pPr>
            <w:r w:rsidRPr="00251A53">
              <w:rPr>
                <w:bCs/>
                <w:iCs/>
                <w:sz w:val="18"/>
                <w:szCs w:val="18"/>
                <w:u w:val="single"/>
              </w:rPr>
              <w:t>Indicator 1.1.5</w:t>
            </w:r>
            <w:r w:rsidRPr="00251A53">
              <w:rPr>
                <w:bCs/>
                <w:iCs/>
                <w:sz w:val="18"/>
                <w:szCs w:val="18"/>
              </w:rPr>
              <w:t xml:space="preserve">: </w:t>
            </w:r>
            <w:r w:rsidRPr="00251A53">
              <w:rPr>
                <w:bCs/>
                <w:iCs/>
                <w:sz w:val="18"/>
                <w:szCs w:val="18"/>
              </w:rPr>
              <w:br/>
              <w:t>Population with access to integrated care services (by sex/age)</w:t>
            </w:r>
            <w:r w:rsidRPr="00251A53">
              <w:rPr>
                <w:bCs/>
                <w:iCs/>
                <w:sz w:val="18"/>
                <w:szCs w:val="18"/>
              </w:rPr>
              <w:br/>
            </w:r>
            <w:r w:rsidRPr="00251A53">
              <w:rPr>
                <w:bCs/>
                <w:i/>
                <w:iCs/>
                <w:sz w:val="18"/>
                <w:szCs w:val="18"/>
              </w:rPr>
              <w:t>Baseline</w:t>
            </w:r>
            <w:r w:rsidRPr="00251A53">
              <w:rPr>
                <w:bCs/>
                <w:iCs/>
                <w:sz w:val="18"/>
                <w:szCs w:val="18"/>
              </w:rPr>
              <w:t xml:space="preserve">: 0; </w:t>
            </w:r>
            <w:r w:rsidR="00212E62" w:rsidRPr="00251A53">
              <w:rPr>
                <w:bCs/>
                <w:iCs/>
                <w:sz w:val="18"/>
                <w:szCs w:val="18"/>
              </w:rPr>
              <w:br/>
            </w:r>
            <w:r w:rsidRPr="00251A53">
              <w:rPr>
                <w:i/>
                <w:iCs/>
                <w:sz w:val="18"/>
                <w:szCs w:val="18"/>
              </w:rPr>
              <w:t>Target</w:t>
            </w:r>
            <w:r w:rsidRPr="00251A53">
              <w:rPr>
                <w:iCs/>
                <w:sz w:val="18"/>
                <w:szCs w:val="18"/>
              </w:rPr>
              <w:t>: TBD</w:t>
            </w:r>
          </w:p>
        </w:tc>
        <w:tc>
          <w:tcPr>
            <w:tcW w:w="857" w:type="pct"/>
            <w:tcBorders>
              <w:top w:val="nil"/>
              <w:bottom w:val="nil"/>
            </w:tcBorders>
          </w:tcPr>
          <w:p w14:paraId="559F477C" w14:textId="77777777" w:rsidR="007C25CB" w:rsidRPr="00251A53" w:rsidRDefault="007C25CB" w:rsidP="007612AB">
            <w:pPr>
              <w:pStyle w:val="BodyText"/>
              <w:spacing w:before="20" w:after="20"/>
              <w:ind w:left="36"/>
              <w:rPr>
                <w:sz w:val="18"/>
                <w:szCs w:val="18"/>
              </w:rPr>
            </w:pPr>
            <w:r w:rsidRPr="00251A53">
              <w:rPr>
                <w:rFonts w:eastAsia="Calibri"/>
                <w:bCs/>
                <w:i/>
                <w:sz w:val="18"/>
                <w:szCs w:val="18"/>
              </w:rPr>
              <w:t>Source</w:t>
            </w:r>
            <w:r w:rsidRPr="00251A53">
              <w:rPr>
                <w:rFonts w:eastAsia="Calibri"/>
                <w:bCs/>
                <w:sz w:val="18"/>
                <w:szCs w:val="18"/>
              </w:rPr>
              <w:t>: Ministry of Family and Social Inclusion (MFSI) reports</w:t>
            </w:r>
          </w:p>
          <w:p w14:paraId="5A864367" w14:textId="77777777" w:rsidR="007C25CB" w:rsidRPr="00251A53" w:rsidRDefault="007C25CB" w:rsidP="007612AB">
            <w:pPr>
              <w:spacing w:before="20" w:after="20"/>
              <w:rPr>
                <w:bCs/>
                <w:sz w:val="18"/>
                <w:szCs w:val="18"/>
              </w:rPr>
            </w:pPr>
            <w:r w:rsidRPr="00251A53">
              <w:rPr>
                <w:bCs/>
                <w:i/>
                <w:sz w:val="18"/>
                <w:szCs w:val="18"/>
              </w:rPr>
              <w:t>Responsibility</w:t>
            </w:r>
            <w:r w:rsidRPr="00251A53">
              <w:rPr>
                <w:bCs/>
                <w:sz w:val="18"/>
                <w:szCs w:val="18"/>
              </w:rPr>
              <w:t>: MFSI</w:t>
            </w:r>
          </w:p>
        </w:tc>
        <w:tc>
          <w:tcPr>
            <w:tcW w:w="1725" w:type="pct"/>
            <w:gridSpan w:val="2"/>
            <w:vMerge/>
            <w:tcBorders>
              <w:top w:val="nil"/>
              <w:bottom w:val="nil"/>
            </w:tcBorders>
            <w:tcMar>
              <w:top w:w="72" w:type="dxa"/>
              <w:left w:w="144" w:type="dxa"/>
              <w:bottom w:w="72" w:type="dxa"/>
              <w:right w:w="144" w:type="dxa"/>
            </w:tcMar>
          </w:tcPr>
          <w:p w14:paraId="6BD49AB6" w14:textId="77777777" w:rsidR="007C25CB" w:rsidRPr="00251A53" w:rsidRDefault="007C25CB" w:rsidP="007612AB">
            <w:pPr>
              <w:spacing w:before="20" w:after="20"/>
              <w:jc w:val="both"/>
              <w:rPr>
                <w:b/>
                <w:i/>
                <w:iCs/>
                <w:sz w:val="18"/>
                <w:szCs w:val="18"/>
              </w:rPr>
            </w:pPr>
          </w:p>
        </w:tc>
        <w:tc>
          <w:tcPr>
            <w:tcW w:w="609" w:type="pct"/>
            <w:gridSpan w:val="2"/>
            <w:vMerge/>
          </w:tcPr>
          <w:p w14:paraId="56401F38" w14:textId="77777777" w:rsidR="007C25CB" w:rsidRPr="00251A53" w:rsidRDefault="007C25CB" w:rsidP="007612AB">
            <w:pPr>
              <w:spacing w:before="20" w:after="20"/>
              <w:ind w:left="16"/>
              <w:rPr>
                <w:bCs/>
                <w:sz w:val="18"/>
                <w:szCs w:val="18"/>
              </w:rPr>
            </w:pPr>
          </w:p>
        </w:tc>
        <w:tc>
          <w:tcPr>
            <w:tcW w:w="344" w:type="pct"/>
            <w:tcBorders>
              <w:top w:val="nil"/>
              <w:bottom w:val="nil"/>
            </w:tcBorders>
            <w:tcMar>
              <w:top w:w="15" w:type="dxa"/>
              <w:left w:w="108" w:type="dxa"/>
              <w:bottom w:w="0" w:type="dxa"/>
              <w:right w:w="108" w:type="dxa"/>
            </w:tcMar>
          </w:tcPr>
          <w:p w14:paraId="74FA7EC8" w14:textId="77777777" w:rsidR="007C25CB" w:rsidRPr="00251A53" w:rsidRDefault="007C25CB" w:rsidP="007612AB">
            <w:pPr>
              <w:spacing w:before="20" w:after="20"/>
              <w:ind w:left="-103" w:right="-60"/>
              <w:jc w:val="center"/>
              <w:rPr>
                <w:sz w:val="18"/>
                <w:szCs w:val="18"/>
              </w:rPr>
            </w:pPr>
          </w:p>
        </w:tc>
        <w:tc>
          <w:tcPr>
            <w:tcW w:w="343" w:type="pct"/>
            <w:tcBorders>
              <w:top w:val="nil"/>
              <w:bottom w:val="nil"/>
            </w:tcBorders>
          </w:tcPr>
          <w:p w14:paraId="48DEBDE2" w14:textId="77777777" w:rsidR="007C25CB" w:rsidRPr="00251A53" w:rsidRDefault="007C25CB" w:rsidP="007612AB">
            <w:pPr>
              <w:spacing w:before="20" w:after="20"/>
              <w:ind w:left="-77" w:right="-18"/>
              <w:jc w:val="center"/>
              <w:rPr>
                <w:sz w:val="18"/>
                <w:szCs w:val="18"/>
              </w:rPr>
            </w:pPr>
          </w:p>
        </w:tc>
        <w:tc>
          <w:tcPr>
            <w:tcW w:w="371" w:type="pct"/>
            <w:tcBorders>
              <w:top w:val="nil"/>
              <w:bottom w:val="nil"/>
            </w:tcBorders>
          </w:tcPr>
          <w:p w14:paraId="2427716D" w14:textId="77777777" w:rsidR="007C25CB" w:rsidRPr="00251A53" w:rsidRDefault="007C25CB" w:rsidP="007612AB">
            <w:pPr>
              <w:spacing w:before="20" w:after="20"/>
              <w:ind w:left="-40" w:right="-29"/>
              <w:jc w:val="center"/>
              <w:rPr>
                <w:sz w:val="18"/>
                <w:szCs w:val="18"/>
              </w:rPr>
            </w:pPr>
          </w:p>
        </w:tc>
      </w:tr>
      <w:tr w:rsidR="007C25CB" w:rsidRPr="00251A53" w14:paraId="76CE85AC" w14:textId="77777777" w:rsidTr="007C25CB">
        <w:trPr>
          <w:trHeight w:val="20"/>
        </w:trPr>
        <w:tc>
          <w:tcPr>
            <w:tcW w:w="751" w:type="pct"/>
            <w:tcBorders>
              <w:top w:val="nil"/>
              <w:left w:val="single" w:sz="4" w:space="0" w:color="auto"/>
              <w:bottom w:val="nil"/>
              <w:right w:val="single" w:sz="4" w:space="0" w:color="auto"/>
            </w:tcBorders>
            <w:tcMar>
              <w:top w:w="72" w:type="dxa"/>
              <w:left w:w="144" w:type="dxa"/>
              <w:bottom w:w="72" w:type="dxa"/>
              <w:right w:w="144" w:type="dxa"/>
            </w:tcMar>
          </w:tcPr>
          <w:p w14:paraId="18A3970C" w14:textId="77777777" w:rsidR="007C25CB" w:rsidRPr="00251A53" w:rsidRDefault="007C25CB" w:rsidP="007612AB">
            <w:pPr>
              <w:spacing w:before="20" w:after="20"/>
              <w:rPr>
                <w:sz w:val="18"/>
                <w:szCs w:val="18"/>
              </w:rPr>
            </w:pPr>
            <w:r w:rsidRPr="00251A53">
              <w:rPr>
                <w:iCs/>
                <w:sz w:val="18"/>
                <w:szCs w:val="18"/>
                <w:u w:val="single"/>
              </w:rPr>
              <w:t>Indicator 1.1.1</w:t>
            </w:r>
            <w:r w:rsidRPr="00251A53">
              <w:rPr>
                <w:iCs/>
                <w:sz w:val="18"/>
                <w:szCs w:val="18"/>
              </w:rPr>
              <w:t>: Prevalence of anaemia in children aged 0-5 years (by municipality)</w:t>
            </w:r>
            <w:r w:rsidRPr="00251A53">
              <w:rPr>
                <w:iCs/>
                <w:sz w:val="18"/>
                <w:szCs w:val="18"/>
              </w:rPr>
              <w:br/>
            </w:r>
            <w:r w:rsidRPr="00251A53">
              <w:rPr>
                <w:i/>
                <w:iCs/>
                <w:sz w:val="18"/>
                <w:szCs w:val="18"/>
              </w:rPr>
              <w:t>Baseline</w:t>
            </w:r>
            <w:r w:rsidRPr="00251A53">
              <w:rPr>
                <w:iCs/>
                <w:sz w:val="18"/>
                <w:szCs w:val="18"/>
              </w:rPr>
              <w:t xml:space="preserve">: 52.4%; </w:t>
            </w:r>
            <w:r w:rsidR="00691368" w:rsidRPr="00251A53">
              <w:rPr>
                <w:iCs/>
                <w:sz w:val="18"/>
                <w:szCs w:val="18"/>
              </w:rPr>
              <w:br/>
            </w:r>
            <w:r w:rsidRPr="00251A53">
              <w:rPr>
                <w:i/>
                <w:iCs/>
                <w:sz w:val="18"/>
                <w:szCs w:val="18"/>
              </w:rPr>
              <w:t>Target</w:t>
            </w:r>
            <w:r w:rsidRPr="00251A53">
              <w:rPr>
                <w:iCs/>
                <w:sz w:val="18"/>
                <w:szCs w:val="18"/>
              </w:rPr>
              <w:t>: 39%</w:t>
            </w:r>
          </w:p>
        </w:tc>
        <w:tc>
          <w:tcPr>
            <w:tcW w:w="857" w:type="pct"/>
            <w:tcBorders>
              <w:top w:val="nil"/>
              <w:left w:val="single" w:sz="4" w:space="0" w:color="auto"/>
              <w:bottom w:val="nil"/>
              <w:right w:val="single" w:sz="4" w:space="0" w:color="auto"/>
            </w:tcBorders>
          </w:tcPr>
          <w:p w14:paraId="56E654EA" w14:textId="77777777" w:rsidR="007C25CB" w:rsidRPr="00251A53" w:rsidRDefault="007C25CB" w:rsidP="007612AB">
            <w:pPr>
              <w:spacing w:before="20" w:after="20"/>
              <w:ind w:left="61"/>
              <w:rPr>
                <w:sz w:val="18"/>
                <w:szCs w:val="18"/>
              </w:rPr>
            </w:pPr>
            <w:r w:rsidRPr="00251A53">
              <w:rPr>
                <w:bCs/>
                <w:i/>
                <w:sz w:val="18"/>
                <w:szCs w:val="18"/>
              </w:rPr>
              <w:t>Source</w:t>
            </w:r>
            <w:r w:rsidRPr="00251A53">
              <w:rPr>
                <w:bCs/>
                <w:sz w:val="18"/>
                <w:szCs w:val="18"/>
              </w:rPr>
              <w:t>:</w:t>
            </w:r>
            <w:r w:rsidRPr="00251A53">
              <w:rPr>
                <w:sz w:val="18"/>
                <w:szCs w:val="18"/>
              </w:rPr>
              <w:t xml:space="preserve"> </w:t>
            </w:r>
            <w:r w:rsidRPr="00251A53">
              <w:rPr>
                <w:bCs/>
                <w:sz w:val="18"/>
                <w:szCs w:val="18"/>
              </w:rPr>
              <w:t>MHSS</w:t>
            </w:r>
          </w:p>
          <w:p w14:paraId="5D547FA1" w14:textId="77777777" w:rsidR="007C25CB" w:rsidRPr="00251A53" w:rsidRDefault="007C25CB" w:rsidP="007612AB">
            <w:pPr>
              <w:spacing w:before="20" w:after="20"/>
              <w:ind w:left="61"/>
              <w:rPr>
                <w:bCs/>
                <w:sz w:val="18"/>
                <w:szCs w:val="18"/>
              </w:rPr>
            </w:pPr>
            <w:r w:rsidRPr="00251A53">
              <w:rPr>
                <w:bCs/>
                <w:i/>
                <w:sz w:val="18"/>
                <w:szCs w:val="18"/>
              </w:rPr>
              <w:t>Responsibility</w:t>
            </w:r>
            <w:r w:rsidRPr="00251A53">
              <w:rPr>
                <w:bCs/>
                <w:sz w:val="18"/>
                <w:szCs w:val="18"/>
              </w:rPr>
              <w:t>: MHSS</w:t>
            </w:r>
            <w:r w:rsidRPr="00251A53">
              <w:rPr>
                <w:b/>
                <w:bCs/>
                <w:sz w:val="18"/>
                <w:szCs w:val="18"/>
              </w:rPr>
              <w:t xml:space="preserve"> </w:t>
            </w:r>
          </w:p>
        </w:tc>
        <w:tc>
          <w:tcPr>
            <w:tcW w:w="1725" w:type="pct"/>
            <w:gridSpan w:val="2"/>
            <w:vMerge w:val="restart"/>
            <w:tcBorders>
              <w:top w:val="nil"/>
              <w:left w:val="single" w:sz="4" w:space="0" w:color="auto"/>
            </w:tcBorders>
            <w:tcMar>
              <w:top w:w="72" w:type="dxa"/>
              <w:left w:w="144" w:type="dxa"/>
              <w:bottom w:w="72" w:type="dxa"/>
              <w:right w:w="144" w:type="dxa"/>
            </w:tcMar>
          </w:tcPr>
          <w:p w14:paraId="0DB12F8A" w14:textId="77777777" w:rsidR="007C25CB" w:rsidRPr="00251A53" w:rsidRDefault="007C25CB" w:rsidP="007612AB">
            <w:pPr>
              <w:spacing w:before="20" w:after="20"/>
              <w:rPr>
                <w:i/>
                <w:iCs/>
                <w:sz w:val="18"/>
                <w:szCs w:val="18"/>
              </w:rPr>
            </w:pPr>
            <w:r w:rsidRPr="00251A53">
              <w:rPr>
                <w:iCs/>
                <w:sz w:val="18"/>
                <w:szCs w:val="18"/>
                <w:u w:val="single"/>
              </w:rPr>
              <w:t>Output 1.2</w:t>
            </w:r>
            <w:r w:rsidRPr="00251A53">
              <w:rPr>
                <w:iCs/>
                <w:sz w:val="18"/>
                <w:szCs w:val="18"/>
              </w:rPr>
              <w:t>:</w:t>
            </w:r>
            <w:r w:rsidRPr="00251A53">
              <w:rPr>
                <w:i/>
                <w:iCs/>
                <w:sz w:val="18"/>
                <w:szCs w:val="18"/>
              </w:rPr>
              <w:t xml:space="preserve"> </w:t>
            </w:r>
            <w:r w:rsidRPr="00251A53">
              <w:rPr>
                <w:iCs/>
                <w:sz w:val="18"/>
                <w:szCs w:val="18"/>
              </w:rPr>
              <w:t>National and local capacity for maternal, perinatal and child-health services strengthened</w:t>
            </w:r>
          </w:p>
          <w:p w14:paraId="617971C2" w14:textId="77777777" w:rsidR="007C25CB" w:rsidRPr="00251A53" w:rsidRDefault="007C25CB" w:rsidP="007612AB">
            <w:pPr>
              <w:spacing w:before="20" w:after="20"/>
              <w:rPr>
                <w:iCs/>
                <w:sz w:val="18"/>
                <w:szCs w:val="18"/>
              </w:rPr>
            </w:pPr>
            <w:r w:rsidRPr="00251A53">
              <w:rPr>
                <w:iCs/>
                <w:sz w:val="18"/>
                <w:szCs w:val="18"/>
              </w:rPr>
              <w:t>1.2.1: Number of district health delegations providing care for children with multiple micronutrient powder</w:t>
            </w:r>
          </w:p>
          <w:p w14:paraId="0B0E1B43" w14:textId="77777777" w:rsidR="007C25CB" w:rsidRPr="00251A53" w:rsidRDefault="007C25CB" w:rsidP="007612AB">
            <w:pPr>
              <w:spacing w:before="20" w:after="20"/>
              <w:rPr>
                <w:iCs/>
                <w:sz w:val="18"/>
                <w:szCs w:val="18"/>
              </w:rPr>
            </w:pPr>
            <w:r w:rsidRPr="00251A53">
              <w:rPr>
                <w:i/>
                <w:iCs/>
                <w:sz w:val="18"/>
                <w:szCs w:val="18"/>
              </w:rPr>
              <w:t xml:space="preserve">Baseline: </w:t>
            </w:r>
            <w:r w:rsidRPr="00251A53">
              <w:rPr>
                <w:iCs/>
                <w:sz w:val="18"/>
                <w:szCs w:val="18"/>
              </w:rPr>
              <w:t>10</w:t>
            </w:r>
            <w:r w:rsidRPr="00251A53">
              <w:rPr>
                <w:i/>
                <w:iCs/>
                <w:sz w:val="18"/>
                <w:szCs w:val="18"/>
              </w:rPr>
              <w:t xml:space="preserve">; </w:t>
            </w:r>
            <w:r w:rsidRPr="00251A53">
              <w:rPr>
                <w:bCs/>
                <w:i/>
                <w:sz w:val="18"/>
                <w:szCs w:val="18"/>
              </w:rPr>
              <w:t>Target:</w:t>
            </w:r>
            <w:r w:rsidRPr="00251A53">
              <w:rPr>
                <w:i/>
                <w:iCs/>
                <w:sz w:val="18"/>
                <w:szCs w:val="18"/>
              </w:rPr>
              <w:t xml:space="preserve"> </w:t>
            </w:r>
            <w:r w:rsidRPr="00251A53">
              <w:rPr>
                <w:iCs/>
                <w:sz w:val="18"/>
                <w:szCs w:val="18"/>
              </w:rPr>
              <w:t>22</w:t>
            </w:r>
            <w:r w:rsidRPr="00251A53">
              <w:rPr>
                <w:i/>
                <w:iCs/>
                <w:sz w:val="18"/>
                <w:szCs w:val="18"/>
              </w:rPr>
              <w:t xml:space="preserve"> </w:t>
            </w:r>
            <w:r w:rsidRPr="00251A53">
              <w:rPr>
                <w:bCs/>
                <w:i/>
                <w:sz w:val="18"/>
                <w:szCs w:val="18"/>
              </w:rPr>
              <w:br/>
            </w:r>
            <w:r w:rsidRPr="00251A53">
              <w:rPr>
                <w:i/>
                <w:iCs/>
                <w:sz w:val="18"/>
                <w:szCs w:val="18"/>
              </w:rPr>
              <w:t xml:space="preserve">Source: </w:t>
            </w:r>
            <w:r w:rsidRPr="00251A53">
              <w:rPr>
                <w:iCs/>
                <w:sz w:val="18"/>
                <w:szCs w:val="18"/>
              </w:rPr>
              <w:t>MHSS annual report</w:t>
            </w:r>
          </w:p>
          <w:p w14:paraId="37388F84" w14:textId="77777777" w:rsidR="007C25CB" w:rsidRPr="00251A53" w:rsidRDefault="00EC096F" w:rsidP="007612AB">
            <w:pPr>
              <w:spacing w:before="20" w:after="20"/>
              <w:rPr>
                <w:i/>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UNICEF</w:t>
            </w:r>
          </w:p>
          <w:p w14:paraId="0FE67AF2" w14:textId="77777777" w:rsidR="007C25CB" w:rsidRPr="00251A53" w:rsidRDefault="007C25CB" w:rsidP="007612AB">
            <w:pPr>
              <w:spacing w:before="20" w:after="20"/>
              <w:rPr>
                <w:iCs/>
                <w:sz w:val="18"/>
                <w:szCs w:val="18"/>
              </w:rPr>
            </w:pPr>
            <w:r w:rsidRPr="00251A53">
              <w:rPr>
                <w:iCs/>
                <w:sz w:val="18"/>
                <w:szCs w:val="18"/>
              </w:rPr>
              <w:t>1.2.2:</w:t>
            </w:r>
            <w:r w:rsidRPr="00251A53">
              <w:rPr>
                <w:sz w:val="18"/>
                <w:szCs w:val="18"/>
              </w:rPr>
              <w:t xml:space="preserve"> </w:t>
            </w:r>
            <w:r w:rsidRPr="00251A53">
              <w:rPr>
                <w:iCs/>
                <w:sz w:val="18"/>
                <w:szCs w:val="18"/>
              </w:rPr>
              <w:t xml:space="preserve">Percentage of district health delegations with at least one infrastructure integrating early child development in their child development monitoring services with nutrition services as entry point </w:t>
            </w:r>
          </w:p>
          <w:p w14:paraId="18074E0A" w14:textId="77777777" w:rsidR="007C25CB" w:rsidRPr="00251A53" w:rsidRDefault="007C25CB" w:rsidP="007612AB">
            <w:pPr>
              <w:spacing w:before="20" w:after="20"/>
              <w:jc w:val="both"/>
              <w:rPr>
                <w:i/>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30%</w:t>
            </w:r>
          </w:p>
          <w:p w14:paraId="6B498AFB" w14:textId="77777777" w:rsidR="007C25CB" w:rsidRPr="00251A53" w:rsidRDefault="007C25CB" w:rsidP="007612AB">
            <w:pPr>
              <w:spacing w:before="20" w:after="20"/>
              <w:rPr>
                <w:i/>
                <w:iCs/>
                <w:sz w:val="18"/>
                <w:szCs w:val="18"/>
              </w:rPr>
            </w:pPr>
            <w:r w:rsidRPr="00251A53">
              <w:rPr>
                <w:i/>
                <w:iCs/>
                <w:sz w:val="18"/>
                <w:szCs w:val="18"/>
              </w:rPr>
              <w:lastRenderedPageBreak/>
              <w:t xml:space="preserve">Source: </w:t>
            </w:r>
            <w:r w:rsidRPr="00251A53">
              <w:rPr>
                <w:iCs/>
                <w:sz w:val="18"/>
                <w:szCs w:val="18"/>
              </w:rPr>
              <w:t>MHSS annual reports</w:t>
            </w:r>
          </w:p>
          <w:p w14:paraId="7F65A59B" w14:textId="77777777" w:rsidR="007C25CB" w:rsidRPr="00251A53" w:rsidRDefault="00EC096F" w:rsidP="007612AB">
            <w:pPr>
              <w:spacing w:before="20" w:after="20"/>
              <w:jc w:val="both"/>
              <w:rPr>
                <w:i/>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UNICEF</w:t>
            </w:r>
          </w:p>
          <w:p w14:paraId="798F3732" w14:textId="77777777" w:rsidR="007C25CB" w:rsidRPr="00251A53" w:rsidRDefault="007C25CB" w:rsidP="007612AB">
            <w:pPr>
              <w:shd w:val="clear" w:color="auto" w:fill="FFFFFF" w:themeFill="background1"/>
              <w:spacing w:before="20" w:after="20"/>
              <w:rPr>
                <w:iCs/>
                <w:sz w:val="18"/>
                <w:szCs w:val="18"/>
              </w:rPr>
            </w:pPr>
            <w:r w:rsidRPr="00251A53">
              <w:rPr>
                <w:iCs/>
                <w:sz w:val="18"/>
                <w:szCs w:val="18"/>
              </w:rPr>
              <w:t xml:space="preserve">1.2.3: Existence of a functional national health information system for maternal, child and adolescent health, including reproductive health </w:t>
            </w:r>
          </w:p>
          <w:p w14:paraId="06457E2A" w14:textId="77777777" w:rsidR="007C25CB" w:rsidRPr="00251A53" w:rsidRDefault="007C25CB" w:rsidP="007612AB">
            <w:pPr>
              <w:shd w:val="clear" w:color="auto" w:fill="FFFFFF" w:themeFill="background1"/>
              <w:spacing w:before="20" w:after="20"/>
              <w:rPr>
                <w:i/>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 xml:space="preserve">1 </w:t>
            </w:r>
          </w:p>
          <w:p w14:paraId="3305D49F" w14:textId="77777777" w:rsidR="007C25CB" w:rsidRPr="00251A53" w:rsidRDefault="007C25CB" w:rsidP="007612AB">
            <w:pPr>
              <w:shd w:val="clear" w:color="auto" w:fill="FFFFFF" w:themeFill="background1"/>
              <w:spacing w:before="20" w:after="20"/>
              <w:rPr>
                <w:i/>
                <w:iCs/>
                <w:sz w:val="18"/>
                <w:szCs w:val="18"/>
              </w:rPr>
            </w:pPr>
            <w:r w:rsidRPr="00251A53">
              <w:rPr>
                <w:i/>
                <w:iCs/>
                <w:sz w:val="18"/>
                <w:szCs w:val="18"/>
              </w:rPr>
              <w:t xml:space="preserve">Source: </w:t>
            </w:r>
            <w:r w:rsidRPr="00251A53">
              <w:rPr>
                <w:iCs/>
                <w:sz w:val="18"/>
                <w:szCs w:val="18"/>
              </w:rPr>
              <w:t>MHSS annual reports</w:t>
            </w:r>
          </w:p>
          <w:p w14:paraId="01BA968E" w14:textId="77777777" w:rsidR="007C25CB" w:rsidRPr="00251A53" w:rsidRDefault="00EC096F" w:rsidP="007612AB">
            <w:pPr>
              <w:shd w:val="clear" w:color="auto" w:fill="FFFFFF" w:themeFill="background1"/>
              <w:spacing w:before="20" w:after="20"/>
              <w:rPr>
                <w:i/>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UNFPA</w:t>
            </w:r>
          </w:p>
        </w:tc>
        <w:tc>
          <w:tcPr>
            <w:tcW w:w="609" w:type="pct"/>
            <w:gridSpan w:val="2"/>
            <w:vMerge/>
          </w:tcPr>
          <w:p w14:paraId="6E2E814D" w14:textId="77777777" w:rsidR="007C25CB" w:rsidRPr="00251A53" w:rsidRDefault="007C25CB" w:rsidP="007612AB">
            <w:pPr>
              <w:spacing w:before="20" w:after="20"/>
              <w:ind w:left="16"/>
              <w:rPr>
                <w:iCs/>
                <w:sz w:val="18"/>
                <w:szCs w:val="18"/>
              </w:rPr>
            </w:pPr>
          </w:p>
        </w:tc>
        <w:tc>
          <w:tcPr>
            <w:tcW w:w="344" w:type="pct"/>
            <w:vMerge w:val="restart"/>
            <w:tcBorders>
              <w:top w:val="nil"/>
              <w:bottom w:val="nil"/>
            </w:tcBorders>
            <w:tcMar>
              <w:top w:w="15" w:type="dxa"/>
              <w:left w:w="108" w:type="dxa"/>
              <w:bottom w:w="0" w:type="dxa"/>
              <w:right w:w="108" w:type="dxa"/>
            </w:tcMar>
          </w:tcPr>
          <w:p w14:paraId="09235E44" w14:textId="77777777" w:rsidR="007C25CB" w:rsidRPr="00251A53" w:rsidRDefault="007C25CB" w:rsidP="007612AB">
            <w:pPr>
              <w:spacing w:before="20" w:after="20"/>
              <w:rPr>
                <w:b/>
                <w:sz w:val="18"/>
                <w:szCs w:val="18"/>
              </w:rPr>
            </w:pPr>
          </w:p>
        </w:tc>
        <w:tc>
          <w:tcPr>
            <w:tcW w:w="343" w:type="pct"/>
            <w:vMerge w:val="restart"/>
            <w:tcBorders>
              <w:top w:val="nil"/>
              <w:bottom w:val="nil"/>
            </w:tcBorders>
          </w:tcPr>
          <w:p w14:paraId="2CE4017D" w14:textId="77777777" w:rsidR="007C25CB" w:rsidRPr="00251A53" w:rsidRDefault="007C25CB" w:rsidP="007612AB">
            <w:pPr>
              <w:spacing w:before="20" w:after="20"/>
              <w:rPr>
                <w:b/>
                <w:sz w:val="18"/>
                <w:szCs w:val="18"/>
              </w:rPr>
            </w:pPr>
          </w:p>
        </w:tc>
        <w:tc>
          <w:tcPr>
            <w:tcW w:w="371" w:type="pct"/>
            <w:vMerge w:val="restart"/>
            <w:tcBorders>
              <w:top w:val="nil"/>
              <w:bottom w:val="nil"/>
            </w:tcBorders>
          </w:tcPr>
          <w:p w14:paraId="4219E763" w14:textId="77777777" w:rsidR="007C25CB" w:rsidRPr="00251A53" w:rsidRDefault="007C25CB" w:rsidP="007612AB">
            <w:pPr>
              <w:spacing w:before="20" w:after="20"/>
              <w:rPr>
                <w:b/>
                <w:sz w:val="18"/>
                <w:szCs w:val="18"/>
              </w:rPr>
            </w:pPr>
          </w:p>
        </w:tc>
      </w:tr>
      <w:tr w:rsidR="007C25CB" w:rsidRPr="00251A53" w14:paraId="31B98832" w14:textId="77777777" w:rsidTr="007C25CB">
        <w:trPr>
          <w:trHeight w:val="20"/>
        </w:trPr>
        <w:tc>
          <w:tcPr>
            <w:tcW w:w="751" w:type="pct"/>
            <w:tcBorders>
              <w:top w:val="nil"/>
              <w:left w:val="single" w:sz="4" w:space="0" w:color="auto"/>
              <w:bottom w:val="nil"/>
              <w:right w:val="single" w:sz="4" w:space="0" w:color="auto"/>
            </w:tcBorders>
            <w:tcMar>
              <w:top w:w="72" w:type="dxa"/>
              <w:left w:w="144" w:type="dxa"/>
              <w:bottom w:w="72" w:type="dxa"/>
              <w:right w:w="144" w:type="dxa"/>
            </w:tcMar>
          </w:tcPr>
          <w:p w14:paraId="6BEB06FA" w14:textId="77777777" w:rsidR="007C25CB" w:rsidRPr="00251A53" w:rsidRDefault="007C25CB" w:rsidP="007612AB">
            <w:pPr>
              <w:spacing w:before="20" w:after="20"/>
              <w:rPr>
                <w:iCs/>
                <w:sz w:val="18"/>
                <w:szCs w:val="18"/>
              </w:rPr>
            </w:pPr>
          </w:p>
        </w:tc>
        <w:tc>
          <w:tcPr>
            <w:tcW w:w="857" w:type="pct"/>
            <w:tcBorders>
              <w:top w:val="nil"/>
              <w:left w:val="single" w:sz="4" w:space="0" w:color="auto"/>
              <w:bottom w:val="nil"/>
              <w:right w:val="single" w:sz="4" w:space="0" w:color="auto"/>
            </w:tcBorders>
          </w:tcPr>
          <w:p w14:paraId="32778973" w14:textId="77777777" w:rsidR="007C25CB" w:rsidRPr="00251A53" w:rsidRDefault="007C25CB" w:rsidP="007612AB">
            <w:pPr>
              <w:pStyle w:val="BodyText"/>
              <w:spacing w:before="20" w:after="20"/>
              <w:ind w:left="36"/>
              <w:rPr>
                <w:b/>
                <w:bCs/>
                <w:sz w:val="18"/>
                <w:szCs w:val="18"/>
              </w:rPr>
            </w:pPr>
          </w:p>
        </w:tc>
        <w:tc>
          <w:tcPr>
            <w:tcW w:w="1725" w:type="pct"/>
            <w:gridSpan w:val="2"/>
            <w:vMerge/>
            <w:tcBorders>
              <w:left w:val="single" w:sz="4" w:space="0" w:color="auto"/>
            </w:tcBorders>
            <w:tcMar>
              <w:top w:w="72" w:type="dxa"/>
              <w:left w:w="144" w:type="dxa"/>
              <w:bottom w:w="72" w:type="dxa"/>
              <w:right w:w="144" w:type="dxa"/>
            </w:tcMar>
          </w:tcPr>
          <w:p w14:paraId="2EE0D885" w14:textId="77777777" w:rsidR="007C25CB" w:rsidRPr="00251A53" w:rsidRDefault="007C25CB" w:rsidP="007612AB">
            <w:pPr>
              <w:spacing w:before="20" w:after="20"/>
              <w:rPr>
                <w:b/>
                <w:i/>
                <w:iCs/>
                <w:sz w:val="18"/>
                <w:szCs w:val="18"/>
              </w:rPr>
            </w:pPr>
          </w:p>
        </w:tc>
        <w:tc>
          <w:tcPr>
            <w:tcW w:w="609" w:type="pct"/>
            <w:gridSpan w:val="2"/>
            <w:vMerge/>
          </w:tcPr>
          <w:p w14:paraId="02DF34B2" w14:textId="77777777" w:rsidR="007C25CB" w:rsidRPr="00251A53" w:rsidRDefault="007C25CB" w:rsidP="007612AB">
            <w:pPr>
              <w:spacing w:before="20" w:after="20"/>
              <w:ind w:left="16"/>
              <w:rPr>
                <w:bCs/>
                <w:sz w:val="18"/>
                <w:szCs w:val="18"/>
              </w:rPr>
            </w:pPr>
          </w:p>
        </w:tc>
        <w:tc>
          <w:tcPr>
            <w:tcW w:w="344" w:type="pct"/>
            <w:vMerge/>
            <w:tcBorders>
              <w:top w:val="nil"/>
              <w:bottom w:val="nil"/>
            </w:tcBorders>
            <w:tcMar>
              <w:top w:w="15" w:type="dxa"/>
              <w:left w:w="108" w:type="dxa"/>
              <w:bottom w:w="0" w:type="dxa"/>
              <w:right w:w="108" w:type="dxa"/>
            </w:tcMar>
          </w:tcPr>
          <w:p w14:paraId="47F543FD" w14:textId="77777777" w:rsidR="007C25CB" w:rsidRPr="00251A53" w:rsidRDefault="007C25CB" w:rsidP="007612AB">
            <w:pPr>
              <w:spacing w:before="20" w:after="20"/>
              <w:rPr>
                <w:b/>
                <w:sz w:val="18"/>
                <w:szCs w:val="18"/>
              </w:rPr>
            </w:pPr>
          </w:p>
        </w:tc>
        <w:tc>
          <w:tcPr>
            <w:tcW w:w="343" w:type="pct"/>
            <w:vMerge/>
            <w:tcBorders>
              <w:top w:val="nil"/>
              <w:bottom w:val="nil"/>
            </w:tcBorders>
          </w:tcPr>
          <w:p w14:paraId="273E2B03" w14:textId="77777777" w:rsidR="007C25CB" w:rsidRPr="00251A53" w:rsidRDefault="007C25CB" w:rsidP="007612AB">
            <w:pPr>
              <w:spacing w:before="20" w:after="20"/>
              <w:rPr>
                <w:b/>
                <w:sz w:val="18"/>
                <w:szCs w:val="18"/>
              </w:rPr>
            </w:pPr>
          </w:p>
        </w:tc>
        <w:tc>
          <w:tcPr>
            <w:tcW w:w="371" w:type="pct"/>
            <w:vMerge/>
            <w:tcBorders>
              <w:top w:val="nil"/>
              <w:bottom w:val="nil"/>
            </w:tcBorders>
          </w:tcPr>
          <w:p w14:paraId="1704E45D" w14:textId="77777777" w:rsidR="007C25CB" w:rsidRPr="00251A53" w:rsidRDefault="007C25CB" w:rsidP="007612AB">
            <w:pPr>
              <w:spacing w:before="20" w:after="20"/>
              <w:rPr>
                <w:b/>
                <w:sz w:val="18"/>
                <w:szCs w:val="18"/>
              </w:rPr>
            </w:pPr>
          </w:p>
        </w:tc>
      </w:tr>
      <w:tr w:rsidR="007C25CB" w:rsidRPr="00251A53" w14:paraId="52DEDA9C" w14:textId="77777777" w:rsidTr="007C25CB">
        <w:trPr>
          <w:trHeight w:val="20"/>
        </w:trPr>
        <w:tc>
          <w:tcPr>
            <w:tcW w:w="751" w:type="pct"/>
            <w:tcBorders>
              <w:top w:val="nil"/>
              <w:left w:val="single" w:sz="4" w:space="0" w:color="auto"/>
              <w:bottom w:val="nil"/>
              <w:right w:val="single" w:sz="4" w:space="0" w:color="auto"/>
            </w:tcBorders>
            <w:tcMar>
              <w:top w:w="72" w:type="dxa"/>
              <w:left w:w="144" w:type="dxa"/>
              <w:bottom w:w="72" w:type="dxa"/>
              <w:right w:w="144" w:type="dxa"/>
            </w:tcMar>
          </w:tcPr>
          <w:p w14:paraId="35AAB9C9" w14:textId="77777777" w:rsidR="007C25CB" w:rsidRPr="00251A53" w:rsidRDefault="007C25CB" w:rsidP="007612AB">
            <w:pPr>
              <w:spacing w:before="20" w:after="20"/>
              <w:rPr>
                <w:iCs/>
                <w:sz w:val="18"/>
                <w:szCs w:val="18"/>
              </w:rPr>
            </w:pPr>
          </w:p>
        </w:tc>
        <w:tc>
          <w:tcPr>
            <w:tcW w:w="857" w:type="pct"/>
            <w:tcBorders>
              <w:top w:val="nil"/>
              <w:left w:val="single" w:sz="4" w:space="0" w:color="auto"/>
              <w:bottom w:val="nil"/>
              <w:right w:val="single" w:sz="4" w:space="0" w:color="auto"/>
            </w:tcBorders>
          </w:tcPr>
          <w:p w14:paraId="71A622C4" w14:textId="77777777" w:rsidR="007C25CB" w:rsidRPr="00251A53" w:rsidRDefault="007C25CB" w:rsidP="007612AB">
            <w:pPr>
              <w:spacing w:before="20" w:after="20"/>
              <w:ind w:left="61"/>
              <w:rPr>
                <w:b/>
                <w:bCs/>
                <w:sz w:val="18"/>
                <w:szCs w:val="18"/>
              </w:rPr>
            </w:pPr>
          </w:p>
        </w:tc>
        <w:tc>
          <w:tcPr>
            <w:tcW w:w="1725" w:type="pct"/>
            <w:gridSpan w:val="2"/>
            <w:vMerge/>
            <w:tcBorders>
              <w:left w:val="single" w:sz="4" w:space="0" w:color="auto"/>
              <w:bottom w:val="single" w:sz="4" w:space="0" w:color="auto"/>
            </w:tcBorders>
            <w:tcMar>
              <w:top w:w="72" w:type="dxa"/>
              <w:left w:w="144" w:type="dxa"/>
              <w:bottom w:w="72" w:type="dxa"/>
              <w:right w:w="144" w:type="dxa"/>
            </w:tcMar>
          </w:tcPr>
          <w:p w14:paraId="0D90B5BD" w14:textId="77777777" w:rsidR="007C25CB" w:rsidRPr="00251A53" w:rsidRDefault="007C25CB" w:rsidP="007612AB">
            <w:pPr>
              <w:spacing w:before="20" w:after="20"/>
              <w:rPr>
                <w:b/>
                <w:i/>
                <w:iCs/>
                <w:sz w:val="18"/>
                <w:szCs w:val="18"/>
              </w:rPr>
            </w:pPr>
          </w:p>
        </w:tc>
        <w:tc>
          <w:tcPr>
            <w:tcW w:w="609" w:type="pct"/>
            <w:gridSpan w:val="2"/>
            <w:vMerge/>
          </w:tcPr>
          <w:p w14:paraId="0398C2F2" w14:textId="77777777" w:rsidR="007C25CB" w:rsidRPr="00251A53" w:rsidRDefault="007C25CB" w:rsidP="007612AB">
            <w:pPr>
              <w:spacing w:before="20" w:after="20"/>
              <w:ind w:left="16"/>
              <w:rPr>
                <w:bCs/>
                <w:sz w:val="18"/>
                <w:szCs w:val="18"/>
              </w:rPr>
            </w:pPr>
          </w:p>
        </w:tc>
        <w:tc>
          <w:tcPr>
            <w:tcW w:w="344" w:type="pct"/>
            <w:vMerge/>
            <w:tcBorders>
              <w:top w:val="nil"/>
              <w:bottom w:val="nil"/>
            </w:tcBorders>
            <w:tcMar>
              <w:top w:w="15" w:type="dxa"/>
              <w:left w:w="108" w:type="dxa"/>
              <w:bottom w:w="0" w:type="dxa"/>
              <w:right w:w="108" w:type="dxa"/>
            </w:tcMar>
          </w:tcPr>
          <w:p w14:paraId="167B62A2" w14:textId="77777777" w:rsidR="007C25CB" w:rsidRPr="00251A53" w:rsidRDefault="007C25CB" w:rsidP="007612AB">
            <w:pPr>
              <w:spacing w:before="20" w:after="20"/>
              <w:rPr>
                <w:b/>
                <w:sz w:val="18"/>
                <w:szCs w:val="18"/>
              </w:rPr>
            </w:pPr>
          </w:p>
        </w:tc>
        <w:tc>
          <w:tcPr>
            <w:tcW w:w="343" w:type="pct"/>
            <w:vMerge/>
            <w:tcBorders>
              <w:top w:val="nil"/>
              <w:bottom w:val="nil"/>
            </w:tcBorders>
          </w:tcPr>
          <w:p w14:paraId="1683947B" w14:textId="77777777" w:rsidR="007C25CB" w:rsidRPr="00251A53" w:rsidRDefault="007C25CB" w:rsidP="007612AB">
            <w:pPr>
              <w:spacing w:before="20" w:after="20"/>
              <w:rPr>
                <w:b/>
                <w:sz w:val="18"/>
                <w:szCs w:val="18"/>
              </w:rPr>
            </w:pPr>
          </w:p>
        </w:tc>
        <w:tc>
          <w:tcPr>
            <w:tcW w:w="371" w:type="pct"/>
            <w:vMerge/>
            <w:tcBorders>
              <w:top w:val="nil"/>
              <w:bottom w:val="nil"/>
            </w:tcBorders>
          </w:tcPr>
          <w:p w14:paraId="50E3EBEE" w14:textId="77777777" w:rsidR="007C25CB" w:rsidRPr="00251A53" w:rsidRDefault="007C25CB" w:rsidP="007612AB">
            <w:pPr>
              <w:spacing w:before="20" w:after="20"/>
              <w:rPr>
                <w:b/>
                <w:sz w:val="18"/>
                <w:szCs w:val="18"/>
              </w:rPr>
            </w:pPr>
          </w:p>
        </w:tc>
      </w:tr>
      <w:tr w:rsidR="007C25CB" w:rsidRPr="00251A53" w14:paraId="0DFA4D81" w14:textId="77777777" w:rsidTr="007C25CB">
        <w:trPr>
          <w:trHeight w:val="20"/>
        </w:trPr>
        <w:tc>
          <w:tcPr>
            <w:tcW w:w="751" w:type="pct"/>
            <w:tcBorders>
              <w:top w:val="nil"/>
              <w:bottom w:val="nil"/>
            </w:tcBorders>
            <w:tcMar>
              <w:top w:w="72" w:type="dxa"/>
              <w:left w:w="144" w:type="dxa"/>
              <w:bottom w:w="72" w:type="dxa"/>
              <w:right w:w="144" w:type="dxa"/>
            </w:tcMar>
          </w:tcPr>
          <w:p w14:paraId="4A7561A5" w14:textId="77777777" w:rsidR="007C25CB" w:rsidRPr="00251A53" w:rsidRDefault="007C25CB" w:rsidP="007612AB">
            <w:pPr>
              <w:spacing w:before="20" w:after="20"/>
              <w:rPr>
                <w:iCs/>
                <w:sz w:val="18"/>
                <w:szCs w:val="18"/>
              </w:rPr>
            </w:pPr>
            <w:r w:rsidRPr="00251A53">
              <w:rPr>
                <w:iCs/>
                <w:sz w:val="18"/>
                <w:szCs w:val="18"/>
                <w:u w:val="single"/>
              </w:rPr>
              <w:t>Indicator 1.1.6</w:t>
            </w:r>
            <w:r w:rsidRPr="00251A53">
              <w:rPr>
                <w:iCs/>
                <w:sz w:val="18"/>
                <w:szCs w:val="18"/>
              </w:rPr>
              <w:t xml:space="preserve">: </w:t>
            </w:r>
            <w:r w:rsidR="009A0AF0" w:rsidRPr="00251A53">
              <w:rPr>
                <w:iCs/>
                <w:sz w:val="18"/>
                <w:szCs w:val="18"/>
              </w:rPr>
              <w:br/>
            </w:r>
            <w:r w:rsidRPr="00251A53">
              <w:rPr>
                <w:iCs/>
                <w:sz w:val="18"/>
                <w:szCs w:val="18"/>
              </w:rPr>
              <w:t>Rate of access to preschool education (by sex/urban/rural)</w:t>
            </w:r>
            <w:r w:rsidR="00691368" w:rsidRPr="00251A53">
              <w:rPr>
                <w:iCs/>
                <w:sz w:val="18"/>
                <w:szCs w:val="18"/>
              </w:rPr>
              <w:br/>
            </w:r>
            <w:r w:rsidRPr="00251A53">
              <w:rPr>
                <w:i/>
                <w:iCs/>
                <w:sz w:val="18"/>
                <w:szCs w:val="18"/>
              </w:rPr>
              <w:t>Baseline</w:t>
            </w:r>
            <w:r w:rsidRPr="00251A53">
              <w:rPr>
                <w:iCs/>
                <w:sz w:val="18"/>
                <w:szCs w:val="18"/>
              </w:rPr>
              <w:t xml:space="preserve">: 85%; </w:t>
            </w:r>
            <w:r w:rsidR="00691368" w:rsidRPr="00251A53">
              <w:rPr>
                <w:iCs/>
                <w:sz w:val="18"/>
                <w:szCs w:val="18"/>
              </w:rPr>
              <w:br/>
            </w:r>
            <w:r w:rsidRPr="00251A53">
              <w:rPr>
                <w:i/>
                <w:iCs/>
                <w:sz w:val="18"/>
                <w:szCs w:val="18"/>
              </w:rPr>
              <w:t>Target</w:t>
            </w:r>
            <w:r w:rsidRPr="00251A53">
              <w:rPr>
                <w:iCs/>
                <w:sz w:val="18"/>
                <w:szCs w:val="18"/>
              </w:rPr>
              <w:t>: 100%</w:t>
            </w:r>
          </w:p>
          <w:p w14:paraId="142FE204" w14:textId="77777777" w:rsidR="007C25CB" w:rsidRPr="00251A53" w:rsidRDefault="007C25CB" w:rsidP="007612AB">
            <w:pPr>
              <w:spacing w:before="20" w:after="20"/>
              <w:rPr>
                <w:iCs/>
                <w:sz w:val="18"/>
                <w:szCs w:val="18"/>
              </w:rPr>
            </w:pPr>
          </w:p>
          <w:p w14:paraId="0BFE7C96" w14:textId="77777777" w:rsidR="00691368" w:rsidRPr="00251A53" w:rsidRDefault="00691368" w:rsidP="007612AB">
            <w:pPr>
              <w:spacing w:before="20" w:after="20"/>
              <w:rPr>
                <w:iCs/>
                <w:sz w:val="18"/>
                <w:szCs w:val="18"/>
              </w:rPr>
            </w:pPr>
          </w:p>
          <w:p w14:paraId="3CFE44C2" w14:textId="77777777" w:rsidR="007C25CB" w:rsidRPr="00251A53" w:rsidRDefault="007C25CB" w:rsidP="00654EB7">
            <w:pPr>
              <w:spacing w:before="20" w:after="20"/>
              <w:ind w:right="-147"/>
              <w:rPr>
                <w:iCs/>
                <w:sz w:val="18"/>
                <w:szCs w:val="18"/>
              </w:rPr>
            </w:pPr>
            <w:r w:rsidRPr="00251A53">
              <w:rPr>
                <w:iCs/>
                <w:sz w:val="18"/>
                <w:szCs w:val="18"/>
                <w:u w:val="single"/>
              </w:rPr>
              <w:t>Indicator 1.1.7</w:t>
            </w:r>
            <w:r w:rsidRPr="00251A53">
              <w:rPr>
                <w:iCs/>
                <w:sz w:val="18"/>
                <w:szCs w:val="18"/>
              </w:rPr>
              <w:t xml:space="preserve">: Percentage of children with satisfactory </w:t>
            </w:r>
            <w:r w:rsidR="00654EB7" w:rsidRPr="00251A53">
              <w:rPr>
                <w:iCs/>
                <w:sz w:val="18"/>
                <w:szCs w:val="18"/>
              </w:rPr>
              <w:t xml:space="preserve"> </w:t>
            </w:r>
            <w:r w:rsidRPr="00251A53">
              <w:rPr>
                <w:iCs/>
                <w:sz w:val="18"/>
                <w:szCs w:val="18"/>
              </w:rPr>
              <w:t xml:space="preserve">learning outcomes in </w:t>
            </w:r>
            <w:r w:rsidR="009A0AF0" w:rsidRPr="00251A53">
              <w:rPr>
                <w:iCs/>
                <w:sz w:val="18"/>
                <w:szCs w:val="18"/>
              </w:rPr>
              <w:t>m</w:t>
            </w:r>
            <w:r w:rsidRPr="00251A53">
              <w:rPr>
                <w:iCs/>
                <w:sz w:val="18"/>
                <w:szCs w:val="18"/>
              </w:rPr>
              <w:t>ath and Portuguese at end of primary school</w:t>
            </w:r>
            <w:r w:rsidR="00654EB7" w:rsidRPr="00251A53">
              <w:rPr>
                <w:iCs/>
                <w:sz w:val="18"/>
                <w:szCs w:val="18"/>
              </w:rPr>
              <w:br/>
            </w:r>
            <w:r w:rsidRPr="00251A53">
              <w:rPr>
                <w:i/>
                <w:iCs/>
                <w:sz w:val="18"/>
                <w:szCs w:val="18"/>
              </w:rPr>
              <w:t>Baseline</w:t>
            </w:r>
            <w:r w:rsidRPr="00251A53">
              <w:rPr>
                <w:iCs/>
                <w:sz w:val="18"/>
                <w:szCs w:val="18"/>
              </w:rPr>
              <w:t>:</w:t>
            </w:r>
            <w:r w:rsidRPr="00251A53">
              <w:rPr>
                <w:sz w:val="18"/>
                <w:szCs w:val="18"/>
              </w:rPr>
              <w:t xml:space="preserve"> </w:t>
            </w:r>
            <w:r w:rsidRPr="00251A53">
              <w:rPr>
                <w:iCs/>
                <w:sz w:val="18"/>
                <w:szCs w:val="18"/>
              </w:rPr>
              <w:t>34.8%</w:t>
            </w:r>
            <w:r w:rsidR="009A0AF0" w:rsidRPr="00251A53">
              <w:rPr>
                <w:iCs/>
                <w:sz w:val="18"/>
                <w:szCs w:val="18"/>
              </w:rPr>
              <w:t xml:space="preserve"> (</w:t>
            </w:r>
            <w:r w:rsidR="00212E62" w:rsidRPr="00251A53">
              <w:rPr>
                <w:iCs/>
                <w:sz w:val="18"/>
                <w:szCs w:val="18"/>
              </w:rPr>
              <w:t>m</w:t>
            </w:r>
            <w:r w:rsidR="009A0AF0" w:rsidRPr="00251A53">
              <w:rPr>
                <w:iCs/>
                <w:sz w:val="18"/>
                <w:szCs w:val="18"/>
              </w:rPr>
              <w:t>ath)</w:t>
            </w:r>
            <w:r w:rsidR="00212E62" w:rsidRPr="00251A53">
              <w:rPr>
                <w:iCs/>
                <w:sz w:val="18"/>
                <w:szCs w:val="18"/>
              </w:rPr>
              <w:t>, 30.2%</w:t>
            </w:r>
            <w:r w:rsidRPr="00251A53">
              <w:rPr>
                <w:iCs/>
                <w:sz w:val="18"/>
                <w:szCs w:val="18"/>
              </w:rPr>
              <w:t xml:space="preserve"> </w:t>
            </w:r>
            <w:r w:rsidR="00212E62" w:rsidRPr="00251A53">
              <w:rPr>
                <w:iCs/>
                <w:sz w:val="18"/>
                <w:szCs w:val="18"/>
              </w:rPr>
              <w:t>(</w:t>
            </w:r>
            <w:r w:rsidRPr="00251A53">
              <w:rPr>
                <w:iCs/>
                <w:sz w:val="18"/>
                <w:szCs w:val="18"/>
              </w:rPr>
              <w:t>Portuguese</w:t>
            </w:r>
            <w:r w:rsidR="00212E62" w:rsidRPr="00251A53">
              <w:rPr>
                <w:iCs/>
                <w:sz w:val="18"/>
                <w:szCs w:val="18"/>
              </w:rPr>
              <w:t>);</w:t>
            </w:r>
            <w:r w:rsidRPr="00251A53">
              <w:rPr>
                <w:iCs/>
                <w:sz w:val="18"/>
                <w:szCs w:val="18"/>
              </w:rPr>
              <w:t xml:space="preserve"> </w:t>
            </w:r>
            <w:r w:rsidR="00691368" w:rsidRPr="00251A53">
              <w:rPr>
                <w:iCs/>
                <w:sz w:val="18"/>
                <w:szCs w:val="18"/>
              </w:rPr>
              <w:br/>
            </w:r>
            <w:r w:rsidRPr="00251A53">
              <w:rPr>
                <w:i/>
                <w:iCs/>
                <w:sz w:val="18"/>
                <w:szCs w:val="18"/>
              </w:rPr>
              <w:t>Target</w:t>
            </w:r>
            <w:r w:rsidRPr="00251A53">
              <w:rPr>
                <w:iCs/>
                <w:sz w:val="18"/>
                <w:szCs w:val="18"/>
              </w:rPr>
              <w:t>: 66%</w:t>
            </w:r>
          </w:p>
        </w:tc>
        <w:tc>
          <w:tcPr>
            <w:tcW w:w="857" w:type="pct"/>
            <w:tcBorders>
              <w:top w:val="nil"/>
              <w:bottom w:val="nil"/>
            </w:tcBorders>
          </w:tcPr>
          <w:p w14:paraId="01A09E26" w14:textId="77777777" w:rsidR="007C25CB" w:rsidRPr="00251A53" w:rsidRDefault="007C25CB" w:rsidP="007612AB">
            <w:pPr>
              <w:spacing w:before="20" w:after="20"/>
              <w:ind w:left="43"/>
              <w:rPr>
                <w:bCs/>
                <w:sz w:val="18"/>
                <w:szCs w:val="18"/>
              </w:rPr>
            </w:pPr>
            <w:r w:rsidRPr="00251A53">
              <w:rPr>
                <w:bCs/>
                <w:i/>
                <w:sz w:val="18"/>
                <w:szCs w:val="18"/>
              </w:rPr>
              <w:t>Source</w:t>
            </w:r>
            <w:r w:rsidRPr="00251A53">
              <w:rPr>
                <w:bCs/>
                <w:sz w:val="18"/>
                <w:szCs w:val="18"/>
              </w:rPr>
              <w:t>: Ministry of Education (ME) annual reports</w:t>
            </w:r>
          </w:p>
          <w:p w14:paraId="09DFB8DA" w14:textId="77777777" w:rsidR="007C25CB" w:rsidRPr="00251A53" w:rsidRDefault="007C25CB" w:rsidP="007612AB">
            <w:pPr>
              <w:spacing w:before="20" w:after="20"/>
              <w:ind w:left="43"/>
              <w:rPr>
                <w:bCs/>
                <w:sz w:val="18"/>
                <w:szCs w:val="18"/>
              </w:rPr>
            </w:pPr>
            <w:r w:rsidRPr="00251A53">
              <w:rPr>
                <w:i/>
                <w:sz w:val="18"/>
                <w:szCs w:val="18"/>
              </w:rPr>
              <w:t>Responsibility</w:t>
            </w:r>
            <w:r w:rsidRPr="00251A53">
              <w:rPr>
                <w:sz w:val="18"/>
                <w:szCs w:val="18"/>
              </w:rPr>
              <w:t>: ME</w:t>
            </w:r>
            <w:r w:rsidRPr="00251A53">
              <w:rPr>
                <w:bCs/>
                <w:sz w:val="18"/>
                <w:szCs w:val="18"/>
              </w:rPr>
              <w:t xml:space="preserve"> </w:t>
            </w:r>
          </w:p>
          <w:p w14:paraId="66C33AA4" w14:textId="77777777" w:rsidR="007C25CB" w:rsidRPr="00251A53" w:rsidRDefault="007C25CB" w:rsidP="007612AB">
            <w:pPr>
              <w:pStyle w:val="BodyText"/>
              <w:spacing w:before="20" w:after="20"/>
              <w:ind w:left="36"/>
              <w:rPr>
                <w:bCs/>
                <w:sz w:val="18"/>
                <w:szCs w:val="18"/>
              </w:rPr>
            </w:pPr>
          </w:p>
          <w:p w14:paraId="6AAD9ACD" w14:textId="77777777" w:rsidR="007C25CB" w:rsidRPr="00251A53" w:rsidRDefault="007C25CB" w:rsidP="007612AB">
            <w:pPr>
              <w:pStyle w:val="BodyText"/>
              <w:spacing w:before="20" w:after="20"/>
              <w:ind w:left="36"/>
              <w:rPr>
                <w:bCs/>
                <w:sz w:val="18"/>
                <w:szCs w:val="18"/>
              </w:rPr>
            </w:pPr>
          </w:p>
          <w:p w14:paraId="21189E50" w14:textId="77777777" w:rsidR="007C25CB" w:rsidRPr="00251A53" w:rsidRDefault="007C25CB" w:rsidP="007612AB">
            <w:pPr>
              <w:pStyle w:val="BodyText"/>
              <w:spacing w:before="20" w:after="20"/>
              <w:ind w:left="36"/>
              <w:rPr>
                <w:bCs/>
                <w:sz w:val="18"/>
                <w:szCs w:val="18"/>
              </w:rPr>
            </w:pPr>
          </w:p>
          <w:p w14:paraId="487E35DC" w14:textId="77777777" w:rsidR="00691368" w:rsidRPr="00251A53" w:rsidRDefault="00691368" w:rsidP="007612AB">
            <w:pPr>
              <w:pStyle w:val="BodyText"/>
              <w:spacing w:before="20" w:after="20"/>
              <w:ind w:left="36"/>
              <w:rPr>
                <w:bCs/>
                <w:sz w:val="18"/>
                <w:szCs w:val="18"/>
              </w:rPr>
            </w:pPr>
          </w:p>
          <w:p w14:paraId="2CE507BF" w14:textId="77777777" w:rsidR="007C25CB" w:rsidRPr="00251A53" w:rsidRDefault="007C25CB" w:rsidP="007612AB">
            <w:pPr>
              <w:spacing w:before="20" w:after="20"/>
              <w:rPr>
                <w:bCs/>
                <w:sz w:val="18"/>
                <w:szCs w:val="18"/>
              </w:rPr>
            </w:pPr>
            <w:r w:rsidRPr="00251A53">
              <w:rPr>
                <w:bCs/>
                <w:i/>
                <w:sz w:val="18"/>
                <w:szCs w:val="18"/>
              </w:rPr>
              <w:t>Source</w:t>
            </w:r>
            <w:r w:rsidRPr="00251A53">
              <w:rPr>
                <w:bCs/>
                <w:sz w:val="18"/>
                <w:szCs w:val="18"/>
              </w:rPr>
              <w:t>: ME annual reports</w:t>
            </w:r>
          </w:p>
          <w:p w14:paraId="69670785" w14:textId="77777777" w:rsidR="007C25CB" w:rsidRPr="00251A53" w:rsidRDefault="007C25CB" w:rsidP="007612AB">
            <w:pPr>
              <w:spacing w:before="20" w:after="20"/>
              <w:rPr>
                <w:b/>
                <w:bCs/>
                <w:sz w:val="18"/>
                <w:szCs w:val="18"/>
              </w:rPr>
            </w:pPr>
            <w:r w:rsidRPr="00251A53">
              <w:rPr>
                <w:bCs/>
                <w:i/>
                <w:sz w:val="18"/>
                <w:szCs w:val="18"/>
              </w:rPr>
              <w:t>Responsibility</w:t>
            </w:r>
            <w:r w:rsidRPr="00251A53">
              <w:rPr>
                <w:bCs/>
                <w:sz w:val="18"/>
                <w:szCs w:val="18"/>
              </w:rPr>
              <w:t>:</w:t>
            </w:r>
            <w:r w:rsidRPr="00251A53">
              <w:rPr>
                <w:sz w:val="18"/>
                <w:szCs w:val="18"/>
              </w:rPr>
              <w:t xml:space="preserve"> </w:t>
            </w:r>
            <w:r w:rsidRPr="00251A53">
              <w:rPr>
                <w:bCs/>
                <w:sz w:val="18"/>
                <w:szCs w:val="18"/>
              </w:rPr>
              <w:t>ME</w:t>
            </w:r>
          </w:p>
        </w:tc>
        <w:tc>
          <w:tcPr>
            <w:tcW w:w="1725" w:type="pct"/>
            <w:gridSpan w:val="2"/>
            <w:vMerge w:val="restart"/>
            <w:tcMar>
              <w:top w:w="72" w:type="dxa"/>
              <w:left w:w="144" w:type="dxa"/>
              <w:bottom w:w="72" w:type="dxa"/>
              <w:right w:w="144" w:type="dxa"/>
            </w:tcMar>
          </w:tcPr>
          <w:p w14:paraId="3098710E" w14:textId="77777777" w:rsidR="007C25CB" w:rsidRPr="00251A53" w:rsidRDefault="007C25CB" w:rsidP="007612AB">
            <w:pPr>
              <w:spacing w:before="20" w:after="20"/>
              <w:jc w:val="both"/>
              <w:rPr>
                <w:i/>
                <w:iCs/>
                <w:sz w:val="18"/>
                <w:szCs w:val="18"/>
              </w:rPr>
            </w:pPr>
            <w:r w:rsidRPr="00251A53">
              <w:rPr>
                <w:iCs/>
                <w:sz w:val="18"/>
                <w:szCs w:val="18"/>
                <w:u w:val="single"/>
              </w:rPr>
              <w:t>Output 1.3</w:t>
            </w:r>
            <w:r w:rsidRPr="00251A53">
              <w:rPr>
                <w:i/>
                <w:iCs/>
                <w:sz w:val="18"/>
                <w:szCs w:val="18"/>
              </w:rPr>
              <w:t xml:space="preserve">: </w:t>
            </w:r>
            <w:r w:rsidRPr="00251A53">
              <w:rPr>
                <w:iCs/>
                <w:sz w:val="18"/>
                <w:szCs w:val="18"/>
              </w:rPr>
              <w:t xml:space="preserve">Educational learning outcomes for girls and boys enhanced and relevant </w:t>
            </w:r>
            <w:r w:rsidRPr="00251A53">
              <w:rPr>
                <w:sz w:val="18"/>
                <w:szCs w:val="18"/>
              </w:rPr>
              <w:t>to</w:t>
            </w:r>
            <w:r w:rsidRPr="00251A53">
              <w:rPr>
                <w:iCs/>
                <w:sz w:val="18"/>
                <w:szCs w:val="18"/>
              </w:rPr>
              <w:t xml:space="preserve"> the country’s development potential</w:t>
            </w:r>
          </w:p>
          <w:p w14:paraId="6335E39A" w14:textId="1F3F1774" w:rsidR="007C25CB" w:rsidRPr="00251A53" w:rsidRDefault="007C25CB" w:rsidP="007612AB">
            <w:pPr>
              <w:spacing w:before="20" w:after="20"/>
              <w:rPr>
                <w:sz w:val="18"/>
                <w:szCs w:val="18"/>
              </w:rPr>
            </w:pPr>
            <w:r w:rsidRPr="00251A53">
              <w:rPr>
                <w:iCs/>
                <w:sz w:val="18"/>
                <w:szCs w:val="18"/>
              </w:rPr>
              <w:t>1.3.1:</w:t>
            </w:r>
            <w:r w:rsidRPr="00251A53">
              <w:rPr>
                <w:i/>
                <w:iCs/>
                <w:sz w:val="18"/>
                <w:szCs w:val="18"/>
              </w:rPr>
              <w:t xml:space="preserve"> </w:t>
            </w:r>
            <w:r w:rsidRPr="00251A53">
              <w:rPr>
                <w:iCs/>
                <w:sz w:val="18"/>
                <w:szCs w:val="18"/>
              </w:rPr>
              <w:t xml:space="preserve">Existence of a functional integrated </w:t>
            </w:r>
            <w:r w:rsidR="00F9135B" w:rsidRPr="00251A53">
              <w:rPr>
                <w:iCs/>
                <w:sz w:val="18"/>
                <w:szCs w:val="18"/>
              </w:rPr>
              <w:t xml:space="preserve">early childhood education </w:t>
            </w:r>
            <w:r w:rsidRPr="00251A53">
              <w:rPr>
                <w:iCs/>
                <w:sz w:val="18"/>
                <w:szCs w:val="18"/>
              </w:rPr>
              <w:t>program</w:t>
            </w:r>
            <w:r w:rsidR="006122BB" w:rsidRPr="00251A53">
              <w:rPr>
                <w:iCs/>
                <w:sz w:val="18"/>
                <w:szCs w:val="18"/>
              </w:rPr>
              <w:t>me</w:t>
            </w:r>
          </w:p>
          <w:p w14:paraId="256969A8" w14:textId="77777777" w:rsidR="007C25CB" w:rsidRPr="00251A53" w:rsidRDefault="007C25CB" w:rsidP="007612AB">
            <w:pPr>
              <w:pStyle w:val="ListParagraph"/>
              <w:spacing w:before="20" w:after="20" w:line="240" w:lineRule="auto"/>
              <w:ind w:left="0"/>
              <w:rPr>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1</w:t>
            </w:r>
            <w:r w:rsidRPr="00251A53">
              <w:rPr>
                <w:i/>
                <w:iCs/>
                <w:sz w:val="18"/>
                <w:szCs w:val="18"/>
              </w:rPr>
              <w:t xml:space="preserve"> </w:t>
            </w:r>
            <w:r w:rsidRPr="00251A53">
              <w:rPr>
                <w:i/>
                <w:iCs/>
                <w:sz w:val="18"/>
                <w:szCs w:val="18"/>
              </w:rPr>
              <w:br/>
              <w:t xml:space="preserve">Source: </w:t>
            </w:r>
            <w:r w:rsidRPr="00251A53">
              <w:rPr>
                <w:iCs/>
                <w:sz w:val="18"/>
                <w:szCs w:val="18"/>
              </w:rPr>
              <w:t>ME annual report</w:t>
            </w:r>
          </w:p>
          <w:p w14:paraId="58071C49" w14:textId="77777777" w:rsidR="007C25CB" w:rsidRPr="00251A53" w:rsidRDefault="00EC096F" w:rsidP="007612AB">
            <w:pPr>
              <w:pStyle w:val="ListParagraph"/>
              <w:spacing w:before="20" w:after="20" w:line="240" w:lineRule="auto"/>
              <w:ind w:left="0"/>
              <w:rPr>
                <w:i/>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UNICEF</w:t>
            </w:r>
          </w:p>
          <w:p w14:paraId="23D4F696" w14:textId="77777777" w:rsidR="007C25CB" w:rsidRPr="00251A53" w:rsidRDefault="007C25CB" w:rsidP="007612AB">
            <w:pPr>
              <w:spacing w:before="20" w:after="20"/>
              <w:rPr>
                <w:i/>
                <w:iCs/>
                <w:sz w:val="18"/>
                <w:szCs w:val="18"/>
              </w:rPr>
            </w:pPr>
            <w:r w:rsidRPr="00251A53">
              <w:rPr>
                <w:iCs/>
                <w:sz w:val="18"/>
                <w:szCs w:val="18"/>
              </w:rPr>
              <w:t>1.3.2:</w:t>
            </w:r>
            <w:r w:rsidRPr="00251A53">
              <w:rPr>
                <w:i/>
                <w:iCs/>
                <w:sz w:val="18"/>
                <w:szCs w:val="18"/>
              </w:rPr>
              <w:t xml:space="preserve"> </w:t>
            </w:r>
            <w:r w:rsidRPr="00251A53">
              <w:rPr>
                <w:iCs/>
                <w:sz w:val="18"/>
                <w:szCs w:val="18"/>
              </w:rPr>
              <w:t>Number of adolescents reached by a comprehensive sexuality education programme</w:t>
            </w:r>
            <w:r w:rsidRPr="00251A53">
              <w:rPr>
                <w:sz w:val="18"/>
                <w:szCs w:val="18"/>
              </w:rPr>
              <w:t xml:space="preserve"> aligned with international standards </w:t>
            </w:r>
          </w:p>
          <w:p w14:paraId="3C0498B5" w14:textId="77777777" w:rsidR="007C25CB" w:rsidRPr="00251A53" w:rsidRDefault="007C25CB" w:rsidP="007612AB">
            <w:pPr>
              <w:pStyle w:val="ListParagraph"/>
              <w:spacing w:before="20" w:after="20" w:line="240" w:lineRule="auto"/>
              <w:ind w:left="0"/>
              <w:rPr>
                <w:i/>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40,000</w:t>
            </w:r>
          </w:p>
          <w:p w14:paraId="176324C8" w14:textId="77777777" w:rsidR="007C25CB" w:rsidRPr="00251A53" w:rsidRDefault="007C25CB" w:rsidP="007612AB">
            <w:pPr>
              <w:pStyle w:val="ListParagraph"/>
              <w:spacing w:before="20" w:after="20" w:line="240" w:lineRule="auto"/>
              <w:ind w:left="0"/>
              <w:rPr>
                <w:i/>
                <w:iCs/>
                <w:sz w:val="18"/>
                <w:szCs w:val="18"/>
              </w:rPr>
            </w:pPr>
            <w:r w:rsidRPr="00251A53">
              <w:rPr>
                <w:i/>
                <w:iCs/>
                <w:sz w:val="18"/>
                <w:szCs w:val="18"/>
              </w:rPr>
              <w:t xml:space="preserve">Source: </w:t>
            </w:r>
            <w:r w:rsidRPr="00251A53">
              <w:rPr>
                <w:iCs/>
                <w:sz w:val="18"/>
                <w:szCs w:val="18"/>
              </w:rPr>
              <w:t>ME, NGO annual reports</w:t>
            </w:r>
          </w:p>
          <w:p w14:paraId="5186DC01" w14:textId="77777777" w:rsidR="007C25CB" w:rsidRPr="00251A53" w:rsidRDefault="00EC096F" w:rsidP="007612AB">
            <w:pPr>
              <w:pStyle w:val="ListParagraph"/>
              <w:spacing w:before="20" w:after="20" w:line="240" w:lineRule="auto"/>
              <w:ind w:left="0"/>
              <w:rPr>
                <w:i/>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UNFPA</w:t>
            </w:r>
          </w:p>
          <w:p w14:paraId="3DB2F9EA" w14:textId="77777777" w:rsidR="007C25CB" w:rsidRPr="00251A53" w:rsidRDefault="007C25CB" w:rsidP="007612AB">
            <w:pPr>
              <w:spacing w:before="20" w:after="20"/>
              <w:rPr>
                <w:iCs/>
                <w:sz w:val="18"/>
                <w:szCs w:val="18"/>
              </w:rPr>
            </w:pPr>
            <w:r w:rsidRPr="00251A53">
              <w:rPr>
                <w:iCs/>
                <w:sz w:val="18"/>
                <w:szCs w:val="18"/>
              </w:rPr>
              <w:t xml:space="preserve">1.3.3: Existence of a comprehensive special education programme </w:t>
            </w:r>
          </w:p>
          <w:p w14:paraId="162A60E6" w14:textId="77777777" w:rsidR="007C25CB" w:rsidRPr="00251A53" w:rsidRDefault="007C25CB" w:rsidP="007612AB">
            <w:pPr>
              <w:spacing w:before="20" w:after="20"/>
              <w:rPr>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1</w:t>
            </w:r>
          </w:p>
          <w:p w14:paraId="72D417B1" w14:textId="77777777" w:rsidR="007C25CB" w:rsidRPr="00251A53" w:rsidRDefault="007C25CB" w:rsidP="007612AB">
            <w:pPr>
              <w:spacing w:before="20" w:after="20"/>
              <w:rPr>
                <w:i/>
                <w:iCs/>
                <w:sz w:val="18"/>
                <w:szCs w:val="18"/>
              </w:rPr>
            </w:pPr>
            <w:r w:rsidRPr="00251A53">
              <w:rPr>
                <w:i/>
                <w:iCs/>
                <w:sz w:val="18"/>
                <w:szCs w:val="18"/>
              </w:rPr>
              <w:t>Source:</w:t>
            </w:r>
            <w:r w:rsidRPr="00251A53">
              <w:rPr>
                <w:sz w:val="18"/>
                <w:szCs w:val="18"/>
              </w:rPr>
              <w:t xml:space="preserve"> </w:t>
            </w:r>
            <w:r w:rsidRPr="00251A53">
              <w:rPr>
                <w:iCs/>
                <w:sz w:val="18"/>
                <w:szCs w:val="18"/>
              </w:rPr>
              <w:t>ME annual reports</w:t>
            </w:r>
          </w:p>
          <w:p w14:paraId="4D9DCDB9" w14:textId="77777777" w:rsidR="007C25CB" w:rsidRPr="00251A53" w:rsidRDefault="00EC096F" w:rsidP="007612AB">
            <w:pPr>
              <w:spacing w:before="20" w:after="20"/>
              <w:rPr>
                <w:i/>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UNICEF</w:t>
            </w:r>
          </w:p>
        </w:tc>
        <w:tc>
          <w:tcPr>
            <w:tcW w:w="609" w:type="pct"/>
            <w:gridSpan w:val="2"/>
            <w:vMerge/>
          </w:tcPr>
          <w:p w14:paraId="39EA05C1" w14:textId="77777777" w:rsidR="007C25CB" w:rsidRPr="00251A53" w:rsidRDefault="007C25CB" w:rsidP="007612AB">
            <w:pPr>
              <w:spacing w:before="20" w:after="20"/>
              <w:rPr>
                <w:iCs/>
                <w:sz w:val="18"/>
                <w:szCs w:val="18"/>
              </w:rPr>
            </w:pPr>
          </w:p>
        </w:tc>
        <w:tc>
          <w:tcPr>
            <w:tcW w:w="344" w:type="pct"/>
            <w:vMerge w:val="restart"/>
            <w:tcBorders>
              <w:top w:val="nil"/>
              <w:bottom w:val="nil"/>
            </w:tcBorders>
            <w:tcMar>
              <w:top w:w="15" w:type="dxa"/>
              <w:left w:w="108" w:type="dxa"/>
              <w:bottom w:w="0" w:type="dxa"/>
              <w:right w:w="108" w:type="dxa"/>
            </w:tcMar>
          </w:tcPr>
          <w:p w14:paraId="61EB84E5" w14:textId="77777777" w:rsidR="007C25CB" w:rsidRPr="00251A53" w:rsidRDefault="007C25CB" w:rsidP="007612AB">
            <w:pPr>
              <w:spacing w:before="20" w:after="20"/>
              <w:rPr>
                <w:b/>
                <w:sz w:val="18"/>
                <w:szCs w:val="18"/>
              </w:rPr>
            </w:pPr>
          </w:p>
        </w:tc>
        <w:tc>
          <w:tcPr>
            <w:tcW w:w="343" w:type="pct"/>
            <w:vMerge w:val="restart"/>
            <w:tcBorders>
              <w:top w:val="nil"/>
              <w:bottom w:val="nil"/>
            </w:tcBorders>
          </w:tcPr>
          <w:p w14:paraId="23561F7B" w14:textId="77777777" w:rsidR="007C25CB" w:rsidRPr="00251A53" w:rsidRDefault="007C25CB" w:rsidP="007612AB">
            <w:pPr>
              <w:spacing w:before="20" w:after="20"/>
              <w:rPr>
                <w:b/>
                <w:sz w:val="18"/>
                <w:szCs w:val="18"/>
              </w:rPr>
            </w:pPr>
          </w:p>
        </w:tc>
        <w:tc>
          <w:tcPr>
            <w:tcW w:w="371" w:type="pct"/>
            <w:vMerge w:val="restart"/>
            <w:tcBorders>
              <w:top w:val="nil"/>
              <w:bottom w:val="nil"/>
            </w:tcBorders>
          </w:tcPr>
          <w:p w14:paraId="3A0286CE" w14:textId="77777777" w:rsidR="007C25CB" w:rsidRPr="00251A53" w:rsidRDefault="007C25CB" w:rsidP="007612AB">
            <w:pPr>
              <w:spacing w:before="20" w:after="20"/>
              <w:rPr>
                <w:b/>
                <w:sz w:val="18"/>
                <w:szCs w:val="18"/>
              </w:rPr>
            </w:pPr>
          </w:p>
        </w:tc>
      </w:tr>
      <w:tr w:rsidR="007C25CB" w:rsidRPr="00251A53" w14:paraId="06EB86F1" w14:textId="77777777" w:rsidTr="007C25CB">
        <w:trPr>
          <w:trHeight w:val="20"/>
        </w:trPr>
        <w:tc>
          <w:tcPr>
            <w:tcW w:w="751" w:type="pct"/>
            <w:tcBorders>
              <w:top w:val="nil"/>
              <w:bottom w:val="nil"/>
            </w:tcBorders>
            <w:tcMar>
              <w:top w:w="72" w:type="dxa"/>
              <w:left w:w="144" w:type="dxa"/>
              <w:bottom w:w="72" w:type="dxa"/>
              <w:right w:w="144" w:type="dxa"/>
            </w:tcMar>
          </w:tcPr>
          <w:p w14:paraId="567BF7F9" w14:textId="77777777" w:rsidR="007C25CB" w:rsidRPr="00251A53" w:rsidRDefault="007C25CB" w:rsidP="007612AB">
            <w:pPr>
              <w:spacing w:before="20" w:after="20"/>
              <w:rPr>
                <w:b/>
                <w:iCs/>
                <w:sz w:val="18"/>
                <w:szCs w:val="18"/>
              </w:rPr>
            </w:pPr>
          </w:p>
        </w:tc>
        <w:tc>
          <w:tcPr>
            <w:tcW w:w="857" w:type="pct"/>
            <w:tcBorders>
              <w:top w:val="nil"/>
              <w:bottom w:val="nil"/>
            </w:tcBorders>
          </w:tcPr>
          <w:p w14:paraId="6CE4E871" w14:textId="77777777" w:rsidR="007C25CB" w:rsidRPr="00251A53" w:rsidRDefault="007C25CB" w:rsidP="007612AB">
            <w:pPr>
              <w:spacing w:before="20" w:after="20"/>
              <w:ind w:left="61"/>
              <w:rPr>
                <w:b/>
                <w:bCs/>
                <w:sz w:val="18"/>
                <w:szCs w:val="18"/>
              </w:rPr>
            </w:pPr>
          </w:p>
        </w:tc>
        <w:tc>
          <w:tcPr>
            <w:tcW w:w="1725" w:type="pct"/>
            <w:gridSpan w:val="2"/>
            <w:vMerge/>
            <w:tcBorders>
              <w:bottom w:val="single" w:sz="4" w:space="0" w:color="auto"/>
            </w:tcBorders>
            <w:tcMar>
              <w:top w:w="72" w:type="dxa"/>
              <w:left w:w="144" w:type="dxa"/>
              <w:bottom w:w="72" w:type="dxa"/>
              <w:right w:w="144" w:type="dxa"/>
            </w:tcMar>
          </w:tcPr>
          <w:p w14:paraId="24B620DA" w14:textId="77777777" w:rsidR="007C25CB" w:rsidRPr="00251A53" w:rsidRDefault="007C25CB" w:rsidP="007612AB">
            <w:pPr>
              <w:spacing w:before="20" w:after="20"/>
              <w:jc w:val="both"/>
              <w:rPr>
                <w:b/>
                <w:i/>
                <w:iCs/>
                <w:sz w:val="18"/>
                <w:szCs w:val="18"/>
              </w:rPr>
            </w:pPr>
          </w:p>
        </w:tc>
        <w:tc>
          <w:tcPr>
            <w:tcW w:w="609" w:type="pct"/>
            <w:gridSpan w:val="2"/>
            <w:vMerge/>
          </w:tcPr>
          <w:p w14:paraId="7A1710F3" w14:textId="77777777" w:rsidR="007C25CB" w:rsidRPr="00251A53" w:rsidRDefault="007C25CB" w:rsidP="007612AB">
            <w:pPr>
              <w:spacing w:before="20" w:after="20"/>
              <w:rPr>
                <w:i/>
                <w:iCs/>
                <w:sz w:val="18"/>
                <w:szCs w:val="18"/>
              </w:rPr>
            </w:pPr>
          </w:p>
        </w:tc>
        <w:tc>
          <w:tcPr>
            <w:tcW w:w="344" w:type="pct"/>
            <w:vMerge/>
            <w:tcBorders>
              <w:bottom w:val="nil"/>
            </w:tcBorders>
            <w:tcMar>
              <w:top w:w="15" w:type="dxa"/>
              <w:left w:w="108" w:type="dxa"/>
              <w:bottom w:w="0" w:type="dxa"/>
              <w:right w:w="108" w:type="dxa"/>
            </w:tcMar>
          </w:tcPr>
          <w:p w14:paraId="61F23E99" w14:textId="77777777" w:rsidR="007C25CB" w:rsidRPr="00251A53" w:rsidRDefault="007C25CB" w:rsidP="007612AB">
            <w:pPr>
              <w:spacing w:before="20" w:after="20"/>
              <w:rPr>
                <w:b/>
                <w:sz w:val="18"/>
                <w:szCs w:val="18"/>
              </w:rPr>
            </w:pPr>
          </w:p>
        </w:tc>
        <w:tc>
          <w:tcPr>
            <w:tcW w:w="343" w:type="pct"/>
            <w:vMerge/>
            <w:tcBorders>
              <w:bottom w:val="nil"/>
            </w:tcBorders>
          </w:tcPr>
          <w:p w14:paraId="25586B65" w14:textId="77777777" w:rsidR="007C25CB" w:rsidRPr="00251A53" w:rsidRDefault="007C25CB" w:rsidP="007612AB">
            <w:pPr>
              <w:spacing w:before="20" w:after="20"/>
              <w:rPr>
                <w:b/>
                <w:sz w:val="18"/>
                <w:szCs w:val="18"/>
              </w:rPr>
            </w:pPr>
          </w:p>
        </w:tc>
        <w:tc>
          <w:tcPr>
            <w:tcW w:w="371" w:type="pct"/>
            <w:vMerge/>
            <w:tcBorders>
              <w:bottom w:val="nil"/>
            </w:tcBorders>
          </w:tcPr>
          <w:p w14:paraId="4C1CC62D" w14:textId="77777777" w:rsidR="007C25CB" w:rsidRPr="00251A53" w:rsidRDefault="007C25CB" w:rsidP="007612AB">
            <w:pPr>
              <w:spacing w:before="20" w:after="20"/>
              <w:rPr>
                <w:b/>
                <w:sz w:val="18"/>
                <w:szCs w:val="18"/>
              </w:rPr>
            </w:pPr>
          </w:p>
        </w:tc>
      </w:tr>
      <w:tr w:rsidR="007C25CB" w:rsidRPr="00251A53" w14:paraId="0A5F5854" w14:textId="77777777" w:rsidTr="007C25CB">
        <w:trPr>
          <w:trHeight w:val="20"/>
        </w:trPr>
        <w:tc>
          <w:tcPr>
            <w:tcW w:w="751" w:type="pct"/>
            <w:tcBorders>
              <w:top w:val="nil"/>
              <w:bottom w:val="nil"/>
            </w:tcBorders>
            <w:tcMar>
              <w:top w:w="72" w:type="dxa"/>
              <w:left w:w="144" w:type="dxa"/>
              <w:bottom w:w="72" w:type="dxa"/>
              <w:right w:w="144" w:type="dxa"/>
            </w:tcMar>
          </w:tcPr>
          <w:p w14:paraId="14A46FD2" w14:textId="77777777" w:rsidR="007C25CB" w:rsidRPr="00251A53" w:rsidRDefault="007C25CB" w:rsidP="00691368">
            <w:pPr>
              <w:spacing w:before="20" w:after="20"/>
              <w:rPr>
                <w:i/>
                <w:iCs/>
                <w:sz w:val="18"/>
                <w:szCs w:val="18"/>
              </w:rPr>
            </w:pPr>
            <w:r w:rsidRPr="00251A53">
              <w:rPr>
                <w:iCs/>
                <w:sz w:val="18"/>
                <w:szCs w:val="18"/>
                <w:u w:val="single"/>
              </w:rPr>
              <w:t>Indicator 1.1.8</w:t>
            </w:r>
            <w:r w:rsidRPr="00251A53">
              <w:rPr>
                <w:iCs/>
                <w:sz w:val="18"/>
                <w:szCs w:val="18"/>
              </w:rPr>
              <w:t xml:space="preserve">: Number of children at risk of exclusion reached by the child protection system (including public and NGO institutions) </w:t>
            </w:r>
            <w:r w:rsidR="00691368" w:rsidRPr="00251A53">
              <w:rPr>
                <w:iCs/>
                <w:sz w:val="18"/>
                <w:szCs w:val="18"/>
              </w:rPr>
              <w:br/>
            </w:r>
            <w:r w:rsidRPr="00251A53">
              <w:rPr>
                <w:i/>
                <w:iCs/>
                <w:sz w:val="18"/>
                <w:szCs w:val="18"/>
              </w:rPr>
              <w:t>Baseline</w:t>
            </w:r>
            <w:r w:rsidRPr="00251A53">
              <w:rPr>
                <w:iCs/>
                <w:sz w:val="18"/>
                <w:szCs w:val="18"/>
              </w:rPr>
              <w:t xml:space="preserve">: 2,800; </w:t>
            </w:r>
            <w:r w:rsidR="00691368" w:rsidRPr="00251A53">
              <w:rPr>
                <w:iCs/>
                <w:sz w:val="18"/>
                <w:szCs w:val="18"/>
              </w:rPr>
              <w:br/>
            </w:r>
            <w:r w:rsidRPr="00251A53">
              <w:rPr>
                <w:i/>
                <w:iCs/>
                <w:sz w:val="18"/>
                <w:szCs w:val="18"/>
              </w:rPr>
              <w:t>Target</w:t>
            </w:r>
            <w:r w:rsidRPr="00251A53">
              <w:rPr>
                <w:iCs/>
                <w:sz w:val="18"/>
                <w:szCs w:val="18"/>
              </w:rPr>
              <w:t>: 3,600</w:t>
            </w:r>
          </w:p>
        </w:tc>
        <w:tc>
          <w:tcPr>
            <w:tcW w:w="857" w:type="pct"/>
            <w:tcBorders>
              <w:top w:val="nil"/>
              <w:bottom w:val="nil"/>
            </w:tcBorders>
          </w:tcPr>
          <w:p w14:paraId="03627B79" w14:textId="77777777" w:rsidR="007C25CB" w:rsidRPr="00251A53" w:rsidRDefault="007C25CB" w:rsidP="007612AB">
            <w:pPr>
              <w:spacing w:before="20" w:after="20"/>
              <w:ind w:left="61"/>
              <w:rPr>
                <w:bCs/>
                <w:sz w:val="18"/>
                <w:szCs w:val="18"/>
              </w:rPr>
            </w:pPr>
            <w:r w:rsidRPr="00251A53">
              <w:rPr>
                <w:bCs/>
                <w:i/>
                <w:sz w:val="18"/>
                <w:szCs w:val="18"/>
              </w:rPr>
              <w:t>Source</w:t>
            </w:r>
            <w:r w:rsidRPr="00251A53">
              <w:rPr>
                <w:bCs/>
                <w:sz w:val="18"/>
                <w:szCs w:val="18"/>
              </w:rPr>
              <w:t>: Cabo Verdean Institute for Children and Adolescents (CVICA) annual reports</w:t>
            </w:r>
          </w:p>
          <w:p w14:paraId="74277C90" w14:textId="77777777" w:rsidR="007C25CB" w:rsidRPr="00251A53" w:rsidRDefault="007C25CB" w:rsidP="007612AB">
            <w:pPr>
              <w:spacing w:before="20" w:after="20"/>
              <w:ind w:left="61"/>
              <w:rPr>
                <w:b/>
                <w:bCs/>
                <w:sz w:val="18"/>
                <w:szCs w:val="18"/>
              </w:rPr>
            </w:pPr>
            <w:r w:rsidRPr="00251A53">
              <w:rPr>
                <w:bCs/>
                <w:i/>
                <w:sz w:val="18"/>
                <w:szCs w:val="18"/>
              </w:rPr>
              <w:t>Responsibility</w:t>
            </w:r>
            <w:r w:rsidRPr="00251A53">
              <w:rPr>
                <w:bCs/>
                <w:sz w:val="18"/>
                <w:szCs w:val="18"/>
              </w:rPr>
              <w:t>: CVICA</w:t>
            </w:r>
          </w:p>
        </w:tc>
        <w:tc>
          <w:tcPr>
            <w:tcW w:w="1725" w:type="pct"/>
            <w:gridSpan w:val="2"/>
            <w:vMerge w:val="restart"/>
            <w:tcMar>
              <w:top w:w="72" w:type="dxa"/>
              <w:left w:w="144" w:type="dxa"/>
              <w:bottom w:w="72" w:type="dxa"/>
              <w:right w:w="144" w:type="dxa"/>
            </w:tcMar>
          </w:tcPr>
          <w:p w14:paraId="29E29594" w14:textId="77777777" w:rsidR="007C25CB" w:rsidRPr="00251A53" w:rsidRDefault="007C25CB" w:rsidP="007612AB">
            <w:pPr>
              <w:pStyle w:val="ListParagraph"/>
              <w:spacing w:before="20" w:after="20" w:line="240" w:lineRule="auto"/>
              <w:ind w:left="0"/>
              <w:jc w:val="both"/>
              <w:rPr>
                <w:iCs/>
                <w:sz w:val="18"/>
                <w:szCs w:val="18"/>
              </w:rPr>
            </w:pPr>
            <w:r w:rsidRPr="00251A53">
              <w:rPr>
                <w:iCs/>
                <w:sz w:val="18"/>
                <w:szCs w:val="18"/>
                <w:u w:val="single"/>
              </w:rPr>
              <w:t>Output 1.4</w:t>
            </w:r>
            <w:r w:rsidRPr="00251A53">
              <w:rPr>
                <w:iCs/>
                <w:sz w:val="18"/>
                <w:szCs w:val="18"/>
              </w:rPr>
              <w:t>:</w:t>
            </w:r>
            <w:r w:rsidRPr="00251A53">
              <w:rPr>
                <w:i/>
                <w:iCs/>
                <w:sz w:val="18"/>
                <w:szCs w:val="18"/>
              </w:rPr>
              <w:t xml:space="preserve"> </w:t>
            </w:r>
            <w:r w:rsidRPr="00251A53">
              <w:rPr>
                <w:iCs/>
                <w:sz w:val="18"/>
                <w:szCs w:val="18"/>
              </w:rPr>
              <w:t>Access to inclusive and equitable child protection services enhanced</w:t>
            </w:r>
          </w:p>
          <w:p w14:paraId="74910C94" w14:textId="77777777" w:rsidR="007C25CB" w:rsidRPr="00251A53" w:rsidRDefault="007C25CB" w:rsidP="007612AB">
            <w:pPr>
              <w:pStyle w:val="ListParagraph"/>
              <w:spacing w:before="20" w:after="20" w:line="240" w:lineRule="auto"/>
              <w:ind w:left="0"/>
              <w:rPr>
                <w:iCs/>
                <w:sz w:val="18"/>
                <w:szCs w:val="18"/>
              </w:rPr>
            </w:pPr>
            <w:r w:rsidRPr="00251A53">
              <w:rPr>
                <w:iCs/>
                <w:sz w:val="18"/>
                <w:szCs w:val="18"/>
              </w:rPr>
              <w:t>1.4.1:</w:t>
            </w:r>
            <w:r w:rsidRPr="00251A53">
              <w:rPr>
                <w:i/>
                <w:iCs/>
                <w:sz w:val="18"/>
                <w:szCs w:val="18"/>
              </w:rPr>
              <w:t xml:space="preserve"> </w:t>
            </w:r>
            <w:r w:rsidRPr="00251A53">
              <w:rPr>
                <w:iCs/>
                <w:sz w:val="18"/>
                <w:szCs w:val="18"/>
              </w:rPr>
              <w:t xml:space="preserve">Existence of a national policy for child protection aligned with the child rights convention </w:t>
            </w:r>
          </w:p>
          <w:p w14:paraId="7B9C8458" w14:textId="77777777" w:rsidR="007C25CB" w:rsidRPr="00251A53" w:rsidRDefault="007C25CB" w:rsidP="007612AB">
            <w:pPr>
              <w:pStyle w:val="ListParagraph"/>
              <w:spacing w:before="20" w:after="20" w:line="240" w:lineRule="auto"/>
              <w:ind w:left="0"/>
              <w:rPr>
                <w:i/>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w:t>
            </w:r>
            <w:r w:rsidRPr="00251A53">
              <w:rPr>
                <w:iCs/>
                <w:sz w:val="18"/>
                <w:szCs w:val="18"/>
              </w:rPr>
              <w:t>: 1</w:t>
            </w:r>
          </w:p>
          <w:p w14:paraId="3E8E2A77" w14:textId="77777777" w:rsidR="007C25CB" w:rsidRPr="00251A53" w:rsidRDefault="007C25CB" w:rsidP="007612AB">
            <w:pPr>
              <w:pStyle w:val="ListParagraph"/>
              <w:spacing w:before="20" w:after="20" w:line="240" w:lineRule="auto"/>
              <w:ind w:left="0"/>
              <w:rPr>
                <w:i/>
                <w:iCs/>
                <w:sz w:val="18"/>
                <w:szCs w:val="18"/>
              </w:rPr>
            </w:pPr>
            <w:r w:rsidRPr="00251A53">
              <w:rPr>
                <w:i/>
                <w:iCs/>
                <w:sz w:val="18"/>
                <w:szCs w:val="18"/>
              </w:rPr>
              <w:t xml:space="preserve">Source: </w:t>
            </w:r>
            <w:r w:rsidRPr="00251A53">
              <w:rPr>
                <w:iCs/>
                <w:sz w:val="18"/>
                <w:szCs w:val="18"/>
              </w:rPr>
              <w:t>MFSI</w:t>
            </w:r>
          </w:p>
          <w:p w14:paraId="6EFFF2DD" w14:textId="77777777" w:rsidR="007C25CB" w:rsidRPr="00251A53" w:rsidRDefault="00EC096F" w:rsidP="007612AB">
            <w:pPr>
              <w:pStyle w:val="ListParagraph"/>
              <w:spacing w:before="20" w:after="20" w:line="240" w:lineRule="auto"/>
              <w:ind w:left="0"/>
              <w:rPr>
                <w:i/>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UNICEF</w:t>
            </w:r>
          </w:p>
          <w:p w14:paraId="6C150E1B" w14:textId="77777777" w:rsidR="007C25CB" w:rsidRPr="00251A53" w:rsidRDefault="007C25CB" w:rsidP="007612AB">
            <w:pPr>
              <w:pStyle w:val="ListParagraph"/>
              <w:spacing w:before="20" w:after="20" w:line="240" w:lineRule="auto"/>
              <w:ind w:left="0"/>
              <w:rPr>
                <w:iCs/>
                <w:sz w:val="18"/>
                <w:szCs w:val="18"/>
              </w:rPr>
            </w:pPr>
            <w:r w:rsidRPr="00251A53">
              <w:rPr>
                <w:iCs/>
                <w:sz w:val="18"/>
                <w:szCs w:val="18"/>
              </w:rPr>
              <w:t>1.4.2:</w:t>
            </w:r>
            <w:r w:rsidRPr="00251A53">
              <w:rPr>
                <w:i/>
                <w:iCs/>
                <w:sz w:val="18"/>
                <w:szCs w:val="18"/>
              </w:rPr>
              <w:t xml:space="preserve"> </w:t>
            </w:r>
            <w:r w:rsidRPr="00251A53">
              <w:rPr>
                <w:iCs/>
                <w:sz w:val="18"/>
                <w:szCs w:val="18"/>
              </w:rPr>
              <w:t xml:space="preserve">Existence of an integrated child protection information and monitoring system </w:t>
            </w:r>
          </w:p>
          <w:p w14:paraId="7ECB0B87" w14:textId="77777777" w:rsidR="007C25CB" w:rsidRPr="00251A53" w:rsidRDefault="007C25CB" w:rsidP="007612AB">
            <w:pPr>
              <w:pStyle w:val="ListParagraph"/>
              <w:spacing w:before="20" w:after="20" w:line="240" w:lineRule="auto"/>
              <w:ind w:left="0"/>
              <w:rPr>
                <w:i/>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1</w:t>
            </w:r>
          </w:p>
          <w:p w14:paraId="4E8645A2" w14:textId="77777777" w:rsidR="007C25CB" w:rsidRPr="00251A53" w:rsidRDefault="007C25CB" w:rsidP="007612AB">
            <w:pPr>
              <w:pStyle w:val="ListParagraph"/>
              <w:spacing w:before="20" w:after="20" w:line="240" w:lineRule="auto"/>
              <w:ind w:left="0"/>
              <w:rPr>
                <w:i/>
                <w:iCs/>
                <w:sz w:val="18"/>
                <w:szCs w:val="18"/>
              </w:rPr>
            </w:pPr>
            <w:r w:rsidRPr="00251A53">
              <w:rPr>
                <w:i/>
                <w:iCs/>
                <w:sz w:val="18"/>
                <w:szCs w:val="18"/>
              </w:rPr>
              <w:t xml:space="preserve">Source: </w:t>
            </w:r>
            <w:r w:rsidRPr="00251A53">
              <w:rPr>
                <w:iCs/>
                <w:sz w:val="18"/>
                <w:szCs w:val="18"/>
              </w:rPr>
              <w:t>MFSI annual report</w:t>
            </w:r>
          </w:p>
          <w:p w14:paraId="102A40FB" w14:textId="77777777" w:rsidR="007C25CB" w:rsidRPr="00251A53" w:rsidRDefault="00EC096F" w:rsidP="007612AB">
            <w:pPr>
              <w:pStyle w:val="ListParagraph"/>
              <w:spacing w:before="20" w:after="20" w:line="240" w:lineRule="auto"/>
              <w:ind w:left="0"/>
              <w:rPr>
                <w:i/>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UNICEF</w:t>
            </w:r>
          </w:p>
          <w:p w14:paraId="400B8A97" w14:textId="77777777" w:rsidR="007C25CB" w:rsidRPr="00251A53" w:rsidRDefault="007C25CB" w:rsidP="007612AB">
            <w:pPr>
              <w:spacing w:before="20" w:after="20"/>
              <w:rPr>
                <w:i/>
                <w:iCs/>
                <w:sz w:val="18"/>
                <w:szCs w:val="18"/>
              </w:rPr>
            </w:pPr>
            <w:r w:rsidRPr="00251A53">
              <w:rPr>
                <w:iCs/>
                <w:sz w:val="18"/>
                <w:szCs w:val="18"/>
              </w:rPr>
              <w:t>1.4.3:</w:t>
            </w:r>
            <w:r w:rsidRPr="00251A53">
              <w:rPr>
                <w:i/>
                <w:iCs/>
                <w:sz w:val="18"/>
                <w:szCs w:val="18"/>
              </w:rPr>
              <w:t xml:space="preserve"> </w:t>
            </w:r>
            <w:r w:rsidRPr="00251A53">
              <w:rPr>
                <w:iCs/>
                <w:sz w:val="18"/>
                <w:szCs w:val="18"/>
              </w:rPr>
              <w:t xml:space="preserve">A national multi-stakeholder </w:t>
            </w:r>
            <w:r w:rsidR="00A27C72" w:rsidRPr="00251A53">
              <w:rPr>
                <w:iCs/>
                <w:sz w:val="18"/>
                <w:szCs w:val="18"/>
              </w:rPr>
              <w:t>c</w:t>
            </w:r>
            <w:r w:rsidRPr="00251A53">
              <w:rPr>
                <w:iCs/>
                <w:sz w:val="18"/>
                <w:szCs w:val="18"/>
              </w:rPr>
              <w:t xml:space="preserve">ommunication for </w:t>
            </w:r>
            <w:r w:rsidR="00A27C72" w:rsidRPr="00251A53">
              <w:rPr>
                <w:iCs/>
                <w:sz w:val="18"/>
                <w:szCs w:val="18"/>
              </w:rPr>
              <w:t>d</w:t>
            </w:r>
            <w:r w:rsidRPr="00251A53">
              <w:rPr>
                <w:iCs/>
                <w:sz w:val="18"/>
                <w:szCs w:val="18"/>
              </w:rPr>
              <w:t>evelopment strategy to prevent and fight child sexual abuse and exploitation is designed and implemented</w:t>
            </w:r>
          </w:p>
          <w:p w14:paraId="15D09F8B" w14:textId="77777777" w:rsidR="007C25CB" w:rsidRPr="00251A53" w:rsidRDefault="007C25CB" w:rsidP="007612AB">
            <w:pPr>
              <w:spacing w:before="20" w:after="20"/>
              <w:rPr>
                <w:i/>
                <w:iCs/>
                <w:sz w:val="18"/>
                <w:szCs w:val="18"/>
              </w:rPr>
            </w:pPr>
            <w:r w:rsidRPr="00251A53">
              <w:rPr>
                <w:i/>
                <w:iCs/>
                <w:sz w:val="18"/>
                <w:szCs w:val="18"/>
              </w:rPr>
              <w:lastRenderedPageBreak/>
              <w:t xml:space="preserve">Baseline: </w:t>
            </w:r>
            <w:r w:rsidRPr="00251A53">
              <w:rPr>
                <w:iCs/>
                <w:sz w:val="18"/>
                <w:szCs w:val="18"/>
              </w:rPr>
              <w:t>0;</w:t>
            </w:r>
            <w:r w:rsidRPr="00251A53">
              <w:rPr>
                <w:i/>
                <w:iCs/>
                <w:sz w:val="18"/>
                <w:szCs w:val="18"/>
              </w:rPr>
              <w:t xml:space="preserve"> Target: </w:t>
            </w:r>
            <w:r w:rsidRPr="00251A53">
              <w:rPr>
                <w:iCs/>
                <w:sz w:val="18"/>
                <w:szCs w:val="18"/>
              </w:rPr>
              <w:t>1</w:t>
            </w:r>
          </w:p>
          <w:p w14:paraId="7F85656B" w14:textId="77777777" w:rsidR="007C25CB" w:rsidRPr="00251A53" w:rsidRDefault="007C25CB" w:rsidP="007612AB">
            <w:pPr>
              <w:spacing w:before="20" w:after="20"/>
              <w:rPr>
                <w:i/>
                <w:iCs/>
                <w:sz w:val="18"/>
                <w:szCs w:val="18"/>
              </w:rPr>
            </w:pPr>
            <w:r w:rsidRPr="00251A53">
              <w:rPr>
                <w:i/>
                <w:iCs/>
                <w:sz w:val="18"/>
                <w:szCs w:val="18"/>
              </w:rPr>
              <w:t xml:space="preserve">Source: </w:t>
            </w:r>
            <w:r w:rsidRPr="00251A53">
              <w:rPr>
                <w:iCs/>
                <w:sz w:val="18"/>
                <w:szCs w:val="18"/>
              </w:rPr>
              <w:t>Institute for Children and Adolescents (ICCA) annual report</w:t>
            </w:r>
          </w:p>
          <w:p w14:paraId="3B90B67A" w14:textId="77777777" w:rsidR="007C25CB" w:rsidRPr="00251A53" w:rsidRDefault="00EC096F" w:rsidP="007612AB">
            <w:pPr>
              <w:spacing w:before="20" w:after="20"/>
              <w:rPr>
                <w:i/>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UNICEF</w:t>
            </w:r>
          </w:p>
        </w:tc>
        <w:tc>
          <w:tcPr>
            <w:tcW w:w="609" w:type="pct"/>
            <w:gridSpan w:val="2"/>
            <w:vMerge/>
          </w:tcPr>
          <w:p w14:paraId="39B542DC" w14:textId="77777777" w:rsidR="007C25CB" w:rsidRPr="00251A53" w:rsidRDefault="007C25CB" w:rsidP="007612AB">
            <w:pPr>
              <w:spacing w:before="20" w:after="20"/>
              <w:rPr>
                <w:iCs/>
                <w:sz w:val="18"/>
                <w:szCs w:val="18"/>
              </w:rPr>
            </w:pPr>
          </w:p>
        </w:tc>
        <w:tc>
          <w:tcPr>
            <w:tcW w:w="344" w:type="pct"/>
            <w:tcBorders>
              <w:top w:val="nil"/>
              <w:bottom w:val="nil"/>
            </w:tcBorders>
            <w:tcMar>
              <w:top w:w="15" w:type="dxa"/>
              <w:left w:w="108" w:type="dxa"/>
              <w:bottom w:w="0" w:type="dxa"/>
              <w:right w:w="108" w:type="dxa"/>
            </w:tcMar>
          </w:tcPr>
          <w:p w14:paraId="79D2B1E8" w14:textId="77777777" w:rsidR="007C25CB" w:rsidRPr="00251A53" w:rsidRDefault="007C25CB" w:rsidP="007612AB">
            <w:pPr>
              <w:spacing w:before="20" w:after="20"/>
              <w:rPr>
                <w:b/>
                <w:sz w:val="18"/>
                <w:szCs w:val="18"/>
              </w:rPr>
            </w:pPr>
          </w:p>
        </w:tc>
        <w:tc>
          <w:tcPr>
            <w:tcW w:w="343" w:type="pct"/>
            <w:tcBorders>
              <w:top w:val="nil"/>
              <w:bottom w:val="nil"/>
            </w:tcBorders>
          </w:tcPr>
          <w:p w14:paraId="23001622" w14:textId="77777777" w:rsidR="007C25CB" w:rsidRPr="00251A53" w:rsidRDefault="007C25CB" w:rsidP="007612AB">
            <w:pPr>
              <w:spacing w:before="20" w:after="20"/>
              <w:rPr>
                <w:b/>
                <w:sz w:val="18"/>
                <w:szCs w:val="18"/>
              </w:rPr>
            </w:pPr>
          </w:p>
        </w:tc>
        <w:tc>
          <w:tcPr>
            <w:tcW w:w="371" w:type="pct"/>
            <w:tcBorders>
              <w:top w:val="nil"/>
              <w:bottom w:val="nil"/>
            </w:tcBorders>
          </w:tcPr>
          <w:p w14:paraId="555DCBC6" w14:textId="77777777" w:rsidR="007C25CB" w:rsidRPr="00251A53" w:rsidRDefault="007C25CB" w:rsidP="007612AB">
            <w:pPr>
              <w:spacing w:before="20" w:after="20"/>
              <w:rPr>
                <w:b/>
                <w:sz w:val="18"/>
                <w:szCs w:val="18"/>
              </w:rPr>
            </w:pPr>
          </w:p>
        </w:tc>
      </w:tr>
      <w:tr w:rsidR="007C25CB" w:rsidRPr="00251A53" w14:paraId="702E9103" w14:textId="77777777" w:rsidTr="007C25CB">
        <w:trPr>
          <w:trHeight w:val="20"/>
        </w:trPr>
        <w:tc>
          <w:tcPr>
            <w:tcW w:w="751" w:type="pct"/>
            <w:tcBorders>
              <w:top w:val="nil"/>
              <w:bottom w:val="single" w:sz="4" w:space="0" w:color="auto"/>
            </w:tcBorders>
            <w:tcMar>
              <w:top w:w="72" w:type="dxa"/>
              <w:left w:w="144" w:type="dxa"/>
              <w:bottom w:w="72" w:type="dxa"/>
              <w:right w:w="144" w:type="dxa"/>
            </w:tcMar>
          </w:tcPr>
          <w:p w14:paraId="06CC497D" w14:textId="77777777" w:rsidR="007C25CB" w:rsidRPr="00251A53" w:rsidRDefault="007C25CB" w:rsidP="007612AB">
            <w:pPr>
              <w:spacing w:before="20" w:after="20"/>
              <w:rPr>
                <w:iCs/>
                <w:sz w:val="18"/>
                <w:szCs w:val="18"/>
              </w:rPr>
            </w:pPr>
          </w:p>
        </w:tc>
        <w:tc>
          <w:tcPr>
            <w:tcW w:w="857" w:type="pct"/>
            <w:tcBorders>
              <w:top w:val="nil"/>
              <w:bottom w:val="single" w:sz="4" w:space="0" w:color="auto"/>
            </w:tcBorders>
          </w:tcPr>
          <w:p w14:paraId="662BF203" w14:textId="77777777" w:rsidR="007C25CB" w:rsidRPr="00251A53" w:rsidRDefault="007C25CB" w:rsidP="007612AB">
            <w:pPr>
              <w:spacing w:before="20" w:after="20"/>
              <w:ind w:left="61"/>
              <w:rPr>
                <w:bCs/>
                <w:sz w:val="18"/>
                <w:szCs w:val="18"/>
              </w:rPr>
            </w:pPr>
          </w:p>
        </w:tc>
        <w:tc>
          <w:tcPr>
            <w:tcW w:w="1725" w:type="pct"/>
            <w:gridSpan w:val="2"/>
            <w:vMerge/>
            <w:tcBorders>
              <w:bottom w:val="single" w:sz="4" w:space="0" w:color="auto"/>
            </w:tcBorders>
            <w:tcMar>
              <w:top w:w="72" w:type="dxa"/>
              <w:left w:w="144" w:type="dxa"/>
              <w:bottom w:w="72" w:type="dxa"/>
              <w:right w:w="144" w:type="dxa"/>
            </w:tcMar>
          </w:tcPr>
          <w:p w14:paraId="3EF0405F" w14:textId="77777777" w:rsidR="007C25CB" w:rsidRPr="00251A53" w:rsidRDefault="007C25CB" w:rsidP="007612AB">
            <w:pPr>
              <w:spacing w:before="20" w:after="20"/>
              <w:jc w:val="both"/>
              <w:rPr>
                <w:b/>
                <w:i/>
                <w:iCs/>
                <w:sz w:val="18"/>
                <w:szCs w:val="18"/>
              </w:rPr>
            </w:pPr>
          </w:p>
        </w:tc>
        <w:tc>
          <w:tcPr>
            <w:tcW w:w="609" w:type="pct"/>
            <w:gridSpan w:val="2"/>
            <w:vMerge/>
            <w:tcBorders>
              <w:bottom w:val="single" w:sz="4" w:space="0" w:color="auto"/>
            </w:tcBorders>
          </w:tcPr>
          <w:p w14:paraId="21E249D7" w14:textId="77777777" w:rsidR="007C25CB" w:rsidRPr="00251A53" w:rsidRDefault="007C25CB" w:rsidP="007612AB">
            <w:pPr>
              <w:spacing w:before="20" w:after="20"/>
              <w:rPr>
                <w:i/>
                <w:iCs/>
                <w:sz w:val="18"/>
                <w:szCs w:val="18"/>
              </w:rPr>
            </w:pPr>
          </w:p>
        </w:tc>
        <w:tc>
          <w:tcPr>
            <w:tcW w:w="344" w:type="pct"/>
            <w:tcBorders>
              <w:top w:val="nil"/>
              <w:bottom w:val="single" w:sz="4" w:space="0" w:color="auto"/>
            </w:tcBorders>
            <w:tcMar>
              <w:top w:w="15" w:type="dxa"/>
              <w:left w:w="108" w:type="dxa"/>
              <w:bottom w:w="0" w:type="dxa"/>
              <w:right w:w="108" w:type="dxa"/>
            </w:tcMar>
          </w:tcPr>
          <w:p w14:paraId="013781F8" w14:textId="77777777" w:rsidR="007C25CB" w:rsidRPr="00251A53" w:rsidRDefault="007C25CB" w:rsidP="007612AB">
            <w:pPr>
              <w:spacing w:before="20" w:after="20"/>
              <w:rPr>
                <w:b/>
                <w:sz w:val="18"/>
                <w:szCs w:val="18"/>
              </w:rPr>
            </w:pPr>
          </w:p>
        </w:tc>
        <w:tc>
          <w:tcPr>
            <w:tcW w:w="343" w:type="pct"/>
            <w:tcBorders>
              <w:top w:val="nil"/>
              <w:bottom w:val="single" w:sz="4" w:space="0" w:color="auto"/>
            </w:tcBorders>
          </w:tcPr>
          <w:p w14:paraId="4981B7CC" w14:textId="77777777" w:rsidR="007C25CB" w:rsidRPr="00251A53" w:rsidRDefault="007C25CB" w:rsidP="007612AB">
            <w:pPr>
              <w:spacing w:before="20" w:after="20"/>
              <w:rPr>
                <w:b/>
                <w:sz w:val="18"/>
                <w:szCs w:val="18"/>
              </w:rPr>
            </w:pPr>
          </w:p>
        </w:tc>
        <w:tc>
          <w:tcPr>
            <w:tcW w:w="371" w:type="pct"/>
            <w:tcBorders>
              <w:top w:val="nil"/>
              <w:bottom w:val="single" w:sz="4" w:space="0" w:color="auto"/>
            </w:tcBorders>
          </w:tcPr>
          <w:p w14:paraId="1074E980" w14:textId="77777777" w:rsidR="007C25CB" w:rsidRPr="00251A53" w:rsidRDefault="007C25CB" w:rsidP="007612AB">
            <w:pPr>
              <w:spacing w:before="20" w:after="20"/>
              <w:rPr>
                <w:b/>
                <w:sz w:val="18"/>
                <w:szCs w:val="18"/>
              </w:rPr>
            </w:pPr>
          </w:p>
        </w:tc>
      </w:tr>
      <w:tr w:rsidR="004255D8" w:rsidRPr="00251A53" w14:paraId="13648684" w14:textId="77777777" w:rsidTr="000B26F0">
        <w:tblPrEx>
          <w:tblCellMar>
            <w:left w:w="0" w:type="dxa"/>
            <w:right w:w="0" w:type="dxa"/>
          </w:tblCellMar>
        </w:tblPrEx>
        <w:trPr>
          <w:trHeight w:val="20"/>
        </w:trPr>
        <w:tc>
          <w:tcPr>
            <w:tcW w:w="5000" w:type="pct"/>
            <w:gridSpan w:val="9"/>
            <w:shd w:val="clear" w:color="auto" w:fill="DEEAF6" w:themeFill="accent1" w:themeFillTint="33"/>
            <w:tcMar>
              <w:top w:w="72" w:type="dxa"/>
              <w:left w:w="144" w:type="dxa"/>
              <w:bottom w:w="72" w:type="dxa"/>
              <w:right w:w="144" w:type="dxa"/>
            </w:tcMar>
          </w:tcPr>
          <w:p w14:paraId="457E252A" w14:textId="77777777" w:rsidR="004255D8" w:rsidRPr="00251A53" w:rsidRDefault="004255D8" w:rsidP="007612AB">
            <w:pPr>
              <w:tabs>
                <w:tab w:val="right" w:pos="12667"/>
              </w:tabs>
              <w:spacing w:before="20" w:after="20"/>
              <w:rPr>
                <w:sz w:val="18"/>
                <w:szCs w:val="18"/>
              </w:rPr>
            </w:pPr>
            <w:r w:rsidRPr="00251A53">
              <w:rPr>
                <w:b/>
                <w:bCs/>
                <w:sz w:val="18"/>
                <w:szCs w:val="18"/>
              </w:rPr>
              <w:t>N</w:t>
            </w:r>
            <w:r w:rsidR="008E5198" w:rsidRPr="00251A53">
              <w:rPr>
                <w:b/>
                <w:bCs/>
                <w:sz w:val="18"/>
                <w:szCs w:val="18"/>
              </w:rPr>
              <w:t>ational priority:</w:t>
            </w:r>
            <w:r w:rsidRPr="00251A53">
              <w:rPr>
                <w:b/>
                <w:bCs/>
                <w:sz w:val="18"/>
                <w:szCs w:val="18"/>
              </w:rPr>
              <w:t xml:space="preserve"> </w:t>
            </w:r>
            <w:r w:rsidRPr="00251A53">
              <w:rPr>
                <w:bCs/>
                <w:sz w:val="18"/>
                <w:szCs w:val="18"/>
              </w:rPr>
              <w:t>N</w:t>
            </w:r>
            <w:r w:rsidR="008E5198" w:rsidRPr="00251A53">
              <w:rPr>
                <w:bCs/>
                <w:sz w:val="18"/>
                <w:szCs w:val="18"/>
              </w:rPr>
              <w:t>ew</w:t>
            </w:r>
            <w:r w:rsidRPr="00251A53">
              <w:rPr>
                <w:bCs/>
                <w:sz w:val="18"/>
                <w:szCs w:val="18"/>
              </w:rPr>
              <w:t xml:space="preserve"> </w:t>
            </w:r>
            <w:r w:rsidR="008E5198" w:rsidRPr="00251A53">
              <w:rPr>
                <w:bCs/>
                <w:sz w:val="18"/>
                <w:szCs w:val="18"/>
              </w:rPr>
              <w:t>economic growth model</w:t>
            </w:r>
            <w:r w:rsidR="00520F98" w:rsidRPr="00251A53">
              <w:rPr>
                <w:bCs/>
                <w:sz w:val="18"/>
                <w:szCs w:val="18"/>
              </w:rPr>
              <w:t xml:space="preserve"> -- </w:t>
            </w:r>
            <w:r w:rsidRPr="00251A53">
              <w:rPr>
                <w:bCs/>
                <w:sz w:val="18"/>
                <w:szCs w:val="18"/>
              </w:rPr>
              <w:t>V</w:t>
            </w:r>
            <w:r w:rsidR="008E5198" w:rsidRPr="00251A53">
              <w:rPr>
                <w:bCs/>
                <w:sz w:val="18"/>
                <w:szCs w:val="18"/>
              </w:rPr>
              <w:t xml:space="preserve">aluing the islands and endogenous resources </w:t>
            </w:r>
            <w:r w:rsidRPr="00251A53">
              <w:rPr>
                <w:bCs/>
                <w:sz w:val="18"/>
                <w:szCs w:val="18"/>
              </w:rPr>
              <w:t xml:space="preserve">(PEDS </w:t>
            </w:r>
            <w:r w:rsidR="00A80518" w:rsidRPr="00251A53">
              <w:rPr>
                <w:bCs/>
                <w:sz w:val="18"/>
                <w:szCs w:val="18"/>
              </w:rPr>
              <w:t>economic pillar</w:t>
            </w:r>
            <w:r w:rsidRPr="00251A53">
              <w:rPr>
                <w:bCs/>
                <w:sz w:val="18"/>
                <w:szCs w:val="18"/>
              </w:rPr>
              <w:t>)</w:t>
            </w:r>
            <w:r w:rsidR="00520F98" w:rsidRPr="00251A53">
              <w:rPr>
                <w:bCs/>
                <w:sz w:val="18"/>
                <w:szCs w:val="18"/>
              </w:rPr>
              <w:t>;</w:t>
            </w:r>
            <w:r w:rsidR="00A80518" w:rsidRPr="00251A53">
              <w:rPr>
                <w:bCs/>
                <w:sz w:val="18"/>
                <w:szCs w:val="18"/>
              </w:rPr>
              <w:t xml:space="preserve"> (SDGs</w:t>
            </w:r>
            <w:r w:rsidRPr="00251A53">
              <w:rPr>
                <w:bCs/>
                <w:sz w:val="18"/>
                <w:szCs w:val="18"/>
              </w:rPr>
              <w:t xml:space="preserve"> 1, 2, 3, 6, 7, 9, 11, 12, 13, 14</w:t>
            </w:r>
            <w:r w:rsidR="00A80518" w:rsidRPr="00251A53">
              <w:rPr>
                <w:bCs/>
                <w:sz w:val="18"/>
                <w:szCs w:val="18"/>
              </w:rPr>
              <w:t xml:space="preserve">, </w:t>
            </w:r>
            <w:r w:rsidRPr="00251A53">
              <w:rPr>
                <w:bCs/>
                <w:sz w:val="18"/>
                <w:szCs w:val="18"/>
              </w:rPr>
              <w:t>15</w:t>
            </w:r>
            <w:r w:rsidR="00A80518" w:rsidRPr="00251A53">
              <w:rPr>
                <w:bCs/>
                <w:sz w:val="18"/>
                <w:szCs w:val="18"/>
              </w:rPr>
              <w:t>)</w:t>
            </w:r>
          </w:p>
        </w:tc>
      </w:tr>
      <w:tr w:rsidR="004255D8" w:rsidRPr="00251A53" w14:paraId="330FD23F" w14:textId="77777777" w:rsidTr="000B26F0">
        <w:tblPrEx>
          <w:tblCellMar>
            <w:left w:w="0" w:type="dxa"/>
            <w:right w:w="0" w:type="dxa"/>
          </w:tblCellMar>
        </w:tblPrEx>
        <w:trPr>
          <w:trHeight w:val="20"/>
        </w:trPr>
        <w:tc>
          <w:tcPr>
            <w:tcW w:w="5000" w:type="pct"/>
            <w:gridSpan w:val="9"/>
            <w:shd w:val="clear" w:color="auto" w:fill="DEEAF6" w:themeFill="accent1" w:themeFillTint="33"/>
            <w:tcMar>
              <w:top w:w="72" w:type="dxa"/>
              <w:left w:w="144" w:type="dxa"/>
              <w:bottom w:w="72" w:type="dxa"/>
              <w:right w:w="144" w:type="dxa"/>
            </w:tcMar>
          </w:tcPr>
          <w:p w14:paraId="128929A8" w14:textId="77777777" w:rsidR="004255D8" w:rsidRPr="00251A53" w:rsidRDefault="004255D8" w:rsidP="007612AB">
            <w:pPr>
              <w:spacing w:before="20" w:after="20"/>
              <w:rPr>
                <w:b/>
                <w:bCs/>
                <w:sz w:val="18"/>
                <w:szCs w:val="18"/>
              </w:rPr>
            </w:pPr>
            <w:r w:rsidRPr="00251A53">
              <w:rPr>
                <w:b/>
                <w:bCs/>
                <w:sz w:val="18"/>
                <w:szCs w:val="18"/>
              </w:rPr>
              <w:t xml:space="preserve">UNDAF </w:t>
            </w:r>
            <w:r w:rsidR="0036476D" w:rsidRPr="00251A53">
              <w:rPr>
                <w:b/>
                <w:bCs/>
                <w:sz w:val="18"/>
                <w:szCs w:val="18"/>
              </w:rPr>
              <w:t>outcome</w:t>
            </w:r>
            <w:r w:rsidRPr="00251A53">
              <w:rPr>
                <w:b/>
                <w:bCs/>
                <w:sz w:val="18"/>
                <w:szCs w:val="18"/>
              </w:rPr>
              <w:t xml:space="preserve">: </w:t>
            </w:r>
            <w:r w:rsidR="00E46E0C" w:rsidRPr="00251A53">
              <w:rPr>
                <w:bCs/>
                <w:sz w:val="18"/>
                <w:szCs w:val="18"/>
              </w:rPr>
              <w:t>(2.1) b</w:t>
            </w:r>
            <w:r w:rsidRPr="00251A53">
              <w:rPr>
                <w:bCs/>
                <w:sz w:val="18"/>
                <w:szCs w:val="18"/>
              </w:rPr>
              <w:t>y 2022, all people, particularly the most vulnerable, benefit from enhanced national and local capacity to apply integrated and innovative approaches to the sustainable and participative management of natural resources and biodiversity, climate change adaptati</w:t>
            </w:r>
            <w:r w:rsidR="00651C15" w:rsidRPr="00251A53">
              <w:rPr>
                <w:bCs/>
                <w:sz w:val="18"/>
                <w:szCs w:val="18"/>
              </w:rPr>
              <w:t>on and mitigation, and disaster-</w:t>
            </w:r>
            <w:r w:rsidRPr="00251A53">
              <w:rPr>
                <w:bCs/>
                <w:sz w:val="18"/>
                <w:szCs w:val="18"/>
              </w:rPr>
              <w:t>risk reduction.</w:t>
            </w:r>
          </w:p>
        </w:tc>
      </w:tr>
      <w:tr w:rsidR="004255D8" w:rsidRPr="00251A53" w14:paraId="30BAEC10" w14:textId="77777777" w:rsidTr="000B26F0">
        <w:tblPrEx>
          <w:tblCellMar>
            <w:left w:w="0" w:type="dxa"/>
            <w:right w:w="0" w:type="dxa"/>
          </w:tblCellMar>
        </w:tblPrEx>
        <w:trPr>
          <w:trHeight w:val="20"/>
        </w:trPr>
        <w:tc>
          <w:tcPr>
            <w:tcW w:w="5000" w:type="pct"/>
            <w:gridSpan w:val="9"/>
            <w:shd w:val="clear" w:color="auto" w:fill="DEEAF6" w:themeFill="accent1" w:themeFillTint="33"/>
            <w:tcMar>
              <w:top w:w="72" w:type="dxa"/>
              <w:left w:w="144" w:type="dxa"/>
              <w:bottom w:w="72" w:type="dxa"/>
              <w:right w:w="144" w:type="dxa"/>
            </w:tcMar>
          </w:tcPr>
          <w:p w14:paraId="010187EB" w14:textId="136E3E4D" w:rsidR="004255D8" w:rsidRPr="00251A53" w:rsidRDefault="004255D8" w:rsidP="007612AB">
            <w:pPr>
              <w:spacing w:before="20" w:after="20"/>
              <w:rPr>
                <w:bCs/>
                <w:sz w:val="18"/>
                <w:szCs w:val="18"/>
              </w:rPr>
            </w:pPr>
            <w:r w:rsidRPr="00251A53">
              <w:rPr>
                <w:b/>
                <w:bCs/>
                <w:sz w:val="18"/>
                <w:szCs w:val="18"/>
              </w:rPr>
              <w:t>UNDP</w:t>
            </w:r>
            <w:r w:rsidR="003D78D3" w:rsidRPr="00251A53">
              <w:rPr>
                <w:b/>
                <w:bCs/>
                <w:sz w:val="18"/>
                <w:szCs w:val="18"/>
              </w:rPr>
              <w:t xml:space="preserve"> </w:t>
            </w:r>
            <w:r w:rsidR="006946B6" w:rsidRPr="00251A53">
              <w:rPr>
                <w:b/>
                <w:bCs/>
                <w:sz w:val="18"/>
                <w:szCs w:val="18"/>
              </w:rPr>
              <w:t xml:space="preserve">Strategic Plan </w:t>
            </w:r>
            <w:r w:rsidR="003D78D3" w:rsidRPr="00251A53">
              <w:rPr>
                <w:b/>
                <w:bCs/>
                <w:sz w:val="18"/>
                <w:szCs w:val="18"/>
              </w:rPr>
              <w:t>outcomes</w:t>
            </w:r>
            <w:r w:rsidRPr="00251A53">
              <w:rPr>
                <w:b/>
                <w:bCs/>
                <w:sz w:val="18"/>
                <w:szCs w:val="18"/>
              </w:rPr>
              <w:t>:</w:t>
            </w:r>
            <w:r w:rsidRPr="00251A53">
              <w:rPr>
                <w:bCs/>
                <w:sz w:val="18"/>
                <w:szCs w:val="18"/>
              </w:rPr>
              <w:t xml:space="preserve"> </w:t>
            </w:r>
            <w:r w:rsidR="003D679D" w:rsidRPr="00251A53">
              <w:rPr>
                <w:bCs/>
                <w:sz w:val="18"/>
                <w:szCs w:val="18"/>
              </w:rPr>
              <w:t>(</w:t>
            </w:r>
            <w:r w:rsidR="009A0474" w:rsidRPr="00251A53">
              <w:rPr>
                <w:bCs/>
                <w:iCs/>
                <w:sz w:val="18"/>
                <w:szCs w:val="18"/>
              </w:rPr>
              <w:t>Signature solution 4</w:t>
            </w:r>
            <w:r w:rsidR="003D679D" w:rsidRPr="00251A53">
              <w:rPr>
                <w:bCs/>
                <w:iCs/>
                <w:sz w:val="18"/>
                <w:szCs w:val="18"/>
              </w:rPr>
              <w:t>)</w:t>
            </w:r>
            <w:r w:rsidRPr="00251A53">
              <w:rPr>
                <w:bCs/>
                <w:iCs/>
                <w:sz w:val="18"/>
                <w:szCs w:val="18"/>
              </w:rPr>
              <w:t xml:space="preserve"> Promote nature-based sol</w:t>
            </w:r>
            <w:r w:rsidR="009A0474" w:rsidRPr="00251A53">
              <w:rPr>
                <w:bCs/>
                <w:iCs/>
                <w:sz w:val="18"/>
                <w:szCs w:val="18"/>
              </w:rPr>
              <w:t>utions for a sustainable planet;</w:t>
            </w:r>
            <w:r w:rsidR="00D12013" w:rsidRPr="00251A53">
              <w:rPr>
                <w:bCs/>
                <w:iCs/>
                <w:sz w:val="18"/>
                <w:szCs w:val="18"/>
              </w:rPr>
              <w:t xml:space="preserve"> </w:t>
            </w:r>
            <w:r w:rsidR="003D679D" w:rsidRPr="00251A53">
              <w:rPr>
                <w:bCs/>
                <w:iCs/>
                <w:sz w:val="18"/>
                <w:szCs w:val="18"/>
              </w:rPr>
              <w:t>(</w:t>
            </w:r>
            <w:r w:rsidRPr="00251A53">
              <w:rPr>
                <w:sz w:val="18"/>
                <w:szCs w:val="18"/>
              </w:rPr>
              <w:t>IRRF</w:t>
            </w:r>
            <w:r w:rsidR="009A0474" w:rsidRPr="00251A53">
              <w:rPr>
                <w:iCs/>
                <w:sz w:val="18"/>
                <w:szCs w:val="18"/>
              </w:rPr>
              <w:t xml:space="preserve"> Outcome 3</w:t>
            </w:r>
            <w:r w:rsidR="003D679D" w:rsidRPr="00251A53">
              <w:rPr>
                <w:iCs/>
                <w:sz w:val="18"/>
                <w:szCs w:val="18"/>
              </w:rPr>
              <w:t>)</w:t>
            </w:r>
            <w:r w:rsidRPr="00251A53">
              <w:rPr>
                <w:iCs/>
                <w:sz w:val="18"/>
                <w:szCs w:val="18"/>
              </w:rPr>
              <w:t xml:space="preserve"> Sustainable planet</w:t>
            </w:r>
            <w:r w:rsidR="00D12013" w:rsidRPr="00251A53">
              <w:rPr>
                <w:iCs/>
                <w:sz w:val="18"/>
                <w:szCs w:val="18"/>
              </w:rPr>
              <w:t xml:space="preserve">. </w:t>
            </w:r>
            <w:r w:rsidR="003D679D" w:rsidRPr="00251A53">
              <w:rPr>
                <w:iCs/>
                <w:sz w:val="18"/>
                <w:szCs w:val="18"/>
              </w:rPr>
              <w:t>(</w:t>
            </w:r>
            <w:r w:rsidRPr="00251A53">
              <w:rPr>
                <w:bCs/>
                <w:iCs/>
                <w:sz w:val="18"/>
                <w:szCs w:val="18"/>
              </w:rPr>
              <w:t>Signature solution 3</w:t>
            </w:r>
            <w:r w:rsidR="003D679D" w:rsidRPr="00251A53">
              <w:rPr>
                <w:bCs/>
                <w:iCs/>
                <w:sz w:val="18"/>
                <w:szCs w:val="18"/>
              </w:rPr>
              <w:t>)</w:t>
            </w:r>
            <w:r w:rsidRPr="00251A53">
              <w:rPr>
                <w:bCs/>
                <w:i/>
                <w:iCs/>
                <w:sz w:val="18"/>
                <w:szCs w:val="18"/>
              </w:rPr>
              <w:t xml:space="preserve"> </w:t>
            </w:r>
            <w:r w:rsidRPr="00251A53">
              <w:rPr>
                <w:bCs/>
                <w:iCs/>
                <w:sz w:val="18"/>
                <w:szCs w:val="18"/>
              </w:rPr>
              <w:t>Enhance prevention and recovery for resili</w:t>
            </w:r>
            <w:r w:rsidR="009A0474" w:rsidRPr="00251A53">
              <w:rPr>
                <w:bCs/>
                <w:iCs/>
                <w:sz w:val="18"/>
                <w:szCs w:val="18"/>
              </w:rPr>
              <w:t>ent societies;</w:t>
            </w:r>
            <w:r w:rsidR="00D12013" w:rsidRPr="00251A53">
              <w:rPr>
                <w:bCs/>
                <w:iCs/>
                <w:sz w:val="18"/>
                <w:szCs w:val="18"/>
              </w:rPr>
              <w:t xml:space="preserve"> </w:t>
            </w:r>
            <w:r w:rsidR="003D679D" w:rsidRPr="00251A53">
              <w:rPr>
                <w:bCs/>
                <w:iCs/>
                <w:sz w:val="18"/>
                <w:szCs w:val="18"/>
              </w:rPr>
              <w:t>(</w:t>
            </w:r>
            <w:r w:rsidRPr="00251A53">
              <w:rPr>
                <w:sz w:val="18"/>
                <w:szCs w:val="18"/>
              </w:rPr>
              <w:t>IRRF</w:t>
            </w:r>
            <w:r w:rsidR="009A0474" w:rsidRPr="00251A53">
              <w:rPr>
                <w:iCs/>
                <w:sz w:val="18"/>
                <w:szCs w:val="18"/>
              </w:rPr>
              <w:t xml:space="preserve"> Outcome 4</w:t>
            </w:r>
            <w:r w:rsidR="003D679D" w:rsidRPr="00251A53">
              <w:rPr>
                <w:iCs/>
                <w:sz w:val="18"/>
                <w:szCs w:val="18"/>
              </w:rPr>
              <w:t>)</w:t>
            </w:r>
            <w:r w:rsidR="00D12013" w:rsidRPr="00251A53">
              <w:rPr>
                <w:iCs/>
                <w:sz w:val="18"/>
                <w:szCs w:val="18"/>
              </w:rPr>
              <w:t xml:space="preserve"> </w:t>
            </w:r>
            <w:r w:rsidRPr="00251A53">
              <w:rPr>
                <w:iCs/>
                <w:sz w:val="18"/>
                <w:szCs w:val="18"/>
              </w:rPr>
              <w:t>Resilient societies</w:t>
            </w:r>
          </w:p>
          <w:p w14:paraId="32C7EB5C" w14:textId="71B0F712" w:rsidR="004255D8" w:rsidRPr="00251A53" w:rsidRDefault="004255D8" w:rsidP="007612AB">
            <w:pPr>
              <w:spacing w:before="20" w:after="20"/>
              <w:rPr>
                <w:iCs/>
                <w:sz w:val="18"/>
                <w:szCs w:val="18"/>
              </w:rPr>
            </w:pPr>
            <w:r w:rsidRPr="00251A53">
              <w:rPr>
                <w:b/>
                <w:bCs/>
                <w:sz w:val="18"/>
                <w:szCs w:val="18"/>
              </w:rPr>
              <w:t xml:space="preserve">UNFPA </w:t>
            </w:r>
            <w:r w:rsidR="006946B6" w:rsidRPr="00251A53">
              <w:rPr>
                <w:b/>
                <w:bCs/>
                <w:sz w:val="18"/>
                <w:szCs w:val="18"/>
              </w:rPr>
              <w:t xml:space="preserve"> Strategic  Plan </w:t>
            </w:r>
            <w:r w:rsidR="00D12013" w:rsidRPr="00251A53">
              <w:rPr>
                <w:b/>
                <w:bCs/>
                <w:sz w:val="18"/>
                <w:szCs w:val="18"/>
              </w:rPr>
              <w:t>outcomes</w:t>
            </w:r>
            <w:r w:rsidRPr="00251A53">
              <w:rPr>
                <w:b/>
                <w:iCs/>
                <w:sz w:val="18"/>
                <w:szCs w:val="18"/>
              </w:rPr>
              <w:t>:</w:t>
            </w:r>
            <w:r w:rsidR="00151E9A" w:rsidRPr="00251A53">
              <w:rPr>
                <w:iCs/>
                <w:sz w:val="18"/>
                <w:szCs w:val="18"/>
              </w:rPr>
              <w:t xml:space="preserve"> </w:t>
            </w:r>
            <w:r w:rsidR="003D679D" w:rsidRPr="00251A53">
              <w:rPr>
                <w:iCs/>
                <w:sz w:val="18"/>
                <w:szCs w:val="18"/>
              </w:rPr>
              <w:t xml:space="preserve">(1) </w:t>
            </w:r>
            <w:r w:rsidR="00151E9A" w:rsidRPr="00251A53">
              <w:rPr>
                <w:iCs/>
                <w:sz w:val="18"/>
                <w:szCs w:val="18"/>
              </w:rPr>
              <w:t>F</w:t>
            </w:r>
            <w:r w:rsidRPr="00251A53">
              <w:rPr>
                <w:iCs/>
                <w:sz w:val="18"/>
                <w:szCs w:val="18"/>
              </w:rPr>
              <w:t>ocus on the achievement of universal access to sexual and reproductive health, enabled by po</w:t>
            </w:r>
            <w:r w:rsidR="00651C15" w:rsidRPr="00251A53">
              <w:rPr>
                <w:iCs/>
                <w:sz w:val="18"/>
                <w:szCs w:val="18"/>
              </w:rPr>
              <w:t>pulation dynamics, human rights</w:t>
            </w:r>
            <w:r w:rsidRPr="00251A53">
              <w:rPr>
                <w:iCs/>
                <w:sz w:val="18"/>
                <w:szCs w:val="18"/>
              </w:rPr>
              <w:t xml:space="preserve"> and gender equality</w:t>
            </w:r>
            <w:r w:rsidR="003D679D" w:rsidRPr="00251A53">
              <w:rPr>
                <w:iCs/>
                <w:sz w:val="18"/>
                <w:szCs w:val="18"/>
              </w:rPr>
              <w:t>;</w:t>
            </w:r>
            <w:r w:rsidRPr="00251A53">
              <w:rPr>
                <w:iCs/>
                <w:sz w:val="18"/>
                <w:szCs w:val="18"/>
              </w:rPr>
              <w:t xml:space="preserve"> </w:t>
            </w:r>
            <w:r w:rsidR="003D679D" w:rsidRPr="00251A53">
              <w:rPr>
                <w:iCs/>
                <w:sz w:val="18"/>
                <w:szCs w:val="18"/>
              </w:rPr>
              <w:t xml:space="preserve">(4) </w:t>
            </w:r>
            <w:r w:rsidRPr="00251A53">
              <w:rPr>
                <w:iCs/>
                <w:sz w:val="18"/>
                <w:szCs w:val="18"/>
              </w:rPr>
              <w:t>Mainstreaming demographic intelligence to improve the responsiveness, targeting and impact of development policies, programmes and advocacy, addressing the vulnerability of the population to di</w:t>
            </w:r>
            <w:r w:rsidR="00151E9A" w:rsidRPr="00251A53">
              <w:rPr>
                <w:iCs/>
                <w:sz w:val="18"/>
                <w:szCs w:val="18"/>
              </w:rPr>
              <w:t>sasters and humanitarian crises</w:t>
            </w:r>
          </w:p>
          <w:p w14:paraId="3A9CE99C" w14:textId="7476C7B8" w:rsidR="004255D8" w:rsidRPr="00251A53" w:rsidRDefault="004255D8" w:rsidP="003D679D">
            <w:pPr>
              <w:spacing w:before="20" w:after="20"/>
              <w:rPr>
                <w:bCs/>
                <w:i/>
                <w:sz w:val="18"/>
                <w:szCs w:val="18"/>
              </w:rPr>
            </w:pPr>
            <w:r w:rsidRPr="00251A53">
              <w:rPr>
                <w:b/>
                <w:bCs/>
                <w:sz w:val="18"/>
                <w:szCs w:val="18"/>
              </w:rPr>
              <w:t xml:space="preserve">UNICEF </w:t>
            </w:r>
            <w:r w:rsidR="006946B6" w:rsidRPr="00251A53">
              <w:rPr>
                <w:b/>
                <w:bCs/>
                <w:sz w:val="18"/>
                <w:szCs w:val="18"/>
              </w:rPr>
              <w:t xml:space="preserve"> Strategic  Plan </w:t>
            </w:r>
            <w:r w:rsidR="00151E9A" w:rsidRPr="00251A53">
              <w:rPr>
                <w:b/>
                <w:bCs/>
                <w:sz w:val="18"/>
                <w:szCs w:val="18"/>
              </w:rPr>
              <w:t>outcome</w:t>
            </w:r>
            <w:r w:rsidRPr="00251A53">
              <w:rPr>
                <w:iCs/>
                <w:sz w:val="18"/>
                <w:szCs w:val="18"/>
              </w:rPr>
              <w:t xml:space="preserve">: </w:t>
            </w:r>
            <w:r w:rsidR="003D679D" w:rsidRPr="00251A53">
              <w:rPr>
                <w:iCs/>
                <w:sz w:val="18"/>
                <w:szCs w:val="18"/>
              </w:rPr>
              <w:t xml:space="preserve">(4) </w:t>
            </w:r>
            <w:r w:rsidRPr="00251A53">
              <w:rPr>
                <w:iCs/>
                <w:sz w:val="18"/>
                <w:szCs w:val="18"/>
              </w:rPr>
              <w:t xml:space="preserve">Every child lives </w:t>
            </w:r>
            <w:r w:rsidR="00151E9A" w:rsidRPr="00251A53">
              <w:rPr>
                <w:iCs/>
                <w:sz w:val="18"/>
                <w:szCs w:val="18"/>
              </w:rPr>
              <w:t>in a safe and clean environment</w:t>
            </w:r>
          </w:p>
        </w:tc>
      </w:tr>
      <w:tr w:rsidR="000A00EB" w:rsidRPr="00251A53" w14:paraId="7303275C" w14:textId="77777777" w:rsidTr="007C25CB">
        <w:tblPrEx>
          <w:tblCellMar>
            <w:left w:w="0" w:type="dxa"/>
            <w:right w:w="0" w:type="dxa"/>
          </w:tblCellMar>
        </w:tblPrEx>
        <w:trPr>
          <w:trHeight w:val="20"/>
        </w:trPr>
        <w:tc>
          <w:tcPr>
            <w:tcW w:w="751" w:type="pct"/>
            <w:vMerge w:val="restart"/>
            <w:shd w:val="clear" w:color="auto" w:fill="DEEAF6" w:themeFill="accent1" w:themeFillTint="33"/>
            <w:tcMar>
              <w:top w:w="72" w:type="dxa"/>
              <w:left w:w="144" w:type="dxa"/>
              <w:bottom w:w="72" w:type="dxa"/>
              <w:right w:w="144" w:type="dxa"/>
            </w:tcMar>
            <w:vAlign w:val="center"/>
          </w:tcPr>
          <w:p w14:paraId="0DFEF0A4" w14:textId="77777777" w:rsidR="00151E9A" w:rsidRPr="00251A53" w:rsidRDefault="00151E9A" w:rsidP="007612AB">
            <w:pPr>
              <w:spacing w:before="20" w:after="20"/>
              <w:jc w:val="center"/>
              <w:rPr>
                <w:sz w:val="18"/>
                <w:szCs w:val="18"/>
              </w:rPr>
            </w:pPr>
            <w:r w:rsidRPr="00251A53">
              <w:rPr>
                <w:b/>
                <w:bCs/>
                <w:sz w:val="18"/>
                <w:szCs w:val="18"/>
              </w:rPr>
              <w:t>UNDAF outcome</w:t>
            </w:r>
          </w:p>
        </w:tc>
        <w:tc>
          <w:tcPr>
            <w:tcW w:w="857" w:type="pct"/>
            <w:vMerge w:val="restart"/>
            <w:shd w:val="clear" w:color="auto" w:fill="DEEAF6" w:themeFill="accent1" w:themeFillTint="33"/>
            <w:vAlign w:val="center"/>
          </w:tcPr>
          <w:p w14:paraId="08627A5B" w14:textId="77777777" w:rsidR="00151E9A" w:rsidRPr="00251A53" w:rsidRDefault="00151E9A" w:rsidP="007612AB">
            <w:pPr>
              <w:spacing w:before="20" w:after="20"/>
              <w:ind w:left="-55"/>
              <w:jc w:val="center"/>
              <w:rPr>
                <w:b/>
                <w:sz w:val="18"/>
                <w:szCs w:val="18"/>
              </w:rPr>
            </w:pPr>
            <w:r w:rsidRPr="00251A53">
              <w:rPr>
                <w:b/>
                <w:sz w:val="18"/>
                <w:szCs w:val="18"/>
              </w:rPr>
              <w:t>Source of data collection and responsibilities</w:t>
            </w:r>
          </w:p>
        </w:tc>
        <w:tc>
          <w:tcPr>
            <w:tcW w:w="1713" w:type="pct"/>
            <w:vMerge w:val="restart"/>
            <w:shd w:val="clear" w:color="auto" w:fill="DEEAF6" w:themeFill="accent1" w:themeFillTint="33"/>
            <w:tcMar>
              <w:top w:w="72" w:type="dxa"/>
              <w:left w:w="144" w:type="dxa"/>
              <w:bottom w:w="72" w:type="dxa"/>
              <w:right w:w="144" w:type="dxa"/>
            </w:tcMar>
            <w:vAlign w:val="center"/>
          </w:tcPr>
          <w:p w14:paraId="44FCA011" w14:textId="77777777" w:rsidR="00151E9A" w:rsidRPr="00251A53" w:rsidRDefault="00151E9A" w:rsidP="007612AB">
            <w:pPr>
              <w:spacing w:before="20" w:after="20"/>
              <w:ind w:left="-143" w:right="-143"/>
              <w:jc w:val="center"/>
              <w:rPr>
                <w:sz w:val="18"/>
                <w:szCs w:val="18"/>
              </w:rPr>
            </w:pPr>
            <w:r w:rsidRPr="00251A53">
              <w:rPr>
                <w:b/>
                <w:bCs/>
                <w:sz w:val="18"/>
                <w:szCs w:val="18"/>
              </w:rPr>
              <w:t>Indicative country programme outputs and indicators</w:t>
            </w:r>
            <w:r w:rsidRPr="00251A53">
              <w:rPr>
                <w:b/>
                <w:bCs/>
                <w:sz w:val="18"/>
                <w:szCs w:val="18"/>
              </w:rPr>
              <w:br/>
            </w:r>
            <w:r w:rsidR="00B83EF8" w:rsidRPr="00251A53">
              <w:rPr>
                <w:sz w:val="18"/>
                <w:szCs w:val="18"/>
              </w:rPr>
              <w:t>(</w:t>
            </w:r>
            <w:r w:rsidRPr="00251A53">
              <w:rPr>
                <w:bCs/>
                <w:sz w:val="18"/>
                <w:szCs w:val="18"/>
              </w:rPr>
              <w:t>Frequency is annual unless otherwise indicated)</w:t>
            </w:r>
          </w:p>
        </w:tc>
        <w:tc>
          <w:tcPr>
            <w:tcW w:w="621" w:type="pct"/>
            <w:gridSpan w:val="3"/>
            <w:vMerge w:val="restart"/>
            <w:shd w:val="clear" w:color="auto" w:fill="DEEAF6" w:themeFill="accent1" w:themeFillTint="33"/>
            <w:vAlign w:val="center"/>
          </w:tcPr>
          <w:p w14:paraId="2A95900F" w14:textId="77777777" w:rsidR="00151E9A" w:rsidRPr="00251A53" w:rsidRDefault="00151E9A" w:rsidP="007612AB">
            <w:pPr>
              <w:spacing w:before="20" w:after="20"/>
              <w:jc w:val="center"/>
              <w:rPr>
                <w:b/>
                <w:bCs/>
                <w:sz w:val="18"/>
                <w:szCs w:val="18"/>
              </w:rPr>
            </w:pPr>
            <w:r w:rsidRPr="00251A53">
              <w:rPr>
                <w:b/>
                <w:bCs/>
                <w:sz w:val="18"/>
                <w:szCs w:val="18"/>
              </w:rPr>
              <w:t>Major partners</w:t>
            </w:r>
          </w:p>
        </w:tc>
        <w:tc>
          <w:tcPr>
            <w:tcW w:w="1058" w:type="pct"/>
            <w:gridSpan w:val="3"/>
            <w:shd w:val="clear" w:color="auto" w:fill="DEEAF6" w:themeFill="accent1" w:themeFillTint="33"/>
            <w:tcMar>
              <w:top w:w="15" w:type="dxa"/>
              <w:left w:w="108" w:type="dxa"/>
              <w:bottom w:w="0" w:type="dxa"/>
              <w:right w:w="108" w:type="dxa"/>
            </w:tcMar>
            <w:vAlign w:val="center"/>
          </w:tcPr>
          <w:p w14:paraId="46C447CC" w14:textId="77777777" w:rsidR="00151E9A" w:rsidRPr="00251A53" w:rsidRDefault="00151E9A" w:rsidP="007612AB">
            <w:pPr>
              <w:spacing w:before="20" w:after="20"/>
              <w:jc w:val="center"/>
              <w:rPr>
                <w:i/>
                <w:sz w:val="18"/>
                <w:szCs w:val="18"/>
              </w:rPr>
            </w:pPr>
            <w:r w:rsidRPr="00251A53">
              <w:rPr>
                <w:b/>
                <w:bCs/>
                <w:sz w:val="18"/>
                <w:szCs w:val="18"/>
              </w:rPr>
              <w:t>Indicative resources by outcome</w:t>
            </w:r>
            <w:r w:rsidR="00072201" w:rsidRPr="00251A53">
              <w:rPr>
                <w:b/>
                <w:bCs/>
                <w:sz w:val="18"/>
                <w:szCs w:val="18"/>
              </w:rPr>
              <w:t xml:space="preserve"> </w:t>
            </w:r>
            <w:r w:rsidR="00072201" w:rsidRPr="00251A53">
              <w:rPr>
                <w:bCs/>
                <w:i/>
                <w:sz w:val="18"/>
                <w:szCs w:val="18"/>
              </w:rPr>
              <w:t>(U</w:t>
            </w:r>
            <w:r w:rsidR="008B7A9E" w:rsidRPr="00251A53">
              <w:rPr>
                <w:bCs/>
                <w:i/>
                <w:sz w:val="18"/>
                <w:szCs w:val="18"/>
              </w:rPr>
              <w:t xml:space="preserve">nited </w:t>
            </w:r>
            <w:r w:rsidR="00072201" w:rsidRPr="00251A53">
              <w:rPr>
                <w:bCs/>
                <w:i/>
                <w:sz w:val="18"/>
                <w:szCs w:val="18"/>
              </w:rPr>
              <w:t>S</w:t>
            </w:r>
            <w:r w:rsidR="008B7A9E" w:rsidRPr="00251A53">
              <w:rPr>
                <w:bCs/>
                <w:i/>
                <w:sz w:val="18"/>
                <w:szCs w:val="18"/>
              </w:rPr>
              <w:t>tates</w:t>
            </w:r>
            <w:r w:rsidR="00072201" w:rsidRPr="00251A53">
              <w:rPr>
                <w:bCs/>
                <w:i/>
                <w:sz w:val="18"/>
                <w:szCs w:val="18"/>
              </w:rPr>
              <w:t xml:space="preserve"> </w:t>
            </w:r>
            <w:r w:rsidR="008B7A9E" w:rsidRPr="00251A53">
              <w:rPr>
                <w:bCs/>
                <w:i/>
                <w:sz w:val="18"/>
                <w:szCs w:val="18"/>
              </w:rPr>
              <w:t>d</w:t>
            </w:r>
            <w:r w:rsidR="00072201" w:rsidRPr="00251A53">
              <w:rPr>
                <w:bCs/>
                <w:i/>
                <w:sz w:val="18"/>
                <w:szCs w:val="18"/>
              </w:rPr>
              <w:t>ollars</w:t>
            </w:r>
            <w:r w:rsidRPr="00251A53">
              <w:rPr>
                <w:bCs/>
                <w:i/>
                <w:sz w:val="18"/>
                <w:szCs w:val="18"/>
              </w:rPr>
              <w:t>)</w:t>
            </w:r>
          </w:p>
        </w:tc>
      </w:tr>
      <w:tr w:rsidR="000A00EB" w:rsidRPr="00251A53" w14:paraId="2B9A057B" w14:textId="77777777" w:rsidTr="007C25CB">
        <w:tblPrEx>
          <w:tblCellMar>
            <w:left w:w="0" w:type="dxa"/>
            <w:right w:w="0" w:type="dxa"/>
          </w:tblCellMar>
        </w:tblPrEx>
        <w:trPr>
          <w:trHeight w:val="20"/>
        </w:trPr>
        <w:tc>
          <w:tcPr>
            <w:tcW w:w="751" w:type="pct"/>
            <w:vMerge/>
            <w:tcBorders>
              <w:bottom w:val="single" w:sz="4" w:space="0" w:color="auto"/>
            </w:tcBorders>
            <w:shd w:val="clear" w:color="auto" w:fill="DEEAF6" w:themeFill="accent1" w:themeFillTint="33"/>
            <w:tcMar>
              <w:top w:w="72" w:type="dxa"/>
              <w:left w:w="144" w:type="dxa"/>
              <w:bottom w:w="72" w:type="dxa"/>
              <w:right w:w="144" w:type="dxa"/>
            </w:tcMar>
            <w:vAlign w:val="center"/>
          </w:tcPr>
          <w:p w14:paraId="5B09F4D9" w14:textId="77777777" w:rsidR="00151E9A" w:rsidRPr="00251A53" w:rsidRDefault="00151E9A" w:rsidP="007612AB">
            <w:pPr>
              <w:spacing w:before="20" w:after="20"/>
              <w:jc w:val="center"/>
              <w:rPr>
                <w:b/>
                <w:bCs/>
                <w:sz w:val="18"/>
                <w:szCs w:val="18"/>
              </w:rPr>
            </w:pPr>
          </w:p>
        </w:tc>
        <w:tc>
          <w:tcPr>
            <w:tcW w:w="857" w:type="pct"/>
            <w:vMerge/>
            <w:tcBorders>
              <w:bottom w:val="single" w:sz="4" w:space="0" w:color="auto"/>
            </w:tcBorders>
            <w:shd w:val="clear" w:color="auto" w:fill="DEEAF6" w:themeFill="accent1" w:themeFillTint="33"/>
            <w:vAlign w:val="center"/>
          </w:tcPr>
          <w:p w14:paraId="28030F8F" w14:textId="77777777" w:rsidR="00151E9A" w:rsidRPr="00251A53" w:rsidDel="008A6CA6" w:rsidRDefault="00151E9A" w:rsidP="007612AB">
            <w:pPr>
              <w:spacing w:before="20" w:after="20"/>
              <w:jc w:val="center"/>
              <w:rPr>
                <w:b/>
                <w:sz w:val="18"/>
                <w:szCs w:val="18"/>
              </w:rPr>
            </w:pPr>
          </w:p>
        </w:tc>
        <w:tc>
          <w:tcPr>
            <w:tcW w:w="1713" w:type="pct"/>
            <w:vMerge/>
            <w:tcBorders>
              <w:bottom w:val="single" w:sz="4" w:space="0" w:color="auto"/>
            </w:tcBorders>
            <w:shd w:val="clear" w:color="auto" w:fill="DEEAF6" w:themeFill="accent1" w:themeFillTint="33"/>
            <w:tcMar>
              <w:top w:w="72" w:type="dxa"/>
              <w:left w:w="144" w:type="dxa"/>
              <w:bottom w:w="72" w:type="dxa"/>
              <w:right w:w="144" w:type="dxa"/>
            </w:tcMar>
            <w:vAlign w:val="center"/>
          </w:tcPr>
          <w:p w14:paraId="1878BBEA" w14:textId="77777777" w:rsidR="00151E9A" w:rsidRPr="00251A53" w:rsidDel="008A6CA6" w:rsidRDefault="00151E9A" w:rsidP="007612AB">
            <w:pPr>
              <w:spacing w:before="20" w:after="20"/>
              <w:jc w:val="center"/>
              <w:rPr>
                <w:b/>
                <w:bCs/>
                <w:sz w:val="18"/>
                <w:szCs w:val="18"/>
              </w:rPr>
            </w:pPr>
          </w:p>
        </w:tc>
        <w:tc>
          <w:tcPr>
            <w:tcW w:w="621" w:type="pct"/>
            <w:gridSpan w:val="3"/>
            <w:vMerge/>
            <w:tcBorders>
              <w:bottom w:val="single" w:sz="4" w:space="0" w:color="auto"/>
            </w:tcBorders>
            <w:shd w:val="clear" w:color="auto" w:fill="DEEAF6" w:themeFill="accent1" w:themeFillTint="33"/>
            <w:vAlign w:val="center"/>
          </w:tcPr>
          <w:p w14:paraId="6ACDC71D" w14:textId="77777777" w:rsidR="00151E9A" w:rsidRPr="00251A53" w:rsidRDefault="00151E9A" w:rsidP="007612AB">
            <w:pPr>
              <w:spacing w:before="20" w:after="20"/>
              <w:jc w:val="center"/>
              <w:rPr>
                <w:b/>
                <w:bCs/>
                <w:sz w:val="18"/>
                <w:szCs w:val="18"/>
              </w:rPr>
            </w:pPr>
          </w:p>
        </w:tc>
        <w:tc>
          <w:tcPr>
            <w:tcW w:w="344" w:type="pct"/>
            <w:tcBorders>
              <w:bottom w:val="single" w:sz="4" w:space="0" w:color="auto"/>
            </w:tcBorders>
            <w:shd w:val="clear" w:color="auto" w:fill="DEEAF6" w:themeFill="accent1" w:themeFillTint="33"/>
            <w:tcMar>
              <w:top w:w="15" w:type="dxa"/>
              <w:left w:w="108" w:type="dxa"/>
              <w:bottom w:w="0" w:type="dxa"/>
              <w:right w:w="108" w:type="dxa"/>
            </w:tcMar>
            <w:vAlign w:val="center"/>
          </w:tcPr>
          <w:p w14:paraId="735C8BD5" w14:textId="77777777" w:rsidR="00151E9A" w:rsidRPr="00251A53" w:rsidRDefault="00151E9A" w:rsidP="007612AB">
            <w:pPr>
              <w:spacing w:before="20" w:after="20"/>
              <w:ind w:left="39"/>
              <w:jc w:val="center"/>
              <w:rPr>
                <w:b/>
                <w:bCs/>
                <w:sz w:val="18"/>
                <w:szCs w:val="18"/>
              </w:rPr>
            </w:pPr>
            <w:r w:rsidRPr="00251A53">
              <w:rPr>
                <w:b/>
                <w:bCs/>
                <w:sz w:val="18"/>
                <w:szCs w:val="18"/>
              </w:rPr>
              <w:t>Regular</w:t>
            </w:r>
          </w:p>
        </w:tc>
        <w:tc>
          <w:tcPr>
            <w:tcW w:w="343" w:type="pct"/>
            <w:tcBorders>
              <w:bottom w:val="single" w:sz="4" w:space="0" w:color="auto"/>
            </w:tcBorders>
            <w:shd w:val="clear" w:color="auto" w:fill="DEEAF6" w:themeFill="accent1" w:themeFillTint="33"/>
            <w:vAlign w:val="center"/>
          </w:tcPr>
          <w:p w14:paraId="406D6496" w14:textId="77777777" w:rsidR="00151E9A" w:rsidRPr="00251A53" w:rsidRDefault="00151E9A" w:rsidP="007612AB">
            <w:pPr>
              <w:spacing w:before="20" w:after="20"/>
              <w:ind w:left="39"/>
              <w:jc w:val="center"/>
              <w:rPr>
                <w:b/>
                <w:bCs/>
                <w:sz w:val="18"/>
                <w:szCs w:val="18"/>
              </w:rPr>
            </w:pPr>
            <w:r w:rsidRPr="00251A53">
              <w:rPr>
                <w:b/>
                <w:bCs/>
                <w:sz w:val="18"/>
                <w:szCs w:val="18"/>
              </w:rPr>
              <w:t>Other</w:t>
            </w:r>
          </w:p>
        </w:tc>
        <w:tc>
          <w:tcPr>
            <w:tcW w:w="371" w:type="pct"/>
            <w:tcBorders>
              <w:bottom w:val="single" w:sz="4" w:space="0" w:color="auto"/>
            </w:tcBorders>
            <w:shd w:val="clear" w:color="auto" w:fill="DEEAF6" w:themeFill="accent1" w:themeFillTint="33"/>
            <w:vAlign w:val="center"/>
          </w:tcPr>
          <w:p w14:paraId="3FB8B239" w14:textId="77777777" w:rsidR="00151E9A" w:rsidRPr="00251A53" w:rsidRDefault="00151E9A" w:rsidP="007612AB">
            <w:pPr>
              <w:spacing w:before="20" w:after="20"/>
              <w:ind w:left="39"/>
              <w:jc w:val="center"/>
              <w:rPr>
                <w:b/>
                <w:bCs/>
                <w:sz w:val="18"/>
                <w:szCs w:val="18"/>
              </w:rPr>
            </w:pPr>
            <w:r w:rsidRPr="00251A53">
              <w:rPr>
                <w:b/>
                <w:bCs/>
                <w:sz w:val="18"/>
                <w:szCs w:val="18"/>
              </w:rPr>
              <w:t>Total</w:t>
            </w:r>
          </w:p>
        </w:tc>
      </w:tr>
      <w:tr w:rsidR="007C25CB" w:rsidRPr="00251A53" w14:paraId="46680527" w14:textId="77777777" w:rsidTr="007C25CB">
        <w:tblPrEx>
          <w:tblCellMar>
            <w:left w:w="0" w:type="dxa"/>
            <w:right w:w="0" w:type="dxa"/>
          </w:tblCellMar>
        </w:tblPrEx>
        <w:trPr>
          <w:trHeight w:val="20"/>
        </w:trPr>
        <w:tc>
          <w:tcPr>
            <w:tcW w:w="751" w:type="pct"/>
            <w:tcBorders>
              <w:top w:val="single" w:sz="4" w:space="0" w:color="auto"/>
              <w:left w:val="single" w:sz="4" w:space="0" w:color="auto"/>
              <w:bottom w:val="nil"/>
              <w:right w:val="single" w:sz="4" w:space="0" w:color="auto"/>
            </w:tcBorders>
            <w:tcMar>
              <w:top w:w="72" w:type="dxa"/>
              <w:left w:w="144" w:type="dxa"/>
              <w:bottom w:w="72" w:type="dxa"/>
              <w:right w:w="144" w:type="dxa"/>
            </w:tcMar>
          </w:tcPr>
          <w:p w14:paraId="4ED1122E" w14:textId="77777777" w:rsidR="007C25CB" w:rsidRPr="00251A53" w:rsidRDefault="007C25CB" w:rsidP="009F74E5">
            <w:pPr>
              <w:spacing w:before="20" w:after="20"/>
              <w:rPr>
                <w:bCs/>
                <w:iCs/>
                <w:sz w:val="18"/>
                <w:szCs w:val="18"/>
              </w:rPr>
            </w:pPr>
            <w:r w:rsidRPr="00251A53">
              <w:rPr>
                <w:bCs/>
                <w:iCs/>
                <w:sz w:val="18"/>
                <w:szCs w:val="18"/>
                <w:u w:val="single"/>
              </w:rPr>
              <w:t>Indicator 2.1.1</w:t>
            </w:r>
            <w:r w:rsidRPr="00251A53">
              <w:rPr>
                <w:bCs/>
                <w:iCs/>
                <w:sz w:val="18"/>
                <w:szCs w:val="18"/>
              </w:rPr>
              <w:t>: Proportion of municipalities that incorporate and implement principles of sustainable urban devel</w:t>
            </w:r>
            <w:r w:rsidR="006122BB" w:rsidRPr="00251A53">
              <w:rPr>
                <w:bCs/>
                <w:iCs/>
                <w:sz w:val="18"/>
                <w:szCs w:val="18"/>
              </w:rPr>
              <w:t>opment in the planning process</w:t>
            </w:r>
            <w:r w:rsidR="009F74E5" w:rsidRPr="00251A53">
              <w:rPr>
                <w:bCs/>
                <w:iCs/>
                <w:sz w:val="18"/>
                <w:szCs w:val="18"/>
              </w:rPr>
              <w:br/>
            </w:r>
            <w:r w:rsidRPr="00251A53">
              <w:rPr>
                <w:bCs/>
                <w:i/>
                <w:iCs/>
                <w:sz w:val="18"/>
                <w:szCs w:val="18"/>
              </w:rPr>
              <w:t>Baseline</w:t>
            </w:r>
            <w:r w:rsidRPr="00251A53">
              <w:rPr>
                <w:bCs/>
                <w:iCs/>
                <w:sz w:val="18"/>
                <w:szCs w:val="18"/>
              </w:rPr>
              <w:t xml:space="preserve">: 1; </w:t>
            </w:r>
            <w:r w:rsidRPr="00251A53">
              <w:rPr>
                <w:bCs/>
                <w:i/>
                <w:iCs/>
                <w:sz w:val="18"/>
                <w:szCs w:val="18"/>
              </w:rPr>
              <w:t>Target</w:t>
            </w:r>
            <w:r w:rsidRPr="00251A53">
              <w:rPr>
                <w:bCs/>
                <w:iCs/>
                <w:sz w:val="18"/>
                <w:szCs w:val="18"/>
              </w:rPr>
              <w:t>: 5</w:t>
            </w:r>
          </w:p>
        </w:tc>
        <w:tc>
          <w:tcPr>
            <w:tcW w:w="857" w:type="pct"/>
            <w:tcBorders>
              <w:top w:val="single" w:sz="4" w:space="0" w:color="auto"/>
              <w:left w:val="single" w:sz="4" w:space="0" w:color="auto"/>
              <w:bottom w:val="nil"/>
              <w:right w:val="single" w:sz="4" w:space="0" w:color="auto"/>
            </w:tcBorders>
          </w:tcPr>
          <w:p w14:paraId="45B34807" w14:textId="77777777" w:rsidR="007C25CB" w:rsidRPr="00251A53" w:rsidRDefault="007C25CB" w:rsidP="007612AB">
            <w:pPr>
              <w:spacing w:before="20" w:after="20"/>
              <w:ind w:left="72"/>
              <w:rPr>
                <w:bCs/>
                <w:sz w:val="18"/>
                <w:szCs w:val="18"/>
              </w:rPr>
            </w:pPr>
            <w:r w:rsidRPr="00251A53">
              <w:rPr>
                <w:bCs/>
                <w:i/>
                <w:sz w:val="18"/>
                <w:szCs w:val="18"/>
              </w:rPr>
              <w:t>Source</w:t>
            </w:r>
            <w:r w:rsidRPr="00251A53">
              <w:rPr>
                <w:bCs/>
                <w:sz w:val="18"/>
                <w:szCs w:val="18"/>
              </w:rPr>
              <w:t>: Municipal monitoring reports</w:t>
            </w:r>
          </w:p>
          <w:p w14:paraId="09DEFBCE" w14:textId="77777777" w:rsidR="007C25CB" w:rsidRPr="00251A53" w:rsidRDefault="007C25CB" w:rsidP="007612AB">
            <w:pPr>
              <w:spacing w:before="20" w:after="20"/>
              <w:ind w:left="76"/>
              <w:rPr>
                <w:bCs/>
                <w:sz w:val="18"/>
                <w:szCs w:val="18"/>
              </w:rPr>
            </w:pPr>
            <w:r w:rsidRPr="00251A53">
              <w:rPr>
                <w:bCs/>
                <w:i/>
                <w:sz w:val="18"/>
                <w:szCs w:val="18"/>
              </w:rPr>
              <w:t>Responsibility</w:t>
            </w:r>
            <w:r w:rsidRPr="00251A53">
              <w:rPr>
                <w:bCs/>
                <w:sz w:val="18"/>
                <w:szCs w:val="18"/>
              </w:rPr>
              <w:t>: Municipal governments</w:t>
            </w:r>
          </w:p>
        </w:tc>
        <w:tc>
          <w:tcPr>
            <w:tcW w:w="1713" w:type="pct"/>
            <w:vMerge w:val="restart"/>
            <w:tcBorders>
              <w:left w:val="single" w:sz="4" w:space="0" w:color="auto"/>
            </w:tcBorders>
            <w:shd w:val="clear" w:color="auto" w:fill="auto"/>
            <w:tcMar>
              <w:top w:w="72" w:type="dxa"/>
              <w:left w:w="144" w:type="dxa"/>
              <w:bottom w:w="72" w:type="dxa"/>
              <w:right w:w="144" w:type="dxa"/>
            </w:tcMar>
          </w:tcPr>
          <w:p w14:paraId="4A6EB759" w14:textId="77777777" w:rsidR="007C25CB" w:rsidRPr="00251A53" w:rsidRDefault="007C25CB" w:rsidP="007612AB">
            <w:pPr>
              <w:spacing w:before="20" w:after="20"/>
              <w:rPr>
                <w:i/>
                <w:iCs/>
                <w:sz w:val="18"/>
                <w:szCs w:val="18"/>
              </w:rPr>
            </w:pPr>
            <w:r w:rsidRPr="00251A53">
              <w:rPr>
                <w:iCs/>
                <w:sz w:val="18"/>
                <w:szCs w:val="18"/>
                <w:u w:val="single"/>
              </w:rPr>
              <w:t>Output 2.1</w:t>
            </w:r>
            <w:r w:rsidRPr="00251A53">
              <w:rPr>
                <w:i/>
                <w:iCs/>
                <w:sz w:val="18"/>
                <w:szCs w:val="18"/>
              </w:rPr>
              <w:t xml:space="preserve">: </w:t>
            </w:r>
            <w:r w:rsidRPr="00251A53">
              <w:rPr>
                <w:sz w:val="18"/>
                <w:szCs w:val="18"/>
              </w:rPr>
              <w:t>Selected institutions have strengthened technical and operational capacities to mainstream child and gender-sensitive disaster</w:t>
            </w:r>
            <w:r w:rsidRPr="00251A53">
              <w:rPr>
                <w:b/>
                <w:sz w:val="18"/>
                <w:szCs w:val="18"/>
              </w:rPr>
              <w:t>-</w:t>
            </w:r>
            <w:r w:rsidRPr="00251A53">
              <w:rPr>
                <w:sz w:val="18"/>
                <w:szCs w:val="18"/>
              </w:rPr>
              <w:t xml:space="preserve">risk reduction into national and local development policies </w:t>
            </w:r>
          </w:p>
          <w:p w14:paraId="147C9CF0" w14:textId="77777777" w:rsidR="007C25CB" w:rsidRPr="00251A53" w:rsidRDefault="007C25CB" w:rsidP="007612AB">
            <w:pPr>
              <w:spacing w:before="20" w:after="20"/>
              <w:rPr>
                <w:sz w:val="18"/>
                <w:szCs w:val="18"/>
              </w:rPr>
            </w:pPr>
            <w:r w:rsidRPr="00251A53">
              <w:rPr>
                <w:iCs/>
                <w:sz w:val="18"/>
                <w:szCs w:val="18"/>
              </w:rPr>
              <w:t>2.1.1: Percentage of selected national institutions that integrate risk reduction in their policies, strategies and budgets with a gender perspective</w:t>
            </w:r>
          </w:p>
          <w:p w14:paraId="0B9D613B" w14:textId="77777777" w:rsidR="007C25CB" w:rsidRPr="00251A53" w:rsidRDefault="007C25CB" w:rsidP="007612AB">
            <w:pPr>
              <w:spacing w:before="20" w:after="20"/>
              <w:rPr>
                <w:i/>
                <w:iCs/>
                <w:sz w:val="18"/>
                <w:szCs w:val="18"/>
              </w:rPr>
            </w:pPr>
            <w:r w:rsidRPr="00251A53">
              <w:rPr>
                <w:i/>
                <w:iCs/>
                <w:sz w:val="18"/>
                <w:szCs w:val="18"/>
              </w:rPr>
              <w:t xml:space="preserve">Baseline: </w:t>
            </w:r>
            <w:r w:rsidRPr="00251A53">
              <w:rPr>
                <w:iCs/>
                <w:sz w:val="18"/>
                <w:szCs w:val="18"/>
              </w:rPr>
              <w:t>4%;</w:t>
            </w:r>
            <w:r w:rsidRPr="00251A53">
              <w:rPr>
                <w:i/>
                <w:iCs/>
                <w:sz w:val="18"/>
                <w:szCs w:val="18"/>
              </w:rPr>
              <w:t xml:space="preserve"> Target: </w:t>
            </w:r>
            <w:r w:rsidRPr="00251A53">
              <w:rPr>
                <w:iCs/>
                <w:sz w:val="18"/>
                <w:szCs w:val="18"/>
              </w:rPr>
              <w:t>50%</w:t>
            </w:r>
          </w:p>
          <w:p w14:paraId="2FA7D732" w14:textId="77777777" w:rsidR="007C25CB" w:rsidRPr="00251A53" w:rsidRDefault="007C25CB" w:rsidP="007612AB">
            <w:pPr>
              <w:spacing w:before="20" w:after="20"/>
              <w:rPr>
                <w:i/>
                <w:iCs/>
                <w:sz w:val="18"/>
                <w:szCs w:val="18"/>
              </w:rPr>
            </w:pPr>
            <w:r w:rsidRPr="00251A53">
              <w:rPr>
                <w:i/>
                <w:iCs/>
                <w:sz w:val="18"/>
                <w:szCs w:val="18"/>
              </w:rPr>
              <w:t>Source:</w:t>
            </w:r>
            <w:r w:rsidRPr="00251A53">
              <w:rPr>
                <w:sz w:val="18"/>
                <w:szCs w:val="18"/>
              </w:rPr>
              <w:t xml:space="preserve"> </w:t>
            </w:r>
            <w:r w:rsidRPr="00251A53">
              <w:rPr>
                <w:iCs/>
                <w:sz w:val="18"/>
                <w:szCs w:val="18"/>
              </w:rPr>
              <w:t>NPDRR</w:t>
            </w:r>
          </w:p>
          <w:p w14:paraId="54F76CEF" w14:textId="77777777" w:rsidR="007C25CB" w:rsidRPr="00251A53" w:rsidRDefault="00EC096F" w:rsidP="007612AB">
            <w:pPr>
              <w:spacing w:before="20" w:after="20"/>
              <w:rPr>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UNDP</w:t>
            </w:r>
          </w:p>
          <w:p w14:paraId="331AE983" w14:textId="77777777" w:rsidR="007C25CB" w:rsidRPr="00251A53" w:rsidRDefault="007C25CB" w:rsidP="007612AB">
            <w:pPr>
              <w:spacing w:before="20" w:after="20"/>
              <w:rPr>
                <w:iCs/>
                <w:sz w:val="18"/>
                <w:szCs w:val="18"/>
              </w:rPr>
            </w:pPr>
            <w:r w:rsidRPr="00251A53">
              <w:rPr>
                <w:iCs/>
                <w:sz w:val="18"/>
                <w:szCs w:val="18"/>
              </w:rPr>
              <w:t xml:space="preserve">2.1.2: Percentage of municipalities that integrate child and gender-sensitive risk information including climate risk in the plans, strategies and budgets </w:t>
            </w:r>
          </w:p>
          <w:p w14:paraId="2A7D1484" w14:textId="77777777" w:rsidR="007C25CB" w:rsidRPr="00251A53" w:rsidRDefault="007C25CB" w:rsidP="007612AB">
            <w:pPr>
              <w:spacing w:before="20" w:after="20"/>
              <w:rPr>
                <w:i/>
                <w:iCs/>
                <w:sz w:val="18"/>
                <w:szCs w:val="18"/>
              </w:rPr>
            </w:pPr>
            <w:r w:rsidRPr="00251A53">
              <w:rPr>
                <w:i/>
                <w:iCs/>
                <w:sz w:val="18"/>
                <w:szCs w:val="18"/>
              </w:rPr>
              <w:t xml:space="preserve">Baseline: </w:t>
            </w:r>
            <w:r w:rsidRPr="00251A53">
              <w:rPr>
                <w:iCs/>
                <w:sz w:val="18"/>
                <w:szCs w:val="18"/>
              </w:rPr>
              <w:t>14%</w:t>
            </w:r>
            <w:r w:rsidRPr="00251A53">
              <w:rPr>
                <w:i/>
                <w:iCs/>
                <w:sz w:val="18"/>
                <w:szCs w:val="18"/>
              </w:rPr>
              <w:t xml:space="preserve">; Target: </w:t>
            </w:r>
            <w:r w:rsidRPr="00251A53">
              <w:rPr>
                <w:iCs/>
                <w:sz w:val="18"/>
                <w:szCs w:val="18"/>
              </w:rPr>
              <w:t>50%</w:t>
            </w:r>
          </w:p>
          <w:p w14:paraId="1B88E233" w14:textId="77777777" w:rsidR="007C25CB" w:rsidRPr="00251A53" w:rsidRDefault="007C25CB" w:rsidP="007612AB">
            <w:pPr>
              <w:spacing w:before="20" w:after="20"/>
              <w:rPr>
                <w:i/>
                <w:iCs/>
                <w:sz w:val="18"/>
                <w:szCs w:val="18"/>
              </w:rPr>
            </w:pPr>
            <w:r w:rsidRPr="00251A53">
              <w:rPr>
                <w:i/>
                <w:iCs/>
                <w:sz w:val="18"/>
                <w:szCs w:val="18"/>
              </w:rPr>
              <w:t xml:space="preserve">Source: </w:t>
            </w:r>
            <w:r w:rsidRPr="00251A53">
              <w:rPr>
                <w:iCs/>
                <w:sz w:val="18"/>
                <w:szCs w:val="18"/>
              </w:rPr>
              <w:t>NPDRR</w:t>
            </w:r>
          </w:p>
          <w:p w14:paraId="6D5A74A0" w14:textId="77777777" w:rsidR="007C25CB" w:rsidRPr="00251A53" w:rsidRDefault="00EC096F" w:rsidP="007612AB">
            <w:pPr>
              <w:spacing w:before="20" w:after="20"/>
              <w:rPr>
                <w:i/>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UNICEF</w:t>
            </w:r>
          </w:p>
          <w:p w14:paraId="4238FD82" w14:textId="77777777" w:rsidR="007C25CB" w:rsidRPr="00251A53" w:rsidRDefault="007C25CB" w:rsidP="007612AB">
            <w:pPr>
              <w:spacing w:before="20" w:after="20"/>
              <w:jc w:val="both"/>
              <w:rPr>
                <w:iCs/>
                <w:sz w:val="18"/>
                <w:szCs w:val="18"/>
              </w:rPr>
            </w:pPr>
            <w:r w:rsidRPr="00251A53">
              <w:rPr>
                <w:iCs/>
                <w:sz w:val="18"/>
                <w:szCs w:val="18"/>
              </w:rPr>
              <w:t>2.1.3: Existence of an integrated strategy for risk and vulnerability reduction through</w:t>
            </w:r>
            <w:hyperlink r:id="rId13" w:history="1">
              <w:r w:rsidRPr="00251A53">
                <w:rPr>
                  <w:iCs/>
                  <w:sz w:val="18"/>
                  <w:szCs w:val="18"/>
                </w:rPr>
                <w:t xml:space="preserve"> water, sanitation and hygiene</w:t>
              </w:r>
            </w:hyperlink>
            <w:r w:rsidRPr="00251A53">
              <w:rPr>
                <w:iCs/>
                <w:sz w:val="18"/>
                <w:szCs w:val="18"/>
              </w:rPr>
              <w:t xml:space="preserve"> in schools </w:t>
            </w:r>
          </w:p>
          <w:p w14:paraId="1F6246E9" w14:textId="77777777" w:rsidR="007C25CB" w:rsidRPr="00251A53" w:rsidRDefault="007C25CB" w:rsidP="007612AB">
            <w:pPr>
              <w:spacing w:before="20" w:after="20"/>
              <w:rPr>
                <w:i/>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1</w:t>
            </w:r>
          </w:p>
          <w:p w14:paraId="18471497" w14:textId="77777777" w:rsidR="007C25CB" w:rsidRPr="00251A53" w:rsidRDefault="007C25CB" w:rsidP="007612AB">
            <w:pPr>
              <w:spacing w:before="20" w:after="20"/>
              <w:rPr>
                <w:i/>
                <w:iCs/>
                <w:sz w:val="18"/>
                <w:szCs w:val="18"/>
              </w:rPr>
            </w:pPr>
            <w:r w:rsidRPr="00251A53">
              <w:rPr>
                <w:i/>
                <w:iCs/>
                <w:sz w:val="18"/>
                <w:szCs w:val="18"/>
              </w:rPr>
              <w:t xml:space="preserve">Source: </w:t>
            </w:r>
            <w:r w:rsidRPr="00251A53">
              <w:rPr>
                <w:iCs/>
                <w:sz w:val="18"/>
                <w:szCs w:val="18"/>
              </w:rPr>
              <w:t>ME annual reports</w:t>
            </w:r>
          </w:p>
          <w:p w14:paraId="79EDA451" w14:textId="77777777" w:rsidR="007C25CB" w:rsidRPr="00251A53" w:rsidRDefault="00EC096F" w:rsidP="007612AB">
            <w:pPr>
              <w:spacing w:before="20" w:after="20"/>
              <w:rPr>
                <w:i/>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UNICEF</w:t>
            </w:r>
          </w:p>
        </w:tc>
        <w:tc>
          <w:tcPr>
            <w:tcW w:w="621" w:type="pct"/>
            <w:gridSpan w:val="3"/>
            <w:vMerge w:val="restart"/>
          </w:tcPr>
          <w:p w14:paraId="2CC5B1DC" w14:textId="77777777" w:rsidR="007C25CB" w:rsidRPr="00251A53" w:rsidRDefault="007C25CB" w:rsidP="004018B0">
            <w:pPr>
              <w:spacing w:before="20" w:after="20"/>
              <w:ind w:left="106" w:right="99"/>
              <w:rPr>
                <w:iCs/>
                <w:sz w:val="18"/>
                <w:szCs w:val="18"/>
              </w:rPr>
            </w:pPr>
            <w:r w:rsidRPr="00251A53">
              <w:rPr>
                <w:bCs/>
                <w:iCs/>
                <w:sz w:val="18"/>
                <w:szCs w:val="18"/>
              </w:rPr>
              <w:t>Ministries of Internal Affairs</w:t>
            </w:r>
            <w:r w:rsidR="00BD52BF" w:rsidRPr="00251A53">
              <w:rPr>
                <w:bCs/>
                <w:iCs/>
                <w:sz w:val="18"/>
                <w:szCs w:val="18"/>
              </w:rPr>
              <w:t>;</w:t>
            </w:r>
            <w:r w:rsidRPr="00251A53">
              <w:rPr>
                <w:bCs/>
                <w:iCs/>
                <w:sz w:val="18"/>
                <w:szCs w:val="18"/>
              </w:rPr>
              <w:t xml:space="preserve"> Agriculture and Environment</w:t>
            </w:r>
            <w:r w:rsidR="00BD52BF" w:rsidRPr="00251A53">
              <w:rPr>
                <w:bCs/>
                <w:iCs/>
                <w:sz w:val="18"/>
                <w:szCs w:val="18"/>
              </w:rPr>
              <w:t>;</w:t>
            </w:r>
            <w:r w:rsidRPr="00251A53">
              <w:rPr>
                <w:bCs/>
                <w:iCs/>
                <w:sz w:val="18"/>
                <w:szCs w:val="18"/>
              </w:rPr>
              <w:t xml:space="preserve"> Education</w:t>
            </w:r>
            <w:r w:rsidR="00BD52BF" w:rsidRPr="00251A53">
              <w:rPr>
                <w:bCs/>
                <w:iCs/>
                <w:sz w:val="18"/>
                <w:szCs w:val="18"/>
              </w:rPr>
              <w:t>;</w:t>
            </w:r>
            <w:r w:rsidRPr="00251A53">
              <w:rPr>
                <w:bCs/>
                <w:iCs/>
                <w:sz w:val="18"/>
                <w:szCs w:val="18"/>
              </w:rPr>
              <w:t xml:space="preserve"> Economy and Employment;</w:t>
            </w:r>
            <w:r w:rsidR="00BD52BF" w:rsidRPr="00251A53">
              <w:rPr>
                <w:bCs/>
                <w:iCs/>
                <w:sz w:val="18"/>
                <w:szCs w:val="18"/>
              </w:rPr>
              <w:t xml:space="preserve"> </w:t>
            </w:r>
            <w:r w:rsidRPr="00251A53">
              <w:rPr>
                <w:iCs/>
                <w:sz w:val="18"/>
                <w:szCs w:val="18"/>
              </w:rPr>
              <w:t>National Institute of Meteorology and Geophysics; National Water and Sanitation Agency;</w:t>
            </w:r>
            <w:r w:rsidR="00BD52BF" w:rsidRPr="00251A53">
              <w:rPr>
                <w:iCs/>
                <w:sz w:val="18"/>
                <w:szCs w:val="18"/>
              </w:rPr>
              <w:t xml:space="preserve"> m</w:t>
            </w:r>
            <w:r w:rsidRPr="00251A53">
              <w:rPr>
                <w:iCs/>
                <w:sz w:val="18"/>
                <w:szCs w:val="18"/>
              </w:rPr>
              <w:t>unicipalities</w:t>
            </w:r>
            <w:r w:rsidR="00BD52BF" w:rsidRPr="00251A53">
              <w:rPr>
                <w:iCs/>
                <w:sz w:val="18"/>
                <w:szCs w:val="18"/>
              </w:rPr>
              <w:t>;</w:t>
            </w:r>
            <w:r w:rsidRPr="00251A53">
              <w:rPr>
                <w:iCs/>
                <w:sz w:val="18"/>
                <w:szCs w:val="18"/>
              </w:rPr>
              <w:t xml:space="preserve"> Economic Regulatory Agency;</w:t>
            </w:r>
            <w:r w:rsidR="00BD52BF" w:rsidRPr="00251A53">
              <w:rPr>
                <w:iCs/>
                <w:sz w:val="18"/>
                <w:szCs w:val="18"/>
              </w:rPr>
              <w:t xml:space="preserve"> </w:t>
            </w:r>
            <w:r w:rsidRPr="00251A53">
              <w:rPr>
                <w:iCs/>
                <w:sz w:val="18"/>
                <w:szCs w:val="18"/>
              </w:rPr>
              <w:t>civil society organizations;</w:t>
            </w:r>
            <w:r w:rsidR="00BD52BF" w:rsidRPr="00251A53">
              <w:rPr>
                <w:iCs/>
                <w:sz w:val="18"/>
                <w:szCs w:val="18"/>
              </w:rPr>
              <w:t xml:space="preserve"> </w:t>
            </w:r>
            <w:r w:rsidR="00A5540C" w:rsidRPr="00251A53">
              <w:rPr>
                <w:iCs/>
                <w:sz w:val="18"/>
                <w:szCs w:val="18"/>
              </w:rPr>
              <w:t>Luxembourg;</w:t>
            </w:r>
            <w:r w:rsidRPr="00251A53">
              <w:rPr>
                <w:iCs/>
                <w:sz w:val="18"/>
                <w:szCs w:val="18"/>
              </w:rPr>
              <w:t xml:space="preserve"> Japan</w:t>
            </w:r>
            <w:r w:rsidR="00A5540C" w:rsidRPr="00251A53">
              <w:rPr>
                <w:iCs/>
                <w:sz w:val="18"/>
                <w:szCs w:val="18"/>
              </w:rPr>
              <w:t>;</w:t>
            </w:r>
            <w:r w:rsidRPr="00251A53">
              <w:rPr>
                <w:iCs/>
                <w:sz w:val="18"/>
                <w:szCs w:val="18"/>
              </w:rPr>
              <w:t xml:space="preserve"> Spain</w:t>
            </w:r>
            <w:r w:rsidR="00A5540C" w:rsidRPr="00251A53">
              <w:rPr>
                <w:iCs/>
                <w:sz w:val="18"/>
                <w:szCs w:val="18"/>
              </w:rPr>
              <w:t>;</w:t>
            </w:r>
            <w:r w:rsidRPr="00251A53">
              <w:rPr>
                <w:iCs/>
                <w:sz w:val="18"/>
                <w:szCs w:val="18"/>
              </w:rPr>
              <w:t xml:space="preserve"> Portugal</w:t>
            </w:r>
            <w:r w:rsidR="00A5540C" w:rsidRPr="00251A53">
              <w:rPr>
                <w:iCs/>
                <w:sz w:val="18"/>
                <w:szCs w:val="18"/>
              </w:rPr>
              <w:t>;</w:t>
            </w:r>
            <w:r w:rsidRPr="00251A53">
              <w:rPr>
                <w:iCs/>
                <w:sz w:val="18"/>
                <w:szCs w:val="18"/>
              </w:rPr>
              <w:t xml:space="preserve"> USA; Green Climate Fund; ECOWAS</w:t>
            </w:r>
            <w:r w:rsidR="00A5540C" w:rsidRPr="00251A53">
              <w:rPr>
                <w:iCs/>
                <w:sz w:val="18"/>
                <w:szCs w:val="18"/>
              </w:rPr>
              <w:t>;</w:t>
            </w:r>
            <w:r w:rsidRPr="00251A53">
              <w:rPr>
                <w:iCs/>
                <w:sz w:val="18"/>
                <w:szCs w:val="18"/>
              </w:rPr>
              <w:t xml:space="preserve"> European Union</w:t>
            </w:r>
            <w:r w:rsidR="00A5540C" w:rsidRPr="00251A53">
              <w:rPr>
                <w:iCs/>
                <w:sz w:val="18"/>
                <w:szCs w:val="18"/>
              </w:rPr>
              <w:t>;</w:t>
            </w:r>
            <w:r w:rsidRPr="00251A53">
              <w:rPr>
                <w:iCs/>
                <w:sz w:val="18"/>
                <w:szCs w:val="18"/>
              </w:rPr>
              <w:t xml:space="preserve"> </w:t>
            </w:r>
            <w:r w:rsidRPr="00251A53">
              <w:rPr>
                <w:iCs/>
                <w:sz w:val="18"/>
                <w:szCs w:val="18"/>
              </w:rPr>
              <w:lastRenderedPageBreak/>
              <w:t>Af</w:t>
            </w:r>
            <w:r w:rsidR="00A5540C" w:rsidRPr="00251A53">
              <w:rPr>
                <w:iCs/>
                <w:sz w:val="18"/>
                <w:szCs w:val="18"/>
              </w:rPr>
              <w:t xml:space="preserve">rican </w:t>
            </w:r>
            <w:r w:rsidRPr="00251A53">
              <w:rPr>
                <w:iCs/>
                <w:sz w:val="18"/>
                <w:szCs w:val="18"/>
              </w:rPr>
              <w:t>D</w:t>
            </w:r>
            <w:r w:rsidR="00A5540C" w:rsidRPr="00251A53">
              <w:rPr>
                <w:iCs/>
                <w:sz w:val="18"/>
                <w:szCs w:val="18"/>
              </w:rPr>
              <w:t xml:space="preserve">evelopment </w:t>
            </w:r>
            <w:r w:rsidRPr="00251A53">
              <w:rPr>
                <w:iCs/>
                <w:sz w:val="18"/>
                <w:szCs w:val="18"/>
              </w:rPr>
              <w:t>B</w:t>
            </w:r>
            <w:r w:rsidR="00A5540C" w:rsidRPr="00251A53">
              <w:rPr>
                <w:iCs/>
                <w:sz w:val="18"/>
                <w:szCs w:val="18"/>
              </w:rPr>
              <w:t>ank</w:t>
            </w:r>
            <w:r w:rsidR="00751835" w:rsidRPr="00251A53">
              <w:rPr>
                <w:iCs/>
                <w:sz w:val="18"/>
                <w:szCs w:val="18"/>
              </w:rPr>
              <w:t xml:space="preserve"> </w:t>
            </w:r>
            <w:r w:rsidR="006637EF" w:rsidRPr="00251A53">
              <w:rPr>
                <w:iCs/>
                <w:sz w:val="18"/>
                <w:szCs w:val="18"/>
              </w:rPr>
              <w:t>(AfDB)</w:t>
            </w:r>
            <w:r w:rsidR="00A5540C" w:rsidRPr="00251A53">
              <w:rPr>
                <w:iCs/>
                <w:sz w:val="18"/>
                <w:szCs w:val="18"/>
              </w:rPr>
              <w:t>;</w:t>
            </w:r>
            <w:r w:rsidRPr="00251A53">
              <w:rPr>
                <w:iCs/>
                <w:sz w:val="18"/>
                <w:szCs w:val="18"/>
              </w:rPr>
              <w:t xml:space="preserve"> </w:t>
            </w:r>
            <w:r w:rsidR="004018B0" w:rsidRPr="00251A53">
              <w:rPr>
                <w:iCs/>
                <w:sz w:val="18"/>
                <w:szCs w:val="18"/>
              </w:rPr>
              <w:t xml:space="preserve">World Bank; </w:t>
            </w:r>
            <w:r w:rsidRPr="00251A53">
              <w:rPr>
                <w:iCs/>
                <w:sz w:val="18"/>
                <w:szCs w:val="18"/>
              </w:rPr>
              <w:t>FAO</w:t>
            </w:r>
            <w:r w:rsidR="00A5540C" w:rsidRPr="00251A53">
              <w:rPr>
                <w:iCs/>
                <w:sz w:val="18"/>
                <w:szCs w:val="18"/>
              </w:rPr>
              <w:t>;</w:t>
            </w:r>
            <w:r w:rsidRPr="00251A53">
              <w:rPr>
                <w:iCs/>
                <w:sz w:val="18"/>
                <w:szCs w:val="18"/>
              </w:rPr>
              <w:t xml:space="preserve"> </w:t>
            </w:r>
            <w:r w:rsidR="007A4843" w:rsidRPr="00251A53">
              <w:rPr>
                <w:iCs/>
                <w:sz w:val="18"/>
                <w:szCs w:val="18"/>
              </w:rPr>
              <w:t xml:space="preserve">Global Environment Facility; </w:t>
            </w:r>
            <w:r w:rsidR="000174C3" w:rsidRPr="00251A53">
              <w:rPr>
                <w:iCs/>
                <w:sz w:val="18"/>
                <w:szCs w:val="18"/>
              </w:rPr>
              <w:t xml:space="preserve">Inter-Agency Secretariat of the International Strategy for Disaster Reduction; </w:t>
            </w:r>
            <w:r w:rsidR="007A4843" w:rsidRPr="00251A53">
              <w:rPr>
                <w:iCs/>
                <w:sz w:val="18"/>
                <w:szCs w:val="18"/>
              </w:rPr>
              <w:t xml:space="preserve">UNEP; </w:t>
            </w:r>
            <w:r w:rsidRPr="00251A53">
              <w:rPr>
                <w:iCs/>
                <w:sz w:val="18"/>
                <w:szCs w:val="18"/>
              </w:rPr>
              <w:t>UN-Habitat</w:t>
            </w:r>
            <w:r w:rsidR="00A5540C" w:rsidRPr="00251A53">
              <w:rPr>
                <w:iCs/>
                <w:sz w:val="18"/>
                <w:szCs w:val="18"/>
              </w:rPr>
              <w:t>;</w:t>
            </w:r>
            <w:r w:rsidRPr="00251A53">
              <w:rPr>
                <w:iCs/>
                <w:sz w:val="18"/>
                <w:szCs w:val="18"/>
              </w:rPr>
              <w:t xml:space="preserve"> </w:t>
            </w:r>
            <w:r w:rsidR="00651E0F" w:rsidRPr="00251A53">
              <w:rPr>
                <w:iCs/>
                <w:sz w:val="18"/>
                <w:szCs w:val="18"/>
              </w:rPr>
              <w:br/>
            </w:r>
            <w:r w:rsidRPr="00251A53">
              <w:rPr>
                <w:iCs/>
                <w:sz w:val="18"/>
                <w:szCs w:val="18"/>
              </w:rPr>
              <w:t>UN-Women</w:t>
            </w:r>
            <w:r w:rsidR="00A5540C" w:rsidRPr="00251A53">
              <w:rPr>
                <w:iCs/>
                <w:sz w:val="18"/>
                <w:szCs w:val="18"/>
              </w:rPr>
              <w:t>;</w:t>
            </w:r>
            <w:r w:rsidRPr="00251A53">
              <w:rPr>
                <w:iCs/>
                <w:sz w:val="18"/>
                <w:szCs w:val="18"/>
              </w:rPr>
              <w:t xml:space="preserve"> </w:t>
            </w:r>
            <w:r w:rsidR="00651E0F" w:rsidRPr="00251A53">
              <w:rPr>
                <w:iCs/>
                <w:sz w:val="18"/>
                <w:szCs w:val="18"/>
              </w:rPr>
              <w:t xml:space="preserve">UNIDO; </w:t>
            </w:r>
            <w:r w:rsidRPr="00251A53">
              <w:rPr>
                <w:iCs/>
                <w:sz w:val="18"/>
                <w:szCs w:val="18"/>
              </w:rPr>
              <w:t>WHO</w:t>
            </w:r>
          </w:p>
        </w:tc>
        <w:tc>
          <w:tcPr>
            <w:tcW w:w="344" w:type="pct"/>
            <w:vMerge w:val="restart"/>
            <w:tcBorders>
              <w:bottom w:val="nil"/>
            </w:tcBorders>
            <w:tcMar>
              <w:top w:w="15" w:type="dxa"/>
              <w:left w:w="108" w:type="dxa"/>
              <w:bottom w:w="0" w:type="dxa"/>
              <w:right w:w="108" w:type="dxa"/>
            </w:tcMar>
          </w:tcPr>
          <w:p w14:paraId="37451745" w14:textId="77777777" w:rsidR="007C25CB" w:rsidRPr="00251A53" w:rsidRDefault="007C25CB" w:rsidP="00024220">
            <w:pPr>
              <w:spacing w:before="20" w:after="120"/>
              <w:ind w:left="-20" w:right="-12"/>
              <w:jc w:val="center"/>
              <w:rPr>
                <w:sz w:val="18"/>
                <w:szCs w:val="18"/>
              </w:rPr>
            </w:pPr>
            <w:r w:rsidRPr="00251A53">
              <w:rPr>
                <w:sz w:val="18"/>
                <w:szCs w:val="18"/>
              </w:rPr>
              <w:lastRenderedPageBreak/>
              <w:t xml:space="preserve">UNDP: </w:t>
            </w:r>
            <w:r w:rsidRPr="00251A53">
              <w:rPr>
                <w:sz w:val="18"/>
                <w:szCs w:val="18"/>
              </w:rPr>
              <w:br/>
              <w:t>1,020,000</w:t>
            </w:r>
          </w:p>
          <w:p w14:paraId="709A7D71" w14:textId="77777777" w:rsidR="007C25CB" w:rsidRPr="00251A53" w:rsidRDefault="007C25CB" w:rsidP="00024220">
            <w:pPr>
              <w:spacing w:before="20" w:after="120"/>
              <w:jc w:val="center"/>
              <w:rPr>
                <w:sz w:val="18"/>
                <w:szCs w:val="18"/>
              </w:rPr>
            </w:pPr>
            <w:r w:rsidRPr="00251A53">
              <w:rPr>
                <w:sz w:val="18"/>
                <w:szCs w:val="18"/>
              </w:rPr>
              <w:t>UNFPA:</w:t>
            </w:r>
            <w:r w:rsidRPr="00251A53">
              <w:rPr>
                <w:sz w:val="18"/>
                <w:szCs w:val="18"/>
              </w:rPr>
              <w:br/>
              <w:t>0</w:t>
            </w:r>
          </w:p>
          <w:p w14:paraId="71CB4DE9" w14:textId="77777777" w:rsidR="007C25CB" w:rsidRPr="00251A53" w:rsidRDefault="007C25CB" w:rsidP="00024220">
            <w:pPr>
              <w:spacing w:before="20" w:after="120"/>
              <w:ind w:left="-27" w:right="-95"/>
              <w:jc w:val="center"/>
              <w:rPr>
                <w:sz w:val="18"/>
                <w:szCs w:val="18"/>
              </w:rPr>
            </w:pPr>
            <w:r w:rsidRPr="00251A53">
              <w:rPr>
                <w:sz w:val="18"/>
                <w:szCs w:val="18"/>
              </w:rPr>
              <w:t>UNICEF</w:t>
            </w:r>
            <w:r w:rsidR="00024220" w:rsidRPr="00251A53">
              <w:rPr>
                <w:sz w:val="18"/>
                <w:szCs w:val="18"/>
              </w:rPr>
              <w:t>:</w:t>
            </w:r>
            <w:r w:rsidR="00024220" w:rsidRPr="00251A53">
              <w:rPr>
                <w:sz w:val="18"/>
                <w:szCs w:val="18"/>
              </w:rPr>
              <w:br/>
            </w:r>
            <w:r w:rsidRPr="00251A53">
              <w:rPr>
                <w:sz w:val="18"/>
                <w:szCs w:val="18"/>
              </w:rPr>
              <w:t>225,000</w:t>
            </w:r>
          </w:p>
        </w:tc>
        <w:tc>
          <w:tcPr>
            <w:tcW w:w="343" w:type="pct"/>
            <w:vMerge w:val="restart"/>
            <w:tcBorders>
              <w:bottom w:val="nil"/>
            </w:tcBorders>
          </w:tcPr>
          <w:p w14:paraId="1F78D936" w14:textId="77777777" w:rsidR="007C25CB" w:rsidRPr="00251A53" w:rsidRDefault="007C25CB" w:rsidP="00024220">
            <w:pPr>
              <w:spacing w:before="20" w:after="120"/>
              <w:jc w:val="center"/>
              <w:rPr>
                <w:sz w:val="18"/>
                <w:szCs w:val="18"/>
              </w:rPr>
            </w:pPr>
            <w:r w:rsidRPr="00251A53">
              <w:rPr>
                <w:sz w:val="18"/>
                <w:szCs w:val="18"/>
              </w:rPr>
              <w:t xml:space="preserve">UNDP: </w:t>
            </w:r>
            <w:r w:rsidRPr="00251A53">
              <w:rPr>
                <w:sz w:val="18"/>
                <w:szCs w:val="18"/>
              </w:rPr>
              <w:br/>
              <w:t>12,815,000</w:t>
            </w:r>
          </w:p>
          <w:p w14:paraId="7A319FF1" w14:textId="77777777" w:rsidR="007C25CB" w:rsidRPr="00251A53" w:rsidRDefault="007C25CB" w:rsidP="00024220">
            <w:pPr>
              <w:spacing w:before="20" w:after="120"/>
              <w:jc w:val="center"/>
              <w:rPr>
                <w:sz w:val="18"/>
                <w:szCs w:val="18"/>
              </w:rPr>
            </w:pPr>
            <w:r w:rsidRPr="00251A53">
              <w:rPr>
                <w:sz w:val="18"/>
                <w:szCs w:val="18"/>
              </w:rPr>
              <w:t xml:space="preserve">UNFPA: </w:t>
            </w:r>
            <w:r w:rsidRPr="00251A53">
              <w:rPr>
                <w:sz w:val="18"/>
                <w:szCs w:val="18"/>
              </w:rPr>
              <w:br/>
              <w:t>0</w:t>
            </w:r>
          </w:p>
          <w:p w14:paraId="5CD1CAA6" w14:textId="77777777" w:rsidR="007C25CB" w:rsidRPr="00251A53" w:rsidRDefault="007C25CB" w:rsidP="00024220">
            <w:pPr>
              <w:spacing w:before="20" w:after="120"/>
              <w:jc w:val="center"/>
              <w:rPr>
                <w:sz w:val="18"/>
                <w:szCs w:val="18"/>
              </w:rPr>
            </w:pPr>
            <w:r w:rsidRPr="00251A53">
              <w:rPr>
                <w:sz w:val="18"/>
                <w:szCs w:val="18"/>
              </w:rPr>
              <w:t xml:space="preserve">UNICEF: </w:t>
            </w:r>
            <w:r w:rsidR="00BD52BF" w:rsidRPr="00251A53">
              <w:rPr>
                <w:sz w:val="18"/>
                <w:szCs w:val="18"/>
              </w:rPr>
              <w:br/>
            </w:r>
            <w:r w:rsidRPr="00251A53">
              <w:rPr>
                <w:sz w:val="18"/>
                <w:szCs w:val="18"/>
              </w:rPr>
              <w:t>250,000</w:t>
            </w:r>
          </w:p>
        </w:tc>
        <w:tc>
          <w:tcPr>
            <w:tcW w:w="371" w:type="pct"/>
            <w:vMerge w:val="restart"/>
            <w:tcBorders>
              <w:bottom w:val="nil"/>
            </w:tcBorders>
          </w:tcPr>
          <w:p w14:paraId="775823EF" w14:textId="77777777" w:rsidR="007C25CB" w:rsidRPr="00251A53" w:rsidRDefault="007C25CB" w:rsidP="00024220">
            <w:pPr>
              <w:spacing w:before="20" w:after="120"/>
              <w:jc w:val="center"/>
              <w:rPr>
                <w:sz w:val="18"/>
                <w:szCs w:val="18"/>
              </w:rPr>
            </w:pPr>
            <w:r w:rsidRPr="00251A53">
              <w:rPr>
                <w:sz w:val="18"/>
                <w:szCs w:val="18"/>
              </w:rPr>
              <w:t xml:space="preserve">UNDP: </w:t>
            </w:r>
            <w:r w:rsidRPr="00251A53">
              <w:rPr>
                <w:sz w:val="18"/>
                <w:szCs w:val="18"/>
              </w:rPr>
              <w:br/>
              <w:t>13,835,000</w:t>
            </w:r>
          </w:p>
          <w:p w14:paraId="0B677BAB" w14:textId="77777777" w:rsidR="007C25CB" w:rsidRPr="00251A53" w:rsidRDefault="007C25CB" w:rsidP="00024220">
            <w:pPr>
              <w:spacing w:before="20" w:after="120"/>
              <w:jc w:val="center"/>
              <w:rPr>
                <w:sz w:val="18"/>
                <w:szCs w:val="18"/>
              </w:rPr>
            </w:pPr>
            <w:r w:rsidRPr="00251A53">
              <w:rPr>
                <w:sz w:val="18"/>
                <w:szCs w:val="18"/>
              </w:rPr>
              <w:t xml:space="preserve">UNFPA: </w:t>
            </w:r>
            <w:r w:rsidRPr="00251A53">
              <w:rPr>
                <w:sz w:val="18"/>
                <w:szCs w:val="18"/>
              </w:rPr>
              <w:br/>
              <w:t>0</w:t>
            </w:r>
          </w:p>
          <w:p w14:paraId="1BFFFBB5" w14:textId="77777777" w:rsidR="007C25CB" w:rsidRPr="00251A53" w:rsidRDefault="007C25CB" w:rsidP="00024220">
            <w:pPr>
              <w:spacing w:before="20" w:after="120"/>
              <w:jc w:val="center"/>
              <w:rPr>
                <w:b/>
                <w:sz w:val="18"/>
                <w:szCs w:val="18"/>
              </w:rPr>
            </w:pPr>
            <w:r w:rsidRPr="00251A53">
              <w:rPr>
                <w:sz w:val="18"/>
                <w:szCs w:val="18"/>
              </w:rPr>
              <w:t xml:space="preserve">UNICEF: </w:t>
            </w:r>
            <w:r w:rsidR="00BD52BF" w:rsidRPr="00251A53">
              <w:rPr>
                <w:sz w:val="18"/>
                <w:szCs w:val="18"/>
              </w:rPr>
              <w:br/>
            </w:r>
            <w:r w:rsidRPr="00251A53">
              <w:rPr>
                <w:sz w:val="18"/>
                <w:szCs w:val="18"/>
              </w:rPr>
              <w:t>475,000</w:t>
            </w:r>
          </w:p>
        </w:tc>
      </w:tr>
      <w:tr w:rsidR="007C25CB" w:rsidRPr="00251A53" w14:paraId="2E8279E6" w14:textId="77777777" w:rsidTr="007C25CB">
        <w:tblPrEx>
          <w:tblCellMar>
            <w:left w:w="0" w:type="dxa"/>
            <w:right w:w="0" w:type="dxa"/>
          </w:tblCellMar>
        </w:tblPrEx>
        <w:trPr>
          <w:trHeight w:val="20"/>
        </w:trPr>
        <w:tc>
          <w:tcPr>
            <w:tcW w:w="751" w:type="pct"/>
            <w:tcBorders>
              <w:top w:val="nil"/>
              <w:left w:val="single" w:sz="4" w:space="0" w:color="auto"/>
              <w:bottom w:val="nil"/>
              <w:right w:val="single" w:sz="4" w:space="0" w:color="auto"/>
            </w:tcBorders>
            <w:tcMar>
              <w:top w:w="72" w:type="dxa"/>
              <w:left w:w="144" w:type="dxa"/>
              <w:bottom w:w="72" w:type="dxa"/>
              <w:right w:w="144" w:type="dxa"/>
            </w:tcMar>
          </w:tcPr>
          <w:p w14:paraId="1F9A7E10" w14:textId="77777777" w:rsidR="007C25CB" w:rsidRPr="00251A53" w:rsidRDefault="007C25CB" w:rsidP="009F74E5">
            <w:pPr>
              <w:spacing w:before="20" w:after="20"/>
              <w:ind w:right="-147"/>
              <w:rPr>
                <w:bCs/>
                <w:iCs/>
                <w:sz w:val="18"/>
                <w:szCs w:val="18"/>
              </w:rPr>
            </w:pPr>
            <w:r w:rsidRPr="00251A53">
              <w:rPr>
                <w:bCs/>
                <w:iCs/>
                <w:sz w:val="18"/>
                <w:szCs w:val="18"/>
                <w:u w:val="single"/>
              </w:rPr>
              <w:t>Indicator 2.1.3</w:t>
            </w:r>
            <w:r w:rsidRPr="00251A53">
              <w:rPr>
                <w:bCs/>
                <w:iCs/>
                <w:sz w:val="18"/>
                <w:szCs w:val="18"/>
              </w:rPr>
              <w:t xml:space="preserve">: </w:t>
            </w:r>
            <w:r w:rsidR="009F74E5" w:rsidRPr="00251A53">
              <w:rPr>
                <w:bCs/>
                <w:iCs/>
                <w:sz w:val="18"/>
                <w:szCs w:val="18"/>
              </w:rPr>
              <w:br/>
            </w:r>
            <w:r w:rsidRPr="00251A53">
              <w:rPr>
                <w:bCs/>
                <w:iCs/>
                <w:sz w:val="18"/>
                <w:szCs w:val="18"/>
              </w:rPr>
              <w:t>Percentage of selected municipalities that integrate resilience and adaptive capacity to climate-related hazards and natural disasters in their development strategies</w:t>
            </w:r>
            <w:r w:rsidR="009F74E5" w:rsidRPr="00251A53">
              <w:rPr>
                <w:bCs/>
                <w:iCs/>
                <w:sz w:val="18"/>
                <w:szCs w:val="18"/>
              </w:rPr>
              <w:br/>
            </w:r>
            <w:r w:rsidRPr="00251A53">
              <w:rPr>
                <w:bCs/>
                <w:i/>
                <w:iCs/>
                <w:sz w:val="18"/>
                <w:szCs w:val="18"/>
              </w:rPr>
              <w:t>Baseline</w:t>
            </w:r>
            <w:r w:rsidRPr="00251A53">
              <w:rPr>
                <w:bCs/>
                <w:iCs/>
                <w:sz w:val="18"/>
                <w:szCs w:val="18"/>
              </w:rPr>
              <w:t xml:space="preserve">: 0; </w:t>
            </w:r>
            <w:r w:rsidRPr="00251A53">
              <w:rPr>
                <w:bCs/>
                <w:i/>
                <w:iCs/>
                <w:sz w:val="18"/>
                <w:szCs w:val="18"/>
              </w:rPr>
              <w:t>Target</w:t>
            </w:r>
            <w:r w:rsidRPr="00251A53">
              <w:rPr>
                <w:bCs/>
                <w:iCs/>
                <w:sz w:val="18"/>
                <w:szCs w:val="18"/>
              </w:rPr>
              <w:t>: 50%</w:t>
            </w:r>
          </w:p>
        </w:tc>
        <w:tc>
          <w:tcPr>
            <w:tcW w:w="857" w:type="pct"/>
            <w:tcBorders>
              <w:top w:val="nil"/>
              <w:left w:val="single" w:sz="4" w:space="0" w:color="auto"/>
              <w:bottom w:val="nil"/>
              <w:right w:val="single" w:sz="4" w:space="0" w:color="auto"/>
            </w:tcBorders>
          </w:tcPr>
          <w:p w14:paraId="04E2FDF0" w14:textId="77777777" w:rsidR="007C25CB" w:rsidRPr="00251A53" w:rsidRDefault="007C25CB" w:rsidP="007612AB">
            <w:pPr>
              <w:spacing w:before="20" w:after="20"/>
              <w:ind w:left="72"/>
              <w:rPr>
                <w:bCs/>
                <w:sz w:val="18"/>
                <w:szCs w:val="18"/>
              </w:rPr>
            </w:pPr>
            <w:r w:rsidRPr="00251A53">
              <w:rPr>
                <w:bCs/>
                <w:i/>
                <w:sz w:val="18"/>
                <w:szCs w:val="18"/>
              </w:rPr>
              <w:t>Source</w:t>
            </w:r>
            <w:r w:rsidRPr="00251A53">
              <w:rPr>
                <w:bCs/>
                <w:sz w:val="18"/>
                <w:szCs w:val="18"/>
              </w:rPr>
              <w:t xml:space="preserve">: </w:t>
            </w:r>
            <w:r w:rsidRPr="00251A53">
              <w:rPr>
                <w:sz w:val="18"/>
                <w:szCs w:val="18"/>
              </w:rPr>
              <w:t>National Platform for Disaster Risk Reduction (</w:t>
            </w:r>
            <w:r w:rsidRPr="00251A53">
              <w:rPr>
                <w:bCs/>
                <w:sz w:val="18"/>
                <w:szCs w:val="18"/>
              </w:rPr>
              <w:t>NPDRR)</w:t>
            </w:r>
          </w:p>
          <w:p w14:paraId="133496AA" w14:textId="77777777" w:rsidR="007C25CB" w:rsidRPr="00251A53" w:rsidRDefault="007C25CB" w:rsidP="006F23EF">
            <w:pPr>
              <w:spacing w:before="20" w:after="20"/>
              <w:ind w:left="76"/>
              <w:rPr>
                <w:bCs/>
                <w:sz w:val="18"/>
                <w:szCs w:val="18"/>
              </w:rPr>
            </w:pPr>
            <w:r w:rsidRPr="00251A53">
              <w:rPr>
                <w:bCs/>
                <w:i/>
                <w:sz w:val="18"/>
                <w:szCs w:val="18"/>
              </w:rPr>
              <w:t>Responsibility</w:t>
            </w:r>
            <w:r w:rsidRPr="00251A53">
              <w:rPr>
                <w:bCs/>
                <w:sz w:val="18"/>
                <w:szCs w:val="18"/>
              </w:rPr>
              <w:t>: NPDRR</w:t>
            </w:r>
          </w:p>
        </w:tc>
        <w:tc>
          <w:tcPr>
            <w:tcW w:w="1713" w:type="pct"/>
            <w:vMerge/>
            <w:tcBorders>
              <w:left w:val="single" w:sz="4" w:space="0" w:color="auto"/>
            </w:tcBorders>
            <w:shd w:val="clear" w:color="auto" w:fill="auto"/>
            <w:tcMar>
              <w:top w:w="72" w:type="dxa"/>
              <w:left w:w="144" w:type="dxa"/>
              <w:bottom w:w="72" w:type="dxa"/>
              <w:right w:w="144" w:type="dxa"/>
            </w:tcMar>
          </w:tcPr>
          <w:p w14:paraId="6384AD41" w14:textId="77777777" w:rsidR="007C25CB" w:rsidRPr="00251A53" w:rsidRDefault="007C25CB" w:rsidP="007612AB">
            <w:pPr>
              <w:spacing w:before="20" w:after="20"/>
              <w:rPr>
                <w:b/>
                <w:i/>
                <w:iCs/>
                <w:sz w:val="18"/>
                <w:szCs w:val="18"/>
              </w:rPr>
            </w:pPr>
          </w:p>
        </w:tc>
        <w:tc>
          <w:tcPr>
            <w:tcW w:w="621" w:type="pct"/>
            <w:gridSpan w:val="3"/>
            <w:vMerge/>
          </w:tcPr>
          <w:p w14:paraId="73F78AF9" w14:textId="77777777" w:rsidR="007C25CB" w:rsidRPr="00251A53" w:rsidRDefault="007C25CB" w:rsidP="007612AB">
            <w:pPr>
              <w:spacing w:before="20" w:after="20"/>
              <w:ind w:left="106"/>
              <w:rPr>
                <w:bCs/>
                <w:iCs/>
                <w:sz w:val="18"/>
                <w:szCs w:val="18"/>
              </w:rPr>
            </w:pPr>
          </w:p>
        </w:tc>
        <w:tc>
          <w:tcPr>
            <w:tcW w:w="344" w:type="pct"/>
            <w:vMerge/>
            <w:tcBorders>
              <w:bottom w:val="nil"/>
            </w:tcBorders>
            <w:tcMar>
              <w:top w:w="15" w:type="dxa"/>
              <w:left w:w="108" w:type="dxa"/>
              <w:bottom w:w="0" w:type="dxa"/>
              <w:right w:w="108" w:type="dxa"/>
            </w:tcMar>
          </w:tcPr>
          <w:p w14:paraId="7A9B7607" w14:textId="77777777" w:rsidR="007C25CB" w:rsidRPr="00251A53" w:rsidRDefault="007C25CB" w:rsidP="007612AB">
            <w:pPr>
              <w:spacing w:before="20" w:after="20"/>
              <w:jc w:val="center"/>
              <w:rPr>
                <w:sz w:val="18"/>
                <w:szCs w:val="18"/>
              </w:rPr>
            </w:pPr>
          </w:p>
        </w:tc>
        <w:tc>
          <w:tcPr>
            <w:tcW w:w="343" w:type="pct"/>
            <w:vMerge/>
            <w:tcBorders>
              <w:bottom w:val="nil"/>
            </w:tcBorders>
          </w:tcPr>
          <w:p w14:paraId="390BE93F" w14:textId="77777777" w:rsidR="007C25CB" w:rsidRPr="00251A53" w:rsidRDefault="007C25CB" w:rsidP="007612AB">
            <w:pPr>
              <w:spacing w:before="20" w:after="20"/>
              <w:jc w:val="center"/>
              <w:rPr>
                <w:sz w:val="18"/>
                <w:szCs w:val="18"/>
              </w:rPr>
            </w:pPr>
          </w:p>
        </w:tc>
        <w:tc>
          <w:tcPr>
            <w:tcW w:w="371" w:type="pct"/>
            <w:vMerge/>
            <w:tcBorders>
              <w:bottom w:val="nil"/>
            </w:tcBorders>
          </w:tcPr>
          <w:p w14:paraId="18FFF5B9" w14:textId="77777777" w:rsidR="007C25CB" w:rsidRPr="00251A53" w:rsidRDefault="007C25CB" w:rsidP="007612AB">
            <w:pPr>
              <w:spacing w:before="20" w:after="20"/>
              <w:ind w:left="39"/>
              <w:jc w:val="center"/>
              <w:rPr>
                <w:b/>
                <w:sz w:val="18"/>
                <w:szCs w:val="18"/>
              </w:rPr>
            </w:pPr>
          </w:p>
        </w:tc>
      </w:tr>
      <w:tr w:rsidR="007C25CB" w:rsidRPr="00251A53" w14:paraId="1AA8DC7D" w14:textId="77777777" w:rsidTr="00917287">
        <w:tblPrEx>
          <w:tblCellMar>
            <w:left w:w="0" w:type="dxa"/>
            <w:right w:w="0" w:type="dxa"/>
          </w:tblCellMar>
        </w:tblPrEx>
        <w:trPr>
          <w:trHeight w:val="20"/>
        </w:trPr>
        <w:tc>
          <w:tcPr>
            <w:tcW w:w="751" w:type="pct"/>
            <w:tcBorders>
              <w:top w:val="nil"/>
              <w:left w:val="single" w:sz="4" w:space="0" w:color="auto"/>
              <w:bottom w:val="nil"/>
              <w:right w:val="single" w:sz="4" w:space="0" w:color="auto"/>
            </w:tcBorders>
            <w:tcMar>
              <w:top w:w="72" w:type="dxa"/>
              <w:left w:w="144" w:type="dxa"/>
              <w:bottom w:w="72" w:type="dxa"/>
              <w:right w:w="144" w:type="dxa"/>
            </w:tcMar>
          </w:tcPr>
          <w:p w14:paraId="5E8B2F2A" w14:textId="77777777" w:rsidR="007C25CB" w:rsidRPr="00251A53" w:rsidRDefault="007C25CB" w:rsidP="008F6C00">
            <w:pPr>
              <w:spacing w:before="20" w:after="20"/>
              <w:rPr>
                <w:iCs/>
                <w:sz w:val="18"/>
                <w:szCs w:val="18"/>
              </w:rPr>
            </w:pPr>
            <w:r w:rsidRPr="00251A53">
              <w:rPr>
                <w:iCs/>
                <w:sz w:val="18"/>
                <w:szCs w:val="18"/>
                <w:u w:val="single"/>
              </w:rPr>
              <w:t>Indicator 2.1.4</w:t>
            </w:r>
            <w:r w:rsidRPr="00251A53">
              <w:rPr>
                <w:iCs/>
                <w:sz w:val="18"/>
                <w:szCs w:val="18"/>
              </w:rPr>
              <w:t xml:space="preserve">: </w:t>
            </w:r>
            <w:r w:rsidR="009F74E5" w:rsidRPr="00251A53">
              <w:rPr>
                <w:iCs/>
                <w:sz w:val="18"/>
                <w:szCs w:val="18"/>
              </w:rPr>
              <w:br/>
            </w:r>
            <w:r w:rsidRPr="00251A53">
              <w:rPr>
                <w:iCs/>
                <w:sz w:val="18"/>
                <w:szCs w:val="18"/>
              </w:rPr>
              <w:t>Rate of integration of renewable energy for electricity production</w:t>
            </w:r>
            <w:r w:rsidR="009F74E5" w:rsidRPr="00251A53">
              <w:rPr>
                <w:iCs/>
                <w:sz w:val="18"/>
                <w:szCs w:val="18"/>
              </w:rPr>
              <w:br/>
            </w:r>
            <w:r w:rsidRPr="00251A53">
              <w:rPr>
                <w:i/>
                <w:iCs/>
                <w:sz w:val="18"/>
                <w:szCs w:val="18"/>
              </w:rPr>
              <w:lastRenderedPageBreak/>
              <w:t>Baseline</w:t>
            </w:r>
            <w:r w:rsidRPr="00251A53">
              <w:rPr>
                <w:iCs/>
                <w:sz w:val="18"/>
                <w:szCs w:val="18"/>
              </w:rPr>
              <w:t xml:space="preserve">: 20%; </w:t>
            </w:r>
            <w:r w:rsidR="009F74E5" w:rsidRPr="00251A53">
              <w:rPr>
                <w:iCs/>
                <w:sz w:val="18"/>
                <w:szCs w:val="18"/>
              </w:rPr>
              <w:br/>
            </w:r>
            <w:r w:rsidRPr="00251A53">
              <w:rPr>
                <w:i/>
                <w:iCs/>
                <w:sz w:val="18"/>
                <w:szCs w:val="18"/>
              </w:rPr>
              <w:t>Target</w:t>
            </w:r>
            <w:r w:rsidRPr="00251A53">
              <w:rPr>
                <w:iCs/>
                <w:sz w:val="18"/>
                <w:szCs w:val="18"/>
              </w:rPr>
              <w:t>: TBD</w:t>
            </w:r>
          </w:p>
        </w:tc>
        <w:tc>
          <w:tcPr>
            <w:tcW w:w="857" w:type="pct"/>
            <w:tcBorders>
              <w:top w:val="nil"/>
              <w:left w:val="single" w:sz="4" w:space="0" w:color="auto"/>
              <w:bottom w:val="nil"/>
              <w:right w:val="single" w:sz="4" w:space="0" w:color="auto"/>
            </w:tcBorders>
          </w:tcPr>
          <w:p w14:paraId="1C9D4A75" w14:textId="77777777" w:rsidR="007C25CB" w:rsidRPr="00251A53" w:rsidRDefault="007C25CB" w:rsidP="007612AB">
            <w:pPr>
              <w:spacing w:before="20" w:after="20"/>
              <w:ind w:left="72"/>
              <w:rPr>
                <w:bCs/>
                <w:sz w:val="18"/>
                <w:szCs w:val="18"/>
              </w:rPr>
            </w:pPr>
            <w:r w:rsidRPr="00251A53">
              <w:rPr>
                <w:bCs/>
                <w:i/>
                <w:sz w:val="18"/>
                <w:szCs w:val="18"/>
              </w:rPr>
              <w:lastRenderedPageBreak/>
              <w:t>Source</w:t>
            </w:r>
            <w:r w:rsidRPr="00251A53">
              <w:rPr>
                <w:bCs/>
                <w:sz w:val="18"/>
                <w:szCs w:val="18"/>
              </w:rPr>
              <w:t>: National Directorate of Energy (NDE) annual report</w:t>
            </w:r>
          </w:p>
          <w:p w14:paraId="593E2911" w14:textId="77777777" w:rsidR="007C25CB" w:rsidRPr="00251A53" w:rsidRDefault="007C25CB" w:rsidP="007612AB">
            <w:pPr>
              <w:spacing w:before="20" w:after="20"/>
              <w:ind w:left="72"/>
              <w:rPr>
                <w:bCs/>
                <w:sz w:val="18"/>
                <w:szCs w:val="18"/>
              </w:rPr>
            </w:pPr>
            <w:r w:rsidRPr="00251A53">
              <w:rPr>
                <w:bCs/>
                <w:i/>
                <w:sz w:val="18"/>
                <w:szCs w:val="18"/>
              </w:rPr>
              <w:lastRenderedPageBreak/>
              <w:t>Responsibility</w:t>
            </w:r>
            <w:r w:rsidRPr="00251A53">
              <w:rPr>
                <w:bCs/>
                <w:sz w:val="18"/>
                <w:szCs w:val="18"/>
              </w:rPr>
              <w:t>: NDE</w:t>
            </w:r>
          </w:p>
        </w:tc>
        <w:tc>
          <w:tcPr>
            <w:tcW w:w="1713" w:type="pct"/>
            <w:vMerge/>
            <w:tcBorders>
              <w:left w:val="single" w:sz="4" w:space="0" w:color="auto"/>
            </w:tcBorders>
            <w:shd w:val="clear" w:color="auto" w:fill="auto"/>
            <w:tcMar>
              <w:top w:w="72" w:type="dxa"/>
              <w:left w:w="144" w:type="dxa"/>
              <w:bottom w:w="72" w:type="dxa"/>
              <w:right w:w="144" w:type="dxa"/>
            </w:tcMar>
          </w:tcPr>
          <w:p w14:paraId="40BA64B7" w14:textId="77777777" w:rsidR="007C25CB" w:rsidRPr="00251A53" w:rsidRDefault="007C25CB" w:rsidP="007612AB">
            <w:pPr>
              <w:spacing w:before="20" w:after="20"/>
              <w:rPr>
                <w:b/>
                <w:i/>
                <w:iCs/>
                <w:sz w:val="18"/>
                <w:szCs w:val="18"/>
              </w:rPr>
            </w:pPr>
          </w:p>
        </w:tc>
        <w:tc>
          <w:tcPr>
            <w:tcW w:w="621" w:type="pct"/>
            <w:gridSpan w:val="3"/>
            <w:vMerge/>
          </w:tcPr>
          <w:p w14:paraId="49B69DC4" w14:textId="77777777" w:rsidR="007C25CB" w:rsidRPr="00251A53" w:rsidRDefault="007C25CB" w:rsidP="007612AB">
            <w:pPr>
              <w:spacing w:before="20" w:after="20"/>
              <w:ind w:left="106"/>
              <w:rPr>
                <w:bCs/>
                <w:iCs/>
                <w:sz w:val="18"/>
                <w:szCs w:val="18"/>
              </w:rPr>
            </w:pPr>
          </w:p>
        </w:tc>
        <w:tc>
          <w:tcPr>
            <w:tcW w:w="344" w:type="pct"/>
            <w:vMerge/>
            <w:tcBorders>
              <w:bottom w:val="nil"/>
            </w:tcBorders>
            <w:tcMar>
              <w:top w:w="15" w:type="dxa"/>
              <w:left w:w="108" w:type="dxa"/>
              <w:bottom w:w="0" w:type="dxa"/>
              <w:right w:w="108" w:type="dxa"/>
            </w:tcMar>
          </w:tcPr>
          <w:p w14:paraId="7DCF4782" w14:textId="77777777" w:rsidR="007C25CB" w:rsidRPr="00251A53" w:rsidRDefault="007C25CB" w:rsidP="007612AB">
            <w:pPr>
              <w:spacing w:before="20" w:after="20"/>
              <w:jc w:val="center"/>
              <w:rPr>
                <w:sz w:val="18"/>
                <w:szCs w:val="18"/>
              </w:rPr>
            </w:pPr>
          </w:p>
        </w:tc>
        <w:tc>
          <w:tcPr>
            <w:tcW w:w="343" w:type="pct"/>
            <w:vMerge/>
            <w:tcBorders>
              <w:bottom w:val="nil"/>
            </w:tcBorders>
          </w:tcPr>
          <w:p w14:paraId="13F7483B" w14:textId="77777777" w:rsidR="007C25CB" w:rsidRPr="00251A53" w:rsidRDefault="007C25CB" w:rsidP="007612AB">
            <w:pPr>
              <w:spacing w:before="20" w:after="20"/>
              <w:jc w:val="center"/>
              <w:rPr>
                <w:sz w:val="18"/>
                <w:szCs w:val="18"/>
              </w:rPr>
            </w:pPr>
          </w:p>
        </w:tc>
        <w:tc>
          <w:tcPr>
            <w:tcW w:w="371" w:type="pct"/>
            <w:vMerge/>
            <w:tcBorders>
              <w:bottom w:val="nil"/>
            </w:tcBorders>
          </w:tcPr>
          <w:p w14:paraId="109AB89B" w14:textId="77777777" w:rsidR="007C25CB" w:rsidRPr="00251A53" w:rsidRDefault="007C25CB" w:rsidP="007612AB">
            <w:pPr>
              <w:spacing w:before="20" w:after="20"/>
              <w:ind w:left="39"/>
              <w:jc w:val="center"/>
              <w:rPr>
                <w:b/>
                <w:sz w:val="18"/>
                <w:szCs w:val="18"/>
              </w:rPr>
            </w:pPr>
          </w:p>
        </w:tc>
      </w:tr>
      <w:tr w:rsidR="00C950ED" w:rsidRPr="00251A53" w14:paraId="6F5F3668" w14:textId="77777777" w:rsidTr="007C25CB">
        <w:tblPrEx>
          <w:tblCellMar>
            <w:left w:w="0" w:type="dxa"/>
            <w:right w:w="0" w:type="dxa"/>
          </w:tblCellMar>
        </w:tblPrEx>
        <w:trPr>
          <w:trHeight w:val="20"/>
        </w:trPr>
        <w:tc>
          <w:tcPr>
            <w:tcW w:w="751" w:type="pct"/>
            <w:tcBorders>
              <w:top w:val="nil"/>
              <w:bottom w:val="nil"/>
            </w:tcBorders>
            <w:tcMar>
              <w:top w:w="72" w:type="dxa"/>
              <w:left w:w="144" w:type="dxa"/>
              <w:bottom w:w="72" w:type="dxa"/>
              <w:right w:w="144" w:type="dxa"/>
            </w:tcMar>
          </w:tcPr>
          <w:p w14:paraId="5B1F7A81" w14:textId="77777777" w:rsidR="00C950ED" w:rsidRPr="00251A53" w:rsidRDefault="00C950ED" w:rsidP="007612AB">
            <w:pPr>
              <w:spacing w:before="20" w:after="20"/>
              <w:rPr>
                <w:iCs/>
                <w:sz w:val="18"/>
                <w:szCs w:val="18"/>
              </w:rPr>
            </w:pPr>
          </w:p>
        </w:tc>
        <w:tc>
          <w:tcPr>
            <w:tcW w:w="857" w:type="pct"/>
            <w:tcBorders>
              <w:top w:val="nil"/>
              <w:bottom w:val="nil"/>
            </w:tcBorders>
          </w:tcPr>
          <w:p w14:paraId="61AB918F" w14:textId="77777777" w:rsidR="00C950ED" w:rsidRPr="00251A53" w:rsidRDefault="00C950ED" w:rsidP="007612AB">
            <w:pPr>
              <w:spacing w:before="20" w:after="20"/>
              <w:ind w:left="76"/>
              <w:rPr>
                <w:i/>
                <w:iCs/>
                <w:sz w:val="18"/>
                <w:szCs w:val="18"/>
              </w:rPr>
            </w:pPr>
          </w:p>
        </w:tc>
        <w:tc>
          <w:tcPr>
            <w:tcW w:w="1713" w:type="pct"/>
            <w:tcMar>
              <w:top w:w="72" w:type="dxa"/>
              <w:left w:w="144" w:type="dxa"/>
              <w:bottom w:w="72" w:type="dxa"/>
              <w:right w:w="144" w:type="dxa"/>
            </w:tcMar>
          </w:tcPr>
          <w:p w14:paraId="0DFC0DF8" w14:textId="77777777" w:rsidR="00C950ED" w:rsidRPr="00251A53" w:rsidRDefault="00C950ED" w:rsidP="007612AB">
            <w:pPr>
              <w:tabs>
                <w:tab w:val="center" w:pos="1316"/>
              </w:tabs>
              <w:spacing w:before="20" w:after="20"/>
              <w:rPr>
                <w:iCs/>
                <w:sz w:val="18"/>
                <w:szCs w:val="18"/>
              </w:rPr>
            </w:pPr>
            <w:r w:rsidRPr="00251A53">
              <w:rPr>
                <w:iCs/>
                <w:sz w:val="18"/>
                <w:szCs w:val="18"/>
                <w:u w:val="single"/>
              </w:rPr>
              <w:t>Output 2.2</w:t>
            </w:r>
            <w:r w:rsidRPr="00251A53">
              <w:rPr>
                <w:iCs/>
                <w:sz w:val="18"/>
                <w:szCs w:val="18"/>
              </w:rPr>
              <w:t>:</w:t>
            </w:r>
            <w:r w:rsidRPr="00251A53">
              <w:rPr>
                <w:i/>
                <w:iCs/>
                <w:sz w:val="18"/>
                <w:szCs w:val="18"/>
              </w:rPr>
              <w:t xml:space="preserve"> </w:t>
            </w:r>
            <w:r w:rsidRPr="00251A53">
              <w:rPr>
                <w:iCs/>
                <w:sz w:val="18"/>
                <w:szCs w:val="18"/>
              </w:rPr>
              <w:t xml:space="preserve">Selected government institutions and local communities have enhanced technical capacity to implement climate change adaptation and mitigation measures </w:t>
            </w:r>
          </w:p>
          <w:p w14:paraId="19B08F9B" w14:textId="77777777" w:rsidR="00C950ED" w:rsidRPr="00251A53" w:rsidRDefault="00C950ED" w:rsidP="007612AB">
            <w:pPr>
              <w:spacing w:before="20" w:after="20"/>
              <w:rPr>
                <w:iCs/>
                <w:sz w:val="18"/>
                <w:szCs w:val="18"/>
              </w:rPr>
            </w:pPr>
            <w:r w:rsidRPr="00251A53">
              <w:rPr>
                <w:iCs/>
                <w:sz w:val="18"/>
                <w:szCs w:val="18"/>
              </w:rPr>
              <w:t>2.2.1: Number of municipalities that adopt gender-sensitive</w:t>
            </w:r>
            <w:r w:rsidR="006122BB" w:rsidRPr="00251A53">
              <w:rPr>
                <w:iCs/>
                <w:sz w:val="18"/>
                <w:szCs w:val="18"/>
              </w:rPr>
              <w:t>,</w:t>
            </w:r>
            <w:r w:rsidRPr="00251A53">
              <w:rPr>
                <w:iCs/>
                <w:sz w:val="18"/>
                <w:szCs w:val="18"/>
              </w:rPr>
              <w:t xml:space="preserve"> climate-smart practices for sustainable use of water resources in Joint Office-supported programmes</w:t>
            </w:r>
          </w:p>
          <w:p w14:paraId="2581DCBD" w14:textId="77777777" w:rsidR="00C950ED" w:rsidRPr="00251A53" w:rsidRDefault="00C950ED" w:rsidP="007612AB">
            <w:pPr>
              <w:spacing w:before="20" w:after="20"/>
              <w:jc w:val="both"/>
              <w:rPr>
                <w:i/>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5</w:t>
            </w:r>
          </w:p>
          <w:p w14:paraId="01FE17AE" w14:textId="77777777" w:rsidR="00C950ED" w:rsidRPr="00251A53" w:rsidRDefault="00C950ED" w:rsidP="007612AB">
            <w:pPr>
              <w:spacing w:before="20" w:after="20"/>
              <w:jc w:val="both"/>
              <w:rPr>
                <w:i/>
                <w:iCs/>
                <w:sz w:val="18"/>
                <w:szCs w:val="18"/>
              </w:rPr>
            </w:pPr>
            <w:r w:rsidRPr="00251A53">
              <w:rPr>
                <w:i/>
                <w:iCs/>
                <w:sz w:val="18"/>
                <w:szCs w:val="18"/>
              </w:rPr>
              <w:t xml:space="preserve">Source: </w:t>
            </w:r>
            <w:r w:rsidRPr="00251A53">
              <w:rPr>
                <w:iCs/>
                <w:sz w:val="18"/>
                <w:szCs w:val="18"/>
              </w:rPr>
              <w:t>Local development plans</w:t>
            </w:r>
          </w:p>
          <w:p w14:paraId="0BDF1999" w14:textId="77777777" w:rsidR="00C950ED" w:rsidRPr="00251A53" w:rsidRDefault="00C950ED" w:rsidP="007612AB">
            <w:pPr>
              <w:spacing w:before="20" w:after="20"/>
              <w:jc w:val="both"/>
              <w:rPr>
                <w:i/>
                <w:iCs/>
                <w:sz w:val="18"/>
                <w:szCs w:val="18"/>
              </w:rPr>
            </w:pPr>
            <w:r w:rsidRPr="00251A53">
              <w:rPr>
                <w:i/>
                <w:iCs/>
                <w:sz w:val="18"/>
                <w:szCs w:val="18"/>
              </w:rPr>
              <w:t xml:space="preserve">Responsible: </w:t>
            </w:r>
            <w:r w:rsidRPr="00251A53">
              <w:rPr>
                <w:iCs/>
                <w:sz w:val="18"/>
                <w:szCs w:val="18"/>
              </w:rPr>
              <w:t>UNDP</w:t>
            </w:r>
          </w:p>
          <w:p w14:paraId="08E5BC95" w14:textId="77777777" w:rsidR="00C950ED" w:rsidRPr="00251A53" w:rsidRDefault="00C950ED" w:rsidP="007612AB">
            <w:pPr>
              <w:spacing w:before="20" w:after="20"/>
              <w:rPr>
                <w:iCs/>
                <w:sz w:val="18"/>
                <w:szCs w:val="18"/>
              </w:rPr>
            </w:pPr>
            <w:r w:rsidRPr="00251A53">
              <w:rPr>
                <w:iCs/>
                <w:sz w:val="18"/>
                <w:szCs w:val="18"/>
              </w:rPr>
              <w:t>2.2.2: Number of municipalities carrying out mandatory enforcement of the new energy efficiency code</w:t>
            </w:r>
          </w:p>
          <w:p w14:paraId="70805ADC" w14:textId="77777777" w:rsidR="00C950ED" w:rsidRPr="00251A53" w:rsidRDefault="00C950ED" w:rsidP="007612AB">
            <w:pPr>
              <w:spacing w:before="20" w:after="20"/>
              <w:jc w:val="both"/>
              <w:rPr>
                <w:i/>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5</w:t>
            </w:r>
          </w:p>
          <w:p w14:paraId="072AAA75" w14:textId="77777777" w:rsidR="00C950ED" w:rsidRPr="00251A53" w:rsidRDefault="00C950ED" w:rsidP="007612AB">
            <w:pPr>
              <w:spacing w:before="20" w:after="20"/>
              <w:jc w:val="both"/>
              <w:rPr>
                <w:i/>
                <w:iCs/>
                <w:sz w:val="18"/>
                <w:szCs w:val="18"/>
              </w:rPr>
            </w:pPr>
            <w:r w:rsidRPr="00251A53">
              <w:rPr>
                <w:i/>
                <w:iCs/>
                <w:sz w:val="18"/>
                <w:szCs w:val="18"/>
              </w:rPr>
              <w:t xml:space="preserve">Source: </w:t>
            </w:r>
            <w:r w:rsidRPr="00251A53">
              <w:rPr>
                <w:iCs/>
                <w:sz w:val="18"/>
                <w:szCs w:val="18"/>
              </w:rPr>
              <w:t>Municipal monitoring reports</w:t>
            </w:r>
          </w:p>
          <w:p w14:paraId="0AD9F2BE" w14:textId="77777777" w:rsidR="00C950ED" w:rsidRPr="00251A53" w:rsidRDefault="00C950ED" w:rsidP="007612AB">
            <w:pPr>
              <w:spacing w:before="20" w:after="20"/>
              <w:jc w:val="both"/>
              <w:rPr>
                <w:i/>
                <w:iCs/>
                <w:sz w:val="18"/>
                <w:szCs w:val="18"/>
              </w:rPr>
            </w:pPr>
            <w:r w:rsidRPr="00251A53">
              <w:rPr>
                <w:i/>
                <w:iCs/>
                <w:sz w:val="18"/>
                <w:szCs w:val="18"/>
              </w:rPr>
              <w:t xml:space="preserve">Responsible: </w:t>
            </w:r>
            <w:r w:rsidRPr="00251A53">
              <w:rPr>
                <w:iCs/>
                <w:sz w:val="18"/>
                <w:szCs w:val="18"/>
              </w:rPr>
              <w:t>UNDP</w:t>
            </w:r>
          </w:p>
        </w:tc>
        <w:tc>
          <w:tcPr>
            <w:tcW w:w="621" w:type="pct"/>
            <w:gridSpan w:val="3"/>
            <w:vMerge/>
          </w:tcPr>
          <w:p w14:paraId="66422B41" w14:textId="77777777" w:rsidR="00C950ED" w:rsidRPr="00251A53" w:rsidRDefault="00C950ED" w:rsidP="007612AB">
            <w:pPr>
              <w:spacing w:before="20" w:after="20"/>
              <w:ind w:left="106"/>
              <w:rPr>
                <w:iCs/>
                <w:sz w:val="18"/>
                <w:szCs w:val="18"/>
              </w:rPr>
            </w:pPr>
          </w:p>
        </w:tc>
        <w:tc>
          <w:tcPr>
            <w:tcW w:w="344" w:type="pct"/>
            <w:vMerge w:val="restart"/>
            <w:tcBorders>
              <w:top w:val="nil"/>
            </w:tcBorders>
            <w:tcMar>
              <w:top w:w="15" w:type="dxa"/>
              <w:left w:w="108" w:type="dxa"/>
              <w:bottom w:w="0" w:type="dxa"/>
              <w:right w:w="108" w:type="dxa"/>
            </w:tcMar>
          </w:tcPr>
          <w:p w14:paraId="13823A5A" w14:textId="77777777" w:rsidR="00C950ED" w:rsidRPr="00251A53" w:rsidRDefault="00C950ED" w:rsidP="007612AB">
            <w:pPr>
              <w:spacing w:before="20" w:after="20"/>
              <w:rPr>
                <w:b/>
                <w:sz w:val="18"/>
                <w:szCs w:val="18"/>
              </w:rPr>
            </w:pPr>
          </w:p>
        </w:tc>
        <w:tc>
          <w:tcPr>
            <w:tcW w:w="343" w:type="pct"/>
            <w:vMerge w:val="restart"/>
            <w:tcBorders>
              <w:top w:val="nil"/>
            </w:tcBorders>
          </w:tcPr>
          <w:p w14:paraId="06054B17" w14:textId="77777777" w:rsidR="00C950ED" w:rsidRPr="00251A53" w:rsidRDefault="00C950ED" w:rsidP="007612AB">
            <w:pPr>
              <w:spacing w:before="20" w:after="20"/>
              <w:rPr>
                <w:b/>
                <w:sz w:val="18"/>
                <w:szCs w:val="18"/>
              </w:rPr>
            </w:pPr>
          </w:p>
        </w:tc>
        <w:tc>
          <w:tcPr>
            <w:tcW w:w="371" w:type="pct"/>
            <w:vMerge w:val="restart"/>
            <w:tcBorders>
              <w:top w:val="nil"/>
            </w:tcBorders>
          </w:tcPr>
          <w:p w14:paraId="141E7445" w14:textId="77777777" w:rsidR="00C950ED" w:rsidRPr="00251A53" w:rsidRDefault="00C950ED" w:rsidP="007612AB">
            <w:pPr>
              <w:spacing w:before="20" w:after="20"/>
              <w:rPr>
                <w:b/>
                <w:sz w:val="18"/>
                <w:szCs w:val="18"/>
              </w:rPr>
            </w:pPr>
          </w:p>
        </w:tc>
      </w:tr>
      <w:tr w:rsidR="00C950ED" w:rsidRPr="00251A53" w14:paraId="64AAB12F" w14:textId="77777777" w:rsidTr="006C1DC1">
        <w:tblPrEx>
          <w:tblCellMar>
            <w:left w:w="0" w:type="dxa"/>
            <w:right w:w="0" w:type="dxa"/>
          </w:tblCellMar>
        </w:tblPrEx>
        <w:trPr>
          <w:trHeight w:val="20"/>
        </w:trPr>
        <w:tc>
          <w:tcPr>
            <w:tcW w:w="751" w:type="pct"/>
            <w:tcBorders>
              <w:top w:val="nil"/>
            </w:tcBorders>
            <w:tcMar>
              <w:top w:w="72" w:type="dxa"/>
              <w:left w:w="144" w:type="dxa"/>
              <w:bottom w:w="72" w:type="dxa"/>
              <w:right w:w="144" w:type="dxa"/>
            </w:tcMar>
          </w:tcPr>
          <w:p w14:paraId="32B72E97" w14:textId="77777777" w:rsidR="00C950ED" w:rsidRPr="00251A53" w:rsidRDefault="00C950ED" w:rsidP="007612AB">
            <w:pPr>
              <w:spacing w:before="20" w:after="20"/>
              <w:rPr>
                <w:i/>
                <w:iCs/>
                <w:sz w:val="18"/>
                <w:szCs w:val="18"/>
              </w:rPr>
            </w:pPr>
          </w:p>
        </w:tc>
        <w:tc>
          <w:tcPr>
            <w:tcW w:w="857" w:type="pct"/>
            <w:tcBorders>
              <w:top w:val="nil"/>
            </w:tcBorders>
          </w:tcPr>
          <w:p w14:paraId="3883259B" w14:textId="77777777" w:rsidR="00C950ED" w:rsidRPr="00251A53" w:rsidRDefault="00C950ED" w:rsidP="007612AB">
            <w:pPr>
              <w:spacing w:before="20" w:after="20"/>
              <w:ind w:left="76"/>
              <w:rPr>
                <w:i/>
                <w:iCs/>
                <w:sz w:val="18"/>
                <w:szCs w:val="18"/>
              </w:rPr>
            </w:pPr>
          </w:p>
        </w:tc>
        <w:tc>
          <w:tcPr>
            <w:tcW w:w="1713" w:type="pct"/>
            <w:tcMar>
              <w:top w:w="72" w:type="dxa"/>
              <w:left w:w="144" w:type="dxa"/>
              <w:bottom w:w="72" w:type="dxa"/>
              <w:right w:w="144" w:type="dxa"/>
            </w:tcMar>
          </w:tcPr>
          <w:p w14:paraId="1A46817B" w14:textId="77777777" w:rsidR="00C950ED" w:rsidRPr="00251A53" w:rsidRDefault="00C950ED" w:rsidP="007612AB">
            <w:pPr>
              <w:spacing w:before="20" w:after="20"/>
              <w:rPr>
                <w:iCs/>
                <w:sz w:val="18"/>
                <w:szCs w:val="18"/>
              </w:rPr>
            </w:pPr>
            <w:r w:rsidRPr="00251A53">
              <w:rPr>
                <w:iCs/>
                <w:sz w:val="18"/>
                <w:szCs w:val="18"/>
                <w:u w:val="single"/>
              </w:rPr>
              <w:t>Output 2.3</w:t>
            </w:r>
            <w:r w:rsidRPr="00251A53">
              <w:rPr>
                <w:iCs/>
                <w:sz w:val="18"/>
                <w:szCs w:val="18"/>
              </w:rPr>
              <w:t>: Enhanced legal, policy and institutional frameworks are in place for conservation, sustainable use and access, and benefit-sharing of natural resources, biodiversity and ecosystems</w:t>
            </w:r>
          </w:p>
          <w:p w14:paraId="1DE1FAD1" w14:textId="77777777" w:rsidR="00C950ED" w:rsidRPr="00251A53" w:rsidRDefault="00C950ED" w:rsidP="007612AB">
            <w:pPr>
              <w:spacing w:before="20" w:after="20"/>
              <w:rPr>
                <w:iCs/>
                <w:sz w:val="18"/>
                <w:szCs w:val="18"/>
              </w:rPr>
            </w:pPr>
            <w:r w:rsidRPr="00251A53">
              <w:rPr>
                <w:iCs/>
                <w:sz w:val="18"/>
                <w:szCs w:val="18"/>
              </w:rPr>
              <w:t>2.3.1: Number of institutional policy frameworks in place for conservation, sustainable use of natural resources, biodiversity and ecosystems</w:t>
            </w:r>
          </w:p>
          <w:p w14:paraId="015FE112" w14:textId="77777777" w:rsidR="00C950ED" w:rsidRPr="00251A53" w:rsidRDefault="00C950ED" w:rsidP="007612AB">
            <w:pPr>
              <w:spacing w:before="20" w:after="20"/>
              <w:rPr>
                <w:i/>
                <w:iCs/>
                <w:sz w:val="18"/>
                <w:szCs w:val="18"/>
              </w:rPr>
            </w:pPr>
            <w:r w:rsidRPr="00251A53">
              <w:rPr>
                <w:i/>
                <w:iCs/>
                <w:sz w:val="18"/>
                <w:szCs w:val="18"/>
              </w:rPr>
              <w:t xml:space="preserve">Baseline: </w:t>
            </w:r>
            <w:r w:rsidRPr="00251A53">
              <w:rPr>
                <w:iCs/>
                <w:sz w:val="18"/>
                <w:szCs w:val="18"/>
              </w:rPr>
              <w:t>0</w:t>
            </w:r>
            <w:r w:rsidRPr="00251A53">
              <w:rPr>
                <w:i/>
                <w:iCs/>
                <w:sz w:val="18"/>
                <w:szCs w:val="18"/>
              </w:rPr>
              <w:t>; Target</w:t>
            </w:r>
            <w:r w:rsidRPr="00251A53">
              <w:rPr>
                <w:iCs/>
                <w:sz w:val="18"/>
                <w:szCs w:val="18"/>
              </w:rPr>
              <w:t>: 3</w:t>
            </w:r>
          </w:p>
          <w:p w14:paraId="564A2B68" w14:textId="77777777" w:rsidR="00C950ED" w:rsidRPr="00251A53" w:rsidRDefault="00C950ED" w:rsidP="007612AB">
            <w:pPr>
              <w:spacing w:before="20" w:after="20"/>
              <w:rPr>
                <w:i/>
                <w:iCs/>
                <w:sz w:val="18"/>
                <w:szCs w:val="18"/>
              </w:rPr>
            </w:pPr>
            <w:r w:rsidRPr="00251A53">
              <w:rPr>
                <w:i/>
                <w:iCs/>
                <w:sz w:val="18"/>
                <w:szCs w:val="18"/>
              </w:rPr>
              <w:t xml:space="preserve">Source: </w:t>
            </w:r>
            <w:r w:rsidRPr="00251A53">
              <w:rPr>
                <w:iCs/>
                <w:sz w:val="18"/>
                <w:szCs w:val="18"/>
              </w:rPr>
              <w:t>NDE</w:t>
            </w:r>
          </w:p>
          <w:p w14:paraId="767013A3" w14:textId="77777777" w:rsidR="00C950ED" w:rsidRPr="00251A53" w:rsidRDefault="00C950ED" w:rsidP="00152C38">
            <w:pPr>
              <w:spacing w:before="20" w:after="20"/>
              <w:rPr>
                <w:i/>
                <w:iCs/>
                <w:sz w:val="18"/>
                <w:szCs w:val="18"/>
              </w:rPr>
            </w:pPr>
            <w:r w:rsidRPr="00251A53">
              <w:rPr>
                <w:i/>
                <w:iCs/>
                <w:sz w:val="18"/>
                <w:szCs w:val="18"/>
              </w:rPr>
              <w:t>Responsible</w:t>
            </w:r>
            <w:r w:rsidRPr="00251A53">
              <w:rPr>
                <w:iCs/>
                <w:sz w:val="18"/>
                <w:szCs w:val="18"/>
              </w:rPr>
              <w:t>:</w:t>
            </w:r>
            <w:r w:rsidRPr="00251A53">
              <w:rPr>
                <w:i/>
                <w:iCs/>
                <w:sz w:val="18"/>
                <w:szCs w:val="18"/>
              </w:rPr>
              <w:t xml:space="preserve"> </w:t>
            </w:r>
            <w:r w:rsidRPr="00251A53">
              <w:rPr>
                <w:iCs/>
                <w:sz w:val="18"/>
                <w:szCs w:val="18"/>
              </w:rPr>
              <w:t>UNDP</w:t>
            </w:r>
          </w:p>
          <w:p w14:paraId="44AE5E3C" w14:textId="77777777" w:rsidR="00C950ED" w:rsidRPr="00251A53" w:rsidRDefault="00C950ED" w:rsidP="007612AB">
            <w:pPr>
              <w:spacing w:before="20" w:after="20"/>
              <w:jc w:val="both"/>
              <w:rPr>
                <w:iCs/>
                <w:sz w:val="18"/>
                <w:szCs w:val="18"/>
              </w:rPr>
            </w:pPr>
            <w:r w:rsidRPr="00251A53">
              <w:rPr>
                <w:iCs/>
                <w:sz w:val="18"/>
                <w:szCs w:val="18"/>
              </w:rPr>
              <w:t>2.3.2: Number of terrestrial and marine areas of global importance that have management instruments in place for conservation, sustainable use and valorization of biodiversity and ecosystem</w:t>
            </w:r>
          </w:p>
          <w:p w14:paraId="7061EDC0" w14:textId="77777777" w:rsidR="00C950ED" w:rsidRPr="00251A53" w:rsidRDefault="00C950ED" w:rsidP="007612AB">
            <w:pPr>
              <w:spacing w:before="20" w:after="20"/>
              <w:rPr>
                <w:i/>
                <w:iCs/>
                <w:sz w:val="18"/>
                <w:szCs w:val="18"/>
              </w:rPr>
            </w:pPr>
            <w:r w:rsidRPr="00251A53">
              <w:rPr>
                <w:i/>
                <w:iCs/>
                <w:sz w:val="18"/>
                <w:szCs w:val="18"/>
              </w:rPr>
              <w:t xml:space="preserve">Baseline: </w:t>
            </w:r>
            <w:r w:rsidRPr="00251A53">
              <w:rPr>
                <w:iCs/>
                <w:sz w:val="18"/>
                <w:szCs w:val="18"/>
              </w:rPr>
              <w:t>17</w:t>
            </w:r>
            <w:r w:rsidRPr="00251A53">
              <w:rPr>
                <w:i/>
                <w:iCs/>
                <w:sz w:val="18"/>
                <w:szCs w:val="18"/>
              </w:rPr>
              <w:t xml:space="preserve">; Target: </w:t>
            </w:r>
            <w:r w:rsidRPr="00251A53">
              <w:rPr>
                <w:iCs/>
                <w:sz w:val="18"/>
                <w:szCs w:val="18"/>
              </w:rPr>
              <w:t>28</w:t>
            </w:r>
          </w:p>
          <w:p w14:paraId="77EAC34D" w14:textId="77777777" w:rsidR="00C950ED" w:rsidRPr="00251A53" w:rsidRDefault="00C950ED" w:rsidP="007612AB">
            <w:pPr>
              <w:spacing w:before="20" w:after="20"/>
              <w:rPr>
                <w:iCs/>
                <w:sz w:val="18"/>
                <w:szCs w:val="18"/>
              </w:rPr>
            </w:pPr>
            <w:r w:rsidRPr="00251A53">
              <w:rPr>
                <w:i/>
                <w:iCs/>
                <w:sz w:val="18"/>
                <w:szCs w:val="18"/>
              </w:rPr>
              <w:t xml:space="preserve">Source: </w:t>
            </w:r>
            <w:r w:rsidRPr="00251A53">
              <w:rPr>
                <w:iCs/>
                <w:sz w:val="18"/>
                <w:szCs w:val="18"/>
              </w:rPr>
              <w:t xml:space="preserve">NDE annual reports and Protected Areas System Management Unit; </w:t>
            </w:r>
          </w:p>
          <w:p w14:paraId="04535830" w14:textId="77777777" w:rsidR="00C950ED" w:rsidRPr="00251A53" w:rsidRDefault="00C950ED" w:rsidP="007612AB">
            <w:pPr>
              <w:spacing w:before="20" w:after="20"/>
              <w:rPr>
                <w:i/>
                <w:iCs/>
                <w:sz w:val="18"/>
                <w:szCs w:val="18"/>
              </w:rPr>
            </w:pPr>
            <w:r w:rsidRPr="00251A53">
              <w:rPr>
                <w:i/>
                <w:iCs/>
                <w:sz w:val="18"/>
                <w:szCs w:val="18"/>
              </w:rPr>
              <w:t>Responsible</w:t>
            </w:r>
            <w:r w:rsidRPr="00251A53">
              <w:rPr>
                <w:iCs/>
                <w:sz w:val="18"/>
                <w:szCs w:val="18"/>
              </w:rPr>
              <w:t>: UNDP</w:t>
            </w:r>
          </w:p>
          <w:p w14:paraId="0C6ADC9E" w14:textId="77777777" w:rsidR="00C950ED" w:rsidRPr="00251A53" w:rsidRDefault="00C950ED" w:rsidP="007612AB">
            <w:pPr>
              <w:spacing w:before="20" w:after="20"/>
              <w:rPr>
                <w:i/>
                <w:iCs/>
                <w:sz w:val="18"/>
                <w:szCs w:val="18"/>
              </w:rPr>
            </w:pPr>
          </w:p>
          <w:p w14:paraId="7A9E4F32" w14:textId="77777777" w:rsidR="00C950ED" w:rsidRPr="00251A53" w:rsidRDefault="00C950ED" w:rsidP="007612AB">
            <w:pPr>
              <w:spacing w:before="20" w:after="20"/>
              <w:rPr>
                <w:iCs/>
                <w:sz w:val="18"/>
                <w:szCs w:val="18"/>
              </w:rPr>
            </w:pPr>
            <w:r w:rsidRPr="00251A53">
              <w:rPr>
                <w:iCs/>
                <w:sz w:val="18"/>
                <w:szCs w:val="18"/>
              </w:rPr>
              <w:t>2.3.3:</w:t>
            </w:r>
            <w:r w:rsidRPr="00251A53">
              <w:rPr>
                <w:sz w:val="18"/>
                <w:szCs w:val="18"/>
              </w:rPr>
              <w:t xml:space="preserve"> </w:t>
            </w:r>
            <w:r w:rsidRPr="00251A53">
              <w:rPr>
                <w:iCs/>
                <w:sz w:val="18"/>
                <w:szCs w:val="18"/>
              </w:rPr>
              <w:t>Percentage of tourism operators doing business in protected areas complying with national standards for sustainable tourism</w:t>
            </w:r>
          </w:p>
          <w:p w14:paraId="26511B0A" w14:textId="77777777" w:rsidR="00C950ED" w:rsidRPr="00251A53" w:rsidRDefault="00C950ED" w:rsidP="007612AB">
            <w:pPr>
              <w:spacing w:before="20" w:after="20"/>
              <w:rPr>
                <w:iCs/>
                <w:sz w:val="18"/>
                <w:szCs w:val="18"/>
              </w:rPr>
            </w:pPr>
            <w:r w:rsidRPr="00251A53">
              <w:rPr>
                <w:i/>
                <w:iCs/>
                <w:sz w:val="18"/>
                <w:szCs w:val="18"/>
              </w:rPr>
              <w:t xml:space="preserve">Baseline: </w:t>
            </w:r>
            <w:r w:rsidRPr="00251A53">
              <w:rPr>
                <w:iCs/>
                <w:sz w:val="18"/>
                <w:szCs w:val="18"/>
              </w:rPr>
              <w:t>0; Target: 80%</w:t>
            </w:r>
          </w:p>
          <w:p w14:paraId="10871B70" w14:textId="77777777" w:rsidR="00C950ED" w:rsidRPr="00251A53" w:rsidRDefault="00C950ED" w:rsidP="007612AB">
            <w:pPr>
              <w:spacing w:before="20" w:after="20"/>
              <w:rPr>
                <w:iCs/>
                <w:sz w:val="18"/>
                <w:szCs w:val="18"/>
              </w:rPr>
            </w:pPr>
            <w:r w:rsidRPr="00251A53">
              <w:rPr>
                <w:i/>
                <w:iCs/>
                <w:sz w:val="18"/>
                <w:szCs w:val="18"/>
              </w:rPr>
              <w:t>Source</w:t>
            </w:r>
            <w:r w:rsidRPr="00251A53">
              <w:rPr>
                <w:iCs/>
                <w:sz w:val="18"/>
                <w:szCs w:val="18"/>
              </w:rPr>
              <w:t>:</w:t>
            </w:r>
            <w:r w:rsidRPr="00251A53">
              <w:rPr>
                <w:sz w:val="18"/>
                <w:szCs w:val="18"/>
              </w:rPr>
              <w:t xml:space="preserve"> </w:t>
            </w:r>
            <w:r w:rsidRPr="00251A53">
              <w:rPr>
                <w:iCs/>
                <w:sz w:val="18"/>
                <w:szCs w:val="18"/>
              </w:rPr>
              <w:t xml:space="preserve">Ministries of Economy and Employment and Environment </w:t>
            </w:r>
          </w:p>
          <w:p w14:paraId="2A345222" w14:textId="77777777" w:rsidR="00C950ED" w:rsidRPr="00251A53" w:rsidRDefault="00C950ED" w:rsidP="007612AB">
            <w:pPr>
              <w:spacing w:before="20" w:after="20"/>
              <w:rPr>
                <w:i/>
                <w:iCs/>
                <w:sz w:val="18"/>
                <w:szCs w:val="18"/>
              </w:rPr>
            </w:pPr>
            <w:r w:rsidRPr="00251A53">
              <w:rPr>
                <w:i/>
                <w:iCs/>
                <w:sz w:val="18"/>
                <w:szCs w:val="18"/>
              </w:rPr>
              <w:t>Responsible</w:t>
            </w:r>
            <w:r w:rsidRPr="00251A53">
              <w:rPr>
                <w:iCs/>
                <w:sz w:val="18"/>
                <w:szCs w:val="18"/>
              </w:rPr>
              <w:t>: UNDP</w:t>
            </w:r>
          </w:p>
        </w:tc>
        <w:tc>
          <w:tcPr>
            <w:tcW w:w="621" w:type="pct"/>
            <w:gridSpan w:val="3"/>
            <w:vMerge/>
          </w:tcPr>
          <w:p w14:paraId="343FAFE7" w14:textId="77777777" w:rsidR="00C950ED" w:rsidRPr="00251A53" w:rsidRDefault="00C950ED" w:rsidP="007612AB">
            <w:pPr>
              <w:keepNext/>
              <w:keepLines/>
              <w:shd w:val="clear" w:color="auto" w:fill="FFFFFF"/>
              <w:spacing w:before="20" w:after="20"/>
              <w:ind w:left="64"/>
              <w:outlineLvl w:val="2"/>
              <w:rPr>
                <w:iCs/>
                <w:sz w:val="18"/>
                <w:szCs w:val="18"/>
              </w:rPr>
            </w:pPr>
          </w:p>
        </w:tc>
        <w:tc>
          <w:tcPr>
            <w:tcW w:w="344" w:type="pct"/>
            <w:vMerge/>
            <w:tcMar>
              <w:top w:w="15" w:type="dxa"/>
              <w:left w:w="108" w:type="dxa"/>
              <w:bottom w:w="0" w:type="dxa"/>
              <w:right w:w="108" w:type="dxa"/>
            </w:tcMar>
          </w:tcPr>
          <w:p w14:paraId="0A4C0AB0" w14:textId="77777777" w:rsidR="00C950ED" w:rsidRPr="00251A53" w:rsidRDefault="00C950ED" w:rsidP="007612AB">
            <w:pPr>
              <w:spacing w:before="20" w:after="20"/>
              <w:rPr>
                <w:b/>
                <w:sz w:val="18"/>
                <w:szCs w:val="18"/>
              </w:rPr>
            </w:pPr>
          </w:p>
        </w:tc>
        <w:tc>
          <w:tcPr>
            <w:tcW w:w="343" w:type="pct"/>
            <w:vMerge/>
          </w:tcPr>
          <w:p w14:paraId="2242A648" w14:textId="77777777" w:rsidR="00C950ED" w:rsidRPr="00251A53" w:rsidRDefault="00C950ED" w:rsidP="007612AB">
            <w:pPr>
              <w:spacing w:before="20" w:after="20"/>
              <w:rPr>
                <w:b/>
                <w:sz w:val="18"/>
                <w:szCs w:val="18"/>
              </w:rPr>
            </w:pPr>
          </w:p>
        </w:tc>
        <w:tc>
          <w:tcPr>
            <w:tcW w:w="371" w:type="pct"/>
            <w:vMerge/>
          </w:tcPr>
          <w:p w14:paraId="71F1CF4D" w14:textId="77777777" w:rsidR="00C950ED" w:rsidRPr="00251A53" w:rsidRDefault="00C950ED" w:rsidP="007612AB">
            <w:pPr>
              <w:spacing w:before="20" w:after="20"/>
              <w:rPr>
                <w:b/>
                <w:sz w:val="18"/>
                <w:szCs w:val="18"/>
              </w:rPr>
            </w:pPr>
          </w:p>
        </w:tc>
      </w:tr>
      <w:tr w:rsidR="00D60703" w:rsidRPr="00251A53" w14:paraId="0720FF93" w14:textId="77777777" w:rsidTr="000B26F0">
        <w:tblPrEx>
          <w:tblCellMar>
            <w:left w:w="0" w:type="dxa"/>
            <w:right w:w="0" w:type="dxa"/>
          </w:tblCellMar>
        </w:tblPrEx>
        <w:trPr>
          <w:trHeight w:val="20"/>
        </w:trPr>
        <w:tc>
          <w:tcPr>
            <w:tcW w:w="5000" w:type="pct"/>
            <w:gridSpan w:val="9"/>
            <w:shd w:val="clear" w:color="auto" w:fill="DEEAF6" w:themeFill="accent1" w:themeFillTint="33"/>
            <w:tcMar>
              <w:top w:w="72" w:type="dxa"/>
              <w:left w:w="144" w:type="dxa"/>
              <w:bottom w:w="72" w:type="dxa"/>
              <w:right w:w="144" w:type="dxa"/>
            </w:tcMar>
          </w:tcPr>
          <w:p w14:paraId="035C4DCA" w14:textId="77777777" w:rsidR="00D60703" w:rsidRPr="00251A53" w:rsidRDefault="00D60703" w:rsidP="007612AB">
            <w:pPr>
              <w:tabs>
                <w:tab w:val="right" w:pos="12667"/>
              </w:tabs>
              <w:spacing w:before="20" w:after="20"/>
              <w:rPr>
                <w:sz w:val="18"/>
                <w:szCs w:val="18"/>
              </w:rPr>
            </w:pPr>
            <w:r w:rsidRPr="00251A53">
              <w:rPr>
                <w:b/>
                <w:bCs/>
                <w:sz w:val="18"/>
                <w:szCs w:val="18"/>
              </w:rPr>
              <w:lastRenderedPageBreak/>
              <w:t xml:space="preserve">National priority: </w:t>
            </w:r>
            <w:r w:rsidRPr="00251A53">
              <w:rPr>
                <w:bCs/>
                <w:sz w:val="18"/>
                <w:szCs w:val="18"/>
              </w:rPr>
              <w:t>New economic growth model (PEDS economic pillar)</w:t>
            </w:r>
            <w:r w:rsidR="00460A42" w:rsidRPr="00251A53">
              <w:rPr>
                <w:bCs/>
                <w:sz w:val="18"/>
                <w:szCs w:val="18"/>
              </w:rPr>
              <w:t>;</w:t>
            </w:r>
            <w:r w:rsidRPr="00251A53">
              <w:rPr>
                <w:bCs/>
                <w:sz w:val="18"/>
                <w:szCs w:val="18"/>
              </w:rPr>
              <w:t xml:space="preserve"> (SDGs 1, 2, 5, 8, 9, 10)</w:t>
            </w:r>
          </w:p>
        </w:tc>
      </w:tr>
      <w:tr w:rsidR="004255D8" w:rsidRPr="00251A53" w14:paraId="54BB9099" w14:textId="77777777" w:rsidTr="000B26F0">
        <w:trPr>
          <w:trHeight w:val="20"/>
        </w:trPr>
        <w:tc>
          <w:tcPr>
            <w:tcW w:w="5000" w:type="pct"/>
            <w:gridSpan w:val="9"/>
            <w:shd w:val="clear" w:color="auto" w:fill="DEEAF6" w:themeFill="accent1" w:themeFillTint="33"/>
            <w:tcMar>
              <w:top w:w="72" w:type="dxa"/>
              <w:left w:w="144" w:type="dxa"/>
              <w:bottom w:w="72" w:type="dxa"/>
              <w:right w:w="144" w:type="dxa"/>
            </w:tcMar>
          </w:tcPr>
          <w:p w14:paraId="17F95EEE" w14:textId="77777777" w:rsidR="004255D8" w:rsidRPr="00251A53" w:rsidRDefault="004255D8" w:rsidP="007612AB">
            <w:pPr>
              <w:spacing w:before="20" w:after="20"/>
              <w:rPr>
                <w:b/>
                <w:bCs/>
                <w:sz w:val="18"/>
                <w:szCs w:val="18"/>
              </w:rPr>
            </w:pPr>
            <w:r w:rsidRPr="00251A53">
              <w:rPr>
                <w:b/>
                <w:bCs/>
                <w:sz w:val="18"/>
                <w:szCs w:val="18"/>
              </w:rPr>
              <w:t xml:space="preserve">UNDAF </w:t>
            </w:r>
            <w:r w:rsidR="005756E4" w:rsidRPr="00251A53">
              <w:rPr>
                <w:b/>
                <w:bCs/>
                <w:sz w:val="18"/>
                <w:szCs w:val="18"/>
              </w:rPr>
              <w:t>o</w:t>
            </w:r>
            <w:r w:rsidR="001A4499" w:rsidRPr="00251A53">
              <w:rPr>
                <w:b/>
                <w:bCs/>
                <w:sz w:val="18"/>
                <w:szCs w:val="18"/>
              </w:rPr>
              <w:t>utcome</w:t>
            </w:r>
            <w:r w:rsidRPr="00251A53">
              <w:rPr>
                <w:b/>
                <w:bCs/>
                <w:sz w:val="18"/>
                <w:szCs w:val="18"/>
              </w:rPr>
              <w:t>:</w:t>
            </w:r>
            <w:r w:rsidRPr="00251A53">
              <w:rPr>
                <w:bCs/>
                <w:sz w:val="18"/>
                <w:szCs w:val="18"/>
              </w:rPr>
              <w:t xml:space="preserve"> </w:t>
            </w:r>
            <w:r w:rsidR="008E29E3" w:rsidRPr="00251A53">
              <w:rPr>
                <w:bCs/>
                <w:sz w:val="18"/>
                <w:szCs w:val="18"/>
              </w:rPr>
              <w:t xml:space="preserve">(3.1) </w:t>
            </w:r>
            <w:r w:rsidRPr="00251A53">
              <w:rPr>
                <w:sz w:val="18"/>
                <w:szCs w:val="18"/>
              </w:rPr>
              <w:t xml:space="preserve">By 2022, all Cabo Verdeans of working age, particularly women and youth, benefit from decent work through economic transformation in key sectors, </w:t>
            </w:r>
            <w:r w:rsidR="001A4499" w:rsidRPr="00251A53">
              <w:rPr>
                <w:sz w:val="18"/>
                <w:szCs w:val="18"/>
              </w:rPr>
              <w:t>which</w:t>
            </w:r>
            <w:r w:rsidRPr="00251A53">
              <w:rPr>
                <w:sz w:val="18"/>
                <w:szCs w:val="18"/>
              </w:rPr>
              <w:t xml:space="preserve"> leads to more sustainable and</w:t>
            </w:r>
            <w:r w:rsidR="001A4499" w:rsidRPr="00251A53">
              <w:rPr>
                <w:sz w:val="18"/>
                <w:szCs w:val="18"/>
              </w:rPr>
              <w:t xml:space="preserve"> inclusive economic development</w:t>
            </w:r>
          </w:p>
        </w:tc>
      </w:tr>
      <w:tr w:rsidR="004255D8" w:rsidRPr="00251A53" w14:paraId="15AEC300" w14:textId="77777777" w:rsidTr="000B26F0">
        <w:trPr>
          <w:trHeight w:val="20"/>
        </w:trPr>
        <w:tc>
          <w:tcPr>
            <w:tcW w:w="5000" w:type="pct"/>
            <w:gridSpan w:val="9"/>
            <w:shd w:val="clear" w:color="auto" w:fill="DEEAF6" w:themeFill="accent1" w:themeFillTint="33"/>
            <w:tcMar>
              <w:top w:w="72" w:type="dxa"/>
              <w:left w:w="144" w:type="dxa"/>
              <w:bottom w:w="72" w:type="dxa"/>
              <w:right w:w="144" w:type="dxa"/>
            </w:tcMar>
          </w:tcPr>
          <w:p w14:paraId="3AA72A01" w14:textId="19FC21D6" w:rsidR="004255D8" w:rsidRPr="00251A53" w:rsidRDefault="004255D8" w:rsidP="007612AB">
            <w:pPr>
              <w:spacing w:before="20" w:after="20"/>
              <w:rPr>
                <w:sz w:val="18"/>
                <w:szCs w:val="18"/>
              </w:rPr>
            </w:pPr>
            <w:r w:rsidRPr="00251A53">
              <w:rPr>
                <w:b/>
                <w:bCs/>
                <w:sz w:val="18"/>
                <w:szCs w:val="18"/>
              </w:rPr>
              <w:t xml:space="preserve">UNDP </w:t>
            </w:r>
            <w:r w:rsidR="00644A92" w:rsidRPr="00251A53">
              <w:rPr>
                <w:b/>
                <w:bCs/>
                <w:sz w:val="18"/>
                <w:szCs w:val="18"/>
              </w:rPr>
              <w:t xml:space="preserve">Strategic Plan </w:t>
            </w:r>
            <w:r w:rsidR="005756E4" w:rsidRPr="00251A53">
              <w:rPr>
                <w:b/>
                <w:bCs/>
                <w:sz w:val="18"/>
                <w:szCs w:val="18"/>
              </w:rPr>
              <w:t>outcome</w:t>
            </w:r>
            <w:r w:rsidR="003D679D" w:rsidRPr="00251A53">
              <w:rPr>
                <w:b/>
                <w:bCs/>
                <w:sz w:val="18"/>
                <w:szCs w:val="18"/>
              </w:rPr>
              <w:t>s</w:t>
            </w:r>
            <w:r w:rsidRPr="00251A53">
              <w:rPr>
                <w:b/>
                <w:bCs/>
                <w:sz w:val="18"/>
                <w:szCs w:val="18"/>
              </w:rPr>
              <w:t>:</w:t>
            </w:r>
            <w:r w:rsidRPr="00251A53">
              <w:rPr>
                <w:sz w:val="18"/>
                <w:szCs w:val="18"/>
              </w:rPr>
              <w:t xml:space="preserve"> </w:t>
            </w:r>
            <w:r w:rsidR="00490ACE" w:rsidRPr="00251A53">
              <w:rPr>
                <w:sz w:val="18"/>
                <w:szCs w:val="18"/>
              </w:rPr>
              <w:t>(</w:t>
            </w:r>
            <w:r w:rsidRPr="00251A53">
              <w:rPr>
                <w:bCs/>
                <w:iCs/>
                <w:sz w:val="18"/>
                <w:szCs w:val="18"/>
              </w:rPr>
              <w:t>Signature solution 1</w:t>
            </w:r>
            <w:r w:rsidR="00490ACE" w:rsidRPr="00251A53">
              <w:rPr>
                <w:bCs/>
                <w:iCs/>
                <w:sz w:val="18"/>
                <w:szCs w:val="18"/>
              </w:rPr>
              <w:t>)</w:t>
            </w:r>
            <w:r w:rsidR="005756E4" w:rsidRPr="00251A53">
              <w:rPr>
                <w:bCs/>
                <w:iCs/>
                <w:sz w:val="18"/>
                <w:szCs w:val="18"/>
              </w:rPr>
              <w:t xml:space="preserve"> K</w:t>
            </w:r>
            <w:r w:rsidRPr="00251A53">
              <w:rPr>
                <w:bCs/>
                <w:iCs/>
                <w:sz w:val="18"/>
                <w:szCs w:val="18"/>
              </w:rPr>
              <w:t xml:space="preserve">eeping </w:t>
            </w:r>
            <w:r w:rsidR="005756E4" w:rsidRPr="00251A53">
              <w:rPr>
                <w:bCs/>
                <w:iCs/>
                <w:sz w:val="18"/>
                <w:szCs w:val="18"/>
              </w:rPr>
              <w:t>p</w:t>
            </w:r>
            <w:r w:rsidRPr="00251A53">
              <w:rPr>
                <w:bCs/>
                <w:iCs/>
                <w:sz w:val="18"/>
                <w:szCs w:val="18"/>
              </w:rPr>
              <w:t xml:space="preserve">eople </w:t>
            </w:r>
            <w:r w:rsidR="005756E4" w:rsidRPr="00251A53">
              <w:rPr>
                <w:bCs/>
                <w:iCs/>
                <w:sz w:val="18"/>
                <w:szCs w:val="18"/>
              </w:rPr>
              <w:t>o</w:t>
            </w:r>
            <w:r w:rsidRPr="00251A53">
              <w:rPr>
                <w:bCs/>
                <w:iCs/>
                <w:sz w:val="18"/>
                <w:szCs w:val="18"/>
              </w:rPr>
              <w:t xml:space="preserve">ut of </w:t>
            </w:r>
            <w:r w:rsidR="005756E4" w:rsidRPr="00251A53">
              <w:rPr>
                <w:bCs/>
                <w:iCs/>
                <w:sz w:val="18"/>
                <w:szCs w:val="18"/>
              </w:rPr>
              <w:t>p</w:t>
            </w:r>
            <w:r w:rsidR="00EE4768" w:rsidRPr="00251A53">
              <w:rPr>
                <w:bCs/>
                <w:iCs/>
                <w:sz w:val="18"/>
                <w:szCs w:val="18"/>
              </w:rPr>
              <w:t>overty;</w:t>
            </w:r>
            <w:r w:rsidR="005756E4" w:rsidRPr="00251A53">
              <w:rPr>
                <w:bCs/>
                <w:iCs/>
                <w:sz w:val="18"/>
                <w:szCs w:val="18"/>
              </w:rPr>
              <w:t xml:space="preserve"> </w:t>
            </w:r>
            <w:r w:rsidR="00490ACE" w:rsidRPr="00251A53">
              <w:rPr>
                <w:bCs/>
                <w:iCs/>
                <w:sz w:val="18"/>
                <w:szCs w:val="18"/>
              </w:rPr>
              <w:t>(</w:t>
            </w:r>
            <w:r w:rsidR="00EE4768" w:rsidRPr="00251A53">
              <w:rPr>
                <w:sz w:val="18"/>
                <w:szCs w:val="18"/>
              </w:rPr>
              <w:t>IRRF Outcome 1</w:t>
            </w:r>
            <w:r w:rsidR="00490ACE" w:rsidRPr="00251A53">
              <w:rPr>
                <w:sz w:val="18"/>
                <w:szCs w:val="18"/>
              </w:rPr>
              <w:t>)</w:t>
            </w:r>
            <w:r w:rsidRPr="00251A53">
              <w:rPr>
                <w:sz w:val="18"/>
                <w:szCs w:val="18"/>
              </w:rPr>
              <w:t xml:space="preserve"> Freedom from poverty</w:t>
            </w:r>
          </w:p>
          <w:p w14:paraId="3A033BD6" w14:textId="4AD84548" w:rsidR="004255D8" w:rsidRPr="00251A53" w:rsidRDefault="004255D8" w:rsidP="007612AB">
            <w:pPr>
              <w:spacing w:before="20" w:after="20"/>
              <w:rPr>
                <w:bCs/>
                <w:sz w:val="18"/>
                <w:szCs w:val="18"/>
              </w:rPr>
            </w:pPr>
            <w:r w:rsidRPr="00251A53">
              <w:rPr>
                <w:b/>
                <w:bCs/>
                <w:sz w:val="18"/>
                <w:szCs w:val="18"/>
              </w:rPr>
              <w:t xml:space="preserve">UNFPA </w:t>
            </w:r>
            <w:r w:rsidR="00644A92" w:rsidRPr="00251A53">
              <w:rPr>
                <w:b/>
                <w:bCs/>
                <w:sz w:val="18"/>
                <w:szCs w:val="18"/>
              </w:rPr>
              <w:t xml:space="preserve">Strategic Plan </w:t>
            </w:r>
            <w:r w:rsidR="005B4FB0" w:rsidRPr="00251A53">
              <w:rPr>
                <w:b/>
                <w:bCs/>
                <w:sz w:val="18"/>
                <w:szCs w:val="18"/>
              </w:rPr>
              <w:t>outcomes</w:t>
            </w:r>
            <w:r w:rsidRPr="00251A53">
              <w:rPr>
                <w:b/>
                <w:sz w:val="18"/>
                <w:szCs w:val="18"/>
              </w:rPr>
              <w:t>:</w:t>
            </w:r>
            <w:r w:rsidRPr="00251A53">
              <w:rPr>
                <w:sz w:val="18"/>
                <w:szCs w:val="18"/>
              </w:rPr>
              <w:t xml:space="preserve"> </w:t>
            </w:r>
            <w:r w:rsidR="00490ACE" w:rsidRPr="00251A53">
              <w:rPr>
                <w:sz w:val="18"/>
                <w:szCs w:val="18"/>
              </w:rPr>
              <w:t xml:space="preserve">(2) </w:t>
            </w:r>
            <w:r w:rsidRPr="00251A53">
              <w:rPr>
                <w:sz w:val="18"/>
                <w:szCs w:val="18"/>
              </w:rPr>
              <w:t xml:space="preserve">Every adolescent and youth, in particular adolescent girls, </w:t>
            </w:r>
            <w:r w:rsidR="005B4FB0" w:rsidRPr="00251A53">
              <w:rPr>
                <w:sz w:val="18"/>
                <w:szCs w:val="18"/>
              </w:rPr>
              <w:t>is</w:t>
            </w:r>
            <w:r w:rsidRPr="00251A53">
              <w:rPr>
                <w:sz w:val="18"/>
                <w:szCs w:val="18"/>
              </w:rPr>
              <w:t xml:space="preserve"> empowered to realize their sexual and reproductive health and reproductive rights, and participate in sustainable development</w:t>
            </w:r>
            <w:r w:rsidR="00460A42" w:rsidRPr="00251A53">
              <w:rPr>
                <w:sz w:val="18"/>
                <w:szCs w:val="18"/>
              </w:rPr>
              <w:t>, humanitarian action and peace</w:t>
            </w:r>
            <w:r w:rsidRPr="00251A53">
              <w:rPr>
                <w:sz w:val="18"/>
                <w:szCs w:val="18"/>
              </w:rPr>
              <w:t>building</w:t>
            </w:r>
            <w:r w:rsidR="00490ACE" w:rsidRPr="00251A53">
              <w:rPr>
                <w:sz w:val="18"/>
                <w:szCs w:val="18"/>
              </w:rPr>
              <w:t>;</w:t>
            </w:r>
            <w:r w:rsidRPr="00251A53">
              <w:rPr>
                <w:sz w:val="18"/>
                <w:szCs w:val="18"/>
              </w:rPr>
              <w:t xml:space="preserve"> </w:t>
            </w:r>
            <w:r w:rsidR="00490ACE" w:rsidRPr="00251A53">
              <w:rPr>
                <w:sz w:val="18"/>
                <w:szCs w:val="18"/>
              </w:rPr>
              <w:t xml:space="preserve">(4) </w:t>
            </w:r>
            <w:r w:rsidR="003528A3" w:rsidRPr="00251A53">
              <w:rPr>
                <w:sz w:val="18"/>
                <w:szCs w:val="18"/>
              </w:rPr>
              <w:t>Everyone, everywhere is counted</w:t>
            </w:r>
            <w:r w:rsidRPr="00251A53">
              <w:rPr>
                <w:sz w:val="18"/>
                <w:szCs w:val="18"/>
              </w:rPr>
              <w:t xml:space="preserve"> and accounted for, in the pursuit of sustainable development</w:t>
            </w:r>
          </w:p>
          <w:p w14:paraId="291B418F" w14:textId="5F27A765" w:rsidR="004255D8" w:rsidRPr="00251A53" w:rsidRDefault="004255D8" w:rsidP="00644A92">
            <w:pPr>
              <w:spacing w:before="20" w:after="20"/>
              <w:rPr>
                <w:bCs/>
                <w:sz w:val="18"/>
                <w:szCs w:val="18"/>
                <w:lang w:eastAsia="en-GB"/>
              </w:rPr>
            </w:pPr>
            <w:r w:rsidRPr="00251A53">
              <w:rPr>
                <w:b/>
                <w:bCs/>
                <w:sz w:val="18"/>
                <w:szCs w:val="18"/>
              </w:rPr>
              <w:t xml:space="preserve">UNICEF </w:t>
            </w:r>
            <w:r w:rsidR="00644A92" w:rsidRPr="00251A53">
              <w:rPr>
                <w:b/>
                <w:bCs/>
                <w:sz w:val="18"/>
                <w:szCs w:val="18"/>
              </w:rPr>
              <w:t xml:space="preserve">Strategic Plan </w:t>
            </w:r>
            <w:r w:rsidR="005B4FB0" w:rsidRPr="00251A53">
              <w:rPr>
                <w:b/>
                <w:bCs/>
                <w:sz w:val="18"/>
                <w:szCs w:val="18"/>
              </w:rPr>
              <w:t>outcome</w:t>
            </w:r>
            <w:r w:rsidRPr="00251A53">
              <w:rPr>
                <w:bCs/>
                <w:sz w:val="18"/>
                <w:szCs w:val="18"/>
                <w:lang w:eastAsia="en-GB"/>
              </w:rPr>
              <w:t xml:space="preserve">: </w:t>
            </w:r>
            <w:r w:rsidR="00490ACE" w:rsidRPr="00251A53">
              <w:rPr>
                <w:bCs/>
                <w:sz w:val="18"/>
                <w:szCs w:val="18"/>
                <w:lang w:eastAsia="en-GB"/>
              </w:rPr>
              <w:t xml:space="preserve">(5) </w:t>
            </w:r>
            <w:r w:rsidRPr="00251A53">
              <w:rPr>
                <w:bCs/>
                <w:sz w:val="18"/>
                <w:szCs w:val="18"/>
                <w:lang w:eastAsia="en-GB"/>
              </w:rPr>
              <w:t>Ever</w:t>
            </w:r>
            <w:r w:rsidR="003528A3" w:rsidRPr="00251A53">
              <w:rPr>
                <w:bCs/>
                <w:sz w:val="18"/>
                <w:szCs w:val="18"/>
                <w:lang w:eastAsia="en-GB"/>
              </w:rPr>
              <w:t>y child has an equitable chance</w:t>
            </w:r>
            <w:r w:rsidRPr="00251A53">
              <w:rPr>
                <w:bCs/>
                <w:sz w:val="18"/>
                <w:szCs w:val="18"/>
                <w:lang w:eastAsia="en-GB"/>
              </w:rPr>
              <w:t xml:space="preserve"> in life</w:t>
            </w:r>
          </w:p>
        </w:tc>
      </w:tr>
      <w:tr w:rsidR="009819B8" w:rsidRPr="00251A53" w14:paraId="69C79ACA" w14:textId="77777777" w:rsidTr="007C25CB">
        <w:trPr>
          <w:trHeight w:val="20"/>
        </w:trPr>
        <w:tc>
          <w:tcPr>
            <w:tcW w:w="751" w:type="pct"/>
            <w:vMerge w:val="restart"/>
            <w:shd w:val="clear" w:color="auto" w:fill="DEEAF6" w:themeFill="accent1" w:themeFillTint="33"/>
            <w:tcMar>
              <w:top w:w="72" w:type="dxa"/>
              <w:left w:w="144" w:type="dxa"/>
              <w:bottom w:w="72" w:type="dxa"/>
              <w:right w:w="144" w:type="dxa"/>
            </w:tcMar>
            <w:vAlign w:val="center"/>
          </w:tcPr>
          <w:p w14:paraId="6C7B8561" w14:textId="77777777" w:rsidR="008B37DC" w:rsidRPr="00251A53" w:rsidRDefault="008B37DC" w:rsidP="007612AB">
            <w:pPr>
              <w:spacing w:before="20" w:after="20"/>
              <w:jc w:val="center"/>
              <w:rPr>
                <w:sz w:val="18"/>
                <w:szCs w:val="18"/>
              </w:rPr>
            </w:pPr>
            <w:r w:rsidRPr="00251A53">
              <w:rPr>
                <w:b/>
                <w:bCs/>
                <w:sz w:val="18"/>
                <w:szCs w:val="18"/>
              </w:rPr>
              <w:t>UNDAF outcome</w:t>
            </w:r>
          </w:p>
        </w:tc>
        <w:tc>
          <w:tcPr>
            <w:tcW w:w="857" w:type="pct"/>
            <w:vMerge w:val="restart"/>
            <w:shd w:val="clear" w:color="auto" w:fill="DEEAF6" w:themeFill="accent1" w:themeFillTint="33"/>
            <w:vAlign w:val="center"/>
          </w:tcPr>
          <w:p w14:paraId="59B8C4C9" w14:textId="77777777" w:rsidR="008B37DC" w:rsidRPr="00251A53" w:rsidRDefault="008B37DC" w:rsidP="007612AB">
            <w:pPr>
              <w:spacing w:before="20" w:after="20"/>
              <w:jc w:val="center"/>
              <w:rPr>
                <w:b/>
                <w:sz w:val="18"/>
                <w:szCs w:val="18"/>
              </w:rPr>
            </w:pPr>
            <w:r w:rsidRPr="00251A53">
              <w:rPr>
                <w:b/>
                <w:sz w:val="18"/>
                <w:szCs w:val="18"/>
              </w:rPr>
              <w:t>Source of data collection and responsibilities</w:t>
            </w:r>
          </w:p>
        </w:tc>
        <w:tc>
          <w:tcPr>
            <w:tcW w:w="1725" w:type="pct"/>
            <w:gridSpan w:val="2"/>
            <w:vMerge w:val="restart"/>
            <w:shd w:val="clear" w:color="auto" w:fill="DEEAF6" w:themeFill="accent1" w:themeFillTint="33"/>
            <w:tcMar>
              <w:top w:w="72" w:type="dxa"/>
              <w:left w:w="144" w:type="dxa"/>
              <w:bottom w:w="72" w:type="dxa"/>
              <w:right w:w="144" w:type="dxa"/>
            </w:tcMar>
            <w:vAlign w:val="center"/>
          </w:tcPr>
          <w:p w14:paraId="20623840" w14:textId="77777777" w:rsidR="008B37DC" w:rsidRPr="00251A53" w:rsidRDefault="008B37DC" w:rsidP="007612AB">
            <w:pPr>
              <w:spacing w:before="20" w:after="20"/>
              <w:ind w:left="-113" w:right="-119"/>
              <w:jc w:val="center"/>
              <w:rPr>
                <w:sz w:val="18"/>
                <w:szCs w:val="18"/>
              </w:rPr>
            </w:pPr>
            <w:r w:rsidRPr="00251A53">
              <w:rPr>
                <w:b/>
                <w:bCs/>
                <w:sz w:val="18"/>
                <w:szCs w:val="18"/>
              </w:rPr>
              <w:t>Indicative country programme outputs and indicators</w:t>
            </w:r>
            <w:r w:rsidRPr="00251A53">
              <w:rPr>
                <w:b/>
                <w:bCs/>
                <w:sz w:val="18"/>
                <w:szCs w:val="18"/>
              </w:rPr>
              <w:br/>
            </w:r>
            <w:r w:rsidRPr="00251A53">
              <w:rPr>
                <w:sz w:val="18"/>
                <w:szCs w:val="18"/>
              </w:rPr>
              <w:t>(</w:t>
            </w:r>
            <w:r w:rsidRPr="00251A53">
              <w:rPr>
                <w:bCs/>
                <w:sz w:val="18"/>
                <w:szCs w:val="18"/>
              </w:rPr>
              <w:t>Frequency is annual unless otherwise indicated)</w:t>
            </w:r>
          </w:p>
        </w:tc>
        <w:tc>
          <w:tcPr>
            <w:tcW w:w="609" w:type="pct"/>
            <w:gridSpan w:val="2"/>
            <w:vMerge w:val="restart"/>
            <w:shd w:val="clear" w:color="auto" w:fill="DEEAF6" w:themeFill="accent1" w:themeFillTint="33"/>
            <w:vAlign w:val="center"/>
          </w:tcPr>
          <w:p w14:paraId="7314B1EF" w14:textId="77777777" w:rsidR="008B37DC" w:rsidRPr="00251A53" w:rsidRDefault="008B37DC" w:rsidP="007612AB">
            <w:pPr>
              <w:spacing w:before="20" w:after="20"/>
              <w:jc w:val="center"/>
              <w:rPr>
                <w:b/>
                <w:bCs/>
                <w:sz w:val="18"/>
                <w:szCs w:val="18"/>
              </w:rPr>
            </w:pPr>
            <w:r w:rsidRPr="00251A53">
              <w:rPr>
                <w:b/>
                <w:bCs/>
                <w:sz w:val="18"/>
                <w:szCs w:val="18"/>
              </w:rPr>
              <w:t>Major partners</w:t>
            </w:r>
          </w:p>
        </w:tc>
        <w:tc>
          <w:tcPr>
            <w:tcW w:w="1058" w:type="pct"/>
            <w:gridSpan w:val="3"/>
            <w:shd w:val="clear" w:color="auto" w:fill="DEEAF6" w:themeFill="accent1" w:themeFillTint="33"/>
            <w:tcMar>
              <w:top w:w="15" w:type="dxa"/>
              <w:left w:w="108" w:type="dxa"/>
              <w:bottom w:w="0" w:type="dxa"/>
              <w:right w:w="108" w:type="dxa"/>
            </w:tcMar>
            <w:vAlign w:val="center"/>
          </w:tcPr>
          <w:p w14:paraId="7BFB10FC" w14:textId="77777777" w:rsidR="008B37DC" w:rsidRPr="00251A53" w:rsidRDefault="008B37DC" w:rsidP="007612AB">
            <w:pPr>
              <w:spacing w:before="20" w:after="20"/>
              <w:jc w:val="center"/>
              <w:rPr>
                <w:i/>
                <w:sz w:val="18"/>
                <w:szCs w:val="18"/>
              </w:rPr>
            </w:pPr>
            <w:r w:rsidRPr="00251A53">
              <w:rPr>
                <w:b/>
                <w:bCs/>
                <w:sz w:val="18"/>
                <w:szCs w:val="18"/>
              </w:rPr>
              <w:t>Indicative resources by outcome</w:t>
            </w:r>
            <w:r w:rsidR="00A971EF" w:rsidRPr="00251A53">
              <w:rPr>
                <w:b/>
                <w:bCs/>
                <w:sz w:val="18"/>
                <w:szCs w:val="18"/>
              </w:rPr>
              <w:t xml:space="preserve"> </w:t>
            </w:r>
            <w:r w:rsidR="00A971EF" w:rsidRPr="00251A53">
              <w:rPr>
                <w:bCs/>
                <w:i/>
                <w:sz w:val="18"/>
                <w:szCs w:val="18"/>
              </w:rPr>
              <w:t>(U</w:t>
            </w:r>
            <w:r w:rsidR="003A799E" w:rsidRPr="00251A53">
              <w:rPr>
                <w:bCs/>
                <w:i/>
                <w:sz w:val="18"/>
                <w:szCs w:val="18"/>
              </w:rPr>
              <w:t xml:space="preserve">nited </w:t>
            </w:r>
            <w:r w:rsidR="00A971EF" w:rsidRPr="00251A53">
              <w:rPr>
                <w:bCs/>
                <w:i/>
                <w:sz w:val="18"/>
                <w:szCs w:val="18"/>
              </w:rPr>
              <w:t>S</w:t>
            </w:r>
            <w:r w:rsidR="003A799E" w:rsidRPr="00251A53">
              <w:rPr>
                <w:bCs/>
                <w:i/>
                <w:sz w:val="18"/>
                <w:szCs w:val="18"/>
              </w:rPr>
              <w:t>tates</w:t>
            </w:r>
            <w:r w:rsidR="00A971EF" w:rsidRPr="00251A53">
              <w:rPr>
                <w:bCs/>
                <w:i/>
                <w:sz w:val="18"/>
                <w:szCs w:val="18"/>
              </w:rPr>
              <w:t xml:space="preserve"> </w:t>
            </w:r>
            <w:r w:rsidR="003A799E" w:rsidRPr="00251A53">
              <w:rPr>
                <w:bCs/>
                <w:i/>
                <w:sz w:val="18"/>
                <w:szCs w:val="18"/>
              </w:rPr>
              <w:t>d</w:t>
            </w:r>
            <w:r w:rsidR="00A971EF" w:rsidRPr="00251A53">
              <w:rPr>
                <w:bCs/>
                <w:i/>
                <w:sz w:val="18"/>
                <w:szCs w:val="18"/>
              </w:rPr>
              <w:t>ollars</w:t>
            </w:r>
            <w:r w:rsidRPr="00251A53">
              <w:rPr>
                <w:bCs/>
                <w:i/>
                <w:sz w:val="18"/>
                <w:szCs w:val="18"/>
              </w:rPr>
              <w:t>)</w:t>
            </w:r>
          </w:p>
        </w:tc>
      </w:tr>
      <w:tr w:rsidR="009819B8" w:rsidRPr="00251A53" w14:paraId="3424BE18" w14:textId="77777777" w:rsidTr="007C25CB">
        <w:trPr>
          <w:trHeight w:val="20"/>
        </w:trPr>
        <w:tc>
          <w:tcPr>
            <w:tcW w:w="751" w:type="pct"/>
            <w:vMerge/>
            <w:tcBorders>
              <w:bottom w:val="single" w:sz="4" w:space="0" w:color="auto"/>
            </w:tcBorders>
            <w:shd w:val="clear" w:color="auto" w:fill="DEEAF6" w:themeFill="accent1" w:themeFillTint="33"/>
            <w:tcMar>
              <w:top w:w="72" w:type="dxa"/>
              <w:left w:w="144" w:type="dxa"/>
              <w:bottom w:w="72" w:type="dxa"/>
              <w:right w:w="144" w:type="dxa"/>
            </w:tcMar>
            <w:vAlign w:val="center"/>
          </w:tcPr>
          <w:p w14:paraId="298A3258" w14:textId="77777777" w:rsidR="008B37DC" w:rsidRPr="00251A53" w:rsidRDefault="008B37DC" w:rsidP="007612AB">
            <w:pPr>
              <w:spacing w:before="20" w:after="20"/>
              <w:jc w:val="center"/>
              <w:rPr>
                <w:b/>
                <w:bCs/>
                <w:sz w:val="18"/>
                <w:szCs w:val="18"/>
              </w:rPr>
            </w:pPr>
          </w:p>
        </w:tc>
        <w:tc>
          <w:tcPr>
            <w:tcW w:w="857" w:type="pct"/>
            <w:vMerge/>
            <w:tcBorders>
              <w:bottom w:val="single" w:sz="4" w:space="0" w:color="auto"/>
            </w:tcBorders>
            <w:shd w:val="clear" w:color="auto" w:fill="DEEAF6" w:themeFill="accent1" w:themeFillTint="33"/>
            <w:vAlign w:val="center"/>
          </w:tcPr>
          <w:p w14:paraId="35BA1038" w14:textId="77777777" w:rsidR="008B37DC" w:rsidRPr="00251A53" w:rsidDel="008A6CA6" w:rsidRDefault="008B37DC" w:rsidP="007612AB">
            <w:pPr>
              <w:spacing w:before="20" w:after="20"/>
              <w:jc w:val="center"/>
              <w:rPr>
                <w:b/>
                <w:sz w:val="18"/>
                <w:szCs w:val="18"/>
              </w:rPr>
            </w:pPr>
          </w:p>
        </w:tc>
        <w:tc>
          <w:tcPr>
            <w:tcW w:w="1725" w:type="pct"/>
            <w:gridSpan w:val="2"/>
            <w:vMerge/>
            <w:tcBorders>
              <w:bottom w:val="single" w:sz="4" w:space="0" w:color="auto"/>
            </w:tcBorders>
            <w:shd w:val="clear" w:color="auto" w:fill="DEEAF6" w:themeFill="accent1" w:themeFillTint="33"/>
            <w:tcMar>
              <w:top w:w="72" w:type="dxa"/>
              <w:left w:w="144" w:type="dxa"/>
              <w:bottom w:w="72" w:type="dxa"/>
              <w:right w:w="144" w:type="dxa"/>
            </w:tcMar>
            <w:vAlign w:val="center"/>
          </w:tcPr>
          <w:p w14:paraId="3E0CFB4D" w14:textId="77777777" w:rsidR="008B37DC" w:rsidRPr="00251A53" w:rsidDel="008A6CA6" w:rsidRDefault="008B37DC" w:rsidP="007612AB">
            <w:pPr>
              <w:spacing w:before="20" w:after="20"/>
              <w:jc w:val="center"/>
              <w:rPr>
                <w:b/>
                <w:bCs/>
                <w:sz w:val="18"/>
                <w:szCs w:val="18"/>
              </w:rPr>
            </w:pPr>
          </w:p>
        </w:tc>
        <w:tc>
          <w:tcPr>
            <w:tcW w:w="609" w:type="pct"/>
            <w:gridSpan w:val="2"/>
            <w:vMerge/>
            <w:tcBorders>
              <w:bottom w:val="single" w:sz="4" w:space="0" w:color="auto"/>
            </w:tcBorders>
            <w:shd w:val="clear" w:color="auto" w:fill="DEEAF6" w:themeFill="accent1" w:themeFillTint="33"/>
            <w:vAlign w:val="center"/>
          </w:tcPr>
          <w:p w14:paraId="13119357" w14:textId="77777777" w:rsidR="008B37DC" w:rsidRPr="00251A53" w:rsidRDefault="008B37DC" w:rsidP="007612AB">
            <w:pPr>
              <w:spacing w:before="20" w:after="20"/>
              <w:jc w:val="center"/>
              <w:rPr>
                <w:b/>
                <w:bCs/>
                <w:sz w:val="18"/>
                <w:szCs w:val="18"/>
              </w:rPr>
            </w:pPr>
          </w:p>
        </w:tc>
        <w:tc>
          <w:tcPr>
            <w:tcW w:w="344" w:type="pct"/>
            <w:tcBorders>
              <w:bottom w:val="single" w:sz="4" w:space="0" w:color="auto"/>
            </w:tcBorders>
            <w:shd w:val="clear" w:color="auto" w:fill="DEEAF6" w:themeFill="accent1" w:themeFillTint="33"/>
            <w:tcMar>
              <w:top w:w="15" w:type="dxa"/>
              <w:left w:w="108" w:type="dxa"/>
              <w:bottom w:w="0" w:type="dxa"/>
              <w:right w:w="108" w:type="dxa"/>
            </w:tcMar>
            <w:vAlign w:val="center"/>
          </w:tcPr>
          <w:p w14:paraId="244E2655" w14:textId="77777777" w:rsidR="008B37DC" w:rsidRPr="00251A53" w:rsidRDefault="008B37DC" w:rsidP="007612AB">
            <w:pPr>
              <w:spacing w:before="20" w:after="20"/>
              <w:jc w:val="center"/>
              <w:rPr>
                <w:b/>
                <w:bCs/>
                <w:sz w:val="18"/>
                <w:szCs w:val="18"/>
              </w:rPr>
            </w:pPr>
            <w:r w:rsidRPr="00251A53">
              <w:rPr>
                <w:b/>
                <w:bCs/>
                <w:sz w:val="18"/>
                <w:szCs w:val="18"/>
              </w:rPr>
              <w:t>Regular</w:t>
            </w:r>
          </w:p>
        </w:tc>
        <w:tc>
          <w:tcPr>
            <w:tcW w:w="343" w:type="pct"/>
            <w:tcBorders>
              <w:bottom w:val="single" w:sz="4" w:space="0" w:color="auto"/>
            </w:tcBorders>
            <w:shd w:val="clear" w:color="auto" w:fill="DEEAF6" w:themeFill="accent1" w:themeFillTint="33"/>
            <w:vAlign w:val="center"/>
          </w:tcPr>
          <w:p w14:paraId="6521476B" w14:textId="77777777" w:rsidR="008B37DC" w:rsidRPr="00251A53" w:rsidRDefault="008B37DC" w:rsidP="007612AB">
            <w:pPr>
              <w:spacing w:before="20" w:after="20"/>
              <w:jc w:val="center"/>
              <w:rPr>
                <w:b/>
                <w:bCs/>
                <w:sz w:val="18"/>
                <w:szCs w:val="18"/>
              </w:rPr>
            </w:pPr>
            <w:r w:rsidRPr="00251A53">
              <w:rPr>
                <w:b/>
                <w:bCs/>
                <w:sz w:val="18"/>
                <w:szCs w:val="18"/>
              </w:rPr>
              <w:t>Other</w:t>
            </w:r>
          </w:p>
        </w:tc>
        <w:tc>
          <w:tcPr>
            <w:tcW w:w="371" w:type="pct"/>
            <w:tcBorders>
              <w:bottom w:val="single" w:sz="4" w:space="0" w:color="auto"/>
            </w:tcBorders>
            <w:shd w:val="clear" w:color="auto" w:fill="DEEAF6" w:themeFill="accent1" w:themeFillTint="33"/>
            <w:vAlign w:val="center"/>
          </w:tcPr>
          <w:p w14:paraId="48BDCB15" w14:textId="77777777" w:rsidR="008B37DC" w:rsidRPr="00251A53" w:rsidRDefault="008B37DC" w:rsidP="007612AB">
            <w:pPr>
              <w:spacing w:before="20" w:after="20"/>
              <w:jc w:val="center"/>
              <w:rPr>
                <w:b/>
                <w:bCs/>
                <w:sz w:val="18"/>
                <w:szCs w:val="18"/>
              </w:rPr>
            </w:pPr>
            <w:r w:rsidRPr="00251A53">
              <w:rPr>
                <w:b/>
                <w:bCs/>
                <w:sz w:val="18"/>
                <w:szCs w:val="18"/>
              </w:rPr>
              <w:t>Total</w:t>
            </w:r>
          </w:p>
        </w:tc>
      </w:tr>
      <w:tr w:rsidR="007C25CB" w:rsidRPr="00251A53" w14:paraId="2A2F6F63" w14:textId="77777777" w:rsidTr="007C25CB">
        <w:trPr>
          <w:cantSplit/>
          <w:trHeight w:val="20"/>
        </w:trPr>
        <w:tc>
          <w:tcPr>
            <w:tcW w:w="751" w:type="pct"/>
            <w:tcBorders>
              <w:bottom w:val="nil"/>
            </w:tcBorders>
            <w:tcMar>
              <w:top w:w="72" w:type="dxa"/>
              <w:left w:w="144" w:type="dxa"/>
              <w:bottom w:w="72" w:type="dxa"/>
              <w:right w:w="144" w:type="dxa"/>
            </w:tcMar>
          </w:tcPr>
          <w:p w14:paraId="009D73EB" w14:textId="77777777" w:rsidR="007C25CB" w:rsidRPr="00251A53" w:rsidRDefault="007C25CB" w:rsidP="006F445E">
            <w:pPr>
              <w:spacing w:before="20" w:after="20"/>
              <w:ind w:right="-57"/>
              <w:rPr>
                <w:bCs/>
                <w:sz w:val="18"/>
                <w:szCs w:val="18"/>
              </w:rPr>
            </w:pPr>
            <w:r w:rsidRPr="00251A53">
              <w:rPr>
                <w:bCs/>
                <w:sz w:val="18"/>
                <w:szCs w:val="18"/>
                <w:u w:val="single"/>
              </w:rPr>
              <w:t>Indicator 3.1.2</w:t>
            </w:r>
            <w:r w:rsidRPr="00251A53">
              <w:rPr>
                <w:bCs/>
                <w:sz w:val="18"/>
                <w:szCs w:val="18"/>
              </w:rPr>
              <w:t xml:space="preserve">: </w:t>
            </w:r>
            <w:r w:rsidR="008F6C00" w:rsidRPr="00251A53">
              <w:rPr>
                <w:bCs/>
                <w:sz w:val="18"/>
                <w:szCs w:val="18"/>
              </w:rPr>
              <w:br/>
            </w:r>
            <w:r w:rsidRPr="00251A53">
              <w:rPr>
                <w:bCs/>
                <w:sz w:val="18"/>
                <w:szCs w:val="18"/>
              </w:rPr>
              <w:t>Number of informal production units by activity sector, gender and age of owner</w:t>
            </w:r>
            <w:r w:rsidR="008F6C00" w:rsidRPr="00251A53">
              <w:rPr>
                <w:bCs/>
                <w:sz w:val="18"/>
                <w:szCs w:val="18"/>
              </w:rPr>
              <w:br/>
            </w:r>
            <w:r w:rsidRPr="00251A53">
              <w:rPr>
                <w:bCs/>
                <w:i/>
                <w:sz w:val="18"/>
                <w:szCs w:val="18"/>
              </w:rPr>
              <w:t>Baseline</w:t>
            </w:r>
            <w:r w:rsidRPr="00251A53">
              <w:rPr>
                <w:bCs/>
                <w:sz w:val="18"/>
                <w:szCs w:val="18"/>
              </w:rPr>
              <w:t xml:space="preserve">: 33,228 </w:t>
            </w:r>
            <w:r w:rsidR="008F6C00" w:rsidRPr="00251A53">
              <w:rPr>
                <w:bCs/>
                <w:sz w:val="18"/>
                <w:szCs w:val="18"/>
              </w:rPr>
              <w:t>(total)</w:t>
            </w:r>
            <w:r w:rsidR="00C15723" w:rsidRPr="00251A53">
              <w:rPr>
                <w:bCs/>
                <w:sz w:val="18"/>
                <w:szCs w:val="18"/>
              </w:rPr>
              <w:br/>
            </w:r>
            <w:r w:rsidRPr="00251A53">
              <w:rPr>
                <w:bCs/>
                <w:sz w:val="18"/>
                <w:szCs w:val="18"/>
              </w:rPr>
              <w:t>(Women: 20,767; Men: 12,460)</w:t>
            </w:r>
            <w:r w:rsidR="00C15723" w:rsidRPr="00251A53">
              <w:rPr>
                <w:bCs/>
                <w:sz w:val="18"/>
                <w:szCs w:val="18"/>
              </w:rPr>
              <w:br/>
            </w:r>
            <w:r w:rsidRPr="00251A53">
              <w:rPr>
                <w:bCs/>
                <w:i/>
                <w:sz w:val="18"/>
                <w:szCs w:val="18"/>
              </w:rPr>
              <w:t>Target</w:t>
            </w:r>
            <w:r w:rsidRPr="00251A53">
              <w:rPr>
                <w:bCs/>
                <w:sz w:val="18"/>
                <w:szCs w:val="18"/>
              </w:rPr>
              <w:t>: decrease by 15,000 informal production units</w:t>
            </w:r>
          </w:p>
        </w:tc>
        <w:tc>
          <w:tcPr>
            <w:tcW w:w="857" w:type="pct"/>
            <w:tcBorders>
              <w:bottom w:val="nil"/>
            </w:tcBorders>
          </w:tcPr>
          <w:p w14:paraId="33749FA4" w14:textId="77777777" w:rsidR="007C25CB" w:rsidRPr="00251A53" w:rsidRDefault="007C25CB" w:rsidP="007612AB">
            <w:pPr>
              <w:spacing w:before="20" w:after="20"/>
              <w:ind w:left="58" w:right="14"/>
              <w:rPr>
                <w:bCs/>
                <w:sz w:val="18"/>
                <w:szCs w:val="18"/>
              </w:rPr>
            </w:pPr>
            <w:r w:rsidRPr="00251A53">
              <w:rPr>
                <w:bCs/>
                <w:i/>
                <w:sz w:val="18"/>
                <w:szCs w:val="18"/>
              </w:rPr>
              <w:t>Source</w:t>
            </w:r>
            <w:r w:rsidRPr="00251A53">
              <w:rPr>
                <w:bCs/>
                <w:sz w:val="18"/>
                <w:szCs w:val="18"/>
              </w:rPr>
              <w:t>: National Institute for Statistics (INE)</w:t>
            </w:r>
            <w:r w:rsidRPr="00251A53">
              <w:rPr>
                <w:sz w:val="18"/>
                <w:szCs w:val="18"/>
              </w:rPr>
              <w:t xml:space="preserve"> </w:t>
            </w:r>
          </w:p>
          <w:p w14:paraId="1C1D22EF" w14:textId="77777777" w:rsidR="007C25CB" w:rsidRPr="00251A53" w:rsidRDefault="007C25CB" w:rsidP="007612AB">
            <w:pPr>
              <w:spacing w:before="20" w:after="20"/>
              <w:ind w:left="55" w:right="17"/>
              <w:rPr>
                <w:bCs/>
                <w:sz w:val="18"/>
                <w:szCs w:val="18"/>
              </w:rPr>
            </w:pPr>
            <w:r w:rsidRPr="00251A53">
              <w:rPr>
                <w:bCs/>
                <w:i/>
                <w:sz w:val="18"/>
                <w:szCs w:val="18"/>
              </w:rPr>
              <w:t>Responsibility</w:t>
            </w:r>
            <w:r w:rsidRPr="00251A53">
              <w:rPr>
                <w:bCs/>
                <w:sz w:val="18"/>
                <w:szCs w:val="18"/>
              </w:rPr>
              <w:t>: INE</w:t>
            </w:r>
          </w:p>
        </w:tc>
        <w:tc>
          <w:tcPr>
            <w:tcW w:w="1725" w:type="pct"/>
            <w:gridSpan w:val="2"/>
            <w:vMerge w:val="restart"/>
            <w:tcMar>
              <w:top w:w="72" w:type="dxa"/>
              <w:left w:w="144" w:type="dxa"/>
              <w:bottom w:w="72" w:type="dxa"/>
              <w:right w:w="144" w:type="dxa"/>
            </w:tcMar>
          </w:tcPr>
          <w:p w14:paraId="24D1ED53" w14:textId="77777777" w:rsidR="007C25CB" w:rsidRPr="00251A53" w:rsidRDefault="007C25CB" w:rsidP="007612AB">
            <w:pPr>
              <w:spacing w:before="20" w:after="20"/>
              <w:rPr>
                <w:i/>
                <w:iCs/>
                <w:sz w:val="18"/>
                <w:szCs w:val="18"/>
              </w:rPr>
            </w:pPr>
            <w:r w:rsidRPr="00251A53">
              <w:rPr>
                <w:iCs/>
                <w:sz w:val="18"/>
                <w:szCs w:val="18"/>
                <w:u w:val="single"/>
              </w:rPr>
              <w:t>Output 3.1</w:t>
            </w:r>
            <w:r w:rsidRPr="00251A53">
              <w:rPr>
                <w:i/>
                <w:iCs/>
                <w:sz w:val="18"/>
                <w:szCs w:val="18"/>
              </w:rPr>
              <w:t xml:space="preserve">: </w:t>
            </w:r>
            <w:r w:rsidRPr="00251A53">
              <w:rPr>
                <w:rFonts w:eastAsiaTheme="minorHAnsi"/>
                <w:sz w:val="18"/>
                <w:szCs w:val="18"/>
              </w:rPr>
              <w:t>The Ministries of Finance, Economy and Employment have strengthened</w:t>
            </w:r>
            <w:r w:rsidRPr="00251A53">
              <w:rPr>
                <w:iCs/>
                <w:sz w:val="18"/>
                <w:szCs w:val="18"/>
              </w:rPr>
              <w:t xml:space="preserve"> institutional capacity for the formulation and implementation of policies and programmes that harness the demographic dividend for inclusive and sustainable economic growth </w:t>
            </w:r>
          </w:p>
          <w:p w14:paraId="248A57B7" w14:textId="77777777" w:rsidR="007C25CB" w:rsidRPr="00251A53" w:rsidRDefault="007C25CB" w:rsidP="007612AB">
            <w:pPr>
              <w:spacing w:before="20" w:after="20"/>
              <w:rPr>
                <w:i/>
                <w:iCs/>
                <w:sz w:val="18"/>
                <w:szCs w:val="18"/>
              </w:rPr>
            </w:pPr>
            <w:r w:rsidRPr="00251A53">
              <w:rPr>
                <w:iCs/>
                <w:sz w:val="18"/>
                <w:szCs w:val="18"/>
              </w:rPr>
              <w:t>3.1.1: Extent to which sector programmes related to the promotion of economic growth are pro-poor, gender- and age-sensitive</w:t>
            </w:r>
            <w:r w:rsidRPr="00251A53">
              <w:rPr>
                <w:i/>
                <w:iCs/>
                <w:sz w:val="18"/>
                <w:szCs w:val="18"/>
              </w:rPr>
              <w:t xml:space="preserve"> </w:t>
            </w:r>
          </w:p>
          <w:p w14:paraId="6A53DF68" w14:textId="77777777" w:rsidR="007C25CB" w:rsidRPr="00251A53" w:rsidRDefault="007C25CB" w:rsidP="007612AB">
            <w:pPr>
              <w:spacing w:before="20" w:after="20"/>
              <w:rPr>
                <w:i/>
                <w:iCs/>
                <w:sz w:val="18"/>
                <w:szCs w:val="18"/>
              </w:rPr>
            </w:pPr>
            <w:r w:rsidRPr="00251A53">
              <w:rPr>
                <w:i/>
                <w:iCs/>
                <w:sz w:val="18"/>
                <w:szCs w:val="18"/>
              </w:rPr>
              <w:t xml:space="preserve">Baseline: </w:t>
            </w:r>
            <w:r w:rsidRPr="00251A53">
              <w:rPr>
                <w:iCs/>
                <w:sz w:val="18"/>
                <w:szCs w:val="18"/>
              </w:rPr>
              <w:t>1;</w:t>
            </w:r>
            <w:r w:rsidRPr="00251A53">
              <w:rPr>
                <w:i/>
                <w:iCs/>
                <w:sz w:val="18"/>
                <w:szCs w:val="18"/>
              </w:rPr>
              <w:t xml:space="preserve"> Target: </w:t>
            </w:r>
            <w:r w:rsidRPr="00251A53">
              <w:rPr>
                <w:iCs/>
                <w:sz w:val="18"/>
                <w:szCs w:val="18"/>
              </w:rPr>
              <w:t>4</w:t>
            </w:r>
          </w:p>
          <w:p w14:paraId="2EAE8BC3" w14:textId="77777777" w:rsidR="007C25CB" w:rsidRPr="00251A53" w:rsidRDefault="007C25CB" w:rsidP="007612AB">
            <w:pPr>
              <w:spacing w:before="20" w:after="20"/>
              <w:rPr>
                <w:i/>
                <w:iCs/>
                <w:sz w:val="18"/>
                <w:szCs w:val="18"/>
              </w:rPr>
            </w:pPr>
            <w:r w:rsidRPr="00251A53">
              <w:rPr>
                <w:i/>
                <w:iCs/>
                <w:sz w:val="18"/>
                <w:szCs w:val="18"/>
              </w:rPr>
              <w:t xml:space="preserve">Source: </w:t>
            </w:r>
            <w:r w:rsidRPr="00251A53">
              <w:rPr>
                <w:iCs/>
                <w:sz w:val="18"/>
                <w:szCs w:val="18"/>
              </w:rPr>
              <w:t>Ministry of Finance (MFF)</w:t>
            </w:r>
          </w:p>
          <w:p w14:paraId="79347414" w14:textId="77777777" w:rsidR="007C25CB" w:rsidRPr="00251A53" w:rsidRDefault="00EC096F" w:rsidP="007612AB">
            <w:pPr>
              <w:spacing w:before="20" w:after="20"/>
              <w:rPr>
                <w:i/>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UNDP</w:t>
            </w:r>
          </w:p>
          <w:p w14:paraId="6C5624F7" w14:textId="77777777" w:rsidR="007C25CB" w:rsidRPr="00251A53" w:rsidRDefault="007C25CB" w:rsidP="007612AB">
            <w:pPr>
              <w:spacing w:before="20" w:after="20"/>
              <w:rPr>
                <w:iCs/>
                <w:sz w:val="18"/>
                <w:szCs w:val="18"/>
              </w:rPr>
            </w:pPr>
            <w:r w:rsidRPr="00251A53">
              <w:rPr>
                <w:iCs/>
                <w:sz w:val="18"/>
                <w:szCs w:val="18"/>
              </w:rPr>
              <w:t xml:space="preserve">3.1.2: Number of analyses </w:t>
            </w:r>
            <w:r w:rsidRPr="00251A53">
              <w:rPr>
                <w:sz w:val="18"/>
                <w:szCs w:val="18"/>
              </w:rPr>
              <w:t>of the implications of the demographic dividend elaborated and used in public policymaking</w:t>
            </w:r>
          </w:p>
          <w:p w14:paraId="3FD501C1" w14:textId="77777777" w:rsidR="007C25CB" w:rsidRPr="00251A53" w:rsidRDefault="007C25CB" w:rsidP="007612AB">
            <w:pPr>
              <w:spacing w:before="20" w:after="20"/>
              <w:rPr>
                <w:i/>
                <w:iCs/>
                <w:sz w:val="18"/>
                <w:szCs w:val="18"/>
              </w:rPr>
            </w:pPr>
            <w:r w:rsidRPr="00251A53">
              <w:rPr>
                <w:i/>
                <w:iCs/>
                <w:sz w:val="18"/>
                <w:szCs w:val="18"/>
              </w:rPr>
              <w:t xml:space="preserve">Baseline: </w:t>
            </w:r>
            <w:r w:rsidRPr="00251A53">
              <w:rPr>
                <w:iCs/>
                <w:sz w:val="18"/>
                <w:szCs w:val="18"/>
              </w:rPr>
              <w:t>1;</w:t>
            </w:r>
            <w:r w:rsidRPr="00251A53">
              <w:rPr>
                <w:i/>
                <w:iCs/>
                <w:sz w:val="18"/>
                <w:szCs w:val="18"/>
              </w:rPr>
              <w:t xml:space="preserve"> Target</w:t>
            </w:r>
            <w:r w:rsidRPr="00251A53">
              <w:rPr>
                <w:iCs/>
                <w:sz w:val="18"/>
                <w:szCs w:val="18"/>
              </w:rPr>
              <w:t>: 3</w:t>
            </w:r>
          </w:p>
          <w:p w14:paraId="69B123D9" w14:textId="77777777" w:rsidR="007C25CB" w:rsidRPr="00251A53" w:rsidRDefault="007C25CB" w:rsidP="007612AB">
            <w:pPr>
              <w:spacing w:before="20" w:after="20"/>
              <w:rPr>
                <w:i/>
                <w:iCs/>
                <w:sz w:val="18"/>
                <w:szCs w:val="18"/>
              </w:rPr>
            </w:pPr>
            <w:r w:rsidRPr="00251A53">
              <w:rPr>
                <w:i/>
                <w:iCs/>
                <w:sz w:val="18"/>
                <w:szCs w:val="18"/>
              </w:rPr>
              <w:t xml:space="preserve">Source: </w:t>
            </w:r>
            <w:r w:rsidRPr="00251A53">
              <w:rPr>
                <w:iCs/>
                <w:sz w:val="18"/>
                <w:szCs w:val="18"/>
              </w:rPr>
              <w:t>National Directorate of Planning</w:t>
            </w:r>
          </w:p>
          <w:p w14:paraId="4BB93AC3" w14:textId="77777777" w:rsidR="007C25CB" w:rsidRPr="00251A53" w:rsidRDefault="00EC096F" w:rsidP="007612AB">
            <w:pPr>
              <w:spacing w:before="20" w:after="20"/>
              <w:rPr>
                <w:b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UNFPA</w:t>
            </w:r>
            <w:r w:rsidR="007C25CB" w:rsidRPr="00251A53">
              <w:rPr>
                <w:i/>
                <w:iCs/>
                <w:sz w:val="18"/>
                <w:szCs w:val="18"/>
              </w:rPr>
              <w:t xml:space="preserve"> </w:t>
            </w:r>
          </w:p>
          <w:p w14:paraId="1C101924" w14:textId="77777777" w:rsidR="007C25CB" w:rsidRPr="00251A53" w:rsidRDefault="007C25CB" w:rsidP="007612AB">
            <w:pPr>
              <w:spacing w:before="20" w:after="20"/>
              <w:rPr>
                <w:sz w:val="18"/>
                <w:szCs w:val="18"/>
              </w:rPr>
            </w:pPr>
            <w:r w:rsidRPr="00251A53">
              <w:rPr>
                <w:iCs/>
                <w:sz w:val="18"/>
                <w:szCs w:val="18"/>
              </w:rPr>
              <w:t>3.1.3:</w:t>
            </w:r>
            <w:r w:rsidRPr="00251A53">
              <w:rPr>
                <w:sz w:val="18"/>
                <w:szCs w:val="18"/>
              </w:rPr>
              <w:t xml:space="preserve"> Number of child poverty analyses elaborated and used in public policymaking </w:t>
            </w:r>
          </w:p>
          <w:p w14:paraId="30A14CCD" w14:textId="77777777" w:rsidR="007C25CB" w:rsidRPr="00251A53" w:rsidRDefault="007C25CB" w:rsidP="007612AB">
            <w:pPr>
              <w:spacing w:before="20" w:after="20"/>
              <w:rPr>
                <w:i/>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2</w:t>
            </w:r>
          </w:p>
          <w:p w14:paraId="370C1C54" w14:textId="77777777" w:rsidR="007C25CB" w:rsidRPr="00251A53" w:rsidRDefault="007C25CB" w:rsidP="007612AB">
            <w:pPr>
              <w:spacing w:before="20" w:after="20"/>
              <w:rPr>
                <w:i/>
                <w:iCs/>
                <w:sz w:val="18"/>
                <w:szCs w:val="18"/>
              </w:rPr>
            </w:pPr>
            <w:r w:rsidRPr="00251A53">
              <w:rPr>
                <w:i/>
                <w:iCs/>
                <w:sz w:val="18"/>
                <w:szCs w:val="18"/>
              </w:rPr>
              <w:t xml:space="preserve">Source: </w:t>
            </w:r>
            <w:r w:rsidRPr="00251A53">
              <w:rPr>
                <w:iCs/>
                <w:sz w:val="18"/>
                <w:szCs w:val="18"/>
              </w:rPr>
              <w:t>MHSI</w:t>
            </w:r>
          </w:p>
          <w:p w14:paraId="66A7A3C5" w14:textId="77777777" w:rsidR="007C25CB" w:rsidRPr="00251A53" w:rsidRDefault="007C25CB" w:rsidP="007612AB">
            <w:pPr>
              <w:spacing w:before="20" w:after="20"/>
              <w:rPr>
                <w:bCs/>
                <w:sz w:val="18"/>
                <w:szCs w:val="18"/>
              </w:rPr>
            </w:pPr>
            <w:r w:rsidRPr="00251A53">
              <w:rPr>
                <w:i/>
                <w:iCs/>
                <w:sz w:val="18"/>
                <w:szCs w:val="18"/>
              </w:rPr>
              <w:t xml:space="preserve">Frequency: </w:t>
            </w:r>
            <w:r w:rsidRPr="00251A53">
              <w:rPr>
                <w:iCs/>
                <w:sz w:val="18"/>
                <w:szCs w:val="18"/>
              </w:rPr>
              <w:t>Biannual</w:t>
            </w:r>
          </w:p>
          <w:p w14:paraId="4842B3ED" w14:textId="77777777" w:rsidR="007C25CB" w:rsidRPr="00251A53" w:rsidRDefault="00EC096F" w:rsidP="007612AB">
            <w:pPr>
              <w:spacing w:before="20" w:after="20"/>
              <w:rPr>
                <w:i/>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UNICEF</w:t>
            </w:r>
          </w:p>
        </w:tc>
        <w:tc>
          <w:tcPr>
            <w:tcW w:w="609" w:type="pct"/>
            <w:gridSpan w:val="2"/>
            <w:vMerge w:val="restart"/>
          </w:tcPr>
          <w:p w14:paraId="41FD7280" w14:textId="77777777" w:rsidR="007C25CB" w:rsidRPr="00251A53" w:rsidRDefault="007C25CB" w:rsidP="006637EF">
            <w:pPr>
              <w:spacing w:before="20" w:after="20"/>
              <w:ind w:left="77"/>
              <w:rPr>
                <w:i/>
                <w:iCs/>
                <w:sz w:val="18"/>
                <w:szCs w:val="18"/>
              </w:rPr>
            </w:pPr>
            <w:r w:rsidRPr="00251A53">
              <w:rPr>
                <w:rFonts w:eastAsiaTheme="minorHAnsi"/>
                <w:sz w:val="18"/>
                <w:szCs w:val="18"/>
              </w:rPr>
              <w:t>Ministries of Finance</w:t>
            </w:r>
            <w:r w:rsidR="00A73FEA" w:rsidRPr="00251A53">
              <w:rPr>
                <w:rFonts w:eastAsiaTheme="minorHAnsi"/>
                <w:sz w:val="18"/>
                <w:szCs w:val="18"/>
              </w:rPr>
              <w:t>;</w:t>
            </w:r>
            <w:r w:rsidRPr="00251A53">
              <w:rPr>
                <w:rFonts w:eastAsiaTheme="minorHAnsi"/>
                <w:sz w:val="18"/>
                <w:szCs w:val="18"/>
              </w:rPr>
              <w:t xml:space="preserve"> Economy and Employment</w:t>
            </w:r>
            <w:r w:rsidR="00A73FEA" w:rsidRPr="00251A53">
              <w:rPr>
                <w:rFonts w:eastAsiaTheme="minorHAnsi"/>
                <w:sz w:val="18"/>
                <w:szCs w:val="18"/>
              </w:rPr>
              <w:t>;</w:t>
            </w:r>
            <w:r w:rsidRPr="00251A53">
              <w:rPr>
                <w:rFonts w:eastAsiaTheme="minorHAnsi"/>
                <w:sz w:val="18"/>
                <w:szCs w:val="18"/>
              </w:rPr>
              <w:t xml:space="preserve"> Family and Social Inclusion; INE</w:t>
            </w:r>
            <w:r w:rsidR="00A73FEA" w:rsidRPr="00251A53">
              <w:rPr>
                <w:rFonts w:eastAsiaTheme="minorHAnsi"/>
                <w:sz w:val="18"/>
                <w:szCs w:val="18"/>
              </w:rPr>
              <w:t>;</w:t>
            </w:r>
            <w:r w:rsidRPr="00251A53">
              <w:rPr>
                <w:rFonts w:eastAsiaTheme="minorHAnsi"/>
                <w:sz w:val="18"/>
                <w:szCs w:val="18"/>
              </w:rPr>
              <w:t xml:space="preserve"> municipalities</w:t>
            </w:r>
            <w:r w:rsidR="00A73FEA" w:rsidRPr="00251A53">
              <w:rPr>
                <w:rFonts w:eastAsiaTheme="minorHAnsi"/>
                <w:sz w:val="18"/>
                <w:szCs w:val="18"/>
              </w:rPr>
              <w:t>; c</w:t>
            </w:r>
            <w:r w:rsidRPr="00251A53">
              <w:rPr>
                <w:rFonts w:eastAsiaTheme="minorHAnsi"/>
                <w:sz w:val="18"/>
                <w:szCs w:val="18"/>
              </w:rPr>
              <w:t xml:space="preserve">hambers of </w:t>
            </w:r>
            <w:r w:rsidR="00A73FEA" w:rsidRPr="00251A53">
              <w:rPr>
                <w:rFonts w:eastAsiaTheme="minorHAnsi"/>
                <w:sz w:val="18"/>
                <w:szCs w:val="18"/>
              </w:rPr>
              <w:t>c</w:t>
            </w:r>
            <w:r w:rsidRPr="00251A53">
              <w:rPr>
                <w:rFonts w:eastAsiaTheme="minorHAnsi"/>
                <w:sz w:val="18"/>
                <w:szCs w:val="18"/>
              </w:rPr>
              <w:t>ommerce</w:t>
            </w:r>
            <w:r w:rsidR="00A73FEA" w:rsidRPr="00251A53">
              <w:rPr>
                <w:rFonts w:eastAsiaTheme="minorHAnsi"/>
                <w:sz w:val="18"/>
                <w:szCs w:val="18"/>
              </w:rPr>
              <w:t xml:space="preserve">; </w:t>
            </w:r>
            <w:r w:rsidRPr="00251A53">
              <w:rPr>
                <w:rFonts w:eastAsiaTheme="minorHAnsi"/>
                <w:sz w:val="18"/>
                <w:szCs w:val="18"/>
              </w:rPr>
              <w:t>NGO Platforms</w:t>
            </w:r>
            <w:r w:rsidR="00A73FEA" w:rsidRPr="00251A53">
              <w:rPr>
                <w:rFonts w:eastAsiaTheme="minorHAnsi"/>
                <w:sz w:val="18"/>
                <w:szCs w:val="18"/>
              </w:rPr>
              <w:t xml:space="preserve">; </w:t>
            </w:r>
            <w:r w:rsidRPr="00251A53">
              <w:rPr>
                <w:rFonts w:eastAsiaTheme="minorHAnsi"/>
                <w:sz w:val="18"/>
                <w:szCs w:val="18"/>
              </w:rPr>
              <w:t>Brazil</w:t>
            </w:r>
            <w:r w:rsidR="00A73FEA" w:rsidRPr="00251A53">
              <w:rPr>
                <w:rFonts w:eastAsiaTheme="minorHAnsi"/>
                <w:sz w:val="18"/>
                <w:szCs w:val="18"/>
              </w:rPr>
              <w:t>;</w:t>
            </w:r>
            <w:r w:rsidRPr="00251A53">
              <w:rPr>
                <w:rFonts w:eastAsiaTheme="minorHAnsi"/>
                <w:sz w:val="18"/>
                <w:szCs w:val="18"/>
              </w:rPr>
              <w:t xml:space="preserve"> France</w:t>
            </w:r>
            <w:r w:rsidR="00A73FEA" w:rsidRPr="00251A53">
              <w:rPr>
                <w:rFonts w:eastAsiaTheme="minorHAnsi"/>
                <w:sz w:val="18"/>
                <w:szCs w:val="18"/>
              </w:rPr>
              <w:t xml:space="preserve">; </w:t>
            </w:r>
            <w:r w:rsidRPr="00251A53">
              <w:rPr>
                <w:rFonts w:eastAsiaTheme="minorHAnsi"/>
                <w:sz w:val="18"/>
                <w:szCs w:val="18"/>
              </w:rPr>
              <w:t>Luxembourg</w:t>
            </w:r>
            <w:r w:rsidR="00A73FEA" w:rsidRPr="00251A53">
              <w:rPr>
                <w:rFonts w:eastAsiaTheme="minorHAnsi"/>
                <w:sz w:val="18"/>
                <w:szCs w:val="18"/>
              </w:rPr>
              <w:t>;</w:t>
            </w:r>
            <w:r w:rsidRPr="00251A53">
              <w:rPr>
                <w:rFonts w:eastAsiaTheme="minorHAnsi"/>
                <w:sz w:val="18"/>
                <w:szCs w:val="18"/>
              </w:rPr>
              <w:t xml:space="preserve"> Portugal</w:t>
            </w:r>
            <w:r w:rsidR="00A73FEA" w:rsidRPr="00251A53">
              <w:rPr>
                <w:rFonts w:eastAsiaTheme="minorHAnsi"/>
                <w:sz w:val="18"/>
                <w:szCs w:val="18"/>
              </w:rPr>
              <w:t>;</w:t>
            </w:r>
            <w:r w:rsidRPr="00251A53">
              <w:rPr>
                <w:rFonts w:eastAsiaTheme="minorHAnsi"/>
                <w:sz w:val="18"/>
                <w:szCs w:val="18"/>
              </w:rPr>
              <w:t xml:space="preserve"> Spain</w:t>
            </w:r>
            <w:r w:rsidR="00A73FEA" w:rsidRPr="00251A53">
              <w:rPr>
                <w:rFonts w:eastAsiaTheme="minorHAnsi"/>
                <w:sz w:val="18"/>
                <w:szCs w:val="18"/>
              </w:rPr>
              <w:t>;</w:t>
            </w:r>
            <w:r w:rsidRPr="00251A53">
              <w:rPr>
                <w:rFonts w:eastAsiaTheme="minorHAnsi"/>
                <w:sz w:val="18"/>
                <w:szCs w:val="18"/>
              </w:rPr>
              <w:t xml:space="preserve"> USA</w:t>
            </w:r>
            <w:r w:rsidR="00A73FEA" w:rsidRPr="00251A53">
              <w:rPr>
                <w:rFonts w:eastAsiaTheme="minorHAnsi"/>
                <w:sz w:val="18"/>
                <w:szCs w:val="18"/>
              </w:rPr>
              <w:t xml:space="preserve">; </w:t>
            </w:r>
            <w:r w:rsidRPr="00251A53">
              <w:rPr>
                <w:rFonts w:eastAsiaTheme="minorHAnsi"/>
                <w:sz w:val="18"/>
                <w:szCs w:val="18"/>
              </w:rPr>
              <w:t>E</w:t>
            </w:r>
            <w:r w:rsidR="00A73FEA" w:rsidRPr="00251A53">
              <w:rPr>
                <w:rFonts w:eastAsiaTheme="minorHAnsi"/>
                <w:sz w:val="18"/>
                <w:szCs w:val="18"/>
              </w:rPr>
              <w:t xml:space="preserve">uropean </w:t>
            </w:r>
            <w:r w:rsidRPr="00251A53">
              <w:rPr>
                <w:rFonts w:eastAsiaTheme="minorHAnsi"/>
                <w:sz w:val="18"/>
                <w:szCs w:val="18"/>
              </w:rPr>
              <w:t>U</w:t>
            </w:r>
            <w:r w:rsidR="00A73FEA" w:rsidRPr="00251A53">
              <w:rPr>
                <w:rFonts w:eastAsiaTheme="minorHAnsi"/>
                <w:sz w:val="18"/>
                <w:szCs w:val="18"/>
              </w:rPr>
              <w:t>nion;</w:t>
            </w:r>
            <w:r w:rsidRPr="00251A53">
              <w:rPr>
                <w:rFonts w:eastAsiaTheme="minorHAnsi"/>
                <w:sz w:val="18"/>
                <w:szCs w:val="18"/>
              </w:rPr>
              <w:t xml:space="preserve"> </w:t>
            </w:r>
            <w:r w:rsidR="006637EF" w:rsidRPr="00251A53">
              <w:rPr>
                <w:rFonts w:eastAsiaTheme="minorHAnsi"/>
                <w:iCs/>
                <w:sz w:val="18"/>
                <w:szCs w:val="18"/>
              </w:rPr>
              <w:t>AfDB;</w:t>
            </w:r>
            <w:r w:rsidR="006637EF" w:rsidRPr="00251A53">
              <w:rPr>
                <w:rFonts w:eastAsiaTheme="minorHAnsi"/>
                <w:sz w:val="18"/>
                <w:szCs w:val="18"/>
              </w:rPr>
              <w:t xml:space="preserve"> </w:t>
            </w:r>
            <w:r w:rsidRPr="00251A53">
              <w:rPr>
                <w:rFonts w:eastAsiaTheme="minorHAnsi"/>
                <w:sz w:val="18"/>
                <w:szCs w:val="18"/>
              </w:rPr>
              <w:t>World Bank</w:t>
            </w:r>
            <w:r w:rsidR="00751835" w:rsidRPr="00251A53">
              <w:rPr>
                <w:rFonts w:eastAsiaTheme="minorHAnsi"/>
                <w:sz w:val="18"/>
                <w:szCs w:val="18"/>
              </w:rPr>
              <w:t xml:space="preserve">; </w:t>
            </w:r>
            <w:r w:rsidRPr="00251A53">
              <w:rPr>
                <w:rFonts w:eastAsiaTheme="minorHAnsi"/>
                <w:sz w:val="18"/>
                <w:szCs w:val="18"/>
              </w:rPr>
              <w:t>FAO</w:t>
            </w:r>
            <w:r w:rsidR="00751835" w:rsidRPr="00251A53">
              <w:rPr>
                <w:rFonts w:eastAsiaTheme="minorHAnsi"/>
                <w:sz w:val="18"/>
                <w:szCs w:val="18"/>
              </w:rPr>
              <w:t>;</w:t>
            </w:r>
            <w:r w:rsidRPr="00251A53">
              <w:rPr>
                <w:rFonts w:eastAsiaTheme="minorHAnsi"/>
                <w:sz w:val="18"/>
                <w:szCs w:val="18"/>
              </w:rPr>
              <w:t xml:space="preserve"> ILO</w:t>
            </w:r>
            <w:r w:rsidR="00751835" w:rsidRPr="00251A53">
              <w:rPr>
                <w:rFonts w:eastAsiaTheme="minorHAnsi"/>
                <w:sz w:val="18"/>
                <w:szCs w:val="18"/>
              </w:rPr>
              <w:t>;</w:t>
            </w:r>
            <w:r w:rsidRPr="00251A53">
              <w:rPr>
                <w:rFonts w:eastAsiaTheme="minorHAnsi"/>
                <w:sz w:val="18"/>
                <w:szCs w:val="18"/>
              </w:rPr>
              <w:t xml:space="preserve"> UNICEF National Committees</w:t>
            </w:r>
            <w:r w:rsidR="00751835" w:rsidRPr="00251A53">
              <w:rPr>
                <w:rFonts w:eastAsiaTheme="minorHAnsi"/>
                <w:sz w:val="18"/>
                <w:szCs w:val="18"/>
              </w:rPr>
              <w:t>;</w:t>
            </w:r>
            <w:r w:rsidRPr="00251A53">
              <w:rPr>
                <w:rFonts w:eastAsiaTheme="minorHAnsi"/>
                <w:sz w:val="18"/>
                <w:szCs w:val="18"/>
              </w:rPr>
              <w:t xml:space="preserve"> UNIDO</w:t>
            </w:r>
            <w:r w:rsidR="00751835" w:rsidRPr="00251A53">
              <w:rPr>
                <w:rFonts w:eastAsiaTheme="minorHAnsi"/>
                <w:sz w:val="18"/>
                <w:szCs w:val="18"/>
              </w:rPr>
              <w:t>;</w:t>
            </w:r>
            <w:r w:rsidRPr="00251A53">
              <w:rPr>
                <w:rFonts w:eastAsiaTheme="minorHAnsi"/>
                <w:sz w:val="18"/>
                <w:szCs w:val="18"/>
              </w:rPr>
              <w:t xml:space="preserve"> UN-Women</w:t>
            </w:r>
          </w:p>
        </w:tc>
        <w:tc>
          <w:tcPr>
            <w:tcW w:w="344" w:type="pct"/>
            <w:vMerge w:val="restart"/>
            <w:tcBorders>
              <w:bottom w:val="nil"/>
            </w:tcBorders>
            <w:tcMar>
              <w:top w:w="15" w:type="dxa"/>
              <w:left w:w="108" w:type="dxa"/>
              <w:bottom w:w="0" w:type="dxa"/>
              <w:right w:w="108" w:type="dxa"/>
            </w:tcMar>
          </w:tcPr>
          <w:p w14:paraId="331E6574" w14:textId="77777777" w:rsidR="007C25CB" w:rsidRPr="00251A53" w:rsidRDefault="007C25CB" w:rsidP="004018B0">
            <w:pPr>
              <w:spacing w:before="20" w:after="120"/>
              <w:jc w:val="center"/>
              <w:rPr>
                <w:sz w:val="18"/>
                <w:szCs w:val="18"/>
              </w:rPr>
            </w:pPr>
            <w:r w:rsidRPr="00251A53">
              <w:rPr>
                <w:sz w:val="18"/>
                <w:szCs w:val="18"/>
              </w:rPr>
              <w:t xml:space="preserve">UNDP: </w:t>
            </w:r>
            <w:r w:rsidRPr="00251A53">
              <w:rPr>
                <w:sz w:val="18"/>
                <w:szCs w:val="18"/>
              </w:rPr>
              <w:br/>
              <w:t>480,000</w:t>
            </w:r>
          </w:p>
          <w:p w14:paraId="3026DB86" w14:textId="77777777" w:rsidR="007C25CB" w:rsidRPr="00251A53" w:rsidRDefault="007C25CB" w:rsidP="004018B0">
            <w:pPr>
              <w:spacing w:before="20" w:after="120"/>
              <w:jc w:val="center"/>
              <w:rPr>
                <w:sz w:val="18"/>
                <w:szCs w:val="18"/>
              </w:rPr>
            </w:pPr>
            <w:r w:rsidRPr="00251A53">
              <w:rPr>
                <w:sz w:val="18"/>
                <w:szCs w:val="18"/>
              </w:rPr>
              <w:t xml:space="preserve">UNFPA: </w:t>
            </w:r>
            <w:r w:rsidRPr="00251A53">
              <w:rPr>
                <w:sz w:val="18"/>
                <w:szCs w:val="18"/>
              </w:rPr>
              <w:br/>
              <w:t>200,000</w:t>
            </w:r>
          </w:p>
          <w:p w14:paraId="5DC068FD" w14:textId="77777777" w:rsidR="007C25CB" w:rsidRPr="00251A53" w:rsidRDefault="007C25CB" w:rsidP="004018B0">
            <w:pPr>
              <w:spacing w:before="20" w:after="120"/>
              <w:ind w:left="-41" w:right="-102"/>
              <w:jc w:val="center"/>
              <w:rPr>
                <w:sz w:val="18"/>
                <w:szCs w:val="18"/>
              </w:rPr>
            </w:pPr>
            <w:r w:rsidRPr="00251A53">
              <w:rPr>
                <w:sz w:val="18"/>
                <w:szCs w:val="18"/>
              </w:rPr>
              <w:t xml:space="preserve">UNICEF: </w:t>
            </w:r>
            <w:r w:rsidRPr="00251A53">
              <w:rPr>
                <w:sz w:val="18"/>
                <w:szCs w:val="18"/>
              </w:rPr>
              <w:br/>
              <w:t>600,000</w:t>
            </w:r>
          </w:p>
        </w:tc>
        <w:tc>
          <w:tcPr>
            <w:tcW w:w="343" w:type="pct"/>
            <w:vMerge w:val="restart"/>
            <w:tcBorders>
              <w:bottom w:val="nil"/>
            </w:tcBorders>
          </w:tcPr>
          <w:p w14:paraId="39888C6D" w14:textId="77777777" w:rsidR="007C25CB" w:rsidRPr="00251A53" w:rsidRDefault="007C25CB" w:rsidP="004018B0">
            <w:pPr>
              <w:spacing w:before="20" w:after="120"/>
              <w:jc w:val="center"/>
              <w:rPr>
                <w:sz w:val="18"/>
                <w:szCs w:val="18"/>
              </w:rPr>
            </w:pPr>
            <w:r w:rsidRPr="00251A53">
              <w:rPr>
                <w:sz w:val="18"/>
                <w:szCs w:val="18"/>
              </w:rPr>
              <w:t xml:space="preserve">UNDP: </w:t>
            </w:r>
            <w:r w:rsidRPr="00251A53">
              <w:rPr>
                <w:sz w:val="18"/>
                <w:szCs w:val="18"/>
              </w:rPr>
              <w:br/>
              <w:t>5,000,000</w:t>
            </w:r>
          </w:p>
          <w:p w14:paraId="467FF542" w14:textId="77777777" w:rsidR="007C25CB" w:rsidRPr="00251A53" w:rsidRDefault="007C25CB" w:rsidP="004018B0">
            <w:pPr>
              <w:spacing w:before="20" w:after="120"/>
              <w:jc w:val="center"/>
              <w:rPr>
                <w:sz w:val="18"/>
                <w:szCs w:val="18"/>
              </w:rPr>
            </w:pPr>
            <w:r w:rsidRPr="00251A53">
              <w:rPr>
                <w:sz w:val="18"/>
                <w:szCs w:val="18"/>
              </w:rPr>
              <w:t xml:space="preserve">UNFPA: </w:t>
            </w:r>
            <w:r w:rsidRPr="00251A53">
              <w:rPr>
                <w:sz w:val="18"/>
                <w:szCs w:val="18"/>
              </w:rPr>
              <w:br/>
              <w:t>625,0000</w:t>
            </w:r>
          </w:p>
          <w:p w14:paraId="35F0BFA4" w14:textId="77777777" w:rsidR="007C25CB" w:rsidRPr="00251A53" w:rsidRDefault="007C25CB" w:rsidP="004018B0">
            <w:pPr>
              <w:spacing w:before="20" w:after="120"/>
              <w:jc w:val="center"/>
              <w:rPr>
                <w:sz w:val="18"/>
                <w:szCs w:val="18"/>
              </w:rPr>
            </w:pPr>
            <w:r w:rsidRPr="00251A53">
              <w:rPr>
                <w:sz w:val="18"/>
                <w:szCs w:val="18"/>
              </w:rPr>
              <w:t xml:space="preserve">UNICEF: </w:t>
            </w:r>
            <w:r w:rsidRPr="00251A53">
              <w:rPr>
                <w:sz w:val="18"/>
                <w:szCs w:val="18"/>
              </w:rPr>
              <w:br/>
              <w:t>250,000</w:t>
            </w:r>
          </w:p>
        </w:tc>
        <w:tc>
          <w:tcPr>
            <w:tcW w:w="371" w:type="pct"/>
            <w:vMerge w:val="restart"/>
            <w:tcBorders>
              <w:bottom w:val="nil"/>
            </w:tcBorders>
          </w:tcPr>
          <w:p w14:paraId="6FF4C82C" w14:textId="77777777" w:rsidR="007C25CB" w:rsidRPr="00251A53" w:rsidRDefault="007C25CB" w:rsidP="004018B0">
            <w:pPr>
              <w:spacing w:before="20" w:after="120"/>
              <w:jc w:val="center"/>
              <w:rPr>
                <w:sz w:val="18"/>
                <w:szCs w:val="18"/>
              </w:rPr>
            </w:pPr>
            <w:r w:rsidRPr="00251A53">
              <w:rPr>
                <w:sz w:val="18"/>
                <w:szCs w:val="18"/>
              </w:rPr>
              <w:t xml:space="preserve">UNDP: </w:t>
            </w:r>
            <w:r w:rsidRPr="00251A53">
              <w:rPr>
                <w:sz w:val="18"/>
                <w:szCs w:val="18"/>
              </w:rPr>
              <w:br/>
              <w:t>5,480,000</w:t>
            </w:r>
          </w:p>
          <w:p w14:paraId="1CB038C5" w14:textId="77777777" w:rsidR="007C25CB" w:rsidRPr="00251A53" w:rsidRDefault="007C25CB" w:rsidP="004018B0">
            <w:pPr>
              <w:spacing w:before="20" w:after="120"/>
              <w:jc w:val="center"/>
              <w:rPr>
                <w:sz w:val="18"/>
                <w:szCs w:val="18"/>
              </w:rPr>
            </w:pPr>
            <w:r w:rsidRPr="00251A53">
              <w:rPr>
                <w:sz w:val="18"/>
                <w:szCs w:val="18"/>
              </w:rPr>
              <w:t xml:space="preserve">UNFPA: </w:t>
            </w:r>
            <w:r w:rsidRPr="00251A53">
              <w:rPr>
                <w:sz w:val="18"/>
                <w:szCs w:val="18"/>
              </w:rPr>
              <w:br/>
              <w:t>825,000</w:t>
            </w:r>
          </w:p>
          <w:p w14:paraId="2F7EAFEA" w14:textId="77777777" w:rsidR="007C25CB" w:rsidRPr="00251A53" w:rsidRDefault="007C25CB" w:rsidP="004018B0">
            <w:pPr>
              <w:spacing w:before="20" w:after="120"/>
              <w:jc w:val="center"/>
              <w:rPr>
                <w:b/>
                <w:sz w:val="18"/>
                <w:szCs w:val="18"/>
              </w:rPr>
            </w:pPr>
            <w:r w:rsidRPr="00251A53">
              <w:rPr>
                <w:sz w:val="18"/>
                <w:szCs w:val="18"/>
              </w:rPr>
              <w:t xml:space="preserve">UNICEF: </w:t>
            </w:r>
            <w:r w:rsidRPr="00251A53">
              <w:rPr>
                <w:sz w:val="18"/>
                <w:szCs w:val="18"/>
              </w:rPr>
              <w:br/>
              <w:t>850,000</w:t>
            </w:r>
          </w:p>
        </w:tc>
      </w:tr>
      <w:tr w:rsidR="007C25CB" w:rsidRPr="00251A53" w14:paraId="0D6577E2" w14:textId="77777777" w:rsidTr="007C25CB">
        <w:trPr>
          <w:trHeight w:val="20"/>
        </w:trPr>
        <w:tc>
          <w:tcPr>
            <w:tcW w:w="751" w:type="pct"/>
            <w:tcBorders>
              <w:top w:val="nil"/>
              <w:bottom w:val="nil"/>
            </w:tcBorders>
            <w:tcMar>
              <w:top w:w="72" w:type="dxa"/>
              <w:left w:w="144" w:type="dxa"/>
              <w:bottom w:w="72" w:type="dxa"/>
              <w:right w:w="144" w:type="dxa"/>
            </w:tcMar>
          </w:tcPr>
          <w:p w14:paraId="78D0F876" w14:textId="77777777" w:rsidR="007C25CB" w:rsidRPr="00251A53" w:rsidRDefault="007C25CB" w:rsidP="007612AB">
            <w:pPr>
              <w:spacing w:before="20" w:after="20"/>
              <w:rPr>
                <w:sz w:val="18"/>
                <w:szCs w:val="18"/>
              </w:rPr>
            </w:pPr>
            <w:r w:rsidRPr="00251A53">
              <w:rPr>
                <w:bCs/>
                <w:sz w:val="18"/>
                <w:szCs w:val="18"/>
                <w:u w:val="single"/>
              </w:rPr>
              <w:t>Indicator 3.1.3</w:t>
            </w:r>
            <w:r w:rsidRPr="00251A53">
              <w:rPr>
                <w:bCs/>
                <w:sz w:val="18"/>
                <w:szCs w:val="18"/>
              </w:rPr>
              <w:t>:</w:t>
            </w:r>
            <w:r w:rsidRPr="00251A53">
              <w:rPr>
                <w:sz w:val="18"/>
                <w:szCs w:val="18"/>
              </w:rPr>
              <w:t xml:space="preserve"> </w:t>
            </w:r>
            <w:r w:rsidR="00C15723" w:rsidRPr="00251A53">
              <w:rPr>
                <w:sz w:val="18"/>
                <w:szCs w:val="18"/>
              </w:rPr>
              <w:br/>
            </w:r>
            <w:r w:rsidRPr="00251A53">
              <w:rPr>
                <w:sz w:val="18"/>
                <w:szCs w:val="18"/>
              </w:rPr>
              <w:t>Unemployment rate (over 15 years) by sex/age/area of residence</w:t>
            </w:r>
            <w:r w:rsidRPr="00251A53">
              <w:rPr>
                <w:sz w:val="18"/>
                <w:szCs w:val="18"/>
              </w:rPr>
              <w:br/>
            </w:r>
            <w:r w:rsidRPr="00251A53">
              <w:rPr>
                <w:bCs/>
                <w:i/>
                <w:sz w:val="18"/>
                <w:szCs w:val="18"/>
              </w:rPr>
              <w:t>Baseline</w:t>
            </w:r>
            <w:r w:rsidRPr="00251A53">
              <w:rPr>
                <w:bCs/>
                <w:sz w:val="18"/>
                <w:szCs w:val="18"/>
              </w:rPr>
              <w:t>:</w:t>
            </w:r>
            <w:r w:rsidRPr="00251A53">
              <w:rPr>
                <w:sz w:val="18"/>
                <w:szCs w:val="18"/>
              </w:rPr>
              <w:t xml:space="preserve"> 15% </w:t>
            </w:r>
            <w:r w:rsidR="00C15723" w:rsidRPr="00251A53">
              <w:rPr>
                <w:sz w:val="18"/>
                <w:szCs w:val="18"/>
              </w:rPr>
              <w:br/>
            </w:r>
            <w:r w:rsidRPr="00251A53">
              <w:rPr>
                <w:sz w:val="18"/>
                <w:szCs w:val="18"/>
              </w:rPr>
              <w:t xml:space="preserve">(Women: 17.4%; Men: 12.9%) </w:t>
            </w:r>
            <w:r w:rsidRPr="00251A53">
              <w:rPr>
                <w:sz w:val="18"/>
                <w:szCs w:val="18"/>
              </w:rPr>
              <w:br/>
            </w:r>
            <w:r w:rsidRPr="00251A53">
              <w:rPr>
                <w:bCs/>
                <w:i/>
                <w:sz w:val="18"/>
                <w:szCs w:val="18"/>
              </w:rPr>
              <w:t>Target</w:t>
            </w:r>
            <w:r w:rsidRPr="00251A53">
              <w:rPr>
                <w:bCs/>
                <w:sz w:val="18"/>
                <w:szCs w:val="18"/>
              </w:rPr>
              <w:t>: 8.8%</w:t>
            </w:r>
            <w:r w:rsidRPr="00251A53">
              <w:rPr>
                <w:sz w:val="18"/>
                <w:szCs w:val="18"/>
              </w:rPr>
              <w:t xml:space="preserve"> </w:t>
            </w:r>
          </w:p>
        </w:tc>
        <w:tc>
          <w:tcPr>
            <w:tcW w:w="857" w:type="pct"/>
            <w:tcBorders>
              <w:top w:val="nil"/>
              <w:bottom w:val="nil"/>
            </w:tcBorders>
          </w:tcPr>
          <w:p w14:paraId="03D8BC5C" w14:textId="77777777" w:rsidR="007C25CB" w:rsidRPr="00251A53" w:rsidRDefault="007C25CB" w:rsidP="007612AB">
            <w:pPr>
              <w:spacing w:before="20" w:after="20"/>
              <w:ind w:left="58" w:right="14"/>
              <w:rPr>
                <w:bCs/>
                <w:sz w:val="18"/>
                <w:szCs w:val="18"/>
              </w:rPr>
            </w:pPr>
            <w:r w:rsidRPr="00251A53">
              <w:rPr>
                <w:bCs/>
                <w:i/>
                <w:sz w:val="18"/>
                <w:szCs w:val="18"/>
              </w:rPr>
              <w:t>Source</w:t>
            </w:r>
            <w:r w:rsidRPr="00251A53">
              <w:rPr>
                <w:bCs/>
                <w:sz w:val="18"/>
                <w:szCs w:val="18"/>
              </w:rPr>
              <w:t>: INE</w:t>
            </w:r>
          </w:p>
          <w:p w14:paraId="2CBEC1B5" w14:textId="77777777" w:rsidR="007C25CB" w:rsidRPr="00251A53" w:rsidRDefault="007C25CB" w:rsidP="007612AB">
            <w:pPr>
              <w:spacing w:before="20" w:after="20"/>
              <w:ind w:left="55" w:right="17"/>
              <w:rPr>
                <w:bCs/>
                <w:sz w:val="18"/>
                <w:szCs w:val="18"/>
              </w:rPr>
            </w:pPr>
            <w:r w:rsidRPr="00251A53">
              <w:rPr>
                <w:bCs/>
                <w:i/>
                <w:sz w:val="18"/>
                <w:szCs w:val="18"/>
              </w:rPr>
              <w:t>Responsibility</w:t>
            </w:r>
            <w:r w:rsidRPr="00251A53">
              <w:rPr>
                <w:bCs/>
                <w:sz w:val="18"/>
                <w:szCs w:val="18"/>
              </w:rPr>
              <w:t xml:space="preserve">: </w:t>
            </w:r>
            <w:r w:rsidRPr="00251A53">
              <w:rPr>
                <w:sz w:val="18"/>
                <w:szCs w:val="18"/>
              </w:rPr>
              <w:t>INE</w:t>
            </w:r>
          </w:p>
        </w:tc>
        <w:tc>
          <w:tcPr>
            <w:tcW w:w="1725" w:type="pct"/>
            <w:gridSpan w:val="2"/>
            <w:vMerge/>
            <w:tcMar>
              <w:top w:w="72" w:type="dxa"/>
              <w:left w:w="144" w:type="dxa"/>
              <w:bottom w:w="72" w:type="dxa"/>
              <w:right w:w="144" w:type="dxa"/>
            </w:tcMar>
          </w:tcPr>
          <w:p w14:paraId="2D19FDA5" w14:textId="77777777" w:rsidR="007C25CB" w:rsidRPr="00251A53" w:rsidRDefault="007C25CB" w:rsidP="007612AB">
            <w:pPr>
              <w:spacing w:before="20" w:after="20"/>
              <w:rPr>
                <w:i/>
                <w:iCs/>
                <w:sz w:val="18"/>
                <w:szCs w:val="18"/>
              </w:rPr>
            </w:pPr>
          </w:p>
        </w:tc>
        <w:tc>
          <w:tcPr>
            <w:tcW w:w="609" w:type="pct"/>
            <w:gridSpan w:val="2"/>
            <w:vMerge/>
          </w:tcPr>
          <w:p w14:paraId="592461F4" w14:textId="77777777" w:rsidR="007C25CB" w:rsidRPr="00251A53" w:rsidRDefault="007C25CB" w:rsidP="007612AB">
            <w:pPr>
              <w:spacing w:before="20" w:after="20"/>
              <w:rPr>
                <w:i/>
                <w:iCs/>
                <w:sz w:val="18"/>
                <w:szCs w:val="18"/>
              </w:rPr>
            </w:pPr>
          </w:p>
        </w:tc>
        <w:tc>
          <w:tcPr>
            <w:tcW w:w="344" w:type="pct"/>
            <w:vMerge/>
            <w:tcBorders>
              <w:bottom w:val="nil"/>
            </w:tcBorders>
            <w:tcMar>
              <w:top w:w="15" w:type="dxa"/>
              <w:left w:w="108" w:type="dxa"/>
              <w:bottom w:w="0" w:type="dxa"/>
              <w:right w:w="108" w:type="dxa"/>
            </w:tcMar>
          </w:tcPr>
          <w:p w14:paraId="63CEC4A0" w14:textId="77777777" w:rsidR="007C25CB" w:rsidRPr="00251A53" w:rsidRDefault="007C25CB" w:rsidP="007612AB">
            <w:pPr>
              <w:spacing w:before="20" w:after="20"/>
              <w:rPr>
                <w:sz w:val="18"/>
                <w:szCs w:val="18"/>
              </w:rPr>
            </w:pPr>
          </w:p>
        </w:tc>
        <w:tc>
          <w:tcPr>
            <w:tcW w:w="343" w:type="pct"/>
            <w:vMerge/>
            <w:tcBorders>
              <w:bottom w:val="nil"/>
            </w:tcBorders>
          </w:tcPr>
          <w:p w14:paraId="0E5A190D" w14:textId="77777777" w:rsidR="007C25CB" w:rsidRPr="00251A53" w:rsidRDefault="007C25CB" w:rsidP="007612AB">
            <w:pPr>
              <w:spacing w:before="20" w:after="20"/>
              <w:rPr>
                <w:sz w:val="18"/>
                <w:szCs w:val="18"/>
              </w:rPr>
            </w:pPr>
          </w:p>
        </w:tc>
        <w:tc>
          <w:tcPr>
            <w:tcW w:w="371" w:type="pct"/>
            <w:vMerge/>
            <w:tcBorders>
              <w:bottom w:val="nil"/>
            </w:tcBorders>
          </w:tcPr>
          <w:p w14:paraId="317FC2EB" w14:textId="77777777" w:rsidR="007C25CB" w:rsidRPr="00251A53" w:rsidRDefault="007C25CB" w:rsidP="007612AB">
            <w:pPr>
              <w:spacing w:before="20" w:after="20"/>
              <w:rPr>
                <w:b/>
                <w:sz w:val="18"/>
                <w:szCs w:val="18"/>
              </w:rPr>
            </w:pPr>
          </w:p>
        </w:tc>
      </w:tr>
      <w:tr w:rsidR="007C25CB" w:rsidRPr="00251A53" w14:paraId="49A94B63" w14:textId="77777777" w:rsidTr="00917287">
        <w:trPr>
          <w:trHeight w:val="20"/>
        </w:trPr>
        <w:tc>
          <w:tcPr>
            <w:tcW w:w="751" w:type="pct"/>
            <w:tcBorders>
              <w:top w:val="nil"/>
              <w:bottom w:val="nil"/>
            </w:tcBorders>
            <w:tcMar>
              <w:top w:w="72" w:type="dxa"/>
              <w:left w:w="144" w:type="dxa"/>
              <w:bottom w:w="72" w:type="dxa"/>
              <w:right w:w="144" w:type="dxa"/>
            </w:tcMar>
          </w:tcPr>
          <w:p w14:paraId="08B4C9A9" w14:textId="77777777" w:rsidR="007C25CB" w:rsidRPr="00251A53" w:rsidRDefault="007C25CB" w:rsidP="00FD4894">
            <w:pPr>
              <w:spacing w:before="20" w:after="20"/>
              <w:rPr>
                <w:bCs/>
                <w:iCs/>
                <w:sz w:val="18"/>
                <w:szCs w:val="18"/>
              </w:rPr>
            </w:pPr>
            <w:r w:rsidRPr="00251A53">
              <w:rPr>
                <w:bCs/>
                <w:iCs/>
                <w:sz w:val="18"/>
                <w:szCs w:val="18"/>
                <w:u w:val="single"/>
              </w:rPr>
              <w:t>Indicator 3.1.5</w:t>
            </w:r>
            <w:r w:rsidRPr="00251A53">
              <w:rPr>
                <w:bCs/>
                <w:iCs/>
                <w:sz w:val="18"/>
                <w:szCs w:val="18"/>
              </w:rPr>
              <w:t>:</w:t>
            </w:r>
            <w:r w:rsidR="00C15723" w:rsidRPr="00251A53">
              <w:rPr>
                <w:bCs/>
                <w:iCs/>
                <w:sz w:val="18"/>
                <w:szCs w:val="18"/>
              </w:rPr>
              <w:br/>
            </w:r>
            <w:r w:rsidRPr="00251A53">
              <w:rPr>
                <w:bCs/>
                <w:iCs/>
                <w:sz w:val="18"/>
                <w:szCs w:val="18"/>
              </w:rPr>
              <w:t xml:space="preserve">Proportion of jobs in selected sectors of total jobs </w:t>
            </w:r>
            <w:r w:rsidR="00C15723" w:rsidRPr="00251A53">
              <w:rPr>
                <w:bCs/>
                <w:iCs/>
                <w:sz w:val="18"/>
                <w:szCs w:val="18"/>
              </w:rPr>
              <w:br/>
            </w:r>
            <w:r w:rsidRPr="00251A53">
              <w:rPr>
                <w:bCs/>
                <w:i/>
                <w:iCs/>
                <w:sz w:val="18"/>
                <w:szCs w:val="18"/>
              </w:rPr>
              <w:t>Baseline</w:t>
            </w:r>
            <w:r w:rsidRPr="00251A53">
              <w:rPr>
                <w:bCs/>
                <w:iCs/>
                <w:sz w:val="18"/>
                <w:szCs w:val="18"/>
              </w:rPr>
              <w:t xml:space="preserve">: </w:t>
            </w:r>
            <w:r w:rsidR="00FD4894" w:rsidRPr="00251A53">
              <w:rPr>
                <w:bCs/>
                <w:iCs/>
                <w:sz w:val="18"/>
                <w:szCs w:val="18"/>
              </w:rPr>
              <w:t>19.7% (</w:t>
            </w:r>
            <w:r w:rsidRPr="00251A53">
              <w:rPr>
                <w:bCs/>
                <w:iCs/>
                <w:sz w:val="18"/>
                <w:szCs w:val="18"/>
              </w:rPr>
              <w:t>agriculture, livestock, hunting, forestry and fisheries</w:t>
            </w:r>
            <w:r w:rsidR="00FD4894" w:rsidRPr="00251A53">
              <w:rPr>
                <w:bCs/>
                <w:iCs/>
                <w:sz w:val="18"/>
                <w:szCs w:val="18"/>
              </w:rPr>
              <w:t>), 9.9% (</w:t>
            </w:r>
            <w:r w:rsidRPr="00251A53">
              <w:rPr>
                <w:bCs/>
                <w:iCs/>
                <w:sz w:val="18"/>
                <w:szCs w:val="18"/>
              </w:rPr>
              <w:t>industry</w:t>
            </w:r>
            <w:r w:rsidR="00FD4894" w:rsidRPr="00251A53">
              <w:rPr>
                <w:bCs/>
                <w:iCs/>
                <w:sz w:val="18"/>
                <w:szCs w:val="18"/>
              </w:rPr>
              <w:t xml:space="preserve">),7.8% </w:t>
            </w:r>
            <w:r w:rsidR="00FD4894" w:rsidRPr="00251A53">
              <w:rPr>
                <w:bCs/>
                <w:iCs/>
                <w:sz w:val="18"/>
                <w:szCs w:val="18"/>
              </w:rPr>
              <w:lastRenderedPageBreak/>
              <w:t>(</w:t>
            </w:r>
            <w:r w:rsidRPr="00251A53">
              <w:rPr>
                <w:bCs/>
                <w:iCs/>
                <w:sz w:val="18"/>
                <w:szCs w:val="18"/>
              </w:rPr>
              <w:t>accommodation and restaurant</w:t>
            </w:r>
            <w:r w:rsidR="00FD4894" w:rsidRPr="00251A53">
              <w:rPr>
                <w:bCs/>
                <w:iCs/>
                <w:sz w:val="18"/>
                <w:szCs w:val="18"/>
              </w:rPr>
              <w:t>)</w:t>
            </w:r>
            <w:r w:rsidR="00FD4894" w:rsidRPr="00251A53">
              <w:rPr>
                <w:bCs/>
                <w:iCs/>
                <w:sz w:val="18"/>
                <w:szCs w:val="18"/>
              </w:rPr>
              <w:br/>
            </w:r>
            <w:r w:rsidRPr="00251A53">
              <w:rPr>
                <w:bCs/>
                <w:i/>
                <w:iCs/>
                <w:sz w:val="18"/>
                <w:szCs w:val="18"/>
              </w:rPr>
              <w:t>Target:</w:t>
            </w:r>
            <w:r w:rsidRPr="00251A53">
              <w:rPr>
                <w:bCs/>
                <w:iCs/>
                <w:sz w:val="18"/>
                <w:szCs w:val="18"/>
              </w:rPr>
              <w:t xml:space="preserve"> TBD</w:t>
            </w:r>
          </w:p>
        </w:tc>
        <w:tc>
          <w:tcPr>
            <w:tcW w:w="857" w:type="pct"/>
            <w:tcBorders>
              <w:top w:val="nil"/>
              <w:bottom w:val="nil"/>
            </w:tcBorders>
          </w:tcPr>
          <w:p w14:paraId="1AA9007C" w14:textId="77777777" w:rsidR="007C25CB" w:rsidRPr="00251A53" w:rsidRDefault="007C25CB" w:rsidP="007612AB">
            <w:pPr>
              <w:spacing w:before="20" w:after="20"/>
              <w:ind w:left="43" w:right="14"/>
              <w:rPr>
                <w:iCs/>
                <w:sz w:val="18"/>
                <w:szCs w:val="18"/>
              </w:rPr>
            </w:pPr>
            <w:r w:rsidRPr="00251A53">
              <w:rPr>
                <w:i/>
                <w:iCs/>
                <w:sz w:val="18"/>
                <w:szCs w:val="18"/>
              </w:rPr>
              <w:lastRenderedPageBreak/>
              <w:t>Source</w:t>
            </w:r>
            <w:r w:rsidRPr="00251A53">
              <w:rPr>
                <w:iCs/>
                <w:sz w:val="18"/>
                <w:szCs w:val="18"/>
              </w:rPr>
              <w:t>:</w:t>
            </w:r>
            <w:r w:rsidRPr="00251A53">
              <w:rPr>
                <w:i/>
                <w:iCs/>
                <w:sz w:val="18"/>
                <w:szCs w:val="18"/>
              </w:rPr>
              <w:t xml:space="preserve"> </w:t>
            </w:r>
            <w:r w:rsidRPr="00251A53">
              <w:rPr>
                <w:iCs/>
                <w:sz w:val="18"/>
                <w:szCs w:val="18"/>
              </w:rPr>
              <w:t>INE</w:t>
            </w:r>
          </w:p>
          <w:p w14:paraId="60844F57" w14:textId="77777777" w:rsidR="007C25CB" w:rsidRPr="00251A53" w:rsidRDefault="007C25CB" w:rsidP="007612AB">
            <w:pPr>
              <w:spacing w:before="20" w:after="20"/>
              <w:ind w:left="36" w:right="17"/>
              <w:rPr>
                <w:bCs/>
                <w:sz w:val="18"/>
                <w:szCs w:val="18"/>
              </w:rPr>
            </w:pPr>
            <w:r w:rsidRPr="00251A53">
              <w:rPr>
                <w:bCs/>
                <w:i/>
                <w:sz w:val="18"/>
                <w:szCs w:val="18"/>
              </w:rPr>
              <w:t>Responsibility:</w:t>
            </w:r>
            <w:r w:rsidRPr="00251A53">
              <w:rPr>
                <w:bCs/>
                <w:sz w:val="18"/>
                <w:szCs w:val="18"/>
              </w:rPr>
              <w:t xml:space="preserve"> INE</w:t>
            </w:r>
          </w:p>
        </w:tc>
        <w:tc>
          <w:tcPr>
            <w:tcW w:w="1725" w:type="pct"/>
            <w:gridSpan w:val="2"/>
            <w:vMerge/>
            <w:tcMar>
              <w:top w:w="72" w:type="dxa"/>
              <w:left w:w="144" w:type="dxa"/>
              <w:bottom w:w="72" w:type="dxa"/>
              <w:right w:w="144" w:type="dxa"/>
            </w:tcMar>
          </w:tcPr>
          <w:p w14:paraId="4EE4A295" w14:textId="77777777" w:rsidR="007C25CB" w:rsidRPr="00251A53" w:rsidRDefault="007C25CB" w:rsidP="007612AB">
            <w:pPr>
              <w:spacing w:before="20" w:after="20"/>
              <w:rPr>
                <w:i/>
                <w:iCs/>
                <w:sz w:val="18"/>
                <w:szCs w:val="18"/>
              </w:rPr>
            </w:pPr>
          </w:p>
        </w:tc>
        <w:tc>
          <w:tcPr>
            <w:tcW w:w="609" w:type="pct"/>
            <w:gridSpan w:val="2"/>
            <w:vMerge/>
          </w:tcPr>
          <w:p w14:paraId="343E1023" w14:textId="77777777" w:rsidR="007C25CB" w:rsidRPr="00251A53" w:rsidRDefault="007C25CB" w:rsidP="007612AB">
            <w:pPr>
              <w:spacing w:before="20" w:after="20"/>
              <w:rPr>
                <w:i/>
                <w:iCs/>
                <w:sz w:val="18"/>
                <w:szCs w:val="18"/>
              </w:rPr>
            </w:pPr>
          </w:p>
        </w:tc>
        <w:tc>
          <w:tcPr>
            <w:tcW w:w="344" w:type="pct"/>
            <w:vMerge/>
            <w:tcBorders>
              <w:bottom w:val="nil"/>
            </w:tcBorders>
            <w:tcMar>
              <w:top w:w="15" w:type="dxa"/>
              <w:left w:w="108" w:type="dxa"/>
              <w:bottom w:w="0" w:type="dxa"/>
              <w:right w:w="108" w:type="dxa"/>
            </w:tcMar>
          </w:tcPr>
          <w:p w14:paraId="4BFDD8AB" w14:textId="77777777" w:rsidR="007C25CB" w:rsidRPr="00251A53" w:rsidRDefault="007C25CB" w:rsidP="007612AB">
            <w:pPr>
              <w:spacing w:before="20" w:after="20"/>
              <w:rPr>
                <w:sz w:val="18"/>
                <w:szCs w:val="18"/>
              </w:rPr>
            </w:pPr>
          </w:p>
        </w:tc>
        <w:tc>
          <w:tcPr>
            <w:tcW w:w="343" w:type="pct"/>
            <w:vMerge/>
            <w:tcBorders>
              <w:bottom w:val="nil"/>
            </w:tcBorders>
          </w:tcPr>
          <w:p w14:paraId="646DFCAC" w14:textId="77777777" w:rsidR="007C25CB" w:rsidRPr="00251A53" w:rsidRDefault="007C25CB" w:rsidP="007612AB">
            <w:pPr>
              <w:spacing w:before="20" w:after="20"/>
              <w:rPr>
                <w:sz w:val="18"/>
                <w:szCs w:val="18"/>
              </w:rPr>
            </w:pPr>
          </w:p>
        </w:tc>
        <w:tc>
          <w:tcPr>
            <w:tcW w:w="371" w:type="pct"/>
            <w:vMerge/>
            <w:tcBorders>
              <w:bottom w:val="nil"/>
            </w:tcBorders>
          </w:tcPr>
          <w:p w14:paraId="6A83498B" w14:textId="77777777" w:rsidR="007C25CB" w:rsidRPr="00251A53" w:rsidRDefault="007C25CB" w:rsidP="007612AB">
            <w:pPr>
              <w:spacing w:before="20" w:after="20"/>
              <w:rPr>
                <w:b/>
                <w:sz w:val="18"/>
                <w:szCs w:val="18"/>
              </w:rPr>
            </w:pPr>
          </w:p>
        </w:tc>
      </w:tr>
      <w:tr w:rsidR="007C25CB" w:rsidRPr="00251A53" w14:paraId="3B14C108" w14:textId="77777777" w:rsidTr="00917287">
        <w:trPr>
          <w:cantSplit/>
          <w:trHeight w:val="20"/>
        </w:trPr>
        <w:tc>
          <w:tcPr>
            <w:tcW w:w="751" w:type="pct"/>
            <w:tcBorders>
              <w:top w:val="nil"/>
              <w:bottom w:val="nil"/>
            </w:tcBorders>
            <w:tcMar>
              <w:top w:w="72" w:type="dxa"/>
              <w:left w:w="144" w:type="dxa"/>
              <w:bottom w:w="72" w:type="dxa"/>
              <w:right w:w="144" w:type="dxa"/>
            </w:tcMar>
          </w:tcPr>
          <w:p w14:paraId="7EBDF266" w14:textId="77777777" w:rsidR="007C25CB" w:rsidRPr="00251A53" w:rsidRDefault="007C25CB" w:rsidP="007612AB">
            <w:pPr>
              <w:spacing w:before="20" w:after="20"/>
              <w:rPr>
                <w:iCs/>
                <w:sz w:val="18"/>
                <w:szCs w:val="18"/>
              </w:rPr>
            </w:pPr>
          </w:p>
        </w:tc>
        <w:tc>
          <w:tcPr>
            <w:tcW w:w="857" w:type="pct"/>
            <w:tcBorders>
              <w:top w:val="nil"/>
              <w:bottom w:val="nil"/>
            </w:tcBorders>
          </w:tcPr>
          <w:p w14:paraId="5809204D" w14:textId="77777777" w:rsidR="007C25CB" w:rsidRPr="00251A53" w:rsidRDefault="007C25CB" w:rsidP="007612AB">
            <w:pPr>
              <w:spacing w:before="20" w:after="20"/>
              <w:rPr>
                <w:i/>
                <w:iCs/>
                <w:sz w:val="18"/>
                <w:szCs w:val="18"/>
              </w:rPr>
            </w:pPr>
          </w:p>
        </w:tc>
        <w:tc>
          <w:tcPr>
            <w:tcW w:w="1725" w:type="pct"/>
            <w:gridSpan w:val="2"/>
            <w:vMerge w:val="restart"/>
            <w:tcMar>
              <w:top w:w="72" w:type="dxa"/>
              <w:left w:w="144" w:type="dxa"/>
              <w:bottom w:w="72" w:type="dxa"/>
              <w:right w:w="144" w:type="dxa"/>
            </w:tcMar>
          </w:tcPr>
          <w:p w14:paraId="7128FD84" w14:textId="77777777" w:rsidR="007C25CB" w:rsidRPr="00251A53" w:rsidRDefault="007C25CB" w:rsidP="007612AB">
            <w:pPr>
              <w:spacing w:before="20" w:after="20"/>
              <w:rPr>
                <w:i/>
                <w:iCs/>
                <w:sz w:val="18"/>
                <w:szCs w:val="18"/>
              </w:rPr>
            </w:pPr>
            <w:r w:rsidRPr="00251A53">
              <w:rPr>
                <w:iCs/>
                <w:sz w:val="18"/>
                <w:szCs w:val="18"/>
                <w:u w:val="single"/>
              </w:rPr>
              <w:t>Output 3.2</w:t>
            </w:r>
            <w:r w:rsidRPr="00251A53">
              <w:rPr>
                <w:iCs/>
                <w:sz w:val="18"/>
                <w:szCs w:val="18"/>
              </w:rPr>
              <w:t>:</w:t>
            </w:r>
            <w:r w:rsidRPr="00251A53">
              <w:rPr>
                <w:rFonts w:eastAsiaTheme="minorHAnsi"/>
                <w:sz w:val="18"/>
                <w:szCs w:val="18"/>
              </w:rPr>
              <w:t xml:space="preserve"> Young people and women have enhanced ability to secure employment, including self-employment </w:t>
            </w:r>
          </w:p>
          <w:p w14:paraId="4C929F19" w14:textId="77777777" w:rsidR="007C25CB" w:rsidRPr="00251A53" w:rsidRDefault="007C25CB" w:rsidP="007612AB">
            <w:pPr>
              <w:spacing w:before="20" w:after="20"/>
              <w:rPr>
                <w:sz w:val="18"/>
                <w:szCs w:val="18"/>
              </w:rPr>
            </w:pPr>
            <w:r w:rsidRPr="00251A53">
              <w:rPr>
                <w:iCs/>
                <w:sz w:val="18"/>
                <w:szCs w:val="18"/>
              </w:rPr>
              <w:t>3.2.1:</w:t>
            </w:r>
            <w:r w:rsidRPr="00251A53">
              <w:rPr>
                <w:sz w:val="18"/>
                <w:szCs w:val="18"/>
              </w:rPr>
              <w:t xml:space="preserve"> Number of young people and women that successfully complete technical and vocational training courses </w:t>
            </w:r>
          </w:p>
          <w:p w14:paraId="2FEE5C86" w14:textId="3096E449" w:rsidR="007C25CB" w:rsidRPr="00251A53" w:rsidRDefault="007C25CB" w:rsidP="007612AB">
            <w:pPr>
              <w:spacing w:before="20" w:after="20"/>
              <w:ind w:right="-118"/>
              <w:rPr>
                <w:iCs/>
                <w:sz w:val="18"/>
                <w:szCs w:val="18"/>
              </w:rPr>
            </w:pPr>
            <w:r w:rsidRPr="00251A53">
              <w:rPr>
                <w:i/>
                <w:iCs/>
                <w:sz w:val="18"/>
                <w:szCs w:val="18"/>
              </w:rPr>
              <w:t xml:space="preserve">Baseline: </w:t>
            </w:r>
            <w:r w:rsidRPr="00251A53">
              <w:rPr>
                <w:iCs/>
                <w:sz w:val="18"/>
                <w:szCs w:val="18"/>
              </w:rPr>
              <w:t>1,050</w:t>
            </w:r>
            <w:r w:rsidRPr="00251A53">
              <w:rPr>
                <w:i/>
                <w:iCs/>
                <w:sz w:val="18"/>
                <w:szCs w:val="18"/>
              </w:rPr>
              <w:t xml:space="preserve">; Target: </w:t>
            </w:r>
            <w:r w:rsidRPr="00251A53">
              <w:rPr>
                <w:iCs/>
                <w:sz w:val="18"/>
                <w:szCs w:val="18"/>
              </w:rPr>
              <w:t>1,500</w:t>
            </w:r>
            <w:r w:rsidRPr="00251A53">
              <w:rPr>
                <w:i/>
                <w:iCs/>
                <w:sz w:val="18"/>
                <w:szCs w:val="18"/>
              </w:rPr>
              <w:t xml:space="preserve"> </w:t>
            </w:r>
            <w:r w:rsidRPr="00251A53">
              <w:rPr>
                <w:i/>
                <w:iCs/>
                <w:sz w:val="18"/>
                <w:szCs w:val="18"/>
              </w:rPr>
              <w:br/>
            </w:r>
            <w:r w:rsidRPr="00251A53">
              <w:rPr>
                <w:iCs/>
                <w:sz w:val="18"/>
                <w:szCs w:val="18"/>
              </w:rPr>
              <w:t>(</w:t>
            </w:r>
            <w:r w:rsidR="008764EE" w:rsidRPr="00251A53">
              <w:rPr>
                <w:iCs/>
                <w:sz w:val="18"/>
                <w:szCs w:val="18"/>
              </w:rPr>
              <w:t>youth</w:t>
            </w:r>
            <w:r w:rsidR="002F5ACE" w:rsidRPr="00251A53">
              <w:rPr>
                <w:iCs/>
                <w:sz w:val="18"/>
                <w:szCs w:val="18"/>
              </w:rPr>
              <w:t>:</w:t>
            </w:r>
            <w:r w:rsidRPr="00251A53">
              <w:rPr>
                <w:i/>
                <w:iCs/>
                <w:sz w:val="18"/>
                <w:szCs w:val="18"/>
              </w:rPr>
              <w:t xml:space="preserve"> </w:t>
            </w:r>
            <w:r w:rsidRPr="00251A53">
              <w:rPr>
                <w:iCs/>
                <w:sz w:val="18"/>
                <w:szCs w:val="18"/>
              </w:rPr>
              <w:t>525;</w:t>
            </w:r>
            <w:r w:rsidRPr="00251A53">
              <w:rPr>
                <w:i/>
                <w:iCs/>
                <w:sz w:val="18"/>
                <w:szCs w:val="18"/>
              </w:rPr>
              <w:t xml:space="preserve"> </w:t>
            </w:r>
            <w:r w:rsidR="008764EE" w:rsidRPr="00251A53">
              <w:rPr>
                <w:iCs/>
                <w:sz w:val="18"/>
                <w:szCs w:val="18"/>
              </w:rPr>
              <w:t>women</w:t>
            </w:r>
            <w:r w:rsidR="002F5ACE" w:rsidRPr="00251A53">
              <w:rPr>
                <w:iCs/>
                <w:sz w:val="18"/>
                <w:szCs w:val="18"/>
              </w:rPr>
              <w:t>:</w:t>
            </w:r>
            <w:r w:rsidRPr="00251A53">
              <w:rPr>
                <w:iCs/>
                <w:sz w:val="18"/>
                <w:szCs w:val="18"/>
              </w:rPr>
              <w:t xml:space="preserve"> 975)</w:t>
            </w:r>
          </w:p>
          <w:p w14:paraId="66603D5F" w14:textId="77777777" w:rsidR="007C25CB" w:rsidRPr="00251A53" w:rsidRDefault="007C25CB" w:rsidP="007612AB">
            <w:pPr>
              <w:spacing w:before="20" w:after="20"/>
              <w:rPr>
                <w:i/>
                <w:iCs/>
                <w:sz w:val="18"/>
                <w:szCs w:val="18"/>
              </w:rPr>
            </w:pPr>
            <w:r w:rsidRPr="00251A53">
              <w:rPr>
                <w:i/>
                <w:iCs/>
                <w:sz w:val="18"/>
                <w:szCs w:val="18"/>
              </w:rPr>
              <w:t xml:space="preserve">Source: </w:t>
            </w:r>
            <w:r w:rsidRPr="00251A53">
              <w:rPr>
                <w:iCs/>
                <w:sz w:val="18"/>
                <w:szCs w:val="18"/>
              </w:rPr>
              <w:t>National Institute for Professional Training reports</w:t>
            </w:r>
            <w:r w:rsidRPr="00251A53">
              <w:rPr>
                <w:i/>
                <w:iCs/>
                <w:sz w:val="18"/>
                <w:szCs w:val="18"/>
              </w:rPr>
              <w:t xml:space="preserve"> </w:t>
            </w:r>
          </w:p>
          <w:p w14:paraId="151F444D" w14:textId="77777777" w:rsidR="007C25CB" w:rsidRPr="00251A53" w:rsidRDefault="00EC096F" w:rsidP="007612AB">
            <w:pPr>
              <w:spacing w:before="20" w:after="20"/>
              <w:rPr>
                <w:b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UNDP</w:t>
            </w:r>
          </w:p>
          <w:p w14:paraId="6B8BE8D4" w14:textId="77777777" w:rsidR="007C25CB" w:rsidRPr="00251A53" w:rsidRDefault="007C25CB" w:rsidP="007612AB">
            <w:pPr>
              <w:spacing w:before="20" w:after="20"/>
              <w:rPr>
                <w:iCs/>
                <w:sz w:val="18"/>
                <w:szCs w:val="18"/>
              </w:rPr>
            </w:pPr>
            <w:r w:rsidRPr="00251A53">
              <w:rPr>
                <w:iCs/>
                <w:sz w:val="18"/>
                <w:szCs w:val="18"/>
              </w:rPr>
              <w:t>3.2.2: Percentage of youth beneficiaries and women of employment and entrepreneurship programmes integrated in the labour market within three years</w:t>
            </w:r>
          </w:p>
          <w:p w14:paraId="71700952" w14:textId="27C0A3E8" w:rsidR="007C25CB" w:rsidRPr="00251A53" w:rsidRDefault="007C25CB" w:rsidP="007612AB">
            <w:pPr>
              <w:spacing w:before="20" w:after="20"/>
              <w:rPr>
                <w:i/>
                <w:iCs/>
                <w:sz w:val="18"/>
                <w:szCs w:val="18"/>
              </w:rPr>
            </w:pPr>
            <w:r w:rsidRPr="00251A53">
              <w:rPr>
                <w:i/>
                <w:iCs/>
                <w:sz w:val="18"/>
                <w:szCs w:val="18"/>
              </w:rPr>
              <w:t xml:space="preserve">Baseline: </w:t>
            </w:r>
            <w:r w:rsidRPr="00251A53">
              <w:rPr>
                <w:iCs/>
                <w:sz w:val="18"/>
                <w:szCs w:val="18"/>
              </w:rPr>
              <w:t>60% (40%</w:t>
            </w:r>
            <w:r w:rsidRPr="00251A53">
              <w:rPr>
                <w:i/>
                <w:iCs/>
                <w:sz w:val="18"/>
                <w:szCs w:val="18"/>
              </w:rPr>
              <w:t xml:space="preserve"> </w:t>
            </w:r>
            <w:r w:rsidRPr="00251A53">
              <w:rPr>
                <w:iCs/>
                <w:sz w:val="18"/>
                <w:szCs w:val="18"/>
              </w:rPr>
              <w:t>youth</w:t>
            </w:r>
            <w:r w:rsidR="008764EE" w:rsidRPr="00251A53">
              <w:rPr>
                <w:iCs/>
                <w:sz w:val="18"/>
                <w:szCs w:val="18"/>
              </w:rPr>
              <w:t xml:space="preserve">; </w:t>
            </w:r>
            <w:r w:rsidRPr="00251A53">
              <w:rPr>
                <w:iCs/>
                <w:sz w:val="18"/>
                <w:szCs w:val="18"/>
              </w:rPr>
              <w:t>20% women)</w:t>
            </w:r>
          </w:p>
          <w:p w14:paraId="722275D0" w14:textId="245CB787" w:rsidR="007C25CB" w:rsidRPr="00251A53" w:rsidRDefault="007C25CB" w:rsidP="007612AB">
            <w:pPr>
              <w:spacing w:before="20" w:after="20"/>
              <w:rPr>
                <w:i/>
                <w:iCs/>
                <w:sz w:val="18"/>
                <w:szCs w:val="18"/>
              </w:rPr>
            </w:pPr>
            <w:r w:rsidRPr="00251A53">
              <w:rPr>
                <w:i/>
                <w:iCs/>
                <w:sz w:val="18"/>
                <w:szCs w:val="18"/>
              </w:rPr>
              <w:t xml:space="preserve">Target: </w:t>
            </w:r>
            <w:r w:rsidRPr="00251A53">
              <w:rPr>
                <w:iCs/>
                <w:sz w:val="18"/>
                <w:szCs w:val="18"/>
              </w:rPr>
              <w:t>75% (50% youth</w:t>
            </w:r>
            <w:r w:rsidR="008764EE" w:rsidRPr="00251A53">
              <w:rPr>
                <w:iCs/>
                <w:sz w:val="18"/>
                <w:szCs w:val="18"/>
              </w:rPr>
              <w:t xml:space="preserve">; </w:t>
            </w:r>
            <w:r w:rsidRPr="00251A53">
              <w:rPr>
                <w:iCs/>
                <w:sz w:val="18"/>
                <w:szCs w:val="18"/>
              </w:rPr>
              <w:t>25% women )</w:t>
            </w:r>
          </w:p>
          <w:p w14:paraId="2F0EA37A" w14:textId="77777777" w:rsidR="007C25CB" w:rsidRPr="00251A53" w:rsidRDefault="007C25CB" w:rsidP="007612AB">
            <w:pPr>
              <w:spacing w:before="20" w:after="20"/>
              <w:rPr>
                <w:i/>
                <w:iCs/>
                <w:sz w:val="18"/>
                <w:szCs w:val="18"/>
              </w:rPr>
            </w:pPr>
            <w:r w:rsidRPr="00251A53">
              <w:rPr>
                <w:i/>
                <w:iCs/>
                <w:sz w:val="18"/>
                <w:szCs w:val="18"/>
              </w:rPr>
              <w:t xml:space="preserve">Source: </w:t>
            </w:r>
            <w:r w:rsidRPr="00251A53">
              <w:rPr>
                <w:iCs/>
                <w:sz w:val="18"/>
                <w:szCs w:val="18"/>
              </w:rPr>
              <w:t>Institute of Employment and Professional Training reports</w:t>
            </w:r>
            <w:r w:rsidRPr="00251A53">
              <w:rPr>
                <w:i/>
                <w:iCs/>
                <w:sz w:val="18"/>
                <w:szCs w:val="18"/>
              </w:rPr>
              <w:t xml:space="preserve"> </w:t>
            </w:r>
          </w:p>
          <w:p w14:paraId="5FA23CFC" w14:textId="77777777" w:rsidR="007C25CB" w:rsidRPr="00251A53" w:rsidRDefault="00EC096F" w:rsidP="007612AB">
            <w:pPr>
              <w:spacing w:before="20" w:after="20"/>
              <w:rPr>
                <w:i/>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 xml:space="preserve">UNDP </w:t>
            </w:r>
          </w:p>
        </w:tc>
        <w:tc>
          <w:tcPr>
            <w:tcW w:w="609" w:type="pct"/>
            <w:gridSpan w:val="2"/>
            <w:vMerge/>
          </w:tcPr>
          <w:p w14:paraId="6E0A7C31" w14:textId="77777777" w:rsidR="007C25CB" w:rsidRPr="00251A53" w:rsidRDefault="007C25CB" w:rsidP="007612AB">
            <w:pPr>
              <w:spacing w:before="20" w:after="20"/>
              <w:rPr>
                <w:iCs/>
                <w:sz w:val="18"/>
                <w:szCs w:val="18"/>
              </w:rPr>
            </w:pPr>
          </w:p>
        </w:tc>
        <w:tc>
          <w:tcPr>
            <w:tcW w:w="344" w:type="pct"/>
            <w:vMerge w:val="restart"/>
            <w:tcBorders>
              <w:top w:val="nil"/>
              <w:bottom w:val="nil"/>
            </w:tcBorders>
            <w:tcMar>
              <w:top w:w="15" w:type="dxa"/>
              <w:left w:w="108" w:type="dxa"/>
              <w:bottom w:w="0" w:type="dxa"/>
              <w:right w:w="108" w:type="dxa"/>
            </w:tcMar>
          </w:tcPr>
          <w:p w14:paraId="234B4C2E" w14:textId="77777777" w:rsidR="007C25CB" w:rsidRPr="00251A53" w:rsidRDefault="007C25CB" w:rsidP="007612AB">
            <w:pPr>
              <w:spacing w:before="20" w:after="20"/>
              <w:rPr>
                <w:sz w:val="18"/>
                <w:szCs w:val="18"/>
              </w:rPr>
            </w:pPr>
          </w:p>
        </w:tc>
        <w:tc>
          <w:tcPr>
            <w:tcW w:w="343" w:type="pct"/>
            <w:vMerge w:val="restart"/>
            <w:tcBorders>
              <w:top w:val="nil"/>
              <w:bottom w:val="nil"/>
            </w:tcBorders>
          </w:tcPr>
          <w:p w14:paraId="1AB6353D" w14:textId="77777777" w:rsidR="007C25CB" w:rsidRPr="00251A53" w:rsidRDefault="007C25CB" w:rsidP="007612AB">
            <w:pPr>
              <w:spacing w:before="20" w:after="20"/>
              <w:rPr>
                <w:sz w:val="18"/>
                <w:szCs w:val="18"/>
              </w:rPr>
            </w:pPr>
          </w:p>
        </w:tc>
        <w:tc>
          <w:tcPr>
            <w:tcW w:w="371" w:type="pct"/>
            <w:vMerge w:val="restart"/>
            <w:tcBorders>
              <w:top w:val="nil"/>
              <w:bottom w:val="nil"/>
            </w:tcBorders>
          </w:tcPr>
          <w:p w14:paraId="5B25254C" w14:textId="77777777" w:rsidR="007C25CB" w:rsidRPr="00251A53" w:rsidRDefault="007C25CB" w:rsidP="007612AB">
            <w:pPr>
              <w:spacing w:before="20" w:after="20"/>
              <w:rPr>
                <w:sz w:val="18"/>
                <w:szCs w:val="18"/>
              </w:rPr>
            </w:pPr>
          </w:p>
        </w:tc>
      </w:tr>
      <w:tr w:rsidR="007C25CB" w:rsidRPr="00251A53" w14:paraId="3637209C" w14:textId="77777777" w:rsidTr="00917287">
        <w:trPr>
          <w:trHeight w:val="20"/>
        </w:trPr>
        <w:tc>
          <w:tcPr>
            <w:tcW w:w="751" w:type="pct"/>
            <w:tcBorders>
              <w:top w:val="nil"/>
              <w:bottom w:val="nil"/>
            </w:tcBorders>
            <w:tcMar>
              <w:top w:w="72" w:type="dxa"/>
              <w:left w:w="144" w:type="dxa"/>
              <w:bottom w:w="72" w:type="dxa"/>
              <w:right w:w="144" w:type="dxa"/>
            </w:tcMar>
          </w:tcPr>
          <w:p w14:paraId="263E2361" w14:textId="77777777" w:rsidR="007C25CB" w:rsidRPr="00251A53" w:rsidRDefault="007C25CB" w:rsidP="007612AB">
            <w:pPr>
              <w:spacing w:before="20" w:after="20"/>
              <w:rPr>
                <w:iCs/>
                <w:sz w:val="18"/>
                <w:szCs w:val="18"/>
              </w:rPr>
            </w:pPr>
          </w:p>
        </w:tc>
        <w:tc>
          <w:tcPr>
            <w:tcW w:w="857" w:type="pct"/>
            <w:tcBorders>
              <w:top w:val="nil"/>
              <w:bottom w:val="nil"/>
            </w:tcBorders>
          </w:tcPr>
          <w:p w14:paraId="38E0010D" w14:textId="77777777" w:rsidR="007C25CB" w:rsidRPr="00251A53" w:rsidRDefault="007C25CB" w:rsidP="007612AB">
            <w:pPr>
              <w:spacing w:before="20" w:after="20"/>
              <w:rPr>
                <w:i/>
                <w:iCs/>
                <w:sz w:val="18"/>
                <w:szCs w:val="18"/>
              </w:rPr>
            </w:pPr>
          </w:p>
        </w:tc>
        <w:tc>
          <w:tcPr>
            <w:tcW w:w="1725" w:type="pct"/>
            <w:gridSpan w:val="2"/>
            <w:vMerge/>
            <w:tcMar>
              <w:top w:w="72" w:type="dxa"/>
              <w:left w:w="144" w:type="dxa"/>
              <w:bottom w:w="72" w:type="dxa"/>
              <w:right w:w="144" w:type="dxa"/>
            </w:tcMar>
          </w:tcPr>
          <w:p w14:paraId="04952E23" w14:textId="77777777" w:rsidR="007C25CB" w:rsidRPr="00251A53" w:rsidRDefault="007C25CB" w:rsidP="007612AB">
            <w:pPr>
              <w:spacing w:before="20" w:after="20"/>
              <w:rPr>
                <w:i/>
                <w:iCs/>
                <w:sz w:val="18"/>
                <w:szCs w:val="18"/>
              </w:rPr>
            </w:pPr>
          </w:p>
        </w:tc>
        <w:tc>
          <w:tcPr>
            <w:tcW w:w="609" w:type="pct"/>
            <w:gridSpan w:val="2"/>
            <w:vMerge/>
          </w:tcPr>
          <w:p w14:paraId="6A17A318" w14:textId="77777777" w:rsidR="007C25CB" w:rsidRPr="00251A53" w:rsidRDefault="007C25CB" w:rsidP="007612AB">
            <w:pPr>
              <w:spacing w:before="20" w:after="20"/>
              <w:ind w:left="77"/>
              <w:rPr>
                <w:rFonts w:eastAsiaTheme="minorHAnsi"/>
                <w:sz w:val="18"/>
                <w:szCs w:val="18"/>
              </w:rPr>
            </w:pPr>
          </w:p>
        </w:tc>
        <w:tc>
          <w:tcPr>
            <w:tcW w:w="344" w:type="pct"/>
            <w:vMerge/>
            <w:tcBorders>
              <w:bottom w:val="nil"/>
            </w:tcBorders>
            <w:tcMar>
              <w:top w:w="15" w:type="dxa"/>
              <w:left w:w="108" w:type="dxa"/>
              <w:bottom w:w="0" w:type="dxa"/>
              <w:right w:w="108" w:type="dxa"/>
            </w:tcMar>
          </w:tcPr>
          <w:p w14:paraId="27D8BA45" w14:textId="77777777" w:rsidR="007C25CB" w:rsidRPr="00251A53" w:rsidRDefault="007C25CB" w:rsidP="007612AB">
            <w:pPr>
              <w:spacing w:before="20" w:after="20"/>
              <w:rPr>
                <w:sz w:val="18"/>
                <w:szCs w:val="18"/>
              </w:rPr>
            </w:pPr>
          </w:p>
        </w:tc>
        <w:tc>
          <w:tcPr>
            <w:tcW w:w="343" w:type="pct"/>
            <w:vMerge/>
            <w:tcBorders>
              <w:bottom w:val="nil"/>
            </w:tcBorders>
          </w:tcPr>
          <w:p w14:paraId="406EA7C8" w14:textId="77777777" w:rsidR="007C25CB" w:rsidRPr="00251A53" w:rsidRDefault="007C25CB" w:rsidP="007612AB">
            <w:pPr>
              <w:spacing w:before="20" w:after="20"/>
              <w:rPr>
                <w:sz w:val="18"/>
                <w:szCs w:val="18"/>
              </w:rPr>
            </w:pPr>
          </w:p>
        </w:tc>
        <w:tc>
          <w:tcPr>
            <w:tcW w:w="371" w:type="pct"/>
            <w:vMerge/>
            <w:tcBorders>
              <w:bottom w:val="nil"/>
            </w:tcBorders>
          </w:tcPr>
          <w:p w14:paraId="70277EC4" w14:textId="77777777" w:rsidR="007C25CB" w:rsidRPr="00251A53" w:rsidRDefault="007C25CB" w:rsidP="007612AB">
            <w:pPr>
              <w:spacing w:before="20" w:after="20"/>
              <w:rPr>
                <w:sz w:val="18"/>
                <w:szCs w:val="18"/>
              </w:rPr>
            </w:pPr>
          </w:p>
        </w:tc>
      </w:tr>
      <w:tr w:rsidR="007C25CB" w:rsidRPr="00251A53" w14:paraId="61B1044D" w14:textId="77777777" w:rsidTr="00917287">
        <w:trPr>
          <w:trHeight w:val="20"/>
        </w:trPr>
        <w:tc>
          <w:tcPr>
            <w:tcW w:w="751" w:type="pct"/>
            <w:tcBorders>
              <w:top w:val="nil"/>
              <w:bottom w:val="nil"/>
            </w:tcBorders>
            <w:tcMar>
              <w:top w:w="72" w:type="dxa"/>
              <w:left w:w="144" w:type="dxa"/>
              <w:bottom w:w="72" w:type="dxa"/>
              <w:right w:w="144" w:type="dxa"/>
            </w:tcMar>
          </w:tcPr>
          <w:p w14:paraId="7BEAE0CD" w14:textId="77777777" w:rsidR="007C25CB" w:rsidRPr="00251A53" w:rsidRDefault="007C25CB" w:rsidP="007612AB">
            <w:pPr>
              <w:spacing w:before="20" w:after="20"/>
              <w:rPr>
                <w:i/>
                <w:iCs/>
                <w:sz w:val="18"/>
                <w:szCs w:val="18"/>
              </w:rPr>
            </w:pPr>
          </w:p>
        </w:tc>
        <w:tc>
          <w:tcPr>
            <w:tcW w:w="857" w:type="pct"/>
            <w:tcBorders>
              <w:top w:val="nil"/>
              <w:bottom w:val="nil"/>
            </w:tcBorders>
          </w:tcPr>
          <w:p w14:paraId="7CBF1A65" w14:textId="77777777" w:rsidR="007C25CB" w:rsidRPr="00251A53" w:rsidRDefault="007C25CB" w:rsidP="007612AB">
            <w:pPr>
              <w:spacing w:before="20" w:after="20"/>
              <w:rPr>
                <w:i/>
                <w:iCs/>
                <w:sz w:val="18"/>
                <w:szCs w:val="18"/>
              </w:rPr>
            </w:pPr>
          </w:p>
        </w:tc>
        <w:tc>
          <w:tcPr>
            <w:tcW w:w="1725" w:type="pct"/>
            <w:gridSpan w:val="2"/>
            <w:tcMar>
              <w:top w:w="72" w:type="dxa"/>
              <w:left w:w="144" w:type="dxa"/>
              <w:bottom w:w="72" w:type="dxa"/>
              <w:right w:w="144" w:type="dxa"/>
            </w:tcMar>
          </w:tcPr>
          <w:p w14:paraId="4A6493B2" w14:textId="77777777" w:rsidR="007C25CB" w:rsidRPr="00251A53" w:rsidRDefault="007C25CB" w:rsidP="007612AB">
            <w:pPr>
              <w:spacing w:before="20" w:after="20"/>
              <w:rPr>
                <w:bCs/>
                <w:sz w:val="18"/>
                <w:szCs w:val="18"/>
              </w:rPr>
            </w:pPr>
            <w:r w:rsidRPr="00251A53">
              <w:rPr>
                <w:iCs/>
                <w:sz w:val="18"/>
                <w:szCs w:val="18"/>
                <w:u w:val="single"/>
              </w:rPr>
              <w:t>Output 3.3</w:t>
            </w:r>
            <w:r w:rsidRPr="00251A53">
              <w:rPr>
                <w:i/>
                <w:iCs/>
                <w:sz w:val="18"/>
                <w:szCs w:val="18"/>
              </w:rPr>
              <w:t>:</w:t>
            </w:r>
            <w:r w:rsidRPr="00251A53">
              <w:rPr>
                <w:bCs/>
                <w:i/>
                <w:iCs/>
                <w:sz w:val="18"/>
                <w:szCs w:val="18"/>
              </w:rPr>
              <w:t xml:space="preserve"> </w:t>
            </w:r>
            <w:r w:rsidRPr="00251A53">
              <w:rPr>
                <w:bCs/>
                <w:iCs/>
                <w:sz w:val="18"/>
                <w:szCs w:val="18"/>
              </w:rPr>
              <w:t xml:space="preserve">Municipalities have strengthened technical capacities to develop </w:t>
            </w:r>
            <w:r w:rsidRPr="00251A53">
              <w:rPr>
                <w:bCs/>
                <w:sz w:val="18"/>
                <w:szCs w:val="18"/>
              </w:rPr>
              <w:t xml:space="preserve">integrated and SDG-aligned territorial development strategies that promote local employment opportunities particularly for youth and women </w:t>
            </w:r>
          </w:p>
          <w:p w14:paraId="0F82E903" w14:textId="77777777" w:rsidR="007C25CB" w:rsidRPr="00251A53" w:rsidRDefault="007C25CB" w:rsidP="007612AB">
            <w:pPr>
              <w:spacing w:before="20" w:after="20"/>
              <w:rPr>
                <w:sz w:val="18"/>
                <w:szCs w:val="18"/>
              </w:rPr>
            </w:pPr>
            <w:r w:rsidRPr="00251A53">
              <w:rPr>
                <w:iCs/>
                <w:sz w:val="18"/>
                <w:szCs w:val="18"/>
              </w:rPr>
              <w:t>3.3.1:</w:t>
            </w:r>
            <w:r w:rsidRPr="00251A53">
              <w:rPr>
                <w:sz w:val="18"/>
                <w:szCs w:val="18"/>
              </w:rPr>
              <w:t xml:space="preserve"> Percentage of members of local development platforms that are young women and men</w:t>
            </w:r>
          </w:p>
          <w:p w14:paraId="2C31C74C" w14:textId="77777777" w:rsidR="007C25CB" w:rsidRPr="00251A53" w:rsidRDefault="007C25CB" w:rsidP="007612AB">
            <w:pPr>
              <w:spacing w:before="20" w:after="20"/>
              <w:rPr>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30%</w:t>
            </w:r>
            <w:r w:rsidRPr="00251A53">
              <w:rPr>
                <w:i/>
                <w:iCs/>
                <w:sz w:val="18"/>
                <w:szCs w:val="18"/>
              </w:rPr>
              <w:t xml:space="preserve"> </w:t>
            </w:r>
          </w:p>
          <w:p w14:paraId="0CB772B9" w14:textId="77777777" w:rsidR="007C25CB" w:rsidRPr="00251A53" w:rsidRDefault="007C25CB" w:rsidP="007612AB">
            <w:pPr>
              <w:spacing w:before="20" w:after="20"/>
              <w:rPr>
                <w:sz w:val="18"/>
                <w:szCs w:val="18"/>
              </w:rPr>
            </w:pPr>
            <w:r w:rsidRPr="00251A53">
              <w:rPr>
                <w:i/>
                <w:iCs/>
                <w:sz w:val="18"/>
                <w:szCs w:val="18"/>
              </w:rPr>
              <w:t xml:space="preserve">Source: </w:t>
            </w:r>
            <w:r w:rsidRPr="00251A53">
              <w:rPr>
                <w:iCs/>
                <w:sz w:val="18"/>
                <w:szCs w:val="18"/>
              </w:rPr>
              <w:t>Minutes of platform meetings</w:t>
            </w:r>
            <w:r w:rsidRPr="00251A53">
              <w:rPr>
                <w:i/>
                <w:iCs/>
                <w:sz w:val="18"/>
                <w:szCs w:val="18"/>
              </w:rPr>
              <w:t xml:space="preserve"> </w:t>
            </w:r>
          </w:p>
          <w:p w14:paraId="74B8DAF3" w14:textId="77777777" w:rsidR="007C25CB" w:rsidRPr="00251A53" w:rsidRDefault="00EC096F" w:rsidP="007612AB">
            <w:pPr>
              <w:spacing w:before="20" w:after="20"/>
              <w:rPr>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UNFPA</w:t>
            </w:r>
          </w:p>
          <w:p w14:paraId="72B4A1DF" w14:textId="77777777" w:rsidR="007C25CB" w:rsidRPr="00251A53" w:rsidRDefault="007C25CB" w:rsidP="007612AB">
            <w:pPr>
              <w:spacing w:before="20" w:after="20"/>
              <w:rPr>
                <w:sz w:val="18"/>
                <w:szCs w:val="18"/>
              </w:rPr>
            </w:pPr>
            <w:r w:rsidRPr="00251A53">
              <w:rPr>
                <w:iCs/>
                <w:sz w:val="18"/>
                <w:szCs w:val="18"/>
              </w:rPr>
              <w:t>3.3.2</w:t>
            </w:r>
            <w:r w:rsidRPr="00251A53">
              <w:rPr>
                <w:bCs/>
                <w:iCs/>
                <w:sz w:val="18"/>
                <w:szCs w:val="18"/>
              </w:rPr>
              <w:t>:</w:t>
            </w:r>
            <w:r w:rsidRPr="00251A53">
              <w:rPr>
                <w:iCs/>
                <w:sz w:val="18"/>
                <w:szCs w:val="18"/>
              </w:rPr>
              <w:t xml:space="preserve"> Number of elaborated territorial local economic development strategies that explicitly promote employment opportunities for youth and women</w:t>
            </w:r>
          </w:p>
          <w:p w14:paraId="16B2E31F" w14:textId="77777777" w:rsidR="007C25CB" w:rsidRPr="00251A53" w:rsidRDefault="007C25CB" w:rsidP="007612AB">
            <w:pPr>
              <w:spacing w:before="20" w:after="20"/>
              <w:rPr>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 xml:space="preserve">6 </w:t>
            </w:r>
          </w:p>
          <w:p w14:paraId="67BFE085" w14:textId="77777777" w:rsidR="007C25CB" w:rsidRPr="00251A53" w:rsidRDefault="007C25CB" w:rsidP="007612AB">
            <w:pPr>
              <w:spacing w:before="20" w:after="20"/>
              <w:rPr>
                <w:sz w:val="18"/>
                <w:szCs w:val="18"/>
              </w:rPr>
            </w:pPr>
            <w:r w:rsidRPr="00251A53">
              <w:rPr>
                <w:i/>
                <w:iCs/>
                <w:sz w:val="18"/>
                <w:szCs w:val="18"/>
              </w:rPr>
              <w:t xml:space="preserve">Source: </w:t>
            </w:r>
            <w:r w:rsidRPr="00251A53">
              <w:rPr>
                <w:iCs/>
                <w:sz w:val="18"/>
                <w:szCs w:val="18"/>
              </w:rPr>
              <w:t>Municipal assembly minutes</w:t>
            </w:r>
            <w:r w:rsidRPr="00251A53">
              <w:rPr>
                <w:i/>
                <w:iCs/>
                <w:sz w:val="18"/>
                <w:szCs w:val="18"/>
              </w:rPr>
              <w:t xml:space="preserve"> </w:t>
            </w:r>
          </w:p>
          <w:p w14:paraId="47153A5D" w14:textId="77777777" w:rsidR="007C25CB" w:rsidRPr="00251A53" w:rsidRDefault="00EC096F" w:rsidP="007612AB">
            <w:pPr>
              <w:spacing w:before="20" w:after="20"/>
              <w:rPr>
                <w:i/>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UNDP</w:t>
            </w:r>
          </w:p>
        </w:tc>
        <w:tc>
          <w:tcPr>
            <w:tcW w:w="609" w:type="pct"/>
            <w:gridSpan w:val="2"/>
            <w:vMerge/>
          </w:tcPr>
          <w:p w14:paraId="146CD8C8" w14:textId="77777777" w:rsidR="007C25CB" w:rsidRPr="00251A53" w:rsidRDefault="007C25CB" w:rsidP="007612AB">
            <w:pPr>
              <w:spacing w:before="20" w:after="20"/>
              <w:rPr>
                <w:i/>
                <w:iCs/>
                <w:sz w:val="18"/>
                <w:szCs w:val="18"/>
              </w:rPr>
            </w:pPr>
          </w:p>
        </w:tc>
        <w:tc>
          <w:tcPr>
            <w:tcW w:w="344" w:type="pct"/>
            <w:tcBorders>
              <w:top w:val="nil"/>
              <w:bottom w:val="nil"/>
            </w:tcBorders>
            <w:tcMar>
              <w:top w:w="15" w:type="dxa"/>
              <w:left w:w="108" w:type="dxa"/>
              <w:bottom w:w="0" w:type="dxa"/>
              <w:right w:w="108" w:type="dxa"/>
            </w:tcMar>
          </w:tcPr>
          <w:p w14:paraId="2EC51FB6" w14:textId="77777777" w:rsidR="007C25CB" w:rsidRPr="00251A53" w:rsidRDefault="007C25CB" w:rsidP="007612AB">
            <w:pPr>
              <w:spacing w:before="20" w:after="20"/>
              <w:rPr>
                <w:b/>
                <w:sz w:val="18"/>
                <w:szCs w:val="18"/>
              </w:rPr>
            </w:pPr>
          </w:p>
        </w:tc>
        <w:tc>
          <w:tcPr>
            <w:tcW w:w="343" w:type="pct"/>
            <w:tcBorders>
              <w:top w:val="nil"/>
              <w:bottom w:val="nil"/>
            </w:tcBorders>
          </w:tcPr>
          <w:p w14:paraId="5B5E65A7" w14:textId="77777777" w:rsidR="007C25CB" w:rsidRPr="00251A53" w:rsidRDefault="007C25CB" w:rsidP="007612AB">
            <w:pPr>
              <w:spacing w:before="20" w:after="20"/>
              <w:rPr>
                <w:b/>
                <w:sz w:val="18"/>
                <w:szCs w:val="18"/>
              </w:rPr>
            </w:pPr>
          </w:p>
        </w:tc>
        <w:tc>
          <w:tcPr>
            <w:tcW w:w="371" w:type="pct"/>
            <w:tcBorders>
              <w:top w:val="nil"/>
              <w:bottom w:val="nil"/>
            </w:tcBorders>
          </w:tcPr>
          <w:p w14:paraId="4F6E9E05" w14:textId="77777777" w:rsidR="007C25CB" w:rsidRPr="00251A53" w:rsidRDefault="007C25CB" w:rsidP="007612AB">
            <w:pPr>
              <w:spacing w:before="20" w:after="20"/>
              <w:rPr>
                <w:b/>
                <w:sz w:val="18"/>
                <w:szCs w:val="18"/>
              </w:rPr>
            </w:pPr>
          </w:p>
        </w:tc>
      </w:tr>
      <w:tr w:rsidR="007C25CB" w:rsidRPr="00251A53" w14:paraId="75F31875" w14:textId="77777777" w:rsidTr="00917287">
        <w:trPr>
          <w:trHeight w:val="20"/>
        </w:trPr>
        <w:tc>
          <w:tcPr>
            <w:tcW w:w="751" w:type="pct"/>
            <w:tcBorders>
              <w:top w:val="nil"/>
            </w:tcBorders>
            <w:tcMar>
              <w:top w:w="72" w:type="dxa"/>
              <w:left w:w="144" w:type="dxa"/>
              <w:bottom w:w="72" w:type="dxa"/>
              <w:right w:w="144" w:type="dxa"/>
            </w:tcMar>
          </w:tcPr>
          <w:p w14:paraId="5EFED9AF" w14:textId="77777777" w:rsidR="007C25CB" w:rsidRPr="00251A53" w:rsidRDefault="007C25CB" w:rsidP="007612AB">
            <w:pPr>
              <w:spacing w:before="20" w:after="20"/>
              <w:rPr>
                <w:i/>
                <w:iCs/>
                <w:sz w:val="18"/>
                <w:szCs w:val="18"/>
              </w:rPr>
            </w:pPr>
          </w:p>
        </w:tc>
        <w:tc>
          <w:tcPr>
            <w:tcW w:w="857" w:type="pct"/>
            <w:tcBorders>
              <w:top w:val="nil"/>
            </w:tcBorders>
          </w:tcPr>
          <w:p w14:paraId="71F1F500" w14:textId="77777777" w:rsidR="007C25CB" w:rsidRPr="00251A53" w:rsidRDefault="007C25CB" w:rsidP="007612AB">
            <w:pPr>
              <w:spacing w:before="20" w:after="20"/>
              <w:rPr>
                <w:i/>
                <w:iCs/>
                <w:sz w:val="18"/>
                <w:szCs w:val="18"/>
              </w:rPr>
            </w:pPr>
          </w:p>
        </w:tc>
        <w:tc>
          <w:tcPr>
            <w:tcW w:w="1725" w:type="pct"/>
            <w:gridSpan w:val="2"/>
            <w:tcMar>
              <w:top w:w="72" w:type="dxa"/>
              <w:left w:w="144" w:type="dxa"/>
              <w:bottom w:w="72" w:type="dxa"/>
              <w:right w:w="144" w:type="dxa"/>
            </w:tcMar>
          </w:tcPr>
          <w:p w14:paraId="6A50E673" w14:textId="77777777" w:rsidR="007C25CB" w:rsidRPr="00251A53" w:rsidRDefault="007C25CB" w:rsidP="007612AB">
            <w:pPr>
              <w:spacing w:before="20" w:after="20"/>
              <w:jc w:val="both"/>
              <w:rPr>
                <w:i/>
                <w:iCs/>
                <w:sz w:val="18"/>
                <w:szCs w:val="18"/>
              </w:rPr>
            </w:pPr>
            <w:r w:rsidRPr="00251A53">
              <w:rPr>
                <w:iCs/>
                <w:sz w:val="18"/>
                <w:szCs w:val="18"/>
                <w:u w:val="single"/>
              </w:rPr>
              <w:t>Output 3.4</w:t>
            </w:r>
            <w:r w:rsidRPr="00251A53">
              <w:rPr>
                <w:iCs/>
                <w:sz w:val="18"/>
                <w:szCs w:val="18"/>
              </w:rPr>
              <w:t>:</w:t>
            </w:r>
            <w:r w:rsidRPr="00251A53">
              <w:rPr>
                <w:i/>
                <w:iCs/>
                <w:sz w:val="18"/>
                <w:szCs w:val="18"/>
              </w:rPr>
              <w:t xml:space="preserve"> </w:t>
            </w:r>
            <w:r w:rsidRPr="00251A53">
              <w:rPr>
                <w:iCs/>
                <w:sz w:val="18"/>
                <w:szCs w:val="18"/>
              </w:rPr>
              <w:t>The Ministry of Family and Social Inclusion has enhanced technical capacity to ensure access to the social protection system by the most vulnerable groups, particularly women and children.</w:t>
            </w:r>
          </w:p>
          <w:p w14:paraId="3CA5C7E2" w14:textId="77777777" w:rsidR="007C25CB" w:rsidRPr="00251A53" w:rsidRDefault="007C25CB" w:rsidP="007612AB">
            <w:pPr>
              <w:spacing w:before="20" w:after="20"/>
              <w:jc w:val="both"/>
              <w:rPr>
                <w:i/>
                <w:iCs/>
                <w:sz w:val="18"/>
                <w:szCs w:val="18"/>
              </w:rPr>
            </w:pPr>
          </w:p>
          <w:p w14:paraId="3EF1F77A" w14:textId="77777777" w:rsidR="007C25CB" w:rsidRPr="00251A53" w:rsidRDefault="007C25CB" w:rsidP="007612AB">
            <w:pPr>
              <w:spacing w:before="20" w:after="20"/>
              <w:jc w:val="both"/>
              <w:rPr>
                <w:i/>
                <w:iCs/>
                <w:sz w:val="18"/>
                <w:szCs w:val="18"/>
              </w:rPr>
            </w:pPr>
            <w:r w:rsidRPr="00251A53">
              <w:rPr>
                <w:iCs/>
                <w:sz w:val="18"/>
                <w:szCs w:val="18"/>
              </w:rPr>
              <w:lastRenderedPageBreak/>
              <w:t>3.4.1</w:t>
            </w:r>
            <w:r w:rsidRPr="00251A53">
              <w:rPr>
                <w:i/>
                <w:iCs/>
                <w:sz w:val="18"/>
                <w:szCs w:val="18"/>
              </w:rPr>
              <w:t xml:space="preserve">: </w:t>
            </w:r>
            <w:r w:rsidRPr="00251A53">
              <w:rPr>
                <w:iCs/>
                <w:sz w:val="18"/>
                <w:szCs w:val="18"/>
              </w:rPr>
              <w:t xml:space="preserve">Existence of a functional integrated system for monitoring and evaluating the social protection programme </w:t>
            </w:r>
          </w:p>
          <w:p w14:paraId="63AFDD02" w14:textId="77777777" w:rsidR="007C25CB" w:rsidRPr="00251A53" w:rsidRDefault="007C25CB" w:rsidP="007612AB">
            <w:pPr>
              <w:spacing w:before="20" w:after="20"/>
              <w:jc w:val="both"/>
              <w:rPr>
                <w:i/>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1</w:t>
            </w:r>
            <w:r w:rsidRPr="00251A53">
              <w:rPr>
                <w:i/>
                <w:iCs/>
                <w:sz w:val="18"/>
                <w:szCs w:val="18"/>
              </w:rPr>
              <w:t xml:space="preserve"> </w:t>
            </w:r>
          </w:p>
          <w:p w14:paraId="6CBE7FD3" w14:textId="77777777" w:rsidR="007C25CB" w:rsidRPr="00251A53" w:rsidRDefault="007C25CB" w:rsidP="007612AB">
            <w:pPr>
              <w:spacing w:before="20" w:after="20"/>
              <w:jc w:val="both"/>
              <w:rPr>
                <w:i/>
                <w:iCs/>
                <w:sz w:val="18"/>
                <w:szCs w:val="18"/>
              </w:rPr>
            </w:pPr>
            <w:r w:rsidRPr="00251A53">
              <w:rPr>
                <w:i/>
                <w:iCs/>
                <w:sz w:val="18"/>
                <w:szCs w:val="18"/>
              </w:rPr>
              <w:t xml:space="preserve">Source: </w:t>
            </w:r>
            <w:r w:rsidRPr="00251A53">
              <w:rPr>
                <w:iCs/>
                <w:sz w:val="18"/>
                <w:szCs w:val="18"/>
              </w:rPr>
              <w:t>MHSI reports</w:t>
            </w:r>
          </w:p>
          <w:p w14:paraId="633AA348" w14:textId="77777777" w:rsidR="007C25CB" w:rsidRPr="00251A53" w:rsidRDefault="00EC096F" w:rsidP="007612AB">
            <w:pPr>
              <w:spacing w:before="20" w:after="20"/>
              <w:jc w:val="both"/>
              <w:rPr>
                <w:i/>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UNICEF</w:t>
            </w:r>
            <w:r w:rsidR="007C25CB" w:rsidRPr="00251A53">
              <w:rPr>
                <w:i/>
                <w:iCs/>
                <w:sz w:val="18"/>
                <w:szCs w:val="18"/>
              </w:rPr>
              <w:t xml:space="preserve"> </w:t>
            </w:r>
          </w:p>
          <w:p w14:paraId="5B96F512" w14:textId="77777777" w:rsidR="007C25CB" w:rsidRPr="00251A53" w:rsidRDefault="007C25CB" w:rsidP="007612AB">
            <w:pPr>
              <w:spacing w:before="20" w:after="20"/>
              <w:jc w:val="both"/>
              <w:rPr>
                <w:iCs/>
                <w:sz w:val="18"/>
                <w:szCs w:val="18"/>
              </w:rPr>
            </w:pPr>
            <w:r w:rsidRPr="00251A53">
              <w:rPr>
                <w:iCs/>
                <w:sz w:val="18"/>
                <w:szCs w:val="18"/>
              </w:rPr>
              <w:t>3.4.2:</w:t>
            </w:r>
            <w:r w:rsidRPr="00251A53">
              <w:rPr>
                <w:i/>
                <w:iCs/>
                <w:sz w:val="18"/>
                <w:szCs w:val="18"/>
              </w:rPr>
              <w:t xml:space="preserve"> </w:t>
            </w:r>
            <w:r w:rsidRPr="00251A53">
              <w:rPr>
                <w:iCs/>
                <w:sz w:val="18"/>
                <w:szCs w:val="18"/>
              </w:rPr>
              <w:t>Extent to which policy and institutional reforms increase access to social protection targeting the poor at municipal level (disaggregated by sex, rural and urban)</w:t>
            </w:r>
          </w:p>
          <w:p w14:paraId="49448D4E" w14:textId="77777777" w:rsidR="007C25CB" w:rsidRPr="00251A53" w:rsidRDefault="007C25CB" w:rsidP="007612AB">
            <w:pPr>
              <w:spacing w:before="20" w:after="20"/>
              <w:jc w:val="both"/>
              <w:rPr>
                <w:i/>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3</w:t>
            </w:r>
          </w:p>
          <w:p w14:paraId="65EDB40A" w14:textId="77777777" w:rsidR="007C25CB" w:rsidRPr="00251A53" w:rsidRDefault="007C25CB" w:rsidP="007612AB">
            <w:pPr>
              <w:spacing w:before="20" w:after="20"/>
              <w:jc w:val="both"/>
              <w:rPr>
                <w:i/>
                <w:iCs/>
                <w:sz w:val="18"/>
                <w:szCs w:val="18"/>
              </w:rPr>
            </w:pPr>
            <w:r w:rsidRPr="00251A53">
              <w:rPr>
                <w:i/>
                <w:iCs/>
                <w:sz w:val="18"/>
                <w:szCs w:val="18"/>
              </w:rPr>
              <w:t xml:space="preserve">Source: </w:t>
            </w:r>
            <w:r w:rsidRPr="00251A53">
              <w:rPr>
                <w:iCs/>
                <w:sz w:val="18"/>
                <w:szCs w:val="18"/>
              </w:rPr>
              <w:t>MHSI</w:t>
            </w:r>
            <w:r w:rsidRPr="00251A53">
              <w:rPr>
                <w:i/>
                <w:iCs/>
                <w:sz w:val="18"/>
                <w:szCs w:val="18"/>
              </w:rPr>
              <w:t xml:space="preserve"> </w:t>
            </w:r>
          </w:p>
          <w:p w14:paraId="6B20C124" w14:textId="77777777" w:rsidR="007C25CB" w:rsidRPr="00251A53" w:rsidRDefault="00EC096F" w:rsidP="007612AB">
            <w:pPr>
              <w:spacing w:before="20" w:after="20"/>
              <w:jc w:val="both"/>
              <w:rPr>
                <w:i/>
                <w:iCs/>
                <w:sz w:val="18"/>
                <w:szCs w:val="18"/>
              </w:rPr>
            </w:pPr>
            <w:r w:rsidRPr="00251A53">
              <w:rPr>
                <w:i/>
                <w:iCs/>
                <w:sz w:val="18"/>
                <w:szCs w:val="18"/>
              </w:rPr>
              <w:t>Responsible</w:t>
            </w:r>
            <w:r w:rsidR="007C25CB" w:rsidRPr="00251A53">
              <w:rPr>
                <w:i/>
                <w:iCs/>
                <w:sz w:val="18"/>
                <w:szCs w:val="18"/>
              </w:rPr>
              <w:t xml:space="preserve">: </w:t>
            </w:r>
            <w:r w:rsidR="007C25CB" w:rsidRPr="00251A53">
              <w:rPr>
                <w:iCs/>
                <w:sz w:val="18"/>
                <w:szCs w:val="18"/>
              </w:rPr>
              <w:t>UNDP</w:t>
            </w:r>
            <w:r w:rsidR="007C25CB" w:rsidRPr="00251A53">
              <w:rPr>
                <w:i/>
                <w:iCs/>
                <w:sz w:val="18"/>
                <w:szCs w:val="18"/>
              </w:rPr>
              <w:t xml:space="preserve"> </w:t>
            </w:r>
          </w:p>
        </w:tc>
        <w:tc>
          <w:tcPr>
            <w:tcW w:w="609" w:type="pct"/>
            <w:gridSpan w:val="2"/>
            <w:vMerge/>
          </w:tcPr>
          <w:p w14:paraId="629E764A" w14:textId="77777777" w:rsidR="007C25CB" w:rsidRPr="00251A53" w:rsidRDefault="007C25CB" w:rsidP="007612AB">
            <w:pPr>
              <w:spacing w:before="20" w:after="20"/>
              <w:rPr>
                <w:iCs/>
                <w:sz w:val="18"/>
                <w:szCs w:val="18"/>
              </w:rPr>
            </w:pPr>
          </w:p>
        </w:tc>
        <w:tc>
          <w:tcPr>
            <w:tcW w:w="344" w:type="pct"/>
            <w:tcBorders>
              <w:top w:val="nil"/>
            </w:tcBorders>
            <w:tcMar>
              <w:top w:w="15" w:type="dxa"/>
              <w:left w:w="108" w:type="dxa"/>
              <w:bottom w:w="0" w:type="dxa"/>
              <w:right w:w="108" w:type="dxa"/>
            </w:tcMar>
          </w:tcPr>
          <w:p w14:paraId="742CEA98" w14:textId="77777777" w:rsidR="007C25CB" w:rsidRPr="00251A53" w:rsidRDefault="007C25CB" w:rsidP="007612AB">
            <w:pPr>
              <w:spacing w:before="20" w:after="20"/>
              <w:rPr>
                <w:b/>
                <w:sz w:val="18"/>
                <w:szCs w:val="18"/>
              </w:rPr>
            </w:pPr>
          </w:p>
        </w:tc>
        <w:tc>
          <w:tcPr>
            <w:tcW w:w="343" w:type="pct"/>
            <w:tcBorders>
              <w:top w:val="nil"/>
            </w:tcBorders>
          </w:tcPr>
          <w:p w14:paraId="7A30B0C4" w14:textId="77777777" w:rsidR="007C25CB" w:rsidRPr="00251A53" w:rsidRDefault="007C25CB" w:rsidP="007612AB">
            <w:pPr>
              <w:spacing w:before="20" w:after="20"/>
              <w:rPr>
                <w:b/>
                <w:sz w:val="18"/>
                <w:szCs w:val="18"/>
              </w:rPr>
            </w:pPr>
          </w:p>
        </w:tc>
        <w:tc>
          <w:tcPr>
            <w:tcW w:w="371" w:type="pct"/>
            <w:tcBorders>
              <w:top w:val="nil"/>
            </w:tcBorders>
          </w:tcPr>
          <w:p w14:paraId="38FA509B" w14:textId="77777777" w:rsidR="007C25CB" w:rsidRPr="00251A53" w:rsidRDefault="007C25CB" w:rsidP="007612AB">
            <w:pPr>
              <w:spacing w:before="20" w:after="20"/>
              <w:rPr>
                <w:b/>
                <w:sz w:val="18"/>
                <w:szCs w:val="18"/>
              </w:rPr>
            </w:pPr>
          </w:p>
        </w:tc>
      </w:tr>
      <w:tr w:rsidR="004255D8" w:rsidRPr="00251A53" w14:paraId="76DD75EA" w14:textId="77777777" w:rsidTr="000B26F0">
        <w:trPr>
          <w:trHeight w:val="20"/>
        </w:trPr>
        <w:tc>
          <w:tcPr>
            <w:tcW w:w="5000" w:type="pct"/>
            <w:gridSpan w:val="9"/>
            <w:shd w:val="clear" w:color="auto" w:fill="DEEAF6" w:themeFill="accent1" w:themeFillTint="33"/>
            <w:tcMar>
              <w:top w:w="72" w:type="dxa"/>
              <w:left w:w="144" w:type="dxa"/>
              <w:bottom w:w="72" w:type="dxa"/>
              <w:right w:w="144" w:type="dxa"/>
            </w:tcMar>
          </w:tcPr>
          <w:p w14:paraId="09FE2BA8" w14:textId="77777777" w:rsidR="004255D8" w:rsidRPr="00251A53" w:rsidRDefault="001E60BE" w:rsidP="007612AB">
            <w:pPr>
              <w:spacing w:before="20" w:after="20"/>
              <w:rPr>
                <w:bCs/>
                <w:sz w:val="18"/>
                <w:szCs w:val="18"/>
              </w:rPr>
            </w:pPr>
            <w:r w:rsidRPr="00251A53">
              <w:rPr>
                <w:b/>
                <w:bCs/>
                <w:sz w:val="18"/>
                <w:szCs w:val="18"/>
              </w:rPr>
              <w:t xml:space="preserve">National priority: </w:t>
            </w:r>
            <w:r w:rsidRPr="00251A53">
              <w:rPr>
                <w:bCs/>
                <w:sz w:val="18"/>
                <w:szCs w:val="18"/>
              </w:rPr>
              <w:t xml:space="preserve">New </w:t>
            </w:r>
            <w:r w:rsidR="003212E1" w:rsidRPr="00251A53">
              <w:rPr>
                <w:bCs/>
                <w:sz w:val="18"/>
                <w:szCs w:val="18"/>
              </w:rPr>
              <w:t>State</w:t>
            </w:r>
            <w:r w:rsidRPr="00251A53">
              <w:rPr>
                <w:bCs/>
                <w:sz w:val="18"/>
                <w:szCs w:val="18"/>
              </w:rPr>
              <w:t xml:space="preserve"> model (PEDS </w:t>
            </w:r>
            <w:r w:rsidR="003212E1" w:rsidRPr="00251A53">
              <w:rPr>
                <w:bCs/>
                <w:sz w:val="18"/>
                <w:szCs w:val="18"/>
              </w:rPr>
              <w:t>sovereignty</w:t>
            </w:r>
            <w:r w:rsidRPr="00251A53">
              <w:rPr>
                <w:bCs/>
                <w:sz w:val="18"/>
                <w:szCs w:val="18"/>
              </w:rPr>
              <w:t xml:space="preserve"> pillar)</w:t>
            </w:r>
            <w:r w:rsidR="00B4313B" w:rsidRPr="00251A53">
              <w:rPr>
                <w:bCs/>
                <w:sz w:val="18"/>
                <w:szCs w:val="18"/>
              </w:rPr>
              <w:t>;</w:t>
            </w:r>
            <w:r w:rsidRPr="00251A53">
              <w:rPr>
                <w:bCs/>
                <w:sz w:val="18"/>
                <w:szCs w:val="18"/>
              </w:rPr>
              <w:t xml:space="preserve"> (SDGs 1, 5, 10</w:t>
            </w:r>
            <w:r w:rsidR="003212E1" w:rsidRPr="00251A53">
              <w:rPr>
                <w:bCs/>
                <w:sz w:val="18"/>
                <w:szCs w:val="18"/>
              </w:rPr>
              <w:t>, 16, 17</w:t>
            </w:r>
            <w:r w:rsidRPr="00251A53">
              <w:rPr>
                <w:bCs/>
                <w:sz w:val="18"/>
                <w:szCs w:val="18"/>
              </w:rPr>
              <w:t>)</w:t>
            </w:r>
          </w:p>
        </w:tc>
      </w:tr>
      <w:tr w:rsidR="004255D8" w:rsidRPr="00251A53" w14:paraId="39A9B217" w14:textId="77777777" w:rsidTr="000B26F0">
        <w:trPr>
          <w:trHeight w:val="20"/>
        </w:trPr>
        <w:tc>
          <w:tcPr>
            <w:tcW w:w="5000" w:type="pct"/>
            <w:gridSpan w:val="9"/>
            <w:shd w:val="clear" w:color="auto" w:fill="DEEAF6" w:themeFill="accent1" w:themeFillTint="33"/>
            <w:tcMar>
              <w:top w:w="72" w:type="dxa"/>
              <w:left w:w="144" w:type="dxa"/>
              <w:bottom w:w="72" w:type="dxa"/>
              <w:right w:w="144" w:type="dxa"/>
            </w:tcMar>
          </w:tcPr>
          <w:p w14:paraId="29018074" w14:textId="77777777" w:rsidR="004255D8" w:rsidRPr="00251A53" w:rsidRDefault="004255D8" w:rsidP="008E29E3">
            <w:pPr>
              <w:spacing w:before="20" w:after="20"/>
              <w:rPr>
                <w:b/>
                <w:bCs/>
                <w:sz w:val="18"/>
                <w:szCs w:val="18"/>
              </w:rPr>
            </w:pPr>
            <w:r w:rsidRPr="00251A53">
              <w:rPr>
                <w:b/>
                <w:bCs/>
                <w:sz w:val="18"/>
                <w:szCs w:val="18"/>
              </w:rPr>
              <w:t xml:space="preserve">UNDAF </w:t>
            </w:r>
            <w:r w:rsidR="00884CCC" w:rsidRPr="00251A53">
              <w:rPr>
                <w:b/>
                <w:bCs/>
                <w:sz w:val="18"/>
                <w:szCs w:val="18"/>
              </w:rPr>
              <w:t>outcome</w:t>
            </w:r>
            <w:r w:rsidRPr="00251A53">
              <w:rPr>
                <w:b/>
                <w:bCs/>
                <w:sz w:val="18"/>
                <w:szCs w:val="18"/>
              </w:rPr>
              <w:t>:</w:t>
            </w:r>
            <w:r w:rsidRPr="00251A53">
              <w:rPr>
                <w:bCs/>
                <w:sz w:val="18"/>
                <w:szCs w:val="18"/>
              </w:rPr>
              <w:t xml:space="preserve"> </w:t>
            </w:r>
            <w:r w:rsidR="008E29E3" w:rsidRPr="00251A53">
              <w:rPr>
                <w:bCs/>
                <w:sz w:val="18"/>
                <w:szCs w:val="18"/>
              </w:rPr>
              <w:t xml:space="preserve">(4.1) </w:t>
            </w:r>
            <w:r w:rsidRPr="00251A53">
              <w:rPr>
                <w:bCs/>
                <w:sz w:val="18"/>
                <w:szCs w:val="18"/>
              </w:rPr>
              <w:t>By 2022, Cabo Verdean citizens benefit from a system of democratic governance and public administration that is more effective,</w:t>
            </w:r>
            <w:r w:rsidR="00884CCC" w:rsidRPr="00251A53">
              <w:rPr>
                <w:bCs/>
                <w:sz w:val="18"/>
                <w:szCs w:val="18"/>
              </w:rPr>
              <w:t xml:space="preserve"> transparent, and participative</w:t>
            </w:r>
          </w:p>
        </w:tc>
      </w:tr>
      <w:tr w:rsidR="004255D8" w:rsidRPr="00251A53" w14:paraId="1879B6E9" w14:textId="77777777" w:rsidTr="000B26F0">
        <w:trPr>
          <w:trHeight w:val="20"/>
        </w:trPr>
        <w:tc>
          <w:tcPr>
            <w:tcW w:w="5000" w:type="pct"/>
            <w:gridSpan w:val="9"/>
            <w:shd w:val="clear" w:color="auto" w:fill="DEEAF6" w:themeFill="accent1" w:themeFillTint="33"/>
            <w:tcMar>
              <w:top w:w="72" w:type="dxa"/>
              <w:left w:w="144" w:type="dxa"/>
              <w:bottom w:w="72" w:type="dxa"/>
              <w:right w:w="144" w:type="dxa"/>
            </w:tcMar>
          </w:tcPr>
          <w:p w14:paraId="3E21EEED" w14:textId="628B6266" w:rsidR="004255D8" w:rsidRPr="00251A53" w:rsidRDefault="004255D8" w:rsidP="007612AB">
            <w:pPr>
              <w:spacing w:before="20" w:after="20"/>
              <w:rPr>
                <w:bCs/>
                <w:sz w:val="18"/>
                <w:szCs w:val="18"/>
              </w:rPr>
            </w:pPr>
            <w:r w:rsidRPr="00251A53">
              <w:rPr>
                <w:b/>
                <w:bCs/>
                <w:sz w:val="18"/>
                <w:szCs w:val="18"/>
              </w:rPr>
              <w:t xml:space="preserve">UNDP </w:t>
            </w:r>
            <w:r w:rsidR="008A5F98" w:rsidRPr="00251A53">
              <w:rPr>
                <w:b/>
                <w:bCs/>
                <w:sz w:val="18"/>
                <w:szCs w:val="18"/>
              </w:rPr>
              <w:t xml:space="preserve">Strategic Plan </w:t>
            </w:r>
            <w:r w:rsidR="00216DB1" w:rsidRPr="00251A53">
              <w:rPr>
                <w:b/>
                <w:bCs/>
                <w:sz w:val="18"/>
                <w:szCs w:val="18"/>
              </w:rPr>
              <w:t>outcomes</w:t>
            </w:r>
            <w:r w:rsidRPr="00251A53">
              <w:rPr>
                <w:b/>
                <w:bCs/>
                <w:sz w:val="18"/>
                <w:szCs w:val="18"/>
              </w:rPr>
              <w:t xml:space="preserve">: </w:t>
            </w:r>
            <w:r w:rsidR="00FC42CC" w:rsidRPr="00251A53">
              <w:rPr>
                <w:b/>
                <w:bCs/>
                <w:sz w:val="18"/>
                <w:szCs w:val="18"/>
              </w:rPr>
              <w:t>(</w:t>
            </w:r>
            <w:r w:rsidR="00FC42CC" w:rsidRPr="00251A53">
              <w:rPr>
                <w:bCs/>
                <w:sz w:val="18"/>
                <w:szCs w:val="18"/>
              </w:rPr>
              <w:t>S</w:t>
            </w:r>
            <w:r w:rsidR="00481FD8" w:rsidRPr="00251A53">
              <w:rPr>
                <w:bCs/>
                <w:iCs/>
                <w:sz w:val="18"/>
                <w:szCs w:val="18"/>
              </w:rPr>
              <w:t>ignature solution 2</w:t>
            </w:r>
            <w:r w:rsidR="00FC42CC" w:rsidRPr="00251A53">
              <w:rPr>
                <w:b/>
                <w:bCs/>
                <w:iCs/>
                <w:sz w:val="18"/>
                <w:szCs w:val="18"/>
              </w:rPr>
              <w:t>)</w:t>
            </w:r>
            <w:r w:rsidRPr="00251A53">
              <w:rPr>
                <w:b/>
                <w:bCs/>
                <w:iCs/>
                <w:sz w:val="18"/>
                <w:szCs w:val="18"/>
              </w:rPr>
              <w:t xml:space="preserve"> </w:t>
            </w:r>
            <w:r w:rsidRPr="00251A53">
              <w:rPr>
                <w:bCs/>
                <w:iCs/>
                <w:sz w:val="18"/>
                <w:szCs w:val="18"/>
              </w:rPr>
              <w:t>Strengthen effective, accountable and inclusive governance</w:t>
            </w:r>
            <w:r w:rsidR="00481FD8" w:rsidRPr="00251A53">
              <w:rPr>
                <w:bCs/>
                <w:sz w:val="18"/>
                <w:szCs w:val="18"/>
              </w:rPr>
              <w:t>;</w:t>
            </w:r>
            <w:r w:rsidR="00216DB1" w:rsidRPr="00251A53">
              <w:rPr>
                <w:bCs/>
                <w:sz w:val="18"/>
                <w:szCs w:val="18"/>
              </w:rPr>
              <w:t xml:space="preserve"> </w:t>
            </w:r>
            <w:r w:rsidR="00FC42CC" w:rsidRPr="00251A53">
              <w:rPr>
                <w:bCs/>
                <w:sz w:val="18"/>
                <w:szCs w:val="18"/>
              </w:rPr>
              <w:t>(</w:t>
            </w:r>
            <w:r w:rsidRPr="00251A53">
              <w:rPr>
                <w:sz w:val="18"/>
                <w:szCs w:val="18"/>
              </w:rPr>
              <w:t>IRRF</w:t>
            </w:r>
            <w:r w:rsidRPr="00251A53">
              <w:rPr>
                <w:bCs/>
                <w:sz w:val="18"/>
                <w:szCs w:val="18"/>
              </w:rPr>
              <w:t xml:space="preserve"> </w:t>
            </w:r>
            <w:r w:rsidR="00481FD8" w:rsidRPr="00251A53">
              <w:rPr>
                <w:bCs/>
                <w:sz w:val="18"/>
                <w:szCs w:val="18"/>
              </w:rPr>
              <w:t>Outcome 2</w:t>
            </w:r>
            <w:r w:rsidR="00FC42CC" w:rsidRPr="00251A53">
              <w:rPr>
                <w:b/>
                <w:bCs/>
                <w:sz w:val="18"/>
                <w:szCs w:val="18"/>
              </w:rPr>
              <w:t>)</w:t>
            </w:r>
            <w:r w:rsidR="00216DB1" w:rsidRPr="00251A53">
              <w:rPr>
                <w:bCs/>
                <w:sz w:val="18"/>
                <w:szCs w:val="18"/>
              </w:rPr>
              <w:t xml:space="preserve"> I</w:t>
            </w:r>
            <w:r w:rsidRPr="00251A53">
              <w:rPr>
                <w:bCs/>
                <w:sz w:val="18"/>
                <w:szCs w:val="18"/>
              </w:rPr>
              <w:t>nclusive governance</w:t>
            </w:r>
          </w:p>
          <w:p w14:paraId="36D7DA62" w14:textId="0B117742" w:rsidR="004255D8" w:rsidRPr="00251A53" w:rsidRDefault="004255D8" w:rsidP="007612AB">
            <w:pPr>
              <w:spacing w:before="20" w:after="20"/>
              <w:rPr>
                <w:bCs/>
                <w:sz w:val="18"/>
                <w:szCs w:val="18"/>
              </w:rPr>
            </w:pPr>
            <w:r w:rsidRPr="00251A53">
              <w:rPr>
                <w:b/>
                <w:bCs/>
                <w:sz w:val="18"/>
                <w:szCs w:val="18"/>
              </w:rPr>
              <w:t xml:space="preserve">UNFPA </w:t>
            </w:r>
            <w:r w:rsidR="008A5F98" w:rsidRPr="00251A53">
              <w:rPr>
                <w:b/>
                <w:bCs/>
                <w:sz w:val="18"/>
                <w:szCs w:val="18"/>
              </w:rPr>
              <w:t xml:space="preserve">Strategic Plan </w:t>
            </w:r>
            <w:r w:rsidR="00216DB1" w:rsidRPr="00251A53">
              <w:rPr>
                <w:b/>
                <w:bCs/>
                <w:sz w:val="18"/>
                <w:szCs w:val="18"/>
              </w:rPr>
              <w:t>outcome</w:t>
            </w:r>
            <w:r w:rsidRPr="00251A53">
              <w:rPr>
                <w:b/>
                <w:bCs/>
                <w:sz w:val="18"/>
                <w:szCs w:val="18"/>
              </w:rPr>
              <w:t>:</w:t>
            </w:r>
            <w:r w:rsidRPr="00251A53">
              <w:rPr>
                <w:bCs/>
                <w:sz w:val="18"/>
                <w:szCs w:val="18"/>
              </w:rPr>
              <w:t xml:space="preserve"> </w:t>
            </w:r>
            <w:r w:rsidR="00FC42CC" w:rsidRPr="00251A53">
              <w:rPr>
                <w:bCs/>
                <w:sz w:val="18"/>
                <w:szCs w:val="18"/>
              </w:rPr>
              <w:t xml:space="preserve">(2) </w:t>
            </w:r>
            <w:r w:rsidRPr="00251A53">
              <w:rPr>
                <w:bCs/>
                <w:sz w:val="18"/>
                <w:szCs w:val="18"/>
              </w:rPr>
              <w:t>Every adolescent and youth, in particular adolescent girls, are empowered to realize their sexual and reproductive health and reproductive rights, and participate in sustainable development,</w:t>
            </w:r>
            <w:r w:rsidR="005300A6" w:rsidRPr="00251A53">
              <w:rPr>
                <w:bCs/>
                <w:sz w:val="18"/>
                <w:szCs w:val="18"/>
              </w:rPr>
              <w:t xml:space="preserve"> humanitarian action and peace</w:t>
            </w:r>
            <w:r w:rsidRPr="00251A53">
              <w:rPr>
                <w:bCs/>
                <w:sz w:val="18"/>
                <w:szCs w:val="18"/>
              </w:rPr>
              <w:t>building</w:t>
            </w:r>
          </w:p>
          <w:p w14:paraId="11E1A4BE" w14:textId="2A238B44" w:rsidR="004255D8" w:rsidRPr="00251A53" w:rsidRDefault="004255D8" w:rsidP="008A5F98">
            <w:pPr>
              <w:spacing w:before="20" w:after="20"/>
              <w:rPr>
                <w:b/>
                <w:bCs/>
                <w:sz w:val="18"/>
                <w:szCs w:val="18"/>
              </w:rPr>
            </w:pPr>
            <w:r w:rsidRPr="00251A53">
              <w:rPr>
                <w:b/>
                <w:bCs/>
                <w:sz w:val="18"/>
                <w:szCs w:val="18"/>
              </w:rPr>
              <w:t xml:space="preserve">UNICEF </w:t>
            </w:r>
            <w:r w:rsidR="008A5F98" w:rsidRPr="00251A53">
              <w:rPr>
                <w:b/>
                <w:bCs/>
                <w:sz w:val="18"/>
                <w:szCs w:val="18"/>
              </w:rPr>
              <w:t xml:space="preserve">Strategic Plan </w:t>
            </w:r>
            <w:r w:rsidR="00216DB1" w:rsidRPr="00251A53">
              <w:rPr>
                <w:b/>
                <w:bCs/>
                <w:sz w:val="18"/>
                <w:szCs w:val="18"/>
              </w:rPr>
              <w:t>outcome</w:t>
            </w:r>
            <w:r w:rsidRPr="00251A53">
              <w:rPr>
                <w:b/>
                <w:bCs/>
                <w:sz w:val="18"/>
                <w:szCs w:val="18"/>
              </w:rPr>
              <w:t>:</w:t>
            </w:r>
            <w:r w:rsidRPr="00251A53">
              <w:rPr>
                <w:bCs/>
                <w:sz w:val="18"/>
                <w:szCs w:val="18"/>
              </w:rPr>
              <w:t xml:space="preserve"> </w:t>
            </w:r>
            <w:r w:rsidR="00FC42CC" w:rsidRPr="00251A53">
              <w:rPr>
                <w:bCs/>
                <w:sz w:val="18"/>
                <w:szCs w:val="18"/>
              </w:rPr>
              <w:t xml:space="preserve">(5) </w:t>
            </w:r>
            <w:r w:rsidRPr="00251A53">
              <w:rPr>
                <w:bCs/>
                <w:sz w:val="18"/>
                <w:szCs w:val="18"/>
              </w:rPr>
              <w:t>Every child has an equitable chance in life</w:t>
            </w:r>
          </w:p>
        </w:tc>
      </w:tr>
      <w:tr w:rsidR="009819B8" w:rsidRPr="00251A53" w14:paraId="7441A0D8" w14:textId="77777777" w:rsidTr="007C25CB">
        <w:trPr>
          <w:trHeight w:val="20"/>
        </w:trPr>
        <w:tc>
          <w:tcPr>
            <w:tcW w:w="751" w:type="pct"/>
            <w:vMerge w:val="restart"/>
            <w:shd w:val="clear" w:color="auto" w:fill="DEEAF6" w:themeFill="accent1" w:themeFillTint="33"/>
            <w:tcMar>
              <w:top w:w="72" w:type="dxa"/>
              <w:left w:w="144" w:type="dxa"/>
              <w:bottom w:w="72" w:type="dxa"/>
              <w:right w:w="144" w:type="dxa"/>
            </w:tcMar>
            <w:vAlign w:val="center"/>
          </w:tcPr>
          <w:p w14:paraId="106AD0BB" w14:textId="77777777" w:rsidR="008B37DC" w:rsidRPr="00251A53" w:rsidRDefault="008B37DC" w:rsidP="007612AB">
            <w:pPr>
              <w:spacing w:before="20" w:after="20"/>
              <w:jc w:val="center"/>
              <w:rPr>
                <w:sz w:val="18"/>
                <w:szCs w:val="18"/>
              </w:rPr>
            </w:pPr>
            <w:r w:rsidRPr="00251A53">
              <w:rPr>
                <w:b/>
                <w:bCs/>
                <w:sz w:val="18"/>
                <w:szCs w:val="18"/>
              </w:rPr>
              <w:t>UNDAF outcome</w:t>
            </w:r>
          </w:p>
        </w:tc>
        <w:tc>
          <w:tcPr>
            <w:tcW w:w="857" w:type="pct"/>
            <w:vMerge w:val="restart"/>
            <w:shd w:val="clear" w:color="auto" w:fill="DEEAF6" w:themeFill="accent1" w:themeFillTint="33"/>
            <w:vAlign w:val="center"/>
          </w:tcPr>
          <w:p w14:paraId="6CD63F5E" w14:textId="77777777" w:rsidR="008B37DC" w:rsidRPr="00251A53" w:rsidRDefault="008B37DC" w:rsidP="007612AB">
            <w:pPr>
              <w:spacing w:before="20" w:after="20"/>
              <w:jc w:val="center"/>
              <w:rPr>
                <w:b/>
                <w:sz w:val="18"/>
                <w:szCs w:val="18"/>
              </w:rPr>
            </w:pPr>
            <w:r w:rsidRPr="00251A53">
              <w:rPr>
                <w:b/>
                <w:sz w:val="18"/>
                <w:szCs w:val="18"/>
              </w:rPr>
              <w:t>Source and frequency of data collection and responsibilities</w:t>
            </w:r>
          </w:p>
        </w:tc>
        <w:tc>
          <w:tcPr>
            <w:tcW w:w="1725" w:type="pct"/>
            <w:gridSpan w:val="2"/>
            <w:vMerge w:val="restart"/>
            <w:shd w:val="clear" w:color="auto" w:fill="DEEAF6" w:themeFill="accent1" w:themeFillTint="33"/>
            <w:tcMar>
              <w:top w:w="72" w:type="dxa"/>
              <w:left w:w="144" w:type="dxa"/>
              <w:bottom w:w="72" w:type="dxa"/>
              <w:right w:w="144" w:type="dxa"/>
            </w:tcMar>
            <w:vAlign w:val="center"/>
          </w:tcPr>
          <w:p w14:paraId="7249E425" w14:textId="77777777" w:rsidR="008B37DC" w:rsidRPr="00251A53" w:rsidRDefault="008B37DC" w:rsidP="007612AB">
            <w:pPr>
              <w:spacing w:before="20" w:after="20"/>
              <w:jc w:val="center"/>
              <w:rPr>
                <w:sz w:val="18"/>
                <w:szCs w:val="18"/>
              </w:rPr>
            </w:pPr>
            <w:r w:rsidRPr="00251A53">
              <w:rPr>
                <w:b/>
                <w:bCs/>
                <w:sz w:val="18"/>
                <w:szCs w:val="18"/>
              </w:rPr>
              <w:t>Indicative country programme outputs and indicators</w:t>
            </w:r>
            <w:r w:rsidRPr="00251A53">
              <w:rPr>
                <w:b/>
                <w:bCs/>
                <w:sz w:val="18"/>
                <w:szCs w:val="18"/>
              </w:rPr>
              <w:br/>
            </w:r>
            <w:r w:rsidRPr="00251A53">
              <w:rPr>
                <w:sz w:val="18"/>
                <w:szCs w:val="18"/>
              </w:rPr>
              <w:t>(</w:t>
            </w:r>
            <w:r w:rsidRPr="00251A53">
              <w:rPr>
                <w:bCs/>
                <w:sz w:val="18"/>
                <w:szCs w:val="18"/>
              </w:rPr>
              <w:t>Frequency is annual unless otherwise indicated)</w:t>
            </w:r>
          </w:p>
        </w:tc>
        <w:tc>
          <w:tcPr>
            <w:tcW w:w="609" w:type="pct"/>
            <w:gridSpan w:val="2"/>
            <w:vMerge w:val="restart"/>
            <w:shd w:val="clear" w:color="auto" w:fill="DEEAF6" w:themeFill="accent1" w:themeFillTint="33"/>
            <w:vAlign w:val="center"/>
          </w:tcPr>
          <w:p w14:paraId="17C247F8" w14:textId="77777777" w:rsidR="008B37DC" w:rsidRPr="00251A53" w:rsidRDefault="008B37DC" w:rsidP="007612AB">
            <w:pPr>
              <w:spacing w:before="20" w:after="20"/>
              <w:jc w:val="center"/>
              <w:rPr>
                <w:b/>
                <w:bCs/>
                <w:sz w:val="18"/>
                <w:szCs w:val="18"/>
              </w:rPr>
            </w:pPr>
            <w:r w:rsidRPr="00251A53">
              <w:rPr>
                <w:b/>
                <w:bCs/>
                <w:sz w:val="18"/>
                <w:szCs w:val="18"/>
              </w:rPr>
              <w:t>Major partners</w:t>
            </w:r>
          </w:p>
        </w:tc>
        <w:tc>
          <w:tcPr>
            <w:tcW w:w="1058" w:type="pct"/>
            <w:gridSpan w:val="3"/>
            <w:shd w:val="clear" w:color="auto" w:fill="DEEAF6" w:themeFill="accent1" w:themeFillTint="33"/>
            <w:tcMar>
              <w:top w:w="15" w:type="dxa"/>
              <w:left w:w="108" w:type="dxa"/>
              <w:bottom w:w="0" w:type="dxa"/>
              <w:right w:w="108" w:type="dxa"/>
            </w:tcMar>
            <w:vAlign w:val="center"/>
          </w:tcPr>
          <w:p w14:paraId="134FB78F" w14:textId="77777777" w:rsidR="008B37DC" w:rsidRPr="00251A53" w:rsidRDefault="008B37DC" w:rsidP="007612AB">
            <w:pPr>
              <w:spacing w:before="20" w:after="20"/>
              <w:jc w:val="center"/>
              <w:rPr>
                <w:i/>
                <w:sz w:val="18"/>
                <w:szCs w:val="18"/>
              </w:rPr>
            </w:pPr>
            <w:r w:rsidRPr="00251A53">
              <w:rPr>
                <w:b/>
                <w:bCs/>
                <w:sz w:val="18"/>
                <w:szCs w:val="18"/>
              </w:rPr>
              <w:t xml:space="preserve">Indicative resources by outcome </w:t>
            </w:r>
            <w:r w:rsidRPr="00251A53">
              <w:rPr>
                <w:bCs/>
                <w:i/>
                <w:sz w:val="18"/>
                <w:szCs w:val="18"/>
              </w:rPr>
              <w:t>(U</w:t>
            </w:r>
            <w:r w:rsidR="0037120B" w:rsidRPr="00251A53">
              <w:rPr>
                <w:bCs/>
                <w:i/>
                <w:sz w:val="18"/>
                <w:szCs w:val="18"/>
              </w:rPr>
              <w:t xml:space="preserve">nited </w:t>
            </w:r>
            <w:r w:rsidRPr="00251A53">
              <w:rPr>
                <w:bCs/>
                <w:i/>
                <w:sz w:val="18"/>
                <w:szCs w:val="18"/>
              </w:rPr>
              <w:t>S</w:t>
            </w:r>
            <w:r w:rsidR="0037120B" w:rsidRPr="00251A53">
              <w:rPr>
                <w:bCs/>
                <w:i/>
                <w:sz w:val="18"/>
                <w:szCs w:val="18"/>
              </w:rPr>
              <w:t>tates dollars</w:t>
            </w:r>
            <w:r w:rsidRPr="00251A53">
              <w:rPr>
                <w:bCs/>
                <w:i/>
                <w:sz w:val="18"/>
                <w:szCs w:val="18"/>
              </w:rPr>
              <w:t>)</w:t>
            </w:r>
          </w:p>
        </w:tc>
      </w:tr>
      <w:tr w:rsidR="009819B8" w:rsidRPr="00251A53" w14:paraId="14ACD334" w14:textId="77777777" w:rsidTr="007C25CB">
        <w:trPr>
          <w:trHeight w:val="20"/>
        </w:trPr>
        <w:tc>
          <w:tcPr>
            <w:tcW w:w="751" w:type="pct"/>
            <w:vMerge/>
            <w:tcBorders>
              <w:bottom w:val="single" w:sz="4" w:space="0" w:color="auto"/>
            </w:tcBorders>
            <w:shd w:val="clear" w:color="auto" w:fill="DEEAF6" w:themeFill="accent1" w:themeFillTint="33"/>
            <w:tcMar>
              <w:top w:w="72" w:type="dxa"/>
              <w:left w:w="144" w:type="dxa"/>
              <w:bottom w:w="72" w:type="dxa"/>
              <w:right w:w="144" w:type="dxa"/>
            </w:tcMar>
            <w:vAlign w:val="center"/>
          </w:tcPr>
          <w:p w14:paraId="14C46BA4" w14:textId="77777777" w:rsidR="008B37DC" w:rsidRPr="00251A53" w:rsidRDefault="008B37DC" w:rsidP="007612AB">
            <w:pPr>
              <w:spacing w:before="20" w:after="20"/>
              <w:jc w:val="center"/>
              <w:rPr>
                <w:b/>
                <w:bCs/>
                <w:sz w:val="18"/>
                <w:szCs w:val="18"/>
              </w:rPr>
            </w:pPr>
          </w:p>
        </w:tc>
        <w:tc>
          <w:tcPr>
            <w:tcW w:w="857" w:type="pct"/>
            <w:vMerge/>
            <w:tcBorders>
              <w:bottom w:val="single" w:sz="4" w:space="0" w:color="auto"/>
            </w:tcBorders>
            <w:shd w:val="clear" w:color="auto" w:fill="DEEAF6" w:themeFill="accent1" w:themeFillTint="33"/>
            <w:vAlign w:val="center"/>
          </w:tcPr>
          <w:p w14:paraId="4E623F14" w14:textId="77777777" w:rsidR="008B37DC" w:rsidRPr="00251A53" w:rsidDel="008A6CA6" w:rsidRDefault="008B37DC" w:rsidP="007612AB">
            <w:pPr>
              <w:spacing w:before="20" w:after="20"/>
              <w:jc w:val="center"/>
              <w:rPr>
                <w:b/>
                <w:sz w:val="18"/>
                <w:szCs w:val="18"/>
              </w:rPr>
            </w:pPr>
          </w:p>
        </w:tc>
        <w:tc>
          <w:tcPr>
            <w:tcW w:w="1725" w:type="pct"/>
            <w:gridSpan w:val="2"/>
            <w:vMerge/>
            <w:tcBorders>
              <w:bottom w:val="single" w:sz="4" w:space="0" w:color="auto"/>
            </w:tcBorders>
            <w:shd w:val="clear" w:color="auto" w:fill="DEEAF6" w:themeFill="accent1" w:themeFillTint="33"/>
            <w:tcMar>
              <w:top w:w="72" w:type="dxa"/>
              <w:left w:w="144" w:type="dxa"/>
              <w:bottom w:w="72" w:type="dxa"/>
              <w:right w:w="144" w:type="dxa"/>
            </w:tcMar>
            <w:vAlign w:val="center"/>
          </w:tcPr>
          <w:p w14:paraId="2A1ACD91" w14:textId="77777777" w:rsidR="008B37DC" w:rsidRPr="00251A53" w:rsidDel="008A6CA6" w:rsidRDefault="008B37DC" w:rsidP="007612AB">
            <w:pPr>
              <w:spacing w:before="20" w:after="20"/>
              <w:jc w:val="center"/>
              <w:rPr>
                <w:b/>
                <w:bCs/>
                <w:sz w:val="18"/>
                <w:szCs w:val="18"/>
              </w:rPr>
            </w:pPr>
          </w:p>
        </w:tc>
        <w:tc>
          <w:tcPr>
            <w:tcW w:w="609" w:type="pct"/>
            <w:gridSpan w:val="2"/>
            <w:vMerge/>
            <w:tcBorders>
              <w:bottom w:val="single" w:sz="4" w:space="0" w:color="auto"/>
            </w:tcBorders>
            <w:shd w:val="clear" w:color="auto" w:fill="DEEAF6" w:themeFill="accent1" w:themeFillTint="33"/>
            <w:vAlign w:val="center"/>
          </w:tcPr>
          <w:p w14:paraId="614CEB59" w14:textId="77777777" w:rsidR="008B37DC" w:rsidRPr="00251A53" w:rsidRDefault="008B37DC" w:rsidP="007612AB">
            <w:pPr>
              <w:spacing w:before="20" w:after="20"/>
              <w:jc w:val="center"/>
              <w:rPr>
                <w:b/>
                <w:bCs/>
                <w:sz w:val="18"/>
                <w:szCs w:val="18"/>
              </w:rPr>
            </w:pPr>
          </w:p>
        </w:tc>
        <w:tc>
          <w:tcPr>
            <w:tcW w:w="344" w:type="pct"/>
            <w:tcBorders>
              <w:bottom w:val="single" w:sz="4" w:space="0" w:color="auto"/>
            </w:tcBorders>
            <w:shd w:val="clear" w:color="auto" w:fill="DEEAF6" w:themeFill="accent1" w:themeFillTint="33"/>
            <w:tcMar>
              <w:top w:w="15" w:type="dxa"/>
              <w:left w:w="108" w:type="dxa"/>
              <w:bottom w:w="0" w:type="dxa"/>
              <w:right w:w="108" w:type="dxa"/>
            </w:tcMar>
            <w:vAlign w:val="center"/>
          </w:tcPr>
          <w:p w14:paraId="5EED8D99" w14:textId="77777777" w:rsidR="008B37DC" w:rsidRPr="00251A53" w:rsidRDefault="008B37DC" w:rsidP="007612AB">
            <w:pPr>
              <w:spacing w:before="20" w:after="20"/>
              <w:jc w:val="center"/>
              <w:rPr>
                <w:b/>
                <w:bCs/>
                <w:sz w:val="18"/>
                <w:szCs w:val="18"/>
              </w:rPr>
            </w:pPr>
            <w:r w:rsidRPr="00251A53">
              <w:rPr>
                <w:b/>
                <w:bCs/>
                <w:sz w:val="18"/>
                <w:szCs w:val="18"/>
              </w:rPr>
              <w:t>Regular</w:t>
            </w:r>
          </w:p>
        </w:tc>
        <w:tc>
          <w:tcPr>
            <w:tcW w:w="343" w:type="pct"/>
            <w:shd w:val="clear" w:color="auto" w:fill="DEEAF6" w:themeFill="accent1" w:themeFillTint="33"/>
            <w:vAlign w:val="center"/>
          </w:tcPr>
          <w:p w14:paraId="5A5DFF5F" w14:textId="77777777" w:rsidR="008B37DC" w:rsidRPr="00251A53" w:rsidRDefault="008B37DC" w:rsidP="007612AB">
            <w:pPr>
              <w:spacing w:before="20" w:after="20"/>
              <w:jc w:val="center"/>
              <w:rPr>
                <w:b/>
                <w:bCs/>
                <w:sz w:val="18"/>
                <w:szCs w:val="18"/>
              </w:rPr>
            </w:pPr>
            <w:r w:rsidRPr="00251A53">
              <w:rPr>
                <w:b/>
                <w:bCs/>
                <w:sz w:val="18"/>
                <w:szCs w:val="18"/>
              </w:rPr>
              <w:t>Other</w:t>
            </w:r>
          </w:p>
        </w:tc>
        <w:tc>
          <w:tcPr>
            <w:tcW w:w="371" w:type="pct"/>
            <w:shd w:val="clear" w:color="auto" w:fill="DEEAF6" w:themeFill="accent1" w:themeFillTint="33"/>
            <w:vAlign w:val="center"/>
          </w:tcPr>
          <w:p w14:paraId="631AC2B7" w14:textId="77777777" w:rsidR="008B37DC" w:rsidRPr="00251A53" w:rsidRDefault="008B37DC" w:rsidP="007612AB">
            <w:pPr>
              <w:spacing w:before="20" w:after="20"/>
              <w:jc w:val="center"/>
              <w:rPr>
                <w:b/>
                <w:bCs/>
                <w:sz w:val="18"/>
                <w:szCs w:val="18"/>
              </w:rPr>
            </w:pPr>
            <w:r w:rsidRPr="00251A53">
              <w:rPr>
                <w:b/>
                <w:bCs/>
                <w:sz w:val="18"/>
                <w:szCs w:val="18"/>
              </w:rPr>
              <w:t>Total</w:t>
            </w:r>
          </w:p>
        </w:tc>
      </w:tr>
      <w:tr w:rsidR="00C950ED" w:rsidRPr="00251A53" w14:paraId="489B142F" w14:textId="77777777" w:rsidTr="007C25CB">
        <w:trPr>
          <w:trHeight w:val="20"/>
        </w:trPr>
        <w:tc>
          <w:tcPr>
            <w:tcW w:w="751" w:type="pct"/>
            <w:tcBorders>
              <w:top w:val="single" w:sz="4" w:space="0" w:color="auto"/>
              <w:bottom w:val="nil"/>
            </w:tcBorders>
            <w:tcMar>
              <w:top w:w="72" w:type="dxa"/>
              <w:left w:w="144" w:type="dxa"/>
              <w:bottom w:w="72" w:type="dxa"/>
              <w:right w:w="144" w:type="dxa"/>
            </w:tcMar>
          </w:tcPr>
          <w:p w14:paraId="452F3ADF" w14:textId="77777777" w:rsidR="00C950ED" w:rsidRPr="00251A53" w:rsidRDefault="00C950ED" w:rsidP="00BA4920">
            <w:pPr>
              <w:spacing w:before="20" w:after="20"/>
              <w:rPr>
                <w:bCs/>
                <w:sz w:val="18"/>
                <w:szCs w:val="18"/>
              </w:rPr>
            </w:pPr>
            <w:r w:rsidRPr="00251A53">
              <w:rPr>
                <w:bCs/>
                <w:sz w:val="18"/>
                <w:szCs w:val="18"/>
                <w:u w:val="single"/>
              </w:rPr>
              <w:t>Indicator 4.1.1</w:t>
            </w:r>
            <w:r w:rsidRPr="00251A53">
              <w:rPr>
                <w:bCs/>
                <w:sz w:val="18"/>
                <w:szCs w:val="18"/>
              </w:rPr>
              <w:t xml:space="preserve">: </w:t>
            </w:r>
            <w:r w:rsidRPr="00251A53">
              <w:rPr>
                <w:bCs/>
                <w:sz w:val="18"/>
                <w:szCs w:val="18"/>
              </w:rPr>
              <w:br/>
              <w:t>Number of national and local government programmes elaborated and implemented with results-based management approach</w:t>
            </w:r>
            <w:r w:rsidRPr="00251A53">
              <w:rPr>
                <w:bCs/>
                <w:sz w:val="18"/>
                <w:szCs w:val="18"/>
              </w:rPr>
              <w:br/>
            </w:r>
            <w:r w:rsidRPr="00251A53">
              <w:rPr>
                <w:bCs/>
                <w:i/>
                <w:sz w:val="18"/>
                <w:szCs w:val="18"/>
              </w:rPr>
              <w:t>Baseline</w:t>
            </w:r>
            <w:r w:rsidRPr="00251A53">
              <w:rPr>
                <w:bCs/>
                <w:sz w:val="18"/>
                <w:szCs w:val="18"/>
              </w:rPr>
              <w:t>: 0</w:t>
            </w:r>
            <w:r w:rsidRPr="00251A53">
              <w:rPr>
                <w:bCs/>
                <w:sz w:val="18"/>
                <w:szCs w:val="18"/>
              </w:rPr>
              <w:br/>
            </w:r>
            <w:r w:rsidRPr="00251A53">
              <w:rPr>
                <w:bCs/>
                <w:i/>
                <w:sz w:val="18"/>
                <w:szCs w:val="18"/>
              </w:rPr>
              <w:t>Target</w:t>
            </w:r>
            <w:r w:rsidRPr="00251A53">
              <w:rPr>
                <w:bCs/>
                <w:sz w:val="18"/>
                <w:szCs w:val="18"/>
              </w:rPr>
              <w:t>: 1 (national), 12 (municipality), 3 (islands)</w:t>
            </w:r>
          </w:p>
        </w:tc>
        <w:tc>
          <w:tcPr>
            <w:tcW w:w="857" w:type="pct"/>
            <w:tcBorders>
              <w:top w:val="single" w:sz="4" w:space="0" w:color="auto"/>
              <w:bottom w:val="nil"/>
            </w:tcBorders>
          </w:tcPr>
          <w:p w14:paraId="3FF253B4" w14:textId="77777777" w:rsidR="00C950ED" w:rsidRPr="00251A53" w:rsidRDefault="00C950ED" w:rsidP="007612AB">
            <w:pPr>
              <w:spacing w:before="20" w:after="20"/>
              <w:rPr>
                <w:bCs/>
                <w:sz w:val="18"/>
                <w:szCs w:val="18"/>
              </w:rPr>
            </w:pPr>
            <w:r w:rsidRPr="00251A53">
              <w:rPr>
                <w:bCs/>
                <w:i/>
                <w:sz w:val="18"/>
                <w:szCs w:val="18"/>
              </w:rPr>
              <w:t>Source</w:t>
            </w:r>
            <w:r w:rsidRPr="00251A53">
              <w:rPr>
                <w:bCs/>
                <w:sz w:val="18"/>
                <w:szCs w:val="18"/>
              </w:rPr>
              <w:t>: PEDS, Sector and Municipal reports</w:t>
            </w:r>
          </w:p>
          <w:p w14:paraId="4E82004C" w14:textId="77777777" w:rsidR="00C950ED" w:rsidRPr="00251A53" w:rsidRDefault="00C950ED" w:rsidP="007612AB">
            <w:pPr>
              <w:spacing w:before="20" w:after="20"/>
              <w:rPr>
                <w:bCs/>
                <w:sz w:val="18"/>
                <w:szCs w:val="18"/>
              </w:rPr>
            </w:pPr>
          </w:p>
          <w:p w14:paraId="6C5250A1" w14:textId="77777777" w:rsidR="00C950ED" w:rsidRPr="00251A53" w:rsidRDefault="00C950ED" w:rsidP="007612AB">
            <w:pPr>
              <w:spacing w:before="20" w:after="20"/>
              <w:rPr>
                <w:bCs/>
                <w:sz w:val="18"/>
                <w:szCs w:val="18"/>
              </w:rPr>
            </w:pPr>
            <w:r w:rsidRPr="00251A53">
              <w:rPr>
                <w:bCs/>
                <w:i/>
                <w:sz w:val="18"/>
                <w:szCs w:val="18"/>
              </w:rPr>
              <w:t>Responsibility</w:t>
            </w:r>
            <w:r w:rsidRPr="00251A53">
              <w:rPr>
                <w:bCs/>
                <w:sz w:val="18"/>
                <w:szCs w:val="18"/>
              </w:rPr>
              <w:t>: Ministry of Finance (MFF)</w:t>
            </w:r>
          </w:p>
        </w:tc>
        <w:tc>
          <w:tcPr>
            <w:tcW w:w="1725" w:type="pct"/>
            <w:gridSpan w:val="2"/>
            <w:vMerge w:val="restart"/>
            <w:tcBorders>
              <w:top w:val="single" w:sz="4" w:space="0" w:color="auto"/>
            </w:tcBorders>
            <w:tcMar>
              <w:top w:w="72" w:type="dxa"/>
              <w:left w:w="144" w:type="dxa"/>
              <w:bottom w:w="72" w:type="dxa"/>
              <w:right w:w="144" w:type="dxa"/>
            </w:tcMar>
          </w:tcPr>
          <w:p w14:paraId="2CEC1558" w14:textId="77777777" w:rsidR="00C950ED" w:rsidRPr="00251A53" w:rsidRDefault="00C950ED" w:rsidP="007612AB">
            <w:pPr>
              <w:spacing w:before="20" w:after="20"/>
              <w:rPr>
                <w:i/>
                <w:iCs/>
                <w:sz w:val="18"/>
                <w:szCs w:val="18"/>
              </w:rPr>
            </w:pPr>
            <w:r w:rsidRPr="00251A53">
              <w:rPr>
                <w:iCs/>
                <w:sz w:val="18"/>
                <w:szCs w:val="18"/>
                <w:u w:val="single"/>
              </w:rPr>
              <w:t>Output 4.1</w:t>
            </w:r>
            <w:r w:rsidRPr="00251A53">
              <w:rPr>
                <w:iCs/>
                <w:sz w:val="18"/>
                <w:szCs w:val="18"/>
              </w:rPr>
              <w:t>:</w:t>
            </w:r>
            <w:r w:rsidRPr="00251A53">
              <w:rPr>
                <w:i/>
                <w:iCs/>
                <w:sz w:val="18"/>
                <w:szCs w:val="18"/>
              </w:rPr>
              <w:t xml:space="preserve"> </w:t>
            </w:r>
            <w:r w:rsidRPr="00251A53">
              <w:rPr>
                <w:iCs/>
                <w:sz w:val="18"/>
                <w:szCs w:val="18"/>
              </w:rPr>
              <w:t>Young people and women have enhanced capacities to engage in critical development issues and decision-making processes</w:t>
            </w:r>
            <w:r w:rsidRPr="00251A53">
              <w:rPr>
                <w:i/>
                <w:iCs/>
                <w:sz w:val="18"/>
                <w:szCs w:val="18"/>
              </w:rPr>
              <w:t xml:space="preserve"> </w:t>
            </w:r>
          </w:p>
          <w:p w14:paraId="77FB9753" w14:textId="77777777" w:rsidR="00C950ED" w:rsidRPr="00251A53" w:rsidRDefault="00C950ED" w:rsidP="007612AB">
            <w:pPr>
              <w:spacing w:before="20" w:after="20"/>
              <w:rPr>
                <w:iCs/>
                <w:sz w:val="18"/>
                <w:szCs w:val="18"/>
              </w:rPr>
            </w:pPr>
            <w:r w:rsidRPr="00251A53">
              <w:rPr>
                <w:iCs/>
                <w:sz w:val="18"/>
                <w:szCs w:val="18"/>
              </w:rPr>
              <w:t>4.1.1:</w:t>
            </w:r>
            <w:r w:rsidRPr="00251A53">
              <w:rPr>
                <w:i/>
                <w:iCs/>
                <w:sz w:val="18"/>
                <w:szCs w:val="18"/>
              </w:rPr>
              <w:t xml:space="preserve"> </w:t>
            </w:r>
            <w:r w:rsidRPr="00251A53">
              <w:rPr>
                <w:iCs/>
                <w:sz w:val="18"/>
                <w:szCs w:val="18"/>
              </w:rPr>
              <w:t xml:space="preserve">Extent to which women’s </w:t>
            </w:r>
            <w:r w:rsidR="00F01FAC" w:rsidRPr="00251A53">
              <w:rPr>
                <w:iCs/>
                <w:sz w:val="18"/>
                <w:szCs w:val="18"/>
              </w:rPr>
              <w:t xml:space="preserve">groups </w:t>
            </w:r>
            <w:r w:rsidRPr="00251A53">
              <w:rPr>
                <w:iCs/>
                <w:sz w:val="18"/>
                <w:szCs w:val="18"/>
              </w:rPr>
              <w:t>and youth groups have strengthened capacity to engage in critical development issues</w:t>
            </w:r>
          </w:p>
          <w:p w14:paraId="09E93A80" w14:textId="77777777" w:rsidR="00C950ED" w:rsidRPr="00251A53" w:rsidRDefault="00C950ED" w:rsidP="007612AB">
            <w:pPr>
              <w:spacing w:before="20" w:after="20"/>
              <w:rPr>
                <w:i/>
                <w:iCs/>
                <w:sz w:val="18"/>
                <w:szCs w:val="18"/>
              </w:rPr>
            </w:pPr>
            <w:r w:rsidRPr="00251A53">
              <w:rPr>
                <w:i/>
                <w:iCs/>
                <w:sz w:val="18"/>
                <w:szCs w:val="18"/>
              </w:rPr>
              <w:t xml:space="preserve">Baseline: </w:t>
            </w:r>
            <w:r w:rsidRPr="00251A53">
              <w:rPr>
                <w:iCs/>
                <w:sz w:val="18"/>
                <w:szCs w:val="18"/>
              </w:rPr>
              <w:t>1</w:t>
            </w:r>
            <w:r w:rsidRPr="00251A53">
              <w:rPr>
                <w:i/>
                <w:iCs/>
                <w:sz w:val="18"/>
                <w:szCs w:val="18"/>
              </w:rPr>
              <w:t xml:space="preserve">; Target: </w:t>
            </w:r>
            <w:r w:rsidRPr="00251A53">
              <w:rPr>
                <w:iCs/>
                <w:sz w:val="18"/>
                <w:szCs w:val="18"/>
              </w:rPr>
              <w:t>3</w:t>
            </w:r>
          </w:p>
          <w:p w14:paraId="5375F0FA" w14:textId="77777777" w:rsidR="00C950ED" w:rsidRPr="00251A53" w:rsidRDefault="00C950ED" w:rsidP="007612AB">
            <w:pPr>
              <w:spacing w:before="20" w:after="20"/>
              <w:rPr>
                <w:i/>
                <w:iCs/>
                <w:sz w:val="18"/>
                <w:szCs w:val="18"/>
              </w:rPr>
            </w:pPr>
            <w:r w:rsidRPr="00251A53">
              <w:rPr>
                <w:i/>
                <w:iCs/>
                <w:sz w:val="18"/>
                <w:szCs w:val="18"/>
              </w:rPr>
              <w:t xml:space="preserve">Source: </w:t>
            </w:r>
            <w:r w:rsidRPr="00251A53">
              <w:rPr>
                <w:iCs/>
                <w:sz w:val="18"/>
                <w:szCs w:val="18"/>
              </w:rPr>
              <w:t>Youth and women organizations reports</w:t>
            </w:r>
            <w:r w:rsidRPr="00251A53">
              <w:rPr>
                <w:i/>
                <w:iCs/>
                <w:sz w:val="18"/>
                <w:szCs w:val="18"/>
              </w:rPr>
              <w:t xml:space="preserve"> </w:t>
            </w:r>
          </w:p>
          <w:p w14:paraId="6EAA94AA" w14:textId="77777777" w:rsidR="00C950ED" w:rsidRPr="00251A53" w:rsidRDefault="00C950ED" w:rsidP="007612AB">
            <w:pPr>
              <w:spacing w:before="20" w:after="20"/>
              <w:rPr>
                <w:i/>
                <w:iCs/>
                <w:sz w:val="18"/>
                <w:szCs w:val="18"/>
              </w:rPr>
            </w:pPr>
            <w:r w:rsidRPr="00251A53">
              <w:rPr>
                <w:i/>
                <w:iCs/>
                <w:sz w:val="18"/>
                <w:szCs w:val="18"/>
              </w:rPr>
              <w:t xml:space="preserve">Responsible: </w:t>
            </w:r>
            <w:r w:rsidRPr="00251A53">
              <w:rPr>
                <w:iCs/>
                <w:sz w:val="18"/>
                <w:szCs w:val="18"/>
              </w:rPr>
              <w:t>UNDP</w:t>
            </w:r>
          </w:p>
          <w:p w14:paraId="2116228A" w14:textId="77777777" w:rsidR="00C950ED" w:rsidRPr="00251A53" w:rsidRDefault="00C950ED" w:rsidP="007612AB">
            <w:pPr>
              <w:spacing w:before="20" w:after="20"/>
              <w:rPr>
                <w:i/>
                <w:iCs/>
                <w:sz w:val="18"/>
                <w:szCs w:val="18"/>
              </w:rPr>
            </w:pPr>
            <w:r w:rsidRPr="00251A53">
              <w:rPr>
                <w:iCs/>
                <w:sz w:val="18"/>
                <w:szCs w:val="18"/>
              </w:rPr>
              <w:t>4.1.2:</w:t>
            </w:r>
            <w:r w:rsidRPr="00251A53">
              <w:rPr>
                <w:sz w:val="18"/>
                <w:szCs w:val="18"/>
              </w:rPr>
              <w:t xml:space="preserve"> </w:t>
            </w:r>
            <w:r w:rsidRPr="00251A53">
              <w:rPr>
                <w:iCs/>
                <w:sz w:val="18"/>
                <w:szCs w:val="18"/>
              </w:rPr>
              <w:t>Number of girls and boys leading within civic engagement initiatives at national or local level in the context of the sustainable development goals.</w:t>
            </w:r>
          </w:p>
          <w:p w14:paraId="6937C772" w14:textId="206D4D07" w:rsidR="00C950ED" w:rsidRPr="00251A53" w:rsidRDefault="00C950ED" w:rsidP="007612AB">
            <w:pPr>
              <w:spacing w:before="20" w:after="20"/>
              <w:rPr>
                <w:i/>
                <w:iCs/>
                <w:sz w:val="18"/>
                <w:szCs w:val="18"/>
              </w:rPr>
            </w:pPr>
            <w:r w:rsidRPr="00251A53">
              <w:rPr>
                <w:i/>
                <w:iCs/>
                <w:sz w:val="18"/>
                <w:szCs w:val="18"/>
              </w:rPr>
              <w:t>Baseline</w:t>
            </w:r>
            <w:r w:rsidRPr="00251A53">
              <w:rPr>
                <w:iCs/>
                <w:sz w:val="18"/>
                <w:szCs w:val="18"/>
              </w:rPr>
              <w:t>: 0;</w:t>
            </w:r>
            <w:r w:rsidRPr="00251A53">
              <w:rPr>
                <w:i/>
                <w:iCs/>
                <w:sz w:val="18"/>
                <w:szCs w:val="18"/>
              </w:rPr>
              <w:t xml:space="preserve"> Target: </w:t>
            </w:r>
            <w:r w:rsidRPr="00251A53">
              <w:rPr>
                <w:iCs/>
                <w:sz w:val="18"/>
                <w:szCs w:val="18"/>
              </w:rPr>
              <w:t>200 (</w:t>
            </w:r>
            <w:r w:rsidR="00440286" w:rsidRPr="00251A53">
              <w:rPr>
                <w:iCs/>
                <w:sz w:val="18"/>
                <w:szCs w:val="18"/>
              </w:rPr>
              <w:t xml:space="preserve">girls </w:t>
            </w:r>
            <w:r w:rsidRPr="00251A53">
              <w:rPr>
                <w:iCs/>
                <w:sz w:val="18"/>
                <w:szCs w:val="18"/>
              </w:rPr>
              <w:t xml:space="preserve">- 100; </w:t>
            </w:r>
            <w:r w:rsidR="00440286" w:rsidRPr="00251A53">
              <w:rPr>
                <w:iCs/>
                <w:sz w:val="18"/>
                <w:szCs w:val="18"/>
              </w:rPr>
              <w:t xml:space="preserve">boys </w:t>
            </w:r>
            <w:r w:rsidRPr="00251A53">
              <w:rPr>
                <w:iCs/>
                <w:sz w:val="18"/>
                <w:szCs w:val="18"/>
              </w:rPr>
              <w:t>- 100)</w:t>
            </w:r>
          </w:p>
          <w:p w14:paraId="1BEB4CEA" w14:textId="77777777" w:rsidR="00C950ED" w:rsidRPr="00251A53" w:rsidRDefault="00C950ED" w:rsidP="007612AB">
            <w:pPr>
              <w:spacing w:before="20" w:after="20"/>
              <w:rPr>
                <w:i/>
                <w:iCs/>
                <w:sz w:val="18"/>
                <w:szCs w:val="18"/>
              </w:rPr>
            </w:pPr>
            <w:r w:rsidRPr="00251A53">
              <w:rPr>
                <w:i/>
                <w:iCs/>
                <w:sz w:val="18"/>
                <w:szCs w:val="18"/>
              </w:rPr>
              <w:t xml:space="preserve">Source: </w:t>
            </w:r>
            <w:r w:rsidRPr="00251A53">
              <w:rPr>
                <w:iCs/>
                <w:sz w:val="18"/>
                <w:szCs w:val="18"/>
              </w:rPr>
              <w:t>ICCA annual reports</w:t>
            </w:r>
          </w:p>
          <w:p w14:paraId="2CF26116" w14:textId="77777777" w:rsidR="00C950ED" w:rsidRPr="00251A53" w:rsidRDefault="00C950ED" w:rsidP="007612AB">
            <w:pPr>
              <w:spacing w:before="20" w:after="20"/>
              <w:rPr>
                <w:i/>
                <w:iCs/>
                <w:sz w:val="18"/>
                <w:szCs w:val="18"/>
              </w:rPr>
            </w:pPr>
            <w:r w:rsidRPr="00251A53">
              <w:rPr>
                <w:i/>
                <w:iCs/>
                <w:sz w:val="18"/>
                <w:szCs w:val="18"/>
              </w:rPr>
              <w:t xml:space="preserve">Responsible: </w:t>
            </w:r>
            <w:r w:rsidRPr="00251A53">
              <w:rPr>
                <w:iCs/>
                <w:sz w:val="18"/>
                <w:szCs w:val="18"/>
              </w:rPr>
              <w:t>UNICEF</w:t>
            </w:r>
          </w:p>
          <w:p w14:paraId="698345AF" w14:textId="77777777" w:rsidR="00C950ED" w:rsidRPr="00251A53" w:rsidRDefault="00C950ED" w:rsidP="007612AB">
            <w:pPr>
              <w:spacing w:before="20" w:after="20"/>
              <w:rPr>
                <w:iCs/>
                <w:sz w:val="18"/>
                <w:szCs w:val="18"/>
              </w:rPr>
            </w:pPr>
            <w:r w:rsidRPr="00251A53">
              <w:rPr>
                <w:iCs/>
                <w:sz w:val="18"/>
                <w:szCs w:val="18"/>
              </w:rPr>
              <w:lastRenderedPageBreak/>
              <w:t xml:space="preserve">4.1.3: Number of mechanisms at national and local levels that facilitate the participation of young people and adolescents in decision-making processes </w:t>
            </w:r>
          </w:p>
          <w:p w14:paraId="6C15295B" w14:textId="77777777" w:rsidR="00C950ED" w:rsidRPr="00251A53" w:rsidRDefault="00C950ED" w:rsidP="007612AB">
            <w:pPr>
              <w:spacing w:before="20" w:after="20"/>
              <w:rPr>
                <w:i/>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4</w:t>
            </w:r>
          </w:p>
          <w:p w14:paraId="02E07FA6" w14:textId="77777777" w:rsidR="00C950ED" w:rsidRPr="00251A53" w:rsidRDefault="00C950ED" w:rsidP="007612AB">
            <w:pPr>
              <w:spacing w:before="20" w:after="20"/>
              <w:rPr>
                <w:i/>
                <w:iCs/>
                <w:sz w:val="18"/>
                <w:szCs w:val="18"/>
              </w:rPr>
            </w:pPr>
            <w:r w:rsidRPr="00251A53">
              <w:rPr>
                <w:i/>
                <w:iCs/>
                <w:sz w:val="18"/>
                <w:szCs w:val="18"/>
              </w:rPr>
              <w:t xml:space="preserve">Source: </w:t>
            </w:r>
            <w:r w:rsidRPr="00251A53">
              <w:rPr>
                <w:iCs/>
                <w:sz w:val="18"/>
                <w:szCs w:val="18"/>
              </w:rPr>
              <w:t>Platform meeting reports</w:t>
            </w:r>
          </w:p>
          <w:p w14:paraId="798DB2E2" w14:textId="77777777" w:rsidR="00C950ED" w:rsidRPr="00251A53" w:rsidRDefault="00C950ED" w:rsidP="007612AB">
            <w:pPr>
              <w:spacing w:before="20" w:after="20"/>
              <w:rPr>
                <w:i/>
                <w:iCs/>
                <w:sz w:val="18"/>
                <w:szCs w:val="18"/>
              </w:rPr>
            </w:pPr>
            <w:r w:rsidRPr="00251A53">
              <w:rPr>
                <w:i/>
                <w:iCs/>
                <w:sz w:val="18"/>
                <w:szCs w:val="18"/>
              </w:rPr>
              <w:t xml:space="preserve">Responsible: </w:t>
            </w:r>
            <w:r w:rsidRPr="00251A53">
              <w:rPr>
                <w:iCs/>
                <w:sz w:val="18"/>
                <w:szCs w:val="18"/>
              </w:rPr>
              <w:t>UNFPA</w:t>
            </w:r>
          </w:p>
        </w:tc>
        <w:tc>
          <w:tcPr>
            <w:tcW w:w="609" w:type="pct"/>
            <w:gridSpan w:val="2"/>
            <w:vMerge w:val="restart"/>
            <w:tcBorders>
              <w:top w:val="single" w:sz="4" w:space="0" w:color="auto"/>
            </w:tcBorders>
          </w:tcPr>
          <w:p w14:paraId="4C146F0E" w14:textId="77777777" w:rsidR="00C950ED" w:rsidRPr="00251A53" w:rsidRDefault="00C950ED" w:rsidP="006637EF">
            <w:pPr>
              <w:spacing w:before="20" w:after="20"/>
              <w:ind w:left="51"/>
              <w:rPr>
                <w:sz w:val="18"/>
                <w:szCs w:val="18"/>
              </w:rPr>
            </w:pPr>
            <w:r w:rsidRPr="00251A53">
              <w:rPr>
                <w:sz w:val="18"/>
                <w:szCs w:val="18"/>
              </w:rPr>
              <w:lastRenderedPageBreak/>
              <w:t xml:space="preserve">Office of the Prime Minister, Ministries of Foreign Affairs, Finance and Justice, National Electoral Commission; National Commission of Human Rights and Citizenship; </w:t>
            </w:r>
            <w:r w:rsidRPr="00251A53">
              <w:rPr>
                <w:iCs/>
                <w:sz w:val="18"/>
                <w:szCs w:val="18"/>
              </w:rPr>
              <w:t xml:space="preserve">National Institute of Gender Equality and Equity; </w:t>
            </w:r>
            <w:r w:rsidRPr="00251A53">
              <w:rPr>
                <w:sz w:val="18"/>
                <w:szCs w:val="18"/>
              </w:rPr>
              <w:t xml:space="preserve">INE; municipalities; Parliament; Ombudsman; Attorney-General; Superior Council of </w:t>
            </w:r>
            <w:r w:rsidRPr="00251A53">
              <w:rPr>
                <w:sz w:val="18"/>
                <w:szCs w:val="18"/>
              </w:rPr>
              <w:lastRenderedPageBreak/>
              <w:t xml:space="preserve">Judicial Magistracy; bar associations; Budget Support Group; National Association of Municipalities; NGO Platform Consultative Councils; France, Luxembourg; Portugal; Spain; USA; European Union; </w:t>
            </w:r>
            <w:r w:rsidRPr="00251A53">
              <w:rPr>
                <w:iCs/>
                <w:sz w:val="18"/>
                <w:szCs w:val="18"/>
              </w:rPr>
              <w:t xml:space="preserve">AfDB; </w:t>
            </w:r>
            <w:r w:rsidRPr="00251A53">
              <w:rPr>
                <w:sz w:val="18"/>
                <w:szCs w:val="18"/>
              </w:rPr>
              <w:t>World Bank; ILO, IOM; OHCHR; UN-Women, UNODC; WHO</w:t>
            </w:r>
          </w:p>
        </w:tc>
        <w:tc>
          <w:tcPr>
            <w:tcW w:w="344" w:type="pct"/>
            <w:vMerge w:val="restart"/>
            <w:tcBorders>
              <w:top w:val="single" w:sz="4" w:space="0" w:color="auto"/>
            </w:tcBorders>
            <w:tcMar>
              <w:top w:w="15" w:type="dxa"/>
              <w:left w:w="108" w:type="dxa"/>
              <w:bottom w:w="0" w:type="dxa"/>
              <w:right w:w="108" w:type="dxa"/>
            </w:tcMar>
          </w:tcPr>
          <w:p w14:paraId="46F54CAB" w14:textId="77777777" w:rsidR="00C950ED" w:rsidRPr="00251A53" w:rsidRDefault="00C950ED" w:rsidP="00E2785D">
            <w:pPr>
              <w:spacing w:before="20" w:after="120"/>
              <w:ind w:left="-115" w:right="-101"/>
              <w:jc w:val="center"/>
              <w:rPr>
                <w:sz w:val="18"/>
                <w:szCs w:val="18"/>
              </w:rPr>
            </w:pPr>
            <w:r w:rsidRPr="00251A53">
              <w:rPr>
                <w:sz w:val="18"/>
                <w:szCs w:val="18"/>
              </w:rPr>
              <w:lastRenderedPageBreak/>
              <w:t xml:space="preserve">UNDP: </w:t>
            </w:r>
            <w:r w:rsidRPr="00251A53">
              <w:rPr>
                <w:sz w:val="18"/>
                <w:szCs w:val="18"/>
              </w:rPr>
              <w:br/>
              <w:t>550,000</w:t>
            </w:r>
          </w:p>
          <w:p w14:paraId="4B8B1B21" w14:textId="77777777" w:rsidR="00C950ED" w:rsidRPr="00251A53" w:rsidRDefault="00C950ED" w:rsidP="00E2785D">
            <w:pPr>
              <w:spacing w:before="20" w:after="120"/>
              <w:ind w:left="-115" w:right="-101"/>
              <w:jc w:val="center"/>
              <w:rPr>
                <w:sz w:val="18"/>
                <w:szCs w:val="18"/>
              </w:rPr>
            </w:pPr>
            <w:r w:rsidRPr="00251A53">
              <w:rPr>
                <w:sz w:val="18"/>
                <w:szCs w:val="18"/>
              </w:rPr>
              <w:t xml:space="preserve">UNFPA: </w:t>
            </w:r>
            <w:r w:rsidRPr="00251A53">
              <w:rPr>
                <w:sz w:val="18"/>
                <w:szCs w:val="18"/>
              </w:rPr>
              <w:br/>
              <w:t>500,000</w:t>
            </w:r>
          </w:p>
          <w:p w14:paraId="329CA71E" w14:textId="77777777" w:rsidR="00C950ED" w:rsidRPr="00251A53" w:rsidRDefault="00C950ED" w:rsidP="00E2785D">
            <w:pPr>
              <w:spacing w:before="20" w:after="120"/>
              <w:ind w:left="-115" w:right="-101"/>
              <w:jc w:val="center"/>
              <w:rPr>
                <w:sz w:val="18"/>
                <w:szCs w:val="18"/>
              </w:rPr>
            </w:pPr>
            <w:r w:rsidRPr="00251A53">
              <w:rPr>
                <w:sz w:val="18"/>
                <w:szCs w:val="18"/>
              </w:rPr>
              <w:t xml:space="preserve">UNICEF: </w:t>
            </w:r>
            <w:r w:rsidRPr="00251A53">
              <w:rPr>
                <w:sz w:val="18"/>
                <w:szCs w:val="18"/>
              </w:rPr>
              <w:br/>
              <w:t>300,000</w:t>
            </w:r>
          </w:p>
        </w:tc>
        <w:tc>
          <w:tcPr>
            <w:tcW w:w="343" w:type="pct"/>
            <w:vMerge w:val="restart"/>
            <w:tcBorders>
              <w:top w:val="single" w:sz="4" w:space="0" w:color="auto"/>
            </w:tcBorders>
          </w:tcPr>
          <w:p w14:paraId="3EC3F37A" w14:textId="77777777" w:rsidR="00C950ED" w:rsidRPr="00251A53" w:rsidRDefault="00C950ED" w:rsidP="00E2785D">
            <w:pPr>
              <w:spacing w:before="20" w:after="120"/>
              <w:ind w:left="-115" w:right="-101"/>
              <w:jc w:val="center"/>
              <w:rPr>
                <w:sz w:val="18"/>
                <w:szCs w:val="18"/>
              </w:rPr>
            </w:pPr>
            <w:r w:rsidRPr="00251A53">
              <w:rPr>
                <w:sz w:val="18"/>
                <w:szCs w:val="18"/>
              </w:rPr>
              <w:t xml:space="preserve">UNDP: </w:t>
            </w:r>
            <w:r w:rsidRPr="00251A53">
              <w:rPr>
                <w:sz w:val="18"/>
                <w:szCs w:val="18"/>
              </w:rPr>
              <w:br/>
              <w:t>4,800,000</w:t>
            </w:r>
          </w:p>
          <w:p w14:paraId="7E607764" w14:textId="77777777" w:rsidR="00C950ED" w:rsidRPr="00251A53" w:rsidRDefault="00C950ED" w:rsidP="00E2785D">
            <w:pPr>
              <w:spacing w:before="20" w:after="120"/>
              <w:ind w:left="-115" w:right="-101"/>
              <w:jc w:val="center"/>
              <w:rPr>
                <w:sz w:val="18"/>
                <w:szCs w:val="18"/>
              </w:rPr>
            </w:pPr>
            <w:r w:rsidRPr="00251A53">
              <w:rPr>
                <w:sz w:val="18"/>
                <w:szCs w:val="18"/>
              </w:rPr>
              <w:t>UNFPA:</w:t>
            </w:r>
            <w:r w:rsidRPr="00251A53">
              <w:rPr>
                <w:sz w:val="18"/>
                <w:szCs w:val="18"/>
              </w:rPr>
              <w:br/>
              <w:t>400,000</w:t>
            </w:r>
          </w:p>
          <w:p w14:paraId="55D142FE" w14:textId="77777777" w:rsidR="00C950ED" w:rsidRPr="00251A53" w:rsidRDefault="00C950ED" w:rsidP="00E2785D">
            <w:pPr>
              <w:spacing w:before="20" w:after="120"/>
              <w:ind w:left="-115" w:right="-101"/>
              <w:jc w:val="center"/>
              <w:rPr>
                <w:sz w:val="18"/>
                <w:szCs w:val="18"/>
              </w:rPr>
            </w:pPr>
            <w:r w:rsidRPr="00251A53">
              <w:rPr>
                <w:sz w:val="18"/>
                <w:szCs w:val="18"/>
              </w:rPr>
              <w:t xml:space="preserve">UNICEF: </w:t>
            </w:r>
            <w:r w:rsidRPr="00251A53">
              <w:rPr>
                <w:sz w:val="18"/>
                <w:szCs w:val="18"/>
              </w:rPr>
              <w:br/>
              <w:t>350,000</w:t>
            </w:r>
          </w:p>
        </w:tc>
        <w:tc>
          <w:tcPr>
            <w:tcW w:w="371" w:type="pct"/>
            <w:vMerge w:val="restart"/>
            <w:tcBorders>
              <w:top w:val="single" w:sz="4" w:space="0" w:color="auto"/>
            </w:tcBorders>
          </w:tcPr>
          <w:p w14:paraId="5803FA4A" w14:textId="77777777" w:rsidR="00C950ED" w:rsidRPr="00251A53" w:rsidRDefault="00C950ED" w:rsidP="00E2785D">
            <w:pPr>
              <w:spacing w:before="20" w:after="120"/>
              <w:ind w:left="-115" w:right="-101"/>
              <w:jc w:val="center"/>
              <w:rPr>
                <w:sz w:val="18"/>
                <w:szCs w:val="18"/>
              </w:rPr>
            </w:pPr>
            <w:r w:rsidRPr="00251A53">
              <w:rPr>
                <w:sz w:val="18"/>
                <w:szCs w:val="18"/>
              </w:rPr>
              <w:t xml:space="preserve">UNDP: </w:t>
            </w:r>
            <w:r w:rsidRPr="00251A53">
              <w:rPr>
                <w:sz w:val="18"/>
                <w:szCs w:val="18"/>
              </w:rPr>
              <w:br/>
              <w:t>5,350,000</w:t>
            </w:r>
          </w:p>
          <w:p w14:paraId="2BA5D7EE" w14:textId="77777777" w:rsidR="00C950ED" w:rsidRPr="00251A53" w:rsidRDefault="00C950ED" w:rsidP="00E2785D">
            <w:pPr>
              <w:spacing w:before="20" w:after="120"/>
              <w:ind w:left="-115" w:right="-101"/>
              <w:jc w:val="center"/>
              <w:rPr>
                <w:sz w:val="18"/>
                <w:szCs w:val="18"/>
              </w:rPr>
            </w:pPr>
            <w:r w:rsidRPr="00251A53">
              <w:rPr>
                <w:sz w:val="18"/>
                <w:szCs w:val="18"/>
              </w:rPr>
              <w:t xml:space="preserve">UNFPA: </w:t>
            </w:r>
            <w:r w:rsidRPr="00251A53">
              <w:rPr>
                <w:sz w:val="18"/>
                <w:szCs w:val="18"/>
              </w:rPr>
              <w:br/>
              <w:t>900,000</w:t>
            </w:r>
          </w:p>
          <w:p w14:paraId="14598048" w14:textId="77777777" w:rsidR="00C950ED" w:rsidRPr="00251A53" w:rsidRDefault="00C950ED" w:rsidP="00E2785D">
            <w:pPr>
              <w:spacing w:before="20" w:after="120"/>
              <w:ind w:left="-115" w:right="-101"/>
              <w:jc w:val="center"/>
              <w:rPr>
                <w:b/>
                <w:sz w:val="18"/>
                <w:szCs w:val="18"/>
              </w:rPr>
            </w:pPr>
            <w:r w:rsidRPr="00251A53">
              <w:rPr>
                <w:sz w:val="18"/>
                <w:szCs w:val="18"/>
              </w:rPr>
              <w:t xml:space="preserve">UNICEF: </w:t>
            </w:r>
            <w:r w:rsidRPr="00251A53">
              <w:rPr>
                <w:sz w:val="18"/>
                <w:szCs w:val="18"/>
              </w:rPr>
              <w:br/>
              <w:t>650,000</w:t>
            </w:r>
          </w:p>
        </w:tc>
      </w:tr>
      <w:tr w:rsidR="00C950ED" w:rsidRPr="00251A53" w14:paraId="35103FB4" w14:textId="77777777" w:rsidTr="007C25CB">
        <w:trPr>
          <w:trHeight w:val="20"/>
        </w:trPr>
        <w:tc>
          <w:tcPr>
            <w:tcW w:w="751" w:type="pct"/>
            <w:tcBorders>
              <w:top w:val="nil"/>
              <w:bottom w:val="nil"/>
            </w:tcBorders>
            <w:tcMar>
              <w:top w:w="72" w:type="dxa"/>
              <w:left w:w="144" w:type="dxa"/>
              <w:bottom w:w="72" w:type="dxa"/>
              <w:right w:w="144" w:type="dxa"/>
            </w:tcMar>
          </w:tcPr>
          <w:p w14:paraId="00623A9A" w14:textId="77777777" w:rsidR="00C950ED" w:rsidRPr="00251A53" w:rsidRDefault="00C950ED" w:rsidP="00EF5578">
            <w:pPr>
              <w:spacing w:before="20" w:after="20"/>
              <w:rPr>
                <w:bCs/>
                <w:sz w:val="18"/>
                <w:szCs w:val="18"/>
              </w:rPr>
            </w:pPr>
            <w:r w:rsidRPr="00251A53">
              <w:rPr>
                <w:bCs/>
                <w:sz w:val="18"/>
                <w:szCs w:val="18"/>
                <w:u w:val="single"/>
              </w:rPr>
              <w:t>Indicator 4.1.2</w:t>
            </w:r>
            <w:r w:rsidRPr="00251A53">
              <w:rPr>
                <w:bCs/>
                <w:sz w:val="18"/>
                <w:szCs w:val="18"/>
              </w:rPr>
              <w:t>: Percentage of gender-sensitive local and national budget lines</w:t>
            </w:r>
            <w:r w:rsidRPr="00251A53">
              <w:rPr>
                <w:bCs/>
                <w:sz w:val="18"/>
                <w:szCs w:val="18"/>
              </w:rPr>
              <w:br/>
            </w:r>
            <w:r w:rsidRPr="00251A53">
              <w:rPr>
                <w:bCs/>
                <w:i/>
                <w:sz w:val="18"/>
                <w:szCs w:val="18"/>
              </w:rPr>
              <w:t>Baseline</w:t>
            </w:r>
            <w:r w:rsidRPr="00251A53">
              <w:rPr>
                <w:bCs/>
                <w:sz w:val="18"/>
                <w:szCs w:val="18"/>
              </w:rPr>
              <w:t xml:space="preserve">: 0; </w:t>
            </w:r>
            <w:r w:rsidRPr="00251A53">
              <w:rPr>
                <w:bCs/>
                <w:sz w:val="18"/>
                <w:szCs w:val="18"/>
              </w:rPr>
              <w:br/>
            </w:r>
            <w:r w:rsidRPr="00251A53">
              <w:rPr>
                <w:bCs/>
                <w:i/>
                <w:sz w:val="18"/>
                <w:szCs w:val="18"/>
              </w:rPr>
              <w:t>Target</w:t>
            </w:r>
            <w:r w:rsidRPr="00251A53">
              <w:rPr>
                <w:bCs/>
                <w:sz w:val="18"/>
                <w:szCs w:val="18"/>
              </w:rPr>
              <w:t xml:space="preserve">: 70% of </w:t>
            </w:r>
            <w:r w:rsidRPr="00251A53">
              <w:rPr>
                <w:bCs/>
                <w:sz w:val="18"/>
                <w:szCs w:val="18"/>
              </w:rPr>
              <w:lastRenderedPageBreak/>
              <w:t>programmes with gender marker</w:t>
            </w:r>
          </w:p>
        </w:tc>
        <w:tc>
          <w:tcPr>
            <w:tcW w:w="857" w:type="pct"/>
            <w:tcBorders>
              <w:top w:val="nil"/>
              <w:bottom w:val="nil"/>
            </w:tcBorders>
          </w:tcPr>
          <w:p w14:paraId="536ECC28" w14:textId="77777777" w:rsidR="00C950ED" w:rsidRPr="00251A53" w:rsidRDefault="00C950ED" w:rsidP="007612AB">
            <w:pPr>
              <w:spacing w:before="20" w:after="20"/>
              <w:rPr>
                <w:bCs/>
                <w:sz w:val="18"/>
                <w:szCs w:val="18"/>
              </w:rPr>
            </w:pPr>
            <w:r w:rsidRPr="00251A53">
              <w:rPr>
                <w:bCs/>
                <w:i/>
                <w:sz w:val="18"/>
                <w:szCs w:val="18"/>
              </w:rPr>
              <w:lastRenderedPageBreak/>
              <w:t>Source</w:t>
            </w:r>
            <w:r w:rsidRPr="00251A53">
              <w:rPr>
                <w:bCs/>
                <w:sz w:val="18"/>
                <w:szCs w:val="18"/>
              </w:rPr>
              <w:t>: Minutes of meetings between elected representatives and public petitions</w:t>
            </w:r>
          </w:p>
          <w:p w14:paraId="5C9B0CCC" w14:textId="77777777" w:rsidR="00C950ED" w:rsidRPr="00251A53" w:rsidRDefault="00C950ED" w:rsidP="007612AB">
            <w:pPr>
              <w:spacing w:before="20" w:after="20"/>
              <w:rPr>
                <w:bCs/>
                <w:sz w:val="18"/>
                <w:szCs w:val="18"/>
              </w:rPr>
            </w:pPr>
            <w:r w:rsidRPr="00251A53">
              <w:rPr>
                <w:bCs/>
                <w:i/>
                <w:sz w:val="18"/>
                <w:szCs w:val="18"/>
              </w:rPr>
              <w:t>Responsibility</w:t>
            </w:r>
            <w:r w:rsidRPr="00251A53">
              <w:rPr>
                <w:bCs/>
                <w:sz w:val="18"/>
                <w:szCs w:val="18"/>
              </w:rPr>
              <w:t xml:space="preserve">: MFF </w:t>
            </w:r>
          </w:p>
          <w:p w14:paraId="4346D669" w14:textId="77777777" w:rsidR="00C950ED" w:rsidRPr="00251A53" w:rsidRDefault="00C950ED" w:rsidP="007612AB">
            <w:pPr>
              <w:spacing w:before="20" w:after="20"/>
              <w:rPr>
                <w:bCs/>
                <w:sz w:val="18"/>
                <w:szCs w:val="18"/>
              </w:rPr>
            </w:pPr>
            <w:r w:rsidRPr="00251A53">
              <w:rPr>
                <w:bCs/>
                <w:i/>
                <w:sz w:val="18"/>
                <w:szCs w:val="18"/>
              </w:rPr>
              <w:lastRenderedPageBreak/>
              <w:t>Source</w:t>
            </w:r>
            <w:r w:rsidRPr="00251A53">
              <w:rPr>
                <w:bCs/>
                <w:sz w:val="18"/>
                <w:szCs w:val="18"/>
              </w:rPr>
              <w:t>: Sector Budget Execution Report/Municipal Plans</w:t>
            </w:r>
          </w:p>
          <w:p w14:paraId="0F9C4DFE" w14:textId="77777777" w:rsidR="00C950ED" w:rsidRPr="00251A53" w:rsidRDefault="00C950ED" w:rsidP="007612AB">
            <w:pPr>
              <w:spacing w:before="20" w:after="20"/>
              <w:rPr>
                <w:bCs/>
                <w:sz w:val="18"/>
                <w:szCs w:val="18"/>
              </w:rPr>
            </w:pPr>
            <w:r w:rsidRPr="00251A53">
              <w:rPr>
                <w:bCs/>
                <w:i/>
                <w:sz w:val="18"/>
                <w:szCs w:val="18"/>
              </w:rPr>
              <w:t>Responsibility</w:t>
            </w:r>
            <w:r w:rsidRPr="00251A53">
              <w:rPr>
                <w:bCs/>
                <w:sz w:val="18"/>
                <w:szCs w:val="18"/>
              </w:rPr>
              <w:t>: MFF</w:t>
            </w:r>
          </w:p>
        </w:tc>
        <w:tc>
          <w:tcPr>
            <w:tcW w:w="1725" w:type="pct"/>
            <w:gridSpan w:val="2"/>
            <w:vMerge/>
            <w:tcMar>
              <w:top w:w="72" w:type="dxa"/>
              <w:left w:w="144" w:type="dxa"/>
              <w:bottom w:w="72" w:type="dxa"/>
              <w:right w:w="144" w:type="dxa"/>
            </w:tcMar>
          </w:tcPr>
          <w:p w14:paraId="7A68C690" w14:textId="77777777" w:rsidR="00C950ED" w:rsidRPr="00251A53" w:rsidRDefault="00C950ED" w:rsidP="007612AB">
            <w:pPr>
              <w:spacing w:before="20" w:after="20"/>
              <w:rPr>
                <w:i/>
                <w:iCs/>
                <w:sz w:val="18"/>
                <w:szCs w:val="18"/>
              </w:rPr>
            </w:pPr>
          </w:p>
        </w:tc>
        <w:tc>
          <w:tcPr>
            <w:tcW w:w="609" w:type="pct"/>
            <w:gridSpan w:val="2"/>
            <w:vMerge/>
          </w:tcPr>
          <w:p w14:paraId="2096727B" w14:textId="77777777" w:rsidR="00C950ED" w:rsidRPr="00251A53" w:rsidRDefault="00C950ED" w:rsidP="007612AB">
            <w:pPr>
              <w:spacing w:before="20" w:after="20"/>
              <w:rPr>
                <w:i/>
                <w:iCs/>
                <w:sz w:val="18"/>
                <w:szCs w:val="18"/>
              </w:rPr>
            </w:pPr>
          </w:p>
        </w:tc>
        <w:tc>
          <w:tcPr>
            <w:tcW w:w="344" w:type="pct"/>
            <w:vMerge/>
            <w:tcMar>
              <w:top w:w="15" w:type="dxa"/>
              <w:left w:w="108" w:type="dxa"/>
              <w:bottom w:w="0" w:type="dxa"/>
              <w:right w:w="108" w:type="dxa"/>
            </w:tcMar>
          </w:tcPr>
          <w:p w14:paraId="46B2AF60" w14:textId="77777777" w:rsidR="00C950ED" w:rsidRPr="00251A53" w:rsidRDefault="00C950ED" w:rsidP="007612AB">
            <w:pPr>
              <w:spacing w:before="20" w:after="20"/>
              <w:rPr>
                <w:sz w:val="18"/>
                <w:szCs w:val="18"/>
              </w:rPr>
            </w:pPr>
          </w:p>
        </w:tc>
        <w:tc>
          <w:tcPr>
            <w:tcW w:w="343" w:type="pct"/>
            <w:vMerge/>
          </w:tcPr>
          <w:p w14:paraId="4FFED5C8" w14:textId="77777777" w:rsidR="00C950ED" w:rsidRPr="00251A53" w:rsidRDefault="00C950ED" w:rsidP="007612AB">
            <w:pPr>
              <w:spacing w:before="20" w:after="20"/>
              <w:rPr>
                <w:sz w:val="18"/>
                <w:szCs w:val="18"/>
              </w:rPr>
            </w:pPr>
          </w:p>
        </w:tc>
        <w:tc>
          <w:tcPr>
            <w:tcW w:w="371" w:type="pct"/>
            <w:vMerge/>
          </w:tcPr>
          <w:p w14:paraId="7E5C46AC" w14:textId="77777777" w:rsidR="00C950ED" w:rsidRPr="00251A53" w:rsidRDefault="00C950ED" w:rsidP="007612AB">
            <w:pPr>
              <w:spacing w:before="20" w:after="20"/>
              <w:rPr>
                <w:b/>
                <w:sz w:val="18"/>
                <w:szCs w:val="18"/>
              </w:rPr>
            </w:pPr>
          </w:p>
        </w:tc>
      </w:tr>
      <w:tr w:rsidR="00C950ED" w:rsidRPr="00251A53" w14:paraId="05C40422" w14:textId="77777777" w:rsidTr="007C25CB">
        <w:trPr>
          <w:trHeight w:val="20"/>
        </w:trPr>
        <w:tc>
          <w:tcPr>
            <w:tcW w:w="751" w:type="pct"/>
            <w:tcBorders>
              <w:top w:val="nil"/>
              <w:bottom w:val="single" w:sz="4" w:space="0" w:color="auto"/>
            </w:tcBorders>
            <w:tcMar>
              <w:top w:w="72" w:type="dxa"/>
              <w:left w:w="144" w:type="dxa"/>
              <w:bottom w:w="72" w:type="dxa"/>
              <w:right w:w="144" w:type="dxa"/>
            </w:tcMar>
          </w:tcPr>
          <w:p w14:paraId="4B68A2BF" w14:textId="77777777" w:rsidR="00C950ED" w:rsidRPr="00251A53" w:rsidRDefault="00C950ED" w:rsidP="007612AB">
            <w:pPr>
              <w:spacing w:before="20" w:after="20"/>
              <w:rPr>
                <w:iCs/>
                <w:sz w:val="18"/>
                <w:szCs w:val="18"/>
              </w:rPr>
            </w:pPr>
            <w:r w:rsidRPr="00251A53">
              <w:rPr>
                <w:iCs/>
                <w:sz w:val="18"/>
                <w:szCs w:val="18"/>
                <w:u w:val="single"/>
              </w:rPr>
              <w:t>Indicator 4.1.3</w:t>
            </w:r>
            <w:r w:rsidRPr="00251A53">
              <w:rPr>
                <w:iCs/>
                <w:sz w:val="18"/>
                <w:szCs w:val="18"/>
              </w:rPr>
              <w:t>: Percentage of women elected to parliament and local government</w:t>
            </w:r>
            <w:r w:rsidRPr="00251A53">
              <w:rPr>
                <w:iCs/>
                <w:sz w:val="18"/>
                <w:szCs w:val="18"/>
              </w:rPr>
              <w:br/>
            </w:r>
            <w:r w:rsidRPr="00251A53">
              <w:rPr>
                <w:i/>
                <w:iCs/>
                <w:sz w:val="18"/>
                <w:szCs w:val="18"/>
              </w:rPr>
              <w:t>Baseline</w:t>
            </w:r>
            <w:r w:rsidRPr="00251A53">
              <w:rPr>
                <w:iCs/>
                <w:sz w:val="18"/>
                <w:szCs w:val="18"/>
              </w:rPr>
              <w:t xml:space="preserve">: 26.3% </w:t>
            </w:r>
            <w:r w:rsidRPr="00251A53">
              <w:rPr>
                <w:iCs/>
                <w:sz w:val="18"/>
                <w:szCs w:val="18"/>
              </w:rPr>
              <w:br/>
            </w:r>
            <w:r w:rsidRPr="00251A53">
              <w:rPr>
                <w:i/>
                <w:iCs/>
                <w:sz w:val="18"/>
                <w:szCs w:val="18"/>
              </w:rPr>
              <w:t>Target</w:t>
            </w:r>
            <w:r w:rsidRPr="00251A53">
              <w:rPr>
                <w:iCs/>
                <w:sz w:val="18"/>
                <w:szCs w:val="18"/>
              </w:rPr>
              <w:t xml:space="preserve">: 40.3% </w:t>
            </w:r>
          </w:p>
          <w:p w14:paraId="083868BC" w14:textId="77777777" w:rsidR="00C950ED" w:rsidRPr="00251A53" w:rsidRDefault="00C950ED" w:rsidP="007612AB">
            <w:pPr>
              <w:spacing w:before="20" w:after="20"/>
              <w:rPr>
                <w:iCs/>
                <w:sz w:val="18"/>
                <w:szCs w:val="18"/>
              </w:rPr>
            </w:pPr>
          </w:p>
          <w:p w14:paraId="7716A49F" w14:textId="77777777" w:rsidR="00C950ED" w:rsidRPr="00251A53" w:rsidRDefault="00C950ED" w:rsidP="00767218">
            <w:pPr>
              <w:spacing w:before="20" w:after="20"/>
              <w:rPr>
                <w:iCs/>
                <w:sz w:val="18"/>
                <w:szCs w:val="18"/>
              </w:rPr>
            </w:pPr>
            <w:r w:rsidRPr="00251A53">
              <w:rPr>
                <w:iCs/>
                <w:sz w:val="18"/>
                <w:szCs w:val="18"/>
                <w:u w:val="single"/>
              </w:rPr>
              <w:t>Indicator 4.1.4</w:t>
            </w:r>
            <w:r w:rsidRPr="00251A53">
              <w:rPr>
                <w:iCs/>
                <w:sz w:val="18"/>
                <w:szCs w:val="18"/>
              </w:rPr>
              <w:t xml:space="preserve">: </w:t>
            </w:r>
            <w:r w:rsidRPr="00251A53">
              <w:rPr>
                <w:iCs/>
                <w:sz w:val="18"/>
                <w:szCs w:val="18"/>
              </w:rPr>
              <w:br/>
              <w:t xml:space="preserve">Number of functional participation mechanisms for identification of priorities or public policies at national and local levels </w:t>
            </w:r>
          </w:p>
          <w:p w14:paraId="3AB66E09" w14:textId="77777777" w:rsidR="00C950ED" w:rsidRPr="00251A53" w:rsidRDefault="00C950ED" w:rsidP="00EF5578">
            <w:pPr>
              <w:spacing w:before="20" w:after="20"/>
              <w:rPr>
                <w:bCs/>
                <w:i/>
                <w:sz w:val="18"/>
                <w:szCs w:val="18"/>
              </w:rPr>
            </w:pPr>
            <w:r w:rsidRPr="00251A53">
              <w:rPr>
                <w:i/>
                <w:iCs/>
                <w:sz w:val="18"/>
                <w:szCs w:val="18"/>
              </w:rPr>
              <w:t>Baseline</w:t>
            </w:r>
            <w:r w:rsidRPr="00251A53">
              <w:rPr>
                <w:iCs/>
                <w:sz w:val="18"/>
                <w:szCs w:val="18"/>
              </w:rPr>
              <w:t>: 3 (national), 0 (local);</w:t>
            </w:r>
            <w:r w:rsidRPr="00251A53">
              <w:rPr>
                <w:iCs/>
                <w:sz w:val="18"/>
                <w:szCs w:val="18"/>
              </w:rPr>
              <w:br/>
            </w:r>
            <w:r w:rsidRPr="00251A53">
              <w:rPr>
                <w:i/>
                <w:iCs/>
                <w:sz w:val="18"/>
                <w:szCs w:val="18"/>
              </w:rPr>
              <w:t>Target</w:t>
            </w:r>
            <w:r w:rsidRPr="00251A53">
              <w:rPr>
                <w:iCs/>
                <w:sz w:val="18"/>
                <w:szCs w:val="18"/>
              </w:rPr>
              <w:t>: 4 (national), 8 (local)</w:t>
            </w:r>
            <w:r w:rsidRPr="00251A53">
              <w:rPr>
                <w:bCs/>
                <w:i/>
                <w:sz w:val="18"/>
                <w:szCs w:val="18"/>
              </w:rPr>
              <w:t xml:space="preserve"> </w:t>
            </w:r>
          </w:p>
        </w:tc>
        <w:tc>
          <w:tcPr>
            <w:tcW w:w="857" w:type="pct"/>
            <w:tcBorders>
              <w:top w:val="nil"/>
              <w:bottom w:val="single" w:sz="4" w:space="0" w:color="auto"/>
            </w:tcBorders>
          </w:tcPr>
          <w:p w14:paraId="03A815EE" w14:textId="77777777" w:rsidR="00C950ED" w:rsidRPr="00251A53" w:rsidRDefault="00C950ED" w:rsidP="007612AB">
            <w:pPr>
              <w:spacing w:before="20" w:after="20"/>
              <w:rPr>
                <w:bCs/>
                <w:sz w:val="18"/>
                <w:szCs w:val="18"/>
              </w:rPr>
            </w:pPr>
            <w:r w:rsidRPr="00251A53">
              <w:rPr>
                <w:bCs/>
                <w:i/>
                <w:sz w:val="18"/>
                <w:szCs w:val="18"/>
              </w:rPr>
              <w:t>Source</w:t>
            </w:r>
            <w:r w:rsidRPr="00251A53">
              <w:rPr>
                <w:bCs/>
                <w:sz w:val="18"/>
                <w:szCs w:val="18"/>
              </w:rPr>
              <w:t>: National Election Commission (NEC), Inter-Parliamentary Union</w:t>
            </w:r>
          </w:p>
          <w:p w14:paraId="625E09F3" w14:textId="77777777" w:rsidR="00C950ED" w:rsidRPr="00251A53" w:rsidRDefault="00C950ED" w:rsidP="007612AB">
            <w:pPr>
              <w:spacing w:before="20" w:after="20"/>
              <w:rPr>
                <w:bCs/>
                <w:sz w:val="18"/>
                <w:szCs w:val="18"/>
              </w:rPr>
            </w:pPr>
            <w:r w:rsidRPr="00251A53">
              <w:rPr>
                <w:bCs/>
                <w:i/>
                <w:sz w:val="18"/>
                <w:szCs w:val="18"/>
              </w:rPr>
              <w:t>Responsibility</w:t>
            </w:r>
            <w:r w:rsidRPr="00251A53">
              <w:rPr>
                <w:bCs/>
                <w:sz w:val="18"/>
                <w:szCs w:val="18"/>
              </w:rPr>
              <w:t>: NEC</w:t>
            </w:r>
          </w:p>
        </w:tc>
        <w:tc>
          <w:tcPr>
            <w:tcW w:w="1725" w:type="pct"/>
            <w:gridSpan w:val="2"/>
            <w:vMerge/>
            <w:tcMar>
              <w:top w:w="72" w:type="dxa"/>
              <w:left w:w="144" w:type="dxa"/>
              <w:bottom w:w="72" w:type="dxa"/>
              <w:right w:w="144" w:type="dxa"/>
            </w:tcMar>
          </w:tcPr>
          <w:p w14:paraId="4CB09BD9" w14:textId="77777777" w:rsidR="00C950ED" w:rsidRPr="00251A53" w:rsidRDefault="00C950ED" w:rsidP="007612AB">
            <w:pPr>
              <w:spacing w:before="20" w:after="20"/>
              <w:rPr>
                <w:i/>
                <w:iCs/>
                <w:sz w:val="18"/>
                <w:szCs w:val="18"/>
              </w:rPr>
            </w:pPr>
          </w:p>
        </w:tc>
        <w:tc>
          <w:tcPr>
            <w:tcW w:w="609" w:type="pct"/>
            <w:gridSpan w:val="2"/>
            <w:vMerge/>
          </w:tcPr>
          <w:p w14:paraId="2E57B53D" w14:textId="77777777" w:rsidR="00C950ED" w:rsidRPr="00251A53" w:rsidRDefault="00C950ED" w:rsidP="007612AB">
            <w:pPr>
              <w:spacing w:before="20" w:after="20"/>
              <w:rPr>
                <w:i/>
                <w:iCs/>
                <w:sz w:val="18"/>
                <w:szCs w:val="18"/>
              </w:rPr>
            </w:pPr>
          </w:p>
        </w:tc>
        <w:tc>
          <w:tcPr>
            <w:tcW w:w="344" w:type="pct"/>
            <w:vMerge/>
            <w:tcMar>
              <w:top w:w="15" w:type="dxa"/>
              <w:left w:w="108" w:type="dxa"/>
              <w:bottom w:w="0" w:type="dxa"/>
              <w:right w:w="108" w:type="dxa"/>
            </w:tcMar>
          </w:tcPr>
          <w:p w14:paraId="75D0C417" w14:textId="77777777" w:rsidR="00C950ED" w:rsidRPr="00251A53" w:rsidRDefault="00C950ED" w:rsidP="007612AB">
            <w:pPr>
              <w:spacing w:before="20" w:after="20"/>
              <w:rPr>
                <w:sz w:val="18"/>
                <w:szCs w:val="18"/>
              </w:rPr>
            </w:pPr>
          </w:p>
        </w:tc>
        <w:tc>
          <w:tcPr>
            <w:tcW w:w="343" w:type="pct"/>
            <w:vMerge/>
          </w:tcPr>
          <w:p w14:paraId="64FFABE0" w14:textId="77777777" w:rsidR="00C950ED" w:rsidRPr="00251A53" w:rsidRDefault="00C950ED" w:rsidP="007612AB">
            <w:pPr>
              <w:spacing w:before="20" w:after="20"/>
              <w:rPr>
                <w:sz w:val="18"/>
                <w:szCs w:val="18"/>
              </w:rPr>
            </w:pPr>
          </w:p>
        </w:tc>
        <w:tc>
          <w:tcPr>
            <w:tcW w:w="371" w:type="pct"/>
            <w:vMerge/>
          </w:tcPr>
          <w:p w14:paraId="3F71A497" w14:textId="77777777" w:rsidR="00C950ED" w:rsidRPr="00251A53" w:rsidRDefault="00C950ED" w:rsidP="007612AB">
            <w:pPr>
              <w:spacing w:before="20" w:after="20"/>
              <w:rPr>
                <w:b/>
                <w:sz w:val="18"/>
                <w:szCs w:val="18"/>
              </w:rPr>
            </w:pPr>
          </w:p>
        </w:tc>
      </w:tr>
      <w:tr w:rsidR="00C950ED" w:rsidRPr="00251A53" w14:paraId="3053CB9B" w14:textId="77777777" w:rsidTr="007C25CB">
        <w:trPr>
          <w:trHeight w:val="20"/>
        </w:trPr>
        <w:tc>
          <w:tcPr>
            <w:tcW w:w="751" w:type="pct"/>
            <w:tcBorders>
              <w:bottom w:val="single" w:sz="4" w:space="0" w:color="auto"/>
            </w:tcBorders>
            <w:tcMar>
              <w:top w:w="72" w:type="dxa"/>
              <w:left w:w="144" w:type="dxa"/>
              <w:bottom w:w="72" w:type="dxa"/>
              <w:right w:w="144" w:type="dxa"/>
            </w:tcMar>
          </w:tcPr>
          <w:p w14:paraId="4BDF4692" w14:textId="77777777" w:rsidR="00C950ED" w:rsidRPr="00251A53" w:rsidRDefault="00C950ED" w:rsidP="007612AB">
            <w:pPr>
              <w:spacing w:before="20" w:after="20"/>
              <w:rPr>
                <w:iCs/>
                <w:sz w:val="18"/>
                <w:szCs w:val="18"/>
              </w:rPr>
            </w:pPr>
          </w:p>
        </w:tc>
        <w:tc>
          <w:tcPr>
            <w:tcW w:w="857" w:type="pct"/>
            <w:tcBorders>
              <w:bottom w:val="single" w:sz="4" w:space="0" w:color="auto"/>
            </w:tcBorders>
          </w:tcPr>
          <w:p w14:paraId="4FA32E0C" w14:textId="77777777" w:rsidR="00C950ED" w:rsidRPr="00251A53" w:rsidRDefault="00C950ED" w:rsidP="007612AB">
            <w:pPr>
              <w:spacing w:before="20" w:after="20"/>
              <w:rPr>
                <w:i/>
                <w:iCs/>
                <w:sz w:val="18"/>
                <w:szCs w:val="18"/>
              </w:rPr>
            </w:pPr>
          </w:p>
        </w:tc>
        <w:tc>
          <w:tcPr>
            <w:tcW w:w="1725" w:type="pct"/>
            <w:gridSpan w:val="2"/>
            <w:tcMar>
              <w:top w:w="72" w:type="dxa"/>
              <w:left w:w="144" w:type="dxa"/>
              <w:bottom w:w="72" w:type="dxa"/>
              <w:right w:w="144" w:type="dxa"/>
            </w:tcMar>
          </w:tcPr>
          <w:p w14:paraId="422A687D" w14:textId="77777777" w:rsidR="00C950ED" w:rsidRPr="00251A53" w:rsidRDefault="00C950ED" w:rsidP="007612AB">
            <w:pPr>
              <w:spacing w:before="20" w:after="20"/>
              <w:rPr>
                <w:iCs/>
                <w:sz w:val="18"/>
                <w:szCs w:val="18"/>
              </w:rPr>
            </w:pPr>
            <w:r w:rsidRPr="00251A53">
              <w:rPr>
                <w:iCs/>
                <w:sz w:val="18"/>
                <w:szCs w:val="18"/>
                <w:u w:val="single"/>
              </w:rPr>
              <w:t>Output 4.2</w:t>
            </w:r>
            <w:r w:rsidRPr="00251A53">
              <w:rPr>
                <w:iCs/>
                <w:sz w:val="18"/>
                <w:szCs w:val="18"/>
              </w:rPr>
              <w:t xml:space="preserve">: Public administrations at central and local levels are equipped with innovative strategies, capacities and tools to adequately implement and monitor the country’s commitments to sustainable development. </w:t>
            </w:r>
          </w:p>
          <w:p w14:paraId="6FF74CFD" w14:textId="77777777" w:rsidR="00C950ED" w:rsidRPr="00251A53" w:rsidRDefault="00C950ED" w:rsidP="007612AB">
            <w:pPr>
              <w:spacing w:before="20" w:after="20"/>
              <w:rPr>
                <w:iCs/>
                <w:sz w:val="18"/>
                <w:szCs w:val="18"/>
              </w:rPr>
            </w:pPr>
            <w:r w:rsidRPr="00251A53">
              <w:rPr>
                <w:iCs/>
                <w:sz w:val="18"/>
                <w:szCs w:val="18"/>
              </w:rPr>
              <w:t xml:space="preserve">4.2.1: Number of national and municipal reports that use updated and disaggregated data to monitor progress on sustainable development targets </w:t>
            </w:r>
          </w:p>
          <w:p w14:paraId="7D516DFB" w14:textId="77777777" w:rsidR="00C950ED" w:rsidRPr="00251A53" w:rsidRDefault="00C950ED" w:rsidP="007612AB">
            <w:pPr>
              <w:spacing w:before="20" w:after="20"/>
              <w:rPr>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National - 5;</w:t>
            </w:r>
            <w:r w:rsidRPr="00251A53">
              <w:rPr>
                <w:i/>
                <w:iCs/>
                <w:sz w:val="18"/>
                <w:szCs w:val="18"/>
              </w:rPr>
              <w:t xml:space="preserve"> </w:t>
            </w:r>
            <w:r w:rsidRPr="00251A53">
              <w:rPr>
                <w:iCs/>
                <w:sz w:val="18"/>
                <w:szCs w:val="18"/>
              </w:rPr>
              <w:t>Municipal - 5 (consolidated reports)</w:t>
            </w:r>
          </w:p>
          <w:p w14:paraId="37F541ED" w14:textId="77777777" w:rsidR="00C950ED" w:rsidRPr="00251A53" w:rsidRDefault="00C950ED" w:rsidP="007612AB">
            <w:pPr>
              <w:spacing w:before="20" w:after="20"/>
              <w:rPr>
                <w:i/>
                <w:iCs/>
                <w:sz w:val="18"/>
                <w:szCs w:val="18"/>
              </w:rPr>
            </w:pPr>
            <w:r w:rsidRPr="00251A53">
              <w:rPr>
                <w:i/>
                <w:iCs/>
                <w:sz w:val="18"/>
                <w:szCs w:val="18"/>
              </w:rPr>
              <w:t xml:space="preserve">Source: </w:t>
            </w:r>
            <w:r w:rsidRPr="00251A53">
              <w:rPr>
                <w:iCs/>
                <w:sz w:val="18"/>
                <w:szCs w:val="18"/>
              </w:rPr>
              <w:t>MFF</w:t>
            </w:r>
          </w:p>
          <w:p w14:paraId="56EEF1CB" w14:textId="77777777" w:rsidR="00C950ED" w:rsidRPr="00251A53" w:rsidRDefault="00C950ED" w:rsidP="007612AB">
            <w:pPr>
              <w:spacing w:before="20" w:after="20"/>
              <w:rPr>
                <w:i/>
                <w:iCs/>
                <w:sz w:val="18"/>
                <w:szCs w:val="18"/>
              </w:rPr>
            </w:pPr>
            <w:r w:rsidRPr="00251A53">
              <w:rPr>
                <w:i/>
                <w:iCs/>
                <w:sz w:val="18"/>
                <w:szCs w:val="18"/>
              </w:rPr>
              <w:t xml:space="preserve">Responsible: </w:t>
            </w:r>
            <w:r w:rsidRPr="00251A53">
              <w:rPr>
                <w:iCs/>
                <w:sz w:val="18"/>
                <w:szCs w:val="18"/>
              </w:rPr>
              <w:t>UNDP</w:t>
            </w:r>
          </w:p>
          <w:p w14:paraId="27BEEAA4" w14:textId="77777777" w:rsidR="00C950ED" w:rsidRPr="00251A53" w:rsidRDefault="00C950ED" w:rsidP="007612AB">
            <w:pPr>
              <w:spacing w:before="20" w:after="20"/>
              <w:rPr>
                <w:iCs/>
                <w:sz w:val="18"/>
                <w:szCs w:val="18"/>
              </w:rPr>
            </w:pPr>
            <w:r w:rsidRPr="00251A53">
              <w:rPr>
                <w:iCs/>
                <w:sz w:val="18"/>
                <w:szCs w:val="18"/>
              </w:rPr>
              <w:t>4.2.2: Number of national and selected sectoral development plans integrating population considerations and the demographic dividend</w:t>
            </w:r>
          </w:p>
          <w:p w14:paraId="623C4CA6" w14:textId="77777777" w:rsidR="00C950ED" w:rsidRPr="00251A53" w:rsidRDefault="00C950ED" w:rsidP="007612AB">
            <w:pPr>
              <w:spacing w:before="20" w:after="20"/>
              <w:rPr>
                <w:i/>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w:t>
            </w:r>
            <w:r w:rsidRPr="00251A53">
              <w:rPr>
                <w:iCs/>
                <w:sz w:val="18"/>
                <w:szCs w:val="18"/>
              </w:rPr>
              <w:t>: 4</w:t>
            </w:r>
          </w:p>
          <w:p w14:paraId="3E55698D" w14:textId="77777777" w:rsidR="00C950ED" w:rsidRPr="00251A53" w:rsidRDefault="00C950ED" w:rsidP="007612AB">
            <w:pPr>
              <w:spacing w:before="20" w:after="20"/>
              <w:rPr>
                <w:i/>
                <w:iCs/>
                <w:sz w:val="18"/>
                <w:szCs w:val="18"/>
              </w:rPr>
            </w:pPr>
            <w:r w:rsidRPr="00251A53">
              <w:rPr>
                <w:i/>
                <w:iCs/>
                <w:sz w:val="18"/>
                <w:szCs w:val="18"/>
              </w:rPr>
              <w:t xml:space="preserve">Source: </w:t>
            </w:r>
            <w:r w:rsidRPr="00251A53">
              <w:rPr>
                <w:iCs/>
                <w:sz w:val="18"/>
                <w:szCs w:val="18"/>
              </w:rPr>
              <w:t>National/sector plans</w:t>
            </w:r>
          </w:p>
          <w:p w14:paraId="6DBF199E" w14:textId="77777777" w:rsidR="00C950ED" w:rsidRPr="00251A53" w:rsidRDefault="00C950ED" w:rsidP="007612AB">
            <w:pPr>
              <w:spacing w:before="20" w:after="20"/>
              <w:rPr>
                <w:i/>
                <w:iCs/>
                <w:sz w:val="18"/>
                <w:szCs w:val="18"/>
              </w:rPr>
            </w:pPr>
            <w:r w:rsidRPr="00251A53">
              <w:rPr>
                <w:i/>
                <w:iCs/>
                <w:sz w:val="18"/>
                <w:szCs w:val="18"/>
              </w:rPr>
              <w:t xml:space="preserve">Responsible: </w:t>
            </w:r>
            <w:r w:rsidRPr="00251A53">
              <w:rPr>
                <w:iCs/>
                <w:sz w:val="18"/>
                <w:szCs w:val="18"/>
              </w:rPr>
              <w:t>UNFPA</w:t>
            </w:r>
          </w:p>
          <w:p w14:paraId="5746A29B" w14:textId="77777777" w:rsidR="00C950ED" w:rsidRPr="00251A53" w:rsidRDefault="00C950ED" w:rsidP="007612AB">
            <w:pPr>
              <w:spacing w:before="20" w:after="20"/>
              <w:rPr>
                <w:iCs/>
                <w:sz w:val="18"/>
                <w:szCs w:val="18"/>
              </w:rPr>
            </w:pPr>
            <w:r w:rsidRPr="00251A53">
              <w:rPr>
                <w:iCs/>
                <w:sz w:val="18"/>
                <w:szCs w:val="18"/>
              </w:rPr>
              <w:t xml:space="preserve">4.2.3: Number of selected sector plans that integrate child-sensitive indicators and targets </w:t>
            </w:r>
          </w:p>
          <w:p w14:paraId="4BD8F6D7" w14:textId="77777777" w:rsidR="00C950ED" w:rsidRPr="00251A53" w:rsidRDefault="00C950ED" w:rsidP="007612AB">
            <w:pPr>
              <w:spacing w:before="20" w:after="20"/>
              <w:rPr>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5</w:t>
            </w:r>
          </w:p>
          <w:p w14:paraId="5D826A79" w14:textId="77777777" w:rsidR="00C950ED" w:rsidRPr="00251A53" w:rsidRDefault="00C950ED" w:rsidP="007612AB">
            <w:pPr>
              <w:spacing w:before="20" w:after="20"/>
              <w:rPr>
                <w:i/>
                <w:iCs/>
                <w:sz w:val="18"/>
                <w:szCs w:val="18"/>
              </w:rPr>
            </w:pPr>
            <w:r w:rsidRPr="00251A53">
              <w:rPr>
                <w:i/>
                <w:iCs/>
                <w:sz w:val="18"/>
                <w:szCs w:val="18"/>
              </w:rPr>
              <w:t xml:space="preserve">Source: </w:t>
            </w:r>
            <w:r w:rsidRPr="00251A53">
              <w:rPr>
                <w:iCs/>
                <w:sz w:val="18"/>
                <w:szCs w:val="18"/>
              </w:rPr>
              <w:t>National/sector plans</w:t>
            </w:r>
          </w:p>
          <w:p w14:paraId="6F3B9206" w14:textId="77777777" w:rsidR="00C950ED" w:rsidRPr="00251A53" w:rsidRDefault="00C950ED" w:rsidP="007612AB">
            <w:pPr>
              <w:spacing w:before="20" w:after="20"/>
              <w:rPr>
                <w:i/>
                <w:iCs/>
                <w:sz w:val="18"/>
                <w:szCs w:val="18"/>
              </w:rPr>
            </w:pPr>
            <w:r w:rsidRPr="00251A53">
              <w:rPr>
                <w:i/>
                <w:iCs/>
                <w:sz w:val="18"/>
                <w:szCs w:val="18"/>
              </w:rPr>
              <w:lastRenderedPageBreak/>
              <w:t xml:space="preserve">Responsible: </w:t>
            </w:r>
            <w:r w:rsidRPr="00251A53">
              <w:rPr>
                <w:iCs/>
                <w:sz w:val="18"/>
                <w:szCs w:val="18"/>
              </w:rPr>
              <w:t>UNICEF</w:t>
            </w:r>
          </w:p>
        </w:tc>
        <w:tc>
          <w:tcPr>
            <w:tcW w:w="609" w:type="pct"/>
            <w:gridSpan w:val="2"/>
            <w:vMerge/>
          </w:tcPr>
          <w:p w14:paraId="5B5DE9DD" w14:textId="77777777" w:rsidR="00C950ED" w:rsidRPr="00251A53" w:rsidRDefault="00C950ED" w:rsidP="007612AB">
            <w:pPr>
              <w:spacing w:before="20" w:after="20"/>
              <w:rPr>
                <w:iCs/>
                <w:sz w:val="18"/>
                <w:szCs w:val="18"/>
              </w:rPr>
            </w:pPr>
          </w:p>
        </w:tc>
        <w:tc>
          <w:tcPr>
            <w:tcW w:w="344" w:type="pct"/>
            <w:vMerge/>
            <w:tcMar>
              <w:top w:w="15" w:type="dxa"/>
              <w:left w:w="108" w:type="dxa"/>
              <w:bottom w:w="0" w:type="dxa"/>
              <w:right w:w="108" w:type="dxa"/>
            </w:tcMar>
          </w:tcPr>
          <w:p w14:paraId="3CE19C86" w14:textId="77777777" w:rsidR="00C950ED" w:rsidRPr="00251A53" w:rsidRDefault="00C950ED" w:rsidP="007612AB">
            <w:pPr>
              <w:spacing w:before="20" w:after="20"/>
              <w:rPr>
                <w:b/>
                <w:sz w:val="18"/>
                <w:szCs w:val="18"/>
              </w:rPr>
            </w:pPr>
          </w:p>
        </w:tc>
        <w:tc>
          <w:tcPr>
            <w:tcW w:w="343" w:type="pct"/>
            <w:vMerge/>
          </w:tcPr>
          <w:p w14:paraId="363EA755" w14:textId="77777777" w:rsidR="00C950ED" w:rsidRPr="00251A53" w:rsidRDefault="00C950ED" w:rsidP="007612AB">
            <w:pPr>
              <w:spacing w:before="20" w:after="20"/>
              <w:rPr>
                <w:b/>
                <w:sz w:val="18"/>
                <w:szCs w:val="18"/>
              </w:rPr>
            </w:pPr>
          </w:p>
        </w:tc>
        <w:tc>
          <w:tcPr>
            <w:tcW w:w="371" w:type="pct"/>
            <w:vMerge/>
          </w:tcPr>
          <w:p w14:paraId="1CA63BE0" w14:textId="77777777" w:rsidR="00C950ED" w:rsidRPr="00251A53" w:rsidRDefault="00C950ED" w:rsidP="007612AB">
            <w:pPr>
              <w:spacing w:before="20" w:after="20"/>
              <w:rPr>
                <w:b/>
                <w:sz w:val="18"/>
                <w:szCs w:val="18"/>
              </w:rPr>
            </w:pPr>
          </w:p>
        </w:tc>
      </w:tr>
      <w:tr w:rsidR="00C950ED" w:rsidRPr="00251A53" w14:paraId="1AD945D1" w14:textId="77777777" w:rsidTr="007C25CB">
        <w:trPr>
          <w:trHeight w:val="20"/>
        </w:trPr>
        <w:tc>
          <w:tcPr>
            <w:tcW w:w="751" w:type="pct"/>
            <w:tcBorders>
              <w:bottom w:val="single" w:sz="4" w:space="0" w:color="auto"/>
            </w:tcBorders>
            <w:tcMar>
              <w:top w:w="72" w:type="dxa"/>
              <w:left w:w="144" w:type="dxa"/>
              <w:bottom w:w="72" w:type="dxa"/>
              <w:right w:w="144" w:type="dxa"/>
            </w:tcMar>
          </w:tcPr>
          <w:p w14:paraId="19B6BAE0" w14:textId="77777777" w:rsidR="00C950ED" w:rsidRPr="00251A53" w:rsidRDefault="00C950ED" w:rsidP="007612AB">
            <w:pPr>
              <w:spacing w:before="20" w:after="20"/>
              <w:rPr>
                <w:iCs/>
                <w:sz w:val="18"/>
                <w:szCs w:val="18"/>
              </w:rPr>
            </w:pPr>
            <w:r w:rsidRPr="00251A53">
              <w:rPr>
                <w:iCs/>
                <w:sz w:val="18"/>
                <w:szCs w:val="18"/>
                <w:u w:val="single"/>
              </w:rPr>
              <w:t>Indicator 5.1.1</w:t>
            </w:r>
            <w:r w:rsidRPr="00251A53">
              <w:rPr>
                <w:iCs/>
                <w:sz w:val="18"/>
                <w:szCs w:val="18"/>
              </w:rPr>
              <w:t>: Functionality of a Resource Mobilization and Partnership Development mechanism</w:t>
            </w:r>
          </w:p>
          <w:p w14:paraId="122BD462" w14:textId="77777777" w:rsidR="00C950ED" w:rsidRPr="00251A53" w:rsidRDefault="00C950ED" w:rsidP="007612AB">
            <w:pPr>
              <w:spacing w:before="20" w:after="20"/>
              <w:rPr>
                <w:iCs/>
                <w:sz w:val="18"/>
                <w:szCs w:val="18"/>
              </w:rPr>
            </w:pPr>
            <w:r w:rsidRPr="00251A53">
              <w:rPr>
                <w:i/>
                <w:iCs/>
                <w:sz w:val="18"/>
                <w:szCs w:val="18"/>
              </w:rPr>
              <w:t>Baseline</w:t>
            </w:r>
            <w:r w:rsidRPr="00251A53">
              <w:rPr>
                <w:iCs/>
                <w:sz w:val="18"/>
                <w:szCs w:val="18"/>
              </w:rPr>
              <w:t xml:space="preserve">: 0; </w:t>
            </w:r>
            <w:r w:rsidRPr="00251A53">
              <w:rPr>
                <w:i/>
                <w:iCs/>
                <w:sz w:val="18"/>
                <w:szCs w:val="18"/>
              </w:rPr>
              <w:t>Target</w:t>
            </w:r>
            <w:r w:rsidRPr="00251A53">
              <w:rPr>
                <w:iCs/>
                <w:sz w:val="18"/>
                <w:szCs w:val="18"/>
              </w:rPr>
              <w:t xml:space="preserve">: 1 </w:t>
            </w:r>
          </w:p>
        </w:tc>
        <w:tc>
          <w:tcPr>
            <w:tcW w:w="857" w:type="pct"/>
            <w:tcBorders>
              <w:bottom w:val="single" w:sz="4" w:space="0" w:color="auto"/>
            </w:tcBorders>
          </w:tcPr>
          <w:p w14:paraId="367F5F23" w14:textId="77777777" w:rsidR="00C950ED" w:rsidRPr="00251A53" w:rsidRDefault="00C950ED" w:rsidP="007612AB">
            <w:pPr>
              <w:spacing w:before="20" w:after="20"/>
              <w:rPr>
                <w:bCs/>
                <w:sz w:val="18"/>
                <w:szCs w:val="18"/>
              </w:rPr>
            </w:pPr>
            <w:r w:rsidRPr="00251A53">
              <w:rPr>
                <w:bCs/>
                <w:i/>
                <w:sz w:val="18"/>
                <w:szCs w:val="18"/>
              </w:rPr>
              <w:t>Source</w:t>
            </w:r>
            <w:r w:rsidRPr="00251A53">
              <w:rPr>
                <w:bCs/>
                <w:sz w:val="18"/>
                <w:szCs w:val="18"/>
              </w:rPr>
              <w:t xml:space="preserve">: Ministry of Foreign and Communities Affairs (MFAC) and MFF </w:t>
            </w:r>
          </w:p>
          <w:p w14:paraId="4F7189A5" w14:textId="77777777" w:rsidR="00C950ED" w:rsidRPr="00251A53" w:rsidRDefault="00C950ED" w:rsidP="007612AB">
            <w:pPr>
              <w:spacing w:before="20" w:after="20"/>
              <w:ind w:left="6"/>
              <w:rPr>
                <w:bCs/>
                <w:sz w:val="18"/>
                <w:szCs w:val="18"/>
              </w:rPr>
            </w:pPr>
            <w:r w:rsidRPr="00251A53">
              <w:rPr>
                <w:bCs/>
                <w:i/>
                <w:sz w:val="18"/>
                <w:szCs w:val="18"/>
              </w:rPr>
              <w:t>Responsibility</w:t>
            </w:r>
            <w:r w:rsidRPr="00251A53">
              <w:rPr>
                <w:bCs/>
                <w:sz w:val="18"/>
                <w:szCs w:val="18"/>
              </w:rPr>
              <w:t>: MFA, MFF</w:t>
            </w:r>
          </w:p>
        </w:tc>
        <w:tc>
          <w:tcPr>
            <w:tcW w:w="1725" w:type="pct"/>
            <w:gridSpan w:val="2"/>
            <w:vMerge w:val="restart"/>
            <w:shd w:val="clear" w:color="auto" w:fill="auto"/>
            <w:tcMar>
              <w:top w:w="72" w:type="dxa"/>
              <w:left w:w="144" w:type="dxa"/>
              <w:bottom w:w="72" w:type="dxa"/>
              <w:right w:w="144" w:type="dxa"/>
            </w:tcMar>
          </w:tcPr>
          <w:p w14:paraId="51BA672A" w14:textId="77777777" w:rsidR="00C950ED" w:rsidRPr="00251A53" w:rsidRDefault="00C950ED" w:rsidP="007612AB">
            <w:pPr>
              <w:spacing w:before="20" w:after="20"/>
              <w:rPr>
                <w:iCs/>
                <w:sz w:val="18"/>
                <w:szCs w:val="18"/>
              </w:rPr>
            </w:pPr>
            <w:r w:rsidRPr="00251A53">
              <w:rPr>
                <w:iCs/>
                <w:sz w:val="18"/>
                <w:szCs w:val="18"/>
                <w:u w:val="single"/>
              </w:rPr>
              <w:t>Output 4.3</w:t>
            </w:r>
            <w:r w:rsidRPr="00251A53">
              <w:rPr>
                <w:iCs/>
                <w:sz w:val="18"/>
                <w:szCs w:val="18"/>
              </w:rPr>
              <w:t xml:space="preserve">: </w:t>
            </w:r>
            <w:r w:rsidRPr="00251A53">
              <w:rPr>
                <w:sz w:val="18"/>
                <w:szCs w:val="18"/>
              </w:rPr>
              <w:t xml:space="preserve">The </w:t>
            </w:r>
            <w:r w:rsidRPr="00251A53">
              <w:rPr>
                <w:iCs/>
                <w:sz w:val="18"/>
                <w:szCs w:val="18"/>
              </w:rPr>
              <w:t xml:space="preserve">Government has enhanced technical capacity to establish and manage a partnership framework to mobilize financial and technical resources and to engage civil society and the private sector in the implementation of the SDGs </w:t>
            </w:r>
          </w:p>
          <w:p w14:paraId="7714A97F" w14:textId="6C8CFCEB" w:rsidR="00C950ED" w:rsidRPr="00251A53" w:rsidRDefault="00C950ED" w:rsidP="007612AB">
            <w:pPr>
              <w:spacing w:before="20" w:after="20"/>
              <w:rPr>
                <w:iCs/>
                <w:sz w:val="18"/>
                <w:szCs w:val="18"/>
              </w:rPr>
            </w:pPr>
            <w:r w:rsidRPr="00251A53">
              <w:rPr>
                <w:iCs/>
                <w:sz w:val="18"/>
                <w:szCs w:val="18"/>
              </w:rPr>
              <w:t xml:space="preserve">4.3.1: Extent to which the </w:t>
            </w:r>
            <w:r w:rsidR="006946B6" w:rsidRPr="00251A53">
              <w:rPr>
                <w:iCs/>
                <w:sz w:val="18"/>
                <w:szCs w:val="18"/>
              </w:rPr>
              <w:t>sustainable development financing strategy</w:t>
            </w:r>
            <w:r w:rsidR="006946B6" w:rsidRPr="00251A53" w:rsidDel="006946B6">
              <w:rPr>
                <w:iCs/>
                <w:sz w:val="18"/>
                <w:szCs w:val="18"/>
              </w:rPr>
              <w:t xml:space="preserve"> </w:t>
            </w:r>
            <w:r w:rsidRPr="00251A53">
              <w:rPr>
                <w:iCs/>
                <w:sz w:val="18"/>
                <w:szCs w:val="18"/>
              </w:rPr>
              <w:t>with related coordination tools is elaborated</w:t>
            </w:r>
          </w:p>
          <w:p w14:paraId="6EB754E9" w14:textId="77777777" w:rsidR="00C950ED" w:rsidRPr="00251A53" w:rsidRDefault="00C950ED" w:rsidP="007612AB">
            <w:pPr>
              <w:spacing w:before="20" w:after="20"/>
              <w:rPr>
                <w:i/>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w:t>
            </w:r>
            <w:r w:rsidRPr="00251A53">
              <w:rPr>
                <w:iCs/>
                <w:sz w:val="18"/>
                <w:szCs w:val="18"/>
              </w:rPr>
              <w:t>: 3</w:t>
            </w:r>
          </w:p>
          <w:p w14:paraId="0A415E84" w14:textId="77777777" w:rsidR="00C950ED" w:rsidRPr="00251A53" w:rsidRDefault="00C950ED" w:rsidP="007612AB">
            <w:pPr>
              <w:spacing w:before="20" w:after="20"/>
              <w:rPr>
                <w:i/>
                <w:iCs/>
                <w:sz w:val="18"/>
                <w:szCs w:val="18"/>
              </w:rPr>
            </w:pPr>
            <w:r w:rsidRPr="00251A53">
              <w:rPr>
                <w:i/>
                <w:iCs/>
                <w:sz w:val="18"/>
                <w:szCs w:val="18"/>
              </w:rPr>
              <w:t xml:space="preserve">Source: </w:t>
            </w:r>
            <w:r w:rsidRPr="00251A53">
              <w:rPr>
                <w:iCs/>
                <w:sz w:val="18"/>
                <w:szCs w:val="18"/>
              </w:rPr>
              <w:t>MFF</w:t>
            </w:r>
          </w:p>
          <w:p w14:paraId="08D3A8C7" w14:textId="77777777" w:rsidR="00C950ED" w:rsidRPr="00251A53" w:rsidRDefault="00C950ED" w:rsidP="007612AB">
            <w:pPr>
              <w:spacing w:before="20" w:after="20"/>
              <w:rPr>
                <w:i/>
                <w:iCs/>
                <w:sz w:val="18"/>
                <w:szCs w:val="18"/>
              </w:rPr>
            </w:pPr>
            <w:r w:rsidRPr="00251A53">
              <w:rPr>
                <w:i/>
                <w:iCs/>
                <w:sz w:val="18"/>
                <w:szCs w:val="18"/>
              </w:rPr>
              <w:t xml:space="preserve">Responsible: </w:t>
            </w:r>
            <w:r w:rsidRPr="00251A53">
              <w:rPr>
                <w:iCs/>
                <w:sz w:val="18"/>
                <w:szCs w:val="18"/>
              </w:rPr>
              <w:t>UNDP</w:t>
            </w:r>
          </w:p>
          <w:p w14:paraId="3AFE7DF6" w14:textId="77777777" w:rsidR="00C950ED" w:rsidRPr="00251A53" w:rsidRDefault="00C950ED" w:rsidP="007612AB">
            <w:pPr>
              <w:spacing w:before="20" w:after="20"/>
              <w:rPr>
                <w:iCs/>
                <w:sz w:val="18"/>
                <w:szCs w:val="18"/>
              </w:rPr>
            </w:pPr>
            <w:r w:rsidRPr="00251A53">
              <w:rPr>
                <w:iCs/>
                <w:sz w:val="18"/>
                <w:szCs w:val="18"/>
              </w:rPr>
              <w:t>4.3.2: Number of new partnerships accessed to support the realization of children´s rights in Agenda 2030</w:t>
            </w:r>
          </w:p>
          <w:p w14:paraId="50330B86" w14:textId="77777777" w:rsidR="00C950ED" w:rsidRPr="00251A53" w:rsidRDefault="00C950ED" w:rsidP="007612AB">
            <w:pPr>
              <w:spacing w:before="20" w:after="20"/>
              <w:rPr>
                <w:i/>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3</w:t>
            </w:r>
          </w:p>
          <w:p w14:paraId="514E069E" w14:textId="77777777" w:rsidR="00C950ED" w:rsidRPr="00251A53" w:rsidRDefault="00C950ED" w:rsidP="007612AB">
            <w:pPr>
              <w:spacing w:before="20" w:after="20"/>
              <w:rPr>
                <w:i/>
                <w:iCs/>
                <w:sz w:val="18"/>
                <w:szCs w:val="18"/>
              </w:rPr>
            </w:pPr>
            <w:r w:rsidRPr="00251A53">
              <w:rPr>
                <w:i/>
                <w:iCs/>
                <w:sz w:val="18"/>
                <w:szCs w:val="18"/>
              </w:rPr>
              <w:t xml:space="preserve">Source: </w:t>
            </w:r>
            <w:r w:rsidRPr="00251A53">
              <w:rPr>
                <w:iCs/>
                <w:sz w:val="18"/>
                <w:szCs w:val="18"/>
              </w:rPr>
              <w:t>National Direction of External Policies</w:t>
            </w:r>
          </w:p>
          <w:p w14:paraId="3960CDAA" w14:textId="77777777" w:rsidR="00C950ED" w:rsidRPr="00251A53" w:rsidRDefault="00C950ED" w:rsidP="007612AB">
            <w:pPr>
              <w:spacing w:before="20" w:after="20"/>
              <w:rPr>
                <w:i/>
                <w:iCs/>
                <w:sz w:val="18"/>
                <w:szCs w:val="18"/>
              </w:rPr>
            </w:pPr>
            <w:r w:rsidRPr="00251A53">
              <w:rPr>
                <w:i/>
                <w:iCs/>
                <w:sz w:val="18"/>
                <w:szCs w:val="18"/>
              </w:rPr>
              <w:t xml:space="preserve">Responsible: </w:t>
            </w:r>
            <w:r w:rsidRPr="00251A53">
              <w:rPr>
                <w:iCs/>
                <w:sz w:val="18"/>
                <w:szCs w:val="18"/>
              </w:rPr>
              <w:t>UNICEF</w:t>
            </w:r>
          </w:p>
          <w:p w14:paraId="51BECCAC" w14:textId="77777777" w:rsidR="00C950ED" w:rsidRPr="00251A53" w:rsidRDefault="00C950ED" w:rsidP="007612AB">
            <w:pPr>
              <w:spacing w:before="20" w:after="20"/>
              <w:rPr>
                <w:i/>
                <w:iCs/>
                <w:sz w:val="18"/>
                <w:szCs w:val="18"/>
              </w:rPr>
            </w:pPr>
            <w:r w:rsidRPr="00251A53">
              <w:rPr>
                <w:iCs/>
                <w:sz w:val="18"/>
                <w:szCs w:val="18"/>
              </w:rPr>
              <w:t>4.3.3:</w:t>
            </w:r>
            <w:r w:rsidRPr="00251A53">
              <w:rPr>
                <w:i/>
                <w:iCs/>
                <w:sz w:val="18"/>
                <w:szCs w:val="18"/>
              </w:rPr>
              <w:t xml:space="preserve"> </w:t>
            </w:r>
            <w:r w:rsidRPr="00251A53">
              <w:rPr>
                <w:iCs/>
                <w:sz w:val="18"/>
                <w:szCs w:val="18"/>
              </w:rPr>
              <w:t>Number of new technical and financial partnership accessed to support national implementation of the ICPD areas in the context of Agenda 2030</w:t>
            </w:r>
          </w:p>
          <w:p w14:paraId="1FBEBB20" w14:textId="77777777" w:rsidR="00C950ED" w:rsidRPr="00251A53" w:rsidRDefault="00C950ED" w:rsidP="007612AB">
            <w:pPr>
              <w:spacing w:before="20" w:after="20"/>
              <w:rPr>
                <w:i/>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3</w:t>
            </w:r>
          </w:p>
          <w:p w14:paraId="731D8FE4" w14:textId="77777777" w:rsidR="00C950ED" w:rsidRPr="00251A53" w:rsidRDefault="00C950ED" w:rsidP="007612AB">
            <w:pPr>
              <w:spacing w:before="20" w:after="20"/>
              <w:rPr>
                <w:i/>
                <w:iCs/>
                <w:sz w:val="18"/>
                <w:szCs w:val="18"/>
              </w:rPr>
            </w:pPr>
            <w:r w:rsidRPr="00251A53">
              <w:rPr>
                <w:i/>
                <w:iCs/>
                <w:sz w:val="18"/>
                <w:szCs w:val="18"/>
              </w:rPr>
              <w:t xml:space="preserve">Source: </w:t>
            </w:r>
            <w:r w:rsidRPr="00251A53">
              <w:rPr>
                <w:iCs/>
                <w:sz w:val="18"/>
                <w:szCs w:val="18"/>
              </w:rPr>
              <w:t>MFF reports</w:t>
            </w:r>
          </w:p>
          <w:p w14:paraId="502612CA" w14:textId="77777777" w:rsidR="00C950ED" w:rsidRPr="00251A53" w:rsidRDefault="00C950ED" w:rsidP="007612AB">
            <w:pPr>
              <w:spacing w:before="20" w:after="20"/>
              <w:rPr>
                <w:i/>
                <w:iCs/>
                <w:sz w:val="18"/>
                <w:szCs w:val="18"/>
              </w:rPr>
            </w:pPr>
            <w:r w:rsidRPr="00251A53">
              <w:rPr>
                <w:i/>
                <w:iCs/>
                <w:sz w:val="18"/>
                <w:szCs w:val="18"/>
              </w:rPr>
              <w:t xml:space="preserve">Responsible: </w:t>
            </w:r>
            <w:r w:rsidRPr="00251A53">
              <w:rPr>
                <w:iCs/>
                <w:sz w:val="18"/>
                <w:szCs w:val="18"/>
              </w:rPr>
              <w:t>UNFPA</w:t>
            </w:r>
          </w:p>
        </w:tc>
        <w:tc>
          <w:tcPr>
            <w:tcW w:w="609" w:type="pct"/>
            <w:gridSpan w:val="2"/>
            <w:vMerge/>
          </w:tcPr>
          <w:p w14:paraId="5FABBE0D" w14:textId="77777777" w:rsidR="00C950ED" w:rsidRPr="00251A53" w:rsidRDefault="00C950ED" w:rsidP="007612AB">
            <w:pPr>
              <w:spacing w:before="20" w:after="20"/>
              <w:rPr>
                <w:iCs/>
                <w:sz w:val="18"/>
                <w:szCs w:val="18"/>
              </w:rPr>
            </w:pPr>
          </w:p>
        </w:tc>
        <w:tc>
          <w:tcPr>
            <w:tcW w:w="344" w:type="pct"/>
            <w:vMerge/>
            <w:tcMar>
              <w:top w:w="15" w:type="dxa"/>
              <w:left w:w="108" w:type="dxa"/>
              <w:bottom w:w="0" w:type="dxa"/>
              <w:right w:w="108" w:type="dxa"/>
            </w:tcMar>
          </w:tcPr>
          <w:p w14:paraId="5AA6DD6D" w14:textId="77777777" w:rsidR="00C950ED" w:rsidRPr="00251A53" w:rsidRDefault="00C950ED" w:rsidP="007612AB">
            <w:pPr>
              <w:spacing w:before="20" w:after="20"/>
              <w:rPr>
                <w:b/>
                <w:sz w:val="18"/>
                <w:szCs w:val="18"/>
              </w:rPr>
            </w:pPr>
          </w:p>
        </w:tc>
        <w:tc>
          <w:tcPr>
            <w:tcW w:w="343" w:type="pct"/>
            <w:vMerge/>
          </w:tcPr>
          <w:p w14:paraId="4E897D3B" w14:textId="77777777" w:rsidR="00C950ED" w:rsidRPr="00251A53" w:rsidRDefault="00C950ED" w:rsidP="007612AB">
            <w:pPr>
              <w:spacing w:before="20" w:after="20"/>
              <w:rPr>
                <w:b/>
                <w:sz w:val="18"/>
                <w:szCs w:val="18"/>
              </w:rPr>
            </w:pPr>
          </w:p>
        </w:tc>
        <w:tc>
          <w:tcPr>
            <w:tcW w:w="371" w:type="pct"/>
            <w:vMerge/>
          </w:tcPr>
          <w:p w14:paraId="0B962A16" w14:textId="77777777" w:rsidR="00C950ED" w:rsidRPr="00251A53" w:rsidRDefault="00C950ED" w:rsidP="007612AB">
            <w:pPr>
              <w:spacing w:before="20" w:after="20"/>
              <w:rPr>
                <w:b/>
                <w:sz w:val="18"/>
                <w:szCs w:val="18"/>
              </w:rPr>
            </w:pPr>
          </w:p>
        </w:tc>
      </w:tr>
      <w:tr w:rsidR="00C950ED" w:rsidRPr="00251A53" w14:paraId="5D7CC67B" w14:textId="77777777" w:rsidTr="007C25CB">
        <w:trPr>
          <w:trHeight w:val="20"/>
        </w:trPr>
        <w:tc>
          <w:tcPr>
            <w:tcW w:w="751" w:type="pct"/>
            <w:tcBorders>
              <w:top w:val="single" w:sz="4" w:space="0" w:color="auto"/>
              <w:bottom w:val="single" w:sz="4" w:space="0" w:color="auto"/>
            </w:tcBorders>
            <w:tcMar>
              <w:top w:w="72" w:type="dxa"/>
              <w:left w:w="144" w:type="dxa"/>
              <w:bottom w:w="72" w:type="dxa"/>
              <w:right w:w="144" w:type="dxa"/>
            </w:tcMar>
          </w:tcPr>
          <w:p w14:paraId="1C5822C4" w14:textId="77777777" w:rsidR="00C950ED" w:rsidRPr="00251A53" w:rsidRDefault="00C950ED" w:rsidP="007612AB">
            <w:pPr>
              <w:spacing w:before="20" w:after="20"/>
              <w:rPr>
                <w:iCs/>
                <w:sz w:val="18"/>
                <w:szCs w:val="18"/>
              </w:rPr>
            </w:pPr>
            <w:r w:rsidRPr="00251A53">
              <w:rPr>
                <w:iCs/>
                <w:sz w:val="18"/>
                <w:szCs w:val="18"/>
                <w:u w:val="single"/>
              </w:rPr>
              <w:t>Indicator 5.1.2</w:t>
            </w:r>
            <w:r w:rsidRPr="00251A53">
              <w:rPr>
                <w:iCs/>
                <w:sz w:val="18"/>
                <w:szCs w:val="18"/>
              </w:rPr>
              <w:t>: Number of formal, signed partnership agreements (South-South, triangular)</w:t>
            </w:r>
          </w:p>
          <w:p w14:paraId="7C3A89BF" w14:textId="77777777" w:rsidR="00C950ED" w:rsidRPr="00251A53" w:rsidRDefault="00C950ED" w:rsidP="007612AB">
            <w:pPr>
              <w:spacing w:before="20" w:after="20"/>
              <w:rPr>
                <w:iCs/>
                <w:sz w:val="18"/>
                <w:szCs w:val="18"/>
              </w:rPr>
            </w:pPr>
            <w:r w:rsidRPr="00251A53">
              <w:rPr>
                <w:i/>
                <w:iCs/>
                <w:sz w:val="18"/>
                <w:szCs w:val="18"/>
              </w:rPr>
              <w:t>Baseline</w:t>
            </w:r>
            <w:r w:rsidRPr="00251A53">
              <w:rPr>
                <w:iCs/>
                <w:sz w:val="18"/>
                <w:szCs w:val="18"/>
              </w:rPr>
              <w:t xml:space="preserve">: 0 </w:t>
            </w:r>
          </w:p>
          <w:p w14:paraId="6CC36EB4" w14:textId="77777777" w:rsidR="00C950ED" w:rsidRPr="00251A53" w:rsidRDefault="00C950ED" w:rsidP="007612AB">
            <w:pPr>
              <w:spacing w:before="20" w:after="20"/>
              <w:rPr>
                <w:iCs/>
                <w:sz w:val="18"/>
                <w:szCs w:val="18"/>
              </w:rPr>
            </w:pPr>
            <w:r w:rsidRPr="00251A53">
              <w:rPr>
                <w:i/>
                <w:iCs/>
                <w:sz w:val="18"/>
                <w:szCs w:val="18"/>
              </w:rPr>
              <w:t>Target</w:t>
            </w:r>
            <w:r w:rsidRPr="00251A53">
              <w:rPr>
                <w:iCs/>
                <w:sz w:val="18"/>
                <w:szCs w:val="18"/>
              </w:rPr>
              <w:t xml:space="preserve">: 4 </w:t>
            </w:r>
          </w:p>
        </w:tc>
        <w:tc>
          <w:tcPr>
            <w:tcW w:w="857" w:type="pct"/>
            <w:tcBorders>
              <w:top w:val="single" w:sz="4" w:space="0" w:color="auto"/>
            </w:tcBorders>
          </w:tcPr>
          <w:p w14:paraId="207AD538" w14:textId="77777777" w:rsidR="00C950ED" w:rsidRPr="00251A53" w:rsidRDefault="00C950ED" w:rsidP="007612AB">
            <w:pPr>
              <w:spacing w:before="20" w:after="20"/>
              <w:rPr>
                <w:bCs/>
                <w:sz w:val="18"/>
                <w:szCs w:val="18"/>
              </w:rPr>
            </w:pPr>
            <w:r w:rsidRPr="00251A53">
              <w:rPr>
                <w:bCs/>
                <w:i/>
                <w:sz w:val="18"/>
                <w:szCs w:val="18"/>
              </w:rPr>
              <w:t>Source</w:t>
            </w:r>
            <w:r w:rsidRPr="00251A53">
              <w:rPr>
                <w:bCs/>
                <w:sz w:val="18"/>
                <w:szCs w:val="18"/>
              </w:rPr>
              <w:t>: MFAC, MFF</w:t>
            </w:r>
          </w:p>
          <w:p w14:paraId="2352997E" w14:textId="77777777" w:rsidR="00C950ED" w:rsidRPr="00251A53" w:rsidRDefault="00C950ED" w:rsidP="007612AB">
            <w:pPr>
              <w:spacing w:before="20" w:after="20"/>
              <w:ind w:left="6"/>
              <w:rPr>
                <w:iCs/>
                <w:sz w:val="18"/>
                <w:szCs w:val="18"/>
              </w:rPr>
            </w:pPr>
            <w:r w:rsidRPr="00251A53">
              <w:rPr>
                <w:bCs/>
                <w:i/>
                <w:sz w:val="18"/>
                <w:szCs w:val="18"/>
              </w:rPr>
              <w:t>Responsibility</w:t>
            </w:r>
            <w:r w:rsidRPr="00251A53">
              <w:rPr>
                <w:bCs/>
                <w:sz w:val="18"/>
                <w:szCs w:val="18"/>
              </w:rPr>
              <w:t>: MFAC, MFF</w:t>
            </w:r>
          </w:p>
        </w:tc>
        <w:tc>
          <w:tcPr>
            <w:tcW w:w="1725" w:type="pct"/>
            <w:gridSpan w:val="2"/>
            <w:vMerge/>
            <w:shd w:val="clear" w:color="auto" w:fill="auto"/>
            <w:tcMar>
              <w:top w:w="72" w:type="dxa"/>
              <w:left w:w="144" w:type="dxa"/>
              <w:bottom w:w="72" w:type="dxa"/>
              <w:right w:w="144" w:type="dxa"/>
            </w:tcMar>
          </w:tcPr>
          <w:p w14:paraId="32D72993" w14:textId="77777777" w:rsidR="00C950ED" w:rsidRPr="00251A53" w:rsidRDefault="00C950ED" w:rsidP="007612AB">
            <w:pPr>
              <w:spacing w:before="20" w:after="20"/>
              <w:rPr>
                <w:i/>
                <w:iCs/>
                <w:sz w:val="18"/>
                <w:szCs w:val="18"/>
              </w:rPr>
            </w:pPr>
          </w:p>
        </w:tc>
        <w:tc>
          <w:tcPr>
            <w:tcW w:w="609" w:type="pct"/>
            <w:gridSpan w:val="2"/>
            <w:vMerge/>
          </w:tcPr>
          <w:p w14:paraId="0362CC17" w14:textId="77777777" w:rsidR="00C950ED" w:rsidRPr="00251A53" w:rsidRDefault="00C950ED" w:rsidP="007612AB">
            <w:pPr>
              <w:spacing w:before="20" w:after="20"/>
              <w:rPr>
                <w:i/>
                <w:iCs/>
                <w:sz w:val="18"/>
                <w:szCs w:val="18"/>
              </w:rPr>
            </w:pPr>
          </w:p>
        </w:tc>
        <w:tc>
          <w:tcPr>
            <w:tcW w:w="344" w:type="pct"/>
            <w:vMerge/>
            <w:tcMar>
              <w:top w:w="15" w:type="dxa"/>
              <w:left w:w="108" w:type="dxa"/>
              <w:bottom w:w="0" w:type="dxa"/>
              <w:right w:w="108" w:type="dxa"/>
            </w:tcMar>
          </w:tcPr>
          <w:p w14:paraId="003C401D" w14:textId="77777777" w:rsidR="00C950ED" w:rsidRPr="00251A53" w:rsidRDefault="00C950ED" w:rsidP="007612AB">
            <w:pPr>
              <w:spacing w:before="20" w:after="20"/>
              <w:rPr>
                <w:b/>
                <w:sz w:val="18"/>
                <w:szCs w:val="18"/>
              </w:rPr>
            </w:pPr>
          </w:p>
        </w:tc>
        <w:tc>
          <w:tcPr>
            <w:tcW w:w="343" w:type="pct"/>
            <w:vMerge/>
          </w:tcPr>
          <w:p w14:paraId="22743D07" w14:textId="77777777" w:rsidR="00C950ED" w:rsidRPr="00251A53" w:rsidRDefault="00C950ED" w:rsidP="007612AB">
            <w:pPr>
              <w:spacing w:before="20" w:after="20"/>
              <w:rPr>
                <w:b/>
                <w:sz w:val="18"/>
                <w:szCs w:val="18"/>
              </w:rPr>
            </w:pPr>
          </w:p>
        </w:tc>
        <w:tc>
          <w:tcPr>
            <w:tcW w:w="371" w:type="pct"/>
            <w:vMerge/>
          </w:tcPr>
          <w:p w14:paraId="6055FAA0" w14:textId="77777777" w:rsidR="00C950ED" w:rsidRPr="00251A53" w:rsidRDefault="00C950ED" w:rsidP="007612AB">
            <w:pPr>
              <w:spacing w:before="20" w:after="20"/>
              <w:rPr>
                <w:b/>
                <w:sz w:val="18"/>
                <w:szCs w:val="18"/>
              </w:rPr>
            </w:pPr>
          </w:p>
        </w:tc>
      </w:tr>
      <w:tr w:rsidR="00C950ED" w:rsidRPr="00251A53" w14:paraId="7CED0D6D" w14:textId="77777777" w:rsidTr="007C25CB">
        <w:trPr>
          <w:trHeight w:val="20"/>
        </w:trPr>
        <w:tc>
          <w:tcPr>
            <w:tcW w:w="751" w:type="pct"/>
            <w:tcBorders>
              <w:top w:val="single" w:sz="4" w:space="0" w:color="auto"/>
              <w:bottom w:val="single" w:sz="4" w:space="0" w:color="auto"/>
            </w:tcBorders>
            <w:tcMar>
              <w:top w:w="72" w:type="dxa"/>
              <w:left w:w="144" w:type="dxa"/>
              <w:bottom w:w="72" w:type="dxa"/>
              <w:right w:w="144" w:type="dxa"/>
            </w:tcMar>
          </w:tcPr>
          <w:p w14:paraId="16D74E47" w14:textId="77777777" w:rsidR="00C950ED" w:rsidRPr="00251A53" w:rsidRDefault="00C950ED" w:rsidP="007612AB">
            <w:pPr>
              <w:spacing w:before="20" w:after="20"/>
              <w:rPr>
                <w:iCs/>
                <w:sz w:val="18"/>
                <w:szCs w:val="18"/>
              </w:rPr>
            </w:pPr>
            <w:r w:rsidRPr="00251A53">
              <w:rPr>
                <w:iCs/>
                <w:sz w:val="18"/>
                <w:szCs w:val="18"/>
                <w:u w:val="single"/>
              </w:rPr>
              <w:t>Indicator 5.1.4</w:t>
            </w:r>
            <w:r w:rsidRPr="00251A53">
              <w:rPr>
                <w:iCs/>
                <w:sz w:val="18"/>
                <w:szCs w:val="18"/>
              </w:rPr>
              <w:t>: Number of CSOs that participate in the formulation and monitoring of development plans, budgets and public policies</w:t>
            </w:r>
          </w:p>
          <w:p w14:paraId="5CE2BB5B" w14:textId="77777777" w:rsidR="00C950ED" w:rsidRPr="00251A53" w:rsidRDefault="00C950ED" w:rsidP="007612AB">
            <w:pPr>
              <w:spacing w:before="20" w:after="20"/>
              <w:rPr>
                <w:iCs/>
                <w:sz w:val="18"/>
                <w:szCs w:val="18"/>
              </w:rPr>
            </w:pPr>
            <w:r w:rsidRPr="00251A53">
              <w:rPr>
                <w:i/>
                <w:iCs/>
                <w:sz w:val="18"/>
                <w:szCs w:val="18"/>
              </w:rPr>
              <w:t>Baseline</w:t>
            </w:r>
            <w:r w:rsidRPr="00251A53">
              <w:rPr>
                <w:iCs/>
                <w:sz w:val="18"/>
                <w:szCs w:val="18"/>
              </w:rPr>
              <w:t>: TBD</w:t>
            </w:r>
          </w:p>
          <w:p w14:paraId="013A696E" w14:textId="77777777" w:rsidR="00C950ED" w:rsidRPr="00251A53" w:rsidRDefault="00C950ED" w:rsidP="007612AB">
            <w:pPr>
              <w:spacing w:before="20" w:after="20"/>
              <w:rPr>
                <w:iCs/>
                <w:sz w:val="18"/>
                <w:szCs w:val="18"/>
              </w:rPr>
            </w:pPr>
            <w:r w:rsidRPr="00251A53">
              <w:rPr>
                <w:i/>
                <w:iCs/>
                <w:sz w:val="18"/>
                <w:szCs w:val="18"/>
              </w:rPr>
              <w:t>Target</w:t>
            </w:r>
            <w:r w:rsidRPr="00251A53">
              <w:rPr>
                <w:iCs/>
                <w:sz w:val="18"/>
                <w:szCs w:val="18"/>
              </w:rPr>
              <w:t>: TBD</w:t>
            </w:r>
          </w:p>
        </w:tc>
        <w:tc>
          <w:tcPr>
            <w:tcW w:w="857" w:type="pct"/>
            <w:tcBorders>
              <w:bottom w:val="single" w:sz="4" w:space="0" w:color="auto"/>
            </w:tcBorders>
          </w:tcPr>
          <w:p w14:paraId="38EB4C7F" w14:textId="77777777" w:rsidR="00C950ED" w:rsidRPr="00251A53" w:rsidRDefault="00C950ED" w:rsidP="007612AB">
            <w:pPr>
              <w:spacing w:before="20" w:after="20"/>
              <w:rPr>
                <w:bCs/>
                <w:iCs/>
                <w:sz w:val="18"/>
                <w:szCs w:val="18"/>
              </w:rPr>
            </w:pPr>
            <w:r w:rsidRPr="00251A53">
              <w:rPr>
                <w:bCs/>
                <w:i/>
                <w:iCs/>
                <w:sz w:val="18"/>
                <w:szCs w:val="18"/>
              </w:rPr>
              <w:t>Source</w:t>
            </w:r>
            <w:r w:rsidRPr="00251A53">
              <w:rPr>
                <w:bCs/>
                <w:iCs/>
                <w:sz w:val="18"/>
                <w:szCs w:val="18"/>
              </w:rPr>
              <w:t xml:space="preserve">: MFF </w:t>
            </w:r>
          </w:p>
          <w:p w14:paraId="35E26C12" w14:textId="77777777" w:rsidR="00C950ED" w:rsidRPr="00251A53" w:rsidRDefault="00C950ED" w:rsidP="007612AB">
            <w:pPr>
              <w:spacing w:before="20" w:after="20"/>
              <w:rPr>
                <w:bCs/>
                <w:sz w:val="18"/>
                <w:szCs w:val="18"/>
              </w:rPr>
            </w:pPr>
            <w:r w:rsidRPr="00251A53">
              <w:rPr>
                <w:bCs/>
                <w:i/>
                <w:iCs/>
                <w:sz w:val="18"/>
                <w:szCs w:val="18"/>
              </w:rPr>
              <w:t>Responsibility</w:t>
            </w:r>
            <w:r w:rsidRPr="00251A53">
              <w:rPr>
                <w:bCs/>
                <w:iCs/>
                <w:sz w:val="18"/>
                <w:szCs w:val="18"/>
              </w:rPr>
              <w:t>: MFF</w:t>
            </w:r>
          </w:p>
        </w:tc>
        <w:tc>
          <w:tcPr>
            <w:tcW w:w="1725" w:type="pct"/>
            <w:gridSpan w:val="2"/>
            <w:vMerge/>
            <w:shd w:val="clear" w:color="auto" w:fill="auto"/>
            <w:tcMar>
              <w:top w:w="72" w:type="dxa"/>
              <w:left w:w="144" w:type="dxa"/>
              <w:bottom w:w="72" w:type="dxa"/>
              <w:right w:w="144" w:type="dxa"/>
            </w:tcMar>
          </w:tcPr>
          <w:p w14:paraId="4A58BBDD" w14:textId="77777777" w:rsidR="00C950ED" w:rsidRPr="00251A53" w:rsidRDefault="00C950ED" w:rsidP="007612AB">
            <w:pPr>
              <w:spacing w:before="20" w:after="20"/>
              <w:rPr>
                <w:i/>
                <w:iCs/>
                <w:sz w:val="18"/>
                <w:szCs w:val="18"/>
              </w:rPr>
            </w:pPr>
          </w:p>
        </w:tc>
        <w:tc>
          <w:tcPr>
            <w:tcW w:w="609" w:type="pct"/>
            <w:gridSpan w:val="2"/>
            <w:vMerge/>
          </w:tcPr>
          <w:p w14:paraId="492BF882" w14:textId="77777777" w:rsidR="00C950ED" w:rsidRPr="00251A53" w:rsidRDefault="00C950ED" w:rsidP="007612AB">
            <w:pPr>
              <w:spacing w:before="20" w:after="20"/>
              <w:rPr>
                <w:i/>
                <w:iCs/>
                <w:sz w:val="18"/>
                <w:szCs w:val="18"/>
              </w:rPr>
            </w:pPr>
          </w:p>
        </w:tc>
        <w:tc>
          <w:tcPr>
            <w:tcW w:w="344" w:type="pct"/>
            <w:vMerge/>
            <w:tcMar>
              <w:top w:w="15" w:type="dxa"/>
              <w:left w:w="108" w:type="dxa"/>
              <w:bottom w:w="0" w:type="dxa"/>
              <w:right w:w="108" w:type="dxa"/>
            </w:tcMar>
          </w:tcPr>
          <w:p w14:paraId="36E96A4B" w14:textId="77777777" w:rsidR="00C950ED" w:rsidRPr="00251A53" w:rsidRDefault="00C950ED" w:rsidP="007612AB">
            <w:pPr>
              <w:spacing w:before="20" w:after="20"/>
              <w:rPr>
                <w:b/>
                <w:sz w:val="18"/>
                <w:szCs w:val="18"/>
              </w:rPr>
            </w:pPr>
          </w:p>
        </w:tc>
        <w:tc>
          <w:tcPr>
            <w:tcW w:w="343" w:type="pct"/>
            <w:vMerge/>
          </w:tcPr>
          <w:p w14:paraId="339F9BA2" w14:textId="77777777" w:rsidR="00C950ED" w:rsidRPr="00251A53" w:rsidRDefault="00C950ED" w:rsidP="007612AB">
            <w:pPr>
              <w:spacing w:before="20" w:after="20"/>
              <w:rPr>
                <w:b/>
                <w:sz w:val="18"/>
                <w:szCs w:val="18"/>
              </w:rPr>
            </w:pPr>
          </w:p>
        </w:tc>
        <w:tc>
          <w:tcPr>
            <w:tcW w:w="371" w:type="pct"/>
            <w:vMerge/>
          </w:tcPr>
          <w:p w14:paraId="0D226E45" w14:textId="77777777" w:rsidR="00C950ED" w:rsidRPr="00251A53" w:rsidRDefault="00C950ED" w:rsidP="007612AB">
            <w:pPr>
              <w:spacing w:before="20" w:after="20"/>
              <w:rPr>
                <w:b/>
                <w:sz w:val="18"/>
                <w:szCs w:val="18"/>
              </w:rPr>
            </w:pPr>
          </w:p>
        </w:tc>
      </w:tr>
      <w:tr w:rsidR="00C950ED" w:rsidRPr="00251A53" w14:paraId="43F8C409" w14:textId="77777777" w:rsidTr="007C25CB">
        <w:trPr>
          <w:trHeight w:val="20"/>
        </w:trPr>
        <w:tc>
          <w:tcPr>
            <w:tcW w:w="751" w:type="pct"/>
            <w:tcBorders>
              <w:top w:val="single" w:sz="4" w:space="0" w:color="auto"/>
            </w:tcBorders>
            <w:tcMar>
              <w:top w:w="72" w:type="dxa"/>
              <w:left w:w="144" w:type="dxa"/>
              <w:bottom w:w="72" w:type="dxa"/>
              <w:right w:w="144" w:type="dxa"/>
            </w:tcMar>
          </w:tcPr>
          <w:p w14:paraId="2D290FED" w14:textId="77777777" w:rsidR="00C950ED" w:rsidRPr="00251A53" w:rsidRDefault="00C950ED" w:rsidP="007612AB">
            <w:pPr>
              <w:spacing w:before="20" w:after="20"/>
              <w:rPr>
                <w:sz w:val="18"/>
                <w:szCs w:val="18"/>
              </w:rPr>
            </w:pPr>
            <w:r w:rsidRPr="00251A53">
              <w:rPr>
                <w:sz w:val="18"/>
                <w:szCs w:val="18"/>
                <w:u w:val="single"/>
              </w:rPr>
              <w:t>Indicator 5.1.5</w:t>
            </w:r>
            <w:r w:rsidRPr="00251A53">
              <w:rPr>
                <w:sz w:val="18"/>
                <w:szCs w:val="18"/>
              </w:rPr>
              <w:t xml:space="preserve">: Number of national SDGs progress reports submitted. </w:t>
            </w:r>
          </w:p>
          <w:p w14:paraId="1B54BE5B" w14:textId="77777777" w:rsidR="00C950ED" w:rsidRPr="00251A53" w:rsidRDefault="00C950ED" w:rsidP="007612AB">
            <w:pPr>
              <w:spacing w:before="20" w:after="20"/>
              <w:rPr>
                <w:sz w:val="18"/>
                <w:szCs w:val="18"/>
              </w:rPr>
            </w:pPr>
            <w:r w:rsidRPr="00251A53">
              <w:rPr>
                <w:i/>
                <w:sz w:val="18"/>
                <w:szCs w:val="18"/>
              </w:rPr>
              <w:t>Baseline</w:t>
            </w:r>
            <w:r w:rsidRPr="00251A53">
              <w:rPr>
                <w:sz w:val="18"/>
                <w:szCs w:val="18"/>
              </w:rPr>
              <w:t>: 0</w:t>
            </w:r>
          </w:p>
          <w:p w14:paraId="1D1778EF" w14:textId="77777777" w:rsidR="00C950ED" w:rsidRPr="00251A53" w:rsidRDefault="00C950ED" w:rsidP="007612AB">
            <w:pPr>
              <w:spacing w:before="20" w:after="20"/>
              <w:rPr>
                <w:iCs/>
                <w:sz w:val="18"/>
                <w:szCs w:val="18"/>
              </w:rPr>
            </w:pPr>
            <w:r w:rsidRPr="00251A53">
              <w:rPr>
                <w:i/>
                <w:sz w:val="18"/>
                <w:szCs w:val="18"/>
              </w:rPr>
              <w:t>Target</w:t>
            </w:r>
            <w:r w:rsidRPr="00251A53">
              <w:rPr>
                <w:sz w:val="18"/>
                <w:szCs w:val="18"/>
              </w:rPr>
              <w:t>: 4</w:t>
            </w:r>
          </w:p>
        </w:tc>
        <w:tc>
          <w:tcPr>
            <w:tcW w:w="857" w:type="pct"/>
            <w:tcBorders>
              <w:top w:val="single" w:sz="4" w:space="0" w:color="auto"/>
            </w:tcBorders>
          </w:tcPr>
          <w:p w14:paraId="2887346E" w14:textId="77777777" w:rsidR="00C950ED" w:rsidRPr="00251A53" w:rsidRDefault="00C950ED" w:rsidP="007612AB">
            <w:pPr>
              <w:spacing w:before="20" w:after="20"/>
              <w:rPr>
                <w:iCs/>
                <w:sz w:val="18"/>
                <w:szCs w:val="18"/>
              </w:rPr>
            </w:pPr>
            <w:r w:rsidRPr="00251A53">
              <w:rPr>
                <w:i/>
                <w:iCs/>
                <w:sz w:val="18"/>
                <w:szCs w:val="18"/>
              </w:rPr>
              <w:t>Source</w:t>
            </w:r>
            <w:r w:rsidRPr="00251A53">
              <w:rPr>
                <w:iCs/>
                <w:sz w:val="18"/>
                <w:szCs w:val="18"/>
              </w:rPr>
              <w:t>: MFAC</w:t>
            </w:r>
          </w:p>
          <w:p w14:paraId="65F31E00" w14:textId="77777777" w:rsidR="00C950ED" w:rsidRPr="00251A53" w:rsidRDefault="00C950ED" w:rsidP="007612AB">
            <w:pPr>
              <w:spacing w:before="20" w:after="20"/>
              <w:rPr>
                <w:bCs/>
                <w:sz w:val="18"/>
                <w:szCs w:val="18"/>
              </w:rPr>
            </w:pPr>
            <w:r w:rsidRPr="00251A53">
              <w:rPr>
                <w:i/>
                <w:iCs/>
                <w:sz w:val="18"/>
                <w:szCs w:val="18"/>
              </w:rPr>
              <w:t>Responsibility</w:t>
            </w:r>
            <w:r w:rsidRPr="00251A53">
              <w:rPr>
                <w:iCs/>
                <w:sz w:val="18"/>
                <w:szCs w:val="18"/>
              </w:rPr>
              <w:t>:</w:t>
            </w:r>
            <w:r w:rsidRPr="00251A53">
              <w:rPr>
                <w:sz w:val="18"/>
                <w:szCs w:val="18"/>
              </w:rPr>
              <w:t xml:space="preserve"> </w:t>
            </w:r>
            <w:r w:rsidRPr="00251A53">
              <w:rPr>
                <w:iCs/>
                <w:sz w:val="18"/>
                <w:szCs w:val="18"/>
              </w:rPr>
              <w:t>MFAC</w:t>
            </w:r>
          </w:p>
        </w:tc>
        <w:tc>
          <w:tcPr>
            <w:tcW w:w="1725" w:type="pct"/>
            <w:gridSpan w:val="2"/>
            <w:vMerge/>
            <w:shd w:val="clear" w:color="auto" w:fill="auto"/>
            <w:tcMar>
              <w:top w:w="72" w:type="dxa"/>
              <w:left w:w="144" w:type="dxa"/>
              <w:bottom w:w="72" w:type="dxa"/>
              <w:right w:w="144" w:type="dxa"/>
            </w:tcMar>
          </w:tcPr>
          <w:p w14:paraId="3AD2CF20" w14:textId="77777777" w:rsidR="00C950ED" w:rsidRPr="00251A53" w:rsidRDefault="00C950ED" w:rsidP="007612AB">
            <w:pPr>
              <w:spacing w:before="20" w:after="20"/>
              <w:rPr>
                <w:i/>
                <w:iCs/>
                <w:sz w:val="18"/>
                <w:szCs w:val="18"/>
              </w:rPr>
            </w:pPr>
          </w:p>
        </w:tc>
        <w:tc>
          <w:tcPr>
            <w:tcW w:w="609" w:type="pct"/>
            <w:gridSpan w:val="2"/>
            <w:vMerge/>
          </w:tcPr>
          <w:p w14:paraId="4460D265" w14:textId="77777777" w:rsidR="00C950ED" w:rsidRPr="00251A53" w:rsidRDefault="00C950ED" w:rsidP="007612AB">
            <w:pPr>
              <w:spacing w:before="20" w:after="20"/>
              <w:rPr>
                <w:i/>
                <w:iCs/>
                <w:sz w:val="18"/>
                <w:szCs w:val="18"/>
              </w:rPr>
            </w:pPr>
          </w:p>
        </w:tc>
        <w:tc>
          <w:tcPr>
            <w:tcW w:w="344" w:type="pct"/>
            <w:vMerge/>
            <w:tcMar>
              <w:top w:w="15" w:type="dxa"/>
              <w:left w:w="108" w:type="dxa"/>
              <w:bottom w:w="0" w:type="dxa"/>
              <w:right w:w="108" w:type="dxa"/>
            </w:tcMar>
          </w:tcPr>
          <w:p w14:paraId="51744961" w14:textId="77777777" w:rsidR="00C950ED" w:rsidRPr="00251A53" w:rsidRDefault="00C950ED" w:rsidP="007612AB">
            <w:pPr>
              <w:spacing w:before="20" w:after="20"/>
              <w:rPr>
                <w:b/>
                <w:sz w:val="18"/>
                <w:szCs w:val="18"/>
              </w:rPr>
            </w:pPr>
          </w:p>
        </w:tc>
        <w:tc>
          <w:tcPr>
            <w:tcW w:w="343" w:type="pct"/>
            <w:vMerge/>
          </w:tcPr>
          <w:p w14:paraId="752FDC29" w14:textId="77777777" w:rsidR="00C950ED" w:rsidRPr="00251A53" w:rsidRDefault="00C950ED" w:rsidP="007612AB">
            <w:pPr>
              <w:spacing w:before="20" w:after="20"/>
              <w:rPr>
                <w:b/>
                <w:sz w:val="18"/>
                <w:szCs w:val="18"/>
              </w:rPr>
            </w:pPr>
          </w:p>
        </w:tc>
        <w:tc>
          <w:tcPr>
            <w:tcW w:w="371" w:type="pct"/>
            <w:vMerge/>
          </w:tcPr>
          <w:p w14:paraId="481E0D80" w14:textId="77777777" w:rsidR="00C950ED" w:rsidRPr="00251A53" w:rsidRDefault="00C950ED" w:rsidP="007612AB">
            <w:pPr>
              <w:spacing w:before="20" w:after="20"/>
              <w:rPr>
                <w:b/>
                <w:sz w:val="18"/>
                <w:szCs w:val="18"/>
              </w:rPr>
            </w:pPr>
          </w:p>
        </w:tc>
      </w:tr>
      <w:tr w:rsidR="004255D8" w:rsidRPr="00251A53" w14:paraId="4FB1793F" w14:textId="77777777" w:rsidTr="000B26F0">
        <w:trPr>
          <w:trHeight w:val="20"/>
        </w:trPr>
        <w:tc>
          <w:tcPr>
            <w:tcW w:w="5000" w:type="pct"/>
            <w:gridSpan w:val="9"/>
            <w:shd w:val="clear" w:color="auto" w:fill="DEEAF6" w:themeFill="accent1" w:themeFillTint="33"/>
            <w:tcMar>
              <w:top w:w="72" w:type="dxa"/>
              <w:left w:w="144" w:type="dxa"/>
              <w:bottom w:w="72" w:type="dxa"/>
              <w:right w:w="144" w:type="dxa"/>
            </w:tcMar>
          </w:tcPr>
          <w:p w14:paraId="3985739F" w14:textId="73E2E5F2" w:rsidR="004255D8" w:rsidRPr="00251A53" w:rsidRDefault="004255D8" w:rsidP="00FC42CC">
            <w:pPr>
              <w:spacing w:before="20" w:after="20"/>
              <w:rPr>
                <w:b/>
                <w:sz w:val="18"/>
                <w:szCs w:val="18"/>
              </w:rPr>
            </w:pPr>
            <w:r w:rsidRPr="00251A53">
              <w:rPr>
                <w:b/>
                <w:bCs/>
                <w:sz w:val="18"/>
                <w:szCs w:val="18"/>
              </w:rPr>
              <w:t xml:space="preserve">UNDAF </w:t>
            </w:r>
            <w:r w:rsidR="00884CCC" w:rsidRPr="00251A53">
              <w:rPr>
                <w:b/>
                <w:bCs/>
                <w:sz w:val="18"/>
                <w:szCs w:val="18"/>
              </w:rPr>
              <w:t>outcome</w:t>
            </w:r>
            <w:r w:rsidR="00FC42CC" w:rsidRPr="00251A53">
              <w:rPr>
                <w:b/>
                <w:bCs/>
                <w:sz w:val="18"/>
                <w:szCs w:val="18"/>
              </w:rPr>
              <w:t>:</w:t>
            </w:r>
            <w:r w:rsidRPr="00251A53">
              <w:rPr>
                <w:bCs/>
                <w:sz w:val="18"/>
                <w:szCs w:val="18"/>
              </w:rPr>
              <w:t xml:space="preserve"> </w:t>
            </w:r>
            <w:r w:rsidR="00FC42CC" w:rsidRPr="00251A53">
              <w:rPr>
                <w:bCs/>
                <w:sz w:val="18"/>
                <w:szCs w:val="18"/>
              </w:rPr>
              <w:t>(</w:t>
            </w:r>
            <w:r w:rsidRPr="00251A53">
              <w:rPr>
                <w:bCs/>
                <w:sz w:val="18"/>
                <w:szCs w:val="18"/>
              </w:rPr>
              <w:t>4.2</w:t>
            </w:r>
            <w:r w:rsidR="00FC42CC" w:rsidRPr="00251A53">
              <w:rPr>
                <w:bCs/>
                <w:sz w:val="18"/>
                <w:szCs w:val="18"/>
              </w:rPr>
              <w:t>)</w:t>
            </w:r>
            <w:r w:rsidR="00FC42CC" w:rsidRPr="00251A53">
              <w:rPr>
                <w:b/>
                <w:bCs/>
                <w:sz w:val="18"/>
                <w:szCs w:val="18"/>
              </w:rPr>
              <w:t xml:space="preserve"> </w:t>
            </w:r>
            <w:r w:rsidRPr="00251A53">
              <w:rPr>
                <w:sz w:val="18"/>
                <w:szCs w:val="18"/>
              </w:rPr>
              <w:t>By 2022, Cabo Verdeans, particularly women, youth and children, benefit from increased human security, improved social cohesion and a responsive and inclusive justice system that leads to</w:t>
            </w:r>
            <w:r w:rsidR="00884CCC" w:rsidRPr="00251A53">
              <w:rPr>
                <w:sz w:val="18"/>
                <w:szCs w:val="18"/>
              </w:rPr>
              <w:t xml:space="preserve"> the fulfilment of human rights</w:t>
            </w:r>
          </w:p>
        </w:tc>
      </w:tr>
      <w:tr w:rsidR="004255D8" w:rsidRPr="00251A53" w14:paraId="01529F4E" w14:textId="77777777" w:rsidTr="000B26F0">
        <w:trPr>
          <w:trHeight w:val="20"/>
        </w:trPr>
        <w:tc>
          <w:tcPr>
            <w:tcW w:w="5000" w:type="pct"/>
            <w:gridSpan w:val="9"/>
            <w:shd w:val="clear" w:color="auto" w:fill="DEEAF6" w:themeFill="accent1" w:themeFillTint="33"/>
            <w:tcMar>
              <w:top w:w="72" w:type="dxa"/>
              <w:left w:w="144" w:type="dxa"/>
              <w:bottom w:w="72" w:type="dxa"/>
              <w:right w:w="144" w:type="dxa"/>
            </w:tcMar>
          </w:tcPr>
          <w:p w14:paraId="66854199" w14:textId="2676DAF5" w:rsidR="004255D8" w:rsidRPr="00251A53" w:rsidRDefault="004255D8" w:rsidP="007612AB">
            <w:pPr>
              <w:spacing w:before="20" w:after="20"/>
              <w:rPr>
                <w:bCs/>
                <w:sz w:val="18"/>
                <w:szCs w:val="18"/>
              </w:rPr>
            </w:pPr>
            <w:r w:rsidRPr="00251A53">
              <w:rPr>
                <w:b/>
                <w:bCs/>
                <w:sz w:val="18"/>
                <w:szCs w:val="18"/>
              </w:rPr>
              <w:t xml:space="preserve">UNDP </w:t>
            </w:r>
            <w:r w:rsidR="006555DD" w:rsidRPr="00251A53">
              <w:rPr>
                <w:b/>
                <w:bCs/>
                <w:sz w:val="18"/>
                <w:szCs w:val="18"/>
              </w:rPr>
              <w:t xml:space="preserve">Strategic Plan </w:t>
            </w:r>
            <w:r w:rsidR="00884CCC" w:rsidRPr="00251A53">
              <w:rPr>
                <w:b/>
                <w:bCs/>
                <w:sz w:val="18"/>
                <w:szCs w:val="18"/>
              </w:rPr>
              <w:t>outcomes</w:t>
            </w:r>
            <w:r w:rsidRPr="00251A53">
              <w:rPr>
                <w:b/>
                <w:bCs/>
                <w:sz w:val="18"/>
                <w:szCs w:val="18"/>
              </w:rPr>
              <w:t xml:space="preserve">: </w:t>
            </w:r>
            <w:r w:rsidR="00FE2B56" w:rsidRPr="00251A53">
              <w:rPr>
                <w:bCs/>
                <w:sz w:val="18"/>
                <w:szCs w:val="18"/>
              </w:rPr>
              <w:t>(</w:t>
            </w:r>
            <w:r w:rsidR="00EE23E3" w:rsidRPr="00251A53">
              <w:rPr>
                <w:bCs/>
                <w:iCs/>
                <w:sz w:val="18"/>
                <w:szCs w:val="18"/>
              </w:rPr>
              <w:t>Signature solution 2</w:t>
            </w:r>
            <w:r w:rsidR="00FE2B56" w:rsidRPr="00251A53">
              <w:rPr>
                <w:bCs/>
                <w:iCs/>
                <w:sz w:val="18"/>
                <w:szCs w:val="18"/>
              </w:rPr>
              <w:t>)</w:t>
            </w:r>
            <w:r w:rsidRPr="00251A53">
              <w:rPr>
                <w:bCs/>
                <w:iCs/>
                <w:sz w:val="18"/>
                <w:szCs w:val="18"/>
              </w:rPr>
              <w:t xml:space="preserve"> Strengthen effective, accountable and inclusive governance</w:t>
            </w:r>
            <w:r w:rsidR="00EE23E3" w:rsidRPr="00251A53">
              <w:rPr>
                <w:bCs/>
                <w:sz w:val="18"/>
                <w:szCs w:val="18"/>
              </w:rPr>
              <w:t>;</w:t>
            </w:r>
            <w:r w:rsidR="00B209E7" w:rsidRPr="00251A53">
              <w:rPr>
                <w:bCs/>
                <w:sz w:val="18"/>
                <w:szCs w:val="18"/>
              </w:rPr>
              <w:t xml:space="preserve"> </w:t>
            </w:r>
            <w:r w:rsidR="00FE2B56" w:rsidRPr="00251A53">
              <w:rPr>
                <w:bCs/>
                <w:sz w:val="18"/>
                <w:szCs w:val="18"/>
              </w:rPr>
              <w:t>(</w:t>
            </w:r>
            <w:r w:rsidRPr="00251A53">
              <w:rPr>
                <w:sz w:val="18"/>
                <w:szCs w:val="18"/>
              </w:rPr>
              <w:t>IRRF</w:t>
            </w:r>
            <w:r w:rsidRPr="00251A53">
              <w:rPr>
                <w:bCs/>
                <w:sz w:val="18"/>
                <w:szCs w:val="18"/>
              </w:rPr>
              <w:t xml:space="preserve"> Outcome 2</w:t>
            </w:r>
            <w:r w:rsidR="00FE2B56" w:rsidRPr="00251A53">
              <w:rPr>
                <w:bCs/>
                <w:sz w:val="18"/>
                <w:szCs w:val="18"/>
              </w:rPr>
              <w:t>)</w:t>
            </w:r>
            <w:r w:rsidRPr="00251A53">
              <w:rPr>
                <w:bCs/>
                <w:sz w:val="18"/>
                <w:szCs w:val="18"/>
              </w:rPr>
              <w:t xml:space="preserve"> </w:t>
            </w:r>
            <w:r w:rsidR="00EE23E3" w:rsidRPr="00251A53">
              <w:rPr>
                <w:bCs/>
                <w:sz w:val="18"/>
                <w:szCs w:val="18"/>
              </w:rPr>
              <w:t xml:space="preserve">Inclusive governance; </w:t>
            </w:r>
            <w:r w:rsidR="00FE2B56" w:rsidRPr="00251A53">
              <w:rPr>
                <w:bCs/>
                <w:sz w:val="18"/>
                <w:szCs w:val="18"/>
              </w:rPr>
              <w:t>(</w:t>
            </w:r>
            <w:r w:rsidRPr="00251A53">
              <w:rPr>
                <w:bCs/>
                <w:iCs/>
                <w:sz w:val="18"/>
                <w:szCs w:val="18"/>
              </w:rPr>
              <w:t>Signature solution 6</w:t>
            </w:r>
            <w:r w:rsidR="00FE2B56" w:rsidRPr="00251A53">
              <w:rPr>
                <w:bCs/>
                <w:iCs/>
                <w:sz w:val="18"/>
                <w:szCs w:val="18"/>
              </w:rPr>
              <w:t>)</w:t>
            </w:r>
            <w:r w:rsidRPr="00251A53">
              <w:rPr>
                <w:bCs/>
                <w:iCs/>
                <w:sz w:val="18"/>
                <w:szCs w:val="18"/>
              </w:rPr>
              <w:t xml:space="preserve"> Strengthen </w:t>
            </w:r>
            <w:r w:rsidR="00EE23E3" w:rsidRPr="00251A53">
              <w:rPr>
                <w:bCs/>
                <w:iCs/>
                <w:sz w:val="18"/>
                <w:szCs w:val="18"/>
              </w:rPr>
              <w:t>g</w:t>
            </w:r>
            <w:r w:rsidRPr="00251A53">
              <w:rPr>
                <w:bCs/>
                <w:iCs/>
                <w:sz w:val="18"/>
                <w:szCs w:val="18"/>
              </w:rPr>
              <w:t xml:space="preserve">ender </w:t>
            </w:r>
            <w:r w:rsidR="00EE23E3" w:rsidRPr="00251A53">
              <w:rPr>
                <w:bCs/>
                <w:iCs/>
                <w:sz w:val="18"/>
                <w:szCs w:val="18"/>
              </w:rPr>
              <w:t>e</w:t>
            </w:r>
            <w:r w:rsidRPr="00251A53">
              <w:rPr>
                <w:bCs/>
                <w:iCs/>
                <w:sz w:val="18"/>
                <w:szCs w:val="18"/>
              </w:rPr>
              <w:t>quality</w:t>
            </w:r>
            <w:r w:rsidR="00B209E7" w:rsidRPr="00251A53">
              <w:rPr>
                <w:bCs/>
                <w:iCs/>
                <w:sz w:val="18"/>
                <w:szCs w:val="18"/>
              </w:rPr>
              <w:t>:</w:t>
            </w:r>
            <w:r w:rsidRPr="00251A53">
              <w:rPr>
                <w:bCs/>
                <w:iCs/>
                <w:sz w:val="18"/>
                <w:szCs w:val="18"/>
              </w:rPr>
              <w:t xml:space="preserve"> </w:t>
            </w:r>
            <w:r w:rsidR="00FE2B56" w:rsidRPr="00251A53">
              <w:rPr>
                <w:bCs/>
                <w:iCs/>
                <w:sz w:val="18"/>
                <w:szCs w:val="18"/>
              </w:rPr>
              <w:t>(</w:t>
            </w:r>
            <w:r w:rsidRPr="00251A53">
              <w:rPr>
                <w:sz w:val="18"/>
                <w:szCs w:val="18"/>
              </w:rPr>
              <w:t>IRRF</w:t>
            </w:r>
            <w:r w:rsidRPr="00251A53">
              <w:rPr>
                <w:bCs/>
                <w:iCs/>
                <w:sz w:val="18"/>
                <w:szCs w:val="18"/>
              </w:rPr>
              <w:t xml:space="preserve"> Outcome 5</w:t>
            </w:r>
            <w:r w:rsidR="00FE2B56" w:rsidRPr="00251A53">
              <w:rPr>
                <w:bCs/>
                <w:iCs/>
                <w:sz w:val="18"/>
                <w:szCs w:val="18"/>
              </w:rPr>
              <w:t>)</w:t>
            </w:r>
            <w:r w:rsidRPr="00251A53">
              <w:rPr>
                <w:bCs/>
                <w:iCs/>
                <w:sz w:val="18"/>
                <w:szCs w:val="18"/>
              </w:rPr>
              <w:t xml:space="preserve"> Gender equality</w:t>
            </w:r>
          </w:p>
          <w:p w14:paraId="21327103" w14:textId="6F44D07A" w:rsidR="004255D8" w:rsidRPr="00251A53" w:rsidRDefault="004255D8" w:rsidP="00901B3A">
            <w:pPr>
              <w:spacing w:before="20" w:after="20"/>
              <w:ind w:right="-55"/>
              <w:rPr>
                <w:bCs/>
                <w:sz w:val="18"/>
                <w:szCs w:val="18"/>
              </w:rPr>
            </w:pPr>
            <w:r w:rsidRPr="00251A53">
              <w:rPr>
                <w:b/>
                <w:bCs/>
                <w:sz w:val="18"/>
                <w:szCs w:val="18"/>
              </w:rPr>
              <w:t xml:space="preserve">UNFPA </w:t>
            </w:r>
            <w:r w:rsidR="006555DD" w:rsidRPr="00251A53">
              <w:rPr>
                <w:b/>
                <w:bCs/>
                <w:sz w:val="18"/>
                <w:szCs w:val="18"/>
              </w:rPr>
              <w:t xml:space="preserve">Strategic Plan </w:t>
            </w:r>
            <w:r w:rsidR="00901B3A" w:rsidRPr="00251A53">
              <w:rPr>
                <w:b/>
                <w:bCs/>
                <w:sz w:val="18"/>
                <w:szCs w:val="18"/>
              </w:rPr>
              <w:t>outcomes</w:t>
            </w:r>
            <w:r w:rsidRPr="00251A53">
              <w:rPr>
                <w:b/>
                <w:bCs/>
                <w:sz w:val="18"/>
                <w:szCs w:val="18"/>
              </w:rPr>
              <w:t>:</w:t>
            </w:r>
            <w:r w:rsidRPr="00251A53">
              <w:rPr>
                <w:bCs/>
                <w:sz w:val="18"/>
                <w:szCs w:val="18"/>
              </w:rPr>
              <w:t xml:space="preserve"> </w:t>
            </w:r>
            <w:r w:rsidR="00901B3A" w:rsidRPr="00251A53">
              <w:rPr>
                <w:bCs/>
                <w:sz w:val="18"/>
                <w:szCs w:val="18"/>
              </w:rPr>
              <w:t xml:space="preserve">(3) </w:t>
            </w:r>
            <w:r w:rsidRPr="00251A53">
              <w:rPr>
                <w:bCs/>
                <w:sz w:val="18"/>
                <w:szCs w:val="18"/>
              </w:rPr>
              <w:t>Gender equality empowerment of all women and girls and reproductive rights achieved, with a focus on ending gender-based violence and harmful practices within the development and humanitarian continuum context</w:t>
            </w:r>
            <w:r w:rsidR="008E29E3" w:rsidRPr="00251A53">
              <w:rPr>
                <w:bCs/>
                <w:sz w:val="18"/>
                <w:szCs w:val="18"/>
              </w:rPr>
              <w:t>;</w:t>
            </w:r>
            <w:r w:rsidRPr="00251A53">
              <w:rPr>
                <w:sz w:val="18"/>
                <w:szCs w:val="18"/>
              </w:rPr>
              <w:t xml:space="preserve"> </w:t>
            </w:r>
            <w:r w:rsidR="00901B3A" w:rsidRPr="00251A53">
              <w:rPr>
                <w:sz w:val="18"/>
                <w:szCs w:val="18"/>
              </w:rPr>
              <w:t xml:space="preserve">(4) </w:t>
            </w:r>
            <w:r w:rsidRPr="00251A53">
              <w:rPr>
                <w:bCs/>
                <w:sz w:val="18"/>
                <w:szCs w:val="18"/>
              </w:rPr>
              <w:t>Everyone, everywhere is counted, and accounted for, in the pursuit of sustainable development</w:t>
            </w:r>
          </w:p>
          <w:p w14:paraId="27263F2E" w14:textId="70786FE1" w:rsidR="004255D8" w:rsidRPr="00251A53" w:rsidRDefault="004255D8" w:rsidP="006555DD">
            <w:pPr>
              <w:spacing w:before="20" w:after="20"/>
              <w:rPr>
                <w:sz w:val="18"/>
                <w:szCs w:val="18"/>
              </w:rPr>
            </w:pPr>
            <w:r w:rsidRPr="00251A53">
              <w:rPr>
                <w:b/>
                <w:bCs/>
                <w:sz w:val="18"/>
                <w:szCs w:val="18"/>
              </w:rPr>
              <w:t xml:space="preserve">UNICEF </w:t>
            </w:r>
            <w:r w:rsidR="006555DD" w:rsidRPr="00251A53">
              <w:rPr>
                <w:b/>
                <w:bCs/>
                <w:sz w:val="18"/>
                <w:szCs w:val="18"/>
              </w:rPr>
              <w:t xml:space="preserve">Strategic Plan </w:t>
            </w:r>
            <w:r w:rsidR="00470849" w:rsidRPr="00251A53">
              <w:rPr>
                <w:b/>
                <w:bCs/>
                <w:sz w:val="18"/>
                <w:szCs w:val="18"/>
              </w:rPr>
              <w:t>outcomes</w:t>
            </w:r>
            <w:r w:rsidRPr="00251A53">
              <w:rPr>
                <w:b/>
                <w:bCs/>
                <w:sz w:val="18"/>
                <w:szCs w:val="18"/>
              </w:rPr>
              <w:t>:</w:t>
            </w:r>
            <w:r w:rsidRPr="00251A53">
              <w:rPr>
                <w:bCs/>
                <w:sz w:val="18"/>
                <w:szCs w:val="18"/>
              </w:rPr>
              <w:t xml:space="preserve"> </w:t>
            </w:r>
            <w:r w:rsidR="00901B3A" w:rsidRPr="00251A53">
              <w:rPr>
                <w:bCs/>
                <w:sz w:val="18"/>
                <w:szCs w:val="18"/>
              </w:rPr>
              <w:t xml:space="preserve">(3) </w:t>
            </w:r>
            <w:r w:rsidRPr="00251A53">
              <w:rPr>
                <w:bCs/>
                <w:sz w:val="18"/>
                <w:szCs w:val="18"/>
              </w:rPr>
              <w:t>Every child is protected from violence and exploitation</w:t>
            </w:r>
            <w:r w:rsidR="008E29E3" w:rsidRPr="00251A53">
              <w:rPr>
                <w:bCs/>
                <w:sz w:val="18"/>
                <w:szCs w:val="18"/>
              </w:rPr>
              <w:t>;</w:t>
            </w:r>
            <w:r w:rsidR="00470849" w:rsidRPr="00251A53">
              <w:rPr>
                <w:bCs/>
                <w:sz w:val="18"/>
                <w:szCs w:val="18"/>
              </w:rPr>
              <w:t xml:space="preserve"> </w:t>
            </w:r>
            <w:r w:rsidR="00901B3A" w:rsidRPr="00251A53">
              <w:rPr>
                <w:bCs/>
                <w:sz w:val="18"/>
                <w:szCs w:val="18"/>
              </w:rPr>
              <w:t xml:space="preserve">(5) </w:t>
            </w:r>
            <w:r w:rsidRPr="00251A53">
              <w:rPr>
                <w:bCs/>
                <w:sz w:val="18"/>
                <w:szCs w:val="18"/>
              </w:rPr>
              <w:t>Every child has an equitable chance in life</w:t>
            </w:r>
          </w:p>
        </w:tc>
      </w:tr>
      <w:tr w:rsidR="009819B8" w:rsidRPr="00251A53" w14:paraId="4695C968" w14:textId="77777777" w:rsidTr="007C25CB">
        <w:trPr>
          <w:trHeight w:val="20"/>
        </w:trPr>
        <w:tc>
          <w:tcPr>
            <w:tcW w:w="751" w:type="pct"/>
            <w:vMerge w:val="restart"/>
            <w:shd w:val="clear" w:color="auto" w:fill="DEEAF6" w:themeFill="accent1" w:themeFillTint="33"/>
            <w:tcMar>
              <w:top w:w="72" w:type="dxa"/>
              <w:left w:w="144" w:type="dxa"/>
              <w:bottom w:w="72" w:type="dxa"/>
              <w:right w:w="144" w:type="dxa"/>
            </w:tcMar>
            <w:vAlign w:val="center"/>
          </w:tcPr>
          <w:p w14:paraId="59B633C6" w14:textId="77777777" w:rsidR="008B37DC" w:rsidRPr="00251A53" w:rsidRDefault="008B37DC" w:rsidP="007612AB">
            <w:pPr>
              <w:spacing w:before="20" w:after="20"/>
              <w:jc w:val="center"/>
              <w:rPr>
                <w:sz w:val="18"/>
                <w:szCs w:val="18"/>
              </w:rPr>
            </w:pPr>
            <w:r w:rsidRPr="00251A53">
              <w:rPr>
                <w:b/>
                <w:bCs/>
                <w:sz w:val="18"/>
                <w:szCs w:val="18"/>
              </w:rPr>
              <w:lastRenderedPageBreak/>
              <w:t>UNDAF outcome</w:t>
            </w:r>
          </w:p>
        </w:tc>
        <w:tc>
          <w:tcPr>
            <w:tcW w:w="857" w:type="pct"/>
            <w:vMerge w:val="restart"/>
            <w:shd w:val="clear" w:color="auto" w:fill="DEEAF6" w:themeFill="accent1" w:themeFillTint="33"/>
            <w:vAlign w:val="center"/>
          </w:tcPr>
          <w:p w14:paraId="3DED14DD" w14:textId="77777777" w:rsidR="008B37DC" w:rsidRPr="00251A53" w:rsidRDefault="008B37DC" w:rsidP="007612AB">
            <w:pPr>
              <w:spacing w:before="20" w:after="20"/>
              <w:jc w:val="center"/>
              <w:rPr>
                <w:b/>
                <w:sz w:val="18"/>
                <w:szCs w:val="18"/>
              </w:rPr>
            </w:pPr>
            <w:r w:rsidRPr="00251A53">
              <w:rPr>
                <w:b/>
                <w:sz w:val="18"/>
                <w:szCs w:val="18"/>
              </w:rPr>
              <w:t>Source of data collection and responsibilities</w:t>
            </w:r>
          </w:p>
        </w:tc>
        <w:tc>
          <w:tcPr>
            <w:tcW w:w="1785" w:type="pct"/>
            <w:gridSpan w:val="3"/>
            <w:vMerge w:val="restart"/>
            <w:shd w:val="clear" w:color="auto" w:fill="DEEAF6" w:themeFill="accent1" w:themeFillTint="33"/>
            <w:tcMar>
              <w:top w:w="72" w:type="dxa"/>
              <w:left w:w="144" w:type="dxa"/>
              <w:bottom w:w="72" w:type="dxa"/>
              <w:right w:w="144" w:type="dxa"/>
            </w:tcMar>
            <w:vAlign w:val="center"/>
          </w:tcPr>
          <w:p w14:paraId="4B4630BC" w14:textId="77777777" w:rsidR="008B37DC" w:rsidRPr="00251A53" w:rsidRDefault="008B37DC" w:rsidP="007612AB">
            <w:pPr>
              <w:spacing w:before="20" w:after="20"/>
              <w:jc w:val="center"/>
              <w:rPr>
                <w:sz w:val="18"/>
                <w:szCs w:val="18"/>
              </w:rPr>
            </w:pPr>
            <w:r w:rsidRPr="00251A53">
              <w:rPr>
                <w:b/>
                <w:bCs/>
                <w:sz w:val="18"/>
                <w:szCs w:val="18"/>
              </w:rPr>
              <w:t>Indicative country programme outputs and indicators</w:t>
            </w:r>
            <w:r w:rsidRPr="00251A53">
              <w:rPr>
                <w:b/>
                <w:bCs/>
                <w:sz w:val="18"/>
                <w:szCs w:val="18"/>
              </w:rPr>
              <w:br/>
            </w:r>
            <w:r w:rsidRPr="00251A53">
              <w:rPr>
                <w:sz w:val="18"/>
                <w:szCs w:val="18"/>
              </w:rPr>
              <w:t>(</w:t>
            </w:r>
            <w:r w:rsidRPr="00251A53">
              <w:rPr>
                <w:bCs/>
                <w:sz w:val="18"/>
                <w:szCs w:val="18"/>
              </w:rPr>
              <w:t>Frequency is annual unless otherwise indicated)</w:t>
            </w:r>
          </w:p>
        </w:tc>
        <w:tc>
          <w:tcPr>
            <w:tcW w:w="549" w:type="pct"/>
            <w:vMerge w:val="restart"/>
            <w:shd w:val="clear" w:color="auto" w:fill="DEEAF6" w:themeFill="accent1" w:themeFillTint="33"/>
            <w:vAlign w:val="center"/>
          </w:tcPr>
          <w:p w14:paraId="5EC87CF4" w14:textId="77777777" w:rsidR="008B37DC" w:rsidRPr="00251A53" w:rsidRDefault="008B37DC" w:rsidP="007612AB">
            <w:pPr>
              <w:spacing w:before="20" w:after="20"/>
              <w:jc w:val="center"/>
              <w:rPr>
                <w:b/>
                <w:bCs/>
                <w:sz w:val="18"/>
                <w:szCs w:val="18"/>
              </w:rPr>
            </w:pPr>
            <w:r w:rsidRPr="00251A53">
              <w:rPr>
                <w:b/>
                <w:bCs/>
                <w:sz w:val="18"/>
                <w:szCs w:val="18"/>
              </w:rPr>
              <w:t>Major partners</w:t>
            </w:r>
          </w:p>
        </w:tc>
        <w:tc>
          <w:tcPr>
            <w:tcW w:w="1058" w:type="pct"/>
            <w:gridSpan w:val="3"/>
            <w:shd w:val="clear" w:color="auto" w:fill="DEEAF6" w:themeFill="accent1" w:themeFillTint="33"/>
            <w:tcMar>
              <w:top w:w="15" w:type="dxa"/>
              <w:left w:w="108" w:type="dxa"/>
              <w:bottom w:w="0" w:type="dxa"/>
              <w:right w:w="108" w:type="dxa"/>
            </w:tcMar>
            <w:vAlign w:val="center"/>
          </w:tcPr>
          <w:p w14:paraId="4C6E829E" w14:textId="77777777" w:rsidR="008B37DC" w:rsidRPr="00251A53" w:rsidRDefault="008B37DC" w:rsidP="007612AB">
            <w:pPr>
              <w:spacing w:before="20" w:after="20"/>
              <w:jc w:val="center"/>
              <w:rPr>
                <w:i/>
                <w:sz w:val="18"/>
                <w:szCs w:val="18"/>
              </w:rPr>
            </w:pPr>
            <w:r w:rsidRPr="00251A53">
              <w:rPr>
                <w:b/>
                <w:bCs/>
                <w:sz w:val="18"/>
                <w:szCs w:val="18"/>
              </w:rPr>
              <w:t>Indicative resources by outcome</w:t>
            </w:r>
            <w:r w:rsidR="00556432" w:rsidRPr="00251A53">
              <w:rPr>
                <w:b/>
                <w:bCs/>
                <w:sz w:val="18"/>
                <w:szCs w:val="18"/>
              </w:rPr>
              <w:t xml:space="preserve"> </w:t>
            </w:r>
            <w:r w:rsidR="00556432" w:rsidRPr="00251A53">
              <w:rPr>
                <w:bCs/>
                <w:i/>
                <w:sz w:val="18"/>
                <w:szCs w:val="18"/>
              </w:rPr>
              <w:t>(U</w:t>
            </w:r>
            <w:r w:rsidR="007A348E" w:rsidRPr="00251A53">
              <w:rPr>
                <w:bCs/>
                <w:i/>
                <w:sz w:val="18"/>
                <w:szCs w:val="18"/>
              </w:rPr>
              <w:t xml:space="preserve">nited </w:t>
            </w:r>
            <w:r w:rsidR="00556432" w:rsidRPr="00251A53">
              <w:rPr>
                <w:bCs/>
                <w:i/>
                <w:sz w:val="18"/>
                <w:szCs w:val="18"/>
              </w:rPr>
              <w:t>S</w:t>
            </w:r>
            <w:r w:rsidR="007A348E" w:rsidRPr="00251A53">
              <w:rPr>
                <w:bCs/>
                <w:i/>
                <w:sz w:val="18"/>
                <w:szCs w:val="18"/>
              </w:rPr>
              <w:t>tates</w:t>
            </w:r>
            <w:r w:rsidR="00556432" w:rsidRPr="00251A53">
              <w:rPr>
                <w:bCs/>
                <w:i/>
                <w:sz w:val="18"/>
                <w:szCs w:val="18"/>
              </w:rPr>
              <w:t xml:space="preserve"> </w:t>
            </w:r>
            <w:r w:rsidR="007A348E" w:rsidRPr="00251A53">
              <w:rPr>
                <w:bCs/>
                <w:i/>
                <w:sz w:val="18"/>
                <w:szCs w:val="18"/>
              </w:rPr>
              <w:t>d</w:t>
            </w:r>
            <w:r w:rsidR="00556432" w:rsidRPr="00251A53">
              <w:rPr>
                <w:bCs/>
                <w:i/>
                <w:sz w:val="18"/>
                <w:szCs w:val="18"/>
              </w:rPr>
              <w:t>ollars</w:t>
            </w:r>
            <w:r w:rsidRPr="00251A53">
              <w:rPr>
                <w:bCs/>
                <w:i/>
                <w:sz w:val="18"/>
                <w:szCs w:val="18"/>
              </w:rPr>
              <w:t>)</w:t>
            </w:r>
          </w:p>
        </w:tc>
      </w:tr>
      <w:tr w:rsidR="009819B8" w:rsidRPr="00251A53" w14:paraId="2ED42191" w14:textId="77777777" w:rsidTr="007C25CB">
        <w:trPr>
          <w:trHeight w:val="20"/>
        </w:trPr>
        <w:tc>
          <w:tcPr>
            <w:tcW w:w="751" w:type="pct"/>
            <w:vMerge/>
            <w:tcBorders>
              <w:bottom w:val="single" w:sz="4" w:space="0" w:color="auto"/>
            </w:tcBorders>
            <w:shd w:val="clear" w:color="auto" w:fill="DEEAF6" w:themeFill="accent1" w:themeFillTint="33"/>
            <w:tcMar>
              <w:top w:w="72" w:type="dxa"/>
              <w:left w:w="144" w:type="dxa"/>
              <w:bottom w:w="72" w:type="dxa"/>
              <w:right w:w="144" w:type="dxa"/>
            </w:tcMar>
            <w:vAlign w:val="center"/>
          </w:tcPr>
          <w:p w14:paraId="7B5C64BB" w14:textId="77777777" w:rsidR="008B37DC" w:rsidRPr="00251A53" w:rsidRDefault="008B37DC" w:rsidP="007612AB">
            <w:pPr>
              <w:spacing w:before="20" w:after="20"/>
              <w:jc w:val="center"/>
              <w:rPr>
                <w:b/>
                <w:bCs/>
                <w:sz w:val="18"/>
                <w:szCs w:val="18"/>
              </w:rPr>
            </w:pPr>
          </w:p>
        </w:tc>
        <w:tc>
          <w:tcPr>
            <w:tcW w:w="857" w:type="pct"/>
            <w:vMerge/>
            <w:tcBorders>
              <w:bottom w:val="single" w:sz="4" w:space="0" w:color="auto"/>
            </w:tcBorders>
            <w:shd w:val="clear" w:color="auto" w:fill="DEEAF6" w:themeFill="accent1" w:themeFillTint="33"/>
            <w:vAlign w:val="center"/>
          </w:tcPr>
          <w:p w14:paraId="229164DA" w14:textId="77777777" w:rsidR="008B37DC" w:rsidRPr="00251A53" w:rsidRDefault="008B37DC" w:rsidP="007612AB">
            <w:pPr>
              <w:spacing w:before="20" w:after="20"/>
              <w:rPr>
                <w:b/>
                <w:sz w:val="18"/>
                <w:szCs w:val="18"/>
              </w:rPr>
            </w:pPr>
          </w:p>
        </w:tc>
        <w:tc>
          <w:tcPr>
            <w:tcW w:w="1785" w:type="pct"/>
            <w:gridSpan w:val="3"/>
            <w:vMerge/>
            <w:tcBorders>
              <w:bottom w:val="single" w:sz="4" w:space="0" w:color="auto"/>
            </w:tcBorders>
            <w:shd w:val="clear" w:color="auto" w:fill="DEEAF6" w:themeFill="accent1" w:themeFillTint="33"/>
            <w:tcMar>
              <w:top w:w="72" w:type="dxa"/>
              <w:left w:w="144" w:type="dxa"/>
              <w:bottom w:w="72" w:type="dxa"/>
              <w:right w:w="144" w:type="dxa"/>
            </w:tcMar>
            <w:vAlign w:val="center"/>
          </w:tcPr>
          <w:p w14:paraId="3ED6D00B" w14:textId="77777777" w:rsidR="008B37DC" w:rsidRPr="00251A53" w:rsidRDefault="008B37DC" w:rsidP="007612AB">
            <w:pPr>
              <w:spacing w:before="20" w:after="20"/>
              <w:jc w:val="center"/>
              <w:rPr>
                <w:b/>
                <w:bCs/>
                <w:sz w:val="18"/>
                <w:szCs w:val="18"/>
              </w:rPr>
            </w:pPr>
          </w:p>
        </w:tc>
        <w:tc>
          <w:tcPr>
            <w:tcW w:w="549" w:type="pct"/>
            <w:vMerge/>
            <w:tcBorders>
              <w:bottom w:val="single" w:sz="4" w:space="0" w:color="auto"/>
            </w:tcBorders>
            <w:shd w:val="clear" w:color="auto" w:fill="DEEAF6" w:themeFill="accent1" w:themeFillTint="33"/>
            <w:vAlign w:val="center"/>
          </w:tcPr>
          <w:p w14:paraId="51F80F76" w14:textId="77777777" w:rsidR="008B37DC" w:rsidRPr="00251A53" w:rsidRDefault="008B37DC" w:rsidP="007612AB">
            <w:pPr>
              <w:spacing w:before="20" w:after="20"/>
              <w:jc w:val="center"/>
              <w:rPr>
                <w:b/>
                <w:bCs/>
                <w:sz w:val="18"/>
                <w:szCs w:val="18"/>
              </w:rPr>
            </w:pPr>
          </w:p>
        </w:tc>
        <w:tc>
          <w:tcPr>
            <w:tcW w:w="344" w:type="pct"/>
            <w:tcBorders>
              <w:bottom w:val="single" w:sz="4" w:space="0" w:color="auto"/>
            </w:tcBorders>
            <w:shd w:val="clear" w:color="auto" w:fill="DEEAF6" w:themeFill="accent1" w:themeFillTint="33"/>
            <w:tcMar>
              <w:top w:w="15" w:type="dxa"/>
              <w:left w:w="108" w:type="dxa"/>
              <w:bottom w:w="0" w:type="dxa"/>
              <w:right w:w="108" w:type="dxa"/>
            </w:tcMar>
            <w:vAlign w:val="center"/>
          </w:tcPr>
          <w:p w14:paraId="3475F710" w14:textId="77777777" w:rsidR="008B37DC" w:rsidRPr="00251A53" w:rsidRDefault="008B37DC" w:rsidP="007612AB">
            <w:pPr>
              <w:spacing w:before="20" w:after="20"/>
              <w:jc w:val="center"/>
              <w:rPr>
                <w:b/>
                <w:sz w:val="18"/>
                <w:szCs w:val="18"/>
              </w:rPr>
            </w:pPr>
            <w:r w:rsidRPr="00251A53">
              <w:rPr>
                <w:b/>
                <w:bCs/>
                <w:sz w:val="18"/>
                <w:szCs w:val="18"/>
              </w:rPr>
              <w:t>Regular</w:t>
            </w:r>
          </w:p>
        </w:tc>
        <w:tc>
          <w:tcPr>
            <w:tcW w:w="343" w:type="pct"/>
            <w:tcBorders>
              <w:bottom w:val="single" w:sz="4" w:space="0" w:color="auto"/>
            </w:tcBorders>
            <w:shd w:val="clear" w:color="auto" w:fill="DEEAF6" w:themeFill="accent1" w:themeFillTint="33"/>
            <w:vAlign w:val="center"/>
          </w:tcPr>
          <w:p w14:paraId="2C93E872" w14:textId="77777777" w:rsidR="008B37DC" w:rsidRPr="00251A53" w:rsidRDefault="008B37DC" w:rsidP="007612AB">
            <w:pPr>
              <w:spacing w:before="20" w:after="20"/>
              <w:jc w:val="center"/>
              <w:rPr>
                <w:b/>
                <w:sz w:val="18"/>
                <w:szCs w:val="18"/>
              </w:rPr>
            </w:pPr>
            <w:r w:rsidRPr="00251A53">
              <w:rPr>
                <w:b/>
                <w:bCs/>
                <w:sz w:val="18"/>
                <w:szCs w:val="18"/>
              </w:rPr>
              <w:t>Other</w:t>
            </w:r>
          </w:p>
        </w:tc>
        <w:tc>
          <w:tcPr>
            <w:tcW w:w="371" w:type="pct"/>
            <w:tcBorders>
              <w:bottom w:val="single" w:sz="4" w:space="0" w:color="auto"/>
            </w:tcBorders>
            <w:shd w:val="clear" w:color="auto" w:fill="DEEAF6" w:themeFill="accent1" w:themeFillTint="33"/>
            <w:vAlign w:val="center"/>
          </w:tcPr>
          <w:p w14:paraId="414929C4" w14:textId="77777777" w:rsidR="008B37DC" w:rsidRPr="00251A53" w:rsidRDefault="008B37DC" w:rsidP="007612AB">
            <w:pPr>
              <w:spacing w:before="20" w:after="20"/>
              <w:jc w:val="center"/>
              <w:rPr>
                <w:b/>
                <w:sz w:val="18"/>
                <w:szCs w:val="18"/>
              </w:rPr>
            </w:pPr>
            <w:r w:rsidRPr="00251A53">
              <w:rPr>
                <w:b/>
                <w:bCs/>
                <w:sz w:val="18"/>
                <w:szCs w:val="18"/>
              </w:rPr>
              <w:t>Total</w:t>
            </w:r>
          </w:p>
        </w:tc>
      </w:tr>
      <w:tr w:rsidR="00F527AE" w:rsidRPr="00251A53" w14:paraId="78AB5EEF" w14:textId="77777777" w:rsidTr="007C25CB">
        <w:trPr>
          <w:trHeight w:val="20"/>
        </w:trPr>
        <w:tc>
          <w:tcPr>
            <w:tcW w:w="751" w:type="pct"/>
            <w:tcBorders>
              <w:bottom w:val="nil"/>
            </w:tcBorders>
            <w:tcMar>
              <w:top w:w="72" w:type="dxa"/>
              <w:left w:w="144" w:type="dxa"/>
              <w:bottom w:w="72" w:type="dxa"/>
              <w:right w:w="144" w:type="dxa"/>
            </w:tcMar>
          </w:tcPr>
          <w:p w14:paraId="1B187798" w14:textId="77777777" w:rsidR="00F527AE" w:rsidRPr="00251A53" w:rsidRDefault="00F527AE" w:rsidP="00C40990">
            <w:pPr>
              <w:spacing w:before="20" w:after="20"/>
              <w:rPr>
                <w:iCs/>
                <w:sz w:val="18"/>
                <w:szCs w:val="18"/>
              </w:rPr>
            </w:pPr>
            <w:r w:rsidRPr="00251A53">
              <w:rPr>
                <w:iCs/>
                <w:sz w:val="18"/>
                <w:szCs w:val="18"/>
                <w:u w:val="single"/>
              </w:rPr>
              <w:t>Indicator 4.2.2</w:t>
            </w:r>
            <w:r w:rsidRPr="00251A53">
              <w:rPr>
                <w:iCs/>
                <w:sz w:val="18"/>
                <w:szCs w:val="18"/>
              </w:rPr>
              <w:t>: Proportion of women and girls who are victims of gender-based violence (by age/area of residence)</w:t>
            </w:r>
            <w:r w:rsidR="00C40990" w:rsidRPr="00251A53">
              <w:rPr>
                <w:iCs/>
                <w:sz w:val="18"/>
                <w:szCs w:val="18"/>
              </w:rPr>
              <w:br/>
            </w:r>
            <w:r w:rsidRPr="00251A53">
              <w:rPr>
                <w:i/>
                <w:iCs/>
                <w:sz w:val="18"/>
                <w:szCs w:val="18"/>
              </w:rPr>
              <w:t>Baseline</w:t>
            </w:r>
            <w:r w:rsidRPr="00251A53">
              <w:rPr>
                <w:iCs/>
                <w:sz w:val="18"/>
                <w:szCs w:val="18"/>
              </w:rPr>
              <w:t xml:space="preserve">: 23% </w:t>
            </w:r>
            <w:r w:rsidRPr="00251A53">
              <w:rPr>
                <w:iCs/>
                <w:sz w:val="18"/>
                <w:szCs w:val="18"/>
              </w:rPr>
              <w:br/>
              <w:t>(15-19: 14.9%, 20-29: 23.8%, 30-39: 25.8%, 40-49: 14.8%);</w:t>
            </w:r>
            <w:r w:rsidRPr="00251A53">
              <w:rPr>
                <w:iCs/>
                <w:sz w:val="18"/>
                <w:szCs w:val="18"/>
              </w:rPr>
              <w:br/>
            </w:r>
            <w:r w:rsidRPr="00251A53">
              <w:rPr>
                <w:i/>
                <w:iCs/>
                <w:sz w:val="18"/>
                <w:szCs w:val="18"/>
              </w:rPr>
              <w:t>Target</w:t>
            </w:r>
            <w:r w:rsidRPr="00251A53">
              <w:rPr>
                <w:iCs/>
                <w:sz w:val="18"/>
                <w:szCs w:val="18"/>
              </w:rPr>
              <w:t>: 7%</w:t>
            </w:r>
          </w:p>
        </w:tc>
        <w:tc>
          <w:tcPr>
            <w:tcW w:w="857" w:type="pct"/>
            <w:tcBorders>
              <w:bottom w:val="nil"/>
            </w:tcBorders>
          </w:tcPr>
          <w:p w14:paraId="14B0B360" w14:textId="77777777" w:rsidR="00F527AE" w:rsidRPr="00251A53" w:rsidRDefault="00F527AE" w:rsidP="007612AB">
            <w:pPr>
              <w:spacing w:before="20" w:after="20"/>
              <w:rPr>
                <w:bCs/>
                <w:sz w:val="18"/>
                <w:szCs w:val="18"/>
              </w:rPr>
            </w:pPr>
            <w:r w:rsidRPr="00251A53">
              <w:rPr>
                <w:bCs/>
                <w:i/>
                <w:sz w:val="18"/>
                <w:szCs w:val="18"/>
              </w:rPr>
              <w:t>Source</w:t>
            </w:r>
            <w:r w:rsidRPr="00251A53">
              <w:rPr>
                <w:bCs/>
                <w:sz w:val="18"/>
                <w:szCs w:val="18"/>
              </w:rPr>
              <w:t>: Demographic and Reproductive Health Indicators reports</w:t>
            </w:r>
          </w:p>
          <w:p w14:paraId="59DE2358" w14:textId="77777777" w:rsidR="00F527AE" w:rsidRPr="00251A53" w:rsidRDefault="00F527AE" w:rsidP="007612AB">
            <w:pPr>
              <w:spacing w:before="20" w:after="20"/>
              <w:rPr>
                <w:iCs/>
                <w:sz w:val="18"/>
                <w:szCs w:val="18"/>
              </w:rPr>
            </w:pPr>
            <w:r w:rsidRPr="00251A53">
              <w:rPr>
                <w:bCs/>
                <w:i/>
                <w:sz w:val="18"/>
                <w:szCs w:val="18"/>
              </w:rPr>
              <w:t>Responsibility</w:t>
            </w:r>
            <w:r w:rsidRPr="00251A53">
              <w:rPr>
                <w:bCs/>
                <w:sz w:val="18"/>
                <w:szCs w:val="18"/>
              </w:rPr>
              <w:t>: IDSR</w:t>
            </w:r>
          </w:p>
        </w:tc>
        <w:tc>
          <w:tcPr>
            <w:tcW w:w="1785" w:type="pct"/>
            <w:gridSpan w:val="3"/>
            <w:vMerge w:val="restart"/>
            <w:tcMar>
              <w:top w:w="72" w:type="dxa"/>
              <w:left w:w="144" w:type="dxa"/>
              <w:bottom w:w="72" w:type="dxa"/>
              <w:right w:w="144" w:type="dxa"/>
            </w:tcMar>
          </w:tcPr>
          <w:p w14:paraId="39FECD06" w14:textId="77777777" w:rsidR="00F527AE" w:rsidRPr="00251A53" w:rsidRDefault="00F527AE" w:rsidP="007612AB">
            <w:pPr>
              <w:spacing w:before="20" w:after="20"/>
              <w:rPr>
                <w:i/>
                <w:iCs/>
                <w:sz w:val="18"/>
                <w:szCs w:val="18"/>
              </w:rPr>
            </w:pPr>
            <w:r w:rsidRPr="00251A53">
              <w:rPr>
                <w:iCs/>
                <w:sz w:val="18"/>
                <w:szCs w:val="18"/>
                <w:u w:val="single"/>
              </w:rPr>
              <w:t>Output 4.4</w:t>
            </w:r>
            <w:r w:rsidRPr="00251A53">
              <w:rPr>
                <w:i/>
                <w:iCs/>
                <w:sz w:val="18"/>
                <w:szCs w:val="18"/>
              </w:rPr>
              <w:t>:</w:t>
            </w:r>
            <w:r w:rsidRPr="00251A53">
              <w:rPr>
                <w:iCs/>
                <w:sz w:val="18"/>
                <w:szCs w:val="18"/>
              </w:rPr>
              <w:t xml:space="preserve"> Institutions at central and local levels have enhanced capacity to effectively implement national instruments for the promotion of gender equality and combating gender-based violence</w:t>
            </w:r>
          </w:p>
          <w:p w14:paraId="7F0C21CA" w14:textId="77777777" w:rsidR="00F527AE" w:rsidRPr="00251A53" w:rsidRDefault="00F527AE" w:rsidP="007612AB">
            <w:pPr>
              <w:spacing w:before="20" w:after="20"/>
              <w:rPr>
                <w:iCs/>
                <w:sz w:val="18"/>
                <w:szCs w:val="18"/>
              </w:rPr>
            </w:pPr>
            <w:r w:rsidRPr="00251A53">
              <w:rPr>
                <w:iCs/>
                <w:sz w:val="18"/>
                <w:szCs w:val="18"/>
              </w:rPr>
              <w:t>4.4.1: Number of municipalities that undertake gender-responsive planning and monitoring of service delivery</w:t>
            </w:r>
          </w:p>
          <w:p w14:paraId="0F792E95" w14:textId="77777777" w:rsidR="00F527AE" w:rsidRPr="00251A53" w:rsidRDefault="00F527AE" w:rsidP="007612AB">
            <w:pPr>
              <w:spacing w:before="20" w:after="20"/>
              <w:rPr>
                <w:i/>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8</w:t>
            </w:r>
          </w:p>
          <w:p w14:paraId="36FCC8B2" w14:textId="77777777" w:rsidR="00F527AE" w:rsidRPr="00251A53" w:rsidRDefault="00F527AE" w:rsidP="007612AB">
            <w:pPr>
              <w:spacing w:before="20" w:after="20"/>
              <w:rPr>
                <w:i/>
                <w:iCs/>
                <w:sz w:val="18"/>
                <w:szCs w:val="18"/>
              </w:rPr>
            </w:pPr>
            <w:r w:rsidRPr="00251A53">
              <w:rPr>
                <w:i/>
                <w:iCs/>
                <w:sz w:val="18"/>
                <w:szCs w:val="18"/>
              </w:rPr>
              <w:t xml:space="preserve">Source: </w:t>
            </w:r>
            <w:r w:rsidRPr="00251A53">
              <w:rPr>
                <w:iCs/>
                <w:sz w:val="18"/>
                <w:szCs w:val="18"/>
              </w:rPr>
              <w:t>Municipal planning departments</w:t>
            </w:r>
          </w:p>
          <w:p w14:paraId="1AAC21D8" w14:textId="77777777" w:rsidR="00F527AE" w:rsidRPr="00251A53" w:rsidRDefault="00EC096F" w:rsidP="007612AB">
            <w:pPr>
              <w:spacing w:before="20" w:after="20"/>
              <w:rPr>
                <w:i/>
                <w:iCs/>
                <w:sz w:val="18"/>
                <w:szCs w:val="18"/>
              </w:rPr>
            </w:pPr>
            <w:r w:rsidRPr="00251A53">
              <w:rPr>
                <w:i/>
                <w:iCs/>
                <w:sz w:val="18"/>
                <w:szCs w:val="18"/>
              </w:rPr>
              <w:t>Responsible</w:t>
            </w:r>
            <w:r w:rsidR="00F527AE" w:rsidRPr="00251A53">
              <w:rPr>
                <w:i/>
                <w:iCs/>
                <w:sz w:val="18"/>
                <w:szCs w:val="18"/>
              </w:rPr>
              <w:t xml:space="preserve">: </w:t>
            </w:r>
            <w:r w:rsidR="00F527AE" w:rsidRPr="00251A53">
              <w:rPr>
                <w:iCs/>
                <w:sz w:val="18"/>
                <w:szCs w:val="18"/>
              </w:rPr>
              <w:t>UNDP</w:t>
            </w:r>
          </w:p>
          <w:p w14:paraId="589B1264" w14:textId="77777777" w:rsidR="00F527AE" w:rsidRPr="00251A53" w:rsidRDefault="00F527AE" w:rsidP="007612AB">
            <w:pPr>
              <w:spacing w:before="20" w:after="20"/>
              <w:rPr>
                <w:iCs/>
                <w:sz w:val="18"/>
                <w:szCs w:val="18"/>
              </w:rPr>
            </w:pPr>
            <w:r w:rsidRPr="00251A53">
              <w:rPr>
                <w:iCs/>
                <w:sz w:val="18"/>
                <w:szCs w:val="18"/>
              </w:rPr>
              <w:t xml:space="preserve">4.4.2: Percentage of health and education professionals and police with competencies on GBV prevention and response </w:t>
            </w:r>
          </w:p>
          <w:p w14:paraId="501D65A3" w14:textId="77777777" w:rsidR="00F527AE" w:rsidRPr="00251A53" w:rsidRDefault="00F527AE" w:rsidP="007612AB">
            <w:pPr>
              <w:spacing w:before="20" w:after="20"/>
              <w:rPr>
                <w:iCs/>
                <w:sz w:val="18"/>
                <w:szCs w:val="18"/>
              </w:rPr>
            </w:pPr>
            <w:r w:rsidRPr="00251A53">
              <w:rPr>
                <w:i/>
                <w:iCs/>
                <w:sz w:val="18"/>
                <w:szCs w:val="18"/>
              </w:rPr>
              <w:t xml:space="preserve">Baseline: </w:t>
            </w:r>
            <w:r w:rsidRPr="00251A53">
              <w:rPr>
                <w:iCs/>
                <w:sz w:val="18"/>
                <w:szCs w:val="18"/>
              </w:rPr>
              <w:t xml:space="preserve">Health - 11.6%; Education - 5.1%, Police - 22.5%; </w:t>
            </w:r>
          </w:p>
          <w:p w14:paraId="12D0F9DB" w14:textId="77777777" w:rsidR="00F527AE" w:rsidRPr="00251A53" w:rsidRDefault="00F527AE" w:rsidP="007612AB">
            <w:pPr>
              <w:spacing w:before="20" w:after="20"/>
              <w:rPr>
                <w:i/>
                <w:iCs/>
                <w:sz w:val="18"/>
                <w:szCs w:val="18"/>
              </w:rPr>
            </w:pPr>
            <w:r w:rsidRPr="00251A53">
              <w:rPr>
                <w:i/>
                <w:iCs/>
                <w:sz w:val="18"/>
                <w:szCs w:val="18"/>
              </w:rPr>
              <w:t xml:space="preserve">Target: </w:t>
            </w:r>
            <w:r w:rsidRPr="00251A53">
              <w:rPr>
                <w:iCs/>
                <w:sz w:val="18"/>
                <w:szCs w:val="18"/>
              </w:rPr>
              <w:t>Health - 50%, Education - 30%, Police - 70%</w:t>
            </w:r>
          </w:p>
          <w:p w14:paraId="760DFFA7" w14:textId="77777777" w:rsidR="00F527AE" w:rsidRPr="00251A53" w:rsidRDefault="00F527AE" w:rsidP="007612AB">
            <w:pPr>
              <w:spacing w:before="20" w:after="20"/>
              <w:rPr>
                <w:i/>
                <w:iCs/>
                <w:sz w:val="18"/>
                <w:szCs w:val="18"/>
              </w:rPr>
            </w:pPr>
            <w:r w:rsidRPr="00251A53">
              <w:rPr>
                <w:i/>
                <w:iCs/>
                <w:sz w:val="18"/>
                <w:szCs w:val="18"/>
              </w:rPr>
              <w:t xml:space="preserve">Source: </w:t>
            </w:r>
            <w:r w:rsidRPr="00251A53">
              <w:rPr>
                <w:iCs/>
                <w:sz w:val="18"/>
                <w:szCs w:val="18"/>
              </w:rPr>
              <w:t>MHSS, ME and National Programme</w:t>
            </w:r>
          </w:p>
          <w:p w14:paraId="1215933F" w14:textId="77777777" w:rsidR="00F527AE" w:rsidRPr="00251A53" w:rsidRDefault="00EC096F" w:rsidP="007612AB">
            <w:pPr>
              <w:spacing w:before="20" w:after="20"/>
              <w:rPr>
                <w:i/>
                <w:iCs/>
                <w:sz w:val="18"/>
                <w:szCs w:val="18"/>
              </w:rPr>
            </w:pPr>
            <w:r w:rsidRPr="00251A53">
              <w:rPr>
                <w:i/>
                <w:iCs/>
                <w:sz w:val="18"/>
                <w:szCs w:val="18"/>
              </w:rPr>
              <w:t>Responsible</w:t>
            </w:r>
            <w:r w:rsidR="00F527AE" w:rsidRPr="00251A53">
              <w:rPr>
                <w:i/>
                <w:iCs/>
                <w:sz w:val="18"/>
                <w:szCs w:val="18"/>
              </w:rPr>
              <w:t xml:space="preserve">: </w:t>
            </w:r>
            <w:r w:rsidR="00F527AE" w:rsidRPr="00251A53">
              <w:rPr>
                <w:iCs/>
                <w:sz w:val="18"/>
                <w:szCs w:val="18"/>
              </w:rPr>
              <w:t>UNFPA</w:t>
            </w:r>
          </w:p>
          <w:p w14:paraId="60BE88D0" w14:textId="77777777" w:rsidR="00F527AE" w:rsidRPr="00251A53" w:rsidRDefault="00F527AE" w:rsidP="007612AB">
            <w:pPr>
              <w:spacing w:before="20" w:after="20"/>
              <w:rPr>
                <w:iCs/>
                <w:sz w:val="18"/>
                <w:szCs w:val="18"/>
              </w:rPr>
            </w:pPr>
            <w:r w:rsidRPr="00251A53">
              <w:rPr>
                <w:iCs/>
                <w:sz w:val="18"/>
                <w:szCs w:val="18"/>
              </w:rPr>
              <w:t>4.4.3: Number of community-based organizations capacitated with training and tools in C4D for behavioural change on gender stereotyping and discrimination affecting children and adolescents</w:t>
            </w:r>
          </w:p>
          <w:p w14:paraId="089384DC" w14:textId="77777777" w:rsidR="00F527AE" w:rsidRPr="00251A53" w:rsidRDefault="00F527AE" w:rsidP="007612AB">
            <w:pPr>
              <w:spacing w:before="20" w:after="20"/>
              <w:rPr>
                <w:i/>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13</w:t>
            </w:r>
            <w:r w:rsidRPr="00251A53">
              <w:rPr>
                <w:i/>
                <w:iCs/>
                <w:sz w:val="18"/>
                <w:szCs w:val="18"/>
              </w:rPr>
              <w:t xml:space="preserve"> </w:t>
            </w:r>
          </w:p>
          <w:p w14:paraId="1E5C919D" w14:textId="77777777" w:rsidR="00F527AE" w:rsidRPr="00251A53" w:rsidRDefault="00F527AE" w:rsidP="007612AB">
            <w:pPr>
              <w:spacing w:before="20" w:after="20"/>
              <w:rPr>
                <w:i/>
                <w:iCs/>
                <w:sz w:val="18"/>
                <w:szCs w:val="18"/>
              </w:rPr>
            </w:pPr>
            <w:r w:rsidRPr="00251A53">
              <w:rPr>
                <w:i/>
                <w:iCs/>
                <w:sz w:val="18"/>
                <w:szCs w:val="18"/>
              </w:rPr>
              <w:t xml:space="preserve">Source: </w:t>
            </w:r>
            <w:r w:rsidRPr="00251A53">
              <w:rPr>
                <w:iCs/>
                <w:sz w:val="18"/>
                <w:szCs w:val="18"/>
              </w:rPr>
              <w:t>Cabo</w:t>
            </w:r>
            <w:r w:rsidR="00C40990" w:rsidRPr="00251A53">
              <w:rPr>
                <w:iCs/>
                <w:sz w:val="18"/>
                <w:szCs w:val="18"/>
              </w:rPr>
              <w:t xml:space="preserve"> </w:t>
            </w:r>
            <w:r w:rsidRPr="00251A53">
              <w:rPr>
                <w:iCs/>
                <w:sz w:val="18"/>
                <w:szCs w:val="18"/>
              </w:rPr>
              <w:t>Verdean Institute for Gender Equality and Equity reports</w:t>
            </w:r>
          </w:p>
          <w:p w14:paraId="604AF585" w14:textId="77777777" w:rsidR="00F527AE" w:rsidRPr="00251A53" w:rsidRDefault="00EC096F" w:rsidP="007612AB">
            <w:pPr>
              <w:spacing w:before="20" w:after="20"/>
              <w:rPr>
                <w:i/>
                <w:iCs/>
                <w:sz w:val="18"/>
                <w:szCs w:val="18"/>
              </w:rPr>
            </w:pPr>
            <w:r w:rsidRPr="00251A53">
              <w:rPr>
                <w:i/>
                <w:iCs/>
                <w:sz w:val="18"/>
                <w:szCs w:val="18"/>
              </w:rPr>
              <w:t>Responsible</w:t>
            </w:r>
            <w:r w:rsidR="00F527AE" w:rsidRPr="00251A53">
              <w:rPr>
                <w:i/>
                <w:iCs/>
                <w:sz w:val="18"/>
                <w:szCs w:val="18"/>
              </w:rPr>
              <w:t xml:space="preserve">: </w:t>
            </w:r>
            <w:r w:rsidR="00F527AE" w:rsidRPr="00251A53">
              <w:rPr>
                <w:iCs/>
                <w:sz w:val="18"/>
                <w:szCs w:val="18"/>
              </w:rPr>
              <w:t>UNICEF</w:t>
            </w:r>
          </w:p>
        </w:tc>
        <w:tc>
          <w:tcPr>
            <w:tcW w:w="549" w:type="pct"/>
            <w:vMerge w:val="restart"/>
          </w:tcPr>
          <w:p w14:paraId="36B9E614" w14:textId="77777777" w:rsidR="00F527AE" w:rsidRPr="00251A53" w:rsidRDefault="00F527AE" w:rsidP="007612AB">
            <w:pPr>
              <w:spacing w:before="20" w:after="20"/>
              <w:ind w:left="41"/>
              <w:rPr>
                <w:iCs/>
                <w:sz w:val="18"/>
                <w:szCs w:val="18"/>
              </w:rPr>
            </w:pPr>
          </w:p>
        </w:tc>
        <w:tc>
          <w:tcPr>
            <w:tcW w:w="344" w:type="pct"/>
            <w:vMerge w:val="restart"/>
            <w:tcBorders>
              <w:bottom w:val="nil"/>
            </w:tcBorders>
            <w:tcMar>
              <w:top w:w="15" w:type="dxa"/>
              <w:left w:w="108" w:type="dxa"/>
              <w:bottom w:w="0" w:type="dxa"/>
              <w:right w:w="108" w:type="dxa"/>
            </w:tcMar>
          </w:tcPr>
          <w:p w14:paraId="14BC6349" w14:textId="77777777" w:rsidR="00F527AE" w:rsidRPr="00251A53" w:rsidRDefault="00F527AE" w:rsidP="00C950ED">
            <w:pPr>
              <w:spacing w:before="20" w:after="120"/>
              <w:ind w:left="-43" w:right="-101"/>
              <w:jc w:val="center"/>
              <w:rPr>
                <w:sz w:val="18"/>
                <w:szCs w:val="18"/>
              </w:rPr>
            </w:pPr>
            <w:r w:rsidRPr="00251A53">
              <w:rPr>
                <w:sz w:val="18"/>
                <w:szCs w:val="18"/>
              </w:rPr>
              <w:t xml:space="preserve">UNDP: </w:t>
            </w:r>
            <w:r w:rsidRPr="00251A53">
              <w:rPr>
                <w:sz w:val="18"/>
                <w:szCs w:val="18"/>
              </w:rPr>
              <w:br/>
              <w:t>450,000</w:t>
            </w:r>
          </w:p>
          <w:p w14:paraId="1A39AF14" w14:textId="77777777" w:rsidR="00F527AE" w:rsidRPr="00251A53" w:rsidRDefault="00F527AE" w:rsidP="00C950ED">
            <w:pPr>
              <w:spacing w:before="20" w:after="120"/>
              <w:ind w:left="-43" w:right="-101"/>
              <w:jc w:val="center"/>
              <w:rPr>
                <w:sz w:val="18"/>
                <w:szCs w:val="18"/>
              </w:rPr>
            </w:pPr>
            <w:r w:rsidRPr="00251A53">
              <w:rPr>
                <w:sz w:val="18"/>
                <w:szCs w:val="18"/>
              </w:rPr>
              <w:t xml:space="preserve">UNFPA: </w:t>
            </w:r>
            <w:r w:rsidRPr="00251A53">
              <w:rPr>
                <w:sz w:val="18"/>
                <w:szCs w:val="18"/>
              </w:rPr>
              <w:br/>
              <w:t>435,000</w:t>
            </w:r>
          </w:p>
          <w:p w14:paraId="31FE57A7" w14:textId="77777777" w:rsidR="00F527AE" w:rsidRPr="00251A53" w:rsidRDefault="00F527AE" w:rsidP="00C950ED">
            <w:pPr>
              <w:spacing w:before="20" w:after="120"/>
              <w:ind w:left="-43" w:right="-101"/>
              <w:jc w:val="center"/>
              <w:rPr>
                <w:sz w:val="18"/>
                <w:szCs w:val="18"/>
              </w:rPr>
            </w:pPr>
            <w:r w:rsidRPr="00251A53">
              <w:rPr>
                <w:sz w:val="18"/>
                <w:szCs w:val="18"/>
              </w:rPr>
              <w:t xml:space="preserve">UNICEF: </w:t>
            </w:r>
            <w:r w:rsidRPr="00251A53">
              <w:rPr>
                <w:sz w:val="18"/>
                <w:szCs w:val="18"/>
              </w:rPr>
              <w:br/>
              <w:t>300,000</w:t>
            </w:r>
          </w:p>
        </w:tc>
        <w:tc>
          <w:tcPr>
            <w:tcW w:w="343" w:type="pct"/>
            <w:vMerge w:val="restart"/>
            <w:tcBorders>
              <w:bottom w:val="nil"/>
            </w:tcBorders>
          </w:tcPr>
          <w:p w14:paraId="05755CCA" w14:textId="77777777" w:rsidR="00F527AE" w:rsidRPr="00251A53" w:rsidRDefault="00F527AE" w:rsidP="00C950ED">
            <w:pPr>
              <w:spacing w:before="20" w:after="120"/>
              <w:ind w:left="-43" w:right="-101"/>
              <w:jc w:val="center"/>
              <w:rPr>
                <w:sz w:val="18"/>
                <w:szCs w:val="18"/>
              </w:rPr>
            </w:pPr>
            <w:r w:rsidRPr="00251A53">
              <w:rPr>
                <w:sz w:val="18"/>
                <w:szCs w:val="18"/>
              </w:rPr>
              <w:t xml:space="preserve">UNDP: </w:t>
            </w:r>
            <w:r w:rsidRPr="00251A53">
              <w:rPr>
                <w:sz w:val="18"/>
                <w:szCs w:val="18"/>
              </w:rPr>
              <w:br/>
              <w:t>2,500,000</w:t>
            </w:r>
          </w:p>
          <w:p w14:paraId="027570ED" w14:textId="77777777" w:rsidR="00F527AE" w:rsidRPr="00251A53" w:rsidRDefault="00F527AE" w:rsidP="00C950ED">
            <w:pPr>
              <w:spacing w:before="20" w:after="120"/>
              <w:ind w:left="-43" w:right="-101"/>
              <w:jc w:val="center"/>
              <w:rPr>
                <w:sz w:val="18"/>
                <w:szCs w:val="18"/>
              </w:rPr>
            </w:pPr>
            <w:r w:rsidRPr="00251A53">
              <w:rPr>
                <w:sz w:val="18"/>
                <w:szCs w:val="18"/>
              </w:rPr>
              <w:t xml:space="preserve">UNFPA: </w:t>
            </w:r>
            <w:r w:rsidRPr="00251A53">
              <w:rPr>
                <w:sz w:val="18"/>
                <w:szCs w:val="18"/>
              </w:rPr>
              <w:br/>
              <w:t>700,000</w:t>
            </w:r>
          </w:p>
          <w:p w14:paraId="6E79E8C5" w14:textId="77777777" w:rsidR="00F527AE" w:rsidRPr="00251A53" w:rsidRDefault="00F527AE" w:rsidP="00C950ED">
            <w:pPr>
              <w:spacing w:before="20" w:after="120"/>
              <w:ind w:left="-43" w:right="-101"/>
              <w:jc w:val="center"/>
              <w:rPr>
                <w:sz w:val="18"/>
                <w:szCs w:val="18"/>
              </w:rPr>
            </w:pPr>
            <w:r w:rsidRPr="00251A53">
              <w:rPr>
                <w:sz w:val="18"/>
                <w:szCs w:val="18"/>
              </w:rPr>
              <w:t xml:space="preserve">UNICEF: </w:t>
            </w:r>
            <w:r w:rsidRPr="00251A53">
              <w:rPr>
                <w:sz w:val="18"/>
                <w:szCs w:val="18"/>
              </w:rPr>
              <w:br/>
              <w:t>250,000</w:t>
            </w:r>
          </w:p>
        </w:tc>
        <w:tc>
          <w:tcPr>
            <w:tcW w:w="371" w:type="pct"/>
            <w:vMerge w:val="restart"/>
            <w:tcBorders>
              <w:bottom w:val="nil"/>
            </w:tcBorders>
          </w:tcPr>
          <w:p w14:paraId="55E3C202" w14:textId="77777777" w:rsidR="00F527AE" w:rsidRPr="00251A53" w:rsidRDefault="00F527AE" w:rsidP="00C950ED">
            <w:pPr>
              <w:spacing w:before="20" w:after="120"/>
              <w:ind w:left="-43" w:right="-101"/>
              <w:jc w:val="center"/>
              <w:rPr>
                <w:sz w:val="18"/>
                <w:szCs w:val="18"/>
              </w:rPr>
            </w:pPr>
            <w:r w:rsidRPr="00251A53">
              <w:rPr>
                <w:sz w:val="18"/>
                <w:szCs w:val="18"/>
              </w:rPr>
              <w:t xml:space="preserve">UNDP: </w:t>
            </w:r>
            <w:r w:rsidRPr="00251A53">
              <w:rPr>
                <w:sz w:val="18"/>
                <w:szCs w:val="18"/>
              </w:rPr>
              <w:br/>
              <w:t>2,950,000</w:t>
            </w:r>
          </w:p>
          <w:p w14:paraId="1D969B9F" w14:textId="77777777" w:rsidR="00F527AE" w:rsidRPr="00251A53" w:rsidRDefault="00F527AE" w:rsidP="00C950ED">
            <w:pPr>
              <w:spacing w:before="20" w:after="120"/>
              <w:ind w:left="-43" w:right="-101"/>
              <w:jc w:val="center"/>
              <w:rPr>
                <w:sz w:val="18"/>
                <w:szCs w:val="18"/>
              </w:rPr>
            </w:pPr>
            <w:r w:rsidRPr="00251A53">
              <w:rPr>
                <w:sz w:val="18"/>
                <w:szCs w:val="18"/>
              </w:rPr>
              <w:t xml:space="preserve">UNFPA: </w:t>
            </w:r>
            <w:r w:rsidRPr="00251A53">
              <w:rPr>
                <w:sz w:val="18"/>
                <w:szCs w:val="18"/>
              </w:rPr>
              <w:br/>
              <w:t>1,135,000</w:t>
            </w:r>
          </w:p>
          <w:p w14:paraId="35DCF4E2" w14:textId="77777777" w:rsidR="00F527AE" w:rsidRPr="00251A53" w:rsidRDefault="00F527AE" w:rsidP="00C950ED">
            <w:pPr>
              <w:spacing w:before="20" w:after="120"/>
              <w:ind w:left="-43" w:right="-101"/>
              <w:jc w:val="center"/>
              <w:rPr>
                <w:b/>
                <w:sz w:val="18"/>
                <w:szCs w:val="18"/>
              </w:rPr>
            </w:pPr>
            <w:r w:rsidRPr="00251A53">
              <w:rPr>
                <w:sz w:val="18"/>
                <w:szCs w:val="18"/>
              </w:rPr>
              <w:t xml:space="preserve">UNICEF: </w:t>
            </w:r>
            <w:r w:rsidRPr="00251A53">
              <w:rPr>
                <w:sz w:val="18"/>
                <w:szCs w:val="18"/>
              </w:rPr>
              <w:br/>
              <w:t>550,000</w:t>
            </w:r>
          </w:p>
        </w:tc>
      </w:tr>
      <w:tr w:rsidR="00F527AE" w:rsidRPr="00251A53" w14:paraId="083A0842" w14:textId="77777777" w:rsidTr="007C25CB">
        <w:trPr>
          <w:trHeight w:val="20"/>
        </w:trPr>
        <w:tc>
          <w:tcPr>
            <w:tcW w:w="751" w:type="pct"/>
            <w:tcBorders>
              <w:top w:val="nil"/>
              <w:bottom w:val="nil"/>
            </w:tcBorders>
            <w:tcMar>
              <w:top w:w="72" w:type="dxa"/>
              <w:left w:w="144" w:type="dxa"/>
              <w:bottom w:w="72" w:type="dxa"/>
              <w:right w:w="144" w:type="dxa"/>
            </w:tcMar>
          </w:tcPr>
          <w:p w14:paraId="6165F90C" w14:textId="3FA48783" w:rsidR="00F527AE" w:rsidRPr="00251A53" w:rsidRDefault="00F527AE" w:rsidP="00C003E5">
            <w:pPr>
              <w:spacing w:before="20" w:after="20"/>
              <w:rPr>
                <w:iCs/>
                <w:sz w:val="18"/>
                <w:szCs w:val="18"/>
              </w:rPr>
            </w:pPr>
            <w:r w:rsidRPr="00251A53">
              <w:rPr>
                <w:iCs/>
                <w:sz w:val="18"/>
                <w:szCs w:val="18"/>
                <w:u w:val="single"/>
              </w:rPr>
              <w:t>Indicator 4.2.4</w:t>
            </w:r>
            <w:r w:rsidRPr="00251A53">
              <w:rPr>
                <w:iCs/>
                <w:sz w:val="18"/>
                <w:szCs w:val="18"/>
              </w:rPr>
              <w:t xml:space="preserve">: Percentage of </w:t>
            </w:r>
            <w:r w:rsidR="00C003E5" w:rsidRPr="00251A53">
              <w:rPr>
                <w:iCs/>
                <w:sz w:val="18"/>
                <w:szCs w:val="18"/>
              </w:rPr>
              <w:t xml:space="preserve">universal periodic review </w:t>
            </w:r>
            <w:r w:rsidRPr="00251A53">
              <w:rPr>
                <w:iCs/>
                <w:sz w:val="18"/>
                <w:szCs w:val="18"/>
              </w:rPr>
              <w:t>(UPR) recommendations implemented</w:t>
            </w:r>
            <w:r w:rsidR="00C40990" w:rsidRPr="00251A53">
              <w:rPr>
                <w:iCs/>
                <w:sz w:val="18"/>
                <w:szCs w:val="18"/>
              </w:rPr>
              <w:br/>
            </w:r>
            <w:r w:rsidRPr="00251A53">
              <w:rPr>
                <w:i/>
                <w:iCs/>
                <w:sz w:val="18"/>
                <w:szCs w:val="18"/>
              </w:rPr>
              <w:t>Baseline</w:t>
            </w:r>
            <w:r w:rsidRPr="00251A53">
              <w:rPr>
                <w:iCs/>
                <w:sz w:val="18"/>
                <w:szCs w:val="18"/>
              </w:rPr>
              <w:t>: 57%;</w:t>
            </w:r>
            <w:r w:rsidR="00C40990" w:rsidRPr="00251A53">
              <w:rPr>
                <w:iCs/>
                <w:sz w:val="18"/>
                <w:szCs w:val="18"/>
              </w:rPr>
              <w:br/>
            </w:r>
            <w:r w:rsidRPr="00251A53">
              <w:rPr>
                <w:i/>
                <w:iCs/>
                <w:sz w:val="18"/>
                <w:szCs w:val="18"/>
              </w:rPr>
              <w:t>Target</w:t>
            </w:r>
            <w:r w:rsidRPr="00251A53">
              <w:rPr>
                <w:iCs/>
                <w:sz w:val="18"/>
                <w:szCs w:val="18"/>
              </w:rPr>
              <w:t>: 90%</w:t>
            </w:r>
          </w:p>
        </w:tc>
        <w:tc>
          <w:tcPr>
            <w:tcW w:w="857" w:type="pct"/>
            <w:tcBorders>
              <w:top w:val="nil"/>
              <w:bottom w:val="nil"/>
            </w:tcBorders>
          </w:tcPr>
          <w:p w14:paraId="201035E0" w14:textId="77777777" w:rsidR="00F527AE" w:rsidRPr="00251A53" w:rsidRDefault="00F527AE" w:rsidP="007612AB">
            <w:pPr>
              <w:spacing w:before="20" w:after="20"/>
              <w:rPr>
                <w:bCs/>
                <w:iCs/>
                <w:sz w:val="18"/>
                <w:szCs w:val="18"/>
              </w:rPr>
            </w:pPr>
            <w:r w:rsidRPr="00251A53">
              <w:rPr>
                <w:bCs/>
                <w:i/>
                <w:iCs/>
                <w:sz w:val="18"/>
                <w:szCs w:val="18"/>
              </w:rPr>
              <w:t>Source</w:t>
            </w:r>
            <w:r w:rsidRPr="00251A53">
              <w:rPr>
                <w:bCs/>
                <w:iCs/>
                <w:sz w:val="18"/>
                <w:szCs w:val="18"/>
              </w:rPr>
              <w:t xml:space="preserve">: </w:t>
            </w:r>
            <w:r w:rsidRPr="00251A53">
              <w:rPr>
                <w:iCs/>
                <w:sz w:val="18"/>
                <w:szCs w:val="18"/>
              </w:rPr>
              <w:t>Ministry of Justice and Labour (MoJL) reports</w:t>
            </w:r>
          </w:p>
          <w:p w14:paraId="28EF9729" w14:textId="77777777" w:rsidR="00F527AE" w:rsidRPr="00251A53" w:rsidRDefault="00F527AE" w:rsidP="007612AB">
            <w:pPr>
              <w:spacing w:before="20" w:after="20"/>
              <w:rPr>
                <w:iCs/>
                <w:sz w:val="18"/>
                <w:szCs w:val="18"/>
              </w:rPr>
            </w:pPr>
            <w:r w:rsidRPr="00251A53">
              <w:rPr>
                <w:bCs/>
                <w:i/>
                <w:iCs/>
                <w:sz w:val="18"/>
                <w:szCs w:val="18"/>
              </w:rPr>
              <w:t>Responsibility</w:t>
            </w:r>
            <w:r w:rsidRPr="00251A53">
              <w:rPr>
                <w:bCs/>
                <w:iCs/>
                <w:sz w:val="18"/>
                <w:szCs w:val="18"/>
              </w:rPr>
              <w:t>: MoJL</w:t>
            </w:r>
          </w:p>
        </w:tc>
        <w:tc>
          <w:tcPr>
            <w:tcW w:w="1785" w:type="pct"/>
            <w:gridSpan w:val="3"/>
            <w:vMerge/>
            <w:tcMar>
              <w:top w:w="72" w:type="dxa"/>
              <w:left w:w="144" w:type="dxa"/>
              <w:bottom w:w="72" w:type="dxa"/>
              <w:right w:w="144" w:type="dxa"/>
            </w:tcMar>
          </w:tcPr>
          <w:p w14:paraId="0A86CFFF" w14:textId="77777777" w:rsidR="00F527AE" w:rsidRPr="00251A53" w:rsidRDefault="00F527AE" w:rsidP="007612AB">
            <w:pPr>
              <w:spacing w:before="20" w:after="20"/>
              <w:rPr>
                <w:i/>
                <w:iCs/>
                <w:sz w:val="18"/>
                <w:szCs w:val="18"/>
              </w:rPr>
            </w:pPr>
          </w:p>
        </w:tc>
        <w:tc>
          <w:tcPr>
            <w:tcW w:w="549" w:type="pct"/>
            <w:vMerge/>
          </w:tcPr>
          <w:p w14:paraId="70E623C7" w14:textId="77777777" w:rsidR="00F527AE" w:rsidRPr="00251A53" w:rsidRDefault="00F527AE" w:rsidP="007612AB">
            <w:pPr>
              <w:spacing w:before="20" w:after="20"/>
              <w:rPr>
                <w:i/>
                <w:iCs/>
                <w:sz w:val="18"/>
                <w:szCs w:val="18"/>
              </w:rPr>
            </w:pPr>
          </w:p>
        </w:tc>
        <w:tc>
          <w:tcPr>
            <w:tcW w:w="344" w:type="pct"/>
            <w:vMerge/>
            <w:tcBorders>
              <w:bottom w:val="nil"/>
            </w:tcBorders>
            <w:tcMar>
              <w:top w:w="15" w:type="dxa"/>
              <w:left w:w="108" w:type="dxa"/>
              <w:bottom w:w="0" w:type="dxa"/>
              <w:right w:w="108" w:type="dxa"/>
            </w:tcMar>
          </w:tcPr>
          <w:p w14:paraId="47F787B2" w14:textId="77777777" w:rsidR="00F527AE" w:rsidRPr="00251A53" w:rsidRDefault="00F527AE" w:rsidP="007612AB">
            <w:pPr>
              <w:spacing w:before="20" w:after="20"/>
              <w:rPr>
                <w:b/>
                <w:sz w:val="18"/>
                <w:szCs w:val="18"/>
              </w:rPr>
            </w:pPr>
          </w:p>
        </w:tc>
        <w:tc>
          <w:tcPr>
            <w:tcW w:w="343" w:type="pct"/>
            <w:vMerge/>
            <w:tcBorders>
              <w:bottom w:val="nil"/>
            </w:tcBorders>
          </w:tcPr>
          <w:p w14:paraId="7E1DA1FC" w14:textId="77777777" w:rsidR="00F527AE" w:rsidRPr="00251A53" w:rsidRDefault="00F527AE" w:rsidP="007612AB">
            <w:pPr>
              <w:spacing w:before="20" w:after="20"/>
              <w:rPr>
                <w:b/>
                <w:sz w:val="18"/>
                <w:szCs w:val="18"/>
              </w:rPr>
            </w:pPr>
          </w:p>
        </w:tc>
        <w:tc>
          <w:tcPr>
            <w:tcW w:w="371" w:type="pct"/>
            <w:vMerge/>
            <w:tcBorders>
              <w:bottom w:val="nil"/>
            </w:tcBorders>
          </w:tcPr>
          <w:p w14:paraId="51DC3715" w14:textId="77777777" w:rsidR="00F527AE" w:rsidRPr="00251A53" w:rsidRDefault="00F527AE" w:rsidP="007612AB">
            <w:pPr>
              <w:spacing w:before="20" w:after="20"/>
              <w:rPr>
                <w:b/>
                <w:sz w:val="18"/>
                <w:szCs w:val="18"/>
              </w:rPr>
            </w:pPr>
          </w:p>
        </w:tc>
      </w:tr>
      <w:tr w:rsidR="00F527AE" w:rsidRPr="00251A53" w14:paraId="3A47D8BF" w14:textId="77777777" w:rsidTr="00917287">
        <w:trPr>
          <w:trHeight w:val="20"/>
        </w:trPr>
        <w:tc>
          <w:tcPr>
            <w:tcW w:w="751" w:type="pct"/>
            <w:tcBorders>
              <w:top w:val="nil"/>
              <w:bottom w:val="nil"/>
            </w:tcBorders>
            <w:tcMar>
              <w:top w:w="72" w:type="dxa"/>
              <w:left w:w="144" w:type="dxa"/>
              <w:bottom w:w="72" w:type="dxa"/>
              <w:right w:w="144" w:type="dxa"/>
            </w:tcMar>
          </w:tcPr>
          <w:p w14:paraId="355B8778" w14:textId="77777777" w:rsidR="00F527AE" w:rsidRPr="00251A53" w:rsidRDefault="00F527AE" w:rsidP="00C40990">
            <w:pPr>
              <w:spacing w:before="20" w:after="20"/>
              <w:rPr>
                <w:iCs/>
                <w:sz w:val="18"/>
                <w:szCs w:val="18"/>
              </w:rPr>
            </w:pPr>
            <w:r w:rsidRPr="00251A53">
              <w:rPr>
                <w:iCs/>
                <w:sz w:val="18"/>
                <w:szCs w:val="18"/>
                <w:u w:val="single"/>
              </w:rPr>
              <w:t>Indicator 4.2.5</w:t>
            </w:r>
            <w:r w:rsidRPr="00251A53">
              <w:rPr>
                <w:iCs/>
                <w:sz w:val="18"/>
                <w:szCs w:val="18"/>
              </w:rPr>
              <w:t>: Percentage of court cases with free legal support</w:t>
            </w:r>
            <w:r w:rsidR="00C40990" w:rsidRPr="00251A53">
              <w:rPr>
                <w:iCs/>
                <w:sz w:val="18"/>
                <w:szCs w:val="18"/>
              </w:rPr>
              <w:br/>
            </w:r>
            <w:r w:rsidRPr="00251A53">
              <w:rPr>
                <w:i/>
                <w:iCs/>
                <w:sz w:val="18"/>
                <w:szCs w:val="18"/>
              </w:rPr>
              <w:t>Baseline</w:t>
            </w:r>
            <w:r w:rsidRPr="00251A53">
              <w:rPr>
                <w:iCs/>
                <w:sz w:val="18"/>
                <w:szCs w:val="18"/>
              </w:rPr>
              <w:t>: 10%</w:t>
            </w:r>
            <w:r w:rsidR="00C40990" w:rsidRPr="00251A53">
              <w:rPr>
                <w:iCs/>
                <w:sz w:val="18"/>
                <w:szCs w:val="18"/>
              </w:rPr>
              <w:br/>
            </w:r>
            <w:r w:rsidRPr="00251A53">
              <w:rPr>
                <w:i/>
                <w:iCs/>
                <w:sz w:val="18"/>
                <w:szCs w:val="18"/>
              </w:rPr>
              <w:t>Target</w:t>
            </w:r>
            <w:r w:rsidRPr="00251A53">
              <w:rPr>
                <w:iCs/>
                <w:sz w:val="18"/>
                <w:szCs w:val="18"/>
              </w:rPr>
              <w:t>: 25%</w:t>
            </w:r>
          </w:p>
        </w:tc>
        <w:tc>
          <w:tcPr>
            <w:tcW w:w="857" w:type="pct"/>
            <w:tcBorders>
              <w:top w:val="nil"/>
              <w:bottom w:val="nil"/>
            </w:tcBorders>
          </w:tcPr>
          <w:p w14:paraId="1368E8FA" w14:textId="77777777" w:rsidR="00F527AE" w:rsidRPr="00251A53" w:rsidRDefault="00F527AE" w:rsidP="007612AB">
            <w:pPr>
              <w:spacing w:before="20" w:after="20"/>
              <w:rPr>
                <w:bCs/>
                <w:iCs/>
                <w:sz w:val="18"/>
                <w:szCs w:val="18"/>
              </w:rPr>
            </w:pPr>
            <w:r w:rsidRPr="00251A53">
              <w:rPr>
                <w:bCs/>
                <w:i/>
                <w:iCs/>
                <w:sz w:val="18"/>
                <w:szCs w:val="18"/>
              </w:rPr>
              <w:t>Source</w:t>
            </w:r>
            <w:r w:rsidRPr="00251A53">
              <w:rPr>
                <w:bCs/>
                <w:iCs/>
                <w:sz w:val="18"/>
                <w:szCs w:val="18"/>
              </w:rPr>
              <w:t>: MoJL reports</w:t>
            </w:r>
          </w:p>
          <w:p w14:paraId="3ABE8541" w14:textId="77777777" w:rsidR="00F527AE" w:rsidRPr="00251A53" w:rsidRDefault="00F527AE" w:rsidP="007612AB">
            <w:pPr>
              <w:spacing w:before="20" w:after="20"/>
              <w:rPr>
                <w:bCs/>
                <w:iCs/>
                <w:sz w:val="18"/>
                <w:szCs w:val="18"/>
              </w:rPr>
            </w:pPr>
            <w:r w:rsidRPr="00251A53">
              <w:rPr>
                <w:bCs/>
                <w:i/>
                <w:iCs/>
                <w:sz w:val="18"/>
                <w:szCs w:val="18"/>
              </w:rPr>
              <w:t>Responsibility</w:t>
            </w:r>
            <w:r w:rsidRPr="00251A53">
              <w:rPr>
                <w:bCs/>
                <w:iCs/>
                <w:sz w:val="18"/>
                <w:szCs w:val="18"/>
              </w:rPr>
              <w:t>: MoJL</w:t>
            </w:r>
          </w:p>
        </w:tc>
        <w:tc>
          <w:tcPr>
            <w:tcW w:w="1785" w:type="pct"/>
            <w:gridSpan w:val="3"/>
            <w:vMerge/>
            <w:tcMar>
              <w:top w:w="72" w:type="dxa"/>
              <w:left w:w="144" w:type="dxa"/>
              <w:bottom w:w="72" w:type="dxa"/>
              <w:right w:w="144" w:type="dxa"/>
            </w:tcMar>
          </w:tcPr>
          <w:p w14:paraId="3A0ADE90" w14:textId="77777777" w:rsidR="00F527AE" w:rsidRPr="00251A53" w:rsidRDefault="00F527AE" w:rsidP="007612AB">
            <w:pPr>
              <w:spacing w:before="20" w:after="20"/>
              <w:rPr>
                <w:i/>
                <w:iCs/>
                <w:sz w:val="18"/>
                <w:szCs w:val="18"/>
              </w:rPr>
            </w:pPr>
          </w:p>
        </w:tc>
        <w:tc>
          <w:tcPr>
            <w:tcW w:w="549" w:type="pct"/>
            <w:vMerge/>
          </w:tcPr>
          <w:p w14:paraId="4E090CE2" w14:textId="77777777" w:rsidR="00F527AE" w:rsidRPr="00251A53" w:rsidRDefault="00F527AE" w:rsidP="007612AB">
            <w:pPr>
              <w:spacing w:before="20" w:after="20"/>
              <w:rPr>
                <w:i/>
                <w:iCs/>
                <w:sz w:val="18"/>
                <w:szCs w:val="18"/>
              </w:rPr>
            </w:pPr>
          </w:p>
        </w:tc>
        <w:tc>
          <w:tcPr>
            <w:tcW w:w="344" w:type="pct"/>
            <w:vMerge/>
            <w:tcBorders>
              <w:bottom w:val="nil"/>
            </w:tcBorders>
            <w:tcMar>
              <w:top w:w="15" w:type="dxa"/>
              <w:left w:w="108" w:type="dxa"/>
              <w:bottom w:w="0" w:type="dxa"/>
              <w:right w:w="108" w:type="dxa"/>
            </w:tcMar>
          </w:tcPr>
          <w:p w14:paraId="4C401A62" w14:textId="77777777" w:rsidR="00F527AE" w:rsidRPr="00251A53" w:rsidRDefault="00F527AE" w:rsidP="007612AB">
            <w:pPr>
              <w:spacing w:before="20" w:after="20"/>
              <w:rPr>
                <w:b/>
                <w:sz w:val="18"/>
                <w:szCs w:val="18"/>
              </w:rPr>
            </w:pPr>
          </w:p>
        </w:tc>
        <w:tc>
          <w:tcPr>
            <w:tcW w:w="343" w:type="pct"/>
            <w:vMerge/>
            <w:tcBorders>
              <w:bottom w:val="nil"/>
            </w:tcBorders>
          </w:tcPr>
          <w:p w14:paraId="52410B1A" w14:textId="77777777" w:rsidR="00F527AE" w:rsidRPr="00251A53" w:rsidRDefault="00F527AE" w:rsidP="007612AB">
            <w:pPr>
              <w:spacing w:before="20" w:after="20"/>
              <w:rPr>
                <w:b/>
                <w:sz w:val="18"/>
                <w:szCs w:val="18"/>
              </w:rPr>
            </w:pPr>
          </w:p>
        </w:tc>
        <w:tc>
          <w:tcPr>
            <w:tcW w:w="371" w:type="pct"/>
            <w:vMerge/>
            <w:tcBorders>
              <w:bottom w:val="nil"/>
            </w:tcBorders>
          </w:tcPr>
          <w:p w14:paraId="2453B4B2" w14:textId="77777777" w:rsidR="00F527AE" w:rsidRPr="00251A53" w:rsidRDefault="00F527AE" w:rsidP="007612AB">
            <w:pPr>
              <w:spacing w:before="20" w:after="20"/>
              <w:rPr>
                <w:b/>
                <w:sz w:val="18"/>
                <w:szCs w:val="18"/>
              </w:rPr>
            </w:pPr>
          </w:p>
        </w:tc>
      </w:tr>
      <w:tr w:rsidR="00F527AE" w:rsidRPr="00251A53" w14:paraId="6B9FC4F4" w14:textId="77777777" w:rsidTr="00917287">
        <w:trPr>
          <w:trHeight w:val="20"/>
        </w:trPr>
        <w:tc>
          <w:tcPr>
            <w:tcW w:w="751" w:type="pct"/>
            <w:tcBorders>
              <w:top w:val="nil"/>
              <w:bottom w:val="nil"/>
            </w:tcBorders>
            <w:tcMar>
              <w:top w:w="72" w:type="dxa"/>
              <w:left w:w="144" w:type="dxa"/>
              <w:bottom w:w="72" w:type="dxa"/>
              <w:right w:w="144" w:type="dxa"/>
            </w:tcMar>
          </w:tcPr>
          <w:p w14:paraId="7152E72F" w14:textId="77777777" w:rsidR="00F527AE" w:rsidRPr="00251A53" w:rsidRDefault="00F527AE" w:rsidP="00C40990">
            <w:pPr>
              <w:spacing w:before="20" w:after="20"/>
              <w:rPr>
                <w:iCs/>
                <w:sz w:val="18"/>
                <w:szCs w:val="18"/>
              </w:rPr>
            </w:pPr>
            <w:r w:rsidRPr="00251A53">
              <w:rPr>
                <w:iCs/>
                <w:sz w:val="18"/>
                <w:szCs w:val="18"/>
                <w:u w:val="single"/>
              </w:rPr>
              <w:t>Indicator 4.2.7</w:t>
            </w:r>
            <w:r w:rsidRPr="00251A53">
              <w:rPr>
                <w:iCs/>
                <w:sz w:val="18"/>
                <w:szCs w:val="18"/>
              </w:rPr>
              <w:t>: Number of children and youth in detention centres</w:t>
            </w:r>
            <w:r w:rsidR="00C40990" w:rsidRPr="00251A53">
              <w:rPr>
                <w:iCs/>
                <w:sz w:val="18"/>
                <w:szCs w:val="18"/>
              </w:rPr>
              <w:br/>
            </w:r>
            <w:r w:rsidRPr="00251A53">
              <w:rPr>
                <w:i/>
                <w:iCs/>
                <w:sz w:val="18"/>
                <w:szCs w:val="18"/>
              </w:rPr>
              <w:t>Baseline</w:t>
            </w:r>
            <w:r w:rsidRPr="00251A53">
              <w:rPr>
                <w:iCs/>
                <w:sz w:val="18"/>
                <w:szCs w:val="18"/>
              </w:rPr>
              <w:t>: 217 per year</w:t>
            </w:r>
            <w:r w:rsidR="00C40990" w:rsidRPr="00251A53">
              <w:rPr>
                <w:iCs/>
                <w:sz w:val="18"/>
                <w:szCs w:val="18"/>
              </w:rPr>
              <w:br/>
            </w:r>
            <w:r w:rsidRPr="00251A53">
              <w:rPr>
                <w:i/>
                <w:iCs/>
                <w:sz w:val="18"/>
                <w:szCs w:val="18"/>
              </w:rPr>
              <w:t>Target</w:t>
            </w:r>
            <w:r w:rsidRPr="00251A53">
              <w:rPr>
                <w:iCs/>
                <w:sz w:val="18"/>
                <w:szCs w:val="18"/>
              </w:rPr>
              <w:t>: 150 per year</w:t>
            </w:r>
          </w:p>
        </w:tc>
        <w:tc>
          <w:tcPr>
            <w:tcW w:w="857" w:type="pct"/>
            <w:tcBorders>
              <w:top w:val="nil"/>
              <w:bottom w:val="nil"/>
            </w:tcBorders>
          </w:tcPr>
          <w:p w14:paraId="147BE113" w14:textId="77777777" w:rsidR="00F527AE" w:rsidRPr="00251A53" w:rsidRDefault="00F527AE" w:rsidP="007612AB">
            <w:pPr>
              <w:spacing w:before="20" w:after="20"/>
              <w:rPr>
                <w:bCs/>
                <w:iCs/>
                <w:sz w:val="18"/>
                <w:szCs w:val="18"/>
              </w:rPr>
            </w:pPr>
            <w:r w:rsidRPr="00251A53">
              <w:rPr>
                <w:bCs/>
                <w:i/>
                <w:iCs/>
                <w:sz w:val="18"/>
                <w:szCs w:val="18"/>
              </w:rPr>
              <w:t>Source</w:t>
            </w:r>
            <w:r w:rsidRPr="00251A53">
              <w:rPr>
                <w:bCs/>
                <w:iCs/>
                <w:sz w:val="18"/>
                <w:szCs w:val="18"/>
              </w:rPr>
              <w:t>: MoJL reports</w:t>
            </w:r>
          </w:p>
          <w:p w14:paraId="6F765810" w14:textId="77777777" w:rsidR="00F527AE" w:rsidRPr="00251A53" w:rsidRDefault="00F527AE" w:rsidP="007612AB">
            <w:pPr>
              <w:spacing w:before="20" w:after="20"/>
              <w:rPr>
                <w:iCs/>
                <w:sz w:val="18"/>
                <w:szCs w:val="18"/>
              </w:rPr>
            </w:pPr>
            <w:r w:rsidRPr="00251A53">
              <w:rPr>
                <w:bCs/>
                <w:i/>
                <w:iCs/>
                <w:sz w:val="18"/>
                <w:szCs w:val="18"/>
              </w:rPr>
              <w:t>Responsibility</w:t>
            </w:r>
            <w:r w:rsidRPr="00251A53">
              <w:rPr>
                <w:bCs/>
                <w:iCs/>
                <w:sz w:val="18"/>
                <w:szCs w:val="18"/>
              </w:rPr>
              <w:t>: MoJL</w:t>
            </w:r>
          </w:p>
        </w:tc>
        <w:tc>
          <w:tcPr>
            <w:tcW w:w="1785" w:type="pct"/>
            <w:gridSpan w:val="3"/>
            <w:vMerge w:val="restart"/>
            <w:tcMar>
              <w:top w:w="72" w:type="dxa"/>
              <w:left w:w="144" w:type="dxa"/>
              <w:bottom w:w="72" w:type="dxa"/>
              <w:right w:w="144" w:type="dxa"/>
            </w:tcMar>
          </w:tcPr>
          <w:p w14:paraId="2A1D4690" w14:textId="77777777" w:rsidR="00F527AE" w:rsidRPr="00251A53" w:rsidRDefault="00F527AE" w:rsidP="007612AB">
            <w:pPr>
              <w:spacing w:before="20" w:after="20"/>
              <w:rPr>
                <w:i/>
                <w:iCs/>
                <w:sz w:val="18"/>
                <w:szCs w:val="18"/>
              </w:rPr>
            </w:pPr>
            <w:r w:rsidRPr="00251A53">
              <w:rPr>
                <w:iCs/>
                <w:sz w:val="18"/>
                <w:szCs w:val="18"/>
                <w:u w:val="single"/>
              </w:rPr>
              <w:t>Output 4.5</w:t>
            </w:r>
            <w:r w:rsidRPr="00251A53">
              <w:rPr>
                <w:iCs/>
                <w:sz w:val="18"/>
                <w:szCs w:val="18"/>
              </w:rPr>
              <w:t xml:space="preserve">: The justice system has enhanced capacity to promote human rights, with a focus on women and children in contact with the law, and greater efficiency in the judicial process </w:t>
            </w:r>
          </w:p>
          <w:p w14:paraId="4028D9C1" w14:textId="77777777" w:rsidR="00F527AE" w:rsidRPr="00251A53" w:rsidRDefault="00F527AE" w:rsidP="007612AB">
            <w:pPr>
              <w:spacing w:before="20" w:after="20"/>
              <w:rPr>
                <w:iCs/>
                <w:sz w:val="18"/>
                <w:szCs w:val="18"/>
              </w:rPr>
            </w:pPr>
            <w:r w:rsidRPr="00251A53">
              <w:rPr>
                <w:iCs/>
                <w:sz w:val="18"/>
                <w:szCs w:val="18"/>
              </w:rPr>
              <w:t>4.5.1: Number of institutions and interministerial mechanisms effectively monitoring UPR recommendations and reporting on human rights instruments</w:t>
            </w:r>
          </w:p>
          <w:p w14:paraId="7A3699FA" w14:textId="77777777" w:rsidR="00F527AE" w:rsidRPr="00251A53" w:rsidRDefault="00F527AE" w:rsidP="007612AB">
            <w:pPr>
              <w:spacing w:before="20" w:after="20"/>
              <w:rPr>
                <w:i/>
                <w:iCs/>
                <w:sz w:val="18"/>
                <w:szCs w:val="18"/>
              </w:rPr>
            </w:pPr>
            <w:r w:rsidRPr="00251A53">
              <w:rPr>
                <w:i/>
                <w:iCs/>
                <w:sz w:val="18"/>
                <w:szCs w:val="18"/>
              </w:rPr>
              <w:t xml:space="preserve">Baseline: </w:t>
            </w:r>
            <w:r w:rsidRPr="00251A53">
              <w:rPr>
                <w:iCs/>
                <w:sz w:val="18"/>
                <w:szCs w:val="18"/>
              </w:rPr>
              <w:t>1 (I: 1; IMM: 0);</w:t>
            </w:r>
            <w:r w:rsidRPr="00251A53">
              <w:rPr>
                <w:i/>
                <w:iCs/>
                <w:sz w:val="18"/>
                <w:szCs w:val="18"/>
              </w:rPr>
              <w:t xml:space="preserve"> Target: </w:t>
            </w:r>
            <w:r w:rsidRPr="00251A53">
              <w:rPr>
                <w:iCs/>
                <w:sz w:val="18"/>
                <w:szCs w:val="18"/>
              </w:rPr>
              <w:t>7 (I:6; IMM: 1)</w:t>
            </w:r>
          </w:p>
          <w:p w14:paraId="1BBDF5FF" w14:textId="77777777" w:rsidR="00F527AE" w:rsidRPr="00251A53" w:rsidRDefault="00F527AE" w:rsidP="007612AB">
            <w:pPr>
              <w:spacing w:before="20" w:after="20"/>
              <w:rPr>
                <w:i/>
                <w:iCs/>
                <w:sz w:val="18"/>
                <w:szCs w:val="18"/>
              </w:rPr>
            </w:pPr>
            <w:r w:rsidRPr="00251A53">
              <w:rPr>
                <w:i/>
                <w:iCs/>
                <w:sz w:val="18"/>
                <w:szCs w:val="18"/>
              </w:rPr>
              <w:t xml:space="preserve">Source: </w:t>
            </w:r>
            <w:r w:rsidRPr="00251A53">
              <w:rPr>
                <w:iCs/>
                <w:sz w:val="18"/>
                <w:szCs w:val="18"/>
              </w:rPr>
              <w:t>MoJL</w:t>
            </w:r>
          </w:p>
          <w:p w14:paraId="6192F9F2" w14:textId="77777777" w:rsidR="00F527AE" w:rsidRPr="00251A53" w:rsidRDefault="00EC096F" w:rsidP="007612AB">
            <w:pPr>
              <w:spacing w:before="20" w:after="20"/>
              <w:rPr>
                <w:i/>
                <w:iCs/>
                <w:sz w:val="18"/>
                <w:szCs w:val="18"/>
              </w:rPr>
            </w:pPr>
            <w:r w:rsidRPr="00251A53">
              <w:rPr>
                <w:i/>
                <w:iCs/>
                <w:sz w:val="18"/>
                <w:szCs w:val="18"/>
              </w:rPr>
              <w:t>Responsible</w:t>
            </w:r>
            <w:r w:rsidR="00F527AE" w:rsidRPr="00251A53">
              <w:rPr>
                <w:i/>
                <w:iCs/>
                <w:sz w:val="18"/>
                <w:szCs w:val="18"/>
              </w:rPr>
              <w:t xml:space="preserve">: </w:t>
            </w:r>
            <w:r w:rsidR="00F527AE" w:rsidRPr="00251A53">
              <w:rPr>
                <w:iCs/>
                <w:sz w:val="18"/>
                <w:szCs w:val="18"/>
              </w:rPr>
              <w:t>UNDP</w:t>
            </w:r>
          </w:p>
          <w:p w14:paraId="5E8BAF99" w14:textId="77777777" w:rsidR="00F527AE" w:rsidRPr="00251A53" w:rsidRDefault="00F527AE" w:rsidP="007612AB">
            <w:pPr>
              <w:spacing w:before="20" w:after="20"/>
              <w:rPr>
                <w:iCs/>
                <w:sz w:val="18"/>
                <w:szCs w:val="18"/>
              </w:rPr>
            </w:pPr>
            <w:r w:rsidRPr="00251A53">
              <w:rPr>
                <w:iCs/>
                <w:sz w:val="18"/>
                <w:szCs w:val="18"/>
              </w:rPr>
              <w:t>4.5.2:</w:t>
            </w:r>
            <w:r w:rsidRPr="00251A53">
              <w:rPr>
                <w:i/>
                <w:iCs/>
                <w:sz w:val="18"/>
                <w:szCs w:val="18"/>
              </w:rPr>
              <w:t xml:space="preserve"> </w:t>
            </w:r>
            <w:r w:rsidRPr="00251A53">
              <w:rPr>
                <w:iCs/>
                <w:sz w:val="18"/>
                <w:szCs w:val="18"/>
              </w:rPr>
              <w:t>Number of judicial institutions able to deliver free legal aid</w:t>
            </w:r>
            <w:r w:rsidRPr="00251A53">
              <w:rPr>
                <w:i/>
                <w:iCs/>
                <w:sz w:val="18"/>
                <w:szCs w:val="18"/>
              </w:rPr>
              <w:t xml:space="preserve"> </w:t>
            </w:r>
            <w:r w:rsidRPr="00251A53">
              <w:rPr>
                <w:iCs/>
                <w:sz w:val="18"/>
                <w:szCs w:val="18"/>
              </w:rPr>
              <w:t>to vulnerable groups</w:t>
            </w:r>
          </w:p>
          <w:p w14:paraId="2FDC75FF" w14:textId="77777777" w:rsidR="00F527AE" w:rsidRPr="00251A53" w:rsidRDefault="00F527AE" w:rsidP="007612AB">
            <w:pPr>
              <w:spacing w:before="20" w:after="20"/>
              <w:rPr>
                <w:i/>
                <w:iCs/>
                <w:sz w:val="18"/>
                <w:szCs w:val="18"/>
              </w:rPr>
            </w:pPr>
            <w:r w:rsidRPr="00251A53">
              <w:rPr>
                <w:i/>
                <w:iCs/>
                <w:sz w:val="18"/>
                <w:szCs w:val="18"/>
              </w:rPr>
              <w:t xml:space="preserve">Baseline: </w:t>
            </w:r>
            <w:r w:rsidRPr="00251A53">
              <w:rPr>
                <w:iCs/>
                <w:sz w:val="18"/>
                <w:szCs w:val="18"/>
              </w:rPr>
              <w:t>0;</w:t>
            </w:r>
            <w:r w:rsidRPr="00251A53">
              <w:rPr>
                <w:i/>
                <w:iCs/>
                <w:sz w:val="18"/>
                <w:szCs w:val="18"/>
              </w:rPr>
              <w:t xml:space="preserve"> Target: </w:t>
            </w:r>
            <w:r w:rsidRPr="00251A53">
              <w:rPr>
                <w:iCs/>
                <w:sz w:val="18"/>
                <w:szCs w:val="18"/>
              </w:rPr>
              <w:t>4</w:t>
            </w:r>
          </w:p>
          <w:p w14:paraId="37A78351" w14:textId="77777777" w:rsidR="00F527AE" w:rsidRPr="00251A53" w:rsidRDefault="00F527AE" w:rsidP="007612AB">
            <w:pPr>
              <w:spacing w:before="20" w:after="20"/>
              <w:rPr>
                <w:i/>
                <w:iCs/>
                <w:sz w:val="18"/>
                <w:szCs w:val="18"/>
              </w:rPr>
            </w:pPr>
            <w:r w:rsidRPr="00251A53">
              <w:rPr>
                <w:i/>
                <w:iCs/>
                <w:sz w:val="18"/>
                <w:szCs w:val="18"/>
              </w:rPr>
              <w:lastRenderedPageBreak/>
              <w:t xml:space="preserve">Source: </w:t>
            </w:r>
            <w:r w:rsidRPr="00251A53">
              <w:rPr>
                <w:iCs/>
                <w:sz w:val="18"/>
                <w:szCs w:val="18"/>
              </w:rPr>
              <w:t>MoJL</w:t>
            </w:r>
          </w:p>
          <w:p w14:paraId="30657F70" w14:textId="77777777" w:rsidR="00F527AE" w:rsidRPr="00251A53" w:rsidRDefault="00EC096F" w:rsidP="007612AB">
            <w:pPr>
              <w:spacing w:before="20" w:after="20"/>
              <w:rPr>
                <w:i/>
                <w:iCs/>
                <w:sz w:val="18"/>
                <w:szCs w:val="18"/>
              </w:rPr>
            </w:pPr>
            <w:r w:rsidRPr="00251A53">
              <w:rPr>
                <w:i/>
                <w:iCs/>
                <w:sz w:val="18"/>
                <w:szCs w:val="18"/>
              </w:rPr>
              <w:t>Responsible</w:t>
            </w:r>
            <w:r w:rsidR="00F527AE" w:rsidRPr="00251A53">
              <w:rPr>
                <w:i/>
                <w:iCs/>
                <w:sz w:val="18"/>
                <w:szCs w:val="18"/>
              </w:rPr>
              <w:t xml:space="preserve">: </w:t>
            </w:r>
            <w:r w:rsidR="00F527AE" w:rsidRPr="00251A53">
              <w:rPr>
                <w:iCs/>
                <w:sz w:val="18"/>
                <w:szCs w:val="18"/>
              </w:rPr>
              <w:t>UNDP</w:t>
            </w:r>
          </w:p>
          <w:p w14:paraId="40D6AA54" w14:textId="77777777" w:rsidR="00F527AE" w:rsidRPr="00251A53" w:rsidRDefault="00F527AE" w:rsidP="007612AB">
            <w:pPr>
              <w:spacing w:before="20" w:after="20"/>
              <w:rPr>
                <w:i/>
                <w:iCs/>
                <w:sz w:val="18"/>
                <w:szCs w:val="18"/>
              </w:rPr>
            </w:pPr>
            <w:r w:rsidRPr="00251A53">
              <w:rPr>
                <w:iCs/>
                <w:sz w:val="18"/>
                <w:szCs w:val="18"/>
              </w:rPr>
              <w:t xml:space="preserve">4.5.3: </w:t>
            </w:r>
            <w:r w:rsidRPr="00251A53">
              <w:rPr>
                <w:sz w:val="18"/>
                <w:szCs w:val="18"/>
              </w:rPr>
              <w:t xml:space="preserve">Existence of an operational </w:t>
            </w:r>
            <w:r w:rsidRPr="00251A53">
              <w:rPr>
                <w:iCs/>
                <w:sz w:val="18"/>
                <w:szCs w:val="18"/>
              </w:rPr>
              <w:t xml:space="preserve">integrated child-sensitive justice case management information system </w:t>
            </w:r>
          </w:p>
          <w:p w14:paraId="06512CAA" w14:textId="77777777" w:rsidR="00F527AE" w:rsidRPr="00251A53" w:rsidRDefault="00F527AE" w:rsidP="007612AB">
            <w:pPr>
              <w:spacing w:before="20" w:after="20"/>
              <w:rPr>
                <w:i/>
                <w:iCs/>
                <w:sz w:val="18"/>
                <w:szCs w:val="18"/>
              </w:rPr>
            </w:pPr>
            <w:r w:rsidRPr="00251A53">
              <w:rPr>
                <w:i/>
                <w:iCs/>
                <w:sz w:val="18"/>
                <w:szCs w:val="18"/>
              </w:rPr>
              <w:t>Baseline</w:t>
            </w:r>
            <w:r w:rsidRPr="00251A53">
              <w:rPr>
                <w:iCs/>
                <w:sz w:val="18"/>
                <w:szCs w:val="18"/>
              </w:rPr>
              <w:t xml:space="preserve">: 0; </w:t>
            </w:r>
            <w:r w:rsidRPr="00251A53">
              <w:rPr>
                <w:i/>
                <w:iCs/>
                <w:sz w:val="18"/>
                <w:szCs w:val="18"/>
              </w:rPr>
              <w:t>Target</w:t>
            </w:r>
            <w:r w:rsidRPr="00251A53">
              <w:rPr>
                <w:iCs/>
                <w:sz w:val="18"/>
                <w:szCs w:val="18"/>
              </w:rPr>
              <w:t>: 1</w:t>
            </w:r>
          </w:p>
          <w:p w14:paraId="732B288E" w14:textId="77777777" w:rsidR="00F527AE" w:rsidRPr="00251A53" w:rsidRDefault="00F527AE" w:rsidP="007612AB">
            <w:pPr>
              <w:spacing w:before="20" w:after="20"/>
              <w:rPr>
                <w:i/>
                <w:iCs/>
                <w:sz w:val="18"/>
                <w:szCs w:val="18"/>
              </w:rPr>
            </w:pPr>
            <w:r w:rsidRPr="00251A53">
              <w:rPr>
                <w:i/>
                <w:iCs/>
                <w:sz w:val="18"/>
                <w:szCs w:val="18"/>
              </w:rPr>
              <w:t xml:space="preserve">Source: </w:t>
            </w:r>
            <w:r w:rsidRPr="00251A53">
              <w:rPr>
                <w:iCs/>
                <w:sz w:val="18"/>
                <w:szCs w:val="18"/>
              </w:rPr>
              <w:t>MFF reports</w:t>
            </w:r>
          </w:p>
          <w:p w14:paraId="59BFD5A2" w14:textId="77777777" w:rsidR="00F527AE" w:rsidRPr="00251A53" w:rsidRDefault="00EC096F" w:rsidP="007612AB">
            <w:pPr>
              <w:spacing w:before="20" w:after="20"/>
              <w:rPr>
                <w:i/>
                <w:iCs/>
                <w:sz w:val="18"/>
                <w:szCs w:val="18"/>
              </w:rPr>
            </w:pPr>
            <w:r w:rsidRPr="00251A53">
              <w:rPr>
                <w:i/>
                <w:iCs/>
                <w:sz w:val="18"/>
                <w:szCs w:val="18"/>
              </w:rPr>
              <w:t>Responsible</w:t>
            </w:r>
            <w:r w:rsidR="00F527AE" w:rsidRPr="00251A53">
              <w:rPr>
                <w:i/>
                <w:iCs/>
                <w:sz w:val="18"/>
                <w:szCs w:val="18"/>
              </w:rPr>
              <w:t xml:space="preserve">: </w:t>
            </w:r>
            <w:r w:rsidR="00F527AE" w:rsidRPr="00251A53">
              <w:rPr>
                <w:iCs/>
                <w:sz w:val="18"/>
                <w:szCs w:val="18"/>
              </w:rPr>
              <w:t>UNICEF</w:t>
            </w:r>
            <w:r w:rsidR="00F527AE" w:rsidRPr="00251A53">
              <w:rPr>
                <w:i/>
                <w:iCs/>
                <w:sz w:val="18"/>
                <w:szCs w:val="18"/>
              </w:rPr>
              <w:t xml:space="preserve"> </w:t>
            </w:r>
          </w:p>
        </w:tc>
        <w:tc>
          <w:tcPr>
            <w:tcW w:w="549" w:type="pct"/>
            <w:vMerge/>
          </w:tcPr>
          <w:p w14:paraId="2F73800B" w14:textId="77777777" w:rsidR="00F527AE" w:rsidRPr="00251A53" w:rsidRDefault="00F527AE" w:rsidP="007612AB">
            <w:pPr>
              <w:spacing w:before="20" w:after="20"/>
              <w:ind w:left="41"/>
              <w:rPr>
                <w:iCs/>
                <w:sz w:val="18"/>
                <w:szCs w:val="18"/>
              </w:rPr>
            </w:pPr>
          </w:p>
        </w:tc>
        <w:tc>
          <w:tcPr>
            <w:tcW w:w="344" w:type="pct"/>
            <w:vMerge w:val="restart"/>
            <w:tcBorders>
              <w:top w:val="nil"/>
            </w:tcBorders>
            <w:tcMar>
              <w:top w:w="15" w:type="dxa"/>
              <w:left w:w="108" w:type="dxa"/>
              <w:bottom w:w="0" w:type="dxa"/>
              <w:right w:w="108" w:type="dxa"/>
            </w:tcMar>
          </w:tcPr>
          <w:p w14:paraId="7D03F7D0" w14:textId="77777777" w:rsidR="00F527AE" w:rsidRPr="00251A53" w:rsidRDefault="00F527AE" w:rsidP="007612AB">
            <w:pPr>
              <w:spacing w:before="20" w:after="20"/>
              <w:rPr>
                <w:b/>
                <w:sz w:val="18"/>
                <w:szCs w:val="18"/>
              </w:rPr>
            </w:pPr>
          </w:p>
        </w:tc>
        <w:tc>
          <w:tcPr>
            <w:tcW w:w="343" w:type="pct"/>
            <w:vMerge w:val="restart"/>
            <w:tcBorders>
              <w:top w:val="nil"/>
            </w:tcBorders>
          </w:tcPr>
          <w:p w14:paraId="1C46F441" w14:textId="77777777" w:rsidR="00F527AE" w:rsidRPr="00251A53" w:rsidRDefault="00F527AE" w:rsidP="007612AB">
            <w:pPr>
              <w:spacing w:before="20" w:after="20"/>
              <w:rPr>
                <w:b/>
                <w:sz w:val="18"/>
                <w:szCs w:val="18"/>
              </w:rPr>
            </w:pPr>
          </w:p>
        </w:tc>
        <w:tc>
          <w:tcPr>
            <w:tcW w:w="371" w:type="pct"/>
            <w:vMerge w:val="restart"/>
            <w:tcBorders>
              <w:top w:val="nil"/>
            </w:tcBorders>
          </w:tcPr>
          <w:p w14:paraId="691527AB" w14:textId="77777777" w:rsidR="00F527AE" w:rsidRPr="00251A53" w:rsidRDefault="00F527AE" w:rsidP="007612AB">
            <w:pPr>
              <w:spacing w:before="20" w:after="20"/>
              <w:rPr>
                <w:b/>
                <w:sz w:val="18"/>
                <w:szCs w:val="18"/>
              </w:rPr>
            </w:pPr>
          </w:p>
        </w:tc>
      </w:tr>
      <w:tr w:rsidR="00F527AE" w:rsidRPr="00251A53" w14:paraId="5A9561F1" w14:textId="77777777" w:rsidTr="007C25CB">
        <w:trPr>
          <w:trHeight w:val="20"/>
        </w:trPr>
        <w:tc>
          <w:tcPr>
            <w:tcW w:w="751" w:type="pct"/>
            <w:tcBorders>
              <w:top w:val="nil"/>
              <w:bottom w:val="nil"/>
            </w:tcBorders>
            <w:tcMar>
              <w:top w:w="72" w:type="dxa"/>
              <w:left w:w="144" w:type="dxa"/>
              <w:bottom w:w="72" w:type="dxa"/>
              <w:right w:w="144" w:type="dxa"/>
            </w:tcMar>
          </w:tcPr>
          <w:p w14:paraId="6B53ABD1" w14:textId="77777777" w:rsidR="00F527AE" w:rsidRPr="00251A53" w:rsidRDefault="00F527AE" w:rsidP="007612AB">
            <w:pPr>
              <w:spacing w:before="20" w:after="20"/>
              <w:rPr>
                <w:iCs/>
                <w:sz w:val="18"/>
                <w:szCs w:val="18"/>
              </w:rPr>
            </w:pPr>
          </w:p>
        </w:tc>
        <w:tc>
          <w:tcPr>
            <w:tcW w:w="857" w:type="pct"/>
            <w:tcBorders>
              <w:top w:val="nil"/>
              <w:bottom w:val="nil"/>
            </w:tcBorders>
          </w:tcPr>
          <w:p w14:paraId="03F34F6A" w14:textId="77777777" w:rsidR="00F527AE" w:rsidRPr="00251A53" w:rsidRDefault="00F527AE" w:rsidP="007612AB">
            <w:pPr>
              <w:spacing w:before="20" w:after="20"/>
              <w:rPr>
                <w:iCs/>
                <w:sz w:val="18"/>
                <w:szCs w:val="18"/>
              </w:rPr>
            </w:pPr>
          </w:p>
        </w:tc>
        <w:tc>
          <w:tcPr>
            <w:tcW w:w="1785" w:type="pct"/>
            <w:gridSpan w:val="3"/>
            <w:vMerge/>
            <w:tcMar>
              <w:top w:w="72" w:type="dxa"/>
              <w:left w:w="144" w:type="dxa"/>
              <w:bottom w:w="72" w:type="dxa"/>
              <w:right w:w="144" w:type="dxa"/>
            </w:tcMar>
          </w:tcPr>
          <w:p w14:paraId="283A4AEF" w14:textId="77777777" w:rsidR="00F527AE" w:rsidRPr="00251A53" w:rsidRDefault="00F527AE" w:rsidP="007612AB">
            <w:pPr>
              <w:spacing w:before="20" w:after="20"/>
              <w:rPr>
                <w:b/>
                <w:i/>
                <w:iCs/>
                <w:sz w:val="18"/>
                <w:szCs w:val="18"/>
              </w:rPr>
            </w:pPr>
          </w:p>
        </w:tc>
        <w:tc>
          <w:tcPr>
            <w:tcW w:w="549" w:type="pct"/>
            <w:vMerge/>
          </w:tcPr>
          <w:p w14:paraId="5F5979DB" w14:textId="77777777" w:rsidR="00F527AE" w:rsidRPr="00251A53" w:rsidRDefault="00F527AE" w:rsidP="007612AB">
            <w:pPr>
              <w:spacing w:before="20" w:after="20"/>
              <w:rPr>
                <w:i/>
                <w:iCs/>
                <w:sz w:val="18"/>
                <w:szCs w:val="18"/>
              </w:rPr>
            </w:pPr>
          </w:p>
        </w:tc>
        <w:tc>
          <w:tcPr>
            <w:tcW w:w="344" w:type="pct"/>
            <w:vMerge/>
            <w:tcMar>
              <w:top w:w="15" w:type="dxa"/>
              <w:left w:w="108" w:type="dxa"/>
              <w:bottom w:w="0" w:type="dxa"/>
              <w:right w:w="108" w:type="dxa"/>
            </w:tcMar>
          </w:tcPr>
          <w:p w14:paraId="06A4A7E5" w14:textId="77777777" w:rsidR="00F527AE" w:rsidRPr="00251A53" w:rsidRDefault="00F527AE" w:rsidP="007612AB">
            <w:pPr>
              <w:spacing w:before="20" w:after="20"/>
              <w:rPr>
                <w:b/>
                <w:sz w:val="18"/>
                <w:szCs w:val="18"/>
              </w:rPr>
            </w:pPr>
          </w:p>
        </w:tc>
        <w:tc>
          <w:tcPr>
            <w:tcW w:w="343" w:type="pct"/>
            <w:vMerge/>
          </w:tcPr>
          <w:p w14:paraId="75C9ADCA" w14:textId="77777777" w:rsidR="00F527AE" w:rsidRPr="00251A53" w:rsidRDefault="00F527AE" w:rsidP="007612AB">
            <w:pPr>
              <w:spacing w:before="20" w:after="20"/>
              <w:rPr>
                <w:b/>
                <w:sz w:val="18"/>
                <w:szCs w:val="18"/>
              </w:rPr>
            </w:pPr>
          </w:p>
        </w:tc>
        <w:tc>
          <w:tcPr>
            <w:tcW w:w="371" w:type="pct"/>
            <w:vMerge/>
          </w:tcPr>
          <w:p w14:paraId="551D2806" w14:textId="77777777" w:rsidR="00F527AE" w:rsidRPr="00251A53" w:rsidRDefault="00F527AE" w:rsidP="007612AB">
            <w:pPr>
              <w:spacing w:before="20" w:after="20"/>
              <w:rPr>
                <w:b/>
                <w:sz w:val="18"/>
                <w:szCs w:val="18"/>
              </w:rPr>
            </w:pPr>
          </w:p>
        </w:tc>
      </w:tr>
      <w:tr w:rsidR="00F527AE" w:rsidRPr="00251A53" w14:paraId="6CFFBD7C" w14:textId="77777777" w:rsidTr="00866A85">
        <w:trPr>
          <w:trHeight w:val="20"/>
        </w:trPr>
        <w:tc>
          <w:tcPr>
            <w:tcW w:w="751" w:type="pct"/>
            <w:tcBorders>
              <w:top w:val="nil"/>
              <w:bottom w:val="single" w:sz="8" w:space="0" w:color="auto"/>
            </w:tcBorders>
            <w:tcMar>
              <w:top w:w="72" w:type="dxa"/>
              <w:left w:w="144" w:type="dxa"/>
              <w:bottom w:w="72" w:type="dxa"/>
              <w:right w:w="144" w:type="dxa"/>
            </w:tcMar>
          </w:tcPr>
          <w:p w14:paraId="2FDB4CBE" w14:textId="77777777" w:rsidR="00F527AE" w:rsidRPr="00251A53" w:rsidRDefault="00F527AE" w:rsidP="007612AB">
            <w:pPr>
              <w:spacing w:before="20" w:after="20"/>
              <w:rPr>
                <w:b/>
                <w:iCs/>
                <w:sz w:val="18"/>
                <w:szCs w:val="18"/>
              </w:rPr>
            </w:pPr>
          </w:p>
        </w:tc>
        <w:tc>
          <w:tcPr>
            <w:tcW w:w="857" w:type="pct"/>
            <w:tcBorders>
              <w:top w:val="nil"/>
              <w:bottom w:val="single" w:sz="8" w:space="0" w:color="auto"/>
            </w:tcBorders>
          </w:tcPr>
          <w:p w14:paraId="0B1BE7F9" w14:textId="77777777" w:rsidR="00F527AE" w:rsidRPr="00251A53" w:rsidRDefault="00F527AE" w:rsidP="007612AB">
            <w:pPr>
              <w:spacing w:before="20" w:after="20"/>
              <w:rPr>
                <w:b/>
                <w:bCs/>
                <w:sz w:val="18"/>
                <w:szCs w:val="18"/>
              </w:rPr>
            </w:pPr>
          </w:p>
        </w:tc>
        <w:tc>
          <w:tcPr>
            <w:tcW w:w="1785" w:type="pct"/>
            <w:gridSpan w:val="3"/>
            <w:vMerge/>
            <w:tcBorders>
              <w:bottom w:val="single" w:sz="8" w:space="0" w:color="auto"/>
            </w:tcBorders>
            <w:tcMar>
              <w:top w:w="72" w:type="dxa"/>
              <w:left w:w="144" w:type="dxa"/>
              <w:bottom w:w="72" w:type="dxa"/>
              <w:right w:w="144" w:type="dxa"/>
            </w:tcMar>
          </w:tcPr>
          <w:p w14:paraId="489EF1DB" w14:textId="77777777" w:rsidR="00F527AE" w:rsidRPr="00251A53" w:rsidRDefault="00F527AE" w:rsidP="007612AB">
            <w:pPr>
              <w:spacing w:before="20" w:after="20"/>
              <w:rPr>
                <w:b/>
                <w:i/>
                <w:iCs/>
                <w:sz w:val="18"/>
                <w:szCs w:val="18"/>
              </w:rPr>
            </w:pPr>
          </w:p>
        </w:tc>
        <w:tc>
          <w:tcPr>
            <w:tcW w:w="549" w:type="pct"/>
            <w:vMerge/>
            <w:tcBorders>
              <w:bottom w:val="single" w:sz="8" w:space="0" w:color="auto"/>
            </w:tcBorders>
          </w:tcPr>
          <w:p w14:paraId="14B13375" w14:textId="77777777" w:rsidR="00F527AE" w:rsidRPr="00251A53" w:rsidRDefault="00F527AE" w:rsidP="007612AB">
            <w:pPr>
              <w:spacing w:before="20" w:after="20"/>
              <w:rPr>
                <w:i/>
                <w:iCs/>
                <w:sz w:val="18"/>
                <w:szCs w:val="18"/>
              </w:rPr>
            </w:pPr>
          </w:p>
        </w:tc>
        <w:tc>
          <w:tcPr>
            <w:tcW w:w="344" w:type="pct"/>
            <w:vMerge/>
            <w:tcBorders>
              <w:bottom w:val="single" w:sz="8" w:space="0" w:color="auto"/>
            </w:tcBorders>
            <w:tcMar>
              <w:top w:w="15" w:type="dxa"/>
              <w:left w:w="108" w:type="dxa"/>
              <w:bottom w:w="0" w:type="dxa"/>
              <w:right w:w="108" w:type="dxa"/>
            </w:tcMar>
          </w:tcPr>
          <w:p w14:paraId="6D0FBB42" w14:textId="77777777" w:rsidR="00F527AE" w:rsidRPr="00251A53" w:rsidRDefault="00F527AE" w:rsidP="007612AB">
            <w:pPr>
              <w:spacing w:before="20" w:after="20"/>
              <w:rPr>
                <w:b/>
                <w:sz w:val="18"/>
                <w:szCs w:val="18"/>
              </w:rPr>
            </w:pPr>
          </w:p>
        </w:tc>
        <w:tc>
          <w:tcPr>
            <w:tcW w:w="343" w:type="pct"/>
            <w:vMerge/>
            <w:tcBorders>
              <w:bottom w:val="single" w:sz="8" w:space="0" w:color="auto"/>
            </w:tcBorders>
          </w:tcPr>
          <w:p w14:paraId="0F8FD62E" w14:textId="77777777" w:rsidR="00F527AE" w:rsidRPr="00251A53" w:rsidRDefault="00F527AE" w:rsidP="007612AB">
            <w:pPr>
              <w:spacing w:before="20" w:after="20"/>
              <w:rPr>
                <w:b/>
                <w:sz w:val="18"/>
                <w:szCs w:val="18"/>
              </w:rPr>
            </w:pPr>
          </w:p>
        </w:tc>
        <w:tc>
          <w:tcPr>
            <w:tcW w:w="371" w:type="pct"/>
            <w:vMerge/>
            <w:tcBorders>
              <w:bottom w:val="single" w:sz="8" w:space="0" w:color="auto"/>
            </w:tcBorders>
          </w:tcPr>
          <w:p w14:paraId="1C18584A" w14:textId="77777777" w:rsidR="00F527AE" w:rsidRPr="00251A53" w:rsidRDefault="00F527AE" w:rsidP="007612AB">
            <w:pPr>
              <w:spacing w:before="20" w:after="20"/>
              <w:rPr>
                <w:b/>
                <w:sz w:val="18"/>
                <w:szCs w:val="18"/>
              </w:rPr>
            </w:pPr>
          </w:p>
        </w:tc>
      </w:tr>
      <w:tr w:rsidR="00975819" w:rsidRPr="00251A53" w14:paraId="4BA857C8" w14:textId="77777777" w:rsidTr="00866A85">
        <w:trPr>
          <w:trHeight w:val="20"/>
        </w:trPr>
        <w:tc>
          <w:tcPr>
            <w:tcW w:w="3942" w:type="pct"/>
            <w:gridSpan w:val="6"/>
            <w:tcBorders>
              <w:top w:val="single" w:sz="8" w:space="0" w:color="auto"/>
              <w:bottom w:val="single" w:sz="4" w:space="0" w:color="auto"/>
            </w:tcBorders>
            <w:tcMar>
              <w:top w:w="72" w:type="dxa"/>
              <w:left w:w="144" w:type="dxa"/>
              <w:bottom w:w="72" w:type="dxa"/>
              <w:right w:w="144" w:type="dxa"/>
            </w:tcMar>
            <w:vAlign w:val="center"/>
          </w:tcPr>
          <w:p w14:paraId="2A153D80" w14:textId="77777777" w:rsidR="004255D8" w:rsidRPr="00251A53" w:rsidRDefault="004255D8" w:rsidP="007612AB">
            <w:pPr>
              <w:spacing w:before="20" w:after="20"/>
              <w:rPr>
                <w:b/>
                <w:sz w:val="18"/>
                <w:szCs w:val="18"/>
              </w:rPr>
            </w:pPr>
            <w:r w:rsidRPr="00251A53">
              <w:rPr>
                <w:b/>
                <w:sz w:val="18"/>
                <w:szCs w:val="18"/>
              </w:rPr>
              <w:t xml:space="preserve">Support to programme/cross-sectoral costs </w:t>
            </w:r>
          </w:p>
        </w:tc>
        <w:tc>
          <w:tcPr>
            <w:tcW w:w="344" w:type="pct"/>
            <w:tcBorders>
              <w:top w:val="single" w:sz="8" w:space="0" w:color="auto"/>
              <w:bottom w:val="single" w:sz="4" w:space="0" w:color="auto"/>
            </w:tcBorders>
            <w:tcMar>
              <w:top w:w="15" w:type="dxa"/>
              <w:left w:w="108" w:type="dxa"/>
              <w:bottom w:w="0" w:type="dxa"/>
              <w:right w:w="108" w:type="dxa"/>
            </w:tcMar>
          </w:tcPr>
          <w:p w14:paraId="0BE5304B" w14:textId="77777777" w:rsidR="004255D8" w:rsidRPr="00251A53" w:rsidRDefault="004255D8" w:rsidP="00A13F36">
            <w:pPr>
              <w:spacing w:before="20" w:after="120"/>
              <w:jc w:val="center"/>
              <w:rPr>
                <w:sz w:val="18"/>
                <w:szCs w:val="18"/>
              </w:rPr>
            </w:pPr>
            <w:r w:rsidRPr="00251A53">
              <w:rPr>
                <w:sz w:val="18"/>
                <w:szCs w:val="18"/>
              </w:rPr>
              <w:t>UNFPA</w:t>
            </w:r>
            <w:r w:rsidR="004E0181" w:rsidRPr="00251A53">
              <w:rPr>
                <w:sz w:val="18"/>
                <w:szCs w:val="18"/>
              </w:rPr>
              <w:t xml:space="preserve">: </w:t>
            </w:r>
            <w:r w:rsidR="008C3902" w:rsidRPr="00251A53">
              <w:rPr>
                <w:sz w:val="18"/>
                <w:szCs w:val="18"/>
              </w:rPr>
              <w:br/>
            </w:r>
            <w:r w:rsidRPr="00251A53">
              <w:rPr>
                <w:sz w:val="18"/>
                <w:szCs w:val="18"/>
              </w:rPr>
              <w:t>375,000</w:t>
            </w:r>
          </w:p>
          <w:p w14:paraId="727A6A16" w14:textId="77777777" w:rsidR="004255D8" w:rsidRPr="00251A53" w:rsidRDefault="004255D8" w:rsidP="00A13F36">
            <w:pPr>
              <w:spacing w:before="20" w:after="120"/>
              <w:ind w:left="-110" w:right="-102"/>
              <w:jc w:val="center"/>
              <w:rPr>
                <w:sz w:val="18"/>
                <w:szCs w:val="18"/>
              </w:rPr>
            </w:pPr>
            <w:r w:rsidRPr="00251A53">
              <w:rPr>
                <w:sz w:val="18"/>
                <w:szCs w:val="18"/>
              </w:rPr>
              <w:t>UNICEF</w:t>
            </w:r>
            <w:r w:rsidR="004E0181" w:rsidRPr="00251A53">
              <w:rPr>
                <w:sz w:val="18"/>
                <w:szCs w:val="18"/>
              </w:rPr>
              <w:t xml:space="preserve">: </w:t>
            </w:r>
            <w:r w:rsidR="008C3902" w:rsidRPr="00251A53">
              <w:rPr>
                <w:sz w:val="18"/>
                <w:szCs w:val="18"/>
              </w:rPr>
              <w:br/>
            </w:r>
            <w:r w:rsidRPr="00251A53">
              <w:rPr>
                <w:sz w:val="18"/>
                <w:szCs w:val="18"/>
              </w:rPr>
              <w:t>900,000</w:t>
            </w:r>
          </w:p>
        </w:tc>
        <w:tc>
          <w:tcPr>
            <w:tcW w:w="343" w:type="pct"/>
            <w:tcBorders>
              <w:top w:val="single" w:sz="8" w:space="0" w:color="auto"/>
              <w:bottom w:val="single" w:sz="4" w:space="0" w:color="auto"/>
            </w:tcBorders>
          </w:tcPr>
          <w:p w14:paraId="5D44BAB6" w14:textId="77777777" w:rsidR="004255D8" w:rsidRPr="00251A53" w:rsidRDefault="004255D8" w:rsidP="00A13F36">
            <w:pPr>
              <w:spacing w:before="20" w:after="120"/>
              <w:jc w:val="center"/>
              <w:rPr>
                <w:sz w:val="18"/>
                <w:szCs w:val="18"/>
              </w:rPr>
            </w:pPr>
            <w:r w:rsidRPr="00251A53">
              <w:rPr>
                <w:sz w:val="18"/>
                <w:szCs w:val="18"/>
              </w:rPr>
              <w:t>UNFPA</w:t>
            </w:r>
            <w:r w:rsidR="004E0181" w:rsidRPr="00251A53">
              <w:rPr>
                <w:sz w:val="18"/>
                <w:szCs w:val="18"/>
              </w:rPr>
              <w:t>:</w:t>
            </w:r>
            <w:r w:rsidR="008C3902" w:rsidRPr="00251A53">
              <w:rPr>
                <w:sz w:val="18"/>
                <w:szCs w:val="18"/>
              </w:rPr>
              <w:br/>
            </w:r>
            <w:r w:rsidRPr="00251A53">
              <w:rPr>
                <w:sz w:val="18"/>
                <w:szCs w:val="18"/>
              </w:rPr>
              <w:t>0</w:t>
            </w:r>
          </w:p>
          <w:p w14:paraId="30BBC789" w14:textId="77777777" w:rsidR="004255D8" w:rsidRPr="00251A53" w:rsidRDefault="004255D8" w:rsidP="00A13F36">
            <w:pPr>
              <w:spacing w:before="20" w:after="120"/>
              <w:jc w:val="center"/>
              <w:rPr>
                <w:sz w:val="18"/>
                <w:szCs w:val="18"/>
              </w:rPr>
            </w:pPr>
            <w:r w:rsidRPr="00251A53">
              <w:rPr>
                <w:sz w:val="18"/>
                <w:szCs w:val="18"/>
              </w:rPr>
              <w:t>UNICEF</w:t>
            </w:r>
            <w:r w:rsidR="004E0181" w:rsidRPr="00251A53">
              <w:rPr>
                <w:sz w:val="18"/>
                <w:szCs w:val="18"/>
              </w:rPr>
              <w:t xml:space="preserve">: </w:t>
            </w:r>
            <w:r w:rsidR="008C3902" w:rsidRPr="00251A53">
              <w:rPr>
                <w:sz w:val="18"/>
                <w:szCs w:val="18"/>
              </w:rPr>
              <w:br/>
            </w:r>
            <w:r w:rsidRPr="00251A53">
              <w:rPr>
                <w:sz w:val="18"/>
                <w:szCs w:val="18"/>
              </w:rPr>
              <w:t>189,800</w:t>
            </w:r>
          </w:p>
        </w:tc>
        <w:tc>
          <w:tcPr>
            <w:tcW w:w="371" w:type="pct"/>
            <w:tcBorders>
              <w:top w:val="single" w:sz="8" w:space="0" w:color="auto"/>
              <w:bottom w:val="single" w:sz="4" w:space="0" w:color="auto"/>
            </w:tcBorders>
          </w:tcPr>
          <w:p w14:paraId="2EE2B06E" w14:textId="77777777" w:rsidR="004255D8" w:rsidRPr="00251A53" w:rsidRDefault="004255D8" w:rsidP="00A13F36">
            <w:pPr>
              <w:spacing w:before="20" w:after="120"/>
              <w:jc w:val="center"/>
              <w:rPr>
                <w:sz w:val="18"/>
                <w:szCs w:val="18"/>
              </w:rPr>
            </w:pPr>
            <w:r w:rsidRPr="00251A53">
              <w:rPr>
                <w:sz w:val="18"/>
                <w:szCs w:val="18"/>
              </w:rPr>
              <w:t>UNFPA</w:t>
            </w:r>
            <w:r w:rsidR="004E0181" w:rsidRPr="00251A53">
              <w:rPr>
                <w:sz w:val="18"/>
                <w:szCs w:val="18"/>
              </w:rPr>
              <w:t xml:space="preserve">: </w:t>
            </w:r>
            <w:r w:rsidR="008C3902" w:rsidRPr="00251A53">
              <w:rPr>
                <w:sz w:val="18"/>
                <w:szCs w:val="18"/>
              </w:rPr>
              <w:br/>
            </w:r>
            <w:r w:rsidRPr="00251A53">
              <w:rPr>
                <w:sz w:val="18"/>
                <w:szCs w:val="18"/>
              </w:rPr>
              <w:t>375,000</w:t>
            </w:r>
          </w:p>
          <w:p w14:paraId="499747BF" w14:textId="77777777" w:rsidR="004255D8" w:rsidRPr="00251A53" w:rsidRDefault="004255D8" w:rsidP="00A13F36">
            <w:pPr>
              <w:spacing w:before="20" w:after="120"/>
              <w:jc w:val="center"/>
              <w:rPr>
                <w:sz w:val="18"/>
                <w:szCs w:val="18"/>
              </w:rPr>
            </w:pPr>
            <w:r w:rsidRPr="00251A53">
              <w:rPr>
                <w:sz w:val="18"/>
                <w:szCs w:val="18"/>
              </w:rPr>
              <w:t>UNICEF</w:t>
            </w:r>
            <w:r w:rsidR="004E0181" w:rsidRPr="00251A53">
              <w:rPr>
                <w:sz w:val="18"/>
                <w:szCs w:val="18"/>
              </w:rPr>
              <w:t xml:space="preserve">: </w:t>
            </w:r>
            <w:r w:rsidR="008C3902" w:rsidRPr="00251A53">
              <w:rPr>
                <w:sz w:val="18"/>
                <w:szCs w:val="18"/>
              </w:rPr>
              <w:br/>
            </w:r>
            <w:r w:rsidRPr="00251A53">
              <w:rPr>
                <w:sz w:val="18"/>
                <w:szCs w:val="18"/>
              </w:rPr>
              <w:t>1,089,800</w:t>
            </w:r>
          </w:p>
        </w:tc>
      </w:tr>
      <w:tr w:rsidR="00614B5F" w:rsidRPr="00251A53" w14:paraId="5B41241D" w14:textId="77777777" w:rsidTr="00614B5F">
        <w:trPr>
          <w:trHeight w:val="20"/>
        </w:trPr>
        <w:tc>
          <w:tcPr>
            <w:tcW w:w="3942" w:type="pct"/>
            <w:gridSpan w:val="6"/>
            <w:vMerge w:val="restart"/>
            <w:tcBorders>
              <w:top w:val="single" w:sz="4" w:space="0" w:color="auto"/>
            </w:tcBorders>
            <w:tcMar>
              <w:top w:w="72" w:type="dxa"/>
              <w:left w:w="144" w:type="dxa"/>
              <w:bottom w:w="72" w:type="dxa"/>
              <w:right w:w="144" w:type="dxa"/>
            </w:tcMar>
            <w:vAlign w:val="center"/>
          </w:tcPr>
          <w:p w14:paraId="143C74FE" w14:textId="77777777" w:rsidR="00614B5F" w:rsidRPr="00251A53" w:rsidRDefault="00614B5F" w:rsidP="007612AB">
            <w:pPr>
              <w:spacing w:before="20" w:after="20"/>
              <w:rPr>
                <w:i/>
                <w:iCs/>
                <w:sz w:val="18"/>
                <w:szCs w:val="18"/>
              </w:rPr>
            </w:pPr>
            <w:r w:rsidRPr="00251A53">
              <w:rPr>
                <w:b/>
                <w:sz w:val="18"/>
                <w:szCs w:val="18"/>
              </w:rPr>
              <w:t>TOTAL</w:t>
            </w:r>
          </w:p>
        </w:tc>
        <w:tc>
          <w:tcPr>
            <w:tcW w:w="687" w:type="pct"/>
            <w:gridSpan w:val="2"/>
            <w:tcMar>
              <w:top w:w="15" w:type="dxa"/>
              <w:left w:w="108" w:type="dxa"/>
              <w:bottom w:w="0" w:type="dxa"/>
              <w:right w:w="108" w:type="dxa"/>
            </w:tcMar>
          </w:tcPr>
          <w:p w14:paraId="6E60E5E0" w14:textId="77777777" w:rsidR="00614B5F" w:rsidRPr="00251A53" w:rsidRDefault="00614B5F" w:rsidP="007612AB">
            <w:pPr>
              <w:spacing w:before="20" w:after="20"/>
              <w:rPr>
                <w:b/>
                <w:sz w:val="18"/>
                <w:szCs w:val="18"/>
              </w:rPr>
            </w:pPr>
            <w:r w:rsidRPr="00251A53">
              <w:rPr>
                <w:b/>
                <w:sz w:val="18"/>
                <w:szCs w:val="18"/>
              </w:rPr>
              <w:t>Regular</w:t>
            </w:r>
          </w:p>
        </w:tc>
        <w:tc>
          <w:tcPr>
            <w:tcW w:w="371" w:type="pct"/>
          </w:tcPr>
          <w:p w14:paraId="165FA5A8" w14:textId="77777777" w:rsidR="00614B5F" w:rsidRPr="00251A53" w:rsidRDefault="00614B5F" w:rsidP="00A13F36">
            <w:pPr>
              <w:spacing w:before="20" w:after="120"/>
              <w:jc w:val="center"/>
              <w:rPr>
                <w:sz w:val="18"/>
                <w:szCs w:val="18"/>
              </w:rPr>
            </w:pPr>
            <w:r w:rsidRPr="00251A53">
              <w:rPr>
                <w:sz w:val="18"/>
                <w:szCs w:val="18"/>
              </w:rPr>
              <w:t xml:space="preserve">UNDP: </w:t>
            </w:r>
            <w:r w:rsidRPr="00251A53">
              <w:rPr>
                <w:sz w:val="18"/>
                <w:szCs w:val="18"/>
              </w:rPr>
              <w:br/>
              <w:t>2,500,000</w:t>
            </w:r>
          </w:p>
          <w:p w14:paraId="6E62EB6E" w14:textId="77777777" w:rsidR="00614B5F" w:rsidRPr="00251A53" w:rsidRDefault="00614B5F" w:rsidP="00A13F36">
            <w:pPr>
              <w:spacing w:before="20" w:after="120"/>
              <w:jc w:val="center"/>
              <w:rPr>
                <w:sz w:val="18"/>
                <w:szCs w:val="18"/>
              </w:rPr>
            </w:pPr>
            <w:r w:rsidRPr="00251A53">
              <w:rPr>
                <w:sz w:val="18"/>
                <w:szCs w:val="18"/>
              </w:rPr>
              <w:t xml:space="preserve">UNFPA: </w:t>
            </w:r>
            <w:r w:rsidRPr="00251A53">
              <w:rPr>
                <w:sz w:val="18"/>
                <w:szCs w:val="18"/>
              </w:rPr>
              <w:br/>
              <w:t>2,500,000</w:t>
            </w:r>
          </w:p>
          <w:p w14:paraId="63EECD26" w14:textId="77777777" w:rsidR="00614B5F" w:rsidRPr="00251A53" w:rsidRDefault="00614B5F" w:rsidP="00A13F36">
            <w:pPr>
              <w:spacing w:before="20" w:after="120"/>
              <w:jc w:val="center"/>
              <w:rPr>
                <w:sz w:val="18"/>
                <w:szCs w:val="18"/>
              </w:rPr>
            </w:pPr>
            <w:r w:rsidRPr="00251A53">
              <w:rPr>
                <w:sz w:val="18"/>
                <w:szCs w:val="18"/>
              </w:rPr>
              <w:t xml:space="preserve">UNICEF: </w:t>
            </w:r>
            <w:r w:rsidRPr="00251A53">
              <w:rPr>
                <w:sz w:val="18"/>
                <w:szCs w:val="18"/>
              </w:rPr>
              <w:br/>
              <w:t>4,325,000</w:t>
            </w:r>
          </w:p>
        </w:tc>
      </w:tr>
      <w:tr w:rsidR="00614B5F" w:rsidRPr="00251A53" w14:paraId="40031D6F" w14:textId="77777777" w:rsidTr="00614B5F">
        <w:trPr>
          <w:trHeight w:val="20"/>
        </w:trPr>
        <w:tc>
          <w:tcPr>
            <w:tcW w:w="3942" w:type="pct"/>
            <w:gridSpan w:val="6"/>
            <w:vMerge/>
            <w:tcBorders>
              <w:bottom w:val="single" w:sz="12" w:space="0" w:color="auto"/>
            </w:tcBorders>
            <w:tcMar>
              <w:top w:w="72" w:type="dxa"/>
              <w:left w:w="144" w:type="dxa"/>
              <w:bottom w:w="72" w:type="dxa"/>
              <w:right w:w="144" w:type="dxa"/>
            </w:tcMar>
          </w:tcPr>
          <w:p w14:paraId="6D13494B" w14:textId="77777777" w:rsidR="00614B5F" w:rsidRPr="00251A53" w:rsidRDefault="00614B5F" w:rsidP="007612AB">
            <w:pPr>
              <w:spacing w:before="20" w:after="20"/>
              <w:rPr>
                <w:i/>
                <w:iCs/>
                <w:sz w:val="18"/>
                <w:szCs w:val="18"/>
              </w:rPr>
            </w:pPr>
          </w:p>
        </w:tc>
        <w:tc>
          <w:tcPr>
            <w:tcW w:w="687" w:type="pct"/>
            <w:gridSpan w:val="2"/>
            <w:tcBorders>
              <w:bottom w:val="single" w:sz="12" w:space="0" w:color="auto"/>
            </w:tcBorders>
            <w:tcMar>
              <w:top w:w="15" w:type="dxa"/>
              <w:left w:w="108" w:type="dxa"/>
              <w:bottom w:w="0" w:type="dxa"/>
              <w:right w:w="108" w:type="dxa"/>
            </w:tcMar>
          </w:tcPr>
          <w:p w14:paraId="17EFBD82" w14:textId="77777777" w:rsidR="00614B5F" w:rsidRPr="00251A53" w:rsidRDefault="00614B5F" w:rsidP="007612AB">
            <w:pPr>
              <w:spacing w:before="20" w:after="20"/>
              <w:rPr>
                <w:b/>
                <w:sz w:val="18"/>
                <w:szCs w:val="18"/>
              </w:rPr>
            </w:pPr>
            <w:r w:rsidRPr="00251A53">
              <w:rPr>
                <w:b/>
                <w:sz w:val="18"/>
                <w:szCs w:val="18"/>
              </w:rPr>
              <w:t>Other</w:t>
            </w:r>
          </w:p>
        </w:tc>
        <w:tc>
          <w:tcPr>
            <w:tcW w:w="371" w:type="pct"/>
            <w:tcBorders>
              <w:bottom w:val="single" w:sz="12" w:space="0" w:color="auto"/>
            </w:tcBorders>
          </w:tcPr>
          <w:p w14:paraId="6345D00F" w14:textId="77777777" w:rsidR="00614B5F" w:rsidRPr="00251A53" w:rsidRDefault="00614B5F" w:rsidP="00A13F36">
            <w:pPr>
              <w:spacing w:before="20" w:after="120"/>
              <w:jc w:val="center"/>
              <w:rPr>
                <w:sz w:val="18"/>
                <w:szCs w:val="18"/>
              </w:rPr>
            </w:pPr>
            <w:r w:rsidRPr="00251A53">
              <w:rPr>
                <w:sz w:val="18"/>
                <w:szCs w:val="18"/>
              </w:rPr>
              <w:t xml:space="preserve">UNDP: </w:t>
            </w:r>
            <w:r w:rsidRPr="00251A53">
              <w:rPr>
                <w:sz w:val="18"/>
                <w:szCs w:val="18"/>
              </w:rPr>
              <w:br/>
              <w:t>25,115,000</w:t>
            </w:r>
          </w:p>
          <w:p w14:paraId="084BB342" w14:textId="77777777" w:rsidR="00614B5F" w:rsidRPr="00251A53" w:rsidRDefault="00614B5F" w:rsidP="00A13F36">
            <w:pPr>
              <w:spacing w:before="20" w:after="120"/>
              <w:jc w:val="center"/>
              <w:rPr>
                <w:sz w:val="18"/>
                <w:szCs w:val="18"/>
              </w:rPr>
            </w:pPr>
            <w:r w:rsidRPr="00251A53">
              <w:rPr>
                <w:sz w:val="18"/>
                <w:szCs w:val="18"/>
              </w:rPr>
              <w:t xml:space="preserve">UNFPA: </w:t>
            </w:r>
            <w:r w:rsidRPr="00251A53">
              <w:rPr>
                <w:sz w:val="18"/>
                <w:szCs w:val="18"/>
              </w:rPr>
              <w:br/>
              <w:t>2,625,000</w:t>
            </w:r>
          </w:p>
          <w:p w14:paraId="5B289C5A" w14:textId="77777777" w:rsidR="00614B5F" w:rsidRPr="00251A53" w:rsidRDefault="00614B5F" w:rsidP="00A13F36">
            <w:pPr>
              <w:spacing w:before="20" w:after="120"/>
              <w:jc w:val="center"/>
              <w:rPr>
                <w:sz w:val="18"/>
                <w:szCs w:val="18"/>
              </w:rPr>
            </w:pPr>
            <w:r w:rsidRPr="00251A53">
              <w:rPr>
                <w:sz w:val="18"/>
                <w:szCs w:val="18"/>
              </w:rPr>
              <w:t xml:space="preserve">UNICEF: </w:t>
            </w:r>
            <w:r w:rsidRPr="00251A53">
              <w:rPr>
                <w:sz w:val="18"/>
                <w:szCs w:val="18"/>
              </w:rPr>
              <w:br/>
              <w:t>3,985,800</w:t>
            </w:r>
          </w:p>
        </w:tc>
      </w:tr>
    </w:tbl>
    <w:p w14:paraId="528D0503" w14:textId="77777777" w:rsidR="00B64FCB" w:rsidRPr="00251A53" w:rsidRDefault="00B64FCB" w:rsidP="00B0740B">
      <w:pPr>
        <w:tabs>
          <w:tab w:val="left" w:pos="8235"/>
        </w:tabs>
        <w:spacing w:before="20"/>
        <w:jc w:val="center"/>
      </w:pPr>
      <w:r w:rsidRPr="00251A53">
        <w:rPr>
          <w:b/>
        </w:rPr>
        <w:t>__________</w:t>
      </w:r>
    </w:p>
    <w:sectPr w:rsidR="00B64FCB" w:rsidRPr="00251A53">
      <w:headerReference w:type="even" r:id="rId14"/>
      <w:headerReference w:type="default" r:id="rId15"/>
      <w:footerReference w:type="even" r:id="rId16"/>
      <w:footerReference w:type="default" r:id="rId17"/>
      <w:type w:val="continuous"/>
      <w:pgSz w:w="15840" w:h="12240" w:orient="landscape"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FB65B" w14:textId="77777777" w:rsidR="001079E0" w:rsidRDefault="001079E0" w:rsidP="00FE75A8">
      <w:r>
        <w:separator/>
      </w:r>
    </w:p>
  </w:endnote>
  <w:endnote w:type="continuationSeparator" w:id="0">
    <w:p w14:paraId="38A5BAB6" w14:textId="77777777" w:rsidR="001079E0" w:rsidRDefault="001079E0" w:rsidP="00FE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2BD9" w14:textId="77777777" w:rsidR="007A2930" w:rsidRPr="008B00C3" w:rsidRDefault="007A2930">
    <w:pPr>
      <w:pStyle w:val="Footer"/>
      <w:rPr>
        <w:sz w:val="18"/>
        <w:szCs w:val="18"/>
      </w:rPr>
    </w:pPr>
    <w:r w:rsidRPr="008B00C3">
      <w:rPr>
        <w:sz w:val="18"/>
        <w:szCs w:val="18"/>
      </w:rPr>
      <w:fldChar w:fldCharType="begin"/>
    </w:r>
    <w:r w:rsidRPr="008B00C3">
      <w:rPr>
        <w:sz w:val="18"/>
        <w:szCs w:val="18"/>
      </w:rPr>
      <w:instrText xml:space="preserve"> PAGE   \* MERGEFORMAT </w:instrText>
    </w:r>
    <w:r w:rsidRPr="008B00C3">
      <w:rPr>
        <w:sz w:val="18"/>
        <w:szCs w:val="18"/>
      </w:rPr>
      <w:fldChar w:fldCharType="separate"/>
    </w:r>
    <w:r>
      <w:rPr>
        <w:noProof/>
        <w:sz w:val="18"/>
        <w:szCs w:val="18"/>
      </w:rPr>
      <w:t>6</w:t>
    </w:r>
    <w:r w:rsidRPr="008B00C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6837" w14:textId="77777777" w:rsidR="007A2930" w:rsidRPr="008B00C3" w:rsidRDefault="007A2930" w:rsidP="00945BDD">
    <w:pPr>
      <w:pStyle w:val="Footer"/>
      <w:jc w:val="right"/>
      <w:rPr>
        <w:sz w:val="18"/>
        <w:szCs w:val="18"/>
      </w:rPr>
    </w:pPr>
    <w:r w:rsidRPr="008B00C3">
      <w:rPr>
        <w:sz w:val="18"/>
        <w:szCs w:val="18"/>
      </w:rPr>
      <w:fldChar w:fldCharType="begin"/>
    </w:r>
    <w:r w:rsidRPr="008B00C3">
      <w:rPr>
        <w:sz w:val="18"/>
        <w:szCs w:val="18"/>
      </w:rPr>
      <w:instrText xml:space="preserve"> PAGE   \* MERGEFORMAT </w:instrText>
    </w:r>
    <w:r w:rsidRPr="008B00C3">
      <w:rPr>
        <w:sz w:val="18"/>
        <w:szCs w:val="18"/>
      </w:rPr>
      <w:fldChar w:fldCharType="separate"/>
    </w:r>
    <w:r>
      <w:rPr>
        <w:noProof/>
        <w:sz w:val="18"/>
        <w:szCs w:val="18"/>
      </w:rPr>
      <w:t>5</w:t>
    </w:r>
    <w:r w:rsidRPr="008B00C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30" w:type="dxa"/>
      <w:tblBorders>
        <w:insideH w:val="single" w:sz="4" w:space="0" w:color="auto"/>
      </w:tblBorders>
      <w:tblLayout w:type="fixed"/>
      <w:tblLook w:val="0000" w:firstRow="0" w:lastRow="0" w:firstColumn="0" w:lastColumn="0" w:noHBand="0" w:noVBand="0"/>
    </w:tblPr>
    <w:tblGrid>
      <w:gridCol w:w="6515"/>
      <w:gridCol w:w="6515"/>
    </w:tblGrid>
    <w:tr w:rsidR="007A2930" w:rsidRPr="008B00C3" w14:paraId="1F5A9A87" w14:textId="77777777" w:rsidTr="00945BDD">
      <w:trPr>
        <w:trHeight w:val="285"/>
      </w:trPr>
      <w:tc>
        <w:tcPr>
          <w:tcW w:w="6515" w:type="dxa"/>
          <w:vAlign w:val="bottom"/>
        </w:tcPr>
        <w:p w14:paraId="1FF71FCE" w14:textId="77777777" w:rsidR="007A2930" w:rsidRPr="008B00C3" w:rsidRDefault="007A2930">
          <w:pPr>
            <w:pStyle w:val="Footer"/>
            <w:rPr>
              <w:sz w:val="18"/>
              <w:szCs w:val="18"/>
            </w:rPr>
          </w:pPr>
          <w:r w:rsidRPr="008B00C3">
            <w:rPr>
              <w:sz w:val="18"/>
              <w:szCs w:val="18"/>
            </w:rPr>
            <w:fldChar w:fldCharType="begin"/>
          </w:r>
          <w:r w:rsidRPr="008B00C3">
            <w:rPr>
              <w:sz w:val="18"/>
              <w:szCs w:val="18"/>
            </w:rPr>
            <w:instrText xml:space="preserve"> PAGE  \* MERGEFORMAT </w:instrText>
          </w:r>
          <w:r w:rsidRPr="008B00C3">
            <w:rPr>
              <w:sz w:val="18"/>
              <w:szCs w:val="18"/>
            </w:rPr>
            <w:fldChar w:fldCharType="separate"/>
          </w:r>
          <w:r>
            <w:rPr>
              <w:noProof/>
              <w:sz w:val="18"/>
              <w:szCs w:val="18"/>
            </w:rPr>
            <w:t>20</w:t>
          </w:r>
          <w:r w:rsidRPr="008B00C3">
            <w:rPr>
              <w:sz w:val="18"/>
              <w:szCs w:val="18"/>
            </w:rPr>
            <w:fldChar w:fldCharType="end"/>
          </w:r>
        </w:p>
      </w:tc>
      <w:tc>
        <w:tcPr>
          <w:tcW w:w="6515" w:type="dxa"/>
          <w:vAlign w:val="bottom"/>
        </w:tcPr>
        <w:p w14:paraId="668BE199" w14:textId="77777777" w:rsidR="007A2930" w:rsidRPr="008B00C3" w:rsidRDefault="007A2930">
          <w:pPr>
            <w:pStyle w:val="Footer"/>
            <w:jc w:val="right"/>
            <w:rPr>
              <w:sz w:val="18"/>
              <w:szCs w:val="18"/>
            </w:rPr>
          </w:pPr>
        </w:p>
      </w:tc>
    </w:tr>
  </w:tbl>
  <w:p w14:paraId="71E6EEC1" w14:textId="77777777" w:rsidR="007A2930" w:rsidRPr="008B00C3" w:rsidRDefault="007A2930">
    <w:pPr>
      <w:pStyle w:val="Footer"/>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40" w:type="dxa"/>
      <w:tblBorders>
        <w:insideH w:val="single" w:sz="4" w:space="0" w:color="auto"/>
      </w:tblBorders>
      <w:tblLayout w:type="fixed"/>
      <w:tblLook w:val="0000" w:firstRow="0" w:lastRow="0" w:firstColumn="0" w:lastColumn="0" w:noHBand="0" w:noVBand="0"/>
    </w:tblPr>
    <w:tblGrid>
      <w:gridCol w:w="5033"/>
      <w:gridCol w:w="8107"/>
    </w:tblGrid>
    <w:tr w:rsidR="007A2930" w:rsidRPr="008B00C3" w14:paraId="38A6F664" w14:textId="77777777" w:rsidTr="00945BDD">
      <w:tc>
        <w:tcPr>
          <w:tcW w:w="5033" w:type="dxa"/>
          <w:vAlign w:val="bottom"/>
        </w:tcPr>
        <w:p w14:paraId="2C5A9D87" w14:textId="77777777" w:rsidR="007A2930" w:rsidRPr="008B00C3" w:rsidRDefault="007A2930">
          <w:pPr>
            <w:pStyle w:val="Footer"/>
            <w:rPr>
              <w:sz w:val="18"/>
              <w:szCs w:val="18"/>
            </w:rPr>
          </w:pPr>
        </w:p>
      </w:tc>
      <w:tc>
        <w:tcPr>
          <w:tcW w:w="8107" w:type="dxa"/>
          <w:vAlign w:val="bottom"/>
        </w:tcPr>
        <w:p w14:paraId="2B5A0CBA" w14:textId="77777777" w:rsidR="007A2930" w:rsidRPr="008B00C3" w:rsidRDefault="007A2930">
          <w:pPr>
            <w:pStyle w:val="Footer"/>
            <w:jc w:val="right"/>
            <w:rPr>
              <w:sz w:val="18"/>
              <w:szCs w:val="18"/>
            </w:rPr>
          </w:pPr>
          <w:r w:rsidRPr="008B00C3">
            <w:rPr>
              <w:sz w:val="18"/>
              <w:szCs w:val="18"/>
            </w:rPr>
            <w:fldChar w:fldCharType="begin"/>
          </w:r>
          <w:r w:rsidRPr="008B00C3">
            <w:rPr>
              <w:sz w:val="18"/>
              <w:szCs w:val="18"/>
            </w:rPr>
            <w:instrText xml:space="preserve"> PAGE  \* MERGEFORMAT </w:instrText>
          </w:r>
          <w:r w:rsidRPr="008B00C3">
            <w:rPr>
              <w:sz w:val="18"/>
              <w:szCs w:val="18"/>
            </w:rPr>
            <w:fldChar w:fldCharType="separate"/>
          </w:r>
          <w:r>
            <w:rPr>
              <w:noProof/>
              <w:sz w:val="18"/>
              <w:szCs w:val="18"/>
            </w:rPr>
            <w:t>19</w:t>
          </w:r>
          <w:r w:rsidRPr="008B00C3">
            <w:rPr>
              <w:sz w:val="18"/>
              <w:szCs w:val="18"/>
            </w:rPr>
            <w:fldChar w:fldCharType="end"/>
          </w:r>
        </w:p>
      </w:tc>
    </w:tr>
  </w:tbl>
  <w:p w14:paraId="7847245B" w14:textId="77777777" w:rsidR="007A2930" w:rsidRPr="008B00C3" w:rsidRDefault="007A2930">
    <w:pPr>
      <w:pStyle w:val="Foo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2B8A0" w14:textId="77777777" w:rsidR="001079E0" w:rsidRDefault="001079E0" w:rsidP="00FE75A8">
      <w:r>
        <w:separator/>
      </w:r>
    </w:p>
  </w:footnote>
  <w:footnote w:type="continuationSeparator" w:id="0">
    <w:p w14:paraId="5136DB92" w14:textId="77777777" w:rsidR="001079E0" w:rsidRDefault="001079E0" w:rsidP="00FE75A8">
      <w:r>
        <w:continuationSeparator/>
      </w:r>
    </w:p>
  </w:footnote>
  <w:footnote w:id="1">
    <w:p w14:paraId="38D3FFC2" w14:textId="77777777" w:rsidR="007A2930" w:rsidRPr="00976499" w:rsidRDefault="007A2930" w:rsidP="00976499">
      <w:pPr>
        <w:pStyle w:val="FootnoteText"/>
        <w:ind w:left="1260"/>
        <w:rPr>
          <w:sz w:val="18"/>
          <w:szCs w:val="18"/>
          <w:lang w:val="en-US"/>
        </w:rPr>
      </w:pPr>
      <w:r w:rsidRPr="00976499">
        <w:rPr>
          <w:rStyle w:val="FootnoteReference"/>
          <w:sz w:val="18"/>
          <w:szCs w:val="18"/>
        </w:rPr>
        <w:footnoteRef/>
      </w:r>
      <w:r w:rsidRPr="00976499">
        <w:rPr>
          <w:sz w:val="18"/>
          <w:szCs w:val="18"/>
        </w:rPr>
        <w:t xml:space="preserve"> National Statistics Institute (INE) (2017), </w:t>
      </w:r>
      <w:r w:rsidRPr="00976499">
        <w:rPr>
          <w:i/>
          <w:sz w:val="18"/>
          <w:szCs w:val="18"/>
        </w:rPr>
        <w:t>Demographic Projections, 2010-2030</w:t>
      </w:r>
      <w:r w:rsidRPr="00976499">
        <w:rPr>
          <w:sz w:val="18"/>
          <w:szCs w:val="18"/>
        </w:rPr>
        <w:t>.</w:t>
      </w:r>
    </w:p>
  </w:footnote>
  <w:footnote w:id="2">
    <w:p w14:paraId="78A1AB53" w14:textId="13E660EF" w:rsidR="007A2930" w:rsidRPr="0089195B" w:rsidRDefault="007A2930" w:rsidP="00976499">
      <w:pPr>
        <w:pStyle w:val="FootnoteText"/>
        <w:ind w:left="1260"/>
        <w:rPr>
          <w:sz w:val="18"/>
          <w:szCs w:val="18"/>
          <w:lang w:val="en-US"/>
        </w:rPr>
      </w:pPr>
      <w:r w:rsidRPr="0089195B">
        <w:rPr>
          <w:rStyle w:val="FootnoteReference"/>
          <w:sz w:val="18"/>
          <w:szCs w:val="18"/>
        </w:rPr>
        <w:footnoteRef/>
      </w:r>
      <w:r w:rsidRPr="0089195B">
        <w:rPr>
          <w:sz w:val="18"/>
          <w:szCs w:val="18"/>
        </w:rPr>
        <w:t xml:space="preserve"> </w:t>
      </w:r>
      <w:r w:rsidRPr="0089195B">
        <w:rPr>
          <w:i/>
          <w:sz w:val="18"/>
          <w:szCs w:val="18"/>
          <w:lang w:val="en-US"/>
        </w:rPr>
        <w:t>Cape Verde: A Success Story</w:t>
      </w:r>
      <w:r w:rsidRPr="0089195B">
        <w:rPr>
          <w:sz w:val="18"/>
          <w:szCs w:val="18"/>
          <w:lang w:val="en-US"/>
        </w:rPr>
        <w:t>. African Development Bank (2012).</w:t>
      </w:r>
    </w:p>
  </w:footnote>
  <w:footnote w:id="3">
    <w:p w14:paraId="38078739" w14:textId="77777777" w:rsidR="007A2930" w:rsidRPr="0089195B" w:rsidRDefault="007A2930" w:rsidP="00976499">
      <w:pPr>
        <w:pStyle w:val="FootnoteText"/>
        <w:ind w:left="1260"/>
        <w:rPr>
          <w:sz w:val="18"/>
          <w:szCs w:val="18"/>
          <w:lang w:val="en-US"/>
        </w:rPr>
      </w:pPr>
      <w:r w:rsidRPr="00976499">
        <w:rPr>
          <w:rStyle w:val="FootnoteReference"/>
          <w:sz w:val="18"/>
          <w:szCs w:val="18"/>
        </w:rPr>
        <w:footnoteRef/>
      </w:r>
      <w:r w:rsidRPr="00976499">
        <w:rPr>
          <w:sz w:val="18"/>
          <w:szCs w:val="18"/>
        </w:rPr>
        <w:t xml:space="preserve"> Cabo Verde met GDP per capita and human development criteria but not the economic criteria.</w:t>
      </w:r>
    </w:p>
  </w:footnote>
  <w:footnote w:id="4">
    <w:p w14:paraId="13DB7611" w14:textId="77777777" w:rsidR="007A2930" w:rsidRPr="008A3E17" w:rsidRDefault="007A2930" w:rsidP="00976499">
      <w:pPr>
        <w:pStyle w:val="FootnoteText"/>
        <w:ind w:left="1260"/>
        <w:rPr>
          <w:sz w:val="18"/>
          <w:szCs w:val="18"/>
          <w:lang w:val="en-US"/>
        </w:rPr>
      </w:pPr>
      <w:r w:rsidRPr="008A3E17">
        <w:rPr>
          <w:rStyle w:val="FootnoteReference"/>
          <w:sz w:val="18"/>
          <w:szCs w:val="18"/>
        </w:rPr>
        <w:footnoteRef/>
      </w:r>
      <w:r w:rsidRPr="008A3E17">
        <w:rPr>
          <w:sz w:val="18"/>
          <w:szCs w:val="18"/>
        </w:rPr>
        <w:t xml:space="preserve"> INE (2016), </w:t>
      </w:r>
      <w:r w:rsidRPr="008A3E17">
        <w:rPr>
          <w:i/>
          <w:sz w:val="18"/>
          <w:szCs w:val="18"/>
        </w:rPr>
        <w:t>Third Household Income and Expenditure Survey</w:t>
      </w:r>
      <w:r w:rsidRPr="008A3E17">
        <w:rPr>
          <w:sz w:val="18"/>
          <w:szCs w:val="18"/>
        </w:rPr>
        <w:t>. Poverty fell from 58% (2002) to 46% (2007).</w:t>
      </w:r>
    </w:p>
  </w:footnote>
  <w:footnote w:id="5">
    <w:p w14:paraId="5DDB7A48" w14:textId="1ABE0483" w:rsidR="007A2930" w:rsidRPr="008A3E17" w:rsidRDefault="007A2930" w:rsidP="00976499">
      <w:pPr>
        <w:pStyle w:val="FootnoteText"/>
        <w:ind w:left="1260"/>
        <w:rPr>
          <w:sz w:val="18"/>
          <w:szCs w:val="18"/>
          <w:lang w:val="en-US"/>
        </w:rPr>
      </w:pPr>
      <w:r w:rsidRPr="008A3E17">
        <w:rPr>
          <w:rStyle w:val="FootnoteReference"/>
          <w:sz w:val="18"/>
          <w:szCs w:val="18"/>
        </w:rPr>
        <w:footnoteRef/>
      </w:r>
      <w:r w:rsidRPr="008A3E17">
        <w:rPr>
          <w:sz w:val="18"/>
          <w:szCs w:val="18"/>
        </w:rPr>
        <w:t xml:space="preserve"> When adjusted for inequality, the Cabo Verde Human Development Index falls by nearly 20% (from 0.636 to 0.511). UNDP (2016), </w:t>
      </w:r>
      <w:r w:rsidRPr="008A3E17">
        <w:rPr>
          <w:i/>
          <w:sz w:val="18"/>
          <w:szCs w:val="18"/>
        </w:rPr>
        <w:t>Africa Human Development Report</w:t>
      </w:r>
      <w:r w:rsidRPr="008A3E17">
        <w:rPr>
          <w:sz w:val="18"/>
          <w:szCs w:val="18"/>
        </w:rPr>
        <w:t>.</w:t>
      </w:r>
    </w:p>
  </w:footnote>
  <w:footnote w:id="6">
    <w:p w14:paraId="47EF0AFA" w14:textId="77777777" w:rsidR="007A2930" w:rsidRPr="008A3E17" w:rsidRDefault="007A2930" w:rsidP="00976499">
      <w:pPr>
        <w:pStyle w:val="FootnoteText"/>
        <w:ind w:left="1260"/>
        <w:rPr>
          <w:sz w:val="18"/>
          <w:szCs w:val="18"/>
          <w:lang w:val="en-US"/>
        </w:rPr>
      </w:pPr>
      <w:r w:rsidRPr="008A3E17">
        <w:rPr>
          <w:rStyle w:val="FootnoteReference"/>
          <w:sz w:val="18"/>
          <w:szCs w:val="18"/>
        </w:rPr>
        <w:footnoteRef/>
      </w:r>
      <w:r w:rsidRPr="008A3E17">
        <w:rPr>
          <w:sz w:val="18"/>
          <w:szCs w:val="18"/>
        </w:rPr>
        <w:t xml:space="preserve"> Debt is expected to peak at 124% of GDP in 2017.</w:t>
      </w:r>
    </w:p>
  </w:footnote>
  <w:footnote w:id="7">
    <w:p w14:paraId="3884E519" w14:textId="77777777" w:rsidR="007A2930" w:rsidRPr="008A3E17" w:rsidRDefault="007A2930" w:rsidP="00976499">
      <w:pPr>
        <w:pStyle w:val="FootnoteText"/>
        <w:ind w:left="1260"/>
        <w:rPr>
          <w:sz w:val="18"/>
          <w:szCs w:val="18"/>
          <w:lang w:val="en-US"/>
        </w:rPr>
      </w:pPr>
      <w:r w:rsidRPr="008A3E17">
        <w:rPr>
          <w:rStyle w:val="FootnoteReference"/>
          <w:sz w:val="18"/>
          <w:szCs w:val="18"/>
        </w:rPr>
        <w:footnoteRef/>
      </w:r>
      <w:r w:rsidRPr="008A3E17">
        <w:rPr>
          <w:sz w:val="18"/>
          <w:szCs w:val="18"/>
        </w:rPr>
        <w:t xml:space="preserve"> Santa Cruz and Santiago register 60.3% and Boa Vista 8.3%. INE (2016), </w:t>
      </w:r>
      <w:r w:rsidRPr="008A3E17">
        <w:rPr>
          <w:i/>
          <w:sz w:val="18"/>
          <w:szCs w:val="18"/>
        </w:rPr>
        <w:t>Ibid</w:t>
      </w:r>
      <w:r w:rsidRPr="008A3E17">
        <w:rPr>
          <w:sz w:val="18"/>
          <w:szCs w:val="18"/>
        </w:rPr>
        <w:t>.</w:t>
      </w:r>
    </w:p>
  </w:footnote>
  <w:footnote w:id="8">
    <w:p w14:paraId="5D55C679" w14:textId="77777777" w:rsidR="007A2930" w:rsidRPr="008A3E17" w:rsidRDefault="007A2930" w:rsidP="00976499">
      <w:pPr>
        <w:pStyle w:val="FootnoteText"/>
        <w:ind w:left="1260"/>
        <w:rPr>
          <w:sz w:val="18"/>
          <w:szCs w:val="18"/>
          <w:lang w:val="en-US"/>
        </w:rPr>
      </w:pPr>
      <w:r w:rsidRPr="008A3E17">
        <w:rPr>
          <w:rStyle w:val="FootnoteReference"/>
          <w:sz w:val="18"/>
          <w:szCs w:val="18"/>
        </w:rPr>
        <w:footnoteRef/>
      </w:r>
      <w:r w:rsidRPr="008A3E17">
        <w:rPr>
          <w:sz w:val="18"/>
          <w:szCs w:val="18"/>
        </w:rPr>
        <w:t xml:space="preserve"> INE (2016), </w:t>
      </w:r>
      <w:r w:rsidRPr="008A3E17">
        <w:rPr>
          <w:i/>
          <w:sz w:val="18"/>
          <w:szCs w:val="18"/>
        </w:rPr>
        <w:t>Ibid.</w:t>
      </w:r>
    </w:p>
  </w:footnote>
  <w:footnote w:id="9">
    <w:p w14:paraId="3EABFA5B" w14:textId="77777777" w:rsidR="007A2930" w:rsidRPr="008A3E17" w:rsidRDefault="007A2930" w:rsidP="00976499">
      <w:pPr>
        <w:pStyle w:val="FootnoteText"/>
        <w:ind w:left="1260"/>
        <w:rPr>
          <w:sz w:val="18"/>
          <w:szCs w:val="18"/>
          <w:lang w:val="en-US"/>
        </w:rPr>
      </w:pPr>
      <w:r w:rsidRPr="008A3E17">
        <w:rPr>
          <w:rStyle w:val="FootnoteReference"/>
          <w:sz w:val="18"/>
          <w:szCs w:val="18"/>
        </w:rPr>
        <w:footnoteRef/>
      </w:r>
      <w:r w:rsidRPr="008A3E17">
        <w:rPr>
          <w:sz w:val="18"/>
          <w:szCs w:val="18"/>
        </w:rPr>
        <w:t xml:space="preserve"> First-grade primary school enrolment rates for 2013-2014 varied between 87.7% (Tarrafal de Santiago) and 98.9% (São Domingos). Ministry of Education and Sport (2014).</w:t>
      </w:r>
    </w:p>
  </w:footnote>
  <w:footnote w:id="10">
    <w:p w14:paraId="66B04C33" w14:textId="77777777" w:rsidR="007A2930" w:rsidRPr="008A3E17" w:rsidRDefault="007A2930" w:rsidP="00976499">
      <w:pPr>
        <w:pStyle w:val="FootnoteText"/>
        <w:ind w:left="1260"/>
        <w:rPr>
          <w:sz w:val="18"/>
          <w:szCs w:val="18"/>
          <w:lang w:val="en-US"/>
        </w:rPr>
      </w:pPr>
      <w:r w:rsidRPr="008A3E17">
        <w:rPr>
          <w:rStyle w:val="FootnoteReference"/>
          <w:sz w:val="18"/>
          <w:szCs w:val="18"/>
        </w:rPr>
        <w:footnoteRef/>
      </w:r>
      <w:r w:rsidRPr="008A3E17">
        <w:rPr>
          <w:sz w:val="18"/>
          <w:szCs w:val="18"/>
        </w:rPr>
        <w:t xml:space="preserve"> A time use survey by INE (2012) found that women spend on average of 59h09m on non-remunerated work per week, against 38h10m spent by men.</w:t>
      </w:r>
    </w:p>
  </w:footnote>
  <w:footnote w:id="11">
    <w:p w14:paraId="146823E3" w14:textId="77777777" w:rsidR="007A2930" w:rsidRPr="008A3E17" w:rsidRDefault="007A2930" w:rsidP="00976499">
      <w:pPr>
        <w:pStyle w:val="FootnoteText"/>
        <w:ind w:left="1260"/>
        <w:rPr>
          <w:sz w:val="18"/>
          <w:szCs w:val="18"/>
          <w:lang w:val="en-US"/>
        </w:rPr>
      </w:pPr>
      <w:r w:rsidRPr="008A3E17">
        <w:rPr>
          <w:rStyle w:val="FootnoteReference"/>
          <w:sz w:val="18"/>
          <w:szCs w:val="18"/>
        </w:rPr>
        <w:footnoteRef/>
      </w:r>
      <w:r w:rsidRPr="008A3E17">
        <w:rPr>
          <w:sz w:val="18"/>
          <w:szCs w:val="18"/>
        </w:rPr>
        <w:t xml:space="preserve"> Property crimes increased 208% in Praia 2015-2016. Attorney General Report (2016).</w:t>
      </w:r>
    </w:p>
  </w:footnote>
  <w:footnote w:id="12">
    <w:p w14:paraId="7A356965" w14:textId="77777777" w:rsidR="007A2930" w:rsidRPr="008A3E17" w:rsidRDefault="007A2930" w:rsidP="00976499">
      <w:pPr>
        <w:pStyle w:val="FootnoteText"/>
        <w:ind w:left="1260"/>
        <w:rPr>
          <w:sz w:val="18"/>
          <w:szCs w:val="18"/>
          <w:lang w:val="en-US"/>
        </w:rPr>
      </w:pPr>
      <w:r w:rsidRPr="008A3E17">
        <w:rPr>
          <w:rStyle w:val="FootnoteReference"/>
          <w:sz w:val="18"/>
          <w:szCs w:val="18"/>
        </w:rPr>
        <w:footnoteRef/>
      </w:r>
      <w:r w:rsidRPr="008A3E17">
        <w:rPr>
          <w:sz w:val="18"/>
          <w:szCs w:val="18"/>
        </w:rPr>
        <w:t xml:space="preserve"> </w:t>
      </w:r>
      <w:r w:rsidRPr="008A3E17">
        <w:rPr>
          <w:i/>
          <w:sz w:val="18"/>
          <w:szCs w:val="18"/>
        </w:rPr>
        <w:t>Cabo Verde: Final evaluation of the common country programme document</w:t>
      </w:r>
      <w:r w:rsidRPr="008A3E17">
        <w:rPr>
          <w:sz w:val="18"/>
          <w:szCs w:val="18"/>
        </w:rPr>
        <w:t>. Gesaworld (14 October 2016).</w:t>
      </w:r>
    </w:p>
  </w:footnote>
  <w:footnote w:id="13">
    <w:p w14:paraId="6E192ECA" w14:textId="77777777" w:rsidR="007A2930" w:rsidRPr="008A3E17" w:rsidRDefault="007A2930" w:rsidP="00976499">
      <w:pPr>
        <w:pStyle w:val="FootnoteText"/>
        <w:ind w:left="1260"/>
        <w:rPr>
          <w:sz w:val="18"/>
          <w:szCs w:val="18"/>
          <w:lang w:val="en-US"/>
        </w:rPr>
      </w:pPr>
      <w:r w:rsidRPr="008A3E17">
        <w:rPr>
          <w:rStyle w:val="FootnoteReference"/>
          <w:sz w:val="18"/>
          <w:szCs w:val="18"/>
        </w:rPr>
        <w:footnoteRef/>
      </w:r>
      <w:r w:rsidRPr="008A3E17">
        <w:rPr>
          <w:sz w:val="18"/>
          <w:szCs w:val="18"/>
        </w:rPr>
        <w:t xml:space="preserve"> United Nations General Assembly resolution 59/250 of 17 December 2004.</w:t>
      </w:r>
    </w:p>
  </w:footnote>
  <w:footnote w:id="14">
    <w:p w14:paraId="5724F930" w14:textId="77777777" w:rsidR="007A2930" w:rsidRPr="008A3E17" w:rsidRDefault="007A2930" w:rsidP="00976499">
      <w:pPr>
        <w:pStyle w:val="FootnoteText"/>
        <w:ind w:left="1260"/>
        <w:rPr>
          <w:sz w:val="18"/>
          <w:szCs w:val="18"/>
          <w:lang w:val="en-US"/>
        </w:rPr>
      </w:pPr>
      <w:r w:rsidRPr="008A3E17">
        <w:rPr>
          <w:rStyle w:val="FootnoteReference"/>
          <w:sz w:val="18"/>
          <w:szCs w:val="18"/>
        </w:rPr>
        <w:footnoteRef/>
      </w:r>
      <w:r w:rsidRPr="008A3E17">
        <w:rPr>
          <w:sz w:val="18"/>
          <w:szCs w:val="18"/>
        </w:rPr>
        <w:t xml:space="preserve"> In line with the annex to common chapter in the respective strategic plans, 2018-2021.</w:t>
      </w:r>
    </w:p>
  </w:footnote>
  <w:footnote w:id="15">
    <w:p w14:paraId="40787F61" w14:textId="77777777" w:rsidR="007A2930" w:rsidRPr="008A3E17" w:rsidRDefault="007A2930" w:rsidP="00976499">
      <w:pPr>
        <w:pStyle w:val="FootnoteText"/>
        <w:ind w:left="1260"/>
        <w:rPr>
          <w:sz w:val="18"/>
          <w:szCs w:val="18"/>
          <w:lang w:val="en-US"/>
        </w:rPr>
      </w:pPr>
      <w:r w:rsidRPr="008A3E17">
        <w:rPr>
          <w:rStyle w:val="FootnoteReference"/>
          <w:sz w:val="18"/>
          <w:szCs w:val="18"/>
        </w:rPr>
        <w:footnoteRef/>
      </w:r>
      <w:r w:rsidRPr="008A3E17">
        <w:rPr>
          <w:sz w:val="18"/>
          <w:szCs w:val="18"/>
        </w:rPr>
        <w:t xml:space="preserve"> Brazil, Japan, Luxembourg, Portugal, Spain, the Portuguese-speaking African countries (Angola, Cabo Verde, Equatorial Guinea, Guinea-Bissau, Mozambique, São Tomé and Príncipe), the World Bank, the African Development Bank, the Arab Development Bank and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A2930" w:rsidRPr="004F5AD6" w14:paraId="61EEB177" w14:textId="77777777" w:rsidTr="00945BDD">
      <w:tc>
        <w:tcPr>
          <w:tcW w:w="9350" w:type="dxa"/>
          <w:tcBorders>
            <w:top w:val="nil"/>
            <w:left w:val="nil"/>
            <w:right w:val="nil"/>
          </w:tcBorders>
          <w:shd w:val="clear" w:color="auto" w:fill="auto"/>
        </w:tcPr>
        <w:p w14:paraId="50E7A696" w14:textId="77777777" w:rsidR="007A2930" w:rsidRPr="004F5AD6" w:rsidRDefault="007A2930" w:rsidP="004F5AD6">
          <w:pPr>
            <w:pStyle w:val="Header"/>
            <w:rPr>
              <w:sz w:val="17"/>
              <w:szCs w:val="17"/>
              <w:lang w:val="es-US"/>
            </w:rPr>
          </w:pPr>
          <w:r w:rsidRPr="004F5AD6">
            <w:rPr>
              <w:b/>
              <w:bCs/>
              <w:sz w:val="17"/>
              <w:szCs w:val="17"/>
            </w:rPr>
            <w:t>DP/FPA/OPS-ICEF/CCPD/2018/CPV/1</w:t>
          </w:r>
        </w:p>
      </w:tc>
    </w:tr>
  </w:tbl>
  <w:p w14:paraId="1D1B0E6E" w14:textId="77777777" w:rsidR="007A2930" w:rsidRPr="004F5AD6" w:rsidRDefault="007A2930" w:rsidP="004F5AD6">
    <w:pPr>
      <w:pStyle w:val="Header"/>
      <w:rPr>
        <w:sz w:val="17"/>
        <w:szCs w:val="17"/>
        <w:lang w:val="es-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A2930" w:rsidRPr="004E5B77" w14:paraId="3F80F9A1" w14:textId="77777777" w:rsidTr="00945BDD">
      <w:tc>
        <w:tcPr>
          <w:tcW w:w="9450" w:type="dxa"/>
          <w:tcBorders>
            <w:top w:val="nil"/>
            <w:left w:val="nil"/>
            <w:right w:val="nil"/>
          </w:tcBorders>
          <w:shd w:val="clear" w:color="auto" w:fill="auto"/>
        </w:tcPr>
        <w:p w14:paraId="10EF1839" w14:textId="77777777" w:rsidR="007A2930" w:rsidRPr="004E5B77" w:rsidRDefault="007A2930" w:rsidP="0059142F">
          <w:pPr>
            <w:pStyle w:val="Header"/>
            <w:jc w:val="right"/>
            <w:rPr>
              <w:sz w:val="17"/>
              <w:szCs w:val="17"/>
              <w:lang w:val="es-US"/>
            </w:rPr>
          </w:pPr>
          <w:r w:rsidRPr="004E5B77">
            <w:rPr>
              <w:b/>
              <w:bCs/>
              <w:sz w:val="17"/>
              <w:szCs w:val="17"/>
            </w:rPr>
            <w:t>DP/FPA/OPS-ICEF/CCPD/2018/CPV/1</w:t>
          </w:r>
        </w:p>
      </w:tc>
    </w:tr>
  </w:tbl>
  <w:p w14:paraId="51F574CC" w14:textId="77777777" w:rsidR="007A2930" w:rsidRPr="004E5B77" w:rsidRDefault="007A2930" w:rsidP="00945BDD">
    <w:pPr>
      <w:pStyle w:val="Header"/>
      <w:rPr>
        <w:sz w:val="17"/>
        <w:szCs w:val="17"/>
        <w:lang w:val="es-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1"/>
      <w:gridCol w:w="2077"/>
      <w:gridCol w:w="247"/>
      <w:gridCol w:w="3137"/>
      <w:gridCol w:w="1098"/>
      <w:gridCol w:w="1800"/>
    </w:tblGrid>
    <w:tr w:rsidR="007A2930" w:rsidRPr="00251A53" w14:paraId="34C57BA1" w14:textId="77777777" w:rsidTr="00945BDD">
      <w:trPr>
        <w:trHeight w:hRule="exact" w:val="847"/>
      </w:trPr>
      <w:tc>
        <w:tcPr>
          <w:tcW w:w="1181" w:type="dxa"/>
          <w:tcBorders>
            <w:top w:val="nil"/>
            <w:left w:val="nil"/>
            <w:bottom w:val="single" w:sz="4" w:space="0" w:color="auto"/>
            <w:right w:val="nil"/>
          </w:tcBorders>
          <w:vAlign w:val="bottom"/>
        </w:tcPr>
        <w:p w14:paraId="76CDF2B9" w14:textId="77777777" w:rsidR="007A2930" w:rsidRPr="00251A53" w:rsidRDefault="007A2930" w:rsidP="00945BDD">
          <w:pPr>
            <w:pStyle w:val="Header"/>
            <w:spacing w:after="120"/>
          </w:pPr>
        </w:p>
      </w:tc>
      <w:tc>
        <w:tcPr>
          <w:tcW w:w="2077" w:type="dxa"/>
          <w:tcBorders>
            <w:top w:val="nil"/>
            <w:left w:val="nil"/>
            <w:bottom w:val="single" w:sz="4" w:space="0" w:color="auto"/>
            <w:right w:val="nil"/>
          </w:tcBorders>
          <w:vAlign w:val="bottom"/>
        </w:tcPr>
        <w:p w14:paraId="55E58AAF" w14:textId="77777777" w:rsidR="007A2930" w:rsidRPr="00251A53" w:rsidRDefault="007A2930" w:rsidP="00945BDD">
          <w:pPr>
            <w:pStyle w:val="HCh"/>
            <w:spacing w:after="80"/>
            <w:rPr>
              <w:b w:val="0"/>
              <w:spacing w:val="2"/>
              <w:w w:val="96"/>
            </w:rPr>
          </w:pPr>
          <w:r w:rsidRPr="00251A53">
            <w:rPr>
              <w:b w:val="0"/>
              <w:spacing w:val="2"/>
              <w:w w:val="96"/>
            </w:rPr>
            <w:t>United Nations</w:t>
          </w:r>
        </w:p>
      </w:tc>
      <w:tc>
        <w:tcPr>
          <w:tcW w:w="247" w:type="dxa"/>
          <w:tcBorders>
            <w:top w:val="nil"/>
            <w:left w:val="nil"/>
            <w:bottom w:val="single" w:sz="4" w:space="0" w:color="auto"/>
            <w:right w:val="nil"/>
          </w:tcBorders>
          <w:vAlign w:val="bottom"/>
        </w:tcPr>
        <w:p w14:paraId="62062F91" w14:textId="77777777" w:rsidR="007A2930" w:rsidRPr="00251A53" w:rsidRDefault="007A2930" w:rsidP="00945BDD">
          <w:pPr>
            <w:pStyle w:val="Header"/>
            <w:spacing w:after="120"/>
          </w:pPr>
        </w:p>
      </w:tc>
      <w:tc>
        <w:tcPr>
          <w:tcW w:w="6035" w:type="dxa"/>
          <w:gridSpan w:val="3"/>
          <w:tcBorders>
            <w:top w:val="nil"/>
            <w:left w:val="nil"/>
            <w:bottom w:val="single" w:sz="4" w:space="0" w:color="auto"/>
            <w:right w:val="nil"/>
          </w:tcBorders>
          <w:vAlign w:val="bottom"/>
        </w:tcPr>
        <w:p w14:paraId="225BBF45" w14:textId="77777777" w:rsidR="007A2930" w:rsidRPr="00251A53" w:rsidRDefault="007A2930" w:rsidP="00847592">
          <w:pPr>
            <w:spacing w:after="80"/>
            <w:jc w:val="right"/>
            <w:rPr>
              <w:rFonts w:ascii="Arial" w:hAnsi="Arial" w:cs="Arial"/>
              <w:b/>
              <w:position w:val="-4"/>
              <w:sz w:val="20"/>
            </w:rPr>
          </w:pPr>
          <w:r w:rsidRPr="00251A53">
            <w:rPr>
              <w:rFonts w:cs="Arial"/>
              <w:b/>
              <w:bCs/>
              <w:position w:val="-4"/>
              <w:sz w:val="20"/>
            </w:rPr>
            <w:t>DP/FPA/OPS-ICEF/CCPD/2018/CPV/1</w:t>
          </w:r>
        </w:p>
      </w:tc>
    </w:tr>
    <w:tr w:rsidR="007A2930" w:rsidRPr="00251A53" w14:paraId="02E6EEF3" w14:textId="77777777" w:rsidTr="008B0BD1">
      <w:trPr>
        <w:trHeight w:hRule="exact" w:val="2397"/>
      </w:trPr>
      <w:tc>
        <w:tcPr>
          <w:tcW w:w="1181" w:type="dxa"/>
          <w:tcBorders>
            <w:left w:val="nil"/>
            <w:bottom w:val="single" w:sz="12" w:space="0" w:color="auto"/>
            <w:right w:val="nil"/>
          </w:tcBorders>
        </w:tcPr>
        <w:p w14:paraId="1724A6DC" w14:textId="77777777" w:rsidR="007A2930" w:rsidRPr="00251A53" w:rsidRDefault="007A2930" w:rsidP="00945BDD">
          <w:pPr>
            <w:pStyle w:val="Header"/>
            <w:spacing w:before="109"/>
          </w:pPr>
          <w:r w:rsidRPr="00251A53">
            <w:t xml:space="preserve"> </w:t>
          </w:r>
          <w:r w:rsidRPr="00251A53">
            <w:rPr>
              <w:noProof/>
              <w:lang w:eastAsia="en-GB"/>
            </w:rPr>
            <w:drawing>
              <wp:inline distT="0" distB="0" distL="0" distR="0" wp14:anchorId="1BE09D88" wp14:editId="130819D7">
                <wp:extent cx="709930" cy="594995"/>
                <wp:effectExtent l="0" t="0" r="0" b="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594995"/>
                        </a:xfrm>
                        <a:prstGeom prst="rect">
                          <a:avLst/>
                        </a:prstGeom>
                        <a:noFill/>
                        <a:ln>
                          <a:noFill/>
                        </a:ln>
                      </pic:spPr>
                    </pic:pic>
                  </a:graphicData>
                </a:graphic>
              </wp:inline>
            </w:drawing>
          </w:r>
        </w:p>
        <w:p w14:paraId="7421F174" w14:textId="77777777" w:rsidR="007A2930" w:rsidRPr="00251A53" w:rsidRDefault="007A2930" w:rsidP="00945BDD">
          <w:pPr>
            <w:jc w:val="center"/>
          </w:pPr>
        </w:p>
      </w:tc>
      <w:tc>
        <w:tcPr>
          <w:tcW w:w="5461" w:type="dxa"/>
          <w:gridSpan w:val="3"/>
          <w:tcBorders>
            <w:left w:val="nil"/>
            <w:bottom w:val="single" w:sz="12" w:space="0" w:color="auto"/>
            <w:right w:val="nil"/>
          </w:tcBorders>
        </w:tcPr>
        <w:p w14:paraId="5538DD6F" w14:textId="77777777" w:rsidR="007A2930" w:rsidRPr="00251A53" w:rsidRDefault="007A2930" w:rsidP="008B0BD1">
          <w:pPr>
            <w:pStyle w:val="XLarge"/>
            <w:spacing w:before="109" w:line="330" w:lineRule="exact"/>
            <w:rPr>
              <w:sz w:val="28"/>
              <w:szCs w:val="28"/>
            </w:rPr>
          </w:pPr>
          <w:r w:rsidRPr="00251A53">
            <w:rPr>
              <w:sz w:val="34"/>
              <w:szCs w:val="34"/>
            </w:rPr>
            <w:t xml:space="preserve">Executive Board of the </w:t>
          </w:r>
          <w:r w:rsidRPr="00251A53">
            <w:rPr>
              <w:sz w:val="33"/>
              <w:szCs w:val="33"/>
            </w:rPr>
            <w:t>United Nations Development Programme, the United Nations Population Fund and the United Nations Office for Project Services</w:t>
          </w:r>
          <w:r w:rsidRPr="00251A53">
            <w:rPr>
              <w:sz w:val="33"/>
              <w:szCs w:val="33"/>
            </w:rPr>
            <w:br/>
            <w:t>Executive Board of the United Nations Children’s Fund</w:t>
          </w:r>
        </w:p>
      </w:tc>
      <w:tc>
        <w:tcPr>
          <w:tcW w:w="1098" w:type="dxa"/>
          <w:tcBorders>
            <w:left w:val="nil"/>
            <w:bottom w:val="single" w:sz="12" w:space="0" w:color="auto"/>
            <w:right w:val="nil"/>
          </w:tcBorders>
        </w:tcPr>
        <w:p w14:paraId="0193D38E" w14:textId="77777777" w:rsidR="007A2930" w:rsidRPr="00251A53" w:rsidRDefault="007A2930" w:rsidP="00945BDD">
          <w:pPr>
            <w:jc w:val="center"/>
          </w:pPr>
        </w:p>
      </w:tc>
      <w:tc>
        <w:tcPr>
          <w:tcW w:w="1800" w:type="dxa"/>
          <w:tcBorders>
            <w:left w:val="nil"/>
            <w:bottom w:val="single" w:sz="12" w:space="0" w:color="auto"/>
            <w:right w:val="nil"/>
          </w:tcBorders>
        </w:tcPr>
        <w:p w14:paraId="1F27951A" w14:textId="77777777" w:rsidR="007A2930" w:rsidRPr="00251A53" w:rsidRDefault="007A2930" w:rsidP="00945BDD">
          <w:pPr>
            <w:spacing w:before="240"/>
            <w:rPr>
              <w:sz w:val="20"/>
            </w:rPr>
          </w:pPr>
          <w:r w:rsidRPr="00251A53">
            <w:rPr>
              <w:sz w:val="20"/>
            </w:rPr>
            <w:t>Distr.: General</w:t>
          </w:r>
        </w:p>
        <w:p w14:paraId="4C8FC7DC" w14:textId="36B789C3" w:rsidR="007A2930" w:rsidRPr="00251A53" w:rsidRDefault="007A2930" w:rsidP="00945BDD">
          <w:pPr>
            <w:spacing w:after="240"/>
            <w:rPr>
              <w:sz w:val="20"/>
            </w:rPr>
          </w:pPr>
          <w:r>
            <w:rPr>
              <w:sz w:val="20"/>
            </w:rPr>
            <w:t>30</w:t>
          </w:r>
          <w:r w:rsidRPr="00251A53">
            <w:rPr>
              <w:sz w:val="20"/>
            </w:rPr>
            <w:t xml:space="preserve"> October 2017</w:t>
          </w:r>
        </w:p>
        <w:p w14:paraId="42F317DA" w14:textId="77777777" w:rsidR="007A2930" w:rsidRPr="00251A53" w:rsidRDefault="007A2930" w:rsidP="00945BDD">
          <w:pPr>
            <w:rPr>
              <w:sz w:val="20"/>
            </w:rPr>
          </w:pPr>
          <w:r w:rsidRPr="00251A53">
            <w:rPr>
              <w:sz w:val="20"/>
            </w:rPr>
            <w:t>Original: English</w:t>
          </w:r>
        </w:p>
      </w:tc>
    </w:tr>
    <w:tr w:rsidR="007A2930" w:rsidRPr="00251A53" w14:paraId="1CF46930" w14:textId="77777777" w:rsidTr="00794CC9">
      <w:trPr>
        <w:trHeight w:hRule="exact" w:val="144"/>
      </w:trPr>
      <w:tc>
        <w:tcPr>
          <w:tcW w:w="9540" w:type="dxa"/>
          <w:gridSpan w:val="6"/>
          <w:tcBorders>
            <w:top w:val="single" w:sz="12" w:space="0" w:color="auto"/>
            <w:left w:val="nil"/>
            <w:bottom w:val="nil"/>
            <w:right w:val="nil"/>
          </w:tcBorders>
        </w:tcPr>
        <w:p w14:paraId="70699134" w14:textId="77777777" w:rsidR="007A2930" w:rsidRPr="00251A53" w:rsidRDefault="007A2930" w:rsidP="00945BDD">
          <w:pPr>
            <w:spacing w:before="240"/>
            <w:rPr>
              <w:sz w:val="17"/>
              <w:szCs w:val="17"/>
            </w:rPr>
          </w:pPr>
        </w:p>
      </w:tc>
    </w:tr>
  </w:tbl>
  <w:p w14:paraId="67741334" w14:textId="77777777" w:rsidR="007A2930" w:rsidRPr="00251A53" w:rsidRDefault="007A2930" w:rsidP="00945BDD">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0"/>
    </w:tblGrid>
    <w:tr w:rsidR="007A2930" w:rsidRPr="004F5AD6" w14:paraId="40051664" w14:textId="77777777" w:rsidTr="00945BDD">
      <w:tc>
        <w:tcPr>
          <w:tcW w:w="13140" w:type="dxa"/>
          <w:tcBorders>
            <w:top w:val="nil"/>
            <w:left w:val="nil"/>
            <w:right w:val="nil"/>
          </w:tcBorders>
          <w:shd w:val="clear" w:color="auto" w:fill="auto"/>
        </w:tcPr>
        <w:p w14:paraId="1CF3620C" w14:textId="77777777" w:rsidR="007A2930" w:rsidRPr="004F5AD6" w:rsidRDefault="007A2930" w:rsidP="00847592">
          <w:pPr>
            <w:pStyle w:val="Header"/>
            <w:rPr>
              <w:sz w:val="17"/>
              <w:szCs w:val="17"/>
              <w:lang w:val="es-US"/>
            </w:rPr>
          </w:pPr>
          <w:r w:rsidRPr="004F5AD6">
            <w:rPr>
              <w:b/>
              <w:bCs/>
              <w:sz w:val="17"/>
              <w:szCs w:val="17"/>
            </w:rPr>
            <w:t>DP/FPA/OPS-ICEF/CCPD/2018/CPV/1</w:t>
          </w:r>
        </w:p>
      </w:tc>
    </w:tr>
  </w:tbl>
  <w:p w14:paraId="1E38BE5E" w14:textId="77777777" w:rsidR="007A2930" w:rsidRPr="004F5AD6" w:rsidRDefault="007A2930" w:rsidP="00945BDD">
    <w:pPr>
      <w:pStyle w:val="Header"/>
      <w:rPr>
        <w:sz w:val="17"/>
        <w:szCs w:val="17"/>
        <w:lang w:val="es-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0"/>
    </w:tblGrid>
    <w:tr w:rsidR="007A2930" w:rsidRPr="004F5AD6" w14:paraId="76BCCD6F" w14:textId="77777777" w:rsidTr="00945BDD">
      <w:tc>
        <w:tcPr>
          <w:tcW w:w="13140" w:type="dxa"/>
          <w:tcBorders>
            <w:top w:val="nil"/>
            <w:left w:val="nil"/>
            <w:right w:val="nil"/>
          </w:tcBorders>
          <w:shd w:val="clear" w:color="auto" w:fill="auto"/>
        </w:tcPr>
        <w:p w14:paraId="4E218374" w14:textId="77777777" w:rsidR="007A2930" w:rsidRPr="004F5AD6" w:rsidRDefault="007A2930" w:rsidP="00847592">
          <w:pPr>
            <w:pStyle w:val="Header"/>
            <w:jc w:val="right"/>
            <w:rPr>
              <w:sz w:val="17"/>
              <w:szCs w:val="17"/>
              <w:lang w:val="es-US"/>
            </w:rPr>
          </w:pPr>
          <w:r w:rsidRPr="004F5AD6">
            <w:rPr>
              <w:b/>
              <w:bCs/>
              <w:sz w:val="17"/>
              <w:szCs w:val="17"/>
            </w:rPr>
            <w:t>DP/FPA/OPS-ICEF/CCPD/2018/CPV/1</w:t>
          </w:r>
        </w:p>
      </w:tc>
    </w:tr>
  </w:tbl>
  <w:p w14:paraId="4422196E" w14:textId="77777777" w:rsidR="007A2930" w:rsidRPr="004F5AD6" w:rsidRDefault="007A2930" w:rsidP="00945BDD">
    <w:pPr>
      <w:pStyle w:val="Header"/>
      <w:rPr>
        <w:sz w:val="17"/>
        <w:szCs w:val="17"/>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415"/>
    <w:multiLevelType w:val="hybridMultilevel"/>
    <w:tmpl w:val="E164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C6818"/>
    <w:multiLevelType w:val="hybridMultilevel"/>
    <w:tmpl w:val="844836BE"/>
    <w:lvl w:ilvl="0" w:tplc="803C1BE4">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0766AB"/>
    <w:multiLevelType w:val="hybridMultilevel"/>
    <w:tmpl w:val="808619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E34E2"/>
    <w:multiLevelType w:val="hybridMultilevel"/>
    <w:tmpl w:val="0D7A6A78"/>
    <w:lvl w:ilvl="0" w:tplc="9A8A3C62">
      <w:start w:val="3"/>
      <w:numFmt w:val="upperRoman"/>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15:restartNumberingAfterBreak="0">
    <w:nsid w:val="0330003A"/>
    <w:multiLevelType w:val="hybridMultilevel"/>
    <w:tmpl w:val="E164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740400"/>
    <w:multiLevelType w:val="hybridMultilevel"/>
    <w:tmpl w:val="68D8C68A"/>
    <w:lvl w:ilvl="0" w:tplc="0F3A6390">
      <w:start w:val="21"/>
      <w:numFmt w:val="decimal"/>
      <w:lvlText w:val="%1."/>
      <w:lvlJc w:val="left"/>
      <w:pPr>
        <w:ind w:left="1080" w:hanging="360"/>
      </w:pPr>
      <w:rPr>
        <w:rFonts w:cs="Time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74C7E"/>
    <w:multiLevelType w:val="hybridMultilevel"/>
    <w:tmpl w:val="1E7E3DE8"/>
    <w:lvl w:ilvl="0" w:tplc="38B83C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3C10D1"/>
    <w:multiLevelType w:val="hybridMultilevel"/>
    <w:tmpl w:val="54CC688E"/>
    <w:lvl w:ilvl="0" w:tplc="0F20BE32">
      <w:start w:val="22"/>
      <w:numFmt w:val="decimal"/>
      <w:lvlText w:val="%1."/>
      <w:lvlJc w:val="left"/>
      <w:pPr>
        <w:ind w:left="1080" w:hanging="360"/>
      </w:pPr>
      <w:rPr>
        <w:rFonts w:cs="Time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32D77"/>
    <w:multiLevelType w:val="hybridMultilevel"/>
    <w:tmpl w:val="D2408566"/>
    <w:name w:val="TOC33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B3192A"/>
    <w:multiLevelType w:val="hybridMultilevel"/>
    <w:tmpl w:val="ECA03404"/>
    <w:lvl w:ilvl="0" w:tplc="A7B2C6EA">
      <w:start w:val="1"/>
      <w:numFmt w:val="decimal"/>
      <w:pStyle w:val="Num1para"/>
      <w:lvlText w:val="%1."/>
      <w:lvlJc w:val="left"/>
      <w:pPr>
        <w:ind w:left="3960" w:hanging="360"/>
      </w:pPr>
      <w:rPr>
        <w:rFonts w:hint="default"/>
      </w:rPr>
    </w:lvl>
    <w:lvl w:ilvl="1" w:tplc="17CC322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FF560C"/>
    <w:multiLevelType w:val="multilevel"/>
    <w:tmpl w:val="BFC2FD1C"/>
    <w:lvl w:ilvl="0">
      <w:start w:val="29"/>
      <w:numFmt w:val="decimal"/>
      <w:lvlText w:val="%1."/>
      <w:lvlJc w:val="left"/>
      <w:pPr>
        <w:tabs>
          <w:tab w:val="num" w:pos="720"/>
        </w:tabs>
        <w:ind w:left="720" w:hanging="720"/>
      </w:pPr>
      <w:rPr>
        <w:rFonts w:hint="default"/>
        <w:i w:val="0"/>
        <w:color w:val="000000" w:themeColor="text1"/>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1C343DE9"/>
    <w:multiLevelType w:val="hybridMultilevel"/>
    <w:tmpl w:val="C3341554"/>
    <w:lvl w:ilvl="0" w:tplc="8A848D42">
      <w:start w:val="1"/>
      <w:numFmt w:val="lowerLetter"/>
      <w:pStyle w:val="Numapara"/>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2" w15:restartNumberingAfterBreak="0">
    <w:nsid w:val="1F151CA0"/>
    <w:multiLevelType w:val="hybridMultilevel"/>
    <w:tmpl w:val="D29E9640"/>
    <w:name w:val="TOC36"/>
    <w:lvl w:ilvl="0" w:tplc="3258E776">
      <w:start w:val="2"/>
      <w:numFmt w:val="decimal"/>
      <w:lvlText w:val="%1."/>
      <w:lvlJc w:val="left"/>
      <w:pPr>
        <w:ind w:left="1440" w:hanging="360"/>
      </w:pPr>
      <w:rPr>
        <w:rFonts w:cs="Time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E1502"/>
    <w:multiLevelType w:val="hybridMultilevel"/>
    <w:tmpl w:val="116A7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5D720E"/>
    <w:multiLevelType w:val="hybridMultilevel"/>
    <w:tmpl w:val="B4860634"/>
    <w:lvl w:ilvl="0" w:tplc="67A6E992">
      <w:start w:val="20"/>
      <w:numFmt w:val="decimal"/>
      <w:lvlText w:val="%1."/>
      <w:lvlJc w:val="left"/>
      <w:pPr>
        <w:ind w:left="1080" w:hanging="360"/>
      </w:pPr>
      <w:rPr>
        <w:rFonts w:cs="Time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70AD1"/>
    <w:multiLevelType w:val="hybridMultilevel"/>
    <w:tmpl w:val="E164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5B3875"/>
    <w:multiLevelType w:val="hybridMultilevel"/>
    <w:tmpl w:val="421A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23EB7"/>
    <w:multiLevelType w:val="hybridMultilevel"/>
    <w:tmpl w:val="38C2D998"/>
    <w:name w:val="TOC33"/>
    <w:lvl w:ilvl="0" w:tplc="9FAE7ED6">
      <w:start w:val="1"/>
      <w:numFmt w:val="decimal"/>
      <w:lvlText w:val="%1."/>
      <w:lvlJc w:val="left"/>
      <w:pPr>
        <w:ind w:left="720" w:hanging="360"/>
      </w:pPr>
      <w:rPr>
        <w:rFonts w:cs="Time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80033"/>
    <w:multiLevelType w:val="hybridMultilevel"/>
    <w:tmpl w:val="3160B1F8"/>
    <w:lvl w:ilvl="0" w:tplc="17D222EC">
      <w:start w:val="1"/>
      <w:numFmt w:val="upperRoman"/>
      <w:pStyle w:val="Heading1"/>
      <w:lvlText w:val="%1."/>
      <w:lvlJc w:val="left"/>
      <w:pPr>
        <w:ind w:left="1267" w:hanging="720"/>
      </w:pPr>
      <w:rPr>
        <w:rFonts w:hint="default"/>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9" w15:restartNumberingAfterBreak="0">
    <w:nsid w:val="3D9F3BBF"/>
    <w:multiLevelType w:val="hybridMultilevel"/>
    <w:tmpl w:val="259AEE1E"/>
    <w:lvl w:ilvl="0" w:tplc="D8E8D210">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AB0541"/>
    <w:multiLevelType w:val="hybridMultilevel"/>
    <w:tmpl w:val="8DDA5AE2"/>
    <w:lvl w:ilvl="0" w:tplc="0409001B">
      <w:start w:val="1"/>
      <w:numFmt w:val="lowerRoman"/>
      <w:lvlText w:val="%1."/>
      <w:lvlJc w:val="right"/>
      <w:pPr>
        <w:ind w:left="1972" w:hanging="360"/>
      </w:pPr>
    </w:lvl>
    <w:lvl w:ilvl="1" w:tplc="04090019" w:tentative="1">
      <w:start w:val="1"/>
      <w:numFmt w:val="lowerLetter"/>
      <w:lvlText w:val="%2."/>
      <w:lvlJc w:val="left"/>
      <w:pPr>
        <w:ind w:left="2692" w:hanging="360"/>
      </w:pPr>
    </w:lvl>
    <w:lvl w:ilvl="2" w:tplc="0409001B" w:tentative="1">
      <w:start w:val="1"/>
      <w:numFmt w:val="lowerRoman"/>
      <w:lvlText w:val="%3."/>
      <w:lvlJc w:val="right"/>
      <w:pPr>
        <w:ind w:left="3412" w:hanging="180"/>
      </w:pPr>
    </w:lvl>
    <w:lvl w:ilvl="3" w:tplc="0409000F" w:tentative="1">
      <w:start w:val="1"/>
      <w:numFmt w:val="decimal"/>
      <w:lvlText w:val="%4."/>
      <w:lvlJc w:val="left"/>
      <w:pPr>
        <w:ind w:left="4132" w:hanging="360"/>
      </w:pPr>
    </w:lvl>
    <w:lvl w:ilvl="4" w:tplc="04090019" w:tentative="1">
      <w:start w:val="1"/>
      <w:numFmt w:val="lowerLetter"/>
      <w:lvlText w:val="%5."/>
      <w:lvlJc w:val="left"/>
      <w:pPr>
        <w:ind w:left="4852" w:hanging="360"/>
      </w:pPr>
    </w:lvl>
    <w:lvl w:ilvl="5" w:tplc="0409001B" w:tentative="1">
      <w:start w:val="1"/>
      <w:numFmt w:val="lowerRoman"/>
      <w:lvlText w:val="%6."/>
      <w:lvlJc w:val="right"/>
      <w:pPr>
        <w:ind w:left="5572" w:hanging="180"/>
      </w:pPr>
    </w:lvl>
    <w:lvl w:ilvl="6" w:tplc="0409000F" w:tentative="1">
      <w:start w:val="1"/>
      <w:numFmt w:val="decimal"/>
      <w:lvlText w:val="%7."/>
      <w:lvlJc w:val="left"/>
      <w:pPr>
        <w:ind w:left="6292" w:hanging="360"/>
      </w:pPr>
    </w:lvl>
    <w:lvl w:ilvl="7" w:tplc="04090019" w:tentative="1">
      <w:start w:val="1"/>
      <w:numFmt w:val="lowerLetter"/>
      <w:lvlText w:val="%8."/>
      <w:lvlJc w:val="left"/>
      <w:pPr>
        <w:ind w:left="7012" w:hanging="360"/>
      </w:pPr>
    </w:lvl>
    <w:lvl w:ilvl="8" w:tplc="0409001B" w:tentative="1">
      <w:start w:val="1"/>
      <w:numFmt w:val="lowerRoman"/>
      <w:lvlText w:val="%9."/>
      <w:lvlJc w:val="right"/>
      <w:pPr>
        <w:ind w:left="7732" w:hanging="180"/>
      </w:pPr>
    </w:lvl>
  </w:abstractNum>
  <w:abstractNum w:abstractNumId="21" w15:restartNumberingAfterBreak="0">
    <w:nsid w:val="3F0F5384"/>
    <w:multiLevelType w:val="hybridMultilevel"/>
    <w:tmpl w:val="8580006A"/>
    <w:lvl w:ilvl="0" w:tplc="FA2892B4">
      <w:start w:val="4"/>
      <w:numFmt w:val="upp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3F25C89"/>
    <w:multiLevelType w:val="hybridMultilevel"/>
    <w:tmpl w:val="6C405F04"/>
    <w:lvl w:ilvl="0" w:tplc="9FAE7ED6">
      <w:start w:val="1"/>
      <w:numFmt w:val="decimal"/>
      <w:lvlText w:val="%1."/>
      <w:lvlJc w:val="left"/>
      <w:pPr>
        <w:ind w:left="1440" w:hanging="360"/>
      </w:pPr>
      <w:rPr>
        <w:rFonts w:cs="Times" w:hint="default"/>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62393A"/>
    <w:multiLevelType w:val="hybridMultilevel"/>
    <w:tmpl w:val="570003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6A61D4E"/>
    <w:multiLevelType w:val="hybridMultilevel"/>
    <w:tmpl w:val="E90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E668A"/>
    <w:multiLevelType w:val="hybridMultilevel"/>
    <w:tmpl w:val="AA6690BE"/>
    <w:lvl w:ilvl="0" w:tplc="BDE215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731E4D"/>
    <w:multiLevelType w:val="hybridMultilevel"/>
    <w:tmpl w:val="A202D3C8"/>
    <w:name w:val="TOC333"/>
    <w:lvl w:ilvl="0" w:tplc="CFBABCF6">
      <w:start w:val="14"/>
      <w:numFmt w:val="decimal"/>
      <w:lvlText w:val="%1."/>
      <w:lvlJc w:val="left"/>
      <w:pPr>
        <w:ind w:left="1080" w:hanging="360"/>
      </w:pPr>
      <w:rPr>
        <w:rFonts w:cs="Time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51840"/>
    <w:multiLevelType w:val="hybridMultilevel"/>
    <w:tmpl w:val="4FC254B4"/>
    <w:name w:val="TOC34"/>
    <w:lvl w:ilvl="0" w:tplc="C09A58F0">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C5CD6"/>
    <w:multiLevelType w:val="hybridMultilevel"/>
    <w:tmpl w:val="5858ADB8"/>
    <w:name w:val="TOC35"/>
    <w:lvl w:ilvl="0" w:tplc="13609FBA">
      <w:start w:val="2"/>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A3B64"/>
    <w:multiLevelType w:val="hybridMultilevel"/>
    <w:tmpl w:val="350455D4"/>
    <w:lvl w:ilvl="0" w:tplc="06FEA684">
      <w:start w:val="22"/>
      <w:numFmt w:val="decimal"/>
      <w:lvlText w:val="%1."/>
      <w:lvlJc w:val="left"/>
      <w:pPr>
        <w:ind w:left="1080" w:hanging="360"/>
      </w:pPr>
      <w:rPr>
        <w:rFonts w:cs="Time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32266"/>
    <w:multiLevelType w:val="hybridMultilevel"/>
    <w:tmpl w:val="BAE2F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F47129"/>
    <w:multiLevelType w:val="hybridMultilevel"/>
    <w:tmpl w:val="FA3EE882"/>
    <w:lvl w:ilvl="0" w:tplc="9FAE7ED6">
      <w:start w:val="1"/>
      <w:numFmt w:val="decimal"/>
      <w:lvlText w:val="%1."/>
      <w:lvlJc w:val="left"/>
      <w:pPr>
        <w:ind w:left="1080" w:hanging="360"/>
      </w:pPr>
      <w:rPr>
        <w:rFonts w:cs="Times" w:hint="default"/>
        <w:b w:val="0"/>
        <w:i w:val="0"/>
        <w:color w:val="000000" w:themeColor="text1"/>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67323"/>
    <w:multiLevelType w:val="hybridMultilevel"/>
    <w:tmpl w:val="17F0A6DE"/>
    <w:lvl w:ilvl="0" w:tplc="1924CD9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01EC3"/>
    <w:multiLevelType w:val="hybridMultilevel"/>
    <w:tmpl w:val="A0046240"/>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6C567BDE"/>
    <w:multiLevelType w:val="hybridMultilevel"/>
    <w:tmpl w:val="023E5F98"/>
    <w:lvl w:ilvl="0" w:tplc="17CC32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C937095"/>
    <w:multiLevelType w:val="hybridMultilevel"/>
    <w:tmpl w:val="C85CEB5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CC01242"/>
    <w:multiLevelType w:val="hybridMultilevel"/>
    <w:tmpl w:val="5D2E1E82"/>
    <w:lvl w:ilvl="0" w:tplc="08090001">
      <w:start w:val="1"/>
      <w:numFmt w:val="bullet"/>
      <w:lvlText w:val=""/>
      <w:lvlJc w:val="left"/>
      <w:pPr>
        <w:ind w:left="979" w:hanging="360"/>
      </w:pPr>
      <w:rPr>
        <w:rFonts w:ascii="Symbol" w:hAnsi="Symbol" w:hint="default"/>
      </w:rPr>
    </w:lvl>
    <w:lvl w:ilvl="1" w:tplc="08090003" w:tentative="1">
      <w:start w:val="1"/>
      <w:numFmt w:val="bullet"/>
      <w:lvlText w:val="o"/>
      <w:lvlJc w:val="left"/>
      <w:pPr>
        <w:ind w:left="1699" w:hanging="360"/>
      </w:pPr>
      <w:rPr>
        <w:rFonts w:ascii="Courier New" w:hAnsi="Courier New" w:cs="Courier New" w:hint="default"/>
      </w:rPr>
    </w:lvl>
    <w:lvl w:ilvl="2" w:tplc="08090005" w:tentative="1">
      <w:start w:val="1"/>
      <w:numFmt w:val="bullet"/>
      <w:lvlText w:val=""/>
      <w:lvlJc w:val="left"/>
      <w:pPr>
        <w:ind w:left="2419" w:hanging="360"/>
      </w:pPr>
      <w:rPr>
        <w:rFonts w:ascii="Wingdings" w:hAnsi="Wingdings" w:hint="default"/>
      </w:rPr>
    </w:lvl>
    <w:lvl w:ilvl="3" w:tplc="08090001" w:tentative="1">
      <w:start w:val="1"/>
      <w:numFmt w:val="bullet"/>
      <w:lvlText w:val=""/>
      <w:lvlJc w:val="left"/>
      <w:pPr>
        <w:ind w:left="3139" w:hanging="360"/>
      </w:pPr>
      <w:rPr>
        <w:rFonts w:ascii="Symbol" w:hAnsi="Symbol" w:hint="default"/>
      </w:rPr>
    </w:lvl>
    <w:lvl w:ilvl="4" w:tplc="08090003" w:tentative="1">
      <w:start w:val="1"/>
      <w:numFmt w:val="bullet"/>
      <w:lvlText w:val="o"/>
      <w:lvlJc w:val="left"/>
      <w:pPr>
        <w:ind w:left="3859" w:hanging="360"/>
      </w:pPr>
      <w:rPr>
        <w:rFonts w:ascii="Courier New" w:hAnsi="Courier New" w:cs="Courier New" w:hint="default"/>
      </w:rPr>
    </w:lvl>
    <w:lvl w:ilvl="5" w:tplc="08090005" w:tentative="1">
      <w:start w:val="1"/>
      <w:numFmt w:val="bullet"/>
      <w:lvlText w:val=""/>
      <w:lvlJc w:val="left"/>
      <w:pPr>
        <w:ind w:left="4579" w:hanging="360"/>
      </w:pPr>
      <w:rPr>
        <w:rFonts w:ascii="Wingdings" w:hAnsi="Wingdings" w:hint="default"/>
      </w:rPr>
    </w:lvl>
    <w:lvl w:ilvl="6" w:tplc="08090001" w:tentative="1">
      <w:start w:val="1"/>
      <w:numFmt w:val="bullet"/>
      <w:lvlText w:val=""/>
      <w:lvlJc w:val="left"/>
      <w:pPr>
        <w:ind w:left="5299" w:hanging="360"/>
      </w:pPr>
      <w:rPr>
        <w:rFonts w:ascii="Symbol" w:hAnsi="Symbol" w:hint="default"/>
      </w:rPr>
    </w:lvl>
    <w:lvl w:ilvl="7" w:tplc="08090003" w:tentative="1">
      <w:start w:val="1"/>
      <w:numFmt w:val="bullet"/>
      <w:lvlText w:val="o"/>
      <w:lvlJc w:val="left"/>
      <w:pPr>
        <w:ind w:left="6019" w:hanging="360"/>
      </w:pPr>
      <w:rPr>
        <w:rFonts w:ascii="Courier New" w:hAnsi="Courier New" w:cs="Courier New" w:hint="default"/>
      </w:rPr>
    </w:lvl>
    <w:lvl w:ilvl="8" w:tplc="08090005" w:tentative="1">
      <w:start w:val="1"/>
      <w:numFmt w:val="bullet"/>
      <w:lvlText w:val=""/>
      <w:lvlJc w:val="left"/>
      <w:pPr>
        <w:ind w:left="6739" w:hanging="360"/>
      </w:pPr>
      <w:rPr>
        <w:rFonts w:ascii="Wingdings" w:hAnsi="Wingdings" w:hint="default"/>
      </w:rPr>
    </w:lvl>
  </w:abstractNum>
  <w:abstractNum w:abstractNumId="38" w15:restartNumberingAfterBreak="0">
    <w:nsid w:val="7F4418B1"/>
    <w:multiLevelType w:val="hybridMultilevel"/>
    <w:tmpl w:val="480A127C"/>
    <w:lvl w:ilvl="0" w:tplc="F54626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1"/>
  </w:num>
  <w:num w:numId="3">
    <w:abstractNumId w:val="26"/>
  </w:num>
  <w:num w:numId="4">
    <w:abstractNumId w:val="35"/>
  </w:num>
  <w:num w:numId="5">
    <w:abstractNumId w:val="13"/>
  </w:num>
  <w:num w:numId="6">
    <w:abstractNumId w:val="38"/>
  </w:num>
  <w:num w:numId="7">
    <w:abstractNumId w:val="15"/>
  </w:num>
  <w:num w:numId="8">
    <w:abstractNumId w:val="6"/>
  </w:num>
  <w:num w:numId="9">
    <w:abstractNumId w:val="16"/>
  </w:num>
  <w:num w:numId="10">
    <w:abstractNumId w:val="9"/>
  </w:num>
  <w:num w:numId="11">
    <w:abstractNumId w:val="33"/>
  </w:num>
  <w:num w:numId="12">
    <w:abstractNumId w:val="25"/>
  </w:num>
  <w:num w:numId="13">
    <w:abstractNumId w:val="18"/>
  </w:num>
  <w:num w:numId="14">
    <w:abstractNumId w:val="37"/>
  </w:num>
  <w:num w:numId="15">
    <w:abstractNumId w:val="4"/>
  </w:num>
  <w:num w:numId="16">
    <w:abstractNumId w:val="3"/>
  </w:num>
  <w:num w:numId="17">
    <w:abstractNumId w:val="21"/>
  </w:num>
  <w:num w:numId="18">
    <w:abstractNumId w:val="24"/>
  </w:num>
  <w:num w:numId="19">
    <w:abstractNumId w:val="10"/>
  </w:num>
  <w:num w:numId="20">
    <w:abstractNumId w:val="17"/>
  </w:num>
  <w:num w:numId="21">
    <w:abstractNumId w:val="32"/>
  </w:num>
  <w:num w:numId="22">
    <w:abstractNumId w:val="8"/>
  </w:num>
  <w:num w:numId="23">
    <w:abstractNumId w:val="34"/>
  </w:num>
  <w:num w:numId="24">
    <w:abstractNumId w:val="36"/>
  </w:num>
  <w:num w:numId="25">
    <w:abstractNumId w:val="19"/>
  </w:num>
  <w:num w:numId="26">
    <w:abstractNumId w:val="27"/>
  </w:num>
  <w:num w:numId="27">
    <w:abstractNumId w:val="7"/>
  </w:num>
  <w:num w:numId="28">
    <w:abstractNumId w:val="2"/>
  </w:num>
  <w:num w:numId="29">
    <w:abstractNumId w:val="28"/>
  </w:num>
  <w:num w:numId="30">
    <w:abstractNumId w:val="5"/>
  </w:num>
  <w:num w:numId="31">
    <w:abstractNumId w:val="20"/>
  </w:num>
  <w:num w:numId="32">
    <w:abstractNumId w:val="23"/>
  </w:num>
  <w:num w:numId="33">
    <w:abstractNumId w:val="29"/>
  </w:num>
  <w:num w:numId="34">
    <w:abstractNumId w:val="14"/>
  </w:num>
  <w:num w:numId="35">
    <w:abstractNumId w:val="22"/>
  </w:num>
  <w:num w:numId="36">
    <w:abstractNumId w:val="12"/>
  </w:num>
  <w:num w:numId="37">
    <w:abstractNumId w:val="30"/>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36"/>
    <w:rsid w:val="000013C8"/>
    <w:rsid w:val="00003B90"/>
    <w:rsid w:val="00004CE7"/>
    <w:rsid w:val="00006067"/>
    <w:rsid w:val="000174C3"/>
    <w:rsid w:val="00021BA5"/>
    <w:rsid w:val="000225B6"/>
    <w:rsid w:val="0002308B"/>
    <w:rsid w:val="00024220"/>
    <w:rsid w:val="00025F00"/>
    <w:rsid w:val="000262A7"/>
    <w:rsid w:val="00027AA6"/>
    <w:rsid w:val="00030C63"/>
    <w:rsid w:val="000329AC"/>
    <w:rsid w:val="000329B5"/>
    <w:rsid w:val="00033DE7"/>
    <w:rsid w:val="00034EE9"/>
    <w:rsid w:val="00037316"/>
    <w:rsid w:val="00040304"/>
    <w:rsid w:val="00040506"/>
    <w:rsid w:val="00041F17"/>
    <w:rsid w:val="00042FAA"/>
    <w:rsid w:val="000452A9"/>
    <w:rsid w:val="00046033"/>
    <w:rsid w:val="000462FF"/>
    <w:rsid w:val="000468E7"/>
    <w:rsid w:val="00047470"/>
    <w:rsid w:val="000477CE"/>
    <w:rsid w:val="0005262E"/>
    <w:rsid w:val="00055E8E"/>
    <w:rsid w:val="00062653"/>
    <w:rsid w:val="00063F13"/>
    <w:rsid w:val="00065AE6"/>
    <w:rsid w:val="00066EEF"/>
    <w:rsid w:val="0006712F"/>
    <w:rsid w:val="0006762C"/>
    <w:rsid w:val="00067DA8"/>
    <w:rsid w:val="00070AC5"/>
    <w:rsid w:val="00072201"/>
    <w:rsid w:val="0007223D"/>
    <w:rsid w:val="000723E9"/>
    <w:rsid w:val="00072C30"/>
    <w:rsid w:val="000772FC"/>
    <w:rsid w:val="00080B9B"/>
    <w:rsid w:val="0008143A"/>
    <w:rsid w:val="0008438B"/>
    <w:rsid w:val="000852BA"/>
    <w:rsid w:val="00091E31"/>
    <w:rsid w:val="00093F78"/>
    <w:rsid w:val="0009618C"/>
    <w:rsid w:val="000A00EB"/>
    <w:rsid w:val="000B0D5E"/>
    <w:rsid w:val="000B25E6"/>
    <w:rsid w:val="000B26F0"/>
    <w:rsid w:val="000B4633"/>
    <w:rsid w:val="000C0A6C"/>
    <w:rsid w:val="000C2304"/>
    <w:rsid w:val="000C5825"/>
    <w:rsid w:val="000D128D"/>
    <w:rsid w:val="000D2A0B"/>
    <w:rsid w:val="000D2A58"/>
    <w:rsid w:val="000D2CD2"/>
    <w:rsid w:val="000E3085"/>
    <w:rsid w:val="000E3E68"/>
    <w:rsid w:val="000F30BF"/>
    <w:rsid w:val="000F5160"/>
    <w:rsid w:val="000F54B6"/>
    <w:rsid w:val="001079E0"/>
    <w:rsid w:val="001126AA"/>
    <w:rsid w:val="00112E39"/>
    <w:rsid w:val="00113638"/>
    <w:rsid w:val="00116458"/>
    <w:rsid w:val="001202D4"/>
    <w:rsid w:val="001232F3"/>
    <w:rsid w:val="00124809"/>
    <w:rsid w:val="00126259"/>
    <w:rsid w:val="00127A32"/>
    <w:rsid w:val="0013193F"/>
    <w:rsid w:val="0013278A"/>
    <w:rsid w:val="001339E3"/>
    <w:rsid w:val="001361AF"/>
    <w:rsid w:val="00141D6D"/>
    <w:rsid w:val="0015089A"/>
    <w:rsid w:val="00151E9A"/>
    <w:rsid w:val="001527C2"/>
    <w:rsid w:val="00152C38"/>
    <w:rsid w:val="00153501"/>
    <w:rsid w:val="00155FFB"/>
    <w:rsid w:val="00160CAF"/>
    <w:rsid w:val="00161E5C"/>
    <w:rsid w:val="00163CA4"/>
    <w:rsid w:val="001662A8"/>
    <w:rsid w:val="00166B17"/>
    <w:rsid w:val="00167DE3"/>
    <w:rsid w:val="001705BE"/>
    <w:rsid w:val="00170C58"/>
    <w:rsid w:val="001725B0"/>
    <w:rsid w:val="00173FC2"/>
    <w:rsid w:val="00174AAA"/>
    <w:rsid w:val="00175DC3"/>
    <w:rsid w:val="00181DFA"/>
    <w:rsid w:val="00181FFA"/>
    <w:rsid w:val="001840DE"/>
    <w:rsid w:val="00187C6B"/>
    <w:rsid w:val="00191C58"/>
    <w:rsid w:val="001942B5"/>
    <w:rsid w:val="00195DCC"/>
    <w:rsid w:val="001A4499"/>
    <w:rsid w:val="001A4D39"/>
    <w:rsid w:val="001A7493"/>
    <w:rsid w:val="001B1592"/>
    <w:rsid w:val="001B17FE"/>
    <w:rsid w:val="001B19DE"/>
    <w:rsid w:val="001B300C"/>
    <w:rsid w:val="001B7639"/>
    <w:rsid w:val="001B779E"/>
    <w:rsid w:val="001B77CD"/>
    <w:rsid w:val="001C0256"/>
    <w:rsid w:val="001C089C"/>
    <w:rsid w:val="001C2716"/>
    <w:rsid w:val="001C6B68"/>
    <w:rsid w:val="001D0F00"/>
    <w:rsid w:val="001D6096"/>
    <w:rsid w:val="001D60BE"/>
    <w:rsid w:val="001E3131"/>
    <w:rsid w:val="001E387A"/>
    <w:rsid w:val="001E48FE"/>
    <w:rsid w:val="001E60BE"/>
    <w:rsid w:val="001E6925"/>
    <w:rsid w:val="001E7DBC"/>
    <w:rsid w:val="001F0BA1"/>
    <w:rsid w:val="001F1981"/>
    <w:rsid w:val="001F2DCC"/>
    <w:rsid w:val="001F3E4A"/>
    <w:rsid w:val="001F4767"/>
    <w:rsid w:val="001F6B08"/>
    <w:rsid w:val="001F718A"/>
    <w:rsid w:val="00202FC2"/>
    <w:rsid w:val="002031FD"/>
    <w:rsid w:val="002063A7"/>
    <w:rsid w:val="00212E62"/>
    <w:rsid w:val="00216DB1"/>
    <w:rsid w:val="00222AB6"/>
    <w:rsid w:val="00222EFE"/>
    <w:rsid w:val="0022712C"/>
    <w:rsid w:val="00230BC2"/>
    <w:rsid w:val="00234C2B"/>
    <w:rsid w:val="0023713E"/>
    <w:rsid w:val="00237227"/>
    <w:rsid w:val="00237336"/>
    <w:rsid w:val="00246283"/>
    <w:rsid w:val="00247571"/>
    <w:rsid w:val="002502B7"/>
    <w:rsid w:val="00251A53"/>
    <w:rsid w:val="002543A9"/>
    <w:rsid w:val="00254C36"/>
    <w:rsid w:val="0025535C"/>
    <w:rsid w:val="002573E3"/>
    <w:rsid w:val="00260690"/>
    <w:rsid w:val="0026245C"/>
    <w:rsid w:val="00263A39"/>
    <w:rsid w:val="00265559"/>
    <w:rsid w:val="002664CB"/>
    <w:rsid w:val="00266869"/>
    <w:rsid w:val="00266A50"/>
    <w:rsid w:val="0027136F"/>
    <w:rsid w:val="00271D10"/>
    <w:rsid w:val="0027305B"/>
    <w:rsid w:val="0027668A"/>
    <w:rsid w:val="00277366"/>
    <w:rsid w:val="002774C4"/>
    <w:rsid w:val="00282906"/>
    <w:rsid w:val="002865E4"/>
    <w:rsid w:val="0028711B"/>
    <w:rsid w:val="00290492"/>
    <w:rsid w:val="00290684"/>
    <w:rsid w:val="002908E3"/>
    <w:rsid w:val="00292943"/>
    <w:rsid w:val="00293A8A"/>
    <w:rsid w:val="002959A7"/>
    <w:rsid w:val="00297B55"/>
    <w:rsid w:val="002A01FD"/>
    <w:rsid w:val="002A0235"/>
    <w:rsid w:val="002A516B"/>
    <w:rsid w:val="002A5622"/>
    <w:rsid w:val="002B0D85"/>
    <w:rsid w:val="002B5DE4"/>
    <w:rsid w:val="002C1377"/>
    <w:rsid w:val="002C1D8D"/>
    <w:rsid w:val="002C28BE"/>
    <w:rsid w:val="002C2D13"/>
    <w:rsid w:val="002D1055"/>
    <w:rsid w:val="002D1281"/>
    <w:rsid w:val="002D16C7"/>
    <w:rsid w:val="002E095D"/>
    <w:rsid w:val="002E0F67"/>
    <w:rsid w:val="002E6324"/>
    <w:rsid w:val="002F0DB8"/>
    <w:rsid w:val="002F273B"/>
    <w:rsid w:val="002F46DA"/>
    <w:rsid w:val="002F5ACE"/>
    <w:rsid w:val="002F7374"/>
    <w:rsid w:val="003008B3"/>
    <w:rsid w:val="00301758"/>
    <w:rsid w:val="003075E0"/>
    <w:rsid w:val="00313AD1"/>
    <w:rsid w:val="00317F8D"/>
    <w:rsid w:val="003212E1"/>
    <w:rsid w:val="00322526"/>
    <w:rsid w:val="0032452A"/>
    <w:rsid w:val="00324B12"/>
    <w:rsid w:val="0032508F"/>
    <w:rsid w:val="0033099D"/>
    <w:rsid w:val="00330C92"/>
    <w:rsid w:val="003321C6"/>
    <w:rsid w:val="00332AD7"/>
    <w:rsid w:val="003401A7"/>
    <w:rsid w:val="003401E1"/>
    <w:rsid w:val="00345AC3"/>
    <w:rsid w:val="00347C68"/>
    <w:rsid w:val="0035144F"/>
    <w:rsid w:val="00351DB9"/>
    <w:rsid w:val="003528A3"/>
    <w:rsid w:val="00353B11"/>
    <w:rsid w:val="0035523C"/>
    <w:rsid w:val="00361465"/>
    <w:rsid w:val="0036476D"/>
    <w:rsid w:val="00364975"/>
    <w:rsid w:val="00367FE7"/>
    <w:rsid w:val="0037120B"/>
    <w:rsid w:val="003745CE"/>
    <w:rsid w:val="0037472C"/>
    <w:rsid w:val="00375AE4"/>
    <w:rsid w:val="00381A93"/>
    <w:rsid w:val="00381B61"/>
    <w:rsid w:val="003829C8"/>
    <w:rsid w:val="00383984"/>
    <w:rsid w:val="00384811"/>
    <w:rsid w:val="0038794E"/>
    <w:rsid w:val="00391544"/>
    <w:rsid w:val="00391992"/>
    <w:rsid w:val="00391CFA"/>
    <w:rsid w:val="003922EE"/>
    <w:rsid w:val="003A3E0E"/>
    <w:rsid w:val="003A3F6D"/>
    <w:rsid w:val="003A5272"/>
    <w:rsid w:val="003A6577"/>
    <w:rsid w:val="003A75FA"/>
    <w:rsid w:val="003A799E"/>
    <w:rsid w:val="003B1825"/>
    <w:rsid w:val="003B4458"/>
    <w:rsid w:val="003B647A"/>
    <w:rsid w:val="003B69FF"/>
    <w:rsid w:val="003C16B9"/>
    <w:rsid w:val="003C1A28"/>
    <w:rsid w:val="003C4721"/>
    <w:rsid w:val="003C4852"/>
    <w:rsid w:val="003D1CEB"/>
    <w:rsid w:val="003D64E8"/>
    <w:rsid w:val="003D679D"/>
    <w:rsid w:val="003D78D3"/>
    <w:rsid w:val="003D7962"/>
    <w:rsid w:val="003E3551"/>
    <w:rsid w:val="003E35B7"/>
    <w:rsid w:val="003E3F7E"/>
    <w:rsid w:val="003E4468"/>
    <w:rsid w:val="003E5513"/>
    <w:rsid w:val="003E62C3"/>
    <w:rsid w:val="003E742B"/>
    <w:rsid w:val="003F01C6"/>
    <w:rsid w:val="003F112B"/>
    <w:rsid w:val="003F18BD"/>
    <w:rsid w:val="003F41B7"/>
    <w:rsid w:val="003F4F82"/>
    <w:rsid w:val="003F5822"/>
    <w:rsid w:val="0040012A"/>
    <w:rsid w:val="004013EB"/>
    <w:rsid w:val="004018B0"/>
    <w:rsid w:val="00404C69"/>
    <w:rsid w:val="0040549A"/>
    <w:rsid w:val="004120D9"/>
    <w:rsid w:val="00415A88"/>
    <w:rsid w:val="00416634"/>
    <w:rsid w:val="004220FC"/>
    <w:rsid w:val="00423B93"/>
    <w:rsid w:val="00424C46"/>
    <w:rsid w:val="004255D8"/>
    <w:rsid w:val="00425FC9"/>
    <w:rsid w:val="0042620E"/>
    <w:rsid w:val="00430AEE"/>
    <w:rsid w:val="00437468"/>
    <w:rsid w:val="00440286"/>
    <w:rsid w:val="004416B9"/>
    <w:rsid w:val="00441EF0"/>
    <w:rsid w:val="004471CF"/>
    <w:rsid w:val="00447B93"/>
    <w:rsid w:val="004518B7"/>
    <w:rsid w:val="0045261B"/>
    <w:rsid w:val="00453757"/>
    <w:rsid w:val="00460A42"/>
    <w:rsid w:val="00461979"/>
    <w:rsid w:val="00462490"/>
    <w:rsid w:val="00463258"/>
    <w:rsid w:val="00466A5B"/>
    <w:rsid w:val="004700F9"/>
    <w:rsid w:val="00470849"/>
    <w:rsid w:val="00471FA0"/>
    <w:rsid w:val="00473CDC"/>
    <w:rsid w:val="004748EF"/>
    <w:rsid w:val="00474CF0"/>
    <w:rsid w:val="004761D5"/>
    <w:rsid w:val="00477D25"/>
    <w:rsid w:val="00480ACF"/>
    <w:rsid w:val="00481FD8"/>
    <w:rsid w:val="00482DB3"/>
    <w:rsid w:val="004846C7"/>
    <w:rsid w:val="004851E9"/>
    <w:rsid w:val="004902D8"/>
    <w:rsid w:val="00490ACE"/>
    <w:rsid w:val="0049777F"/>
    <w:rsid w:val="004A04E9"/>
    <w:rsid w:val="004A2B3D"/>
    <w:rsid w:val="004A5470"/>
    <w:rsid w:val="004A5D6B"/>
    <w:rsid w:val="004A71F7"/>
    <w:rsid w:val="004A72BD"/>
    <w:rsid w:val="004A740A"/>
    <w:rsid w:val="004B09C4"/>
    <w:rsid w:val="004B40FE"/>
    <w:rsid w:val="004B788D"/>
    <w:rsid w:val="004C2002"/>
    <w:rsid w:val="004C55D7"/>
    <w:rsid w:val="004C5D5F"/>
    <w:rsid w:val="004C5E7A"/>
    <w:rsid w:val="004C6524"/>
    <w:rsid w:val="004D4E5A"/>
    <w:rsid w:val="004D695C"/>
    <w:rsid w:val="004E0181"/>
    <w:rsid w:val="004E272D"/>
    <w:rsid w:val="004E2759"/>
    <w:rsid w:val="004E519F"/>
    <w:rsid w:val="004E5B77"/>
    <w:rsid w:val="004F5AD6"/>
    <w:rsid w:val="00500782"/>
    <w:rsid w:val="00503EA8"/>
    <w:rsid w:val="005074AA"/>
    <w:rsid w:val="00511523"/>
    <w:rsid w:val="00512833"/>
    <w:rsid w:val="00515AE6"/>
    <w:rsid w:val="00520634"/>
    <w:rsid w:val="00520F98"/>
    <w:rsid w:val="00521800"/>
    <w:rsid w:val="005224F9"/>
    <w:rsid w:val="005236BE"/>
    <w:rsid w:val="00525ADA"/>
    <w:rsid w:val="005261EA"/>
    <w:rsid w:val="00526731"/>
    <w:rsid w:val="005300A6"/>
    <w:rsid w:val="00530213"/>
    <w:rsid w:val="0053057B"/>
    <w:rsid w:val="005356A0"/>
    <w:rsid w:val="005363D8"/>
    <w:rsid w:val="00536E0C"/>
    <w:rsid w:val="00537695"/>
    <w:rsid w:val="00541296"/>
    <w:rsid w:val="00542F6F"/>
    <w:rsid w:val="00544998"/>
    <w:rsid w:val="00544E40"/>
    <w:rsid w:val="00546A93"/>
    <w:rsid w:val="005511C9"/>
    <w:rsid w:val="0055171C"/>
    <w:rsid w:val="0055207B"/>
    <w:rsid w:val="00552CCD"/>
    <w:rsid w:val="005540F4"/>
    <w:rsid w:val="00556432"/>
    <w:rsid w:val="0055734A"/>
    <w:rsid w:val="00560279"/>
    <w:rsid w:val="005612F1"/>
    <w:rsid w:val="0056152E"/>
    <w:rsid w:val="005656B8"/>
    <w:rsid w:val="00565ABB"/>
    <w:rsid w:val="00573442"/>
    <w:rsid w:val="00573878"/>
    <w:rsid w:val="00574164"/>
    <w:rsid w:val="005756E4"/>
    <w:rsid w:val="0057696D"/>
    <w:rsid w:val="00577925"/>
    <w:rsid w:val="005813A3"/>
    <w:rsid w:val="00583988"/>
    <w:rsid w:val="00584CE6"/>
    <w:rsid w:val="00585DB8"/>
    <w:rsid w:val="00587CA5"/>
    <w:rsid w:val="00590C5B"/>
    <w:rsid w:val="0059142F"/>
    <w:rsid w:val="005932E0"/>
    <w:rsid w:val="00595307"/>
    <w:rsid w:val="0059599F"/>
    <w:rsid w:val="005A2AD7"/>
    <w:rsid w:val="005A313A"/>
    <w:rsid w:val="005A39B5"/>
    <w:rsid w:val="005B4FB0"/>
    <w:rsid w:val="005B5B80"/>
    <w:rsid w:val="005B7D49"/>
    <w:rsid w:val="005C165D"/>
    <w:rsid w:val="005C4F74"/>
    <w:rsid w:val="005C59FA"/>
    <w:rsid w:val="005C60C6"/>
    <w:rsid w:val="005E0D5F"/>
    <w:rsid w:val="005E361E"/>
    <w:rsid w:val="005E4635"/>
    <w:rsid w:val="005E4C76"/>
    <w:rsid w:val="005E5B2D"/>
    <w:rsid w:val="005E70A0"/>
    <w:rsid w:val="005F0D56"/>
    <w:rsid w:val="005F38BC"/>
    <w:rsid w:val="005F41B3"/>
    <w:rsid w:val="005F4E34"/>
    <w:rsid w:val="005F56CF"/>
    <w:rsid w:val="005F70BB"/>
    <w:rsid w:val="005F7562"/>
    <w:rsid w:val="005F7D72"/>
    <w:rsid w:val="006036A9"/>
    <w:rsid w:val="0060525F"/>
    <w:rsid w:val="00605C5E"/>
    <w:rsid w:val="006122BB"/>
    <w:rsid w:val="00614B5F"/>
    <w:rsid w:val="00616056"/>
    <w:rsid w:val="0061760E"/>
    <w:rsid w:val="0061783B"/>
    <w:rsid w:val="00621101"/>
    <w:rsid w:val="00624283"/>
    <w:rsid w:val="00630E1E"/>
    <w:rsid w:val="00640794"/>
    <w:rsid w:val="00644A92"/>
    <w:rsid w:val="00645C79"/>
    <w:rsid w:val="00645E1E"/>
    <w:rsid w:val="00651C15"/>
    <w:rsid w:val="00651E0F"/>
    <w:rsid w:val="00654EB7"/>
    <w:rsid w:val="006555DD"/>
    <w:rsid w:val="006578FF"/>
    <w:rsid w:val="006637EF"/>
    <w:rsid w:val="00664D5F"/>
    <w:rsid w:val="00667617"/>
    <w:rsid w:val="00667714"/>
    <w:rsid w:val="00681724"/>
    <w:rsid w:val="00682215"/>
    <w:rsid w:val="00682F33"/>
    <w:rsid w:val="00683018"/>
    <w:rsid w:val="00690787"/>
    <w:rsid w:val="00691368"/>
    <w:rsid w:val="00691BCD"/>
    <w:rsid w:val="006946B6"/>
    <w:rsid w:val="006A0670"/>
    <w:rsid w:val="006A1543"/>
    <w:rsid w:val="006A62C8"/>
    <w:rsid w:val="006A78DB"/>
    <w:rsid w:val="006B16A5"/>
    <w:rsid w:val="006B3D73"/>
    <w:rsid w:val="006B4C98"/>
    <w:rsid w:val="006B5A90"/>
    <w:rsid w:val="006C1191"/>
    <w:rsid w:val="006C1CAB"/>
    <w:rsid w:val="006C1DC1"/>
    <w:rsid w:val="006C2966"/>
    <w:rsid w:val="006C2E5D"/>
    <w:rsid w:val="006C471E"/>
    <w:rsid w:val="006C77B2"/>
    <w:rsid w:val="006D049E"/>
    <w:rsid w:val="006D06E7"/>
    <w:rsid w:val="006D7AA2"/>
    <w:rsid w:val="006E0C37"/>
    <w:rsid w:val="006E1822"/>
    <w:rsid w:val="006E3217"/>
    <w:rsid w:val="006E6E04"/>
    <w:rsid w:val="006F08E8"/>
    <w:rsid w:val="006F16E3"/>
    <w:rsid w:val="006F23EF"/>
    <w:rsid w:val="006F24B1"/>
    <w:rsid w:val="006F3BFF"/>
    <w:rsid w:val="006F445E"/>
    <w:rsid w:val="006F6B55"/>
    <w:rsid w:val="0070005F"/>
    <w:rsid w:val="007011BE"/>
    <w:rsid w:val="00701998"/>
    <w:rsid w:val="00701A0C"/>
    <w:rsid w:val="007057AF"/>
    <w:rsid w:val="00710E99"/>
    <w:rsid w:val="00720C6C"/>
    <w:rsid w:val="00721ABE"/>
    <w:rsid w:val="00722259"/>
    <w:rsid w:val="0072554B"/>
    <w:rsid w:val="00725695"/>
    <w:rsid w:val="00725F5A"/>
    <w:rsid w:val="00731BC2"/>
    <w:rsid w:val="0073295F"/>
    <w:rsid w:val="007338B8"/>
    <w:rsid w:val="00733EDC"/>
    <w:rsid w:val="00735A40"/>
    <w:rsid w:val="00736FAC"/>
    <w:rsid w:val="00743405"/>
    <w:rsid w:val="007440E9"/>
    <w:rsid w:val="0074441E"/>
    <w:rsid w:val="007451CF"/>
    <w:rsid w:val="007455F7"/>
    <w:rsid w:val="007467FF"/>
    <w:rsid w:val="007475F9"/>
    <w:rsid w:val="007517B3"/>
    <w:rsid w:val="00751835"/>
    <w:rsid w:val="0075279A"/>
    <w:rsid w:val="00752F0A"/>
    <w:rsid w:val="007551F8"/>
    <w:rsid w:val="00756633"/>
    <w:rsid w:val="00757B80"/>
    <w:rsid w:val="007612AB"/>
    <w:rsid w:val="00764DFA"/>
    <w:rsid w:val="00767188"/>
    <w:rsid w:val="00767218"/>
    <w:rsid w:val="00770FC1"/>
    <w:rsid w:val="007736F1"/>
    <w:rsid w:val="0077626C"/>
    <w:rsid w:val="0078414A"/>
    <w:rsid w:val="00784709"/>
    <w:rsid w:val="00784A47"/>
    <w:rsid w:val="00785F23"/>
    <w:rsid w:val="007868A3"/>
    <w:rsid w:val="00786E23"/>
    <w:rsid w:val="00790B1E"/>
    <w:rsid w:val="00791EDF"/>
    <w:rsid w:val="007933EE"/>
    <w:rsid w:val="007945A8"/>
    <w:rsid w:val="00794CC9"/>
    <w:rsid w:val="00795056"/>
    <w:rsid w:val="007A2930"/>
    <w:rsid w:val="007A348E"/>
    <w:rsid w:val="007A4522"/>
    <w:rsid w:val="007A4843"/>
    <w:rsid w:val="007A7870"/>
    <w:rsid w:val="007B12EA"/>
    <w:rsid w:val="007B40A4"/>
    <w:rsid w:val="007B6A87"/>
    <w:rsid w:val="007B6C6F"/>
    <w:rsid w:val="007C1369"/>
    <w:rsid w:val="007C1DED"/>
    <w:rsid w:val="007C25CB"/>
    <w:rsid w:val="007C2DCC"/>
    <w:rsid w:val="007C6B81"/>
    <w:rsid w:val="007D0294"/>
    <w:rsid w:val="007D05EC"/>
    <w:rsid w:val="007D0737"/>
    <w:rsid w:val="007D0CF1"/>
    <w:rsid w:val="007D120D"/>
    <w:rsid w:val="007D16E6"/>
    <w:rsid w:val="007D1E64"/>
    <w:rsid w:val="007D69D7"/>
    <w:rsid w:val="007E25D7"/>
    <w:rsid w:val="007F34AA"/>
    <w:rsid w:val="007F358A"/>
    <w:rsid w:val="007F6321"/>
    <w:rsid w:val="00800A21"/>
    <w:rsid w:val="00801A3E"/>
    <w:rsid w:val="00802F0D"/>
    <w:rsid w:val="008041D8"/>
    <w:rsid w:val="008043A3"/>
    <w:rsid w:val="00804C81"/>
    <w:rsid w:val="00805937"/>
    <w:rsid w:val="008100BC"/>
    <w:rsid w:val="008133DE"/>
    <w:rsid w:val="0081382B"/>
    <w:rsid w:val="0081590D"/>
    <w:rsid w:val="0082238D"/>
    <w:rsid w:val="00824F2B"/>
    <w:rsid w:val="00824F69"/>
    <w:rsid w:val="00830AAF"/>
    <w:rsid w:val="0083141C"/>
    <w:rsid w:val="00831D07"/>
    <w:rsid w:val="008327C9"/>
    <w:rsid w:val="00835473"/>
    <w:rsid w:val="00836045"/>
    <w:rsid w:val="00836940"/>
    <w:rsid w:val="00837683"/>
    <w:rsid w:val="00837708"/>
    <w:rsid w:val="00840083"/>
    <w:rsid w:val="0084049C"/>
    <w:rsid w:val="00842CF5"/>
    <w:rsid w:val="00844389"/>
    <w:rsid w:val="00846D5C"/>
    <w:rsid w:val="00847592"/>
    <w:rsid w:val="0085112A"/>
    <w:rsid w:val="008528A6"/>
    <w:rsid w:val="00857905"/>
    <w:rsid w:val="00857ABA"/>
    <w:rsid w:val="0086113C"/>
    <w:rsid w:val="00865B68"/>
    <w:rsid w:val="00866A85"/>
    <w:rsid w:val="00870577"/>
    <w:rsid w:val="0087263D"/>
    <w:rsid w:val="00873D10"/>
    <w:rsid w:val="008764EE"/>
    <w:rsid w:val="0088063C"/>
    <w:rsid w:val="00880B64"/>
    <w:rsid w:val="00881A8B"/>
    <w:rsid w:val="00882D99"/>
    <w:rsid w:val="00884672"/>
    <w:rsid w:val="00884CCC"/>
    <w:rsid w:val="0089195B"/>
    <w:rsid w:val="00894FBA"/>
    <w:rsid w:val="0089543B"/>
    <w:rsid w:val="008971C4"/>
    <w:rsid w:val="008A1490"/>
    <w:rsid w:val="008A3E17"/>
    <w:rsid w:val="008A55BB"/>
    <w:rsid w:val="008A5F98"/>
    <w:rsid w:val="008A6ACD"/>
    <w:rsid w:val="008A6C93"/>
    <w:rsid w:val="008A76BC"/>
    <w:rsid w:val="008B00C3"/>
    <w:rsid w:val="008B0BD1"/>
    <w:rsid w:val="008B113B"/>
    <w:rsid w:val="008B37DC"/>
    <w:rsid w:val="008B3C22"/>
    <w:rsid w:val="008B7A9E"/>
    <w:rsid w:val="008C0A2D"/>
    <w:rsid w:val="008C1006"/>
    <w:rsid w:val="008C3902"/>
    <w:rsid w:val="008C3CFD"/>
    <w:rsid w:val="008C49E8"/>
    <w:rsid w:val="008C4D4E"/>
    <w:rsid w:val="008C5547"/>
    <w:rsid w:val="008C5A36"/>
    <w:rsid w:val="008D1F3D"/>
    <w:rsid w:val="008D30C5"/>
    <w:rsid w:val="008D3763"/>
    <w:rsid w:val="008D5599"/>
    <w:rsid w:val="008D6B05"/>
    <w:rsid w:val="008D6DAF"/>
    <w:rsid w:val="008E29E3"/>
    <w:rsid w:val="008E2A26"/>
    <w:rsid w:val="008E35A9"/>
    <w:rsid w:val="008E3BC0"/>
    <w:rsid w:val="008E4670"/>
    <w:rsid w:val="008E5198"/>
    <w:rsid w:val="008E68BF"/>
    <w:rsid w:val="008E7B81"/>
    <w:rsid w:val="008F2969"/>
    <w:rsid w:val="008F4490"/>
    <w:rsid w:val="008F50A4"/>
    <w:rsid w:val="008F5134"/>
    <w:rsid w:val="008F6530"/>
    <w:rsid w:val="008F6C00"/>
    <w:rsid w:val="008F77C9"/>
    <w:rsid w:val="00901B3A"/>
    <w:rsid w:val="00902DB9"/>
    <w:rsid w:val="0090321C"/>
    <w:rsid w:val="00906AC4"/>
    <w:rsid w:val="00910CDF"/>
    <w:rsid w:val="00913536"/>
    <w:rsid w:val="00913E3B"/>
    <w:rsid w:val="009161C7"/>
    <w:rsid w:val="00917287"/>
    <w:rsid w:val="00922AEC"/>
    <w:rsid w:val="00934ED5"/>
    <w:rsid w:val="00935BA3"/>
    <w:rsid w:val="0093628A"/>
    <w:rsid w:val="00940609"/>
    <w:rsid w:val="009418B3"/>
    <w:rsid w:val="009452A9"/>
    <w:rsid w:val="00945A88"/>
    <w:rsid w:val="00945BDD"/>
    <w:rsid w:val="0094676C"/>
    <w:rsid w:val="00952D3D"/>
    <w:rsid w:val="00955353"/>
    <w:rsid w:val="00957F8D"/>
    <w:rsid w:val="00962858"/>
    <w:rsid w:val="00963CC6"/>
    <w:rsid w:val="00964D61"/>
    <w:rsid w:val="00967176"/>
    <w:rsid w:val="00967B00"/>
    <w:rsid w:val="00971CEB"/>
    <w:rsid w:val="009720C5"/>
    <w:rsid w:val="009751DF"/>
    <w:rsid w:val="00975819"/>
    <w:rsid w:val="0097589A"/>
    <w:rsid w:val="00976499"/>
    <w:rsid w:val="00977061"/>
    <w:rsid w:val="0097764C"/>
    <w:rsid w:val="009819B8"/>
    <w:rsid w:val="0098325A"/>
    <w:rsid w:val="009846EF"/>
    <w:rsid w:val="00986F23"/>
    <w:rsid w:val="0099172F"/>
    <w:rsid w:val="00992F5C"/>
    <w:rsid w:val="00993CB8"/>
    <w:rsid w:val="00994FC0"/>
    <w:rsid w:val="009A0474"/>
    <w:rsid w:val="009A0AF0"/>
    <w:rsid w:val="009A16BF"/>
    <w:rsid w:val="009A18FE"/>
    <w:rsid w:val="009A2196"/>
    <w:rsid w:val="009A49D4"/>
    <w:rsid w:val="009A63F5"/>
    <w:rsid w:val="009A7EE4"/>
    <w:rsid w:val="009B0D6C"/>
    <w:rsid w:val="009B328E"/>
    <w:rsid w:val="009C3FB0"/>
    <w:rsid w:val="009C75A4"/>
    <w:rsid w:val="009D1FC8"/>
    <w:rsid w:val="009D2F40"/>
    <w:rsid w:val="009D395C"/>
    <w:rsid w:val="009D5714"/>
    <w:rsid w:val="009D68B6"/>
    <w:rsid w:val="009E0D48"/>
    <w:rsid w:val="009E0DEF"/>
    <w:rsid w:val="009E25B0"/>
    <w:rsid w:val="009E41D3"/>
    <w:rsid w:val="009F0F20"/>
    <w:rsid w:val="009F1F0E"/>
    <w:rsid w:val="009F33D0"/>
    <w:rsid w:val="009F5006"/>
    <w:rsid w:val="009F74E5"/>
    <w:rsid w:val="009F7BC3"/>
    <w:rsid w:val="00A00F09"/>
    <w:rsid w:val="00A03083"/>
    <w:rsid w:val="00A05387"/>
    <w:rsid w:val="00A072E1"/>
    <w:rsid w:val="00A10BE3"/>
    <w:rsid w:val="00A12843"/>
    <w:rsid w:val="00A12F20"/>
    <w:rsid w:val="00A13F36"/>
    <w:rsid w:val="00A158C5"/>
    <w:rsid w:val="00A15F50"/>
    <w:rsid w:val="00A16264"/>
    <w:rsid w:val="00A16E82"/>
    <w:rsid w:val="00A20DA6"/>
    <w:rsid w:val="00A21A45"/>
    <w:rsid w:val="00A275B8"/>
    <w:rsid w:val="00A27C72"/>
    <w:rsid w:val="00A34D11"/>
    <w:rsid w:val="00A3785D"/>
    <w:rsid w:val="00A405E2"/>
    <w:rsid w:val="00A443CB"/>
    <w:rsid w:val="00A44F6E"/>
    <w:rsid w:val="00A543E8"/>
    <w:rsid w:val="00A55128"/>
    <w:rsid w:val="00A5540C"/>
    <w:rsid w:val="00A572AF"/>
    <w:rsid w:val="00A5777D"/>
    <w:rsid w:val="00A62CFF"/>
    <w:rsid w:val="00A63BFE"/>
    <w:rsid w:val="00A65AA8"/>
    <w:rsid w:val="00A70B3C"/>
    <w:rsid w:val="00A70C41"/>
    <w:rsid w:val="00A71A92"/>
    <w:rsid w:val="00A73FEA"/>
    <w:rsid w:val="00A76127"/>
    <w:rsid w:val="00A765F9"/>
    <w:rsid w:val="00A80518"/>
    <w:rsid w:val="00A80C4D"/>
    <w:rsid w:val="00A823AD"/>
    <w:rsid w:val="00A82E2D"/>
    <w:rsid w:val="00A87CA0"/>
    <w:rsid w:val="00A923BE"/>
    <w:rsid w:val="00A927AA"/>
    <w:rsid w:val="00A971EF"/>
    <w:rsid w:val="00A97446"/>
    <w:rsid w:val="00AA6329"/>
    <w:rsid w:val="00AA63FC"/>
    <w:rsid w:val="00AB025C"/>
    <w:rsid w:val="00AB0B94"/>
    <w:rsid w:val="00AB154F"/>
    <w:rsid w:val="00AB73FC"/>
    <w:rsid w:val="00AC04AC"/>
    <w:rsid w:val="00AC1E00"/>
    <w:rsid w:val="00AC3CF7"/>
    <w:rsid w:val="00AC4DB3"/>
    <w:rsid w:val="00AC5AEB"/>
    <w:rsid w:val="00AE16CE"/>
    <w:rsid w:val="00AF04D1"/>
    <w:rsid w:val="00AF15C5"/>
    <w:rsid w:val="00AF4B48"/>
    <w:rsid w:val="00AF67FA"/>
    <w:rsid w:val="00B02D52"/>
    <w:rsid w:val="00B04AAF"/>
    <w:rsid w:val="00B052AB"/>
    <w:rsid w:val="00B0541F"/>
    <w:rsid w:val="00B05E80"/>
    <w:rsid w:val="00B0740B"/>
    <w:rsid w:val="00B11950"/>
    <w:rsid w:val="00B13210"/>
    <w:rsid w:val="00B139BF"/>
    <w:rsid w:val="00B14B6D"/>
    <w:rsid w:val="00B15F50"/>
    <w:rsid w:val="00B20528"/>
    <w:rsid w:val="00B209E7"/>
    <w:rsid w:val="00B20B21"/>
    <w:rsid w:val="00B24444"/>
    <w:rsid w:val="00B24832"/>
    <w:rsid w:val="00B24D9B"/>
    <w:rsid w:val="00B25895"/>
    <w:rsid w:val="00B26E87"/>
    <w:rsid w:val="00B278A7"/>
    <w:rsid w:val="00B36CD3"/>
    <w:rsid w:val="00B4311D"/>
    <w:rsid w:val="00B4313B"/>
    <w:rsid w:val="00B43461"/>
    <w:rsid w:val="00B44BA3"/>
    <w:rsid w:val="00B4527C"/>
    <w:rsid w:val="00B47896"/>
    <w:rsid w:val="00B51A7B"/>
    <w:rsid w:val="00B5740C"/>
    <w:rsid w:val="00B64FCB"/>
    <w:rsid w:val="00B6592F"/>
    <w:rsid w:val="00B679B7"/>
    <w:rsid w:val="00B706BD"/>
    <w:rsid w:val="00B73FFF"/>
    <w:rsid w:val="00B74209"/>
    <w:rsid w:val="00B7593A"/>
    <w:rsid w:val="00B75B7D"/>
    <w:rsid w:val="00B83945"/>
    <w:rsid w:val="00B83EF8"/>
    <w:rsid w:val="00B84730"/>
    <w:rsid w:val="00B90604"/>
    <w:rsid w:val="00B919A2"/>
    <w:rsid w:val="00B96EFA"/>
    <w:rsid w:val="00BA2803"/>
    <w:rsid w:val="00BA4920"/>
    <w:rsid w:val="00BA6AF5"/>
    <w:rsid w:val="00BB1AC9"/>
    <w:rsid w:val="00BB5A26"/>
    <w:rsid w:val="00BB79F0"/>
    <w:rsid w:val="00BD0226"/>
    <w:rsid w:val="00BD52BF"/>
    <w:rsid w:val="00BD5B24"/>
    <w:rsid w:val="00BD5EDC"/>
    <w:rsid w:val="00BD6169"/>
    <w:rsid w:val="00BE4E4F"/>
    <w:rsid w:val="00BF22F5"/>
    <w:rsid w:val="00BF23E6"/>
    <w:rsid w:val="00BF6587"/>
    <w:rsid w:val="00C003E5"/>
    <w:rsid w:val="00C02259"/>
    <w:rsid w:val="00C06368"/>
    <w:rsid w:val="00C10AF5"/>
    <w:rsid w:val="00C13E9F"/>
    <w:rsid w:val="00C15723"/>
    <w:rsid w:val="00C15F84"/>
    <w:rsid w:val="00C17050"/>
    <w:rsid w:val="00C21F0E"/>
    <w:rsid w:val="00C21F86"/>
    <w:rsid w:val="00C24C5B"/>
    <w:rsid w:val="00C316D3"/>
    <w:rsid w:val="00C32715"/>
    <w:rsid w:val="00C33363"/>
    <w:rsid w:val="00C34B36"/>
    <w:rsid w:val="00C40990"/>
    <w:rsid w:val="00C44159"/>
    <w:rsid w:val="00C44F2B"/>
    <w:rsid w:val="00C450DE"/>
    <w:rsid w:val="00C45281"/>
    <w:rsid w:val="00C45AFB"/>
    <w:rsid w:val="00C45BAF"/>
    <w:rsid w:val="00C46555"/>
    <w:rsid w:val="00C50758"/>
    <w:rsid w:val="00C546C8"/>
    <w:rsid w:val="00C55E49"/>
    <w:rsid w:val="00C6317D"/>
    <w:rsid w:val="00C6420E"/>
    <w:rsid w:val="00C65F69"/>
    <w:rsid w:val="00C66507"/>
    <w:rsid w:val="00C71260"/>
    <w:rsid w:val="00C7419E"/>
    <w:rsid w:val="00C7440F"/>
    <w:rsid w:val="00C7696B"/>
    <w:rsid w:val="00C76AE3"/>
    <w:rsid w:val="00C77438"/>
    <w:rsid w:val="00C84AE4"/>
    <w:rsid w:val="00C853B3"/>
    <w:rsid w:val="00C8730E"/>
    <w:rsid w:val="00C9187B"/>
    <w:rsid w:val="00C91A19"/>
    <w:rsid w:val="00C93A73"/>
    <w:rsid w:val="00C950ED"/>
    <w:rsid w:val="00C97423"/>
    <w:rsid w:val="00CA28C4"/>
    <w:rsid w:val="00CA321F"/>
    <w:rsid w:val="00CA47C1"/>
    <w:rsid w:val="00CA66EA"/>
    <w:rsid w:val="00CA758B"/>
    <w:rsid w:val="00CB1059"/>
    <w:rsid w:val="00CB25D7"/>
    <w:rsid w:val="00CB4B30"/>
    <w:rsid w:val="00CB5569"/>
    <w:rsid w:val="00CB5AF6"/>
    <w:rsid w:val="00CB609B"/>
    <w:rsid w:val="00CB6A38"/>
    <w:rsid w:val="00CB7798"/>
    <w:rsid w:val="00CC3E25"/>
    <w:rsid w:val="00CC74FB"/>
    <w:rsid w:val="00CD150F"/>
    <w:rsid w:val="00CD4C01"/>
    <w:rsid w:val="00CE03F5"/>
    <w:rsid w:val="00CE1D6D"/>
    <w:rsid w:val="00CE23D0"/>
    <w:rsid w:val="00CE2613"/>
    <w:rsid w:val="00CE2723"/>
    <w:rsid w:val="00CE4289"/>
    <w:rsid w:val="00CE447B"/>
    <w:rsid w:val="00CE4BA3"/>
    <w:rsid w:val="00CE7CB0"/>
    <w:rsid w:val="00CF074D"/>
    <w:rsid w:val="00CF34C0"/>
    <w:rsid w:val="00CF3D19"/>
    <w:rsid w:val="00CF4213"/>
    <w:rsid w:val="00D00C0B"/>
    <w:rsid w:val="00D00F02"/>
    <w:rsid w:val="00D02122"/>
    <w:rsid w:val="00D039ED"/>
    <w:rsid w:val="00D0487F"/>
    <w:rsid w:val="00D06682"/>
    <w:rsid w:val="00D12013"/>
    <w:rsid w:val="00D16A20"/>
    <w:rsid w:val="00D2769D"/>
    <w:rsid w:val="00D3029D"/>
    <w:rsid w:val="00D31401"/>
    <w:rsid w:val="00D314DA"/>
    <w:rsid w:val="00D316E2"/>
    <w:rsid w:val="00D321E0"/>
    <w:rsid w:val="00D33DD6"/>
    <w:rsid w:val="00D34186"/>
    <w:rsid w:val="00D34CFC"/>
    <w:rsid w:val="00D361A6"/>
    <w:rsid w:val="00D3638C"/>
    <w:rsid w:val="00D401E1"/>
    <w:rsid w:val="00D40CF6"/>
    <w:rsid w:val="00D44856"/>
    <w:rsid w:val="00D44CC4"/>
    <w:rsid w:val="00D57EB8"/>
    <w:rsid w:val="00D60703"/>
    <w:rsid w:val="00D61467"/>
    <w:rsid w:val="00D62094"/>
    <w:rsid w:val="00D62AB2"/>
    <w:rsid w:val="00D643CD"/>
    <w:rsid w:val="00D6572B"/>
    <w:rsid w:val="00D67F67"/>
    <w:rsid w:val="00D70FC5"/>
    <w:rsid w:val="00D772C3"/>
    <w:rsid w:val="00D77725"/>
    <w:rsid w:val="00D807D3"/>
    <w:rsid w:val="00D80A91"/>
    <w:rsid w:val="00D814EA"/>
    <w:rsid w:val="00D84FA0"/>
    <w:rsid w:val="00D866E8"/>
    <w:rsid w:val="00D914DB"/>
    <w:rsid w:val="00D923C2"/>
    <w:rsid w:val="00D942AA"/>
    <w:rsid w:val="00D948E9"/>
    <w:rsid w:val="00D95114"/>
    <w:rsid w:val="00D95473"/>
    <w:rsid w:val="00D96FD0"/>
    <w:rsid w:val="00DA229C"/>
    <w:rsid w:val="00DA2B06"/>
    <w:rsid w:val="00DA2EFB"/>
    <w:rsid w:val="00DB16F3"/>
    <w:rsid w:val="00DB222A"/>
    <w:rsid w:val="00DB5DC6"/>
    <w:rsid w:val="00DC2EF0"/>
    <w:rsid w:val="00DC483F"/>
    <w:rsid w:val="00DC4A89"/>
    <w:rsid w:val="00DD03AA"/>
    <w:rsid w:val="00DE073B"/>
    <w:rsid w:val="00DE1913"/>
    <w:rsid w:val="00DE6E1E"/>
    <w:rsid w:val="00DE7444"/>
    <w:rsid w:val="00DE74D2"/>
    <w:rsid w:val="00DF0D23"/>
    <w:rsid w:val="00DF26AC"/>
    <w:rsid w:val="00DF27B3"/>
    <w:rsid w:val="00DF3B61"/>
    <w:rsid w:val="00DF6FD6"/>
    <w:rsid w:val="00DF7467"/>
    <w:rsid w:val="00E01A66"/>
    <w:rsid w:val="00E02399"/>
    <w:rsid w:val="00E03B0B"/>
    <w:rsid w:val="00E077EE"/>
    <w:rsid w:val="00E10C14"/>
    <w:rsid w:val="00E13259"/>
    <w:rsid w:val="00E13FAD"/>
    <w:rsid w:val="00E14726"/>
    <w:rsid w:val="00E1518C"/>
    <w:rsid w:val="00E1637C"/>
    <w:rsid w:val="00E17BBF"/>
    <w:rsid w:val="00E20100"/>
    <w:rsid w:val="00E22BCC"/>
    <w:rsid w:val="00E25126"/>
    <w:rsid w:val="00E258A4"/>
    <w:rsid w:val="00E26CB1"/>
    <w:rsid w:val="00E2785D"/>
    <w:rsid w:val="00E30729"/>
    <w:rsid w:val="00E318A5"/>
    <w:rsid w:val="00E362DE"/>
    <w:rsid w:val="00E379FC"/>
    <w:rsid w:val="00E41D20"/>
    <w:rsid w:val="00E4382A"/>
    <w:rsid w:val="00E44EF0"/>
    <w:rsid w:val="00E46017"/>
    <w:rsid w:val="00E46E0C"/>
    <w:rsid w:val="00E5122B"/>
    <w:rsid w:val="00E51FD8"/>
    <w:rsid w:val="00E546D1"/>
    <w:rsid w:val="00E54FB8"/>
    <w:rsid w:val="00E554BA"/>
    <w:rsid w:val="00E638BC"/>
    <w:rsid w:val="00E65C2A"/>
    <w:rsid w:val="00E66A98"/>
    <w:rsid w:val="00E724CE"/>
    <w:rsid w:val="00E72CDD"/>
    <w:rsid w:val="00E76775"/>
    <w:rsid w:val="00E8000A"/>
    <w:rsid w:val="00E81C76"/>
    <w:rsid w:val="00E851DE"/>
    <w:rsid w:val="00E87903"/>
    <w:rsid w:val="00E95AFA"/>
    <w:rsid w:val="00E97B81"/>
    <w:rsid w:val="00EA0121"/>
    <w:rsid w:val="00EA3D3B"/>
    <w:rsid w:val="00EA5327"/>
    <w:rsid w:val="00EA775F"/>
    <w:rsid w:val="00EB5F8A"/>
    <w:rsid w:val="00EC096F"/>
    <w:rsid w:val="00EC0F03"/>
    <w:rsid w:val="00EC3E23"/>
    <w:rsid w:val="00EC4384"/>
    <w:rsid w:val="00EC49FD"/>
    <w:rsid w:val="00ED1D85"/>
    <w:rsid w:val="00ED3C6D"/>
    <w:rsid w:val="00ED3D0E"/>
    <w:rsid w:val="00EE23E3"/>
    <w:rsid w:val="00EE4768"/>
    <w:rsid w:val="00EE59B3"/>
    <w:rsid w:val="00EE6B5E"/>
    <w:rsid w:val="00EE73FB"/>
    <w:rsid w:val="00EF0111"/>
    <w:rsid w:val="00EF1F18"/>
    <w:rsid w:val="00EF31EE"/>
    <w:rsid w:val="00EF5494"/>
    <w:rsid w:val="00EF5578"/>
    <w:rsid w:val="00EF677B"/>
    <w:rsid w:val="00F01999"/>
    <w:rsid w:val="00F01FAC"/>
    <w:rsid w:val="00F051BB"/>
    <w:rsid w:val="00F114E1"/>
    <w:rsid w:val="00F11C92"/>
    <w:rsid w:val="00F13AD6"/>
    <w:rsid w:val="00F158C4"/>
    <w:rsid w:val="00F1756D"/>
    <w:rsid w:val="00F21E8A"/>
    <w:rsid w:val="00F2260D"/>
    <w:rsid w:val="00F26C6C"/>
    <w:rsid w:val="00F336B2"/>
    <w:rsid w:val="00F4200F"/>
    <w:rsid w:val="00F436A4"/>
    <w:rsid w:val="00F44530"/>
    <w:rsid w:val="00F45934"/>
    <w:rsid w:val="00F47B95"/>
    <w:rsid w:val="00F527AE"/>
    <w:rsid w:val="00F60F58"/>
    <w:rsid w:val="00F64C0B"/>
    <w:rsid w:val="00F65B1F"/>
    <w:rsid w:val="00F67200"/>
    <w:rsid w:val="00F71204"/>
    <w:rsid w:val="00F7414F"/>
    <w:rsid w:val="00F75F10"/>
    <w:rsid w:val="00F777D5"/>
    <w:rsid w:val="00F77C94"/>
    <w:rsid w:val="00F81705"/>
    <w:rsid w:val="00F83A32"/>
    <w:rsid w:val="00F842D3"/>
    <w:rsid w:val="00F84BBB"/>
    <w:rsid w:val="00F86468"/>
    <w:rsid w:val="00F86A77"/>
    <w:rsid w:val="00F873EA"/>
    <w:rsid w:val="00F9135B"/>
    <w:rsid w:val="00FA467D"/>
    <w:rsid w:val="00FA5421"/>
    <w:rsid w:val="00FA5487"/>
    <w:rsid w:val="00FA5998"/>
    <w:rsid w:val="00FA5D0A"/>
    <w:rsid w:val="00FB14FC"/>
    <w:rsid w:val="00FC0447"/>
    <w:rsid w:val="00FC3072"/>
    <w:rsid w:val="00FC42CC"/>
    <w:rsid w:val="00FC794F"/>
    <w:rsid w:val="00FD4894"/>
    <w:rsid w:val="00FE04F8"/>
    <w:rsid w:val="00FE2B56"/>
    <w:rsid w:val="00FE3110"/>
    <w:rsid w:val="00FE5186"/>
    <w:rsid w:val="00FE53EE"/>
    <w:rsid w:val="00FE571D"/>
    <w:rsid w:val="00FE5D47"/>
    <w:rsid w:val="00FE75A8"/>
    <w:rsid w:val="00FE7B9B"/>
    <w:rsid w:val="00FF1464"/>
    <w:rsid w:val="00FF3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0728E"/>
  <w15:chartTrackingRefBased/>
  <w15:docId w15:val="{A3782ACA-5EC4-4E69-848D-BAB81DDF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966"/>
    <w:rPr>
      <w:rFonts w:ascii="Times New Roman" w:eastAsia="Times New Roman" w:hAnsi="Times New Roman"/>
      <w:sz w:val="24"/>
      <w:szCs w:val="24"/>
      <w:lang w:eastAsia="en-US"/>
    </w:rPr>
  </w:style>
  <w:style w:type="paragraph" w:styleId="Heading1">
    <w:name w:val="heading 1"/>
    <w:basedOn w:val="Header"/>
    <w:next w:val="Normal"/>
    <w:link w:val="Heading1Char"/>
    <w:qFormat/>
    <w:rsid w:val="00126259"/>
    <w:pPr>
      <w:numPr>
        <w:numId w:val="13"/>
      </w:numPr>
      <w:tabs>
        <w:tab w:val="clear" w:pos="4513"/>
        <w:tab w:val="clear" w:pos="9026"/>
        <w:tab w:val="left" w:pos="1260"/>
        <w:tab w:val="center" w:pos="4320"/>
      </w:tabs>
      <w:spacing w:before="80" w:after="80"/>
      <w:ind w:right="547"/>
      <w:outlineLvl w:val="0"/>
    </w:pPr>
    <w:rPr>
      <w:b/>
      <w:bCs/>
      <w:noProof/>
      <w:sz w:val="28"/>
      <w:lang w:val="en-US"/>
    </w:rPr>
  </w:style>
  <w:style w:type="paragraph" w:styleId="Heading2">
    <w:name w:val="heading 2"/>
    <w:basedOn w:val="DualTxt"/>
    <w:next w:val="Normal"/>
    <w:link w:val="Heading2Char"/>
    <w:qFormat/>
    <w:rsid w:val="00584CE6"/>
    <w:pPr>
      <w:keepNext/>
      <w:tabs>
        <w:tab w:val="clear" w:pos="480"/>
        <w:tab w:val="clear" w:pos="960"/>
        <w:tab w:val="clear" w:pos="1440"/>
        <w:tab w:val="clear" w:pos="1915"/>
        <w:tab w:val="clear" w:pos="2405"/>
        <w:tab w:val="clear" w:pos="2880"/>
        <w:tab w:val="clear" w:pos="3355"/>
      </w:tabs>
      <w:spacing w:after="80" w:line="240" w:lineRule="auto"/>
      <w:ind w:left="1267" w:right="547" w:hanging="7"/>
      <w:jc w:val="center"/>
      <w:outlineLvl w:val="1"/>
    </w:pPr>
    <w:rPr>
      <w:b/>
      <w:sz w:val="24"/>
      <w:szCs w:val="24"/>
    </w:rPr>
  </w:style>
  <w:style w:type="paragraph" w:styleId="Heading3">
    <w:name w:val="heading 3"/>
    <w:basedOn w:val="Normal"/>
    <w:next w:val="Normal"/>
    <w:link w:val="Heading3Char"/>
    <w:rsid w:val="00B64FCB"/>
    <w:pPr>
      <w:keepNext/>
      <w:suppressAutoHyphens/>
      <w:spacing w:line="240" w:lineRule="exact"/>
      <w:ind w:right="342"/>
      <w:jc w:val="center"/>
      <w:outlineLvl w:val="2"/>
    </w:pPr>
    <w:rPr>
      <w:b/>
      <w:spacing w:val="4"/>
      <w:w w:val="103"/>
      <w:kern w:val="14"/>
      <w:sz w:val="20"/>
      <w:szCs w:val="20"/>
    </w:rPr>
  </w:style>
  <w:style w:type="paragraph" w:styleId="Heading4">
    <w:name w:val="heading 4"/>
    <w:basedOn w:val="Normal"/>
    <w:next w:val="Normal"/>
    <w:link w:val="Heading4Char"/>
    <w:qFormat/>
    <w:rsid w:val="00202FC2"/>
    <w:pPr>
      <w:keepNext/>
      <w:suppressAutoHyphens/>
      <w:spacing w:after="80"/>
      <w:ind w:left="1267"/>
      <w:outlineLvl w:val="3"/>
    </w:pPr>
    <w:rPr>
      <w:b/>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37336"/>
    <w:pPr>
      <w:jc w:val="both"/>
    </w:pPr>
  </w:style>
  <w:style w:type="character" w:customStyle="1" w:styleId="BodyText2Char">
    <w:name w:val="Body Text 2 Char"/>
    <w:link w:val="BodyText2"/>
    <w:semiHidden/>
    <w:rsid w:val="00237336"/>
    <w:rPr>
      <w:rFonts w:ascii="Times New Roman" w:eastAsia="Times New Roman" w:hAnsi="Times New Roman" w:cs="Times New Roman"/>
      <w:sz w:val="24"/>
      <w:szCs w:val="24"/>
      <w:lang w:val="en-GB"/>
    </w:rPr>
  </w:style>
  <w:style w:type="character" w:styleId="Hyperlink">
    <w:name w:val="Hyperlink"/>
    <w:uiPriority w:val="99"/>
    <w:rsid w:val="00237336"/>
    <w:rPr>
      <w:color w:val="0000FF"/>
      <w:u w:val="single"/>
    </w:rPr>
  </w:style>
  <w:style w:type="paragraph" w:styleId="Header">
    <w:name w:val="header"/>
    <w:basedOn w:val="Normal"/>
    <w:link w:val="HeaderChar"/>
    <w:uiPriority w:val="99"/>
    <w:unhideWhenUsed/>
    <w:rsid w:val="00FE75A8"/>
    <w:pPr>
      <w:tabs>
        <w:tab w:val="center" w:pos="4513"/>
        <w:tab w:val="right" w:pos="9026"/>
      </w:tabs>
    </w:pPr>
  </w:style>
  <w:style w:type="character" w:customStyle="1" w:styleId="HeaderChar">
    <w:name w:val="Header Char"/>
    <w:link w:val="Header"/>
    <w:uiPriority w:val="99"/>
    <w:rsid w:val="00FE75A8"/>
    <w:rPr>
      <w:rFonts w:ascii="Times New Roman" w:eastAsia="Times New Roman" w:hAnsi="Times New Roman"/>
      <w:sz w:val="24"/>
      <w:szCs w:val="24"/>
      <w:lang w:eastAsia="en-US"/>
    </w:rPr>
  </w:style>
  <w:style w:type="paragraph" w:styleId="Footer">
    <w:name w:val="footer"/>
    <w:basedOn w:val="Normal"/>
    <w:link w:val="FooterChar"/>
    <w:unhideWhenUsed/>
    <w:rsid w:val="00FE75A8"/>
    <w:pPr>
      <w:tabs>
        <w:tab w:val="center" w:pos="4513"/>
        <w:tab w:val="right" w:pos="9026"/>
      </w:tabs>
    </w:pPr>
  </w:style>
  <w:style w:type="character" w:customStyle="1" w:styleId="FooterChar">
    <w:name w:val="Footer Char"/>
    <w:link w:val="Footer"/>
    <w:rsid w:val="00FE75A8"/>
    <w:rPr>
      <w:rFonts w:ascii="Times New Roman" w:eastAsia="Times New Roman" w:hAnsi="Times New Roman"/>
      <w:sz w:val="24"/>
      <w:szCs w:val="24"/>
      <w:lang w:eastAsia="en-US"/>
    </w:rPr>
  </w:style>
  <w:style w:type="character" w:styleId="FollowedHyperlink">
    <w:name w:val="FollowedHyperlink"/>
    <w:semiHidden/>
    <w:unhideWhenUsed/>
    <w:rsid w:val="00C44159"/>
    <w:rPr>
      <w:color w:val="800080"/>
      <w:u w:val="single"/>
    </w:rPr>
  </w:style>
  <w:style w:type="character" w:customStyle="1" w:styleId="apple-converted-space">
    <w:name w:val="apple-converted-space"/>
    <w:rsid w:val="00D401E1"/>
  </w:style>
  <w:style w:type="paragraph" w:styleId="BalloonText">
    <w:name w:val="Balloon Text"/>
    <w:basedOn w:val="Normal"/>
    <w:link w:val="BalloonTextChar"/>
    <w:semiHidden/>
    <w:unhideWhenUsed/>
    <w:rsid w:val="00DD03AA"/>
    <w:rPr>
      <w:rFonts w:ascii="Tahoma" w:hAnsi="Tahoma" w:cs="Tahoma"/>
      <w:sz w:val="16"/>
      <w:szCs w:val="16"/>
    </w:rPr>
  </w:style>
  <w:style w:type="character" w:customStyle="1" w:styleId="BalloonTextChar">
    <w:name w:val="Balloon Text Char"/>
    <w:link w:val="BalloonText"/>
    <w:semiHidden/>
    <w:rsid w:val="00DD03AA"/>
    <w:rPr>
      <w:rFonts w:ascii="Tahoma" w:eastAsia="Times New Roman" w:hAnsi="Tahoma" w:cs="Tahoma"/>
      <w:sz w:val="16"/>
      <w:szCs w:val="16"/>
      <w:lang w:eastAsia="en-US"/>
    </w:rPr>
  </w:style>
  <w:style w:type="paragraph" w:styleId="BodyText">
    <w:name w:val="Body Text"/>
    <w:basedOn w:val="Normal"/>
    <w:link w:val="BodyTextChar"/>
    <w:unhideWhenUsed/>
    <w:rsid w:val="005540F4"/>
    <w:pPr>
      <w:spacing w:after="120"/>
    </w:pPr>
  </w:style>
  <w:style w:type="character" w:customStyle="1" w:styleId="BodyTextChar">
    <w:name w:val="Body Text Char"/>
    <w:link w:val="BodyText"/>
    <w:rsid w:val="005540F4"/>
    <w:rPr>
      <w:rFonts w:ascii="Times New Roman" w:eastAsia="Times New Roman" w:hAnsi="Times New Roman"/>
      <w:sz w:val="24"/>
      <w:szCs w:val="24"/>
      <w:lang w:eastAsia="en-US"/>
    </w:rPr>
  </w:style>
  <w:style w:type="character" w:customStyle="1" w:styleId="Heading1Char">
    <w:name w:val="Heading 1 Char"/>
    <w:link w:val="Heading1"/>
    <w:rsid w:val="00126259"/>
    <w:rPr>
      <w:rFonts w:ascii="Times New Roman" w:eastAsia="Times New Roman" w:hAnsi="Times New Roman"/>
      <w:b/>
      <w:bCs/>
      <w:noProof/>
      <w:sz w:val="28"/>
      <w:szCs w:val="24"/>
      <w:lang w:val="en-US" w:eastAsia="en-US"/>
    </w:rPr>
  </w:style>
  <w:style w:type="character" w:customStyle="1" w:styleId="Heading2Char">
    <w:name w:val="Heading 2 Char"/>
    <w:link w:val="Heading2"/>
    <w:rsid w:val="00584CE6"/>
    <w:rPr>
      <w:rFonts w:ascii="Times New Roman" w:eastAsia="Times New Roman" w:hAnsi="Times New Roman"/>
      <w:b/>
      <w:spacing w:val="4"/>
      <w:w w:val="103"/>
      <w:kern w:val="14"/>
      <w:sz w:val="24"/>
      <w:szCs w:val="24"/>
      <w:lang w:eastAsia="en-US"/>
    </w:rPr>
  </w:style>
  <w:style w:type="character" w:customStyle="1" w:styleId="Heading3Char">
    <w:name w:val="Heading 3 Char"/>
    <w:link w:val="Heading3"/>
    <w:rsid w:val="00B64FCB"/>
    <w:rPr>
      <w:rFonts w:ascii="Times New Roman" w:eastAsia="Times New Roman" w:hAnsi="Times New Roman"/>
      <w:b/>
      <w:spacing w:val="4"/>
      <w:w w:val="103"/>
      <w:kern w:val="14"/>
      <w:lang w:eastAsia="en-US"/>
    </w:rPr>
  </w:style>
  <w:style w:type="character" w:customStyle="1" w:styleId="Heading4Char">
    <w:name w:val="Heading 4 Char"/>
    <w:link w:val="Heading4"/>
    <w:rsid w:val="00202FC2"/>
    <w:rPr>
      <w:rFonts w:ascii="Times New Roman" w:eastAsia="Times New Roman" w:hAnsi="Times New Roman"/>
      <w:b/>
      <w:spacing w:val="4"/>
      <w:w w:val="103"/>
      <w:kern w:val="14"/>
      <w:lang w:eastAsia="en-US"/>
    </w:rPr>
  </w:style>
  <w:style w:type="paragraph" w:customStyle="1" w:styleId="HCh">
    <w:name w:val="_ H _Ch"/>
    <w:basedOn w:val="Normal"/>
    <w:next w:val="Normal"/>
    <w:rsid w:val="00B64FCB"/>
    <w:pPr>
      <w:keepNext/>
      <w:keepLines/>
      <w:suppressAutoHyphens/>
      <w:spacing w:line="300" w:lineRule="exact"/>
      <w:outlineLvl w:val="0"/>
    </w:pPr>
    <w:rPr>
      <w:b/>
      <w:spacing w:val="-2"/>
      <w:w w:val="103"/>
      <w:kern w:val="14"/>
      <w:sz w:val="28"/>
      <w:szCs w:val="20"/>
    </w:rPr>
  </w:style>
  <w:style w:type="paragraph" w:customStyle="1" w:styleId="H23">
    <w:name w:val="_ H_2/3"/>
    <w:basedOn w:val="Normal"/>
    <w:next w:val="Normal"/>
    <w:rsid w:val="00B64FCB"/>
    <w:pPr>
      <w:keepNext/>
      <w:keepLines/>
      <w:suppressAutoHyphens/>
      <w:spacing w:line="240" w:lineRule="exact"/>
      <w:outlineLvl w:val="1"/>
    </w:pPr>
    <w:rPr>
      <w:b/>
      <w:spacing w:val="2"/>
      <w:w w:val="103"/>
      <w:kern w:val="14"/>
      <w:sz w:val="20"/>
      <w:szCs w:val="20"/>
    </w:rPr>
  </w:style>
  <w:style w:type="paragraph" w:customStyle="1" w:styleId="DualTxt">
    <w:name w:val="__Dual Txt"/>
    <w:basedOn w:val="Normal"/>
    <w:link w:val="DualTxtChar"/>
    <w:rsid w:val="00B64FCB"/>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customStyle="1" w:styleId="XLarge">
    <w:name w:val="XLarge"/>
    <w:basedOn w:val="Normal"/>
    <w:rsid w:val="00B64FCB"/>
    <w:pPr>
      <w:keepNext/>
      <w:keepLines/>
      <w:tabs>
        <w:tab w:val="right" w:leader="dot" w:pos="360"/>
      </w:tabs>
      <w:suppressAutoHyphens/>
      <w:spacing w:line="390" w:lineRule="exact"/>
      <w:outlineLvl w:val="0"/>
    </w:pPr>
    <w:rPr>
      <w:b/>
      <w:spacing w:val="-4"/>
      <w:w w:val="98"/>
      <w:kern w:val="14"/>
      <w:sz w:val="40"/>
      <w:szCs w:val="20"/>
    </w:rPr>
  </w:style>
  <w:style w:type="paragraph" w:styleId="CommentText">
    <w:name w:val="annotation text"/>
    <w:basedOn w:val="Normal"/>
    <w:link w:val="CommentTextChar"/>
    <w:rsid w:val="00B64FCB"/>
    <w:pPr>
      <w:suppressAutoHyphens/>
      <w:spacing w:line="240" w:lineRule="exact"/>
    </w:pPr>
    <w:rPr>
      <w:spacing w:val="4"/>
      <w:w w:val="103"/>
      <w:kern w:val="14"/>
      <w:sz w:val="20"/>
      <w:szCs w:val="20"/>
      <w:lang w:eastAsia="x-none"/>
    </w:rPr>
  </w:style>
  <w:style w:type="character" w:customStyle="1" w:styleId="CommentTextChar">
    <w:name w:val="Comment Text Char"/>
    <w:link w:val="CommentText"/>
    <w:rsid w:val="00B64FCB"/>
    <w:rPr>
      <w:rFonts w:ascii="Times New Roman" w:eastAsia="Times New Roman" w:hAnsi="Times New Roman"/>
      <w:spacing w:val="4"/>
      <w:w w:val="103"/>
      <w:kern w:val="14"/>
      <w:lang w:eastAsia="x-none"/>
    </w:rPr>
  </w:style>
  <w:style w:type="paragraph" w:styleId="Title">
    <w:name w:val="Title"/>
    <w:basedOn w:val="Normal"/>
    <w:link w:val="TitleChar"/>
    <w:rsid w:val="00B64FCB"/>
    <w:pPr>
      <w:jc w:val="center"/>
    </w:pPr>
    <w:rPr>
      <w:b/>
      <w:bCs/>
      <w:u w:val="single"/>
      <w:lang w:val="en-US"/>
    </w:rPr>
  </w:style>
  <w:style w:type="character" w:customStyle="1" w:styleId="TitleChar">
    <w:name w:val="Title Char"/>
    <w:link w:val="Title"/>
    <w:rsid w:val="00B64FCB"/>
    <w:rPr>
      <w:rFonts w:ascii="Times New Roman" w:eastAsia="Times New Roman" w:hAnsi="Times New Roman"/>
      <w:b/>
      <w:bCs/>
      <w:sz w:val="24"/>
      <w:szCs w:val="24"/>
      <w:u w:val="single"/>
      <w:lang w:val="en-US" w:eastAsia="en-US"/>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rsid w:val="00B64FCB"/>
    <w:pPr>
      <w:suppressAutoHyphens/>
      <w:spacing w:line="240" w:lineRule="exact"/>
      <w:ind w:left="720"/>
    </w:pPr>
    <w:rPr>
      <w:spacing w:val="4"/>
      <w:w w:val="103"/>
      <w:kern w:val="14"/>
      <w:sz w:val="20"/>
      <w:szCs w:val="20"/>
    </w:rPr>
  </w:style>
  <w:style w:type="paragraph" w:customStyle="1" w:styleId="Num1para">
    <w:name w:val="Num 1 para"/>
    <w:basedOn w:val="ListParagraph"/>
    <w:link w:val="Num1paraChar"/>
    <w:qFormat/>
    <w:rsid w:val="00B64FCB"/>
    <w:pPr>
      <w:numPr>
        <w:numId w:val="10"/>
      </w:numPr>
      <w:tabs>
        <w:tab w:val="left" w:pos="1800"/>
      </w:tabs>
      <w:spacing w:after="80" w:line="240" w:lineRule="auto"/>
      <w:ind w:left="1267" w:right="547" w:firstLine="0"/>
      <w:jc w:val="both"/>
    </w:pPr>
    <w:rPr>
      <w:bCs/>
    </w:rPr>
  </w:style>
  <w:style w:type="table" w:styleId="TableGrid">
    <w:name w:val="Table Grid"/>
    <w:basedOn w:val="TableNormal"/>
    <w:rsid w:val="00B64F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ualTxtChar">
    <w:name w:val="__Dual Txt Char"/>
    <w:link w:val="DualTxt"/>
    <w:rsid w:val="00B64FCB"/>
    <w:rPr>
      <w:rFonts w:ascii="Times New Roman" w:eastAsia="Times New Roman" w:hAnsi="Times New Roman"/>
      <w:spacing w:val="4"/>
      <w:w w:val="103"/>
      <w:kern w:val="14"/>
      <w:lang w:eastAsia="en-US"/>
    </w:rPr>
  </w:style>
  <w:style w:type="character" w:customStyle="1" w:styleId="Num1paraChar">
    <w:name w:val="Num 1 para Char"/>
    <w:link w:val="Num1para"/>
    <w:rsid w:val="00B64FCB"/>
    <w:rPr>
      <w:rFonts w:ascii="Times New Roman" w:eastAsia="Times New Roman" w:hAnsi="Times New Roman"/>
      <w:bCs/>
      <w:spacing w:val="4"/>
      <w:w w:val="103"/>
      <w:kern w:val="14"/>
      <w:lang w:eastAsia="en-US"/>
    </w:rPr>
  </w:style>
  <w:style w:type="paragraph" w:styleId="FootnoteText">
    <w:name w:val="footnote text"/>
    <w:basedOn w:val="Normal"/>
    <w:link w:val="FootnoteTextChar"/>
    <w:uiPriority w:val="99"/>
    <w:semiHidden/>
    <w:unhideWhenUsed/>
    <w:rsid w:val="00FE53EE"/>
    <w:rPr>
      <w:sz w:val="20"/>
      <w:szCs w:val="20"/>
    </w:rPr>
  </w:style>
  <w:style w:type="character" w:customStyle="1" w:styleId="FootnoteTextChar">
    <w:name w:val="Footnote Text Char"/>
    <w:basedOn w:val="DefaultParagraphFont"/>
    <w:link w:val="FootnoteText"/>
    <w:uiPriority w:val="99"/>
    <w:semiHidden/>
    <w:rsid w:val="00FE53EE"/>
    <w:rPr>
      <w:rFonts w:ascii="Times New Roman" w:eastAsia="Times New Roman" w:hAnsi="Times New Roman"/>
      <w:lang w:eastAsia="en-US"/>
    </w:rPr>
  </w:style>
  <w:style w:type="character" w:styleId="FootnoteReference">
    <w:name w:val="footnote reference"/>
    <w:basedOn w:val="DefaultParagraphFont"/>
    <w:semiHidden/>
    <w:unhideWhenUsed/>
    <w:rsid w:val="00FE53EE"/>
    <w:rPr>
      <w:vertAlign w:val="superscript"/>
    </w:rPr>
  </w:style>
  <w:style w:type="paragraph" w:styleId="Subtitle">
    <w:name w:val="Subtitle"/>
    <w:basedOn w:val="Normal"/>
    <w:link w:val="SubtitleChar"/>
    <w:qFormat/>
    <w:rsid w:val="004255D8"/>
    <w:pPr>
      <w:spacing w:after="60"/>
      <w:jc w:val="center"/>
      <w:outlineLvl w:val="1"/>
    </w:pPr>
    <w:rPr>
      <w:rFonts w:ascii="Arial" w:hAnsi="Arial" w:cs="Arial"/>
    </w:rPr>
  </w:style>
  <w:style w:type="character" w:customStyle="1" w:styleId="SubtitleChar">
    <w:name w:val="Subtitle Char"/>
    <w:basedOn w:val="DefaultParagraphFont"/>
    <w:link w:val="Subtitle"/>
    <w:rsid w:val="004255D8"/>
    <w:rPr>
      <w:rFonts w:ascii="Arial" w:eastAsia="Times New Roman" w:hAnsi="Arial" w:cs="Arial"/>
      <w:sz w:val="24"/>
      <w:szCs w:val="24"/>
      <w:lang w:eastAsia="en-US"/>
    </w:rPr>
  </w:style>
  <w:style w:type="paragraph" w:customStyle="1" w:styleId="SingleTxt">
    <w:name w:val="__Single Txt"/>
    <w:basedOn w:val="Normal"/>
    <w:rsid w:val="004255D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paragraph" w:styleId="DocumentMap">
    <w:name w:val="Document Map"/>
    <w:basedOn w:val="Normal"/>
    <w:link w:val="DocumentMapChar"/>
    <w:semiHidden/>
    <w:rsid w:val="004255D8"/>
    <w:rPr>
      <w:rFonts w:ascii="Tahoma" w:hAnsi="Tahoma"/>
      <w:sz w:val="16"/>
      <w:szCs w:val="16"/>
    </w:rPr>
  </w:style>
  <w:style w:type="character" w:customStyle="1" w:styleId="DocumentMapChar">
    <w:name w:val="Document Map Char"/>
    <w:basedOn w:val="DefaultParagraphFont"/>
    <w:link w:val="DocumentMap"/>
    <w:semiHidden/>
    <w:rsid w:val="004255D8"/>
    <w:rPr>
      <w:rFonts w:ascii="Tahoma" w:eastAsia="Times New Roman" w:hAnsi="Tahoma"/>
      <w:sz w:val="16"/>
      <w:szCs w:val="16"/>
      <w:lang w:eastAsia="en-US"/>
    </w:rPr>
  </w:style>
  <w:style w:type="character" w:styleId="CommentReference">
    <w:name w:val="annotation reference"/>
    <w:semiHidden/>
    <w:rsid w:val="004255D8"/>
    <w:rPr>
      <w:rFonts w:cs="Times New Roman"/>
      <w:sz w:val="6"/>
      <w:szCs w:val="6"/>
    </w:rPr>
  </w:style>
  <w:style w:type="paragraph" w:styleId="CommentSubject">
    <w:name w:val="annotation subject"/>
    <w:basedOn w:val="CommentText"/>
    <w:next w:val="CommentText"/>
    <w:link w:val="CommentSubjectChar"/>
    <w:rsid w:val="004255D8"/>
    <w:pPr>
      <w:suppressAutoHyphens w:val="0"/>
      <w:spacing w:line="240" w:lineRule="auto"/>
    </w:pPr>
    <w:rPr>
      <w:b/>
      <w:bCs/>
      <w:spacing w:val="0"/>
      <w:w w:val="100"/>
      <w:kern w:val="0"/>
      <w:lang w:eastAsia="en-US"/>
    </w:rPr>
  </w:style>
  <w:style w:type="character" w:customStyle="1" w:styleId="CommentSubjectChar">
    <w:name w:val="Comment Subject Char"/>
    <w:basedOn w:val="CommentTextChar"/>
    <w:link w:val="CommentSubject"/>
    <w:rsid w:val="004255D8"/>
    <w:rPr>
      <w:rFonts w:ascii="Times New Roman" w:eastAsia="Times New Roman" w:hAnsi="Times New Roman"/>
      <w:b/>
      <w:bCs/>
      <w:spacing w:val="4"/>
      <w:w w:val="103"/>
      <w:kern w:val="14"/>
      <w:lang w:eastAsia="en-US"/>
    </w:rPr>
  </w:style>
  <w:style w:type="character" w:styleId="PageNumber">
    <w:name w:val="page number"/>
    <w:basedOn w:val="DefaultParagraphFont"/>
    <w:semiHidden/>
    <w:rsid w:val="004255D8"/>
  </w:style>
  <w:style w:type="paragraph" w:styleId="BodyText3">
    <w:name w:val="Body Text 3"/>
    <w:basedOn w:val="Normal"/>
    <w:link w:val="BodyText3Char"/>
    <w:semiHidden/>
    <w:rsid w:val="004255D8"/>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Cs w:val="20"/>
    </w:rPr>
  </w:style>
  <w:style w:type="character" w:customStyle="1" w:styleId="BodyText3Char">
    <w:name w:val="Body Text 3 Char"/>
    <w:basedOn w:val="DefaultParagraphFont"/>
    <w:link w:val="BodyText3"/>
    <w:semiHidden/>
    <w:rsid w:val="004255D8"/>
    <w:rPr>
      <w:rFonts w:ascii="Times New Roman" w:eastAsia="Times New Roman" w:hAnsi="Times New Roman"/>
      <w:sz w:val="24"/>
      <w:lang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locked/>
    <w:rsid w:val="004255D8"/>
    <w:rPr>
      <w:rFonts w:ascii="Times New Roman" w:eastAsia="Times New Roman" w:hAnsi="Times New Roman"/>
      <w:spacing w:val="4"/>
      <w:w w:val="103"/>
      <w:kern w:val="14"/>
      <w:lang w:eastAsia="en-US"/>
    </w:rPr>
  </w:style>
  <w:style w:type="paragraph" w:styleId="Revision">
    <w:name w:val="Revision"/>
    <w:hidden/>
    <w:uiPriority w:val="99"/>
    <w:semiHidden/>
    <w:rsid w:val="004255D8"/>
    <w:rPr>
      <w:rFonts w:ascii="Times New Roman" w:eastAsia="Times New Roman" w:hAnsi="Times New Roman"/>
      <w:lang w:val="en-US" w:eastAsia="en-US"/>
    </w:rPr>
  </w:style>
  <w:style w:type="character" w:customStyle="1" w:styleId="apple-style-span">
    <w:name w:val="apple-style-span"/>
    <w:basedOn w:val="DefaultParagraphFont"/>
    <w:rsid w:val="004255D8"/>
  </w:style>
  <w:style w:type="paragraph" w:customStyle="1" w:styleId="Default">
    <w:name w:val="Default"/>
    <w:rsid w:val="004255D8"/>
    <w:pPr>
      <w:autoSpaceDE w:val="0"/>
      <w:autoSpaceDN w:val="0"/>
      <w:adjustRightInd w:val="0"/>
    </w:pPr>
    <w:rPr>
      <w:rFonts w:ascii="Times New Roman" w:eastAsiaTheme="minorHAnsi" w:hAnsi="Times New Roman"/>
      <w:color w:val="000000"/>
      <w:sz w:val="24"/>
      <w:szCs w:val="24"/>
      <w:lang w:eastAsia="en-US"/>
    </w:rPr>
  </w:style>
  <w:style w:type="paragraph" w:styleId="EndnoteText">
    <w:name w:val="endnote text"/>
    <w:basedOn w:val="Normal"/>
    <w:link w:val="EndnoteTextChar"/>
    <w:uiPriority w:val="99"/>
    <w:semiHidden/>
    <w:unhideWhenUsed/>
    <w:rsid w:val="004255D8"/>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4255D8"/>
    <w:rPr>
      <w:lang w:eastAsia="en-US"/>
    </w:rPr>
  </w:style>
  <w:style w:type="character" w:styleId="EndnoteReference">
    <w:name w:val="endnote reference"/>
    <w:uiPriority w:val="99"/>
    <w:semiHidden/>
    <w:unhideWhenUsed/>
    <w:rsid w:val="004255D8"/>
    <w:rPr>
      <w:vertAlign w:val="superscript"/>
    </w:rPr>
  </w:style>
  <w:style w:type="character" w:customStyle="1" w:styleId="highlight">
    <w:name w:val="highlight"/>
    <w:basedOn w:val="DefaultParagraphFont"/>
    <w:rsid w:val="004255D8"/>
  </w:style>
  <w:style w:type="character" w:styleId="Emphasis">
    <w:name w:val="Emphasis"/>
    <w:basedOn w:val="DefaultParagraphFont"/>
    <w:uiPriority w:val="20"/>
    <w:qFormat/>
    <w:rsid w:val="004255D8"/>
    <w:rPr>
      <w:i/>
      <w:iCs/>
    </w:rPr>
  </w:style>
  <w:style w:type="character" w:customStyle="1" w:styleId="preferred">
    <w:name w:val="preferred"/>
    <w:basedOn w:val="DefaultParagraphFont"/>
    <w:rsid w:val="004255D8"/>
  </w:style>
  <w:style w:type="paragraph" w:styleId="NormalWeb">
    <w:name w:val="Normal (Web)"/>
    <w:basedOn w:val="Normal"/>
    <w:semiHidden/>
    <w:unhideWhenUsed/>
    <w:rsid w:val="004255D8"/>
  </w:style>
  <w:style w:type="paragraph" w:customStyle="1" w:styleId="Numapara">
    <w:name w:val="Num (a) para"/>
    <w:basedOn w:val="Num1para"/>
    <w:link w:val="NumaparaChar"/>
    <w:qFormat/>
    <w:rsid w:val="00CF074D"/>
    <w:pPr>
      <w:numPr>
        <w:numId w:val="38"/>
      </w:numPr>
      <w:ind w:left="1260" w:firstLine="0"/>
    </w:pPr>
  </w:style>
  <w:style w:type="paragraph" w:styleId="TOCHeading">
    <w:name w:val="TOC Heading"/>
    <w:basedOn w:val="Heading1"/>
    <w:next w:val="Normal"/>
    <w:uiPriority w:val="39"/>
    <w:unhideWhenUsed/>
    <w:qFormat/>
    <w:rsid w:val="00E30729"/>
    <w:pPr>
      <w:keepNext/>
      <w:keepLines/>
      <w:numPr>
        <w:numId w:val="0"/>
      </w:numPr>
      <w:tabs>
        <w:tab w:val="clear" w:pos="1260"/>
        <w:tab w:val="clear" w:pos="4320"/>
      </w:tabs>
      <w:spacing w:before="240" w:after="0" w:line="259" w:lineRule="auto"/>
      <w:ind w:right="0"/>
      <w:outlineLvl w:val="9"/>
    </w:pPr>
    <w:rPr>
      <w:rFonts w:eastAsiaTheme="majorEastAsia"/>
      <w:b w:val="0"/>
      <w:bCs w:val="0"/>
      <w:noProof w:val="0"/>
      <w:sz w:val="32"/>
      <w:szCs w:val="32"/>
    </w:rPr>
  </w:style>
  <w:style w:type="character" w:customStyle="1" w:styleId="NumaparaChar">
    <w:name w:val="Num (a) para Char"/>
    <w:basedOn w:val="Num1paraChar"/>
    <w:link w:val="Numapara"/>
    <w:rsid w:val="00CF074D"/>
    <w:rPr>
      <w:rFonts w:ascii="Times New Roman" w:eastAsia="Times New Roman" w:hAnsi="Times New Roman"/>
      <w:bCs/>
      <w:spacing w:val="4"/>
      <w:w w:val="103"/>
      <w:kern w:val="14"/>
      <w:lang w:eastAsia="en-US"/>
    </w:rPr>
  </w:style>
  <w:style w:type="paragraph" w:styleId="TOC1">
    <w:name w:val="toc 1"/>
    <w:basedOn w:val="Normal"/>
    <w:next w:val="Normal"/>
    <w:autoRedefine/>
    <w:uiPriority w:val="39"/>
    <w:unhideWhenUsed/>
    <w:rsid w:val="002908E3"/>
    <w:pPr>
      <w:spacing w:after="100"/>
    </w:pPr>
  </w:style>
  <w:style w:type="paragraph" w:styleId="TOC2">
    <w:name w:val="toc 2"/>
    <w:basedOn w:val="Normal"/>
    <w:next w:val="Normal"/>
    <w:autoRedefine/>
    <w:uiPriority w:val="39"/>
    <w:unhideWhenUsed/>
    <w:rsid w:val="00195DCC"/>
    <w:pPr>
      <w:tabs>
        <w:tab w:val="left" w:pos="900"/>
        <w:tab w:val="right" w:leader="dot" w:pos="9350"/>
      </w:tabs>
      <w:spacing w:after="100"/>
      <w:ind w:left="900" w:hanging="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43554">
      <w:bodyDiv w:val="1"/>
      <w:marLeft w:val="0"/>
      <w:marRight w:val="0"/>
      <w:marTop w:val="0"/>
      <w:marBottom w:val="0"/>
      <w:divBdr>
        <w:top w:val="none" w:sz="0" w:space="0" w:color="auto"/>
        <w:left w:val="none" w:sz="0" w:space="0" w:color="auto"/>
        <w:bottom w:val="none" w:sz="0" w:space="0" w:color="auto"/>
        <w:right w:val="none" w:sz="0" w:space="0" w:color="auto"/>
      </w:divBdr>
    </w:div>
    <w:div w:id="279721629">
      <w:bodyDiv w:val="1"/>
      <w:marLeft w:val="0"/>
      <w:marRight w:val="0"/>
      <w:marTop w:val="0"/>
      <w:marBottom w:val="0"/>
      <w:divBdr>
        <w:top w:val="none" w:sz="0" w:space="0" w:color="auto"/>
        <w:left w:val="none" w:sz="0" w:space="0" w:color="auto"/>
        <w:bottom w:val="none" w:sz="0" w:space="0" w:color="auto"/>
        <w:right w:val="none" w:sz="0" w:space="0" w:color="auto"/>
      </w:divBdr>
    </w:div>
    <w:div w:id="1777867357">
      <w:bodyDiv w:val="1"/>
      <w:marLeft w:val="0"/>
      <w:marRight w:val="0"/>
      <w:marTop w:val="0"/>
      <w:marBottom w:val="0"/>
      <w:divBdr>
        <w:top w:val="none" w:sz="0" w:space="0" w:color="auto"/>
        <w:left w:val="none" w:sz="0" w:space="0" w:color="auto"/>
        <w:bottom w:val="none" w:sz="0" w:space="0" w:color="auto"/>
        <w:right w:val="none" w:sz="0" w:space="0" w:color="auto"/>
      </w:divBdr>
      <w:divsChild>
        <w:div w:id="1080518274">
          <w:marLeft w:val="0"/>
          <w:marRight w:val="0"/>
          <w:marTop w:val="0"/>
          <w:marBottom w:val="0"/>
          <w:divBdr>
            <w:top w:val="none" w:sz="0" w:space="0" w:color="auto"/>
            <w:left w:val="none" w:sz="0" w:space="0" w:color="auto"/>
            <w:bottom w:val="none" w:sz="0" w:space="0" w:color="auto"/>
            <w:right w:val="none" w:sz="0" w:space="0" w:color="auto"/>
          </w:divBdr>
        </w:div>
        <w:div w:id="109316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ogle.cv/url?sa=t&amp;rct=j&amp;q=&amp;esrc=s&amp;source=web&amp;cd=3&amp;cad=rja&amp;uact=8&amp;ved=0ahUKEwiSj93pl_XUAhWKLVAKHYbKCEYQFggtMAI&amp;url=https%3A%2F%2Fwww.unicef.org%2Fwash%2F3942_43084.html&amp;usg=AFQjCNFoqkI9waQkdvaDwcMOlbMD3qU6p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62CBB-4CC4-45F5-91A4-1718266F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8083</Words>
  <Characters>50440</Characters>
  <Application>Microsoft Office Word</Application>
  <DocSecurity>0</DocSecurity>
  <Lines>1230</Lines>
  <Paragraphs>495</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58028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Rutsch</dc:creator>
  <cp:keywords/>
  <cp:lastModifiedBy>Svetlana Iazykova</cp:lastModifiedBy>
  <cp:revision>2</cp:revision>
  <cp:lastPrinted>2017-10-16T22:02:00Z</cp:lastPrinted>
  <dcterms:created xsi:type="dcterms:W3CDTF">2017-10-30T18:35:00Z</dcterms:created>
  <dcterms:modified xsi:type="dcterms:W3CDTF">2017-10-30T18:35:00Z</dcterms:modified>
</cp:coreProperties>
</file>